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64C9C">
      <w:pPr>
        <w:spacing w:before="120" w:beforeLines="50" w:after="240" w:line="500" w:lineRule="exact"/>
        <w:ind w:right="-420" w:rightChars="-200"/>
        <w:jc w:val="center"/>
        <w:outlineLvl w:val="0"/>
        <w:rPr>
          <w:rFonts w:hint="eastAsia" w:eastAsia="宋体"/>
          <w:bCs/>
          <w:color w:val="000000"/>
          <w:sz w:val="52"/>
          <w:szCs w:val="52"/>
          <w:highlight w:val="none"/>
          <w:lang w:eastAsia="zh-CN"/>
        </w:rPr>
      </w:pPr>
      <w:bookmarkStart w:id="0" w:name="_Toc24447"/>
    </w:p>
    <w:p w14:paraId="1F79B394">
      <w:pPr>
        <w:spacing w:after="120"/>
        <w:ind w:right="-420" w:rightChars="-200"/>
        <w:jc w:val="center"/>
        <w:rPr>
          <w:bCs/>
          <w:color w:val="auto"/>
          <w:sz w:val="72"/>
          <w:highlight w:val="none"/>
        </w:rPr>
      </w:pPr>
      <w:r>
        <w:rPr>
          <w:rFonts w:hint="eastAsia"/>
          <w:bCs/>
          <w:color w:val="auto"/>
          <w:sz w:val="72"/>
          <w:highlight w:val="none"/>
        </w:rPr>
        <w:t>竞争性磋商采购</w:t>
      </w:r>
      <w:r>
        <w:rPr>
          <w:bCs/>
          <w:color w:val="auto"/>
          <w:sz w:val="72"/>
          <w:highlight w:val="none"/>
        </w:rPr>
        <w:t>文件</w:t>
      </w:r>
    </w:p>
    <w:p w14:paraId="6EFE5EC7">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3FE1E5F3">
      <w:pPr>
        <w:adjustRightInd/>
        <w:spacing w:line="360" w:lineRule="auto"/>
        <w:jc w:val="center"/>
        <w:rPr>
          <w:rFonts w:hint="eastAsia" w:ascii="仿宋" w:hAnsi="仿宋" w:eastAsia="仿宋" w:cs="仿宋_GB2312"/>
          <w:b/>
          <w:color w:val="auto"/>
          <w:sz w:val="48"/>
          <w:szCs w:val="48"/>
          <w:highlight w:val="none"/>
          <w:lang w:val="en-US" w:eastAsia="zh-CN"/>
        </w:rPr>
      </w:pPr>
    </w:p>
    <w:p w14:paraId="64C1CE08">
      <w:pPr>
        <w:ind w:right="-420" w:rightChars="-200"/>
        <w:jc w:val="center"/>
        <w:rPr>
          <w:rFonts w:hint="eastAsia"/>
          <w:bCs/>
          <w:color w:val="auto"/>
          <w:sz w:val="28"/>
          <w:highlight w:val="none"/>
        </w:rPr>
      </w:pPr>
    </w:p>
    <w:p w14:paraId="0E0424B1">
      <w:pPr>
        <w:ind w:right="-420" w:rightChars="-200"/>
        <w:jc w:val="center"/>
        <w:rPr>
          <w:rFonts w:hint="eastAsia"/>
          <w:bCs/>
          <w:color w:val="auto"/>
          <w:sz w:val="28"/>
          <w:highlight w:val="none"/>
        </w:rPr>
      </w:pPr>
    </w:p>
    <w:p w14:paraId="39B25663">
      <w:pPr>
        <w:ind w:right="-420" w:rightChars="-200"/>
        <w:jc w:val="center"/>
        <w:rPr>
          <w:rFonts w:hint="eastAsia"/>
          <w:bCs/>
          <w:color w:val="auto"/>
          <w:sz w:val="28"/>
          <w:highlight w:val="none"/>
        </w:rPr>
      </w:pPr>
    </w:p>
    <w:p w14:paraId="63FB437C">
      <w:pPr>
        <w:ind w:right="-420" w:rightChars="-200"/>
        <w:rPr>
          <w:rFonts w:hint="eastAsia"/>
          <w:bCs/>
          <w:color w:val="auto"/>
          <w:sz w:val="28"/>
          <w:highlight w:val="none"/>
        </w:rPr>
      </w:pPr>
    </w:p>
    <w:p w14:paraId="1F2A3D23">
      <w:pPr>
        <w:ind w:right="-420" w:rightChars="-200"/>
        <w:rPr>
          <w:rFonts w:hint="eastAsia"/>
          <w:bCs/>
          <w:color w:val="auto"/>
          <w:sz w:val="28"/>
          <w:highlight w:val="none"/>
        </w:rPr>
      </w:pPr>
    </w:p>
    <w:p w14:paraId="12D0E81D">
      <w:pPr>
        <w:ind w:right="-420" w:rightChars="-200"/>
        <w:jc w:val="center"/>
        <w:rPr>
          <w:rFonts w:hint="eastAsia"/>
          <w:bCs/>
          <w:color w:val="auto"/>
          <w:sz w:val="28"/>
          <w:highlight w:val="none"/>
        </w:rPr>
      </w:pPr>
    </w:p>
    <w:p w14:paraId="54E28F9E">
      <w:pPr>
        <w:ind w:right="-420" w:rightChars="-200"/>
        <w:jc w:val="center"/>
        <w:rPr>
          <w:rFonts w:hint="eastAsia"/>
          <w:bCs/>
          <w:color w:val="auto"/>
          <w:sz w:val="28"/>
          <w:highlight w:val="none"/>
        </w:rPr>
      </w:pPr>
    </w:p>
    <w:p w14:paraId="3EAC3A2D">
      <w:pPr>
        <w:ind w:right="-420" w:rightChars="-200"/>
        <w:jc w:val="center"/>
        <w:rPr>
          <w:rFonts w:hint="eastAsia"/>
          <w:bCs/>
          <w:color w:val="auto"/>
          <w:sz w:val="28"/>
          <w:highlight w:val="none"/>
        </w:rPr>
      </w:pPr>
    </w:p>
    <w:tbl>
      <w:tblPr>
        <w:tblStyle w:val="61"/>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320"/>
      </w:tblGrid>
      <w:tr w14:paraId="611A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atLeast"/>
          <w:jc w:val="center"/>
        </w:trPr>
        <w:tc>
          <w:tcPr>
            <w:tcW w:w="1812" w:type="dxa"/>
            <w:tcBorders>
              <w:top w:val="nil"/>
              <w:left w:val="nil"/>
              <w:bottom w:val="nil"/>
              <w:right w:val="nil"/>
            </w:tcBorders>
            <w:noWrap w:val="0"/>
            <w:vAlign w:val="center"/>
          </w:tcPr>
          <w:p w14:paraId="712B7DDD">
            <w:pPr>
              <w:spacing w:line="520" w:lineRule="exact"/>
              <w:ind w:right="-420" w:rightChars="-200"/>
              <w:jc w:val="center"/>
              <w:rPr>
                <w:rFonts w:hint="eastAsia" w:ascii="宋体" w:hAnsi="宋体"/>
                <w:bCs/>
                <w:color w:val="auto"/>
                <w:sz w:val="32"/>
                <w:szCs w:val="32"/>
                <w:highlight w:val="none"/>
              </w:rPr>
            </w:pPr>
            <w:r>
              <w:rPr>
                <w:rFonts w:hint="eastAsia" w:ascii="宋体" w:hAnsi="宋体"/>
                <w:bCs/>
                <w:color w:val="auto"/>
                <w:sz w:val="32"/>
                <w:szCs w:val="32"/>
                <w:highlight w:val="none"/>
              </w:rPr>
              <w:t>项目编号：</w:t>
            </w:r>
          </w:p>
        </w:tc>
        <w:tc>
          <w:tcPr>
            <w:tcW w:w="7320" w:type="dxa"/>
            <w:tcBorders>
              <w:top w:val="nil"/>
              <w:left w:val="nil"/>
              <w:bottom w:val="single" w:color="auto" w:sz="4" w:space="0"/>
              <w:right w:val="nil"/>
            </w:tcBorders>
            <w:noWrap w:val="0"/>
            <w:vAlign w:val="center"/>
          </w:tcPr>
          <w:p w14:paraId="689EEB9A">
            <w:pPr>
              <w:spacing w:line="520" w:lineRule="exact"/>
              <w:ind w:right="-420" w:rightChars="-200"/>
              <w:jc w:val="both"/>
              <w:rPr>
                <w:rFonts w:hint="default" w:ascii="宋体" w:hAnsi="宋体" w:eastAsia="宋体"/>
                <w:bCs/>
                <w:color w:val="auto"/>
                <w:sz w:val="32"/>
                <w:szCs w:val="32"/>
                <w:highlight w:val="none"/>
                <w:lang w:val="en-US" w:eastAsia="zh-CN"/>
              </w:rPr>
            </w:pPr>
            <w:r>
              <w:rPr>
                <w:rFonts w:hint="eastAsia" w:ascii="宋体" w:hAnsi="宋体"/>
                <w:bCs/>
                <w:color w:val="auto"/>
                <w:sz w:val="32"/>
                <w:szCs w:val="32"/>
                <w:highlight w:val="none"/>
                <w:lang w:eastAsia="zh-CN"/>
              </w:rPr>
              <w:t>HJNH-2024-063（代）</w:t>
            </w:r>
          </w:p>
        </w:tc>
      </w:tr>
      <w:tr w14:paraId="7AEE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2B05A5A3">
            <w:pPr>
              <w:spacing w:line="520" w:lineRule="exact"/>
              <w:ind w:right="-420" w:rightChars="-200"/>
              <w:jc w:val="center"/>
              <w:rPr>
                <w:rFonts w:hint="eastAsia" w:ascii="宋体" w:hAnsi="宋体"/>
                <w:bCs/>
                <w:color w:val="auto"/>
                <w:sz w:val="32"/>
                <w:szCs w:val="32"/>
                <w:highlight w:val="none"/>
              </w:rPr>
            </w:pPr>
            <w:r>
              <w:rPr>
                <w:rFonts w:hint="eastAsia" w:ascii="宋体" w:hAnsi="宋体"/>
                <w:bCs/>
                <w:color w:val="auto"/>
                <w:sz w:val="32"/>
                <w:szCs w:val="32"/>
                <w:highlight w:val="none"/>
              </w:rPr>
              <w:t>项目名称：</w:t>
            </w:r>
          </w:p>
        </w:tc>
        <w:tc>
          <w:tcPr>
            <w:tcW w:w="7320" w:type="dxa"/>
            <w:tcBorders>
              <w:top w:val="single" w:color="auto" w:sz="4" w:space="0"/>
              <w:left w:val="nil"/>
              <w:bottom w:val="single" w:color="auto" w:sz="4" w:space="0"/>
              <w:right w:val="nil"/>
            </w:tcBorders>
            <w:noWrap w:val="0"/>
            <w:vAlign w:val="center"/>
          </w:tcPr>
          <w:p w14:paraId="77C388A8">
            <w:pPr>
              <w:keepNext w:val="0"/>
              <w:keepLines w:val="0"/>
              <w:pageBreakBefore w:val="0"/>
              <w:widowControl/>
              <w:kinsoku/>
              <w:wordWrap/>
              <w:overflowPunct/>
              <w:topLinePunct w:val="0"/>
              <w:autoSpaceDE/>
              <w:autoSpaceDN/>
              <w:bidi w:val="0"/>
              <w:adjustRightInd/>
              <w:snapToGrid/>
              <w:spacing w:line="520" w:lineRule="exact"/>
              <w:ind w:right="0" w:rightChars="0"/>
              <w:jc w:val="left"/>
              <w:textAlignment w:val="auto"/>
              <w:rPr>
                <w:rFonts w:hint="eastAsia" w:ascii="宋体" w:hAnsi="宋体" w:eastAsia="宋体"/>
                <w:bCs/>
                <w:color w:val="auto"/>
                <w:sz w:val="32"/>
                <w:szCs w:val="32"/>
                <w:highlight w:val="none"/>
                <w:lang w:eastAsia="zh-CN"/>
              </w:rPr>
            </w:pPr>
            <w:r>
              <w:rPr>
                <w:rFonts w:hint="eastAsia" w:ascii="宋体" w:hAnsi="宋体" w:cs="Times New Roman"/>
                <w:bCs/>
                <w:color w:val="auto"/>
                <w:sz w:val="32"/>
                <w:szCs w:val="32"/>
                <w:highlight w:val="none"/>
                <w:lang w:val="en-US" w:eastAsia="zh-CN"/>
              </w:rPr>
              <w:t>2025年宁海县普通国省道大桥隐患治理工程</w:t>
            </w:r>
          </w:p>
        </w:tc>
      </w:tr>
      <w:tr w14:paraId="568F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6A448E93">
            <w:pPr>
              <w:spacing w:line="520" w:lineRule="exact"/>
              <w:ind w:right="-420" w:rightChars="-200"/>
              <w:jc w:val="center"/>
              <w:rPr>
                <w:rFonts w:hint="eastAsia" w:ascii="宋体" w:hAnsi="宋体"/>
                <w:bCs/>
                <w:color w:val="auto"/>
                <w:sz w:val="32"/>
                <w:szCs w:val="32"/>
                <w:highlight w:val="none"/>
              </w:rPr>
            </w:pPr>
            <w:r>
              <w:rPr>
                <w:rFonts w:hint="eastAsia" w:ascii="宋体" w:hAnsi="宋体"/>
                <w:bCs/>
                <w:color w:val="auto"/>
                <w:sz w:val="32"/>
                <w:szCs w:val="32"/>
                <w:highlight w:val="none"/>
              </w:rPr>
              <w:t>采 购 人：</w:t>
            </w:r>
          </w:p>
        </w:tc>
        <w:tc>
          <w:tcPr>
            <w:tcW w:w="7320" w:type="dxa"/>
            <w:tcBorders>
              <w:top w:val="single" w:color="auto" w:sz="4" w:space="0"/>
              <w:left w:val="nil"/>
              <w:bottom w:val="single" w:color="auto" w:sz="4" w:space="0"/>
              <w:right w:val="nil"/>
            </w:tcBorders>
            <w:noWrap w:val="0"/>
            <w:vAlign w:val="center"/>
          </w:tcPr>
          <w:p w14:paraId="70B5DD1F">
            <w:pPr>
              <w:spacing w:line="520" w:lineRule="exact"/>
              <w:ind w:right="-420" w:rightChars="-200"/>
              <w:jc w:val="both"/>
              <w:rPr>
                <w:rFonts w:hint="default" w:ascii="宋体" w:hAnsi="宋体" w:eastAsia="宋体"/>
                <w:bCs/>
                <w:color w:val="auto"/>
                <w:sz w:val="32"/>
                <w:szCs w:val="32"/>
                <w:highlight w:val="none"/>
                <w:lang w:val="en-US" w:eastAsia="zh-CN"/>
              </w:rPr>
            </w:pPr>
            <w:r>
              <w:rPr>
                <w:rFonts w:hint="eastAsia" w:ascii="宋体" w:hAnsi="宋体"/>
                <w:bCs/>
                <w:color w:val="auto"/>
                <w:sz w:val="32"/>
                <w:szCs w:val="32"/>
                <w:highlight w:val="none"/>
                <w:lang w:val="en-US" w:eastAsia="zh-CN"/>
              </w:rPr>
              <w:t>宁海县交通运输局</w:t>
            </w:r>
          </w:p>
        </w:tc>
      </w:tr>
      <w:tr w14:paraId="2684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26938A16">
            <w:pPr>
              <w:spacing w:line="520" w:lineRule="exact"/>
              <w:ind w:right="-420" w:rightChars="-200"/>
              <w:jc w:val="center"/>
              <w:rPr>
                <w:rFonts w:hint="eastAsia" w:ascii="宋体" w:hAnsi="宋体"/>
                <w:bCs/>
                <w:color w:val="auto"/>
                <w:sz w:val="32"/>
                <w:szCs w:val="32"/>
                <w:highlight w:val="none"/>
              </w:rPr>
            </w:pPr>
            <w:r>
              <w:rPr>
                <w:rFonts w:hint="eastAsia" w:ascii="宋体" w:hAnsi="宋体"/>
                <w:bCs/>
                <w:color w:val="auto"/>
                <w:sz w:val="32"/>
                <w:szCs w:val="32"/>
                <w:highlight w:val="none"/>
              </w:rPr>
              <w:t>采购代理：</w:t>
            </w:r>
          </w:p>
        </w:tc>
        <w:tc>
          <w:tcPr>
            <w:tcW w:w="7320" w:type="dxa"/>
            <w:tcBorders>
              <w:top w:val="single" w:color="auto" w:sz="4" w:space="0"/>
              <w:left w:val="nil"/>
              <w:bottom w:val="single" w:color="auto" w:sz="4" w:space="0"/>
              <w:right w:val="nil"/>
            </w:tcBorders>
            <w:noWrap w:val="0"/>
            <w:vAlign w:val="center"/>
          </w:tcPr>
          <w:p w14:paraId="2CF8FD3A">
            <w:pPr>
              <w:spacing w:line="520" w:lineRule="exact"/>
              <w:ind w:right="-420" w:rightChars="-200"/>
              <w:jc w:val="both"/>
              <w:rPr>
                <w:rFonts w:hint="default" w:ascii="宋体" w:hAnsi="宋体" w:eastAsia="宋体"/>
                <w:bCs/>
                <w:color w:val="auto"/>
                <w:sz w:val="32"/>
                <w:szCs w:val="32"/>
                <w:highlight w:val="none"/>
                <w:lang w:val="en-US" w:eastAsia="zh-CN"/>
              </w:rPr>
            </w:pPr>
            <w:r>
              <w:rPr>
                <w:rFonts w:hint="eastAsia" w:ascii="宋体" w:hAnsi="宋体"/>
                <w:bCs/>
                <w:color w:val="auto"/>
                <w:sz w:val="32"/>
                <w:szCs w:val="32"/>
                <w:highlight w:val="none"/>
                <w:lang w:val="en-US" w:eastAsia="zh-CN"/>
              </w:rPr>
              <w:t>杭州建设工程造价咨询有限公司</w:t>
            </w:r>
          </w:p>
        </w:tc>
      </w:tr>
    </w:tbl>
    <w:p w14:paraId="7742CB5C">
      <w:pPr>
        <w:ind w:right="-420" w:rightChars="-200"/>
        <w:rPr>
          <w:rFonts w:hint="eastAsia"/>
          <w:bCs/>
          <w:color w:val="auto"/>
          <w:highlight w:val="none"/>
        </w:rPr>
      </w:pPr>
    </w:p>
    <w:p w14:paraId="47E14BFE">
      <w:pPr>
        <w:ind w:right="-420" w:rightChars="-200"/>
        <w:rPr>
          <w:rFonts w:hint="eastAsia"/>
          <w:bCs/>
          <w:color w:val="auto"/>
          <w:highlight w:val="none"/>
        </w:rPr>
      </w:pPr>
    </w:p>
    <w:p w14:paraId="3DFB2190">
      <w:pPr>
        <w:ind w:right="-420" w:rightChars="-200"/>
        <w:rPr>
          <w:rFonts w:hint="eastAsia"/>
          <w:bCs/>
          <w:color w:val="auto"/>
          <w:highlight w:val="none"/>
        </w:rPr>
      </w:pPr>
    </w:p>
    <w:p w14:paraId="3060A1BC">
      <w:pPr>
        <w:ind w:right="-420" w:rightChars="-200"/>
        <w:rPr>
          <w:rFonts w:hint="eastAsia"/>
          <w:bCs/>
          <w:color w:val="auto"/>
          <w:highlight w:val="none"/>
        </w:rPr>
      </w:pPr>
    </w:p>
    <w:p w14:paraId="54CD9132">
      <w:pPr>
        <w:ind w:right="-420" w:rightChars="-200"/>
        <w:rPr>
          <w:rFonts w:hint="eastAsia"/>
          <w:bCs/>
          <w:color w:val="auto"/>
          <w:highlight w:val="none"/>
        </w:rPr>
      </w:pPr>
    </w:p>
    <w:p w14:paraId="3319FF56">
      <w:pPr>
        <w:ind w:right="-420" w:rightChars="-200"/>
        <w:rPr>
          <w:rFonts w:hint="eastAsia"/>
          <w:bCs/>
          <w:color w:val="auto"/>
          <w:highlight w:val="none"/>
        </w:rPr>
      </w:pPr>
    </w:p>
    <w:bookmarkEnd w:id="0"/>
    <w:p w14:paraId="51CBF16F">
      <w:pPr>
        <w:snapToGrid w:val="0"/>
        <w:spacing w:line="360" w:lineRule="auto"/>
        <w:jc w:val="center"/>
        <w:rPr>
          <w:rFonts w:cs="仿宋_GB2312" w:asciiTheme="minorEastAsia" w:hAnsiTheme="minorEastAsia" w:eastAsiaTheme="minorEastAsia"/>
          <w:bCs/>
          <w:color w:val="auto"/>
          <w:sz w:val="32"/>
          <w:szCs w:val="32"/>
          <w:highlight w:val="none"/>
        </w:rPr>
      </w:pPr>
    </w:p>
    <w:p w14:paraId="510FE86C">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二</w:t>
      </w:r>
      <w:r>
        <w:rPr>
          <w:rFonts w:hint="eastAsia" w:cs="仿宋_GB2312" w:asciiTheme="minorEastAsia" w:hAnsiTheme="minorEastAsia" w:eastAsiaTheme="minorEastAsia"/>
          <w:bCs/>
          <w:color w:val="auto"/>
          <w:sz w:val="32"/>
          <w:szCs w:val="32"/>
          <w:highlight w:val="none"/>
        </w:rPr>
        <w:t>月</w:t>
      </w:r>
    </w:p>
    <w:p w14:paraId="4B40A7CD">
      <w:pPr>
        <w:rPr>
          <w:rFonts w:cs="仿宋_GB2312" w:asciiTheme="minorEastAsia" w:hAnsiTheme="minorEastAsia" w:eastAsiaTheme="minorEastAsia"/>
          <w:color w:val="auto"/>
          <w:sz w:val="24"/>
          <w:highlight w:val="none"/>
        </w:rPr>
        <w:sectPr>
          <w:pgSz w:w="11906" w:h="16838"/>
          <w:pgMar w:top="1417" w:right="1474" w:bottom="1247" w:left="1474" w:header="851" w:footer="850" w:gutter="0"/>
          <w:pgNumType w:fmt="decimal"/>
          <w:cols w:space="720" w:num="1"/>
          <w:docGrid w:linePitch="312" w:charSpace="0"/>
        </w:sectPr>
      </w:pPr>
    </w:p>
    <w:p w14:paraId="6FB0CF5F">
      <w:pPr>
        <w:rPr>
          <w:color w:val="auto"/>
          <w:highlight w:val="none"/>
        </w:rPr>
      </w:pPr>
    </w:p>
    <w:p w14:paraId="17FE9D1E">
      <w:pPr>
        <w:pStyle w:val="32"/>
        <w:spacing w:before="120" w:after="120" w:line="360" w:lineRule="auto"/>
        <w:jc w:val="center"/>
        <w:rPr>
          <w:rFonts w:hint="eastAsia" w:ascii="创艺简标宋" w:hAnsi="宋体" w:eastAsia="创艺简标宋"/>
          <w:color w:val="auto"/>
          <w:sz w:val="44"/>
          <w:szCs w:val="44"/>
          <w:highlight w:val="none"/>
          <w:lang w:val="zh-CN"/>
        </w:rPr>
      </w:pPr>
    </w:p>
    <w:p w14:paraId="66A99EE6">
      <w:pPr>
        <w:pStyle w:val="32"/>
        <w:spacing w:before="120" w:after="120" w:line="360" w:lineRule="auto"/>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lang w:val="zh-CN"/>
        </w:rPr>
        <w:t>目  录</w:t>
      </w:r>
    </w:p>
    <w:p w14:paraId="42C7DBDF">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color w:val="auto"/>
          <w:sz w:val="40"/>
          <w:szCs w:val="36"/>
          <w:highlight w:val="none"/>
        </w:rPr>
      </w:pPr>
      <w:r>
        <w:rPr>
          <w:rFonts w:hint="eastAsia" w:ascii="宋体" w:hAnsi="宋体"/>
          <w:color w:val="auto"/>
          <w:sz w:val="30"/>
          <w:highlight w:val="none"/>
        </w:rPr>
        <w:fldChar w:fldCharType="begin"/>
      </w:r>
      <w:r>
        <w:rPr>
          <w:rFonts w:hint="eastAsia" w:ascii="宋体" w:hAnsi="宋体"/>
          <w:color w:val="auto"/>
          <w:sz w:val="30"/>
          <w:highlight w:val="none"/>
        </w:rPr>
        <w:instrText xml:space="preserve"> TOC \o "1-3" \h \z \u </w:instrText>
      </w:r>
      <w:r>
        <w:rPr>
          <w:rFonts w:hint="eastAsia" w:ascii="宋体" w:hAnsi="宋体"/>
          <w:color w:val="auto"/>
          <w:sz w:val="30"/>
          <w:highlight w:val="none"/>
        </w:rPr>
        <w:fldChar w:fldCharType="separate"/>
      </w:r>
    </w:p>
    <w:p w14:paraId="31412EA1">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TOC \o "1-1" \h \u </w:instrText>
      </w:r>
      <w:r>
        <w:rPr>
          <w:rFonts w:hint="eastAsia"/>
          <w:color w:val="auto"/>
          <w:sz w:val="28"/>
          <w:szCs w:val="28"/>
          <w:highlight w:val="none"/>
        </w:rPr>
        <w:fldChar w:fldCharType="separate"/>
      </w:r>
      <w:r>
        <w:rPr>
          <w:rFonts w:hint="eastAsia"/>
          <w:color w:val="auto"/>
          <w:sz w:val="28"/>
          <w:szCs w:val="28"/>
          <w:highlight w:val="none"/>
        </w:rPr>
        <w:fldChar w:fldCharType="begin"/>
      </w:r>
      <w:r>
        <w:rPr>
          <w:rFonts w:hint="eastAsia"/>
          <w:color w:val="auto"/>
          <w:sz w:val="28"/>
          <w:szCs w:val="28"/>
          <w:highlight w:val="none"/>
        </w:rPr>
        <w:instrText xml:space="preserve"> HYPERLINK \l _Toc10579 </w:instrText>
      </w:r>
      <w:r>
        <w:rPr>
          <w:rFonts w:hint="eastAsia"/>
          <w:color w:val="auto"/>
          <w:sz w:val="28"/>
          <w:szCs w:val="28"/>
          <w:highlight w:val="none"/>
        </w:rPr>
        <w:fldChar w:fldCharType="separate"/>
      </w:r>
      <w:r>
        <w:rPr>
          <w:rFonts w:hint="eastAsia"/>
          <w:color w:val="auto"/>
          <w:sz w:val="28"/>
          <w:szCs w:val="28"/>
          <w:highlight w:val="none"/>
        </w:rPr>
        <w:t>第一部分</w:t>
      </w:r>
      <w:r>
        <w:rPr>
          <w:color w:val="auto"/>
          <w:sz w:val="28"/>
          <w:szCs w:val="28"/>
          <w:highlight w:val="none"/>
        </w:rPr>
        <w:t xml:space="preserve">  </w:t>
      </w:r>
      <w:r>
        <w:rPr>
          <w:rFonts w:hint="eastAsia"/>
          <w:color w:val="auto"/>
          <w:sz w:val="28"/>
          <w:szCs w:val="28"/>
          <w:highlight w:val="none"/>
          <w:lang w:val="en-US" w:eastAsia="zh-CN"/>
        </w:rPr>
        <w:t>竞争性磋商</w:t>
      </w:r>
      <w:r>
        <w:rPr>
          <w:rFonts w:hint="eastAsia"/>
          <w:color w:val="auto"/>
          <w:sz w:val="28"/>
          <w:szCs w:val="28"/>
          <w:highlight w:val="none"/>
        </w:rPr>
        <w:t>公告</w:t>
      </w:r>
      <w:r>
        <w:rPr>
          <w:rFonts w:hint="eastAsia"/>
          <w:color w:val="auto"/>
          <w:sz w:val="28"/>
          <w:szCs w:val="28"/>
          <w:highlight w:val="none"/>
        </w:rPr>
        <w:fldChar w:fldCharType="end"/>
      </w:r>
    </w:p>
    <w:p w14:paraId="3152243E">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_Toc31399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二</w:t>
      </w:r>
      <w:r>
        <w:rPr>
          <w:rFonts w:hint="eastAsia"/>
          <w:color w:val="auto"/>
          <w:sz w:val="28"/>
          <w:szCs w:val="28"/>
          <w:highlight w:val="none"/>
        </w:rPr>
        <w:t xml:space="preserve">部分 </w:t>
      </w:r>
      <w:r>
        <w:rPr>
          <w:rFonts w:hint="eastAsia"/>
          <w:color w:val="auto"/>
          <w:sz w:val="28"/>
          <w:szCs w:val="28"/>
          <w:highlight w:val="none"/>
          <w:lang w:val="en-US" w:eastAsia="zh-CN"/>
        </w:rPr>
        <w:t xml:space="preserve"> </w:t>
      </w:r>
      <w:r>
        <w:rPr>
          <w:rFonts w:hint="eastAsia"/>
          <w:color w:val="auto"/>
          <w:sz w:val="28"/>
          <w:szCs w:val="28"/>
          <w:highlight w:val="none"/>
        </w:rPr>
        <w:fldChar w:fldCharType="end"/>
      </w:r>
      <w:r>
        <w:rPr>
          <w:rFonts w:hint="eastAsia"/>
          <w:color w:val="auto"/>
          <w:sz w:val="28"/>
          <w:szCs w:val="28"/>
          <w:highlight w:val="none"/>
        </w:rPr>
        <w:t>竞争性磋商须知</w:t>
      </w:r>
    </w:p>
    <w:p w14:paraId="25D718C5">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_Toc17126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三</w:t>
      </w:r>
      <w:r>
        <w:rPr>
          <w:rFonts w:hint="eastAsia"/>
          <w:color w:val="auto"/>
          <w:sz w:val="28"/>
          <w:szCs w:val="28"/>
          <w:highlight w:val="none"/>
        </w:rPr>
        <w:t>部分</w:t>
      </w:r>
      <w:r>
        <w:rPr>
          <w:color w:val="auto"/>
          <w:sz w:val="28"/>
          <w:szCs w:val="28"/>
          <w:highlight w:val="none"/>
        </w:rPr>
        <w:t xml:space="preserve"> </w:t>
      </w:r>
      <w:r>
        <w:rPr>
          <w:rFonts w:hint="eastAsia"/>
          <w:color w:val="auto"/>
          <w:sz w:val="28"/>
          <w:szCs w:val="28"/>
          <w:highlight w:val="none"/>
        </w:rPr>
        <w:t xml:space="preserve"> </w:t>
      </w:r>
      <w:r>
        <w:rPr>
          <w:rFonts w:hint="eastAsia"/>
          <w:color w:val="auto"/>
          <w:sz w:val="28"/>
          <w:szCs w:val="28"/>
          <w:highlight w:val="none"/>
        </w:rPr>
        <w:fldChar w:fldCharType="end"/>
      </w:r>
      <w:r>
        <w:rPr>
          <w:rFonts w:hint="eastAsia"/>
          <w:color w:val="auto"/>
          <w:sz w:val="28"/>
          <w:szCs w:val="28"/>
          <w:highlight w:val="none"/>
          <w:lang w:val="en-US" w:eastAsia="zh-CN"/>
        </w:rPr>
        <w:t>采购</w:t>
      </w:r>
      <w:r>
        <w:rPr>
          <w:rFonts w:hint="eastAsia"/>
          <w:color w:val="auto"/>
          <w:sz w:val="28"/>
          <w:szCs w:val="28"/>
          <w:highlight w:val="none"/>
        </w:rPr>
        <w:t>需求</w:t>
      </w:r>
    </w:p>
    <w:p w14:paraId="5B9DB1DA">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auto"/>
          <w:sz w:val="28"/>
          <w:szCs w:val="28"/>
          <w:highlight w:val="none"/>
          <w:lang w:val="en-US" w:eastAsia="zh-CN"/>
        </w:rPr>
      </w:pPr>
      <w:r>
        <w:rPr>
          <w:rFonts w:hint="eastAsia"/>
          <w:color w:val="auto"/>
          <w:sz w:val="28"/>
          <w:szCs w:val="28"/>
          <w:highlight w:val="none"/>
        </w:rPr>
        <w:fldChar w:fldCharType="begin"/>
      </w:r>
      <w:r>
        <w:rPr>
          <w:rFonts w:hint="eastAsia"/>
          <w:color w:val="auto"/>
          <w:sz w:val="28"/>
          <w:szCs w:val="28"/>
          <w:highlight w:val="none"/>
        </w:rPr>
        <w:instrText xml:space="preserve"> HYPERLINK \l _Toc228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 xml:space="preserve">部分  </w:t>
      </w:r>
      <w:r>
        <w:rPr>
          <w:rFonts w:hint="eastAsia"/>
          <w:color w:val="auto"/>
          <w:sz w:val="28"/>
          <w:szCs w:val="28"/>
          <w:highlight w:val="none"/>
          <w:lang w:val="en-US" w:eastAsia="zh-CN"/>
        </w:rPr>
        <w:t>评审</w:t>
      </w:r>
      <w:r>
        <w:rPr>
          <w:rFonts w:hint="eastAsia"/>
          <w:color w:val="auto"/>
          <w:sz w:val="28"/>
          <w:szCs w:val="28"/>
          <w:highlight w:val="none"/>
        </w:rPr>
        <w:fldChar w:fldCharType="end"/>
      </w:r>
      <w:r>
        <w:rPr>
          <w:rFonts w:hint="eastAsia"/>
          <w:color w:val="auto"/>
          <w:sz w:val="28"/>
          <w:szCs w:val="28"/>
          <w:highlight w:val="none"/>
          <w:lang w:val="en-US" w:eastAsia="zh-CN"/>
        </w:rPr>
        <w:t>方法及评审标准</w:t>
      </w:r>
    </w:p>
    <w:p w14:paraId="07AFA875">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_Toc24679 </w:instrText>
      </w:r>
      <w:r>
        <w:rPr>
          <w:rFonts w:hint="eastAsia"/>
          <w:color w:val="auto"/>
          <w:sz w:val="28"/>
          <w:szCs w:val="28"/>
          <w:highlight w:val="none"/>
        </w:rPr>
        <w:fldChar w:fldCharType="separate"/>
      </w:r>
      <w:r>
        <w:rPr>
          <w:rFonts w:hint="eastAsia"/>
          <w:color w:val="auto"/>
          <w:sz w:val="28"/>
          <w:szCs w:val="28"/>
          <w:highlight w:val="none"/>
        </w:rPr>
        <w:t xml:space="preserve">第五部分  </w:t>
      </w:r>
      <w:r>
        <w:rPr>
          <w:rFonts w:hint="eastAsia"/>
          <w:color w:val="auto"/>
          <w:sz w:val="28"/>
          <w:szCs w:val="28"/>
          <w:highlight w:val="none"/>
          <w:lang w:val="en-US" w:eastAsia="zh-CN"/>
        </w:rPr>
        <w:t>拟签订的</w:t>
      </w:r>
      <w:r>
        <w:rPr>
          <w:rFonts w:hint="eastAsia"/>
          <w:color w:val="auto"/>
          <w:sz w:val="28"/>
          <w:szCs w:val="28"/>
          <w:highlight w:val="none"/>
        </w:rPr>
        <w:t>合同</w:t>
      </w:r>
      <w:r>
        <w:rPr>
          <w:rFonts w:hint="eastAsia"/>
          <w:color w:val="auto"/>
          <w:sz w:val="28"/>
          <w:szCs w:val="28"/>
          <w:highlight w:val="none"/>
          <w:lang w:val="en-US" w:eastAsia="zh-CN"/>
        </w:rPr>
        <w:t>文本</w:t>
      </w:r>
      <w:r>
        <w:rPr>
          <w:rFonts w:hint="eastAsia"/>
          <w:color w:val="auto"/>
          <w:sz w:val="28"/>
          <w:szCs w:val="28"/>
          <w:highlight w:val="none"/>
        </w:rPr>
        <w:fldChar w:fldCharType="end"/>
      </w:r>
    </w:p>
    <w:p w14:paraId="42E6F72B">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_Toc22255 </w:instrText>
      </w:r>
      <w:r>
        <w:rPr>
          <w:rFonts w:hint="eastAsia"/>
          <w:color w:val="auto"/>
          <w:sz w:val="28"/>
          <w:szCs w:val="28"/>
          <w:highlight w:val="none"/>
        </w:rPr>
        <w:fldChar w:fldCharType="separate"/>
      </w:r>
      <w:r>
        <w:rPr>
          <w:rFonts w:hint="eastAsia"/>
          <w:color w:val="auto"/>
          <w:sz w:val="28"/>
          <w:szCs w:val="28"/>
          <w:highlight w:val="none"/>
        </w:rPr>
        <w:t xml:space="preserve">第六部分 </w:t>
      </w:r>
      <w:r>
        <w:rPr>
          <w:rFonts w:hint="eastAsia"/>
          <w:color w:val="auto"/>
          <w:sz w:val="28"/>
          <w:szCs w:val="28"/>
          <w:highlight w:val="none"/>
          <w:lang w:val="en-US" w:eastAsia="zh-CN"/>
        </w:rPr>
        <w:t xml:space="preserve"> </w:t>
      </w:r>
      <w:r>
        <w:rPr>
          <w:rFonts w:hint="eastAsia"/>
          <w:color w:val="auto"/>
          <w:sz w:val="28"/>
          <w:szCs w:val="28"/>
          <w:highlight w:val="none"/>
        </w:rPr>
        <w:t>应提交的有关格式范例</w:t>
      </w:r>
      <w:r>
        <w:rPr>
          <w:rFonts w:hint="eastAsia"/>
          <w:color w:val="auto"/>
          <w:sz w:val="28"/>
          <w:szCs w:val="28"/>
          <w:highlight w:val="none"/>
        </w:rPr>
        <w:fldChar w:fldCharType="end"/>
      </w:r>
    </w:p>
    <w:p w14:paraId="14760E95">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auto"/>
          <w:sz w:val="28"/>
          <w:szCs w:val="28"/>
          <w:highlight w:val="none"/>
          <w:lang w:val="en-US" w:eastAsia="zh-CN"/>
        </w:rPr>
      </w:pPr>
      <w:r>
        <w:rPr>
          <w:rFonts w:hint="eastAsia"/>
          <w:color w:val="auto"/>
          <w:sz w:val="28"/>
          <w:szCs w:val="28"/>
          <w:highlight w:val="none"/>
          <w:lang w:val="en-US" w:eastAsia="zh-CN"/>
        </w:rPr>
        <w:t>附件： 工程量清单</w:t>
      </w:r>
    </w:p>
    <w:p w14:paraId="7C0F2D53">
      <w:pPr>
        <w:spacing w:before="120" w:beforeLines="50" w:line="360" w:lineRule="auto"/>
        <w:ind w:left="1440"/>
        <w:rPr>
          <w:rFonts w:ascii="宋体" w:hAnsi="宋体"/>
          <w:color w:val="auto"/>
          <w:sz w:val="30"/>
          <w:highlight w:val="none"/>
          <w:lang w:val="zh-CN"/>
        </w:rPr>
      </w:pPr>
      <w:r>
        <w:rPr>
          <w:rFonts w:hint="eastAsia"/>
          <w:color w:val="auto"/>
          <w:sz w:val="28"/>
          <w:szCs w:val="28"/>
          <w:highlight w:val="none"/>
        </w:rPr>
        <w:fldChar w:fldCharType="end"/>
      </w:r>
    </w:p>
    <w:p w14:paraId="27877D73">
      <w:pPr>
        <w:spacing w:line="360" w:lineRule="auto"/>
        <w:rPr>
          <w:rFonts w:cs="仿宋_GB2312" w:asciiTheme="minorEastAsia" w:hAnsiTheme="minorEastAsia" w:eastAsiaTheme="minorEastAsia"/>
          <w:color w:val="auto"/>
          <w:sz w:val="32"/>
          <w:szCs w:val="32"/>
          <w:highlight w:val="none"/>
        </w:rPr>
      </w:pPr>
      <w:r>
        <w:rPr>
          <w:rFonts w:hint="eastAsia" w:ascii="宋体" w:hAnsi="宋体"/>
          <w:color w:val="auto"/>
          <w:sz w:val="30"/>
          <w:highlight w:val="none"/>
        </w:rPr>
        <w:fldChar w:fldCharType="end"/>
      </w:r>
    </w:p>
    <w:p w14:paraId="5B50C025">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73B26710">
      <w:pPr>
        <w:spacing w:line="360" w:lineRule="auto"/>
        <w:ind w:firstLine="549" w:firstLineChars="229"/>
        <w:rPr>
          <w:rFonts w:cs="仿宋_GB2312" w:asciiTheme="minorEastAsia" w:hAnsiTheme="minorEastAsia" w:eastAsiaTheme="minorEastAsia"/>
          <w:color w:val="auto"/>
          <w:sz w:val="24"/>
          <w:highlight w:val="none"/>
        </w:rPr>
      </w:pPr>
    </w:p>
    <w:p w14:paraId="509C2AEE">
      <w:pPr>
        <w:spacing w:line="360" w:lineRule="auto"/>
        <w:ind w:firstLine="549" w:firstLineChars="229"/>
        <w:rPr>
          <w:rFonts w:cs="仿宋_GB2312" w:asciiTheme="minorEastAsia" w:hAnsiTheme="minorEastAsia" w:eastAsiaTheme="minorEastAsia"/>
          <w:color w:val="auto"/>
          <w:sz w:val="24"/>
          <w:highlight w:val="none"/>
        </w:rPr>
      </w:pPr>
    </w:p>
    <w:p w14:paraId="768E4F18">
      <w:pPr>
        <w:spacing w:line="360" w:lineRule="auto"/>
        <w:ind w:firstLine="549" w:firstLineChars="229"/>
        <w:rPr>
          <w:rFonts w:cs="仿宋_GB2312" w:asciiTheme="minorEastAsia" w:hAnsiTheme="minorEastAsia" w:eastAsiaTheme="minorEastAsia"/>
          <w:color w:val="auto"/>
          <w:sz w:val="24"/>
          <w:highlight w:val="none"/>
        </w:rPr>
      </w:pPr>
    </w:p>
    <w:p w14:paraId="48C4A95D">
      <w:pPr>
        <w:spacing w:line="360" w:lineRule="auto"/>
        <w:ind w:firstLine="549" w:firstLineChars="229"/>
        <w:rPr>
          <w:rFonts w:cs="仿宋_GB2312" w:asciiTheme="minorEastAsia" w:hAnsiTheme="minorEastAsia" w:eastAsiaTheme="minorEastAsia"/>
          <w:color w:val="auto"/>
          <w:sz w:val="24"/>
          <w:highlight w:val="none"/>
        </w:rPr>
      </w:pPr>
    </w:p>
    <w:p w14:paraId="29070ECA">
      <w:pPr>
        <w:spacing w:line="360" w:lineRule="auto"/>
        <w:rPr>
          <w:rFonts w:cs="仿宋_GB2312" w:asciiTheme="minorEastAsia" w:hAnsiTheme="minorEastAsia" w:eastAsiaTheme="minorEastAsia"/>
          <w:color w:val="auto"/>
          <w:sz w:val="24"/>
          <w:highlight w:val="none"/>
        </w:rPr>
      </w:pPr>
    </w:p>
    <w:bookmarkEnd w:id="2"/>
    <w:p w14:paraId="0978C1D6">
      <w:pPr>
        <w:adjustRightInd/>
        <w:spacing w:line="360" w:lineRule="auto"/>
        <w:ind w:firstLine="2891" w:firstLineChars="800"/>
        <w:outlineLvl w:val="0"/>
        <w:rPr>
          <w:rFonts w:hint="eastAsia" w:cs="仿宋_GB2312" w:asciiTheme="minorEastAsia" w:hAnsiTheme="minorEastAsia" w:eastAsiaTheme="minorEastAsia"/>
          <w:b/>
          <w:color w:val="auto"/>
          <w:sz w:val="36"/>
          <w:szCs w:val="20"/>
          <w:highlight w:val="none"/>
        </w:rPr>
        <w:sectPr>
          <w:headerReference r:id="rId3" w:type="default"/>
          <w:footerReference r:id="rId4" w:type="default"/>
          <w:pgSz w:w="11906" w:h="16838"/>
          <w:pgMar w:top="1440" w:right="1440" w:bottom="1440" w:left="1440" w:header="851" w:footer="992" w:gutter="0"/>
          <w:cols w:space="720" w:num="1"/>
          <w:titlePg/>
          <w:docGrid w:linePitch="312" w:charSpace="0"/>
        </w:sectPr>
      </w:pPr>
      <w:bookmarkStart w:id="3" w:name="_Hlt74728647"/>
      <w:bookmarkEnd w:id="3"/>
      <w:bookmarkStart w:id="4" w:name="_Hlt74707423"/>
      <w:bookmarkEnd w:id="4"/>
      <w:bookmarkStart w:id="5" w:name="_Hlt74729822"/>
      <w:bookmarkEnd w:id="5"/>
      <w:bookmarkStart w:id="6" w:name="_Hlt74649545"/>
      <w:bookmarkEnd w:id="6"/>
      <w:bookmarkStart w:id="7" w:name="_Toc354"/>
      <w:bookmarkStart w:id="8" w:name="第二部分"/>
      <w:bookmarkStart w:id="9" w:name="_Toc91899871"/>
      <w:bookmarkStart w:id="10" w:name="_Toc91899870"/>
    </w:p>
    <w:p w14:paraId="7737AC8A">
      <w:pPr>
        <w:adjustRightInd/>
        <w:spacing w:line="360" w:lineRule="auto"/>
        <w:ind w:firstLine="2891" w:firstLineChars="800"/>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 xml:space="preserve">第一部分 </w:t>
      </w:r>
      <w:bookmarkEnd w:id="7"/>
      <w:r>
        <w:rPr>
          <w:rFonts w:hint="eastAsia" w:cs="仿宋_GB2312" w:asciiTheme="minorEastAsia" w:hAnsiTheme="minorEastAsia" w:eastAsiaTheme="minorEastAsia"/>
          <w:b/>
          <w:color w:val="auto"/>
          <w:sz w:val="36"/>
          <w:szCs w:val="20"/>
          <w:highlight w:val="none"/>
        </w:rPr>
        <w:t>竞争性磋商公告</w:t>
      </w:r>
    </w:p>
    <w:p w14:paraId="5C1EEF74">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项目概况</w:t>
      </w:r>
    </w:p>
    <w:p w14:paraId="73B14B91">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bCs/>
          <w:color w:val="auto"/>
          <w:sz w:val="21"/>
          <w:szCs w:val="21"/>
          <w:highlight w:val="none"/>
          <w:u w:val="none"/>
          <w:lang w:val="en-US" w:eastAsia="zh-CN"/>
        </w:rPr>
        <w:t>（</w:t>
      </w:r>
      <w:r>
        <w:rPr>
          <w:rFonts w:hint="eastAsia" w:asciiTheme="minorEastAsia" w:hAnsiTheme="minorEastAsia" w:eastAsiaTheme="minorEastAsia"/>
          <w:bCs/>
          <w:color w:val="auto"/>
          <w:sz w:val="21"/>
          <w:szCs w:val="21"/>
          <w:highlight w:val="none"/>
          <w:u w:val="single"/>
          <w:lang w:val="en-US" w:eastAsia="zh-CN"/>
        </w:rPr>
        <w:t>2025年宁海县普通国省道大桥隐患治理工程</w:t>
      </w:r>
      <w:r>
        <w:rPr>
          <w:rFonts w:hint="eastAsia" w:asciiTheme="minorEastAsia" w:hAnsiTheme="minorEastAsia" w:eastAsiaTheme="minorEastAsia"/>
          <w:color w:val="auto"/>
          <w:sz w:val="21"/>
          <w:szCs w:val="21"/>
          <w:highlight w:val="none"/>
          <w:u w:val="none"/>
        </w:rPr>
        <w:t>）</w:t>
      </w:r>
      <w:r>
        <w:rPr>
          <w:rFonts w:hint="eastAsia" w:asciiTheme="minorEastAsia" w:hAnsiTheme="minorEastAsia" w:eastAsiaTheme="minorEastAsia"/>
          <w:color w:val="auto"/>
          <w:sz w:val="21"/>
          <w:szCs w:val="21"/>
          <w:highlight w:val="none"/>
        </w:rPr>
        <w:t>采购项目的潜在供应商应在</w:t>
      </w:r>
      <w:r>
        <w:rPr>
          <w:rFonts w:hint="eastAsia" w:cs="仿宋_GB2312" w:asciiTheme="minorEastAsia" w:hAnsiTheme="minorEastAsia" w:eastAsiaTheme="minorEastAsia"/>
          <w:color w:val="auto"/>
          <w:sz w:val="21"/>
          <w:szCs w:val="21"/>
          <w:highlight w:val="none"/>
          <w:u w:val="single"/>
        </w:rPr>
        <w:t>政采云平台（</w:t>
      </w:r>
      <w:r>
        <w:rPr>
          <w:color w:val="auto"/>
          <w:sz w:val="21"/>
          <w:szCs w:val="21"/>
          <w:highlight w:val="none"/>
        </w:rPr>
        <w:fldChar w:fldCharType="begin"/>
      </w:r>
      <w:r>
        <w:rPr>
          <w:color w:val="auto"/>
          <w:sz w:val="21"/>
          <w:szCs w:val="21"/>
          <w:highlight w:val="none"/>
        </w:rPr>
        <w:instrText xml:space="preserve"> HYPERLINK "https://www.zcygov.cn/" </w:instrText>
      </w:r>
      <w:r>
        <w:rPr>
          <w:color w:val="auto"/>
          <w:sz w:val="21"/>
          <w:szCs w:val="21"/>
          <w:highlight w:val="none"/>
        </w:rPr>
        <w:fldChar w:fldCharType="separate"/>
      </w:r>
      <w:r>
        <w:rPr>
          <w:rStyle w:val="69"/>
          <w:rFonts w:hint="eastAsia" w:cs="仿宋_GB2312" w:asciiTheme="minorEastAsia" w:hAnsiTheme="minorEastAsia" w:eastAsiaTheme="minorEastAsia"/>
          <w:color w:val="auto"/>
          <w:sz w:val="21"/>
          <w:szCs w:val="21"/>
          <w:highlight w:val="none"/>
          <w:u w:val="single"/>
        </w:rPr>
        <w:t>https://www.zcygov.cn/</w:t>
      </w:r>
      <w:r>
        <w:rPr>
          <w:rStyle w:val="69"/>
          <w:rFonts w:hint="eastAsia" w:cs="仿宋_GB2312" w:asciiTheme="minorEastAsia" w:hAnsiTheme="minorEastAsia" w:eastAsiaTheme="minorEastAsia"/>
          <w:color w:val="auto"/>
          <w:sz w:val="21"/>
          <w:szCs w:val="21"/>
          <w:highlight w:val="none"/>
          <w:u w:val="single"/>
        </w:rPr>
        <w:fldChar w:fldCharType="end"/>
      </w:r>
      <w:r>
        <w:rPr>
          <w:rFonts w:hint="eastAsia" w:cs="仿宋_GB2312" w:asciiTheme="minorEastAsia" w:hAnsiTheme="minorEastAsia" w:eastAsiaTheme="minorEastAsia"/>
          <w:color w:val="auto"/>
          <w:sz w:val="21"/>
          <w:szCs w:val="21"/>
          <w:highlight w:val="none"/>
          <w:u w:val="single"/>
        </w:rPr>
        <w:t>）</w:t>
      </w:r>
      <w:r>
        <w:rPr>
          <w:rFonts w:hint="eastAsia" w:cs="仿宋_GB2312" w:asciiTheme="minorEastAsia" w:hAnsiTheme="minorEastAsia" w:eastAsiaTheme="minorEastAsia"/>
          <w:color w:val="auto"/>
          <w:sz w:val="21"/>
          <w:szCs w:val="21"/>
          <w:highlight w:val="none"/>
          <w:u w:val="none"/>
          <w:lang w:val="en-US" w:eastAsia="zh-CN"/>
        </w:rPr>
        <w:t>线上</w:t>
      </w:r>
      <w:r>
        <w:rPr>
          <w:rFonts w:hint="eastAsia" w:asciiTheme="minorEastAsia" w:hAnsiTheme="minorEastAsia" w:eastAsiaTheme="minorEastAsia"/>
          <w:color w:val="auto"/>
          <w:sz w:val="21"/>
          <w:szCs w:val="21"/>
          <w:highlight w:val="none"/>
        </w:rPr>
        <w:t>获取</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下载</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采购文件，并于</w:t>
      </w:r>
      <w:r>
        <w:rPr>
          <w:rFonts w:hint="eastAsia" w:asciiTheme="minorEastAsia" w:hAnsiTheme="minorEastAsia" w:eastAsiaTheme="minorEastAsia"/>
          <w:color w:val="auto"/>
          <w:sz w:val="21"/>
          <w:szCs w:val="21"/>
          <w:highlight w:val="none"/>
          <w:u w:val="single"/>
        </w:rPr>
        <w:t>202</w:t>
      </w:r>
      <w:r>
        <w:rPr>
          <w:rFonts w:hint="eastAsia" w:asciiTheme="minorEastAsia" w:hAnsiTheme="minorEastAsia" w:eastAsiaTheme="minorEastAsia"/>
          <w:color w:val="auto"/>
          <w:sz w:val="21"/>
          <w:szCs w:val="21"/>
          <w:highlight w:val="none"/>
          <w:u w:val="single"/>
          <w:lang w:val="en-US" w:eastAsia="zh-CN"/>
        </w:rPr>
        <w:t>5</w:t>
      </w:r>
      <w:r>
        <w:rPr>
          <w:rFonts w:hint="eastAsia" w:asciiTheme="minorEastAsia" w:hAnsiTheme="minorEastAsia" w:eastAsiaTheme="minorEastAsia"/>
          <w:bCs/>
          <w:color w:val="auto"/>
          <w:sz w:val="21"/>
          <w:szCs w:val="21"/>
          <w:highlight w:val="none"/>
          <w:u w:val="single"/>
        </w:rPr>
        <w:t>年</w:t>
      </w:r>
      <w:r>
        <w:rPr>
          <w:rFonts w:hint="eastAsia" w:asciiTheme="minorEastAsia" w:hAnsiTheme="minorEastAsia" w:eastAsiaTheme="minorEastAsia"/>
          <w:bCs/>
          <w:color w:val="auto"/>
          <w:sz w:val="21"/>
          <w:szCs w:val="21"/>
          <w:highlight w:val="none"/>
          <w:u w:val="single"/>
          <w:lang w:val="en-US" w:eastAsia="zh-CN"/>
        </w:rPr>
        <w:t>2</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21</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13</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00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（北京时间）前提交</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lang w:val="en-US" w:eastAsia="zh-CN"/>
        </w:rPr>
        <w:t>上传</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lang w:val="en-US" w:eastAsia="zh-CN"/>
        </w:rPr>
        <w:t>响应</w:t>
      </w:r>
      <w:r>
        <w:rPr>
          <w:rFonts w:hint="eastAsia" w:asciiTheme="minorEastAsia" w:hAnsiTheme="minorEastAsia" w:eastAsiaTheme="minorEastAsia"/>
          <w:bCs/>
          <w:color w:val="auto"/>
          <w:sz w:val="21"/>
          <w:szCs w:val="21"/>
          <w:highlight w:val="none"/>
        </w:rPr>
        <w:t>文件</w:t>
      </w:r>
      <w:r>
        <w:rPr>
          <w:rFonts w:hint="eastAsia" w:asciiTheme="minorEastAsia" w:hAnsiTheme="minorEastAsia" w:eastAsiaTheme="minorEastAsia"/>
          <w:color w:val="auto"/>
          <w:sz w:val="21"/>
          <w:szCs w:val="21"/>
          <w:highlight w:val="none"/>
        </w:rPr>
        <w:t>。</w:t>
      </w:r>
    </w:p>
    <w:p w14:paraId="4A2E475C">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1" w:name="_Toc28359012"/>
      <w:bookmarkStart w:id="12" w:name="_Toc28359089"/>
      <w:bookmarkStart w:id="13" w:name="_Toc35393629"/>
      <w:bookmarkStart w:id="14" w:name="_Toc35393798"/>
      <w:r>
        <w:rPr>
          <w:rFonts w:hint="eastAsia" w:cs="宋体" w:asciiTheme="minorEastAsia" w:hAnsiTheme="minorEastAsia" w:eastAsiaTheme="minorEastAsia"/>
          <w:color w:val="auto"/>
          <w:sz w:val="21"/>
          <w:szCs w:val="21"/>
          <w:highlight w:val="none"/>
        </w:rPr>
        <w:t>一、项目基本情况</w:t>
      </w:r>
      <w:bookmarkEnd w:id="11"/>
      <w:bookmarkEnd w:id="12"/>
      <w:bookmarkEnd w:id="13"/>
      <w:bookmarkEnd w:id="14"/>
    </w:p>
    <w:p w14:paraId="34927FFE">
      <w:pPr>
        <w:spacing w:line="360" w:lineRule="auto"/>
        <w:ind w:firstLine="422"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b/>
          <w:color w:val="auto"/>
          <w:sz w:val="21"/>
          <w:szCs w:val="21"/>
          <w:highlight w:val="none"/>
        </w:rPr>
        <w:t>项目编号：</w:t>
      </w:r>
      <w:r>
        <w:rPr>
          <w:rFonts w:hint="eastAsia" w:asciiTheme="minorEastAsia" w:hAnsiTheme="minorEastAsia" w:eastAsiaTheme="minorEastAsia"/>
          <w:color w:val="auto"/>
          <w:sz w:val="21"/>
          <w:szCs w:val="21"/>
          <w:highlight w:val="none"/>
          <w:lang w:eastAsia="zh-CN"/>
        </w:rPr>
        <w:t>HJNH-2024-063（代）</w:t>
      </w:r>
    </w:p>
    <w:p w14:paraId="62D9C654">
      <w:pPr>
        <w:spacing w:line="360" w:lineRule="auto"/>
        <w:ind w:firstLine="422" w:firstLineChars="200"/>
        <w:rPr>
          <w:rFonts w:hint="eastAsia"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b/>
          <w:color w:val="auto"/>
          <w:sz w:val="21"/>
          <w:szCs w:val="21"/>
          <w:highlight w:val="none"/>
        </w:rPr>
        <w:t>项目名称：</w:t>
      </w:r>
      <w:r>
        <w:rPr>
          <w:rFonts w:hint="eastAsia" w:asciiTheme="minorEastAsia" w:hAnsiTheme="minorEastAsia" w:eastAsiaTheme="minorEastAsia"/>
          <w:color w:val="auto"/>
          <w:sz w:val="21"/>
          <w:szCs w:val="21"/>
          <w:highlight w:val="none"/>
          <w:lang w:eastAsia="zh-CN"/>
        </w:rPr>
        <w:t>2025年宁海县普通国省道大桥隐患治理工程</w:t>
      </w:r>
      <w:r>
        <w:rPr>
          <w:rFonts w:hint="eastAsia" w:asciiTheme="minorEastAsia" w:hAnsiTheme="minorEastAsia" w:eastAsiaTheme="minorEastAsia"/>
          <w:color w:val="auto"/>
          <w:sz w:val="21"/>
          <w:szCs w:val="21"/>
          <w:highlight w:val="none"/>
          <w:lang w:val="en-US" w:eastAsia="zh-CN"/>
        </w:rPr>
        <w:t xml:space="preserve"> </w:t>
      </w:r>
    </w:p>
    <w:p w14:paraId="2DD08DD3">
      <w:pPr>
        <w:spacing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采购方式：</w:t>
      </w:r>
      <w:r>
        <w:rPr>
          <w:rFonts w:hint="eastAsia" w:asciiTheme="minorEastAsia" w:hAnsiTheme="minorEastAsia" w:eastAsiaTheme="minorEastAsia"/>
          <w:color w:val="auto"/>
          <w:sz w:val="21"/>
          <w:szCs w:val="21"/>
          <w:highlight w:val="none"/>
        </w:rPr>
        <w:t>竞争性磋商</w:t>
      </w:r>
    </w:p>
    <w:p w14:paraId="59EBAB32">
      <w:pPr>
        <w:spacing w:line="360" w:lineRule="auto"/>
        <w:ind w:firstLine="422" w:firstLineChars="200"/>
        <w:rPr>
          <w:rFonts w:asciiTheme="minorEastAsia" w:hAnsiTheme="minorEastAsia" w:eastAsiaTheme="minorEastAsia"/>
          <w:b/>
          <w:color w:val="auto"/>
          <w:sz w:val="21"/>
          <w:szCs w:val="21"/>
          <w:highlight w:val="yellow"/>
        </w:rPr>
      </w:pPr>
      <w:r>
        <w:rPr>
          <w:rFonts w:hint="eastAsia" w:asciiTheme="minorEastAsia" w:hAnsiTheme="minorEastAsia" w:eastAsiaTheme="minorEastAsia"/>
          <w:b/>
          <w:color w:val="auto"/>
          <w:sz w:val="21"/>
          <w:szCs w:val="21"/>
          <w:highlight w:val="none"/>
        </w:rPr>
        <w:t>预算金额（元）：</w:t>
      </w:r>
      <w:r>
        <w:rPr>
          <w:rFonts w:hint="eastAsia" w:asciiTheme="minorEastAsia" w:hAnsiTheme="minorEastAsia" w:eastAsiaTheme="minorEastAsia"/>
          <w:b/>
          <w:color w:val="auto"/>
          <w:sz w:val="21"/>
          <w:szCs w:val="21"/>
          <w:highlight w:val="none"/>
          <w:lang w:val="en-US" w:eastAsia="zh-CN"/>
        </w:rPr>
        <w:t>3997319</w:t>
      </w:r>
    </w:p>
    <w:p w14:paraId="6900B451">
      <w:pPr>
        <w:spacing w:line="360" w:lineRule="auto"/>
        <w:ind w:firstLine="422" w:firstLineChars="200"/>
        <w:rPr>
          <w:rFonts w:hint="default" w:ascii="宋体" w:hAnsi="宋体" w:eastAsia="宋体" w:cs="宋体"/>
          <w:color w:val="auto"/>
          <w:szCs w:val="21"/>
          <w:highlight w:val="none"/>
          <w:lang w:val="en-US" w:eastAsia="zh-CN"/>
        </w:rPr>
      </w:pPr>
      <w:r>
        <w:rPr>
          <w:rFonts w:hint="eastAsia" w:asciiTheme="minorEastAsia" w:hAnsiTheme="minorEastAsia" w:eastAsiaTheme="minorEastAsia"/>
          <w:b/>
          <w:color w:val="auto"/>
          <w:sz w:val="21"/>
          <w:szCs w:val="21"/>
          <w:highlight w:val="none"/>
        </w:rPr>
        <w:t>最高限价（元）：</w:t>
      </w:r>
      <w:r>
        <w:rPr>
          <w:rFonts w:hint="eastAsia" w:asciiTheme="minorEastAsia" w:hAnsiTheme="minorEastAsia" w:eastAsiaTheme="minorEastAsia"/>
          <w:b/>
          <w:color w:val="auto"/>
          <w:sz w:val="21"/>
          <w:szCs w:val="21"/>
          <w:highlight w:val="none"/>
          <w:lang w:val="en-US" w:eastAsia="zh-CN"/>
        </w:rPr>
        <w:t>3841693</w:t>
      </w:r>
    </w:p>
    <w:p w14:paraId="21E6704E">
      <w:pPr>
        <w:spacing w:line="360" w:lineRule="auto"/>
        <w:ind w:firstLine="422" w:firstLineChars="200"/>
        <w:rPr>
          <w:rFonts w:hint="eastAsia" w:asciiTheme="minorEastAsia" w:hAnsiTheme="minorEastAsia" w:eastAsiaTheme="minorEastAsia"/>
          <w:bCs/>
          <w:color w:val="auto"/>
          <w:sz w:val="21"/>
          <w:szCs w:val="21"/>
          <w:highlight w:val="none"/>
          <w:lang w:eastAsia="zh-CN"/>
        </w:rPr>
      </w:pPr>
      <w:r>
        <w:rPr>
          <w:rFonts w:hint="eastAsia" w:asciiTheme="minorEastAsia" w:hAnsiTheme="minorEastAsia" w:eastAsiaTheme="minorEastAsia"/>
          <w:b/>
          <w:color w:val="auto"/>
          <w:sz w:val="21"/>
          <w:szCs w:val="21"/>
          <w:highlight w:val="none"/>
        </w:rPr>
        <w:t>采购需求：</w:t>
      </w:r>
      <w:r>
        <w:rPr>
          <w:rFonts w:hint="eastAsia" w:asciiTheme="minorEastAsia" w:hAnsiTheme="minorEastAsia" w:eastAsiaTheme="minorEastAsia"/>
          <w:bCs/>
          <w:color w:val="auto"/>
          <w:sz w:val="21"/>
          <w:szCs w:val="21"/>
          <w:highlight w:val="none"/>
          <w:lang w:val="en-US" w:eastAsia="zh-CN"/>
        </w:rPr>
        <w:t xml:space="preserve"> </w:t>
      </w:r>
    </w:p>
    <w:p w14:paraId="6E436454">
      <w:pPr>
        <w:pStyle w:val="23"/>
        <w:ind w:firstLine="420" w:firstLineChars="200"/>
        <w:rPr>
          <w:rFonts w:hAnsi="宋体"/>
          <w:color w:val="auto"/>
          <w:sz w:val="21"/>
          <w:szCs w:val="21"/>
          <w:highlight w:val="none"/>
        </w:rPr>
      </w:pPr>
      <w:r>
        <w:rPr>
          <w:rFonts w:hint="eastAsia" w:hAnsi="宋体"/>
          <w:color w:val="auto"/>
          <w:sz w:val="21"/>
          <w:szCs w:val="21"/>
          <w:highlight w:val="none"/>
        </w:rPr>
        <w:t>简要规格描述或项目基本概况介绍：其他</w:t>
      </w:r>
      <w:r>
        <w:rPr>
          <w:rFonts w:hAnsi="宋体"/>
          <w:color w:val="auto"/>
          <w:sz w:val="21"/>
          <w:szCs w:val="21"/>
          <w:highlight w:val="none"/>
        </w:rPr>
        <w:t>需求详见</w:t>
      </w:r>
      <w:r>
        <w:rPr>
          <w:rFonts w:hint="eastAsia" w:hAnsi="宋体"/>
          <w:color w:val="auto"/>
          <w:sz w:val="21"/>
          <w:szCs w:val="21"/>
          <w:highlight w:val="none"/>
        </w:rPr>
        <w:t>本项目磋商文件第</w:t>
      </w:r>
      <w:r>
        <w:rPr>
          <w:rFonts w:hint="eastAsia" w:hAnsi="宋体"/>
          <w:color w:val="auto"/>
          <w:sz w:val="21"/>
          <w:szCs w:val="21"/>
          <w:highlight w:val="none"/>
          <w:lang w:val="en-US" w:eastAsia="zh-CN"/>
        </w:rPr>
        <w:t>三部分</w:t>
      </w:r>
      <w:r>
        <w:rPr>
          <w:rFonts w:hint="eastAsia" w:hAnsi="宋体"/>
          <w:color w:val="auto"/>
          <w:sz w:val="21"/>
          <w:szCs w:val="21"/>
          <w:highlight w:val="none"/>
        </w:rPr>
        <w:t>“采购需求”。</w:t>
      </w:r>
    </w:p>
    <w:p w14:paraId="62A8BB16">
      <w:pPr>
        <w:pStyle w:val="23"/>
        <w:ind w:firstLine="422"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b/>
          <w:color w:val="auto"/>
          <w:sz w:val="21"/>
          <w:szCs w:val="21"/>
          <w:highlight w:val="none"/>
        </w:rPr>
        <w:t>合同履行期限</w:t>
      </w:r>
      <w:r>
        <w:rPr>
          <w:rFonts w:hint="eastAsia" w:asciiTheme="minorEastAsia" w:hAnsiTheme="minorEastAsia" w:eastAsiaTheme="minorEastAsia"/>
          <w:color w:val="auto"/>
          <w:sz w:val="21"/>
          <w:szCs w:val="21"/>
          <w:highlight w:val="none"/>
        </w:rPr>
        <w:t>：</w:t>
      </w:r>
      <w:r>
        <w:rPr>
          <w:rFonts w:hint="eastAsia" w:hAnsi="宋体" w:cs="Arial"/>
          <w:color w:val="auto"/>
          <w:sz w:val="21"/>
          <w:szCs w:val="21"/>
          <w:highlight w:val="none"/>
          <w:u w:val="single"/>
          <w:lang w:val="en-US" w:eastAsia="zh-CN"/>
        </w:rPr>
        <w:t xml:space="preserve"> 3 </w:t>
      </w:r>
      <w:r>
        <w:rPr>
          <w:rFonts w:hint="eastAsia" w:hAnsi="宋体" w:cs="Arial"/>
          <w:color w:val="auto"/>
          <w:sz w:val="21"/>
          <w:szCs w:val="21"/>
          <w:highlight w:val="none"/>
          <w:lang w:val="en-US" w:eastAsia="zh-CN"/>
        </w:rPr>
        <w:t>个月</w:t>
      </w:r>
      <w:r>
        <w:rPr>
          <w:rFonts w:hint="eastAsia" w:hAnsi="宋体"/>
          <w:color w:val="auto"/>
          <w:sz w:val="21"/>
          <w:szCs w:val="21"/>
          <w:highlight w:val="none"/>
        </w:rPr>
        <w:t>。</w:t>
      </w:r>
    </w:p>
    <w:p w14:paraId="758F1680">
      <w:pPr>
        <w:spacing w:line="360" w:lineRule="auto"/>
        <w:ind w:firstLine="422"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
          <w:color w:val="auto"/>
          <w:sz w:val="21"/>
          <w:szCs w:val="21"/>
          <w:highlight w:val="none"/>
        </w:rPr>
        <w:t>本项目接受联合体投标：</w:t>
      </w:r>
      <w:sdt>
        <w:sdtPr>
          <w:rPr>
            <w:rFonts w:hint="eastAsia" w:asciiTheme="minorEastAsia" w:hAnsiTheme="minorEastAsia" w:eastAsiaTheme="minorEastAsia"/>
            <w:b/>
            <w:color w:val="auto"/>
            <w:sz w:val="21"/>
            <w:szCs w:val="21"/>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val="0"/>
            <w:bCs/>
            <w:color w:val="auto"/>
            <w:sz w:val="21"/>
            <w:szCs w:val="21"/>
            <w:highlight w:val="none"/>
          </w:rPr>
        </w:sdtEndPr>
        <w:sdtContent>
          <w:r>
            <w:rPr>
              <w:rFonts w:hint="eastAsia" w:ascii="Wingdings" w:hAnsi="Wingdings" w:eastAsia="MS Gothic" w:cs="Times New Roman"/>
              <w:bCs/>
              <w:color w:val="auto"/>
              <w:kern w:val="2"/>
              <w:sz w:val="21"/>
              <w:szCs w:val="21"/>
              <w:highlight w:val="none"/>
              <w:lang w:val="en-US" w:eastAsia="zh-CN" w:bidi="ar-SA"/>
            </w:rPr>
            <w:t>þ</w:t>
          </w:r>
        </w:sdtContent>
      </w:sdt>
      <w:r>
        <w:rPr>
          <w:rFonts w:hint="eastAsia" w:asciiTheme="minorEastAsia" w:hAnsiTheme="minorEastAsia" w:eastAsiaTheme="minorEastAsia"/>
          <w:bCs/>
          <w:color w:val="auto"/>
          <w:sz w:val="21"/>
          <w:szCs w:val="21"/>
          <w:highlight w:val="none"/>
        </w:rPr>
        <w:t>是，</w:t>
      </w:r>
      <w:sdt>
        <w:sdtPr>
          <w:rPr>
            <w:rFonts w:hint="eastAsia" w:asciiTheme="minorEastAsia" w:hAnsiTheme="minorEastAsia" w:eastAsiaTheme="minorEastAsia"/>
            <w:bCs/>
            <w:color w:val="auto"/>
            <w:sz w:val="21"/>
            <w:szCs w:val="21"/>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Cs/>
            <w:color w:val="auto"/>
            <w:sz w:val="21"/>
            <w:szCs w:val="21"/>
            <w:highlight w:val="none"/>
          </w:rPr>
        </w:sdtEndPr>
        <w:sdtContent>
          <w:r>
            <w:rPr>
              <w:rFonts w:hint="eastAsia" w:ascii="MS Gothic" w:hAnsi="MS Gothic" w:eastAsia="MS Mincho" w:cs="MS Mincho"/>
              <w:bCs/>
              <w:color w:val="auto"/>
              <w:kern w:val="2"/>
              <w:sz w:val="21"/>
              <w:szCs w:val="21"/>
              <w:highlight w:val="none"/>
              <w:lang w:val="en-US" w:eastAsia="zh-CN" w:bidi="ar-SA"/>
            </w:rPr>
            <w:t>☐</w:t>
          </w:r>
        </w:sdtContent>
      </w:sdt>
      <w:r>
        <w:rPr>
          <w:rFonts w:hint="eastAsia" w:asciiTheme="minorEastAsia" w:hAnsiTheme="minorEastAsia" w:eastAsiaTheme="minorEastAsia"/>
          <w:bCs/>
          <w:color w:val="auto"/>
          <w:sz w:val="21"/>
          <w:szCs w:val="21"/>
          <w:highlight w:val="none"/>
        </w:rPr>
        <w:t>否。</w:t>
      </w:r>
    </w:p>
    <w:p w14:paraId="1C0C6D52">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5" w:name="_Toc28359090"/>
      <w:bookmarkStart w:id="16" w:name="_Toc35393799"/>
      <w:bookmarkStart w:id="17" w:name="_Toc35393630"/>
      <w:bookmarkStart w:id="18" w:name="_Toc28359013"/>
      <w:r>
        <w:rPr>
          <w:rFonts w:hint="eastAsia" w:cs="宋体" w:asciiTheme="minorEastAsia" w:hAnsiTheme="minorEastAsia" w:eastAsiaTheme="minorEastAsia"/>
          <w:color w:val="auto"/>
          <w:sz w:val="21"/>
          <w:szCs w:val="21"/>
          <w:highlight w:val="none"/>
        </w:rPr>
        <w:t>二、申请人的资格要求：</w:t>
      </w:r>
      <w:bookmarkEnd w:id="15"/>
      <w:bookmarkEnd w:id="16"/>
      <w:bookmarkEnd w:id="17"/>
      <w:bookmarkEnd w:id="18"/>
    </w:p>
    <w:p w14:paraId="2D38CFED">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5CB247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2.落实政府采购政策需满足的资格要求：</w:t>
      </w:r>
    </w:p>
    <w:p w14:paraId="2419F1C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sz w:val="21"/>
          <w:szCs w:val="21"/>
          <w:highlight w:val="none"/>
        </w:rPr>
        <w:t>无；</w:t>
      </w:r>
    </w:p>
    <w:p w14:paraId="079E8C5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专</w:t>
      </w:r>
      <w:r>
        <w:rPr>
          <w:rFonts w:hint="eastAsia" w:asciiTheme="minorEastAsia" w:hAnsiTheme="minorEastAsia" w:eastAsiaTheme="minorEastAsia" w:cstheme="minorEastAsia"/>
          <w:color w:val="auto"/>
          <w:sz w:val="21"/>
          <w:szCs w:val="21"/>
          <w:highlight w:val="none"/>
        </w:rPr>
        <w:t>门面向中小企业</w:t>
      </w:r>
    </w:p>
    <w:p w14:paraId="139AF484">
      <w:pPr>
        <w:keepNext w:val="0"/>
        <w:keepLines w:val="0"/>
        <w:pageBreakBefore w:val="0"/>
        <w:widowControl w:val="0"/>
        <w:kinsoku/>
        <w:wordWrap/>
        <w:overflowPunct/>
        <w:topLinePunct w:val="0"/>
        <w:autoSpaceDE/>
        <w:autoSpaceDN/>
        <w:bidi w:val="0"/>
        <w:adjustRightInd w:val="0"/>
        <w:snapToGrid/>
        <w:spacing w:line="360" w:lineRule="auto"/>
        <w:ind w:firstLine="785" w:firstLineChars="374"/>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工程</w:t>
      </w:r>
      <w:r>
        <w:rPr>
          <w:rFonts w:hint="eastAsia" w:asciiTheme="minorEastAsia" w:hAnsiTheme="minorEastAsia" w:eastAsiaTheme="minorEastAsia" w:cstheme="minorEastAsia"/>
          <w:color w:val="auto"/>
          <w:sz w:val="21"/>
          <w:szCs w:val="21"/>
          <w:highlight w:val="none"/>
        </w:rPr>
        <w:t>全部由符合政策要求的中小企业承接，提供中小企业声明函；</w:t>
      </w:r>
    </w:p>
    <w:p w14:paraId="74DAFD6D">
      <w:pPr>
        <w:keepNext w:val="0"/>
        <w:keepLines w:val="0"/>
        <w:pageBreakBefore w:val="0"/>
        <w:widowControl w:val="0"/>
        <w:kinsoku/>
        <w:wordWrap/>
        <w:overflowPunct/>
        <w:topLinePunct w:val="0"/>
        <w:autoSpaceDE/>
        <w:autoSpaceDN/>
        <w:bidi w:val="0"/>
        <w:adjustRightInd w:val="0"/>
        <w:snapToGrid/>
        <w:spacing w:line="360" w:lineRule="auto"/>
        <w:ind w:firstLine="785" w:firstLineChars="374"/>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工程全部由符合政策要求的小微企业承接，提供中小企业声明函；</w:t>
      </w:r>
    </w:p>
    <w:p w14:paraId="680D337C">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7180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cs="宋体"/>
              <w:color w:val="auto"/>
              <w:kern w:val="0"/>
              <w:sz w:val="21"/>
              <w:szCs w:val="21"/>
              <w:highlight w:val="none"/>
            </w:rPr>
            <w:t>☐</w:t>
          </w:r>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p w14:paraId="54D1ECB5">
      <w:pPr>
        <w:spacing w:line="360" w:lineRule="auto"/>
        <w:ind w:firstLine="420" w:firstLineChars="200"/>
        <w:rPr>
          <w:rFonts w:asciiTheme="minorEastAsia" w:hAnsiTheme="minorEastAsia" w:eastAsiaTheme="minorEastAsia" w:cstheme="minorEastAsia"/>
          <w:color w:val="auto"/>
          <w:sz w:val="21"/>
          <w:szCs w:val="21"/>
          <w:highlight w:val="none"/>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7D093D52">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w:t>
      </w:r>
    </w:p>
    <w:p w14:paraId="2A7D1DE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rPr>
        <w:t xml:space="preserve"> 供应商须</w:t>
      </w:r>
      <w:r>
        <w:rPr>
          <w:rFonts w:hint="eastAsia" w:asciiTheme="minorEastAsia" w:hAnsiTheme="minorEastAsia" w:eastAsiaTheme="minorEastAsia" w:cstheme="minorEastAsia"/>
          <w:color w:val="auto"/>
          <w:sz w:val="21"/>
          <w:szCs w:val="21"/>
          <w:highlight w:val="none"/>
          <w:lang w:val="en-US" w:eastAsia="zh-CN"/>
        </w:rPr>
        <w:t>具备</w:t>
      </w:r>
      <w:r>
        <w:rPr>
          <w:rFonts w:hint="eastAsia" w:asciiTheme="minorEastAsia" w:hAnsiTheme="minorEastAsia" w:eastAsiaTheme="minorEastAsia" w:cstheme="minorEastAsia"/>
          <w:color w:val="auto"/>
          <w:sz w:val="21"/>
          <w:szCs w:val="21"/>
          <w:highlight w:val="none"/>
          <w:u w:val="none"/>
        </w:rPr>
        <w:t>本次招标要求投标人须如下①或②资质 ，并在人员、设备、资金等方面具有相应的养护施工能力。</w:t>
      </w:r>
    </w:p>
    <w:p w14:paraId="75DAC00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①具有有效的交通运输主管部门颁发的公路养护工程</w:t>
      </w:r>
      <w:r>
        <w:rPr>
          <w:rFonts w:hint="eastAsia" w:asciiTheme="minorEastAsia" w:hAnsiTheme="minorEastAsia" w:eastAsiaTheme="minorEastAsia" w:cstheme="minorEastAsia"/>
          <w:color w:val="auto"/>
          <w:sz w:val="21"/>
          <w:szCs w:val="21"/>
          <w:highlight w:val="none"/>
          <w:u w:val="single"/>
          <w:lang w:val="en-US" w:eastAsia="zh-CN"/>
        </w:rPr>
        <w:t>一</w:t>
      </w:r>
      <w:r>
        <w:rPr>
          <w:rFonts w:hint="eastAsia" w:asciiTheme="minorEastAsia" w:hAnsiTheme="minorEastAsia" w:eastAsiaTheme="minorEastAsia" w:cstheme="minorEastAsia"/>
          <w:color w:val="auto"/>
          <w:sz w:val="21"/>
          <w:szCs w:val="21"/>
          <w:highlight w:val="none"/>
          <w:u w:val="single"/>
        </w:rPr>
        <w:t>类资质；</w:t>
      </w:r>
    </w:p>
    <w:p w14:paraId="2E2034E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②同时具有有效的交通运输主管部门颁发的桥梁养护</w:t>
      </w:r>
      <w:r>
        <w:rPr>
          <w:rFonts w:hint="eastAsia" w:asciiTheme="minorEastAsia" w:hAnsiTheme="minorEastAsia" w:eastAsiaTheme="minorEastAsia" w:cstheme="minorEastAsia"/>
          <w:color w:val="auto"/>
          <w:sz w:val="21"/>
          <w:szCs w:val="21"/>
          <w:highlight w:val="none"/>
          <w:u w:val="single"/>
          <w:lang w:val="en-US" w:eastAsia="zh-CN"/>
        </w:rPr>
        <w:t>甲</w:t>
      </w:r>
      <w:r>
        <w:rPr>
          <w:rFonts w:hint="eastAsia" w:asciiTheme="minorEastAsia" w:hAnsiTheme="minorEastAsia" w:eastAsiaTheme="minorEastAsia" w:cstheme="minorEastAsia"/>
          <w:color w:val="auto"/>
          <w:sz w:val="21"/>
          <w:szCs w:val="21"/>
          <w:highlight w:val="none"/>
          <w:u w:val="single"/>
        </w:rPr>
        <w:t>级资质和交通安全设施养护资质</w:t>
      </w:r>
      <w:r>
        <w:rPr>
          <w:rFonts w:hint="eastAsia" w:asciiTheme="minorEastAsia" w:hAnsiTheme="minorEastAsia" w:eastAsiaTheme="minorEastAsia" w:cstheme="minorEastAsia"/>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rPr>
        <w:t>可以承担各等级公路交通安全设施的各类养护工程</w:t>
      </w:r>
      <w:r>
        <w:rPr>
          <w:rFonts w:hint="eastAsia" w:asciiTheme="minorEastAsia" w:hAnsiTheme="minorEastAsia" w:eastAsiaTheme="minorEastAsia" w:cstheme="minorEastAsia"/>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rPr>
        <w:t>。</w:t>
      </w:r>
    </w:p>
    <w:p w14:paraId="09C3B7E9">
      <w:pPr>
        <w:snapToGrid w:val="0"/>
        <w:spacing w:line="360" w:lineRule="auto"/>
        <w:ind w:firstLine="420" w:firstLineChars="200"/>
        <w:rPr>
          <w:color w:val="auto"/>
          <w:sz w:val="21"/>
          <w:szCs w:val="21"/>
          <w:highlight w:val="none"/>
        </w:rPr>
      </w:pPr>
      <w:r>
        <w:rPr>
          <w:rFonts w:hint="eastAsia" w:asciiTheme="minorEastAsia" w:hAnsiTheme="minorEastAsia" w:eastAsiaTheme="minorEastAsia" w:cstheme="minorEastAsia"/>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38DC620">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01F0382C">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9" w:name="_Toc28359014"/>
      <w:bookmarkStart w:id="20" w:name="_Toc35393800"/>
      <w:bookmarkStart w:id="21" w:name="_Toc35393631"/>
      <w:bookmarkStart w:id="22" w:name="_Toc28359091"/>
      <w:r>
        <w:rPr>
          <w:rFonts w:hint="eastAsia" w:cs="宋体" w:asciiTheme="minorEastAsia" w:hAnsiTheme="minorEastAsia" w:eastAsiaTheme="minorEastAsia"/>
          <w:color w:val="auto"/>
          <w:sz w:val="21"/>
          <w:szCs w:val="21"/>
          <w:highlight w:val="none"/>
        </w:rPr>
        <w:t>三、获取（下载）采购文件</w:t>
      </w:r>
      <w:bookmarkEnd w:id="19"/>
      <w:bookmarkEnd w:id="20"/>
      <w:bookmarkEnd w:id="21"/>
      <w:bookmarkEnd w:id="22"/>
    </w:p>
    <w:p w14:paraId="286C56D2">
      <w:pPr>
        <w:spacing w:line="348" w:lineRule="auto"/>
        <w:ind w:firstLine="540"/>
        <w:rPr>
          <w:rFonts w:ascii="宋体" w:hAnsi="宋体" w:cs="宋体"/>
          <w:color w:val="auto"/>
          <w:sz w:val="21"/>
          <w:szCs w:val="21"/>
          <w:highlight w:val="none"/>
        </w:rPr>
      </w:pPr>
      <w:bookmarkStart w:id="23" w:name="_Toc35393801"/>
      <w:bookmarkStart w:id="24" w:name="_Toc28359092"/>
      <w:bookmarkStart w:id="25" w:name="_Toc28359015"/>
      <w:bookmarkStart w:id="26" w:name="_Toc35393632"/>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11</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，每天上午</w:t>
      </w:r>
      <w:r>
        <w:rPr>
          <w:rFonts w:hint="eastAsia" w:ascii="宋体" w:hAnsi="宋体" w:cs="宋体"/>
          <w:color w:val="auto"/>
          <w:sz w:val="21"/>
          <w:szCs w:val="21"/>
          <w:highlight w:val="none"/>
          <w:u w:val="single"/>
        </w:rPr>
        <w:t>00:00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，下午</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23:59</w:t>
      </w:r>
      <w:r>
        <w:rPr>
          <w:rFonts w:hint="eastAsia" w:ascii="宋体" w:hAnsi="宋体" w:cs="宋体"/>
          <w:color w:val="auto"/>
          <w:sz w:val="21"/>
          <w:szCs w:val="21"/>
          <w:highlight w:val="none"/>
        </w:rPr>
        <w:t>（北京时间，线上获取法定节假日均可，线下获取文件法定节假日除外）。</w:t>
      </w:r>
    </w:p>
    <w:p w14:paraId="0236771E">
      <w:pPr>
        <w:spacing w:line="348" w:lineRule="auto"/>
        <w:ind w:firstLine="540"/>
        <w:rPr>
          <w:rFonts w:ascii="宋体" w:hAnsi="宋体" w:cs="宋体"/>
          <w:color w:val="auto"/>
          <w:sz w:val="21"/>
          <w:szCs w:val="21"/>
          <w:highlight w:val="none"/>
          <w:u w:val="single"/>
        </w:rPr>
      </w:pPr>
      <w:r>
        <w:rPr>
          <w:rFonts w:hint="eastAsia" w:ascii="宋体" w:hAnsi="宋体" w:cs="宋体"/>
          <w:color w:val="auto"/>
          <w:sz w:val="21"/>
          <w:szCs w:val="21"/>
          <w:highlight w:val="none"/>
        </w:rPr>
        <w:t>地点（网址）：政府采购云平台（www.zcygov.cn）。</w:t>
      </w:r>
    </w:p>
    <w:p w14:paraId="1EB599D9">
      <w:pPr>
        <w:spacing w:line="348" w:lineRule="auto"/>
        <w:ind w:firstLine="540"/>
        <w:rPr>
          <w:rFonts w:ascii="宋体" w:hAnsi="宋体" w:cs="宋体"/>
          <w:color w:val="auto"/>
          <w:sz w:val="21"/>
          <w:szCs w:val="21"/>
          <w:highlight w:val="none"/>
        </w:rPr>
      </w:pPr>
      <w:r>
        <w:rPr>
          <w:rFonts w:hint="eastAsia" w:ascii="宋体" w:hAnsi="宋体" w:cs="宋体"/>
          <w:color w:val="auto"/>
          <w:sz w:val="21"/>
          <w:szCs w:val="21"/>
          <w:highlight w:val="none"/>
        </w:rPr>
        <w:t xml:space="preserve">方式：供应商登录政采云平台https://www.zcygov.cn/在线申请获取采购文件（进入“项目采购”应用，在获取采购文件菜单中选择项目，申请获取采购文件）。 </w:t>
      </w:r>
    </w:p>
    <w:p w14:paraId="24D2E595">
      <w:pPr>
        <w:spacing w:line="348" w:lineRule="auto"/>
        <w:ind w:firstLine="540"/>
        <w:rPr>
          <w:rFonts w:ascii="宋体" w:hAnsi="宋体" w:cs="宋体"/>
          <w:color w:val="auto"/>
          <w:sz w:val="21"/>
          <w:szCs w:val="21"/>
          <w:highlight w:val="none"/>
        </w:rPr>
      </w:pPr>
      <w:r>
        <w:rPr>
          <w:rFonts w:hint="eastAsia" w:ascii="宋体" w:hAnsi="宋体" w:cs="宋体"/>
          <w:color w:val="auto"/>
          <w:sz w:val="21"/>
          <w:szCs w:val="21"/>
          <w:highlight w:val="none"/>
        </w:rPr>
        <w:t>售价（元）：0</w:t>
      </w:r>
    </w:p>
    <w:p w14:paraId="3339E7F7">
      <w:pPr>
        <w:spacing w:line="360" w:lineRule="auto"/>
        <w:rPr>
          <w:rFonts w:ascii="宋体" w:hAnsi="宋体" w:cs="宋体"/>
          <w:b/>
          <w:color w:val="auto"/>
          <w:sz w:val="21"/>
          <w:szCs w:val="21"/>
          <w:highlight w:val="none"/>
        </w:rPr>
      </w:pPr>
      <w:r>
        <w:rPr>
          <w:rFonts w:hint="eastAsia" w:cs="宋体" w:asciiTheme="minorEastAsia" w:hAnsiTheme="minorEastAsia" w:eastAsiaTheme="minorEastAsia"/>
          <w:color w:val="auto"/>
          <w:sz w:val="21"/>
          <w:szCs w:val="21"/>
          <w:highlight w:val="none"/>
        </w:rPr>
        <w:t>四、</w:t>
      </w:r>
      <w:bookmarkEnd w:id="23"/>
      <w:bookmarkEnd w:id="24"/>
      <w:bookmarkEnd w:id="25"/>
      <w:bookmarkEnd w:id="26"/>
      <w:r>
        <w:rPr>
          <w:rFonts w:hint="eastAsia" w:ascii="宋体" w:hAnsi="宋体" w:cs="宋体"/>
          <w:b/>
          <w:color w:val="auto"/>
          <w:sz w:val="21"/>
          <w:szCs w:val="21"/>
          <w:highlight w:val="none"/>
        </w:rPr>
        <w:t>提交</w:t>
      </w:r>
      <w:r>
        <w:rPr>
          <w:rFonts w:hint="eastAsia" w:ascii="宋体" w:hAnsi="宋体" w:cs="宋体"/>
          <w:b/>
          <w:color w:val="auto"/>
          <w:sz w:val="21"/>
          <w:szCs w:val="21"/>
          <w:highlight w:val="none"/>
          <w:lang w:val="en-US" w:eastAsia="zh-CN"/>
        </w:rPr>
        <w:t>响应</w:t>
      </w:r>
      <w:r>
        <w:rPr>
          <w:rFonts w:hint="eastAsia" w:ascii="宋体" w:hAnsi="宋体" w:cs="宋体"/>
          <w:b/>
          <w:color w:val="auto"/>
          <w:sz w:val="21"/>
          <w:szCs w:val="21"/>
          <w:highlight w:val="none"/>
        </w:rPr>
        <w:t>文件截止时间、开标时间和地点</w:t>
      </w:r>
    </w:p>
    <w:p w14:paraId="57BCBF8A">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提交</w:t>
      </w:r>
      <w:r>
        <w:rPr>
          <w:rFonts w:hint="eastAsia" w:ascii="宋体" w:hAnsi="宋体" w:cs="宋体"/>
          <w:b/>
          <w:color w:val="auto"/>
          <w:sz w:val="21"/>
          <w:szCs w:val="21"/>
          <w:highlight w:val="none"/>
          <w:lang w:val="en-US" w:eastAsia="zh-CN"/>
        </w:rPr>
        <w:t>响应</w:t>
      </w:r>
      <w:r>
        <w:rPr>
          <w:rFonts w:hint="eastAsia" w:ascii="宋体" w:hAnsi="宋体" w:cs="宋体"/>
          <w:b/>
          <w:color w:val="auto"/>
          <w:sz w:val="21"/>
          <w:szCs w:val="21"/>
          <w:highlight w:val="none"/>
        </w:rPr>
        <w:t>文件截止时间：</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21</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028C8FC0">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宋体" w:hAnsi="宋体" w:cs="宋体"/>
          <w:color w:val="auto"/>
          <w:sz w:val="21"/>
          <w:szCs w:val="21"/>
          <w:highlight w:val="none"/>
        </w:rPr>
        <w:t xml:space="preserve">请登录政采云投标客户端投标  </w:t>
      </w:r>
    </w:p>
    <w:p w14:paraId="28DC2679">
      <w:pPr>
        <w:spacing w:line="360" w:lineRule="auto"/>
        <w:ind w:firstLine="422" w:firstLineChars="200"/>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21</w:t>
      </w:r>
      <w:bookmarkStart w:id="78" w:name="_GoBack"/>
      <w:bookmarkEnd w:id="78"/>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p>
    <w:p w14:paraId="78C2FFE5">
      <w:pPr>
        <w:spacing w:line="360" w:lineRule="auto"/>
        <w:ind w:firstLine="422" w:firstLineChars="200"/>
        <w:rPr>
          <w:rFonts w:asciiTheme="minorEastAsia" w:hAnsiTheme="minorEastAsia" w:eastAsiaTheme="minorEastAsia"/>
          <w:bCs/>
          <w:color w:val="auto"/>
          <w:sz w:val="21"/>
          <w:szCs w:val="21"/>
          <w:highlight w:val="none"/>
          <w:u w:val="single"/>
        </w:rPr>
      </w:pPr>
      <w:r>
        <w:rPr>
          <w:rFonts w:hint="eastAsia" w:ascii="宋体" w:hAnsi="宋体" w:cs="宋体"/>
          <w:b/>
          <w:color w:val="auto"/>
          <w:sz w:val="21"/>
          <w:szCs w:val="21"/>
          <w:highlight w:val="none"/>
        </w:rPr>
        <w:t>开标地点（网址）：</w:t>
      </w:r>
      <w:r>
        <w:rPr>
          <w:rFonts w:hint="eastAsia" w:ascii="宋体" w:hAnsi="宋体" w:cs="宋体"/>
          <w:color w:val="auto"/>
          <w:sz w:val="21"/>
          <w:szCs w:val="21"/>
          <w:highlight w:val="none"/>
        </w:rPr>
        <w:t>宁海县公共资源交易中心</w:t>
      </w:r>
      <w:r>
        <w:rPr>
          <w:rFonts w:hint="eastAsia" w:ascii="仿宋" w:hAnsi="仿宋" w:eastAsia="仿宋" w:cs="仿宋"/>
          <w:i w:val="0"/>
          <w:iCs w:val="0"/>
          <w:caps w:val="0"/>
          <w:color w:val="auto"/>
          <w:spacing w:val="0"/>
          <w:sz w:val="27"/>
          <w:szCs w:val="27"/>
          <w:highlight w:val="none"/>
          <w:shd w:val="clear" w:fill="FFFFFF"/>
        </w:rPr>
        <w:t>  </w:t>
      </w:r>
    </w:p>
    <w:p w14:paraId="39441546">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27" w:name="_Toc35393634"/>
      <w:bookmarkStart w:id="28" w:name="_Toc28359094"/>
      <w:bookmarkStart w:id="29" w:name="_Toc28359017"/>
      <w:bookmarkStart w:id="30" w:name="_Toc35393803"/>
      <w:r>
        <w:rPr>
          <w:rFonts w:hint="eastAsia" w:cs="宋体" w:asciiTheme="minorEastAsia" w:hAnsiTheme="minorEastAsia" w:eastAsiaTheme="minorEastAsia"/>
          <w:color w:val="auto"/>
          <w:sz w:val="21"/>
          <w:szCs w:val="21"/>
          <w:highlight w:val="none"/>
        </w:rPr>
        <w:t>五、公告期限</w:t>
      </w:r>
      <w:bookmarkEnd w:id="27"/>
      <w:bookmarkEnd w:id="28"/>
      <w:bookmarkEnd w:id="29"/>
      <w:bookmarkEnd w:id="30"/>
    </w:p>
    <w:p w14:paraId="1157CB98">
      <w:pPr>
        <w:spacing w:line="360" w:lineRule="auto"/>
        <w:ind w:firstLine="420" w:firstLineChars="20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自本公告发布之日起3个工作日。</w:t>
      </w:r>
    </w:p>
    <w:p w14:paraId="00923E3A">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1" w:name="_Toc35393635"/>
      <w:bookmarkStart w:id="32" w:name="_Toc35393804"/>
      <w:r>
        <w:rPr>
          <w:rFonts w:hint="eastAsia" w:cs="宋体" w:asciiTheme="minorEastAsia" w:hAnsiTheme="minorEastAsia" w:eastAsiaTheme="minorEastAsia"/>
          <w:color w:val="auto"/>
          <w:sz w:val="21"/>
          <w:szCs w:val="21"/>
          <w:highlight w:val="none"/>
        </w:rPr>
        <w:t>六、其他补充事宜</w:t>
      </w:r>
      <w:bookmarkEnd w:id="31"/>
      <w:bookmarkEnd w:id="32"/>
    </w:p>
    <w:p w14:paraId="7E645325">
      <w:pPr>
        <w:spacing w:line="360" w:lineRule="auto"/>
        <w:ind w:firstLine="420" w:firstLineChars="200"/>
        <w:rPr>
          <w:rFonts w:hint="eastAsia"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7D7F0C71">
      <w:pPr>
        <w:spacing w:line="360" w:lineRule="auto"/>
        <w:ind w:firstLine="420" w:firstLineChars="200"/>
        <w:rPr>
          <w:rFonts w:hint="eastAsia"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796EE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lang w:val="en-US" w:eastAsia="zh-CN"/>
        </w:rPr>
        <w:t>3</w:t>
      </w:r>
      <w:r>
        <w:rPr>
          <w:rFonts w:hint="eastAsia" w:cs="宋体" w:asciiTheme="minorEastAsia" w:hAnsiTheme="minorEastAsia" w:eastAsiaTheme="minorEastAsia"/>
          <w:bCs/>
          <w:color w:val="auto"/>
          <w:kern w:val="0"/>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3E2490">
      <w:pPr>
        <w:spacing w:line="360" w:lineRule="auto"/>
        <w:ind w:firstLine="422" w:firstLineChars="200"/>
        <w:rPr>
          <w:rFonts w:cs="宋体" w:asciiTheme="minorEastAsia" w:hAnsiTheme="minorEastAsia" w:eastAsiaTheme="minorEastAsia"/>
          <w:b/>
          <w:color w:val="auto"/>
          <w:kern w:val="0"/>
          <w:sz w:val="21"/>
          <w:szCs w:val="21"/>
          <w:highlight w:val="none"/>
        </w:rPr>
      </w:pPr>
      <w:r>
        <w:rPr>
          <w:rFonts w:hint="eastAsia" w:cs="宋体" w:asciiTheme="minorEastAsia" w:hAnsiTheme="minorEastAsia" w:eastAsiaTheme="minorEastAsia"/>
          <w:b/>
          <w:color w:val="auto"/>
          <w:kern w:val="0"/>
          <w:sz w:val="21"/>
          <w:szCs w:val="21"/>
          <w:highlight w:val="none"/>
        </w:rPr>
        <w:t>2. 其他事项：</w:t>
      </w:r>
    </w:p>
    <w:p w14:paraId="54ECF120">
      <w:pPr>
        <w:spacing w:line="360" w:lineRule="auto"/>
        <w:ind w:firstLine="422" w:firstLineChars="20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b/>
          <w:color w:val="auto"/>
          <w:kern w:val="0"/>
          <w:sz w:val="21"/>
          <w:szCs w:val="21"/>
          <w:highlight w:val="none"/>
        </w:rPr>
        <w:t>（1）需要落实的政府采购政策：</w:t>
      </w:r>
      <w:r>
        <w:rPr>
          <w:rFonts w:hint="eastAsia" w:cs="宋体" w:asciiTheme="minorEastAsia" w:hAnsiTheme="minorEastAsia" w:eastAsiaTheme="minorEastAsia"/>
          <w:color w:val="auto"/>
          <w:kern w:val="0"/>
          <w:sz w:val="21"/>
          <w:szCs w:val="21"/>
          <w:highlight w:val="none"/>
        </w:rPr>
        <w:t>包括节约资源、保护环境、</w:t>
      </w:r>
      <w:r>
        <w:rPr>
          <w:rFonts w:hint="eastAsia" w:cs="宋体" w:asciiTheme="minorEastAsia" w:hAnsiTheme="minorEastAsia" w:eastAsiaTheme="minorEastAsia"/>
          <w:color w:val="auto"/>
          <w:sz w:val="21"/>
          <w:szCs w:val="21"/>
          <w:highlight w:val="none"/>
        </w:rPr>
        <w:t>支持创新、</w:t>
      </w:r>
      <w:r>
        <w:rPr>
          <w:rFonts w:hint="eastAsia" w:cs="宋体" w:asciiTheme="minorEastAsia" w:hAnsiTheme="minorEastAsia" w:eastAsiaTheme="minorEastAsia"/>
          <w:color w:val="auto"/>
          <w:kern w:val="0"/>
          <w:sz w:val="21"/>
          <w:szCs w:val="21"/>
          <w:highlight w:val="none"/>
        </w:rPr>
        <w:t>促进中小企业发展等，详见磋商文件第</w:t>
      </w:r>
      <w:r>
        <w:rPr>
          <w:rFonts w:hint="eastAsia" w:cs="宋体" w:asciiTheme="minorEastAsia" w:hAnsiTheme="minorEastAsia" w:eastAsiaTheme="minorEastAsia"/>
          <w:color w:val="auto"/>
          <w:kern w:val="0"/>
          <w:sz w:val="21"/>
          <w:szCs w:val="21"/>
          <w:highlight w:val="none"/>
          <w:lang w:val="en-US" w:eastAsia="zh-CN"/>
        </w:rPr>
        <w:t>二</w:t>
      </w:r>
      <w:r>
        <w:rPr>
          <w:rFonts w:hint="eastAsia" w:cs="宋体" w:asciiTheme="minorEastAsia" w:hAnsiTheme="minorEastAsia" w:eastAsiaTheme="minorEastAsia"/>
          <w:color w:val="auto"/>
          <w:kern w:val="0"/>
          <w:sz w:val="21"/>
          <w:szCs w:val="21"/>
          <w:highlight w:val="none"/>
        </w:rPr>
        <w:t>部分总则。</w:t>
      </w:r>
    </w:p>
    <w:p w14:paraId="2FE1EFBA">
      <w:pPr>
        <w:spacing w:line="360" w:lineRule="auto"/>
        <w:ind w:firstLine="422" w:firstLineChars="200"/>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kern w:val="0"/>
          <w:sz w:val="21"/>
          <w:szCs w:val="21"/>
          <w:highlight w:val="none"/>
        </w:rPr>
        <w:t>（2）</w:t>
      </w:r>
      <w:r>
        <w:rPr>
          <w:rFonts w:hint="eastAsia" w:cs="仿宋_GB2312" w:asciiTheme="minorEastAsia" w:hAnsiTheme="minorEastAsia" w:eastAsiaTheme="minorEastAsia"/>
          <w:b/>
          <w:color w:val="auto"/>
          <w:sz w:val="21"/>
          <w:szCs w:val="21"/>
          <w:highlight w:val="none"/>
        </w:rPr>
        <w:t xml:space="preserve">电子交易的说明: </w:t>
      </w:r>
      <w:r>
        <w:rPr>
          <w:rFonts w:hint="eastAsia" w:cs="仿宋_GB2312" w:asciiTheme="minorEastAsia" w:hAnsiTheme="minorEastAsia" w:eastAsiaTheme="minorEastAsia"/>
          <w:b w:val="0"/>
          <w:bCs/>
          <w:color w:val="auto"/>
          <w:sz w:val="21"/>
          <w:szCs w:val="21"/>
          <w:highlight w:val="none"/>
        </w:rPr>
        <w:t>1）电子交易：本项目以数据电文形式，依托“政府采购云平台（www.zcygov.cn）”进行采购活动，不接受纸质</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文件的制作：在“政采云电子交易客户端”中完成“填写基本信息”、“导入</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文件”、“标书关联”、“标书检查”、“电子签名”、“生成电子标书”等操作。</w:t>
      </w:r>
      <w:r>
        <w:rPr>
          <w:rFonts w:cs="仿宋_GB2312" w:asciiTheme="minorEastAsia" w:hAnsiTheme="minorEastAsia" w:eastAsiaTheme="minorEastAsia"/>
          <w:b w:val="0"/>
          <w:bCs/>
          <w:color w:val="auto"/>
          <w:sz w:val="21"/>
          <w:szCs w:val="21"/>
          <w:highlight w:val="none"/>
        </w:rPr>
        <w:t>5）</w:t>
      </w:r>
      <w:r>
        <w:rPr>
          <w:rFonts w:hint="eastAsia" w:cs="仿宋_GB2312" w:asciiTheme="minorEastAsia" w:hAnsiTheme="minorEastAsia" w:eastAsiaTheme="minorEastAsia"/>
          <w:b w:val="0"/>
          <w:bCs/>
          <w:color w:val="auto"/>
          <w:sz w:val="21"/>
          <w:szCs w:val="21"/>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color w:val="auto"/>
          <w:sz w:val="21"/>
          <w:szCs w:val="21"/>
          <w:highlight w:val="none"/>
        </w:rPr>
        <w:t>6）</w:t>
      </w:r>
      <w:r>
        <w:rPr>
          <w:rFonts w:hint="eastAsia" w:cs="仿宋_GB2312" w:asciiTheme="minorEastAsia" w:hAnsiTheme="minorEastAsia" w:eastAsiaTheme="minorEastAsia"/>
          <w:b w:val="0"/>
          <w:bCs/>
          <w:color w:val="auto"/>
          <w:sz w:val="21"/>
          <w:szCs w:val="21"/>
          <w:highlight w:val="none"/>
        </w:rPr>
        <w:t>对未按上述方式获取磋商文件的供应商对该文件提出的质疑，采购人或采购代理机构将不予处理；</w:t>
      </w:r>
      <w:r>
        <w:rPr>
          <w:rFonts w:cs="仿宋_GB2312" w:asciiTheme="minorEastAsia" w:hAnsiTheme="minorEastAsia" w:eastAsiaTheme="minorEastAsia"/>
          <w:b w:val="0"/>
          <w:bCs/>
          <w:color w:val="auto"/>
          <w:sz w:val="21"/>
          <w:szCs w:val="21"/>
          <w:highlight w:val="none"/>
        </w:rPr>
        <w:t>7）</w:t>
      </w:r>
      <w:r>
        <w:rPr>
          <w:rFonts w:hint="eastAsia" w:cs="仿宋_GB2312" w:asciiTheme="minorEastAsia" w:hAnsiTheme="minorEastAsia" w:eastAsiaTheme="minorEastAsia"/>
          <w:b w:val="0"/>
          <w:bCs/>
          <w:color w:val="auto"/>
          <w:sz w:val="21"/>
          <w:szCs w:val="21"/>
          <w:highlight w:val="none"/>
        </w:rPr>
        <w:t>不提供磋商文件纸质版；</w:t>
      </w:r>
      <w:r>
        <w:rPr>
          <w:rFonts w:cs="仿宋_GB2312" w:asciiTheme="minorEastAsia" w:hAnsiTheme="minorEastAsia" w:eastAsiaTheme="minorEastAsia"/>
          <w:b w:val="0"/>
          <w:bCs/>
          <w:color w:val="auto"/>
          <w:sz w:val="21"/>
          <w:szCs w:val="21"/>
          <w:highlight w:val="none"/>
        </w:rPr>
        <w:t>8</w:t>
      </w:r>
      <w:r>
        <w:rPr>
          <w:rFonts w:hint="eastAsia" w:cs="仿宋_GB2312" w:asciiTheme="minorEastAsia" w:hAnsiTheme="minorEastAsia" w:eastAsiaTheme="minorEastAsia"/>
          <w:b w:val="0"/>
          <w:bCs/>
          <w:color w:val="auto"/>
          <w:sz w:val="21"/>
          <w:szCs w:val="21"/>
          <w:highlight w:val="none"/>
        </w:rPr>
        <w:t>）</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文件的传输提交：供应商在提交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文件的截止时间前将加密的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文件（文件后缀为：jmbs）上传至政府采购云平台，还可以在提交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文件的截止时间前直接提交或者以邮政快递方式提交备份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文件1份。备份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文件的制作、存储、密封详见磋商文件第</w:t>
      </w:r>
      <w:r>
        <w:rPr>
          <w:rFonts w:hint="eastAsia" w:cs="仿宋_GB2312" w:asciiTheme="minorEastAsia" w:hAnsiTheme="minorEastAsia" w:eastAsiaTheme="minorEastAsia"/>
          <w:b w:val="0"/>
          <w:bCs/>
          <w:color w:val="auto"/>
          <w:sz w:val="21"/>
          <w:szCs w:val="21"/>
          <w:highlight w:val="none"/>
          <w:lang w:val="en-US" w:eastAsia="zh-CN"/>
        </w:rPr>
        <w:t>二</w:t>
      </w:r>
      <w:r>
        <w:rPr>
          <w:rFonts w:hint="eastAsia" w:cs="仿宋_GB2312" w:asciiTheme="minorEastAsia" w:hAnsiTheme="minorEastAsia" w:eastAsiaTheme="minorEastAsia"/>
          <w:b w:val="0"/>
          <w:bCs/>
          <w:color w:val="auto"/>
          <w:sz w:val="21"/>
          <w:szCs w:val="21"/>
          <w:highlight w:val="none"/>
        </w:rPr>
        <w:t>部分 “备份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文件”；9）</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文件的解密：供应商按照平台提示和磋商文件的规定在半小时内完成在线解密。通过“政府采购云平台”上传递交的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文件无法按时解密，供应商递交了备份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文件的，以备份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文件为依据，否则视为</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文件撤回。通过“政府采购云平台”上传提交的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文件已按时解密的，备份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文件自动失效。供应商仅提交备份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文件，没有在电子交易平台传输提交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文件的，响应无效；10）具体操作指南：详见政采云平台“服务中心-帮助文档-项目采购-操作流程-电子招投标-政府采</w:t>
      </w:r>
      <w:r>
        <w:rPr>
          <w:rFonts w:hint="eastAsia" w:cs="仿宋_GB2312" w:asciiTheme="minorEastAsia" w:hAnsiTheme="minorEastAsia" w:eastAsiaTheme="minorEastAsia"/>
          <w:color w:val="auto"/>
          <w:sz w:val="21"/>
          <w:szCs w:val="21"/>
          <w:highlight w:val="none"/>
        </w:rPr>
        <w:t>购项目电子交易管理操作指南-供应商”。</w:t>
      </w:r>
    </w:p>
    <w:p w14:paraId="51E5F1CF">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磋商文件公告期限与磋商公告的公告期限一致。</w:t>
      </w:r>
    </w:p>
    <w:p w14:paraId="58F4C564">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（4）本《第一部分  竞争性磋商公告》中二、申请人的资格要求：第一条中的“重大税收违法案件当事人名单”即为“重大税收违法失信主体”。</w:t>
      </w:r>
    </w:p>
    <w:p w14:paraId="5B1F2CAE">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（5）本公告发布媒体：浙江政府采购网（www.zjzfcg.gov.cn）、宁波政府采购(www.nbzfcg.cn)、宁波</w:t>
      </w:r>
      <w:r>
        <w:rPr>
          <w:rFonts w:hint="eastAsia" w:cs="宋体" w:asciiTheme="minorEastAsia" w:hAnsiTheme="minorEastAsia" w:eastAsiaTheme="minorEastAsia"/>
          <w:color w:val="auto"/>
          <w:sz w:val="21"/>
          <w:szCs w:val="21"/>
          <w:highlight w:val="none"/>
          <w:lang w:val="en-US" w:eastAsia="zh-CN"/>
        </w:rPr>
        <w:t>市</w:t>
      </w:r>
      <w:r>
        <w:rPr>
          <w:rFonts w:hint="eastAsia" w:cs="宋体" w:asciiTheme="minorEastAsia" w:hAnsiTheme="minorEastAsia" w:eastAsiaTheme="minorEastAsia"/>
          <w:color w:val="auto"/>
          <w:sz w:val="21"/>
          <w:szCs w:val="21"/>
          <w:highlight w:val="none"/>
        </w:rPr>
        <w:t>公共资源交易电子服务系统。</w:t>
      </w:r>
    </w:p>
    <w:p w14:paraId="4C6C65E5">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3" w:name="_Toc35393805"/>
      <w:bookmarkStart w:id="34" w:name="_Toc28359018"/>
      <w:bookmarkStart w:id="35" w:name="_Toc28359095"/>
      <w:bookmarkStart w:id="36" w:name="_Toc35393636"/>
      <w:r>
        <w:rPr>
          <w:rFonts w:hint="eastAsia" w:cs="宋体" w:asciiTheme="minorEastAsia" w:hAnsiTheme="minorEastAsia" w:eastAsiaTheme="minorEastAsia"/>
          <w:color w:val="auto"/>
          <w:sz w:val="21"/>
          <w:szCs w:val="21"/>
          <w:highlight w:val="none"/>
        </w:rPr>
        <w:t>八、凡对本次采购提出询问、质疑、投诉，请按以下方式联系</w:t>
      </w:r>
      <w:bookmarkEnd w:id="33"/>
      <w:bookmarkEnd w:id="34"/>
      <w:bookmarkEnd w:id="35"/>
      <w:bookmarkEnd w:id="36"/>
    </w:p>
    <w:p w14:paraId="1EDEE393">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7" w:name="_Toc28359019"/>
      <w:bookmarkStart w:id="38" w:name="_Toc35393806"/>
      <w:bookmarkStart w:id="39" w:name="_Toc28359096"/>
      <w:bookmarkStart w:id="40" w:name="_Toc35393637"/>
      <w:r>
        <w:rPr>
          <w:rFonts w:hint="eastAsia" w:cs="宋体" w:asciiTheme="minorEastAsia" w:hAnsiTheme="minorEastAsia" w:eastAsiaTheme="minorEastAsia"/>
          <w:color w:val="auto"/>
          <w:sz w:val="21"/>
          <w:szCs w:val="21"/>
          <w:highlight w:val="none"/>
        </w:rPr>
        <w:t>1.采购人信息</w:t>
      </w:r>
      <w:bookmarkEnd w:id="37"/>
      <w:bookmarkEnd w:id="38"/>
      <w:bookmarkEnd w:id="39"/>
      <w:bookmarkEnd w:id="40"/>
      <w:r>
        <w:rPr>
          <w:rFonts w:hint="eastAsia" w:cs="宋体" w:asciiTheme="minorEastAsia" w:hAnsiTheme="minorEastAsia" w:eastAsiaTheme="minorEastAsia"/>
          <w:color w:val="auto"/>
          <w:sz w:val="21"/>
          <w:szCs w:val="21"/>
          <w:highlight w:val="none"/>
        </w:rPr>
        <w:t>：</w:t>
      </w:r>
    </w:p>
    <w:p w14:paraId="1D229B7C">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1.采购人信息</w:t>
      </w:r>
    </w:p>
    <w:p w14:paraId="3F96CF21">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名称：</w:t>
      </w:r>
      <w:r>
        <w:rPr>
          <w:rFonts w:hint="eastAsia" w:asciiTheme="minorEastAsia" w:hAnsiTheme="minorEastAsia" w:eastAsiaTheme="minorEastAsia"/>
          <w:color w:val="auto"/>
          <w:sz w:val="21"/>
          <w:szCs w:val="21"/>
          <w:highlight w:val="none"/>
          <w:lang w:val="en-US" w:eastAsia="zh-CN"/>
        </w:rPr>
        <w:t xml:space="preserve">宁海县交通运输局 </w:t>
      </w:r>
    </w:p>
    <w:p w14:paraId="1676A9EC">
      <w:pPr>
        <w:spacing w:line="360" w:lineRule="auto"/>
        <w:ind w:firstLine="420" w:firstLineChars="200"/>
        <w:rPr>
          <w:rFonts w:hint="eastAsia" w:cs="Times New Roman"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地址：</w:t>
      </w:r>
      <w:r>
        <w:rPr>
          <w:rFonts w:hint="eastAsia" w:asciiTheme="minorEastAsia" w:hAnsiTheme="minorEastAsia" w:eastAsiaTheme="minorEastAsia"/>
          <w:color w:val="auto"/>
          <w:sz w:val="21"/>
          <w:szCs w:val="21"/>
          <w:highlight w:val="none"/>
          <w:lang w:val="en-US" w:eastAsia="zh-CN"/>
        </w:rPr>
        <w:t xml:space="preserve">宁海县桃源街道兴海北路99号 </w:t>
      </w:r>
    </w:p>
    <w:p w14:paraId="26AB2307">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项目联系人：</w:t>
      </w:r>
      <w:r>
        <w:rPr>
          <w:rFonts w:hint="eastAsia" w:eastAsiaTheme="minorEastAsia"/>
          <w:color w:val="auto"/>
          <w:sz w:val="21"/>
          <w:szCs w:val="21"/>
          <w:highlight w:val="none"/>
          <w:lang w:val="en-US" w:eastAsia="zh-CN"/>
        </w:rPr>
        <w:t>姚</w:t>
      </w:r>
      <w:r>
        <w:rPr>
          <w:rFonts w:hint="eastAsia"/>
          <w:color w:val="auto"/>
          <w:sz w:val="21"/>
          <w:szCs w:val="21"/>
          <w:highlight w:val="none"/>
        </w:rPr>
        <w:t>先生</w:t>
      </w:r>
    </w:p>
    <w:p w14:paraId="1CCD13AA">
      <w:pPr>
        <w:spacing w:line="360" w:lineRule="auto"/>
        <w:ind w:firstLine="420" w:firstLineChars="200"/>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项目联系方式：</w:t>
      </w:r>
      <w:r>
        <w:rPr>
          <w:rFonts w:hint="eastAsia" w:eastAsiaTheme="minorEastAsia"/>
          <w:color w:val="auto"/>
          <w:sz w:val="21"/>
          <w:szCs w:val="21"/>
          <w:highlight w:val="none"/>
          <w:lang w:val="en-US" w:eastAsia="zh-CN"/>
        </w:rPr>
        <w:t>0574-83522171</w:t>
      </w:r>
    </w:p>
    <w:p w14:paraId="6D2909E7">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2.采购代理机构信息</w:t>
      </w:r>
    </w:p>
    <w:p w14:paraId="0AAAEBD0">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名称：</w:t>
      </w:r>
      <w:r>
        <w:rPr>
          <w:rFonts w:hint="eastAsia" w:eastAsiaTheme="minorEastAsia"/>
          <w:color w:val="auto"/>
          <w:sz w:val="21"/>
          <w:szCs w:val="21"/>
          <w:highlight w:val="none"/>
          <w:lang w:eastAsia="zh-CN"/>
        </w:rPr>
        <w:t>杭州建设工程造价咨询有限公司</w:t>
      </w:r>
      <w:r>
        <w:rPr>
          <w:rFonts w:hint="eastAsia" w:asciiTheme="minorEastAsia" w:hAnsiTheme="minorEastAsia" w:eastAsiaTheme="minorEastAsia"/>
          <w:color w:val="auto"/>
          <w:sz w:val="21"/>
          <w:szCs w:val="21"/>
          <w:highlight w:val="none"/>
          <w:lang w:val="en-US" w:eastAsia="zh-CN"/>
        </w:rPr>
        <w:t xml:space="preserve"> </w:t>
      </w:r>
    </w:p>
    <w:p w14:paraId="5FED3089">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地址：</w:t>
      </w:r>
      <w:r>
        <w:rPr>
          <w:rFonts w:hint="eastAsia" w:eastAsiaTheme="minorEastAsia"/>
          <w:color w:val="auto"/>
          <w:sz w:val="21"/>
          <w:szCs w:val="21"/>
          <w:highlight w:val="none"/>
          <w:lang w:eastAsia="zh-CN"/>
        </w:rPr>
        <w:t>宁海县桃源街道天明东路345号</w:t>
      </w:r>
      <w:r>
        <w:rPr>
          <w:rFonts w:hint="eastAsia" w:asciiTheme="minorEastAsia" w:hAnsiTheme="minorEastAsia" w:eastAsiaTheme="minorEastAsia"/>
          <w:color w:val="auto"/>
          <w:sz w:val="21"/>
          <w:szCs w:val="21"/>
          <w:highlight w:val="none"/>
          <w:lang w:val="en-US" w:eastAsia="zh-CN"/>
        </w:rPr>
        <w:t xml:space="preserve"> </w:t>
      </w:r>
    </w:p>
    <w:p w14:paraId="357A174E">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项目联系人：</w:t>
      </w:r>
      <w:r>
        <w:rPr>
          <w:rFonts w:hint="eastAsia" w:eastAsiaTheme="minorEastAsia"/>
          <w:color w:val="auto"/>
          <w:sz w:val="21"/>
          <w:szCs w:val="21"/>
          <w:highlight w:val="none"/>
          <w:lang w:eastAsia="zh-CN"/>
        </w:rPr>
        <w:t>杨戈</w:t>
      </w:r>
      <w:r>
        <w:rPr>
          <w:rFonts w:hint="eastAsia" w:asciiTheme="minorEastAsia" w:hAnsiTheme="minorEastAsia" w:eastAsiaTheme="minorEastAsia"/>
          <w:color w:val="auto"/>
          <w:sz w:val="21"/>
          <w:szCs w:val="21"/>
          <w:highlight w:val="none"/>
          <w:lang w:val="en-US" w:eastAsia="zh-CN"/>
        </w:rPr>
        <w:t xml:space="preserve"> </w:t>
      </w:r>
    </w:p>
    <w:p w14:paraId="2926EE51">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项目联系方式：</w:t>
      </w:r>
      <w:r>
        <w:rPr>
          <w:rFonts w:hint="eastAsia" w:eastAsiaTheme="minorEastAsia"/>
          <w:color w:val="auto"/>
          <w:sz w:val="21"/>
          <w:szCs w:val="21"/>
          <w:highlight w:val="none"/>
          <w:lang w:eastAsia="zh-CN"/>
        </w:rPr>
        <w:t>15268104475</w:t>
      </w:r>
      <w:r>
        <w:rPr>
          <w:rFonts w:hint="eastAsia"/>
          <w:color w:val="auto"/>
          <w:sz w:val="21"/>
          <w:szCs w:val="21"/>
          <w:highlight w:val="none"/>
        </w:rPr>
        <w:t xml:space="preserve"> </w:t>
      </w:r>
      <w:r>
        <w:rPr>
          <w:rFonts w:hint="eastAsia"/>
          <w:color w:val="auto"/>
          <w:sz w:val="21"/>
          <w:szCs w:val="21"/>
          <w:highlight w:val="none"/>
          <w:lang w:val="en-US" w:eastAsia="zh-CN"/>
        </w:rPr>
        <w:t xml:space="preserve"> </w:t>
      </w:r>
    </w:p>
    <w:p w14:paraId="39E93200">
      <w:pPr>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val="en-US" w:eastAsia="zh-CN"/>
        </w:rPr>
        <w:t>胡工</w:t>
      </w:r>
    </w:p>
    <w:p w14:paraId="2290061C">
      <w:pPr>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质疑联系方式：</w:t>
      </w:r>
      <w:r>
        <w:rPr>
          <w:rFonts w:hint="eastAsia"/>
          <w:color w:val="auto"/>
          <w:sz w:val="21"/>
          <w:szCs w:val="21"/>
          <w:highlight w:val="none"/>
          <w:lang w:eastAsia="zh-CN"/>
        </w:rPr>
        <w:t>0574-65250082</w:t>
      </w:r>
    </w:p>
    <w:p w14:paraId="557C1140">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3.同级政府采购监督管理部门</w:t>
      </w:r>
    </w:p>
    <w:p w14:paraId="2D832915">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名    称：宁海县政府采购管理办公室</w:t>
      </w:r>
    </w:p>
    <w:p w14:paraId="6BFB5289">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地    址：宁海县跃龙街道桃源中路218号</w:t>
      </w:r>
    </w:p>
    <w:p w14:paraId="75C6F882">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联系人：王老师</w:t>
      </w:r>
    </w:p>
    <w:p w14:paraId="41CF6FE2">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投诉电话：0574-65265668</w:t>
      </w:r>
    </w:p>
    <w:p w14:paraId="6F8488DD">
      <w:pPr>
        <w:spacing w:line="360" w:lineRule="auto"/>
        <w:ind w:firstLine="420" w:firstLineChars="200"/>
        <w:rPr>
          <w:rFonts w:hint="eastAsia" w:asciiTheme="minorEastAsia" w:hAnsiTheme="minorEastAsia" w:eastAsiaTheme="minorEastAsia"/>
          <w:color w:val="auto"/>
          <w:sz w:val="21"/>
          <w:szCs w:val="21"/>
          <w:highlight w:val="none"/>
        </w:rPr>
      </w:pPr>
    </w:p>
    <w:p w14:paraId="37B378C6">
      <w:pPr>
        <w:spacing w:line="360" w:lineRule="auto"/>
        <w:ind w:firstLine="420" w:firstLineChars="200"/>
        <w:rPr>
          <w:rFonts w:asciiTheme="minorEastAsia" w:hAnsiTheme="minorEastAsia" w:eastAsiaTheme="minorEastAsia"/>
          <w:color w:val="auto"/>
          <w:sz w:val="21"/>
          <w:szCs w:val="21"/>
          <w:highlight w:val="none"/>
        </w:rPr>
      </w:pPr>
      <w:bookmarkStart w:id="41" w:name="_Toc2540"/>
      <w:r>
        <w:rPr>
          <w:rFonts w:hint="eastAsia" w:asciiTheme="minorEastAsia" w:hAnsiTheme="minorEastAsia" w:eastAsiaTheme="minorEastAsia"/>
          <w:color w:val="auto"/>
          <w:sz w:val="21"/>
          <w:szCs w:val="21"/>
          <w:highlight w:val="none"/>
        </w:rPr>
        <w:t>若对项目采购电子交易系统操作有疑问，可登录政采云（</w:t>
      </w:r>
      <w:r>
        <w:rPr>
          <w:rFonts w:asciiTheme="minorEastAsia" w:hAnsiTheme="minorEastAsia" w:eastAsiaTheme="minorEastAsia"/>
          <w:color w:val="auto"/>
          <w:sz w:val="21"/>
          <w:szCs w:val="21"/>
          <w:highlight w:val="none"/>
        </w:rPr>
        <w:t>https://www.zcygov.cn/），点击右侧咨询小采，获取采小蜜智能服务管家帮助，或拨打政</w:t>
      </w:r>
      <w:r>
        <w:rPr>
          <w:rFonts w:hint="eastAsia" w:asciiTheme="minorEastAsia" w:hAnsiTheme="minorEastAsia" w:eastAsiaTheme="minorEastAsia"/>
          <w:color w:val="auto"/>
          <w:sz w:val="21"/>
          <w:szCs w:val="21"/>
          <w:highlight w:val="none"/>
        </w:rPr>
        <w:t>采云服务热线“95763”</w:t>
      </w:r>
      <w:r>
        <w:rPr>
          <w:rFonts w:asciiTheme="minorEastAsia" w:hAnsiTheme="minorEastAsia" w:eastAsiaTheme="minorEastAsia"/>
          <w:color w:val="auto"/>
          <w:sz w:val="21"/>
          <w:szCs w:val="21"/>
          <w:highlight w:val="none"/>
        </w:rPr>
        <w:t>获取热线服务帮助。</w:t>
      </w:r>
    </w:p>
    <w:p w14:paraId="53300085">
      <w:pPr>
        <w:spacing w:line="360" w:lineRule="auto"/>
        <w:ind w:firstLine="420" w:firstLineChars="200"/>
        <w:rPr>
          <w:rFonts w:cs="仿宋_GB2312" w:asciiTheme="minorEastAsia" w:hAnsiTheme="minorEastAsia" w:eastAsiaTheme="minorEastAsia"/>
          <w:b/>
          <w:color w:val="auto"/>
          <w:sz w:val="21"/>
          <w:szCs w:val="21"/>
          <w:highlight w:val="none"/>
        </w:rPr>
      </w:pPr>
      <w:r>
        <w:rPr>
          <w:rFonts w:asciiTheme="minorEastAsia" w:hAnsiTheme="minorEastAsia" w:eastAsiaTheme="minorEastAsia"/>
          <w:color w:val="auto"/>
          <w:sz w:val="21"/>
          <w:szCs w:val="21"/>
          <w:highlight w:val="none"/>
        </w:rPr>
        <w:t>CA问题联系电话（人工）：</w:t>
      </w:r>
      <w:r>
        <w:rPr>
          <w:rFonts w:hint="eastAsia" w:asciiTheme="minorEastAsia" w:hAnsiTheme="minorEastAsia" w:eastAsiaTheme="minorEastAsia"/>
          <w:color w:val="auto"/>
          <w:sz w:val="21"/>
          <w:szCs w:val="21"/>
          <w:highlight w:val="none"/>
        </w:rPr>
        <w:t>汇信</w:t>
      </w:r>
      <w:r>
        <w:rPr>
          <w:rFonts w:asciiTheme="minorEastAsia" w:hAnsiTheme="minorEastAsia" w:eastAsiaTheme="minorEastAsia"/>
          <w:color w:val="auto"/>
          <w:sz w:val="21"/>
          <w:szCs w:val="21"/>
          <w:highlight w:val="none"/>
        </w:rPr>
        <w:t>CA 400-888-4636；天谷CA 400-087-8198。</w:t>
      </w:r>
    </w:p>
    <w:p w14:paraId="584A9B91">
      <w:pPr>
        <w:rPr>
          <w:rFonts w:ascii="仿宋" w:hAnsi="仿宋" w:eastAsia="仿宋" w:cs="仿宋"/>
          <w:b/>
          <w:color w:val="auto"/>
          <w:sz w:val="36"/>
          <w:szCs w:val="20"/>
          <w:highlight w:val="none"/>
        </w:rPr>
      </w:pPr>
      <w:r>
        <w:rPr>
          <w:rFonts w:ascii="仿宋" w:hAnsi="仿宋" w:eastAsia="仿宋" w:cs="仿宋"/>
          <w:b/>
          <w:color w:val="auto"/>
          <w:sz w:val="36"/>
          <w:szCs w:val="20"/>
          <w:highlight w:val="none"/>
        </w:rPr>
        <w:br w:type="page"/>
      </w:r>
    </w:p>
    <w:p w14:paraId="5586DEAB">
      <w:pPr>
        <w:numPr>
          <w:ilvl w:val="0"/>
          <w:numId w:val="7"/>
        </w:numPr>
        <w:adjustRightInd/>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竞争性磋商须知</w:t>
      </w:r>
    </w:p>
    <w:p w14:paraId="03E03C51">
      <w:pPr>
        <w:numPr>
          <w:ilvl w:val="0"/>
          <w:numId w:val="0"/>
        </w:numPr>
        <w:adjustRightInd/>
        <w:spacing w:line="360" w:lineRule="auto"/>
        <w:jc w:val="center"/>
        <w:outlineLvl w:val="0"/>
        <w:rPr>
          <w:rFonts w:hint="eastAsia" w:ascii="仿宋" w:hAnsi="仿宋" w:eastAsia="仿宋" w:cs="仿宋"/>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1"/>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242DC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73987F9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CD4FDD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128A0C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本项目的特别规定</w:t>
            </w:r>
          </w:p>
        </w:tc>
      </w:tr>
      <w:tr w14:paraId="53B78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CCD84F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A9FCC70">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3A9B6B8">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宋体" w:hAnsi="宋体" w:cs="宋体"/>
                <w:color w:val="auto"/>
                <w:kern w:val="0"/>
                <w:sz w:val="21"/>
                <w:szCs w:val="21"/>
                <w:highlight w:val="none"/>
                <w:u w:val="single"/>
              </w:rPr>
              <w:t>工程</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sz w:val="21"/>
                <w:szCs w:val="21"/>
                <w:highlight w:val="none"/>
              </w:rPr>
              <w:t>类</w:t>
            </w:r>
          </w:p>
        </w:tc>
      </w:tr>
      <w:tr w14:paraId="096A0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7D6CDCD">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p>
          <w:p w14:paraId="76EF4BE1">
            <w:pPr>
              <w:keepNext w:val="0"/>
              <w:keepLines w:val="0"/>
              <w:pageBreakBefore w:val="0"/>
              <w:kinsoku/>
              <w:wordWrap/>
              <w:overflowPunct/>
              <w:topLinePunct w:val="0"/>
              <w:bidi w:val="0"/>
              <w:snapToGrid w:val="0"/>
              <w:spacing w:line="320" w:lineRule="exact"/>
              <w:jc w:val="both"/>
              <w:rPr>
                <w:rFonts w:hint="eastAsia" w:asciiTheme="minorEastAsia" w:hAnsiTheme="minorEastAsia" w:eastAsiaTheme="minorEastAsia" w:cstheme="minorEastAsia"/>
                <w:color w:val="auto"/>
                <w:sz w:val="21"/>
                <w:szCs w:val="21"/>
                <w:highlight w:val="none"/>
                <w:lang w:val="en-US" w:eastAsia="zh-CN"/>
              </w:rPr>
            </w:pPr>
          </w:p>
          <w:p w14:paraId="55E203D5">
            <w:pPr>
              <w:keepNext w:val="0"/>
              <w:keepLines w:val="0"/>
              <w:pageBreakBefore w:val="0"/>
              <w:kinsoku/>
              <w:wordWrap/>
              <w:overflowPunct/>
              <w:topLinePunct w:val="0"/>
              <w:bidi w:val="0"/>
              <w:snapToGrid w:val="0"/>
              <w:spacing w:line="320" w:lineRule="exact"/>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0C243A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2EF84BF">
            <w:pPr>
              <w:keepNext w:val="0"/>
              <w:keepLines w:val="0"/>
              <w:pageBreakBefore w:val="0"/>
              <w:kinsoku/>
              <w:wordWrap/>
              <w:overflowPunct/>
              <w:topLinePunct w:val="0"/>
              <w:bidi w:val="0"/>
              <w:snapToGrid w:val="0"/>
              <w:spacing w:line="320" w:lineRule="exact"/>
              <w:jc w:val="left"/>
              <w:rPr>
                <w:rFonts w:hint="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标的：</w:t>
            </w:r>
            <w:r>
              <w:rPr>
                <w:rFonts w:hint="eastAsia" w:asciiTheme="minorEastAsia" w:hAnsiTheme="minorEastAsia" w:eastAsiaTheme="minorEastAsia" w:cstheme="minorEastAsia"/>
                <w:color w:val="auto"/>
                <w:kern w:val="0"/>
                <w:sz w:val="21"/>
                <w:szCs w:val="21"/>
                <w:highlight w:val="none"/>
                <w:u w:val="single"/>
                <w:lang w:val="en-US" w:eastAsia="zh-CN"/>
              </w:rPr>
              <w:t xml:space="preserve"> 2025年宁海县普通国省道大桥隐患治理工程 </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CN"/>
              </w:rPr>
              <w:t>属于</w:t>
            </w:r>
            <w:r>
              <w:rPr>
                <w:rFonts w:hint="eastAsia" w:asciiTheme="minorEastAsia" w:hAnsiTheme="minorEastAsia" w:eastAsiaTheme="minorEastAsia" w:cstheme="minorEastAsia"/>
                <w:color w:val="auto"/>
                <w:kern w:val="0"/>
                <w:sz w:val="21"/>
                <w:szCs w:val="21"/>
                <w:highlight w:val="none"/>
                <w:u w:val="single"/>
                <w:lang w:val="en-US" w:eastAsia="zh-CN"/>
              </w:rPr>
              <w:t>建筑业</w:t>
            </w:r>
            <w:r>
              <w:rPr>
                <w:rFonts w:hint="eastAsia" w:asciiTheme="minorEastAsia" w:hAnsiTheme="minorEastAsia" w:eastAsiaTheme="minorEastAsia" w:cstheme="minorEastAsia"/>
                <w:color w:val="auto"/>
                <w:kern w:val="0"/>
                <w:sz w:val="21"/>
                <w:szCs w:val="21"/>
                <w:highlight w:val="none"/>
                <w:lang w:val="zh-CN"/>
              </w:rPr>
              <w:t>行业；</w:t>
            </w:r>
          </w:p>
        </w:tc>
      </w:tr>
      <w:tr w14:paraId="5AF4B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3D37CE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070405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BF0E971">
            <w:pPr>
              <w:keepNext w:val="0"/>
              <w:keepLines w:val="0"/>
              <w:pageBreakBefore w:val="0"/>
              <w:kinsoku/>
              <w:wordWrap/>
              <w:overflowPunct/>
              <w:topLinePunct w:val="0"/>
              <w:bidi w:val="0"/>
              <w:spacing w:line="320" w:lineRule="exact"/>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5585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263CB8D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color w:val="auto"/>
                  <w:kern w:val="0"/>
                  <w:sz w:val="21"/>
                  <w:szCs w:val="21"/>
                  <w:highlight w:val="none"/>
                </w:rPr>
                <w:id w:val="147461891"/>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2FEDE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2C01D4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43AFCD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48905B3">
            <w:pPr>
              <w:keepNext w:val="0"/>
              <w:keepLines w:val="0"/>
              <w:pageBreakBefore w:val="0"/>
              <w:kinsoku/>
              <w:wordWrap/>
              <w:overflowPunct/>
              <w:topLinePunct w:val="0"/>
              <w:bidi w:val="0"/>
              <w:spacing w:line="320" w:lineRule="exact"/>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6173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工作分包。</w:t>
            </w:r>
          </w:p>
          <w:p w14:paraId="50004821">
            <w:pPr>
              <w:keepNext w:val="0"/>
              <w:keepLines w:val="0"/>
              <w:pageBreakBefore w:val="0"/>
              <w:kinsoku/>
              <w:wordWrap/>
              <w:overflowPunct/>
              <w:topLinePunct w:val="0"/>
              <w:bidi w:val="0"/>
              <w:spacing w:line="320" w:lineRule="exact"/>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5235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p w14:paraId="429AC35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r>
              <w:rPr>
                <w:rFonts w:hint="eastAsia" w:ascii="宋体" w:hAnsi="宋体" w:cs="宋体"/>
                <w:color w:val="auto"/>
                <w:sz w:val="21"/>
                <w:szCs w:val="21"/>
                <w:highlight w:val="none"/>
              </w:rPr>
              <w:t>注：不得限制大中型企业向小微企业合理分包。</w:t>
            </w:r>
          </w:p>
        </w:tc>
      </w:tr>
      <w:tr w14:paraId="4179A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CC120E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BF6A4C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7EAEFF9">
            <w:pPr>
              <w:keepNext w:val="0"/>
              <w:keepLines w:val="0"/>
              <w:pageBreakBefore w:val="0"/>
              <w:kinsoku/>
              <w:wordWrap/>
              <w:overflowPunct/>
              <w:topLinePunct w:val="0"/>
              <w:bidi w:val="0"/>
              <w:spacing w:line="320" w:lineRule="exact"/>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60005"/>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7CF3169A">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color w:val="auto"/>
                  <w:kern w:val="0"/>
                  <w:sz w:val="21"/>
                  <w:szCs w:val="21"/>
                  <w:highlight w:val="none"/>
                </w:rPr>
                <w:id w:val="14746837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2DE35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06DD4E3">
            <w:pPr>
              <w:keepNext w:val="0"/>
              <w:keepLines w:val="0"/>
              <w:pageBreakBefore w:val="0"/>
              <w:kinsoku/>
              <w:wordWrap/>
              <w:overflowPunct/>
              <w:topLinePunct w:val="0"/>
              <w:bidi w:val="0"/>
              <w:snapToGrid w:val="0"/>
              <w:spacing w:line="320" w:lineRule="exact"/>
              <w:jc w:val="center"/>
              <w:rPr>
                <w:rFonts w:hint="eastAsia" w:ascii="宋体" w:hAnsi="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D73B559">
            <w:pPr>
              <w:keepNext w:val="0"/>
              <w:keepLines w:val="0"/>
              <w:pageBreakBefore w:val="0"/>
              <w:kinsoku/>
              <w:wordWrap/>
              <w:overflowPunct/>
              <w:topLinePunct w:val="0"/>
              <w:bidi w:val="0"/>
              <w:snapToGrid w:val="0"/>
              <w:spacing w:line="320" w:lineRule="exact"/>
              <w:jc w:val="center"/>
              <w:rPr>
                <w:rFonts w:hint="eastAsia" w:ascii="宋体" w:hAnsi="宋体" w:cs="宋体"/>
                <w:b/>
                <w:color w:val="auto"/>
                <w:sz w:val="21"/>
                <w:szCs w:val="21"/>
                <w:highlight w:val="none"/>
              </w:rPr>
            </w:pPr>
            <w:r>
              <w:rPr>
                <w:rFonts w:hint="eastAsia" w:asciiTheme="minorEastAsia" w:hAnsiTheme="minorEastAsia" w:eastAsiaTheme="minorEastAsia" w:cstheme="minorEastAsia"/>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99947F0">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不要求提供。</w:t>
            </w:r>
          </w:p>
          <w:p w14:paraId="186E005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B要求提供，</w:t>
            </w:r>
          </w:p>
          <w:p w14:paraId="4E8CB8E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snapToGrid w:val="0"/>
                <w:color w:val="auto"/>
                <w:kern w:val="28"/>
                <w:sz w:val="21"/>
                <w:szCs w:val="21"/>
                <w:highlight w:val="none"/>
              </w:rPr>
              <w:t>样品：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18B07FC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snapToGrid w:val="0"/>
                <w:color w:val="auto"/>
                <w:kern w:val="28"/>
                <w:sz w:val="21"/>
                <w:szCs w:val="21"/>
                <w:highlight w:val="none"/>
              </w:rPr>
              <w:t>样品制作的标准和要求：</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3DA71B3A">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（3）样品的评审方法以及评审标准</w:t>
            </w:r>
            <w:r>
              <w:rPr>
                <w:rFonts w:hint="eastAsia" w:asciiTheme="minorEastAsia" w:hAnsiTheme="minorEastAsia" w:eastAsiaTheme="minorEastAsia" w:cstheme="minorEastAsia"/>
                <w:snapToGrid w:val="0"/>
                <w:color w:val="auto"/>
                <w:kern w:val="28"/>
                <w:sz w:val="21"/>
                <w:szCs w:val="21"/>
                <w:highlight w:val="none"/>
              </w:rPr>
              <w:t>：详见</w:t>
            </w:r>
            <w:r>
              <w:rPr>
                <w:rFonts w:hint="eastAsia" w:asciiTheme="minorEastAsia" w:hAnsiTheme="minorEastAsia" w:eastAsiaTheme="minorEastAsia" w:cstheme="minorEastAsia"/>
                <w:color w:val="auto"/>
                <w:sz w:val="21"/>
                <w:szCs w:val="21"/>
                <w:highlight w:val="none"/>
                <w:u w:val="single"/>
              </w:rPr>
              <w:t>评标办法</w:t>
            </w:r>
            <w:r>
              <w:rPr>
                <w:rFonts w:hint="eastAsia" w:asciiTheme="minorEastAsia" w:hAnsiTheme="minorEastAsia" w:eastAsiaTheme="minorEastAsia" w:cstheme="minorEastAsia"/>
                <w:color w:val="auto"/>
                <w:kern w:val="0"/>
                <w:sz w:val="21"/>
                <w:szCs w:val="21"/>
                <w:highlight w:val="none"/>
              </w:rPr>
              <w:t>；</w:t>
            </w:r>
          </w:p>
          <w:p w14:paraId="26C2A63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（4）是否需要随样品提交检测报告：</w:t>
            </w: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否；☐是，检测机构的要求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；检测内容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3DF9F39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（5）提供样品的时间：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；联系人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28"/>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。请</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在上述时间内提供样品并按规定位置安装完毕。超过截止时间的，采购人或采购代理机构将不予接收，并将清场并封闭样品现场。</w:t>
            </w:r>
          </w:p>
          <w:p w14:paraId="7FDB463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(6)采购活动结束后，对于未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机构将通知未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人在规定的时间内取回，逾期未取回的，采购人、采购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机构不负保管义务；对于</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人提供的样品，采购人将进行保管、封存，并作为履约验收的参考。</w:t>
            </w:r>
          </w:p>
          <w:p w14:paraId="0374D1BD">
            <w:pPr>
              <w:keepNext w:val="0"/>
              <w:keepLines w:val="0"/>
              <w:pageBreakBefore w:val="0"/>
              <w:kinsoku/>
              <w:wordWrap/>
              <w:overflowPunct/>
              <w:topLinePunct w:val="0"/>
              <w:bidi w:val="0"/>
              <w:spacing w:line="320" w:lineRule="exact"/>
              <w:rPr>
                <w:rFonts w:hint="eastAsia" w:ascii="宋体" w:hAnsi="宋体" w:cs="宋体"/>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（7）制作、运输、安装和保管样品所发生的一切费用由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w:t>
            </w:r>
          </w:p>
        </w:tc>
      </w:tr>
      <w:tr w14:paraId="690F0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8A984D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297F68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B9BE33A">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sz w:val="21"/>
                <w:szCs w:val="21"/>
                <w:highlight w:val="none"/>
              </w:rPr>
              <w:t>不组织。</w:t>
            </w:r>
          </w:p>
          <w:p w14:paraId="338BEF5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☐B组织。</w:t>
            </w:r>
          </w:p>
          <w:p w14:paraId="17E137DB">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（1）在评标时安排每个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进行方案讲解演示。每个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时间不超过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分钟，讲解次序以</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lang w:eastAsia="zh-CN"/>
              </w:rPr>
              <w:t>文件</w:t>
            </w:r>
            <w:r>
              <w:rPr>
                <w:rFonts w:hint="eastAsia" w:asciiTheme="minorEastAsia" w:hAnsiTheme="minorEastAsia" w:eastAsiaTheme="minorEastAsia" w:cstheme="minorEastAsia"/>
                <w:color w:val="auto"/>
                <w:kern w:val="0"/>
                <w:sz w:val="21"/>
                <w:szCs w:val="21"/>
                <w:highlight w:val="none"/>
              </w:rPr>
              <w:t>解密时间先后次序为准，讲解演示人员不超过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人。讲解演示结束后按要求解答</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提问。</w:t>
            </w:r>
          </w:p>
          <w:p w14:paraId="592B5B60">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（2）方案讲解演示可选择以下其中一种方式：</w:t>
            </w:r>
          </w:p>
          <w:p w14:paraId="1D036173">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方式一：政采云平台在线讲解演示。政采云平台在线讲解需</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根据政采云平台操作要求做好准备工作，提前完善软硬件配置环境。</w:t>
            </w:r>
          </w:p>
          <w:p w14:paraId="0057D9E4">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方式二：交易中心现场讲解演示。现场讲解地点为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，讲解演示所用电脑等设备由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自备。现场讲解演示人员进场时提供讲解人员名单（加盖公章）及身份证明，否则不得讲解演示。</w:t>
            </w:r>
          </w:p>
          <w:p w14:paraId="6297776E">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注：因</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5BDBC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8BC6D2C">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E7DCE3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4FD651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资格证明</w:t>
            </w:r>
            <w:r>
              <w:rPr>
                <w:rFonts w:hint="eastAsia" w:asciiTheme="minorEastAsia" w:hAnsiTheme="minorEastAsia" w:eastAsiaTheme="minorEastAsia" w:cstheme="minorEastAsia"/>
                <w:color w:val="auto"/>
                <w:sz w:val="21"/>
                <w:szCs w:val="21"/>
                <w:highlight w:val="none"/>
                <w:lang w:eastAsia="zh-CN"/>
              </w:rPr>
              <w:t>要求</w:t>
            </w:r>
            <w:r>
              <w:rPr>
                <w:rFonts w:hint="eastAsia" w:asciiTheme="minorEastAsia" w:hAnsiTheme="minorEastAsia" w:eastAsiaTheme="minorEastAsia" w:cstheme="minorEastAsia"/>
                <w:color w:val="auto"/>
                <w:sz w:val="21"/>
                <w:szCs w:val="21"/>
                <w:highlight w:val="none"/>
              </w:rPr>
              <w:t>：见</w:t>
            </w:r>
            <w:r>
              <w:rPr>
                <w:rFonts w:hint="eastAsia" w:asciiTheme="minorEastAsia" w:hAnsiTheme="minorEastAsia" w:eastAsiaTheme="minorEastAsia" w:cstheme="minorEastAsia"/>
                <w:color w:val="auto"/>
                <w:kern w:val="0"/>
                <w:sz w:val="21"/>
                <w:szCs w:val="21"/>
                <w:highlight w:val="none"/>
                <w:lang w:val="zh-CN"/>
              </w:rPr>
              <w:t>“采购公告”第二条申请人的资格要求</w:t>
            </w:r>
            <w:r>
              <w:rPr>
                <w:rFonts w:hint="eastAsia" w:asciiTheme="minorEastAsia" w:hAnsiTheme="minorEastAsia" w:eastAsiaTheme="minorEastAsia" w:cstheme="minorEastAsia"/>
                <w:color w:val="auto"/>
                <w:sz w:val="21"/>
                <w:szCs w:val="21"/>
                <w:highlight w:val="none"/>
              </w:rPr>
              <w:t>。</w:t>
            </w:r>
          </w:p>
          <w:p w14:paraId="063E1F2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资格证明文件不全的或者不符合</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rPr>
              <w:t>标明的资格要求的</w:t>
            </w:r>
            <w:r>
              <w:rPr>
                <w:rFonts w:hint="eastAsia" w:asciiTheme="minorEastAsia" w:hAnsiTheme="minorEastAsia" w:eastAsiaTheme="minorEastAsia" w:cstheme="minorEastAsia"/>
                <w:color w:val="auto"/>
                <w:sz w:val="21"/>
                <w:szCs w:val="21"/>
                <w:highlight w:val="none"/>
                <w:lang w:val="zh-CN"/>
              </w:rPr>
              <w:t>，视为供应商不具备</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lang w:val="zh-CN"/>
              </w:rPr>
              <w:t>中规定的资格要求，响应无效。</w:t>
            </w:r>
          </w:p>
        </w:tc>
      </w:tr>
      <w:tr w14:paraId="7A443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904C5B1">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B09E91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宋体" w:hAnsi="宋体" w:eastAsia="宋体" w:cs="宋体"/>
                <w:b/>
                <w:color w:val="auto"/>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229645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5AF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5A7E1A3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7B28F4AD">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5103F2C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00DCB31">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77B61B2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B6FC01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51FE2C4">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42A69EB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11829E4">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96B048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有关本项目实施所需的所有费用（含税费）均计入报价。报价单是报价的唯一载体。采购文件未列明，而供应商认为必需的费用也需列入报价。</w:t>
            </w:r>
          </w:p>
          <w:p w14:paraId="64DCE44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最后报价出现下列情形的，响应文件无效：</w:t>
            </w:r>
          </w:p>
          <w:p w14:paraId="4E4CE11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响应文件出现不是唯一的、有选择性最后报价的；</w:t>
            </w:r>
          </w:p>
          <w:p w14:paraId="4316A69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报价明显低于其他通过符合性审查供应商的报价，有可能影响产品质量或者不能诚信履约的，未能按要求提供书面说明或者提交相关证明材料证明其报价合理性的；</w:t>
            </w:r>
          </w:p>
          <w:p w14:paraId="5AE5CEB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最后报价超过采购文件中规定的最高限价的；</w:t>
            </w:r>
          </w:p>
          <w:p w14:paraId="55D6388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供应商对根据修正原则修正后的报价不确认的。</w:t>
            </w:r>
          </w:p>
          <w:p w14:paraId="43D3E38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所有供应商初次报价须按采购文件的报价单及《工程量清单》格式报价；</w:t>
            </w:r>
          </w:p>
          <w:p w14:paraId="2AA545D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所有有效供应商应在规定时间内在线提交第二次报价，只填报总价（即最终报价），磋商小组以第二次报价（即最终报价）作为价格评议的标准。</w:t>
            </w:r>
          </w:p>
          <w:p w14:paraId="3F35919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color w:val="auto"/>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注：在正式合同签订前，成交供应商必须提供与响应文件最后报价（即最终报价）相一致的已标价工程量清单明细，作为供应商响应文件的有效组成部分。</w:t>
            </w:r>
          </w:p>
        </w:tc>
      </w:tr>
      <w:tr w14:paraId="2A5C1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1CC7B9C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2A5F515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5DC6BC7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1FA6C0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79C449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28"/>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764B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A714F8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AE217E0">
            <w:pPr>
              <w:pStyle w:val="32"/>
              <w:keepNext w:val="0"/>
              <w:keepLines w:val="0"/>
              <w:pageBreakBefore w:val="0"/>
              <w:kinsoku/>
              <w:wordWrap/>
              <w:overflowPunct/>
              <w:topLinePunct w:val="0"/>
              <w:bidi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83E9C69">
            <w:pPr>
              <w:pStyle w:val="6"/>
              <w:keepNext w:val="0"/>
              <w:keepLines w:val="0"/>
              <w:pageBreakBefore w:val="0"/>
              <w:kinsoku/>
              <w:wordWrap/>
              <w:overflowPunct/>
              <w:topLinePunct w:val="0"/>
              <w:bidi w:val="0"/>
              <w:spacing w:line="320" w:lineRule="exact"/>
              <w:ind w:left="0" w:leftChars="0" w:firstLine="0" w:firstLineChars="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需缴纳投标保证金。</w:t>
            </w:r>
          </w:p>
        </w:tc>
      </w:tr>
      <w:tr w14:paraId="7DE8E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60A546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D9B2B0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备份</w:t>
            </w:r>
            <w:r>
              <w:rPr>
                <w:rFonts w:hint="eastAsia" w:asciiTheme="minorEastAsia" w:hAnsiTheme="minorEastAsia" w:eastAsiaTheme="minorEastAsia" w:cstheme="minorEastAsia"/>
                <w:b/>
                <w:color w:val="auto"/>
                <w:sz w:val="21"/>
                <w:szCs w:val="21"/>
                <w:highlight w:val="none"/>
                <w:lang w:val="en-US" w:eastAsia="zh-CN"/>
              </w:rPr>
              <w:t>响应</w:t>
            </w:r>
            <w:r>
              <w:rPr>
                <w:rFonts w:hint="eastAsia" w:asciiTheme="minorEastAsia" w:hAnsiTheme="minorEastAsia" w:eastAsiaTheme="minorEastAsia" w:cstheme="minorEastAsia"/>
                <w:b/>
                <w:color w:val="auto"/>
                <w:sz w:val="21"/>
                <w:szCs w:val="21"/>
                <w:highlight w:val="none"/>
              </w:rPr>
              <w:t>文件送达</w:t>
            </w:r>
            <w:r>
              <w:rPr>
                <w:rFonts w:hint="eastAsia" w:asciiTheme="minorEastAsia" w:hAnsiTheme="minorEastAsia" w:eastAsiaTheme="minorEastAsia" w:cstheme="minorEastAsia"/>
                <w:b/>
                <w:color w:val="auto"/>
                <w:sz w:val="21"/>
                <w:szCs w:val="21"/>
                <w:highlight w:val="none"/>
                <w:lang w:val="en-US" w:eastAsia="zh-CN"/>
              </w:rPr>
              <w:t>时间、</w:t>
            </w:r>
            <w:r>
              <w:rPr>
                <w:rFonts w:hint="eastAsia" w:asciiTheme="minorEastAsia" w:hAnsiTheme="minorEastAsia" w:eastAsiaTheme="minorEastAsia" w:cstheme="minorEastAsia"/>
                <w:b/>
                <w:color w:val="auto"/>
                <w:sz w:val="21"/>
                <w:szCs w:val="21"/>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0225ECA">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（1）直接提交备份响应文件的：</w:t>
            </w:r>
          </w:p>
          <w:p w14:paraId="6AE7D84E">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14:paraId="5F1C118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（2）以邮政快递方式递交备份响应文件的：</w:t>
            </w:r>
          </w:p>
          <w:p w14:paraId="6F953AD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宁海县桃源街道天明东路345号 </w:t>
            </w:r>
            <w:r>
              <w:rPr>
                <w:rFonts w:hint="eastAsia" w:asciiTheme="minorEastAsia" w:hAnsiTheme="minorEastAsia" w:eastAsiaTheme="minorEastAsia" w:cstheme="minorEastAsia"/>
                <w:snapToGrid w:val="0"/>
                <w:color w:val="auto"/>
                <w:kern w:val="28"/>
                <w:sz w:val="21"/>
                <w:szCs w:val="21"/>
                <w:highlight w:val="none"/>
                <w:lang w:val="en-US" w:eastAsia="zh-CN"/>
              </w:rPr>
              <w:t>；备份响应文件签收人员联系电话：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杨戈15268104475 </w:t>
            </w:r>
          </w:p>
          <w:p w14:paraId="75B69DF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采购人、采购代理机构不强制或变相强制供应商提交备份响应文件。</w:t>
            </w:r>
          </w:p>
        </w:tc>
      </w:tr>
      <w:tr w14:paraId="135EC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4F3867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DFF15E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F51206A">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kern w:val="28"/>
                <w:sz w:val="21"/>
                <w:szCs w:val="21"/>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1"/>
                <w:szCs w:val="21"/>
                <w:highlight w:val="none"/>
              </w:rPr>
              <w:t>。</w:t>
            </w:r>
          </w:p>
        </w:tc>
      </w:tr>
      <w:tr w14:paraId="19A2B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2CEACD46">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FCB0B1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0450F6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采购代理按下表中工程招标标准（按差额定率累进法计算），根据中标金额，向中标人收取中标服务费。</w:t>
            </w:r>
          </w:p>
          <w:tbl>
            <w:tblPr>
              <w:tblStyle w:val="61"/>
              <w:tblW w:w="0" w:type="auto"/>
              <w:jc w:val="center"/>
              <w:tblLayout w:type="fixed"/>
              <w:tblCellMar>
                <w:top w:w="15" w:type="dxa"/>
                <w:left w:w="15" w:type="dxa"/>
                <w:bottom w:w="15" w:type="dxa"/>
                <w:right w:w="15" w:type="dxa"/>
              </w:tblCellMar>
            </w:tblPr>
            <w:tblGrid>
              <w:gridCol w:w="2740"/>
              <w:gridCol w:w="1276"/>
              <w:gridCol w:w="1276"/>
              <w:gridCol w:w="1278"/>
            </w:tblGrid>
            <w:tr w14:paraId="350F5D2F">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414C1CF9">
                  <w:pPr>
                    <w:keepNext w:val="0"/>
                    <w:keepLines w:val="0"/>
                    <w:pageBreakBefore w:val="0"/>
                    <w:widowControl w:val="0"/>
                    <w:kinsoku/>
                    <w:wordWrap/>
                    <w:overflowPunct/>
                    <w:topLinePunct w:val="0"/>
                    <w:autoSpaceDE/>
                    <w:autoSpaceDN/>
                    <w:bidi w:val="0"/>
                    <w:adjustRightInd w:val="0"/>
                    <w:spacing w:line="240" w:lineRule="auto"/>
                    <w:jc w:val="right"/>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类型</w:t>
                  </w:r>
                </w:p>
                <w:p w14:paraId="449AC147">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金额（万元）</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1B2D46E">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货物招标</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D4977FC">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服务招标</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63ED139">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工程招标</w:t>
                  </w:r>
                </w:p>
              </w:tc>
            </w:tr>
            <w:tr w14:paraId="4CBC4914">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31ECFF4">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100以下</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30B184D">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820F28B">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B237E72">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1.0%</w:t>
                  </w:r>
                </w:p>
              </w:tc>
            </w:tr>
            <w:tr w14:paraId="1231CA52">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37E9903">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100-500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B90A13C">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1.1%</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12FF1AD">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0.8%</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8B0F09A">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0.7%</w:t>
                  </w:r>
                </w:p>
              </w:tc>
            </w:tr>
            <w:tr w14:paraId="1F8C2C77">
              <w:tblPrEx>
                <w:tblCellMar>
                  <w:top w:w="15" w:type="dxa"/>
                  <w:left w:w="15" w:type="dxa"/>
                  <w:bottom w:w="15" w:type="dxa"/>
                  <w:right w:w="15" w:type="dxa"/>
                </w:tblCellMar>
              </w:tblPrEx>
              <w:trPr>
                <w:trHeight w:val="261"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1951385">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500-1000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3C13E41">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0.8%</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529C532">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0.45%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53BB89E">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0.55%</w:t>
                  </w:r>
                </w:p>
              </w:tc>
            </w:tr>
            <w:tr w14:paraId="616B36FD">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A39A6E1">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1000-5000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6C13B53">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53BE2FE">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0.25%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8D3A0B0">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0.35%</w:t>
                  </w:r>
                </w:p>
              </w:tc>
            </w:tr>
            <w:tr w14:paraId="3B9B0DDD">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F58ACD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5000-10000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9D82EB4">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0.25%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1F8124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0.1%</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595CBFF">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0.2%</w:t>
                  </w:r>
                </w:p>
              </w:tc>
            </w:tr>
          </w:tbl>
          <w:p w14:paraId="61C93BB4">
            <w:pPr>
              <w:pStyle w:val="2"/>
              <w:rPr>
                <w:rFonts w:hint="eastAsia"/>
                <w:color w:val="auto"/>
                <w:highlight w:val="none"/>
                <w:lang w:val="en-US" w:eastAsia="zh-CN"/>
              </w:rPr>
            </w:pPr>
          </w:p>
          <w:p w14:paraId="62BC8BD3">
            <w:pPr>
              <w:keepNext w:val="0"/>
              <w:keepLines w:val="0"/>
              <w:pageBreakBefore w:val="0"/>
              <w:kinsoku/>
              <w:wordWrap/>
              <w:overflowPunct/>
              <w:topLinePunct w:val="0"/>
              <w:bidi w:val="0"/>
              <w:spacing w:line="320" w:lineRule="exact"/>
              <w:ind w:firstLine="420" w:firstLineChars="200"/>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color w:val="auto"/>
                <w:sz w:val="21"/>
                <w:szCs w:val="21"/>
                <w:highlight w:val="none"/>
                <w:lang w:bidi="ar"/>
              </w:rPr>
              <w:t>备注：（1）中标服务费按差额定率累进法计算；（2）中标服务费只收现金、银行票汇款、电汇款。汇入以下账户：</w:t>
            </w:r>
            <w:r>
              <w:rPr>
                <w:rFonts w:hint="eastAsia" w:asciiTheme="minorEastAsia" w:hAnsiTheme="minorEastAsia" w:eastAsiaTheme="minorEastAsia" w:cstheme="minorEastAsia"/>
                <w:color w:val="auto"/>
                <w:sz w:val="21"/>
                <w:szCs w:val="21"/>
                <w:highlight w:val="none"/>
              </w:rPr>
              <w:t>开户银行：</w:t>
            </w:r>
            <w:r>
              <w:rPr>
                <w:rFonts w:hint="eastAsia" w:ascii="宋体" w:hAnsi="宋体" w:cs="宋体" w:eastAsiaTheme="minorEastAsia"/>
                <w:bCs/>
                <w:color w:val="auto"/>
                <w:sz w:val="21"/>
                <w:szCs w:val="21"/>
                <w:highlight w:val="none"/>
                <w:u w:val="single"/>
                <w:lang w:eastAsia="zh-CN"/>
              </w:rPr>
              <w:t>宁波银行股份有限公司宁海支行</w:t>
            </w:r>
            <w:r>
              <w:rPr>
                <w:rFonts w:hint="eastAsia" w:asciiTheme="minorEastAsia" w:hAnsiTheme="minorEastAsia" w:eastAsiaTheme="minorEastAsia" w:cstheme="minorEastAsia"/>
                <w:color w:val="auto"/>
                <w:sz w:val="21"/>
                <w:szCs w:val="21"/>
                <w:highlight w:val="none"/>
              </w:rPr>
              <w:t>，户名：</w:t>
            </w:r>
            <w:r>
              <w:rPr>
                <w:rFonts w:hint="eastAsia" w:hAnsi="宋体"/>
                <w:color w:val="auto"/>
                <w:highlight w:val="none"/>
                <w:u w:val="single"/>
                <w:lang w:eastAsia="zh-CN"/>
              </w:rPr>
              <w:t>杭州建设工程造价咨询有限公司宁海分公司</w:t>
            </w:r>
            <w:r>
              <w:rPr>
                <w:rFonts w:hint="eastAsia" w:asciiTheme="minorEastAsia" w:hAnsiTheme="minorEastAsia" w:eastAsiaTheme="minorEastAsia" w:cstheme="minorEastAsia"/>
                <w:color w:val="auto"/>
                <w:sz w:val="21"/>
                <w:szCs w:val="21"/>
                <w:highlight w:val="none"/>
              </w:rPr>
              <w:t>，账号：</w:t>
            </w:r>
            <w:r>
              <w:rPr>
                <w:rFonts w:hint="eastAsia" w:hAnsi="宋体" w:cs="Times New Roman"/>
                <w:color w:val="auto"/>
                <w:highlight w:val="none"/>
                <w:u w:val="single"/>
                <w:lang w:eastAsia="zh-CN"/>
              </w:rPr>
              <w:t>60010122000890752</w:t>
            </w:r>
            <w:r>
              <w:rPr>
                <w:rFonts w:hint="eastAsia" w:asciiTheme="minorEastAsia" w:hAnsiTheme="minorEastAsia" w:eastAsiaTheme="minorEastAsia" w:cstheme="minorEastAsia"/>
                <w:color w:val="auto"/>
                <w:sz w:val="21"/>
                <w:szCs w:val="21"/>
                <w:highlight w:val="none"/>
              </w:rPr>
              <w:t>。</w:t>
            </w:r>
          </w:p>
        </w:tc>
      </w:tr>
    </w:tbl>
    <w:p w14:paraId="7A7D60D9">
      <w:pPr>
        <w:rPr>
          <w:rFonts w:cs="仿宋_GB2312"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w:br w:type="page"/>
      </w:r>
    </w:p>
    <w:bookmarkEnd w:id="8"/>
    <w:bookmarkEnd w:id="9"/>
    <w:bookmarkEnd w:id="10"/>
    <w:bookmarkEnd w:id="41"/>
    <w:p w14:paraId="2394F56B">
      <w:pPr>
        <w:snapToGrid w:val="0"/>
        <w:spacing w:line="360" w:lineRule="auto"/>
        <w:jc w:val="center"/>
        <w:outlineLvl w:val="0"/>
        <w:rPr>
          <w:rFonts w:ascii="宋体" w:hAnsi="宋体" w:cs="宋体"/>
          <w:b/>
          <w:color w:val="auto"/>
          <w:sz w:val="21"/>
          <w:szCs w:val="21"/>
          <w:highlight w:val="none"/>
        </w:rPr>
      </w:pPr>
      <w:bookmarkStart w:id="42" w:name="_Hlt74714665"/>
      <w:bookmarkEnd w:id="42"/>
      <w:bookmarkStart w:id="43" w:name="_Hlt75236290"/>
      <w:bookmarkEnd w:id="43"/>
      <w:bookmarkStart w:id="44" w:name="_Hlt75236011"/>
      <w:bookmarkEnd w:id="44"/>
      <w:bookmarkStart w:id="45" w:name="_Hlt68072990"/>
      <w:bookmarkEnd w:id="45"/>
      <w:bookmarkStart w:id="46" w:name="_Hlt75236101"/>
      <w:bookmarkEnd w:id="46"/>
      <w:bookmarkStart w:id="47" w:name="_Hlt68057669"/>
      <w:bookmarkEnd w:id="47"/>
      <w:bookmarkStart w:id="48" w:name="_Hlt74730295"/>
      <w:bookmarkEnd w:id="48"/>
      <w:bookmarkStart w:id="49" w:name="_Hlt74729768"/>
      <w:bookmarkEnd w:id="49"/>
      <w:bookmarkStart w:id="50" w:name="_Hlt74707468"/>
      <w:bookmarkEnd w:id="50"/>
      <w:bookmarkStart w:id="51" w:name="_Toc164416483"/>
      <w:bookmarkStart w:id="52" w:name="_Toc91899903"/>
      <w:bookmarkStart w:id="53" w:name="第三部分"/>
      <w:r>
        <w:rPr>
          <w:rFonts w:hint="eastAsia" w:ascii="宋体" w:hAnsi="宋体" w:cs="宋体"/>
          <w:b/>
          <w:color w:val="auto"/>
          <w:sz w:val="32"/>
          <w:szCs w:val="32"/>
          <w:highlight w:val="none"/>
        </w:rPr>
        <w:t>一、总则</w:t>
      </w:r>
    </w:p>
    <w:p w14:paraId="647CA88B">
      <w:pPr>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lang w:eastAsia="zh-CN"/>
        </w:rPr>
        <w:t>适用范围</w:t>
      </w:r>
    </w:p>
    <w:p w14:paraId="68134966">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本采购文件适用于该项目的采购邀请、响应文件提交、响应文件开启、资格审查及信用信息查询、磋商、评审、成交供应商确定、合同、验收等行为（法律、法规另有规定的，从其规定）。</w:t>
      </w:r>
    </w:p>
    <w:p w14:paraId="4162E3D2">
      <w:pPr>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2</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lang w:eastAsia="zh-CN"/>
        </w:rPr>
        <w:t>定义</w:t>
      </w:r>
    </w:p>
    <w:p w14:paraId="181AD28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“采购人”系指竞争性磋商公告中载明的本项目的采购人。</w:t>
      </w:r>
    </w:p>
    <w:p w14:paraId="7833CDF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”系指竞争性磋商公告中载明的本项目的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w:t>
      </w:r>
    </w:p>
    <w:p w14:paraId="220DB20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“供应商”系指是指提交响应文件和报价、参与竞争性磋商采购活动的法人、其他组织或者自然人。</w:t>
      </w:r>
    </w:p>
    <w:p w14:paraId="163374D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5082362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B56018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w:t>
      </w:r>
      <w:r>
        <w:rPr>
          <w:rFonts w:hint="eastAsia" w:ascii="宋体" w:hAnsi="宋体" w:cs="宋体"/>
          <w:color w:val="auto"/>
          <w:sz w:val="21"/>
          <w:szCs w:val="21"/>
          <w:highlight w:val="none"/>
          <w:lang w:val="en-US" w:eastAsia="zh-CN"/>
        </w:rPr>
        <w:t>系</w:t>
      </w:r>
      <w:r>
        <w:rPr>
          <w:rFonts w:hint="eastAsia" w:ascii="宋体" w:hAnsi="宋体" w:cs="宋体"/>
          <w:color w:val="auto"/>
          <w:sz w:val="21"/>
          <w:szCs w:val="21"/>
          <w:highlight w:val="none"/>
        </w:rPr>
        <w:t>指本项目政府采购活动所依托的政府采购云平台（https://www.zcygov.cn/）。</w:t>
      </w:r>
    </w:p>
    <w:p w14:paraId="10BDF63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系指不适用本项目的要求，“※”系指磋商过程中可能实质性变动的内容。</w:t>
      </w:r>
    </w:p>
    <w:p w14:paraId="02308294">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采购项目需要落实的政府采购政策</w:t>
      </w:r>
    </w:p>
    <w:p w14:paraId="697363F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5BD8D3C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5073E57D">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1"/>
          <w:szCs w:val="21"/>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3138BA9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BE2A79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1233355">
      <w:pPr>
        <w:pStyle w:val="23"/>
        <w:ind w:firstLine="420" w:firstLineChars="200"/>
        <w:rPr>
          <w:color w:val="auto"/>
          <w:highlight w:val="none"/>
        </w:rPr>
      </w:pPr>
      <w:r>
        <w:rPr>
          <w:rFonts w:hint="eastAsia" w:ascii="宋体" w:hAnsi="宋体" w:cs="宋体"/>
          <w:color w:val="auto"/>
          <w:sz w:val="21"/>
          <w:szCs w:val="21"/>
          <w:highlight w:val="none"/>
        </w:rPr>
        <w:t>3.2.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ascii="宋体" w:hAnsi="宋体" w:cs="宋体"/>
          <w:color w:val="auto"/>
          <w:sz w:val="21"/>
          <w:szCs w:val="21"/>
          <w:highlight w:val="none"/>
        </w:rPr>
        <w:t>。</w:t>
      </w:r>
    </w:p>
    <w:p w14:paraId="0E88A92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35DF15E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71F26D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74C8E0B7">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在政府采购活动中，供应商提供的工程符合下列情形的，享受中小企业扶持政策：</w:t>
      </w:r>
      <w:r>
        <w:rPr>
          <w:rFonts w:ascii="宋体" w:hAnsi="宋体" w:cs="宋体"/>
          <w:color w:val="auto"/>
          <w:sz w:val="21"/>
          <w:szCs w:val="21"/>
          <w:highlight w:val="none"/>
        </w:rPr>
        <w:t>在工程采购项目中，工程由中小企业承建，即工程施工单位为中小企业</w:t>
      </w:r>
      <w:r>
        <w:rPr>
          <w:rFonts w:hint="eastAsia" w:ascii="宋体" w:hAnsi="宋体" w:cs="宋体"/>
          <w:color w:val="auto"/>
          <w:kern w:val="0"/>
          <w:sz w:val="21"/>
          <w:szCs w:val="21"/>
          <w:highlight w:val="none"/>
        </w:rPr>
        <w:t>。</w:t>
      </w:r>
    </w:p>
    <w:p w14:paraId="2048DE14">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1921D05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cs="宋体"/>
          <w:color w:val="auto"/>
          <w:sz w:val="21"/>
          <w:szCs w:val="21"/>
          <w:highlight w:val="none"/>
        </w:rPr>
        <w:t>联合协议或者分包意向协议约定小微企业的合同份额占到合同总金额30%以上的</w:t>
      </w:r>
      <w:bookmarkEnd w:id="54"/>
      <w:r>
        <w:rPr>
          <w:rFonts w:hint="eastAsia" w:ascii="宋体" w:hAnsi="宋体" w:cs="宋体"/>
          <w:color w:val="auto"/>
          <w:sz w:val="21"/>
          <w:szCs w:val="21"/>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0DE7A7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331E2C6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4E14B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7E4D5D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57DBF96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21F024A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74E5951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6E699D6">
      <w:pPr>
        <w:snapToGrid w:val="0"/>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77B05DA0">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p>
    <w:p w14:paraId="42ED7E3F">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4.1在线询问、质疑、投诉</w:t>
      </w:r>
    </w:p>
    <w:p w14:paraId="1F0BF628">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EAB3F8">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49653A69">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7FA380">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4BBA68A8">
      <w:pPr>
        <w:pStyle w:val="32"/>
        <w:snapToGrid w:val="0"/>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.1提出质疑的供应商应当是参与所质疑项目采购活动的供应商。潜在供应商已依法获取其可质疑的采购文件的，可以对该文件提出质疑。</w:t>
      </w:r>
    </w:p>
    <w:p w14:paraId="059B8016">
      <w:pPr>
        <w:pStyle w:val="32"/>
        <w:snapToGrid w:val="0"/>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提出质疑，否则，采购人或者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不予受理：</w:t>
      </w:r>
    </w:p>
    <w:p w14:paraId="1E157EFD">
      <w:pPr>
        <w:pStyle w:val="6"/>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4.3.2.1对采购文件提出质疑的，质疑期限为供应商获得采购文件之日或者采购文件公告期限届满之日起计算。</w:t>
      </w:r>
    </w:p>
    <w:p w14:paraId="02D115A0">
      <w:pPr>
        <w:pStyle w:val="32"/>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w:t>
      </w:r>
    </w:p>
    <w:p w14:paraId="73916EF1">
      <w:pPr>
        <w:pStyle w:val="32"/>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4.3.2.3对采购结果提出质疑的，质疑期限自采购结果公告期限届满之日起计算。</w:t>
      </w:r>
    </w:p>
    <w:p w14:paraId="6A06D96D">
      <w:pPr>
        <w:pStyle w:val="32"/>
        <w:snapToGrid w:val="0"/>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14:paraId="79435E89">
      <w:pPr>
        <w:pStyle w:val="32"/>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4.3.3.1供应商的姓名或者名称、地址、邮编、联系人及联系电话；</w:t>
      </w:r>
    </w:p>
    <w:p w14:paraId="70270C67">
      <w:pPr>
        <w:pStyle w:val="32"/>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4.3.3.2质疑项目的名称、编号；</w:t>
      </w:r>
    </w:p>
    <w:p w14:paraId="314FE45D">
      <w:pPr>
        <w:pStyle w:val="32"/>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4.3.3.3具体、明确的质疑事项和与质疑事项相关的请求；</w:t>
      </w:r>
    </w:p>
    <w:p w14:paraId="1999D339">
      <w:pPr>
        <w:pStyle w:val="32"/>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4.3.3.4事实依据；</w:t>
      </w:r>
    </w:p>
    <w:p w14:paraId="0C33E0A0">
      <w:pPr>
        <w:pStyle w:val="32"/>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4.3.3.5必要的法律依据；</w:t>
      </w:r>
    </w:p>
    <w:p w14:paraId="1620E72E">
      <w:pPr>
        <w:pStyle w:val="32"/>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4.3.3.6提出质疑的日期。</w:t>
      </w:r>
    </w:p>
    <w:p w14:paraId="2CB153AB">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1139A8DD">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质疑函范本及制作说明详见附件2。</w:t>
      </w:r>
    </w:p>
    <w:p w14:paraId="3442F9B4">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51B09102">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w:t>
      </w:r>
      <w:r>
        <w:rPr>
          <w:rFonts w:hint="eastAsia"/>
          <w:color w:val="auto"/>
          <w:sz w:val="21"/>
          <w:szCs w:val="21"/>
          <w:highlight w:val="none"/>
          <w:lang w:eastAsia="zh-CN"/>
        </w:rPr>
        <w:t>采购代理机构</w:t>
      </w:r>
      <w:r>
        <w:rPr>
          <w:rFonts w:hint="eastAsia"/>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sz w:val="21"/>
          <w:szCs w:val="21"/>
          <w:highlight w:val="none"/>
          <w:lang w:eastAsia="zh-CN"/>
        </w:rPr>
        <w:t>采购代理机构</w:t>
      </w:r>
      <w:r>
        <w:rPr>
          <w:rFonts w:hint="eastAsia"/>
          <w:color w:val="auto"/>
          <w:sz w:val="21"/>
          <w:szCs w:val="21"/>
          <w:highlight w:val="none"/>
        </w:rPr>
        <w:t>在质疑回复后5个工作日内，在浙江政府采购网的“其他公告”栏目公开质疑答复，答复内容应当完整。质疑函作为附件上传。</w:t>
      </w:r>
    </w:p>
    <w:p w14:paraId="22FDD70A">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467EAB73">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78B387EE">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4.4.1质疑供应商对采购人、</w:t>
      </w:r>
      <w:r>
        <w:rPr>
          <w:rFonts w:hint="eastAsia"/>
          <w:color w:val="auto"/>
          <w:sz w:val="21"/>
          <w:szCs w:val="21"/>
          <w:highlight w:val="none"/>
          <w:lang w:eastAsia="zh-CN"/>
        </w:rPr>
        <w:t>采购代理机构</w:t>
      </w:r>
      <w:r>
        <w:rPr>
          <w:rFonts w:hint="eastAsia"/>
          <w:color w:val="auto"/>
          <w:sz w:val="21"/>
          <w:szCs w:val="21"/>
          <w:highlight w:val="none"/>
        </w:rPr>
        <w:t>的答复不满意或者采购人、</w:t>
      </w:r>
      <w:r>
        <w:rPr>
          <w:rFonts w:hint="eastAsia"/>
          <w:color w:val="auto"/>
          <w:sz w:val="21"/>
          <w:szCs w:val="21"/>
          <w:highlight w:val="none"/>
          <w:lang w:eastAsia="zh-CN"/>
        </w:rPr>
        <w:t>采购代理机构</w:t>
      </w:r>
      <w:r>
        <w:rPr>
          <w:rFonts w:hint="eastAsia"/>
          <w:color w:val="auto"/>
          <w:sz w:val="21"/>
          <w:szCs w:val="21"/>
          <w:highlight w:val="none"/>
        </w:rPr>
        <w:t>未在规定的时间内作出答复的，可以在答复期满后十五个工作日内向同级政府采购监督管理部门提出投诉。</w:t>
      </w:r>
    </w:p>
    <w:p w14:paraId="27C9762A">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0FD2E5AE">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2F3FFEB6">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19E0C952">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投诉书范本及制作说明详见附件3。</w:t>
      </w:r>
    </w:p>
    <w:p w14:paraId="55A7A986">
      <w:pPr>
        <w:pStyle w:val="397"/>
        <w:snapToGrid w:val="0"/>
        <w:spacing w:before="0"/>
        <w:ind w:firstLine="360"/>
        <w:rPr>
          <w:rFonts w:ascii="宋体" w:hAnsi="宋体" w:cs="宋体"/>
          <w:color w:val="auto"/>
          <w:sz w:val="21"/>
          <w:szCs w:val="21"/>
          <w:highlight w:val="none"/>
        </w:rPr>
      </w:pPr>
    </w:p>
    <w:p w14:paraId="07461ED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二、采购文件的构成、澄清、修改</w:t>
      </w:r>
    </w:p>
    <w:p w14:paraId="74C09B6E">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5．采购文件的构成</w:t>
      </w:r>
    </w:p>
    <w:p w14:paraId="61701507">
      <w:pPr>
        <w:pStyle w:val="32"/>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采购文件包括下列文件及附件：</w:t>
      </w:r>
    </w:p>
    <w:p w14:paraId="3E68371A">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5.1.1竞争性磋商公告；</w:t>
      </w:r>
    </w:p>
    <w:p w14:paraId="7A27543F">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5.1.2供应商须知；</w:t>
      </w:r>
    </w:p>
    <w:p w14:paraId="58300B43">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37BC30DC">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5.1.4评审</w:t>
      </w:r>
      <w:r>
        <w:rPr>
          <w:rFonts w:hint="eastAsia" w:hAnsi="宋体" w:cs="宋体"/>
          <w:color w:val="auto"/>
          <w:sz w:val="21"/>
          <w:szCs w:val="21"/>
          <w:highlight w:val="none"/>
          <w:lang w:val="en-US" w:eastAsia="zh-CN"/>
        </w:rPr>
        <w:t>方法及评审标准</w:t>
      </w:r>
      <w:r>
        <w:rPr>
          <w:rFonts w:hint="eastAsia" w:hAnsi="宋体" w:cs="宋体"/>
          <w:color w:val="auto"/>
          <w:sz w:val="21"/>
          <w:szCs w:val="21"/>
          <w:highlight w:val="none"/>
        </w:rPr>
        <w:t>；</w:t>
      </w:r>
    </w:p>
    <w:p w14:paraId="54FBE8FF">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646C215F">
      <w:pPr>
        <w:pStyle w:val="32"/>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5.1.6应提交的有关格式范例。</w:t>
      </w:r>
    </w:p>
    <w:p w14:paraId="57EB1F0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澄清或者修改的内容为采购文件的组成部分</w:t>
      </w:r>
      <w:r>
        <w:rPr>
          <w:rFonts w:hint="eastAsia" w:ascii="宋体" w:hAnsi="宋体" w:cs="宋体"/>
          <w:color w:val="auto"/>
          <w:sz w:val="21"/>
          <w:szCs w:val="21"/>
          <w:highlight w:val="none"/>
        </w:rPr>
        <w:t>。</w:t>
      </w:r>
    </w:p>
    <w:p w14:paraId="1D5212E4">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6. 采购文件的澄清、修改</w:t>
      </w:r>
    </w:p>
    <w:p w14:paraId="05424C7C">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6.1已获取采购文件的潜在供应商，若有问题需要澄清，应于响应文件提交（上传）截止时间前，以书面形式向</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提出。</w:t>
      </w:r>
    </w:p>
    <w:p w14:paraId="0AF3ACF5">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6.2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E746D7B">
      <w:pPr>
        <w:pStyle w:val="23"/>
        <w:rPr>
          <w:rFonts w:hAnsi="宋体" w:cs="宋体"/>
          <w:color w:val="auto"/>
          <w:sz w:val="21"/>
          <w:szCs w:val="21"/>
          <w:highlight w:val="none"/>
          <w:lang w:val="en-US"/>
        </w:rPr>
      </w:pPr>
    </w:p>
    <w:p w14:paraId="3D56E914">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三、提交响应文件</w:t>
      </w:r>
    </w:p>
    <w:p w14:paraId="39F7ABD0">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7. 采购文件的获取</w:t>
      </w:r>
    </w:p>
    <w:p w14:paraId="27FA6FC3">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详见竞争性磋商公告中获取采购文件的时间期限、地点、方式及采购文件售价。</w:t>
      </w:r>
    </w:p>
    <w:p w14:paraId="502999C6">
      <w:pPr>
        <w:pStyle w:val="32"/>
        <w:numPr>
          <w:ilvl w:val="0"/>
          <w:numId w:val="8"/>
        </w:numPr>
        <w:spacing w:line="360" w:lineRule="auto"/>
        <w:rPr>
          <w:rFonts w:hAnsi="宋体" w:cs="宋体"/>
          <w:b/>
          <w:color w:val="auto"/>
          <w:sz w:val="21"/>
          <w:szCs w:val="21"/>
          <w:highlight w:val="none"/>
        </w:rPr>
      </w:pPr>
      <w:r>
        <w:rPr>
          <w:rFonts w:hint="eastAsia" w:hAnsi="宋体" w:cs="宋体"/>
          <w:b/>
          <w:color w:val="auto"/>
          <w:sz w:val="21"/>
          <w:szCs w:val="21"/>
          <w:highlight w:val="none"/>
        </w:rPr>
        <w:t>磋商前答疑会或现场考察</w:t>
      </w:r>
    </w:p>
    <w:p w14:paraId="3351673A">
      <w:pPr>
        <w:pStyle w:val="32"/>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采购人组织潜在供应商现场考察或者召开磋商前答疑会的，潜在供应商按第</w:t>
      </w:r>
      <w:r>
        <w:rPr>
          <w:rFonts w:hint="eastAsia" w:hAnsi="宋体" w:cs="宋体"/>
          <w:color w:val="auto"/>
          <w:sz w:val="21"/>
          <w:szCs w:val="21"/>
          <w:highlight w:val="none"/>
          <w:lang w:val="en-US" w:eastAsia="zh-CN"/>
        </w:rPr>
        <w:t>二</w:t>
      </w:r>
      <w:r>
        <w:rPr>
          <w:rFonts w:hint="eastAsia" w:hAnsi="宋体" w:cs="宋体"/>
          <w:color w:val="auto"/>
          <w:sz w:val="21"/>
          <w:szCs w:val="21"/>
          <w:highlight w:val="none"/>
        </w:rPr>
        <w:t>部分供应商须知前附表的规定参加现场考察或者磋商前答疑会。</w:t>
      </w:r>
    </w:p>
    <w:p w14:paraId="11333F49">
      <w:pPr>
        <w:pStyle w:val="32"/>
        <w:numPr>
          <w:ilvl w:val="0"/>
          <w:numId w:val="8"/>
        </w:numPr>
        <w:spacing w:line="360" w:lineRule="auto"/>
        <w:ind w:left="0" w:leftChars="0" w:firstLine="0" w:firstLineChars="0"/>
        <w:rPr>
          <w:rFonts w:hAnsi="宋体" w:cs="宋体"/>
          <w:b/>
          <w:color w:val="auto"/>
          <w:sz w:val="21"/>
          <w:szCs w:val="21"/>
          <w:highlight w:val="none"/>
        </w:rPr>
      </w:pPr>
      <w:r>
        <w:rPr>
          <w:rFonts w:hint="eastAsia" w:hAnsi="宋体" w:cs="宋体"/>
          <w:b/>
          <w:color w:val="auto"/>
          <w:kern w:val="28"/>
          <w:sz w:val="21"/>
          <w:szCs w:val="21"/>
          <w:highlight w:val="none"/>
        </w:rPr>
        <w:t>磋商保证金</w:t>
      </w:r>
    </w:p>
    <w:p w14:paraId="168071AC">
      <w:pPr>
        <w:pStyle w:val="6"/>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本项目不需缴纳磋商保证金。</w:t>
      </w:r>
    </w:p>
    <w:p w14:paraId="543AE907">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10. 响应文件的语言</w:t>
      </w:r>
    </w:p>
    <w:p w14:paraId="0895D35D">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响应文件及供应商与采购有关的来往通知、函件和文件均应使用中文。</w:t>
      </w:r>
    </w:p>
    <w:p w14:paraId="1A356C1D">
      <w:pPr>
        <w:pStyle w:val="32"/>
        <w:spacing w:line="360" w:lineRule="auto"/>
        <w:rPr>
          <w:rFonts w:hAnsi="宋体" w:cs="宋体"/>
          <w:b/>
          <w:color w:val="auto"/>
          <w:sz w:val="21"/>
          <w:szCs w:val="21"/>
          <w:highlight w:val="none"/>
        </w:rPr>
      </w:pPr>
      <w:r>
        <w:rPr>
          <w:rFonts w:hint="eastAsia" w:hAnsi="宋体" w:cs="宋体"/>
          <w:b/>
          <w:color w:val="auto"/>
          <w:sz w:val="21"/>
          <w:szCs w:val="21"/>
          <w:highlight w:val="none"/>
        </w:rPr>
        <w:t>11. 响应文件的组成</w:t>
      </w:r>
    </w:p>
    <w:p w14:paraId="5DB6AC2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379B1D7D">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11.1.1符合参加政府采购活动应当具备的一般条件的承诺函；</w:t>
      </w:r>
    </w:p>
    <w:p w14:paraId="388D3E1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1.1.2</w:t>
      </w:r>
      <w:bookmarkStart w:id="55" w:name="_Hlk101259339"/>
      <w:r>
        <w:rPr>
          <w:rFonts w:hint="eastAsia" w:ascii="宋体" w:hAnsi="宋体" w:cs="宋体"/>
          <w:snapToGrid w:val="0"/>
          <w:color w:val="auto"/>
          <w:kern w:val="28"/>
          <w:sz w:val="21"/>
          <w:szCs w:val="21"/>
          <w:highlight w:val="none"/>
        </w:rPr>
        <w:t>联合协议</w:t>
      </w:r>
      <w:bookmarkStart w:id="56" w:name="_Hlk101257010"/>
      <w:r>
        <w:rPr>
          <w:rFonts w:hint="eastAsia" w:ascii="宋体" w:hAnsi="宋体" w:cs="宋体"/>
          <w:snapToGrid w:val="0"/>
          <w:color w:val="auto"/>
          <w:kern w:val="28"/>
          <w:sz w:val="21"/>
          <w:szCs w:val="21"/>
          <w:highlight w:val="none"/>
        </w:rPr>
        <w:t>（如果有)</w:t>
      </w:r>
      <w:bookmarkEnd w:id="55"/>
      <w:bookmarkEnd w:id="56"/>
      <w:r>
        <w:rPr>
          <w:rFonts w:hint="eastAsia" w:ascii="宋体" w:hAnsi="宋体" w:cs="宋体"/>
          <w:snapToGrid w:val="0"/>
          <w:color w:val="auto"/>
          <w:kern w:val="28"/>
          <w:sz w:val="21"/>
          <w:szCs w:val="21"/>
          <w:highlight w:val="none"/>
        </w:rPr>
        <w:t>；</w:t>
      </w:r>
    </w:p>
    <w:p w14:paraId="415D171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2ED8A9DE">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771A3F76">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469C72BD">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11.2.1响应函；</w:t>
      </w:r>
      <w:r>
        <w:rPr>
          <w:rFonts w:hint="eastAsia" w:ascii="宋体" w:hAnsi="宋体" w:cs="宋体"/>
          <w:color w:val="auto"/>
          <w:sz w:val="21"/>
          <w:szCs w:val="21"/>
          <w:highlight w:val="none"/>
          <w:lang w:val="zh-CN"/>
        </w:rPr>
        <w:t xml:space="preserve"> </w:t>
      </w:r>
    </w:p>
    <w:p w14:paraId="7591BF2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543C10D4">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11.2.3分包意向协议（如果有)；</w:t>
      </w:r>
    </w:p>
    <w:p w14:paraId="204A4F5D">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11.2.4符合性审查资料；</w:t>
      </w:r>
    </w:p>
    <w:p w14:paraId="6F493A8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11.2.5评审标准相应的商务技术资料；</w:t>
      </w:r>
    </w:p>
    <w:p w14:paraId="38CC6742">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11.2.6商务技术偏离表；</w:t>
      </w:r>
    </w:p>
    <w:p w14:paraId="6903ABDB">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014D86F4">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63BF799D">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11.3.1报价单；</w:t>
      </w:r>
    </w:p>
    <w:p w14:paraId="0436D4C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11.3.2已标价工程量清单；</w:t>
      </w:r>
    </w:p>
    <w:p w14:paraId="42D5A98A">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11.3.3中小企业声明函。</w:t>
      </w:r>
    </w:p>
    <w:p w14:paraId="2092B399">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响应文件含有采购人不能接受的附加条件的，响应文件无效；</w:t>
      </w:r>
    </w:p>
    <w:p w14:paraId="3B11AB1D">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供应商提供虚假材料的，响应文件无效。</w:t>
      </w:r>
    </w:p>
    <w:p w14:paraId="242D0FE9">
      <w:pPr>
        <w:pStyle w:val="397"/>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响应文件的编制</w:t>
      </w:r>
    </w:p>
    <w:p w14:paraId="3A8A048A">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39FCAA3">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0146D74">
      <w:pPr>
        <w:snapToGrid w:val="0"/>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4E8A1D53">
      <w:pPr>
        <w:numPr>
          <w:ilvl w:val="0"/>
          <w:numId w:val="9"/>
        </w:num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响应文件的签署、盖章</w:t>
      </w:r>
    </w:p>
    <w:p w14:paraId="2B695A6F">
      <w:pPr>
        <w:pStyle w:val="397"/>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13.1响应文件按照采购文件第六部分格式要求进行签署、盖章。</w:t>
      </w:r>
      <w:r>
        <w:rPr>
          <w:rFonts w:hint="eastAsia" w:ascii="宋体" w:hAnsi="宋体" w:cs="宋体"/>
          <w:b/>
          <w:color w:val="auto"/>
          <w:sz w:val="21"/>
          <w:szCs w:val="21"/>
          <w:highlight w:val="none"/>
        </w:rPr>
        <w:t>▲供应商的响应文件未按照采购文件要求签署、盖章的，其响应文件无效</w:t>
      </w:r>
      <w:r>
        <w:rPr>
          <w:rFonts w:hint="eastAsia" w:ascii="宋体" w:hAnsi="宋体" w:cs="宋体"/>
          <w:color w:val="auto"/>
          <w:sz w:val="21"/>
          <w:szCs w:val="21"/>
          <w:highlight w:val="none"/>
        </w:rPr>
        <w:t>。</w:t>
      </w:r>
    </w:p>
    <w:p w14:paraId="3E2EB5CA">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904FACF">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13.3采购文件对响应文件签署、盖章的要求适用于电子签名。</w:t>
      </w:r>
    </w:p>
    <w:p w14:paraId="58945AF2">
      <w:pPr>
        <w:pStyle w:val="397"/>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响应文件的提交、补充、修改、撤回</w:t>
      </w:r>
    </w:p>
    <w:p w14:paraId="5408C66F">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358D583F">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726F1C4C">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可以视情况延长响应文件提交的截止时间。在上述情况下，</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与供应商以前在响应文件提交截止时间方面的全部权利、责任和义务，将适用于延长至新的响应文件提交截止时间。</w:t>
      </w:r>
    </w:p>
    <w:p w14:paraId="53E3844A">
      <w:pPr>
        <w:pStyle w:val="32"/>
        <w:numPr>
          <w:ilvl w:val="0"/>
          <w:numId w:val="0"/>
        </w:numPr>
        <w:snapToGrid w:val="0"/>
        <w:spacing w:line="360" w:lineRule="auto"/>
        <w:ind w:leftChars="0"/>
        <w:rPr>
          <w:rFonts w:hAnsi="宋体" w:cs="宋体"/>
          <w:b/>
          <w:color w:val="auto"/>
          <w:sz w:val="21"/>
          <w:szCs w:val="21"/>
          <w:highlight w:val="none"/>
        </w:rPr>
      </w:pPr>
      <w:r>
        <w:rPr>
          <w:rFonts w:hint="eastAsia" w:hAnsi="宋体" w:cs="宋体"/>
          <w:b/>
          <w:color w:val="auto"/>
          <w:sz w:val="21"/>
          <w:szCs w:val="21"/>
          <w:highlight w:val="none"/>
          <w:lang w:val="en-US" w:eastAsia="zh-CN"/>
        </w:rPr>
        <w:t xml:space="preserve">15. </w:t>
      </w:r>
      <w:r>
        <w:rPr>
          <w:rFonts w:hint="eastAsia" w:hAnsi="宋体" w:cs="宋体"/>
          <w:b/>
          <w:color w:val="auto"/>
          <w:sz w:val="21"/>
          <w:szCs w:val="21"/>
          <w:highlight w:val="none"/>
        </w:rPr>
        <w:t>备份响应文件</w:t>
      </w:r>
    </w:p>
    <w:p w14:paraId="18C99683">
      <w:pPr>
        <w:pStyle w:val="32"/>
        <w:snapToGrid w:val="0"/>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1"/>
          <w:szCs w:val="21"/>
          <w:highlight w:val="none"/>
        </w:rPr>
        <w:t>但采购人、</w:t>
      </w:r>
      <w:r>
        <w:rPr>
          <w:rFonts w:hint="eastAsia" w:hAnsi="宋体" w:cs="宋体"/>
          <w:b/>
          <w:color w:val="auto"/>
          <w:sz w:val="21"/>
          <w:szCs w:val="21"/>
          <w:highlight w:val="none"/>
          <w:lang w:eastAsia="zh-CN"/>
        </w:rPr>
        <w:t>采购代理机构</w:t>
      </w:r>
      <w:r>
        <w:rPr>
          <w:rFonts w:hint="eastAsia" w:hAnsi="宋体" w:cs="宋体"/>
          <w:b/>
          <w:color w:val="auto"/>
          <w:sz w:val="21"/>
          <w:szCs w:val="21"/>
          <w:highlight w:val="none"/>
        </w:rPr>
        <w:t>不强制或变相强制供应商提交备份响应文件。</w:t>
      </w:r>
    </w:p>
    <w:p w14:paraId="29817947">
      <w:pPr>
        <w:pStyle w:val="32"/>
        <w:snapToGrid w:val="0"/>
        <w:spacing w:line="360" w:lineRule="auto"/>
        <w:ind w:firstLine="420" w:firstLineChars="200"/>
        <w:rPr>
          <w:rFonts w:hAnsi="宋体" w:cs="宋体"/>
          <w:b/>
          <w:color w:val="auto"/>
          <w:sz w:val="21"/>
          <w:szCs w:val="21"/>
          <w:highlight w:val="none"/>
        </w:rPr>
      </w:pPr>
      <w:r>
        <w:rPr>
          <w:rFonts w:hint="eastAsia" w:hAnsi="宋体" w:cs="宋体"/>
          <w:color w:val="auto"/>
          <w:sz w:val="21"/>
          <w:szCs w:val="21"/>
          <w:highlight w:val="none"/>
        </w:rPr>
        <w:t>15.2备份响应文件须在“政采云投标客户端”制作生成，并储存在DVD光盘</w:t>
      </w:r>
      <w:r>
        <w:rPr>
          <w:rFonts w:hint="eastAsia" w:hAnsi="宋体" w:cs="宋体"/>
          <w:color w:val="auto"/>
          <w:sz w:val="21"/>
          <w:szCs w:val="21"/>
          <w:highlight w:val="none"/>
          <w:lang w:val="en-US" w:eastAsia="zh-CN"/>
        </w:rPr>
        <w:t>等存储介质</w:t>
      </w:r>
      <w:r>
        <w:rPr>
          <w:rFonts w:hint="eastAsia" w:hAnsi="宋体" w:cs="宋体"/>
          <w:color w:val="auto"/>
          <w:sz w:val="21"/>
          <w:szCs w:val="21"/>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1"/>
          <w:szCs w:val="21"/>
          <w:highlight w:val="none"/>
        </w:rPr>
        <w:t>不符合上述制作、存储、密封规定的备份响应文件将被视为无效或者被拒绝接收。</w:t>
      </w:r>
    </w:p>
    <w:p w14:paraId="6B5AD22A">
      <w:pPr>
        <w:pStyle w:val="32"/>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将拒绝接受逾期送达的备份响应文件。</w:t>
      </w:r>
    </w:p>
    <w:p w14:paraId="4F73F9CE">
      <w:pPr>
        <w:pStyle w:val="32"/>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1"/>
          <w:szCs w:val="21"/>
          <w:highlight w:val="none"/>
        </w:rPr>
        <w:t>采购文件第</w:t>
      </w:r>
      <w:r>
        <w:rPr>
          <w:rFonts w:hint="eastAsia" w:hAnsi="宋体" w:cs="宋体"/>
          <w:snapToGrid/>
          <w:color w:val="auto"/>
          <w:sz w:val="21"/>
          <w:szCs w:val="21"/>
          <w:highlight w:val="none"/>
          <w:lang w:val="en-US" w:eastAsia="zh-CN"/>
        </w:rPr>
        <w:t>二</w:t>
      </w:r>
      <w:r>
        <w:rPr>
          <w:rFonts w:hint="eastAsia" w:hAnsi="宋体" w:cs="宋体"/>
          <w:snapToGrid/>
          <w:color w:val="auto"/>
          <w:sz w:val="21"/>
          <w:szCs w:val="21"/>
          <w:highlight w:val="none"/>
        </w:rPr>
        <w:t>部分供应商须知前附表规定的备份响应文件送达地点；</w:t>
      </w:r>
      <w:r>
        <w:rPr>
          <w:rFonts w:hint="eastAsia" w:hAnsi="宋体" w:cs="宋体"/>
          <w:color w:val="auto"/>
          <w:sz w:val="21"/>
          <w:szCs w:val="21"/>
          <w:highlight w:val="none"/>
        </w:rPr>
        <w:t>送达时间以签收人签收时间为准。</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将拒绝接受逾期送达的备份响应文件。邮寄过程中，电子备份响应文件发生泄露、遗失、损坏或延期送达等情况的，由供应商自行负责。</w:t>
      </w:r>
    </w:p>
    <w:p w14:paraId="230F8A6B">
      <w:pPr>
        <w:pStyle w:val="32"/>
        <w:snapToGrid w:val="0"/>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15.5供应商仅提交备份响应文件，未在电子交易平台传输递交响应文件的，响应文件无效。</w:t>
      </w:r>
    </w:p>
    <w:p w14:paraId="3E3A3856">
      <w:pPr>
        <w:pStyle w:val="397"/>
        <w:numPr>
          <w:ilvl w:val="0"/>
          <w:numId w:val="10"/>
        </w:numPr>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响应文件的无效处理</w:t>
      </w:r>
    </w:p>
    <w:p w14:paraId="64C8925E">
      <w:pPr>
        <w:pStyle w:val="24"/>
        <w:spacing w:line="360" w:lineRule="auto"/>
        <w:ind w:firstLine="315" w:firstLineChars="150"/>
        <w:rPr>
          <w:rFonts w:cs="宋体"/>
          <w:color w:val="auto"/>
          <w:sz w:val="21"/>
          <w:szCs w:val="21"/>
          <w:highlight w:val="none"/>
        </w:rPr>
      </w:pPr>
      <w:r>
        <w:rPr>
          <w:rFonts w:hint="eastAsia" w:cs="宋体"/>
          <w:color w:val="auto"/>
          <w:sz w:val="21"/>
          <w:szCs w:val="21"/>
          <w:highlight w:val="none"/>
        </w:rPr>
        <w:t>有采购文件第四部分4.2规定的情形之一的，响应文件无效：</w:t>
      </w:r>
    </w:p>
    <w:p w14:paraId="2A4DAD84">
      <w:pPr>
        <w:pStyle w:val="397"/>
        <w:numPr>
          <w:ilvl w:val="0"/>
          <w:numId w:val="10"/>
        </w:numPr>
        <w:spacing w:before="0"/>
        <w:ind w:left="0" w:leftChars="0"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响应文件有效期</w:t>
      </w:r>
    </w:p>
    <w:p w14:paraId="4716D477">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17.1响应文件有效期为从提交响应文件的截止之日起90天。▲</w:t>
      </w:r>
      <w:r>
        <w:rPr>
          <w:rFonts w:hint="eastAsia" w:ascii="宋体" w:hAnsi="宋体" w:cs="宋体"/>
          <w:b/>
          <w:color w:val="auto"/>
          <w:sz w:val="21"/>
          <w:szCs w:val="21"/>
          <w:highlight w:val="none"/>
        </w:rPr>
        <w:t>供应商的响应文件中承诺的响应文件有效期少于采购文件中载明的响应文件有效期的，响应文件无效。</w:t>
      </w:r>
    </w:p>
    <w:p w14:paraId="2C5E4354">
      <w:pPr>
        <w:pStyle w:val="397"/>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17.2响应文件合格投递后，自响应文件提交截止时间起，在响应文件有效期内有效。</w:t>
      </w:r>
    </w:p>
    <w:p w14:paraId="27A0D74C">
      <w:pPr>
        <w:pStyle w:val="397"/>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17.3在原定响应文件有效期满之前，如果出现特殊情况，</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可以以书面形式通知供应商延长响应文件有效期。供应商同意延长的，不得要求或被允许修改其响应文件，供应商拒绝延长的，其响应文件无效。</w:t>
      </w:r>
    </w:p>
    <w:p w14:paraId="569D9399">
      <w:pPr>
        <w:pStyle w:val="397"/>
        <w:spacing w:before="0"/>
        <w:ind w:firstLine="643"/>
        <w:rPr>
          <w:rFonts w:ascii="宋体" w:hAnsi="宋体" w:cs="宋体"/>
          <w:b/>
          <w:color w:val="auto"/>
          <w:sz w:val="21"/>
          <w:szCs w:val="21"/>
          <w:highlight w:val="none"/>
        </w:rPr>
      </w:pPr>
    </w:p>
    <w:p w14:paraId="19CD3234">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四、响应文件开启、资格审查与信用信息查询</w:t>
      </w:r>
    </w:p>
    <w:p w14:paraId="634D744F">
      <w:pPr>
        <w:pStyle w:val="359"/>
        <w:spacing w:before="0" w:line="360" w:lineRule="auto"/>
        <w:ind w:left="0" w:firstLine="0"/>
        <w:contextualSpacing/>
        <w:rPr>
          <w:rFonts w:ascii="宋体" w:hAnsi="宋体" w:cs="宋体"/>
          <w:color w:val="auto"/>
          <w:sz w:val="21"/>
          <w:szCs w:val="21"/>
          <w:highlight w:val="none"/>
        </w:rPr>
      </w:pPr>
      <w:r>
        <w:rPr>
          <w:rFonts w:hint="eastAsia" w:ascii="宋体" w:hAnsi="宋体" w:cs="宋体"/>
          <w:b/>
          <w:color w:val="auto"/>
          <w:sz w:val="21"/>
          <w:szCs w:val="21"/>
          <w:highlight w:val="none"/>
        </w:rPr>
        <w:t>18.</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rPr>
        <w:t>响应文件开启</w:t>
      </w:r>
      <w:r>
        <w:rPr>
          <w:rFonts w:hint="eastAsia" w:ascii="宋体" w:hAnsi="宋体" w:cs="宋体"/>
          <w:color w:val="auto"/>
          <w:sz w:val="21"/>
          <w:szCs w:val="21"/>
          <w:highlight w:val="none"/>
        </w:rPr>
        <w:t xml:space="preserve"> </w:t>
      </w:r>
    </w:p>
    <w:p w14:paraId="78E930CF">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按照采购文件规定的时间通过电子交易平台组织响应文件开启，所有供应商均应当准时在线参加。供应商不足3家的，不得开启。</w:t>
      </w:r>
    </w:p>
    <w:p w14:paraId="1ACC1096">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18.2响应文件开启时，电子交易平台按响应文件开启时间自动提取所有响应文件。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依托电子交易平台发起开始解密指令，供应商按照平台提示和采购文件的规定在半小时内完成在线解密。</w:t>
      </w:r>
    </w:p>
    <w:p w14:paraId="1EF0F746">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18.3</w:t>
      </w:r>
      <w:r>
        <w:rPr>
          <w:rFonts w:hint="eastAsia" w:ascii="宋体" w:hAnsi="宋体" w:cs="宋体"/>
          <w:b/>
          <w:bCs/>
          <w:color w:val="auto"/>
          <w:sz w:val="21"/>
          <w:szCs w:val="21"/>
          <w:highlight w:val="none"/>
        </w:rPr>
        <w:t>响应文件未按时解密，供应商提供了备份响应文件的，以备份响应文件作为依据，否则视为响应文件撤回。响应文件已按时解密的，备份响应文件自动失效。</w:t>
      </w:r>
    </w:p>
    <w:p w14:paraId="4A3C4F59">
      <w:pPr>
        <w:pStyle w:val="359"/>
        <w:spacing w:before="0" w:line="360" w:lineRule="auto"/>
        <w:ind w:left="0" w:firstLine="0"/>
        <w:contextualSpacing/>
        <w:rPr>
          <w:rFonts w:ascii="宋体" w:hAnsi="宋体" w:cs="宋体"/>
          <w:b/>
          <w:color w:val="auto"/>
          <w:sz w:val="21"/>
          <w:szCs w:val="21"/>
          <w:highlight w:val="none"/>
        </w:rPr>
      </w:pPr>
      <w:r>
        <w:rPr>
          <w:rFonts w:hint="eastAsia" w:ascii="宋体" w:hAnsi="宋体" w:cs="宋体"/>
          <w:b/>
          <w:color w:val="auto"/>
          <w:sz w:val="21"/>
          <w:szCs w:val="21"/>
          <w:highlight w:val="none"/>
        </w:rPr>
        <w:t>19</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rPr>
        <w:t>资格审查</w:t>
      </w:r>
    </w:p>
    <w:p w14:paraId="2ACE33B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1</w:t>
      </w:r>
      <w:r>
        <w:rPr>
          <w:rFonts w:hint="eastAsia" w:ascii="宋体" w:hAnsi="宋体" w:cs="宋体"/>
          <w:color w:val="auto"/>
          <w:sz w:val="21"/>
          <w:szCs w:val="21"/>
          <w:highlight w:val="none"/>
        </w:rPr>
        <w:t>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或磋商小组依据法律法规和采购文件的规定，对供应商的资格进行审查。</w:t>
      </w:r>
    </w:p>
    <w:p w14:paraId="3571678D">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供应商未按照采购文件要求提供与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供应商不具备采购文件中规定的资格要求，其响应文件无效。</w:t>
      </w:r>
    </w:p>
    <w:p w14:paraId="7FEF1213">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对未通过资格审查的供应商，采购人或</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告知其未通过的原因。</w:t>
      </w:r>
    </w:p>
    <w:p w14:paraId="5BA489DA">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合格供应商不足3家的，不再评审。</w:t>
      </w:r>
    </w:p>
    <w:p w14:paraId="584EC3E1">
      <w:pPr>
        <w:pStyle w:val="397"/>
        <w:numPr>
          <w:ilvl w:val="0"/>
          <w:numId w:val="11"/>
        </w:numPr>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信用信息查询</w:t>
      </w:r>
    </w:p>
    <w:p w14:paraId="6474CDDC">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w:t>
      </w:r>
      <w:r>
        <w:rPr>
          <w:rFonts w:hint="eastAsia" w:ascii="宋体" w:hAnsi="宋体" w:cs="宋体"/>
          <w:color w:val="auto"/>
          <w:kern w:val="0"/>
          <w:sz w:val="21"/>
          <w:szCs w:val="21"/>
          <w:highlight w:val="none"/>
          <w:lang w:eastAsia="zh-CN"/>
        </w:rPr>
        <w:t>采购代理机构</w:t>
      </w:r>
      <w:r>
        <w:rPr>
          <w:rFonts w:hint="eastAsia" w:ascii="宋体" w:hAnsi="宋体" w:cs="宋体"/>
          <w:color w:val="auto"/>
          <w:kern w:val="0"/>
          <w:sz w:val="21"/>
          <w:szCs w:val="21"/>
          <w:highlight w:val="none"/>
        </w:rPr>
        <w:t>将在资格审查时通过“信用中国”网站(www.creditchina.gov.cn)、中国政府采购网(www.ccgp.gov.cn)渠道查询供应商接受资格审查时的信用记录。</w:t>
      </w:r>
    </w:p>
    <w:p w14:paraId="31D19657">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20.2信用信息查询记录和证据留存的具体方式：现场查询的供应商的信用记录、查询结果经确认后将与采购文件一起存档。</w:t>
      </w:r>
    </w:p>
    <w:p w14:paraId="41C072AC">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20.3信用信息的使用规则：经查询列入失信被执行人名单、重大税收违法案件当事人名单、政府采购严重违法失信行为记录名单的供应商将被拒绝参与政府采购活动。</w:t>
      </w:r>
    </w:p>
    <w:p w14:paraId="1D6976B4">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4C1BCEBF">
      <w:pPr>
        <w:pStyle w:val="397"/>
        <w:spacing w:before="0"/>
        <w:ind w:firstLine="0" w:firstLineChars="0"/>
        <w:rPr>
          <w:rFonts w:ascii="宋体" w:hAnsi="宋体" w:cs="宋体"/>
          <w:color w:val="auto"/>
          <w:kern w:val="0"/>
          <w:sz w:val="21"/>
          <w:szCs w:val="21"/>
          <w:highlight w:val="none"/>
        </w:rPr>
      </w:pPr>
    </w:p>
    <w:p w14:paraId="7489E390">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32"/>
          <w:szCs w:val="32"/>
          <w:highlight w:val="none"/>
        </w:rPr>
        <w:t>五、评审</w:t>
      </w:r>
    </w:p>
    <w:p w14:paraId="61870A1B">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21.</w:t>
      </w:r>
      <w:r>
        <w:rPr>
          <w:rFonts w:hint="eastAsia" w:ascii="宋体" w:hAnsi="宋体" w:cs="宋体"/>
          <w:color w:val="auto"/>
          <w:sz w:val="21"/>
          <w:szCs w:val="21"/>
          <w:highlight w:val="none"/>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1"/>
          <w:szCs w:val="21"/>
          <w:highlight w:val="none"/>
        </w:rPr>
        <w:t>详见采购文件第四部分评审</w:t>
      </w:r>
      <w:r>
        <w:rPr>
          <w:rFonts w:hint="eastAsia" w:ascii="宋体" w:hAnsi="宋体" w:cs="宋体"/>
          <w:b/>
          <w:color w:val="auto"/>
          <w:sz w:val="21"/>
          <w:szCs w:val="21"/>
          <w:highlight w:val="none"/>
          <w:lang w:val="en-US" w:eastAsia="zh-CN"/>
        </w:rPr>
        <w:t>方法及评标标准</w:t>
      </w:r>
      <w:r>
        <w:rPr>
          <w:rFonts w:hint="eastAsia" w:ascii="宋体" w:hAnsi="宋体" w:cs="宋体"/>
          <w:b/>
          <w:color w:val="auto"/>
          <w:sz w:val="21"/>
          <w:szCs w:val="21"/>
          <w:highlight w:val="none"/>
        </w:rPr>
        <w:t>。</w:t>
      </w:r>
    </w:p>
    <w:p w14:paraId="67A618F2">
      <w:pPr>
        <w:spacing w:line="360" w:lineRule="auto"/>
        <w:rPr>
          <w:rFonts w:ascii="宋体" w:hAnsi="宋体" w:cs="宋体"/>
          <w:b/>
          <w:color w:val="auto"/>
          <w:sz w:val="21"/>
          <w:szCs w:val="21"/>
          <w:highlight w:val="none"/>
        </w:rPr>
      </w:pPr>
    </w:p>
    <w:p w14:paraId="01D1ED8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六、成交供应商确定</w:t>
      </w:r>
    </w:p>
    <w:p w14:paraId="5FB2D3FE">
      <w:pPr>
        <w:pStyle w:val="24"/>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确定成交供应商</w:t>
      </w:r>
    </w:p>
    <w:p w14:paraId="6B877FEC">
      <w:pPr>
        <w:pStyle w:val="397"/>
        <w:snapToGrid w:val="0"/>
        <w:spacing w:before="0"/>
        <w:ind w:firstLine="480"/>
        <w:rPr>
          <w:rFonts w:hint="default" w:ascii="宋体" w:hAnsi="宋体" w:eastAsia="宋体" w:cs="宋体"/>
          <w:b/>
          <w:color w:val="auto"/>
          <w:sz w:val="21"/>
          <w:szCs w:val="21"/>
          <w:highlight w:val="none"/>
          <w:lang w:val="en-US" w:eastAsia="zh-CN"/>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宋体" w:hAnsi="宋体" w:cs="宋体"/>
          <w:color w:val="auto"/>
          <w:sz w:val="21"/>
          <w:szCs w:val="21"/>
          <w:highlight w:val="none"/>
          <w:lang w:val="en-US" w:eastAsia="zh-CN"/>
        </w:rPr>
        <w:t>采购单位应当在评审报告推荐的中标或者成交候选人中按顺序确定中标或者成交供应商。</w:t>
      </w:r>
    </w:p>
    <w:p w14:paraId="656576F4">
      <w:pPr>
        <w:pStyle w:val="397"/>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成交通知与成交结果公告</w:t>
      </w:r>
    </w:p>
    <w:p w14:paraId="4051345F">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23.1自成交供应商确定之日起1个工作日内，</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通过电子交易平台向成交供应商发出成交通知书，同时编制发布采购结果公告。</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也可以以纸质形式进行成交通知。</w:t>
      </w:r>
    </w:p>
    <w:p w14:paraId="57BE6992">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23.2成交结果公告内容包括采购人及其委托的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1367BC9">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7B2EC901">
      <w:pPr>
        <w:snapToGrid w:val="0"/>
        <w:spacing w:line="360" w:lineRule="auto"/>
        <w:ind w:left="120" w:leftChars="57" w:firstLine="316" w:firstLineChars="150"/>
        <w:jc w:val="center"/>
        <w:rPr>
          <w:rFonts w:ascii="宋体" w:hAnsi="宋体" w:cs="宋体"/>
          <w:b/>
          <w:color w:val="auto"/>
          <w:sz w:val="21"/>
          <w:szCs w:val="21"/>
          <w:highlight w:val="none"/>
        </w:rPr>
      </w:pPr>
    </w:p>
    <w:p w14:paraId="02013FE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七、合同授予</w:t>
      </w:r>
    </w:p>
    <w:p w14:paraId="471CB876">
      <w:pPr>
        <w:pStyle w:val="24"/>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64C736DB">
      <w:pPr>
        <w:pStyle w:val="24"/>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330214DF">
      <w:pPr>
        <w:widowControl/>
        <w:shd w:val="clear" w:color="auto" w:fill="FFFFFF"/>
        <w:snapToGrid w:val="0"/>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2830AB4">
      <w:pPr>
        <w:pStyle w:val="397"/>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4C4A93D">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56667AB4">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9DE3861">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25.5采购合同由采购人与成交供应商根据采购文件、响应文件等内容通过政府采购电子交易平台在线签订，自动备案。</w:t>
      </w:r>
    </w:p>
    <w:p w14:paraId="0310BEF9">
      <w:pPr>
        <w:pStyle w:val="24"/>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26. 履约保证金</w:t>
      </w:r>
    </w:p>
    <w:p w14:paraId="0F75B8CE">
      <w:pPr>
        <w:tabs>
          <w:tab w:val="left" w:pos="0"/>
        </w:tabs>
        <w:snapToGrid w:val="0"/>
        <w:spacing w:line="360" w:lineRule="auto"/>
        <w:ind w:firstLine="482"/>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1"/>
          <w:szCs w:val="21"/>
          <w:highlight w:val="none"/>
        </w:rPr>
        <w:t>。确需收取履约保证金的，履约保证金缴纳最高比例由不超过</w:t>
      </w:r>
      <w:r>
        <w:rPr>
          <w:rFonts w:hint="eastAsia" w:ascii="宋体" w:hAnsi="宋体" w:cs="宋体"/>
          <w:color w:val="auto"/>
          <w:kern w:val="2"/>
          <w:sz w:val="21"/>
          <w:szCs w:val="21"/>
          <w:highlight w:val="none"/>
        </w:rPr>
        <w:t>合同金额的</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，鼓励根据项目特点、供应商诚信等因素免收履约保证金或降低缴纳比例。</w:t>
      </w:r>
      <w:r>
        <w:rPr>
          <w:rFonts w:hint="eastAsia" w:ascii="宋体" w:hAnsi="宋体" w:cs="宋体"/>
          <w:color w:val="auto"/>
          <w:sz w:val="21"/>
          <w:szCs w:val="21"/>
          <w:highlight w:val="none"/>
        </w:rPr>
        <w:t>采购单位鼓励供应商采取履约保函形式提供信用保证；供应商提供保函的，采购单位不得拒收。项目验收结束后应及时退还，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1004A1E3">
      <w:pPr>
        <w:numPr>
          <w:ilvl w:val="0"/>
          <w:numId w:val="12"/>
        </w:numPr>
        <w:adjustRightInd/>
        <w:spacing w:line="360" w:lineRule="auto"/>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预付款</w:t>
      </w:r>
    </w:p>
    <w:p w14:paraId="53D3E0D2">
      <w:pPr>
        <w:numPr>
          <w:ilvl w:val="0"/>
          <w:numId w:val="0"/>
        </w:numPr>
        <w:adjustRightInd/>
        <w:spacing w:line="360" w:lineRule="auto"/>
        <w:ind w:firstLine="420" w:firstLineChars="200"/>
        <w:rPr>
          <w:color w:val="auto"/>
          <w:sz w:val="21"/>
          <w:szCs w:val="21"/>
          <w:highlight w:val="none"/>
        </w:rPr>
      </w:pPr>
      <w:r>
        <w:rPr>
          <w:rFonts w:hint="eastAsia" w:ascii="宋体" w:hAnsi="宋体" w:cs="Times New Roman"/>
          <w:color w:val="auto"/>
          <w:kern w:val="2"/>
          <w:sz w:val="21"/>
          <w:szCs w:val="21"/>
          <w:highlight w:val="none"/>
        </w:rPr>
        <w:t>采购单位应当在政府采购合同中约定预付款，对中小企业合同预付款比例原则上不低于合同金额的</w:t>
      </w:r>
      <w:r>
        <w:rPr>
          <w:rFonts w:ascii="宋体" w:hAnsi="宋体" w:cs="Times New Roman"/>
          <w:color w:val="auto"/>
          <w:kern w:val="2"/>
          <w:sz w:val="21"/>
          <w:szCs w:val="21"/>
          <w:highlight w:val="none"/>
        </w:rPr>
        <w:t>40％</w:t>
      </w:r>
      <w:r>
        <w:rPr>
          <w:rFonts w:hint="eastAsia" w:ascii="宋体" w:hAnsi="宋体" w:cs="Times New Roman"/>
          <w:color w:val="auto"/>
          <w:kern w:val="2"/>
          <w:sz w:val="21"/>
          <w:szCs w:val="21"/>
          <w:highlight w:val="none"/>
        </w:rPr>
        <w:t>，不高于合同金额的</w:t>
      </w:r>
      <w:r>
        <w:rPr>
          <w:rFonts w:ascii="宋体" w:hAnsi="宋体" w:cs="Times New Roman"/>
          <w:color w:val="auto"/>
          <w:kern w:val="2"/>
          <w:sz w:val="21"/>
          <w:szCs w:val="21"/>
          <w:highlight w:val="none"/>
        </w:rPr>
        <w:t>70%；项目分年安排预算的，每年预付款比例</w:t>
      </w:r>
      <w:r>
        <w:rPr>
          <w:rFonts w:hint="eastAsia" w:ascii="宋体" w:hAnsi="宋体"/>
          <w:color w:val="auto"/>
          <w:sz w:val="21"/>
          <w:szCs w:val="21"/>
          <w:highlight w:val="none"/>
        </w:rPr>
        <w:t>不低于</w:t>
      </w:r>
      <w:r>
        <w:rPr>
          <w:rFonts w:ascii="宋体" w:hAnsi="宋体" w:cs="Times New Roman"/>
          <w:color w:val="auto"/>
          <w:kern w:val="2"/>
          <w:sz w:val="21"/>
          <w:szCs w:val="21"/>
          <w:highlight w:val="none"/>
        </w:rPr>
        <w:t>项目年度计划支付资金额的40％</w:t>
      </w:r>
      <w:r>
        <w:rPr>
          <w:rFonts w:hint="eastAsia" w:ascii="宋体" w:hAnsi="宋体" w:cs="Times New Roman"/>
          <w:color w:val="auto"/>
          <w:kern w:val="2"/>
          <w:sz w:val="21"/>
          <w:szCs w:val="21"/>
          <w:highlight w:val="none"/>
        </w:rPr>
        <w:t>，不高于合同金额的</w:t>
      </w:r>
      <w:r>
        <w:rPr>
          <w:rFonts w:ascii="宋体" w:hAnsi="宋体" w:cs="Times New Roman"/>
          <w:color w:val="auto"/>
          <w:kern w:val="2"/>
          <w:sz w:val="21"/>
          <w:szCs w:val="21"/>
          <w:highlight w:val="none"/>
        </w:rPr>
        <w:t>70%；采购项目实施以人工投入为主的，</w:t>
      </w:r>
      <w:r>
        <w:rPr>
          <w:rFonts w:hint="eastAsia" w:ascii="宋体" w:hAnsi="宋体" w:cs="Times New Roman"/>
          <w:color w:val="auto"/>
          <w:kern w:val="2"/>
          <w:sz w:val="21"/>
          <w:szCs w:val="21"/>
          <w:highlight w:val="none"/>
        </w:rPr>
        <w:t>可适当降低预付款比例，但不得低于</w:t>
      </w:r>
      <w:r>
        <w:rPr>
          <w:rFonts w:ascii="宋体" w:hAnsi="宋体" w:cs="Times New Roman"/>
          <w:color w:val="auto"/>
          <w:kern w:val="2"/>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1"/>
          <w:szCs w:val="21"/>
          <w:highlight w:val="none"/>
        </w:rPr>
        <w:t>供应商</w:t>
      </w:r>
      <w:r>
        <w:rPr>
          <w:rFonts w:ascii="宋体" w:hAnsi="宋体" w:cs="Times New Roman"/>
          <w:color w:val="auto"/>
          <w:kern w:val="2"/>
          <w:sz w:val="21"/>
          <w:szCs w:val="21"/>
          <w:highlight w:val="none"/>
        </w:rPr>
        <w:t>明确表示无需预付款或者主动要求降低预付款比例的，</w:t>
      </w:r>
      <w:r>
        <w:rPr>
          <w:rFonts w:hint="eastAsia" w:ascii="宋体" w:hAnsi="宋体" w:cs="Times New Roman"/>
          <w:color w:val="auto"/>
          <w:kern w:val="2"/>
          <w:sz w:val="21"/>
          <w:szCs w:val="21"/>
          <w:highlight w:val="none"/>
        </w:rPr>
        <w:t>采购单位</w:t>
      </w:r>
      <w:r>
        <w:rPr>
          <w:rFonts w:ascii="宋体" w:hAnsi="宋体" w:cs="Times New Roman"/>
          <w:color w:val="auto"/>
          <w:kern w:val="2"/>
          <w:sz w:val="21"/>
          <w:szCs w:val="21"/>
          <w:highlight w:val="none"/>
        </w:rPr>
        <w:t>可不适用前述规定。</w:t>
      </w:r>
      <w:r>
        <w:rPr>
          <w:rFonts w:hint="eastAsia" w:ascii="宋体" w:hAnsi="宋体" w:cs="Times New Roman"/>
          <w:color w:val="auto"/>
          <w:kern w:val="2"/>
          <w:sz w:val="21"/>
          <w:szCs w:val="21"/>
          <w:highlight w:val="none"/>
        </w:rPr>
        <w:t>采购单位</w:t>
      </w:r>
      <w:r>
        <w:rPr>
          <w:rFonts w:ascii="宋体" w:hAnsi="宋体" w:cs="Times New Roman"/>
          <w:color w:val="auto"/>
          <w:kern w:val="2"/>
          <w:sz w:val="21"/>
          <w:szCs w:val="21"/>
          <w:highlight w:val="none"/>
        </w:rPr>
        <w:t>根据项目特点、供应商诚信等因素，可以要求</w:t>
      </w:r>
      <w:r>
        <w:rPr>
          <w:rFonts w:hint="eastAsia" w:ascii="宋体" w:hAnsi="宋体" w:cs="Times New Roman"/>
          <w:color w:val="auto"/>
          <w:kern w:val="2"/>
          <w:sz w:val="21"/>
          <w:szCs w:val="21"/>
          <w:highlight w:val="none"/>
        </w:rPr>
        <w:t>供应商</w:t>
      </w:r>
      <w:r>
        <w:rPr>
          <w:rFonts w:ascii="宋体" w:hAnsi="宋体" w:cs="Times New Roman"/>
          <w:color w:val="auto"/>
          <w:kern w:val="2"/>
          <w:sz w:val="21"/>
          <w:szCs w:val="21"/>
          <w:highlight w:val="none"/>
        </w:rPr>
        <w:t>提交银行、保险公司等金融机构出具的预付款保函或其他担保措施。政府采购预付款应在合同生效以及具备实施条件后</w:t>
      </w:r>
      <w:r>
        <w:rPr>
          <w:rFonts w:hint="eastAsia" w:ascii="宋体" w:hAnsi="宋体" w:cs="Times New Roman"/>
          <w:color w:val="auto"/>
          <w:kern w:val="2"/>
          <w:sz w:val="21"/>
          <w:szCs w:val="21"/>
          <w:highlight w:val="none"/>
          <w:lang w:val="en-US" w:eastAsia="zh-CN"/>
        </w:rPr>
        <w:t>1</w:t>
      </w:r>
      <w:r>
        <w:rPr>
          <w:rFonts w:ascii="宋体" w:hAnsi="宋体" w:cs="Times New Roman"/>
          <w:color w:val="auto"/>
          <w:kern w:val="2"/>
          <w:sz w:val="21"/>
          <w:szCs w:val="21"/>
          <w:highlight w:val="none"/>
        </w:rPr>
        <w:t>5个工作日内支付。</w:t>
      </w:r>
    </w:p>
    <w:p w14:paraId="461256A3">
      <w:pPr>
        <w:snapToGrid w:val="0"/>
        <w:spacing w:line="360" w:lineRule="auto"/>
        <w:ind w:firstLine="2203" w:firstLineChars="1045"/>
        <w:rPr>
          <w:rFonts w:ascii="宋体" w:hAnsi="宋体" w:cs="宋体"/>
          <w:b/>
          <w:color w:val="auto"/>
          <w:sz w:val="21"/>
          <w:szCs w:val="21"/>
          <w:highlight w:val="none"/>
        </w:rPr>
      </w:pPr>
    </w:p>
    <w:p w14:paraId="69DD246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八、电子交易活动的中止</w:t>
      </w:r>
    </w:p>
    <w:p w14:paraId="31051FBF">
      <w:pPr>
        <w:pStyle w:val="397"/>
        <w:snapToGrid w:val="0"/>
        <w:spacing w:before="0"/>
        <w:ind w:firstLine="0" w:firstLineChars="0"/>
        <w:rPr>
          <w:rFonts w:hint="eastAsia" w:ascii="宋体" w:hAnsi="宋体" w:cs="宋体"/>
          <w:b/>
          <w:color w:val="auto"/>
          <w:sz w:val="21"/>
          <w:szCs w:val="21"/>
          <w:highlight w:val="none"/>
        </w:rPr>
      </w:pPr>
      <w:r>
        <w:rPr>
          <w:rFonts w:ascii="宋体" w:hAnsi="宋体" w:cs="宋体"/>
          <w:b/>
          <w:bCs/>
          <w:color w:val="auto"/>
          <w:kern w:val="2"/>
          <w:sz w:val="21"/>
          <w:szCs w:val="21"/>
          <w:highlight w:val="none"/>
        </w:rPr>
        <w:t>28</w:t>
      </w:r>
      <w:r>
        <w:rPr>
          <w:rFonts w:hint="eastAsia" w:ascii="宋体" w:hAnsi="宋体" w:cs="宋体"/>
          <w:b/>
          <w:color w:val="auto"/>
          <w:sz w:val="21"/>
          <w:szCs w:val="21"/>
          <w:highlight w:val="none"/>
        </w:rPr>
        <w:t>. 电子交易活动的中止。</w:t>
      </w:r>
    </w:p>
    <w:p w14:paraId="1BC29BB2">
      <w:pPr>
        <w:pStyle w:val="397"/>
        <w:snapToGrid w:val="0"/>
        <w:spacing w:before="0"/>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采购过程中出现以下情形，导致电子交易平台无法正常运行，或者无法保证电子交易的公平、公正和安全时，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可中止电子交易活动：</w:t>
      </w:r>
    </w:p>
    <w:p w14:paraId="3EB25290">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4E48C84A">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7EABDF2E">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230A1B9B">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3A44A600">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754E79FC">
      <w:pPr>
        <w:pStyle w:val="397"/>
        <w:snapToGrid w:val="0"/>
        <w:spacing w:before="0"/>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29.</w:t>
      </w:r>
      <w:r>
        <w:rPr>
          <w:rFonts w:hint="eastAsia" w:ascii="宋体" w:hAnsi="宋体" w:cs="宋体"/>
          <w:b/>
          <w:bCs/>
          <w:color w:val="auto"/>
          <w:sz w:val="21"/>
          <w:szCs w:val="21"/>
          <w:highlight w:val="none"/>
          <w:lang w:val="en-US" w:eastAsia="zh-CN"/>
        </w:rPr>
        <w:t xml:space="preserve"> </w:t>
      </w:r>
      <w:r>
        <w:rPr>
          <w:rFonts w:hint="eastAsia" w:ascii="宋体" w:hAnsi="宋体" w:cs="宋体"/>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E18121D">
      <w:pPr>
        <w:tabs>
          <w:tab w:val="left" w:pos="0"/>
        </w:tabs>
        <w:spacing w:line="360" w:lineRule="auto"/>
        <w:ind w:firstLine="480"/>
        <w:rPr>
          <w:rFonts w:ascii="宋体" w:hAnsi="宋体" w:cs="宋体"/>
          <w:color w:val="auto"/>
          <w:sz w:val="21"/>
          <w:szCs w:val="21"/>
          <w:highlight w:val="none"/>
        </w:rPr>
      </w:pPr>
    </w:p>
    <w:p w14:paraId="1311CD9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九、验收</w:t>
      </w:r>
    </w:p>
    <w:p w14:paraId="6060BE60">
      <w:pPr>
        <w:pStyle w:val="24"/>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2F84B156">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D96F74">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30.2采购人可以邀请参加本项目的其他供应商或者第三方机构参与验收。参与验收的供应商或者第三方机构的意见作为验收书的参考资料一并存档。</w:t>
      </w:r>
    </w:p>
    <w:p w14:paraId="47EB6F9D">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D608DF">
      <w:pPr>
        <w:tabs>
          <w:tab w:val="left" w:pos="0"/>
        </w:tabs>
        <w:spacing w:line="360" w:lineRule="auto"/>
        <w:ind w:firstLine="480"/>
        <w:rPr>
          <w:rFonts w:hint="eastAsia" w:ascii="宋体" w:hAnsi="宋体" w:cs="宋体"/>
          <w:b/>
          <w:color w:val="auto"/>
          <w:sz w:val="36"/>
          <w:szCs w:val="36"/>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1"/>
      <w:bookmarkEnd w:id="52"/>
      <w:bookmarkEnd w:id="53"/>
      <w:bookmarkStart w:id="57" w:name="_Hlt68073093"/>
      <w:bookmarkEnd w:id="57"/>
      <w:bookmarkStart w:id="58" w:name="_Hlt68072998"/>
      <w:bookmarkEnd w:id="58"/>
      <w:bookmarkStart w:id="59" w:name="_Hlt68403820"/>
      <w:bookmarkEnd w:id="59"/>
      <w:bookmarkStart w:id="60" w:name="第四部分"/>
      <w:r>
        <w:rPr>
          <w:rFonts w:hint="eastAsia" w:ascii="宋体" w:hAnsi="宋体" w:cs="宋体"/>
          <w:b/>
          <w:color w:val="auto"/>
          <w:sz w:val="36"/>
          <w:szCs w:val="36"/>
          <w:highlight w:val="none"/>
        </w:rPr>
        <w:br w:type="page"/>
      </w:r>
    </w:p>
    <w:p w14:paraId="17F9AB0A">
      <w:pPr>
        <w:pStyle w:val="41"/>
        <w:tabs>
          <w:tab w:val="right" w:leader="dot" w:pos="9180"/>
        </w:tabs>
        <w:spacing w:before="120" w:beforeLines="50" w:line="600" w:lineRule="exact"/>
        <w:ind w:right="-420" w:rightChars="-200"/>
        <w:jc w:val="center"/>
        <w:outlineLvl w:val="0"/>
        <w:rPr>
          <w:rFonts w:hint="eastAsia"/>
          <w:b/>
          <w:color w:val="auto"/>
          <w:sz w:val="36"/>
          <w:szCs w:val="36"/>
          <w:highlight w:val="none"/>
        </w:rPr>
      </w:pPr>
      <w:bookmarkStart w:id="61" w:name="_Toc31399"/>
      <w:bookmarkStart w:id="62" w:name="_Toc462908588"/>
      <w:bookmarkStart w:id="63" w:name="OLE_LINK3"/>
      <w:bookmarkStart w:id="64" w:name="OLE_LINK1"/>
      <w:r>
        <w:rPr>
          <w:rFonts w:hint="eastAsia"/>
          <w:b/>
          <w:color w:val="auto"/>
          <w:sz w:val="36"/>
          <w:szCs w:val="36"/>
          <w:highlight w:val="none"/>
        </w:rPr>
        <w:t>第</w:t>
      </w:r>
      <w:r>
        <w:rPr>
          <w:rFonts w:hint="eastAsia"/>
          <w:b/>
          <w:color w:val="auto"/>
          <w:sz w:val="36"/>
          <w:szCs w:val="36"/>
          <w:highlight w:val="none"/>
          <w:lang w:val="en-US" w:eastAsia="zh-CN"/>
        </w:rPr>
        <w:t>三</w:t>
      </w:r>
      <w:r>
        <w:rPr>
          <w:rFonts w:hint="eastAsia"/>
          <w:b/>
          <w:color w:val="auto"/>
          <w:sz w:val="36"/>
          <w:szCs w:val="36"/>
          <w:highlight w:val="none"/>
        </w:rPr>
        <w:t xml:space="preserve">部分 </w:t>
      </w:r>
      <w:r>
        <w:rPr>
          <w:rFonts w:hint="eastAsia"/>
          <w:b/>
          <w:color w:val="auto"/>
          <w:sz w:val="36"/>
          <w:szCs w:val="36"/>
          <w:highlight w:val="none"/>
          <w:lang w:val="en-US" w:eastAsia="zh-CN"/>
        </w:rPr>
        <w:t>采购</w:t>
      </w:r>
      <w:r>
        <w:rPr>
          <w:rFonts w:hint="eastAsia"/>
          <w:b/>
          <w:color w:val="auto"/>
          <w:sz w:val="36"/>
          <w:szCs w:val="36"/>
          <w:highlight w:val="none"/>
        </w:rPr>
        <w:t>需求</w:t>
      </w:r>
      <w:bookmarkEnd w:id="61"/>
      <w:r>
        <w:rPr>
          <w:rFonts w:hint="eastAsia"/>
          <w:b/>
          <w:color w:val="auto"/>
          <w:sz w:val="36"/>
          <w:szCs w:val="36"/>
          <w:highlight w:val="none"/>
        </w:rPr>
        <w:t xml:space="preserve"> </w:t>
      </w:r>
      <w:bookmarkEnd w:id="62"/>
    </w:p>
    <w:p w14:paraId="3EF7FA19">
      <w:pPr>
        <w:rPr>
          <w:rFonts w:hint="eastAsia"/>
          <w:color w:val="auto"/>
          <w:highlight w:val="none"/>
        </w:rPr>
      </w:pPr>
    </w:p>
    <w:bookmarkEnd w:id="63"/>
    <w:bookmarkEnd w:id="64"/>
    <w:p w14:paraId="274E33A0">
      <w:pPr>
        <w:spacing w:line="240" w:lineRule="exact"/>
        <w:jc w:val="center"/>
        <w:rPr>
          <w:rFonts w:hint="eastAsia" w:ascii="宋体" w:hAnsi="宋体" w:cs="宋体"/>
          <w:color w:val="auto"/>
          <w:sz w:val="44"/>
          <w:highlight w:val="none"/>
        </w:rPr>
      </w:pPr>
    </w:p>
    <w:p w14:paraId="70E8D97C">
      <w:pPr>
        <w:keepNext w:val="0"/>
        <w:keepLines w:val="0"/>
        <w:pageBreakBefore w:val="0"/>
        <w:tabs>
          <w:tab w:val="left" w:pos="840"/>
        </w:tabs>
        <w:kinsoku/>
        <w:wordWrap/>
        <w:overflowPunct/>
        <w:topLinePunct w:val="0"/>
        <w:bidi w:val="0"/>
        <w:snapToGrid/>
        <w:spacing w:line="360" w:lineRule="auto"/>
        <w:textAlignment w:val="auto"/>
        <w:rPr>
          <w:rFonts w:hint="eastAsia" w:asciiTheme="majorEastAsia" w:hAnsiTheme="majorEastAsia" w:eastAsiaTheme="majorEastAsia" w:cstheme="majorEastAsia"/>
          <w:b/>
          <w:bCs/>
          <w:color w:val="auto"/>
          <w:kern w:val="1"/>
          <w:sz w:val="21"/>
          <w:szCs w:val="21"/>
          <w:highlight w:val="none"/>
        </w:rPr>
      </w:pPr>
      <w:r>
        <w:rPr>
          <w:rFonts w:hint="eastAsia" w:asciiTheme="majorEastAsia" w:hAnsiTheme="majorEastAsia" w:eastAsiaTheme="majorEastAsia" w:cstheme="majorEastAsia"/>
          <w:b/>
          <w:bCs/>
          <w:color w:val="auto"/>
          <w:kern w:val="1"/>
          <w:sz w:val="21"/>
          <w:szCs w:val="21"/>
          <w:highlight w:val="none"/>
        </w:rPr>
        <w:t>一、采购内容及技术要求</w:t>
      </w:r>
    </w:p>
    <w:p w14:paraId="76774BB1">
      <w:pPr>
        <w:keepNext w:val="0"/>
        <w:keepLines w:val="0"/>
        <w:pageBreakBefore w:val="0"/>
        <w:kinsoku/>
        <w:wordWrap/>
        <w:overflowPunct/>
        <w:topLinePunct w:val="0"/>
        <w:bidi w:val="0"/>
        <w:snapToGrid/>
        <w:spacing w:line="360" w:lineRule="auto"/>
        <w:ind w:firstLine="420"/>
        <w:textAlignment w:val="auto"/>
        <w:rPr>
          <w:rFonts w:hint="default" w:asciiTheme="majorEastAsia" w:hAnsiTheme="majorEastAsia" w:eastAsiaTheme="majorEastAsia" w:cstheme="majorEastAsia"/>
          <w:color w:val="auto"/>
          <w:sz w:val="21"/>
          <w:szCs w:val="21"/>
          <w:highlight w:val="none"/>
          <w:u w:val="single"/>
          <w:lang w:val="en-US" w:eastAsia="zh-CN"/>
        </w:rPr>
      </w:pPr>
      <w:r>
        <w:rPr>
          <w:rFonts w:hint="eastAsia" w:asciiTheme="majorEastAsia" w:hAnsiTheme="majorEastAsia" w:eastAsiaTheme="majorEastAsia" w:cstheme="majorEastAsia"/>
          <w:color w:val="auto"/>
          <w:sz w:val="21"/>
          <w:szCs w:val="21"/>
          <w:highlight w:val="none"/>
        </w:rPr>
        <w:t>1、项目概况：</w:t>
      </w:r>
      <w:r>
        <w:rPr>
          <w:rFonts w:hint="eastAsia" w:asciiTheme="majorEastAsia" w:hAnsiTheme="majorEastAsia" w:eastAsiaTheme="majorEastAsia" w:cstheme="majorEastAsia"/>
          <w:color w:val="auto"/>
          <w:sz w:val="21"/>
          <w:szCs w:val="21"/>
          <w:highlight w:val="none"/>
          <w:u w:val="single"/>
          <w:lang w:val="en-US" w:eastAsia="zh-CN"/>
        </w:rPr>
        <w:t>工程建设地点位于宁海县境内,其中白溪大桥位于宁海县丹东线（G228），中心桩号K3810+177，桥梁全长427.5m，跨径组合17×25m，宽12m，上部结构为预应力混凝土小箱梁，下部结构为多柱式墩台、桩基础；凫溪桥位于宁海县丹东线（G228），中心桩号K3783+500/K3783+541，桥梁全长187.7m，跨径组合11×16m，宽11.7m，上部结构为预应力混凝土简支空心板，下部结构桥墩采用双柱式墩钻孔灌注桩，桥台采用框架式钻孔灌注桩；杜岙大桥位于宁海县象义线（G527），中心桩号K46+459,桥梁全长216m，跨径组合6×30m，宽32m，上部结构为预应力混凝土小箱梁，下部结构为多柱式墩台、桩基础；力洋大桥位于宁海县象义线（G527），中心桩号K37+410,桥梁全长119.04m，跨径组合6×16m，上部结构为预应力混凝土空心板梁，下部结构为多柱式墩台+重力式、桩基础+扩大基础；均参照一级公路标准设计，设计时速为80km/h。</w:t>
      </w:r>
    </w:p>
    <w:p w14:paraId="255DC1F5">
      <w:pPr>
        <w:keepNext w:val="0"/>
        <w:keepLines w:val="0"/>
        <w:pageBreakBefore w:val="0"/>
        <w:kinsoku/>
        <w:wordWrap/>
        <w:overflowPunct/>
        <w:topLinePunct w:val="0"/>
        <w:bidi w:val="0"/>
        <w:snapToGrid/>
        <w:spacing w:line="360" w:lineRule="auto"/>
        <w:ind w:firstLine="420"/>
        <w:textAlignment w:val="auto"/>
        <w:rPr>
          <w:rFonts w:hint="eastAsia" w:ascii="Times New Roman" w:hAnsi="Times New Roman" w:eastAsia="宋体" w:cs="Times New Roman"/>
          <w:color w:val="auto"/>
          <w:kern w:val="2"/>
          <w:sz w:val="21"/>
          <w:szCs w:val="24"/>
          <w:highlight w:val="none"/>
          <w:u w:val="single"/>
          <w:lang w:val="en-US" w:eastAsia="zh-CN"/>
        </w:rPr>
      </w:pPr>
      <w:r>
        <w:rPr>
          <w:rFonts w:hint="eastAsia" w:asciiTheme="majorEastAsia" w:hAnsiTheme="majorEastAsia" w:eastAsiaTheme="majorEastAsia" w:cstheme="majorEastAsia"/>
          <w:color w:val="auto"/>
          <w:sz w:val="21"/>
          <w:szCs w:val="21"/>
          <w:highlight w:val="none"/>
        </w:rPr>
        <w:t>2、采购内容：</w:t>
      </w:r>
      <w:r>
        <w:rPr>
          <w:rFonts w:hint="eastAsia" w:cs="Times New Roman"/>
          <w:color w:val="auto"/>
          <w:kern w:val="2"/>
          <w:sz w:val="21"/>
          <w:szCs w:val="24"/>
          <w:highlight w:val="none"/>
          <w:u w:val="single"/>
          <w:lang w:val="en-US" w:eastAsia="zh-CN"/>
        </w:rPr>
        <w:t>3座桥梁（G228白溪大桥、G527杜岙大桥、G527力洋大桥）的常规病害处治、预防性养护措施、设施功能性提升及4座桥梁的轻量化监测应用。其中包括G228白溪大桥、G527杜岙大桥、G527力洋大桥混凝土破损露筋处治、裂缝封闭、破损伸缩缝凿除重做、对桥面铺装沥青层进行铣刨后重新摊铺，桥梁护栏进行防腐涂装、支座更换、排水设施改造等。</w:t>
      </w:r>
      <w:r>
        <w:rPr>
          <w:rFonts w:hint="eastAsia" w:ascii="Times New Roman" w:hAnsi="Times New Roman" w:eastAsia="宋体" w:cs="Times New Roman"/>
          <w:color w:val="auto"/>
          <w:kern w:val="2"/>
          <w:sz w:val="21"/>
          <w:szCs w:val="24"/>
          <w:highlight w:val="none"/>
          <w:u w:val="single"/>
          <w:lang w:val="en-US" w:eastAsia="zh-CN"/>
        </w:rPr>
        <w:t xml:space="preserve"> </w:t>
      </w:r>
    </w:p>
    <w:p w14:paraId="5514C041">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3、工程量清单是根据采购文件中包括的、有合同约束力的图纸以及有关工程量清单的国家标准、行业标准、合同条款中约定的工程量计算规则编制。计量采用中华人民共和国法定计量单位。</w:t>
      </w:r>
    </w:p>
    <w:p w14:paraId="3EACDA74">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4、工程量清单应与采购文件中的竞争性磋商须知、合同条款、技术标准和要求及图纸（如有）等一起阅读和理解。</w:t>
      </w:r>
    </w:p>
    <w:p w14:paraId="36F53C9D">
      <w:pPr>
        <w:keepNext w:val="0"/>
        <w:keepLines w:val="0"/>
        <w:pageBreakBefore w:val="0"/>
        <w:kinsoku/>
        <w:wordWrap/>
        <w:overflowPunct/>
        <w:topLinePunct w:val="0"/>
        <w:bidi w:val="0"/>
        <w:snapToGrid/>
        <w:spacing w:line="360" w:lineRule="auto"/>
        <w:ind w:firstLine="420"/>
        <w:textAlignment w:val="auto"/>
        <w:rPr>
          <w:rFonts w:hint="eastAsia" w:eastAsiaTheme="majorEastAsia"/>
          <w:color w:val="auto"/>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、符合合同条款规定的全部费用应认为已被计入有标价的工程量清单所列各子目之中，未列子目不予计量的工作，其费用应视为已分摊在本合同工程的有关子目的单价或总价之中。</w:t>
      </w:r>
      <w:r>
        <w:rPr>
          <w:rFonts w:hint="eastAsia" w:eastAsiaTheme="majorEastAsia"/>
          <w:color w:val="auto"/>
          <w:highlight w:val="none"/>
          <w:lang w:val="en-US" w:eastAsia="zh-CN"/>
        </w:rPr>
        <w:t xml:space="preserve"> </w:t>
      </w:r>
    </w:p>
    <w:p w14:paraId="34FC5732">
      <w:pPr>
        <w:pStyle w:val="23"/>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、工程量清单、图纸，详见附件。</w:t>
      </w:r>
    </w:p>
    <w:p w14:paraId="1595E12C">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由于图纸容量超出政采云系统要求，本项目图纸请与招标代理联系索取。</w:t>
      </w:r>
    </w:p>
    <w:p w14:paraId="697C68ED">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联系人</w:t>
      </w:r>
      <w:r>
        <w:rPr>
          <w:rFonts w:hint="eastAsia" w:asciiTheme="majorEastAsia" w:hAnsiTheme="majorEastAsia" w:eastAsiaTheme="majorEastAsia" w:cstheme="majorEastAsia"/>
          <w:color w:val="auto"/>
          <w:sz w:val="21"/>
          <w:szCs w:val="21"/>
          <w:highlight w:val="none"/>
          <w:lang w:val="en-US" w:eastAsia="zh-CN"/>
        </w:rPr>
        <w:t>及联系方式</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u w:val="single"/>
          <w:lang w:val="en-US" w:eastAsia="zh-CN"/>
        </w:rPr>
        <w:t xml:space="preserve"> 杨戈，15268104475</w:t>
      </w:r>
      <w:r>
        <w:rPr>
          <w:rFonts w:hint="eastAsia" w:asciiTheme="majorEastAsia" w:hAnsiTheme="majorEastAsia" w:eastAsiaTheme="majorEastAsia" w:cstheme="majorEastAsia"/>
          <w:color w:val="auto"/>
          <w:sz w:val="21"/>
          <w:szCs w:val="21"/>
          <w:highlight w:val="none"/>
          <w:u w:val="single"/>
        </w:rPr>
        <w:t xml:space="preserve"> </w:t>
      </w:r>
    </w:p>
    <w:p w14:paraId="1C105CFA">
      <w:pPr>
        <w:pStyle w:val="23"/>
        <w:keepNext w:val="0"/>
        <w:keepLines w:val="0"/>
        <w:pageBreakBefore w:val="0"/>
        <w:numPr>
          <w:ilvl w:val="0"/>
          <w:numId w:val="0"/>
        </w:numPr>
        <w:kinsoku/>
        <w:wordWrap/>
        <w:overflowPunct/>
        <w:topLinePunct w:val="0"/>
        <w:bidi w:val="0"/>
        <w:snapToGrid/>
        <w:spacing w:line="360" w:lineRule="auto"/>
        <w:textAlignment w:val="auto"/>
        <w:rPr>
          <w:rFonts w:hint="eastAsia" w:asciiTheme="majorEastAsia" w:hAnsiTheme="majorEastAsia" w:eastAsiaTheme="majorEastAsia" w:cstheme="majorEastAsia"/>
          <w:b/>
          <w:bCs/>
          <w:color w:val="auto"/>
          <w:kern w:val="1"/>
          <w:sz w:val="21"/>
          <w:szCs w:val="21"/>
          <w:highlight w:val="yellow"/>
          <w:lang w:val="en-US" w:eastAsia="zh-CN" w:bidi="ar-SA"/>
        </w:rPr>
      </w:pPr>
      <w:r>
        <w:rPr>
          <w:rFonts w:hint="eastAsia" w:asciiTheme="majorEastAsia" w:hAnsiTheme="majorEastAsia" w:eastAsiaTheme="majorEastAsia" w:cstheme="majorEastAsia"/>
          <w:b/>
          <w:bCs/>
          <w:color w:val="auto"/>
          <w:kern w:val="1"/>
          <w:sz w:val="21"/>
          <w:szCs w:val="21"/>
          <w:highlight w:val="none"/>
          <w:lang w:val="en-US" w:eastAsia="zh-CN" w:bidi="ar-SA"/>
        </w:rPr>
        <w:t>▲二、人员配备要求</w:t>
      </w:r>
    </w:p>
    <w:p w14:paraId="6E57DCA9">
      <w:pPr>
        <w:keepNext w:val="0"/>
        <w:keepLines w:val="0"/>
        <w:pageBreakBefore w:val="0"/>
        <w:tabs>
          <w:tab w:val="left" w:pos="840"/>
        </w:tabs>
        <w:kinsoku/>
        <w:wordWrap/>
        <w:overflowPunct/>
        <w:topLinePunct w:val="0"/>
        <w:autoSpaceDE/>
        <w:autoSpaceDN/>
        <w:bidi w:val="0"/>
        <w:snapToGrid/>
        <w:spacing w:line="360" w:lineRule="auto"/>
        <w:ind w:firstLine="420" w:firstLineChars="200"/>
        <w:textAlignment w:val="auto"/>
        <w:rPr>
          <w:rFonts w:hint="default" w:asciiTheme="majorEastAsia" w:hAnsiTheme="majorEastAsia" w:eastAsiaTheme="majorEastAsia" w:cstheme="majorEastAsia"/>
          <w:color w:val="auto"/>
          <w:sz w:val="21"/>
          <w:szCs w:val="21"/>
          <w:highlight w:val="none"/>
          <w:lang w:val="en-US" w:eastAsia="zh-CN"/>
        </w:rPr>
      </w:pPr>
      <w:r>
        <w:rPr>
          <w:rFonts w:hint="default" w:asciiTheme="majorEastAsia" w:hAnsiTheme="majorEastAsia" w:eastAsiaTheme="majorEastAsia" w:cstheme="majorEastAsia"/>
          <w:color w:val="auto"/>
          <w:sz w:val="21"/>
          <w:szCs w:val="21"/>
          <w:highlight w:val="none"/>
          <w:lang w:val="en-US" w:eastAsia="zh-CN"/>
        </w:rPr>
        <w:t>项目经理：1名，须具备公路工程专业二级及以上（不含临时）注册建造师证书，并有有效期内的公路水运或公路养护工程施工企业项目负责人安全生产考核合格证书（B 类）, 拟委任的项目经理在投标截止日未在其他在建合同工程中担任项目经理（包括工程总承包项目中的施工负责人）。项目技术负责人：1名，具备公路工程相关专业工程师及以上技术职称，并有有效期内的公路水运或公路养护工程施工企业项目负责人安全生产考核合格证书（B 类）。安全生产负责人：1名，具有有效期内的公路水运工程施工企业主要负责人和安全生产管理人员安全生产考核合格证书（C类）。</w:t>
      </w:r>
    </w:p>
    <w:p w14:paraId="77FE2A78">
      <w:pPr>
        <w:keepNext w:val="0"/>
        <w:keepLines w:val="0"/>
        <w:pageBreakBefore w:val="0"/>
        <w:tabs>
          <w:tab w:val="left" w:pos="840"/>
        </w:tabs>
        <w:kinsoku/>
        <w:wordWrap/>
        <w:overflowPunct/>
        <w:topLinePunct w:val="0"/>
        <w:autoSpaceDE/>
        <w:autoSpaceDN/>
        <w:bidi w:val="0"/>
        <w:snapToGrid/>
        <w:spacing w:line="360" w:lineRule="auto"/>
        <w:ind w:firstLine="420" w:firstLineChars="200"/>
        <w:textAlignment w:val="auto"/>
        <w:rPr>
          <w:rFonts w:hint="default" w:asciiTheme="majorEastAsia" w:hAnsiTheme="majorEastAsia" w:eastAsiaTheme="majorEastAsia" w:cstheme="majorEastAsia"/>
          <w:color w:val="auto"/>
          <w:sz w:val="21"/>
          <w:szCs w:val="21"/>
          <w:highlight w:val="yellow"/>
          <w:lang w:val="en-US" w:eastAsia="zh-CN"/>
        </w:rPr>
      </w:pPr>
      <w:r>
        <w:rPr>
          <w:rFonts w:hint="default" w:asciiTheme="majorEastAsia" w:hAnsiTheme="majorEastAsia" w:eastAsiaTheme="majorEastAsia" w:cstheme="majorEastAsia"/>
          <w:color w:val="auto"/>
          <w:sz w:val="21"/>
          <w:szCs w:val="21"/>
          <w:highlight w:val="none"/>
          <w:lang w:val="en-US" w:eastAsia="zh-CN"/>
        </w:rPr>
        <w:t>注：1.响应文件中提供相关证书的扫描件或复印件。</w:t>
      </w:r>
    </w:p>
    <w:p w14:paraId="67080824">
      <w:pPr>
        <w:keepNext w:val="0"/>
        <w:keepLines w:val="0"/>
        <w:pageBreakBefore w:val="0"/>
        <w:tabs>
          <w:tab w:val="left" w:pos="840"/>
        </w:tabs>
        <w:kinsoku/>
        <w:wordWrap/>
        <w:overflowPunct/>
        <w:topLinePunct w:val="0"/>
        <w:autoSpaceDE/>
        <w:autoSpaceDN/>
        <w:bidi w:val="0"/>
        <w:snapToGrid/>
        <w:spacing w:line="360" w:lineRule="auto"/>
        <w:ind w:firstLine="420" w:firstLineChars="200"/>
        <w:textAlignment w:val="auto"/>
        <w:rPr>
          <w:rFonts w:hint="default" w:asciiTheme="majorEastAsia" w:hAnsiTheme="majorEastAsia" w:eastAsiaTheme="majorEastAsia" w:cstheme="majorEastAsia"/>
          <w:color w:val="auto"/>
          <w:sz w:val="21"/>
          <w:szCs w:val="21"/>
          <w:highlight w:val="none"/>
          <w:lang w:val="en-US" w:eastAsia="zh-CN"/>
        </w:rPr>
      </w:pPr>
      <w:r>
        <w:rPr>
          <w:rFonts w:hint="default" w:asciiTheme="majorEastAsia" w:hAnsiTheme="majorEastAsia" w:eastAsiaTheme="majorEastAsia" w:cstheme="majorEastAsia"/>
          <w:color w:val="auto"/>
          <w:sz w:val="21"/>
          <w:szCs w:val="21"/>
          <w:highlight w:val="none"/>
          <w:lang w:val="en-US" w:eastAsia="zh-CN"/>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0D9FA3CD">
      <w:pPr>
        <w:keepNext w:val="0"/>
        <w:keepLines w:val="0"/>
        <w:pageBreakBefore w:val="0"/>
        <w:tabs>
          <w:tab w:val="left" w:pos="840"/>
        </w:tabs>
        <w:kinsoku/>
        <w:wordWrap/>
        <w:overflowPunct/>
        <w:topLinePunct w:val="0"/>
        <w:autoSpaceDE/>
        <w:autoSpaceDN/>
        <w:bidi w:val="0"/>
        <w:snapToGrid/>
        <w:spacing w:line="360" w:lineRule="auto"/>
        <w:ind w:firstLine="420" w:firstLineChars="200"/>
        <w:textAlignment w:val="auto"/>
        <w:rPr>
          <w:rFonts w:hint="default" w:asciiTheme="majorEastAsia" w:hAnsiTheme="majorEastAsia" w:eastAsiaTheme="majorEastAsia" w:cstheme="majorEastAsia"/>
          <w:color w:val="auto"/>
          <w:sz w:val="21"/>
          <w:szCs w:val="21"/>
          <w:highlight w:val="yellow"/>
          <w:lang w:val="en-US" w:eastAsia="zh-CN"/>
        </w:rPr>
      </w:pPr>
      <w:r>
        <w:rPr>
          <w:rFonts w:hint="default" w:asciiTheme="majorEastAsia" w:hAnsiTheme="majorEastAsia" w:eastAsiaTheme="majorEastAsia" w:cstheme="majorEastAsia"/>
          <w:color w:val="auto"/>
          <w:sz w:val="21"/>
          <w:szCs w:val="21"/>
          <w:highlight w:val="none"/>
          <w:lang w:val="en-US" w:eastAsia="zh-CN"/>
        </w:rPr>
        <w:t>3.“在建合同工程”范围：包括在中华人民共和国境内所有建设工程，不受地域、行业和投资性质的限制。</w:t>
      </w:r>
    </w:p>
    <w:p w14:paraId="75CB4EBE">
      <w:pPr>
        <w:keepNext w:val="0"/>
        <w:keepLines w:val="0"/>
        <w:pageBreakBefore w:val="0"/>
        <w:tabs>
          <w:tab w:val="left" w:pos="840"/>
        </w:tabs>
        <w:kinsoku/>
        <w:wordWrap/>
        <w:overflowPunct/>
        <w:topLinePunct w:val="0"/>
        <w:autoSpaceDE/>
        <w:autoSpaceDN/>
        <w:bidi w:val="0"/>
        <w:snapToGrid/>
        <w:spacing w:line="360" w:lineRule="auto"/>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b/>
          <w:bCs/>
          <w:color w:val="auto"/>
          <w:kern w:val="1"/>
          <w:sz w:val="21"/>
          <w:szCs w:val="21"/>
          <w:highlight w:val="none"/>
          <w:lang w:val="en-US" w:eastAsia="zh-CN"/>
        </w:rPr>
        <w:t>三</w:t>
      </w:r>
      <w:r>
        <w:rPr>
          <w:rFonts w:hint="eastAsia" w:asciiTheme="majorEastAsia" w:hAnsiTheme="majorEastAsia" w:eastAsiaTheme="majorEastAsia" w:cstheme="majorEastAsia"/>
          <w:b/>
          <w:bCs/>
          <w:color w:val="auto"/>
          <w:kern w:val="1"/>
          <w:sz w:val="21"/>
          <w:szCs w:val="21"/>
          <w:highlight w:val="none"/>
        </w:rPr>
        <w:t>、</w:t>
      </w:r>
      <w:r>
        <w:rPr>
          <w:rFonts w:hint="eastAsia" w:asciiTheme="majorEastAsia" w:hAnsiTheme="majorEastAsia" w:eastAsiaTheme="majorEastAsia" w:cstheme="majorEastAsia"/>
          <w:b/>
          <w:bCs/>
          <w:color w:val="auto"/>
          <w:kern w:val="1"/>
          <w:sz w:val="21"/>
          <w:szCs w:val="21"/>
          <w:highlight w:val="none"/>
          <w:lang w:val="en-US" w:eastAsia="zh-CN"/>
        </w:rPr>
        <w:t>工程量清单</w:t>
      </w:r>
      <w:r>
        <w:rPr>
          <w:rFonts w:hint="eastAsia" w:asciiTheme="majorEastAsia" w:hAnsiTheme="majorEastAsia" w:eastAsiaTheme="majorEastAsia" w:cstheme="majorEastAsia"/>
          <w:b/>
          <w:bCs/>
          <w:color w:val="auto"/>
          <w:kern w:val="1"/>
          <w:sz w:val="21"/>
          <w:szCs w:val="21"/>
          <w:highlight w:val="none"/>
        </w:rPr>
        <w:t>编制依据</w:t>
      </w:r>
    </w:p>
    <w:p w14:paraId="32EAD1C1">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1、《</w:t>
      </w:r>
      <w:r>
        <w:rPr>
          <w:rFonts w:hint="eastAsia" w:asciiTheme="minorEastAsia" w:hAnsiTheme="minorEastAsia" w:eastAsiaTheme="minorEastAsia"/>
          <w:bCs/>
          <w:color w:val="auto"/>
          <w:sz w:val="21"/>
          <w:szCs w:val="21"/>
          <w:highlight w:val="none"/>
          <w:u w:val="none"/>
          <w:lang w:val="en-US" w:eastAsia="zh-CN"/>
        </w:rPr>
        <w:t>2025年宁海县普通国省道大桥隐患治理工程</w:t>
      </w:r>
      <w:r>
        <w:rPr>
          <w:rFonts w:hint="eastAsia" w:asciiTheme="majorEastAsia" w:hAnsiTheme="majorEastAsia" w:eastAsiaTheme="majorEastAsia" w:cstheme="majorEastAsia"/>
          <w:color w:val="auto"/>
          <w:sz w:val="21"/>
          <w:szCs w:val="21"/>
          <w:highlight w:val="none"/>
          <w:u w:val="none"/>
          <w:lang w:val="en-US" w:eastAsia="zh-CN"/>
        </w:rPr>
        <w:t>》施工图。</w:t>
      </w:r>
    </w:p>
    <w:p w14:paraId="4A40AA70">
      <w:pPr>
        <w:keepNext w:val="0"/>
        <w:keepLines w:val="0"/>
        <w:pageBreakBefore w:val="0"/>
        <w:tabs>
          <w:tab w:val="left" w:pos="1260"/>
          <w:tab w:val="left" w:pos="9180"/>
          <w:tab w:val="left" w:pos="9360"/>
        </w:tabs>
        <w:kinsoku/>
        <w:wordWrap/>
        <w:overflowPunct/>
        <w:topLinePunct w:val="0"/>
        <w:autoSpaceDE/>
        <w:autoSpaceDN/>
        <w:bidi w:val="0"/>
        <w:snapToGrid/>
        <w:spacing w:line="360" w:lineRule="auto"/>
        <w:ind w:firstLine="420" w:firstLineChars="200"/>
        <w:textAlignment w:val="auto"/>
        <w:rPr>
          <w:rFonts w:hint="eastAsia"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2、依据《交通养护工程工程量清单计价规范》（DB33/T751-2009）、《浙江省公路养护工程预算编制办法》（2005年7月1日）、《浙江省公路养护工程预算定额》（2005年7月1日）、《浙江省公路养护工程机械台班费用定额》（2005年7月1日）、《公路养护工程预算编制导则》（2005年7月1日）、《公路工程预算定额》[JTG/T 3832-2018]、《公路工程机械台班费用定额》［JTG/T 3833-2018］、浙江省交通厅[2019]116号《关于转发交通运输部2018年第86号公告的通知》及相关补充文件说明。</w:t>
      </w:r>
    </w:p>
    <w:p w14:paraId="380836D0">
      <w:pPr>
        <w:keepNext w:val="0"/>
        <w:keepLines w:val="0"/>
        <w:pageBreakBefore w:val="0"/>
        <w:tabs>
          <w:tab w:val="left" w:pos="1260"/>
          <w:tab w:val="left" w:pos="9180"/>
          <w:tab w:val="left" w:pos="9360"/>
        </w:tabs>
        <w:kinsoku/>
        <w:wordWrap/>
        <w:overflowPunct/>
        <w:topLinePunct w:val="0"/>
        <w:autoSpaceDE/>
        <w:autoSpaceDN/>
        <w:bidi w:val="0"/>
        <w:snapToGrid/>
        <w:spacing w:line="360" w:lineRule="auto"/>
        <w:ind w:firstLine="420" w:firstLineChars="200"/>
        <w:textAlignment w:val="auto"/>
        <w:rPr>
          <w:rFonts w:hint="default" w:asciiTheme="majorEastAsia" w:hAnsiTheme="majorEastAsia" w:eastAsiaTheme="majorEastAsia" w:cstheme="majorEastAsia"/>
          <w:color w:val="auto"/>
          <w:sz w:val="21"/>
          <w:szCs w:val="21"/>
          <w:highlight w:val="yellow"/>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3、材料价格：采用宁波市交通运输局（</w:t>
      </w:r>
      <w:r>
        <w:rPr>
          <w:rFonts w:hint="eastAsia" w:asciiTheme="majorEastAsia" w:hAnsiTheme="majorEastAsia" w:eastAsiaTheme="majorEastAsia" w:cstheme="majorEastAsia"/>
          <w:color w:val="auto"/>
          <w:sz w:val="21"/>
          <w:szCs w:val="21"/>
          <w:highlight w:val="none"/>
          <w:u w:val="none"/>
          <w:lang w:val="en-US" w:eastAsia="zh-CN"/>
        </w:rPr>
        <w:drawing>
          <wp:inline distT="0" distB="0" distL="0" distR="0">
            <wp:extent cx="191135" cy="138430"/>
            <wp:effectExtent l="0" t="0" r="18415" b="13970"/>
            <wp:docPr id="13" name="图片 1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GJ$ACOF(TYDYECOKVDYB"/>
                    <pic:cNvPicPr>
                      <a:picLocks noChangeAspect="1" noChangeArrowheads="1"/>
                    </pic:cNvPicPr>
                  </pic:nvPicPr>
                  <pic:blipFill>
                    <a:blip r:embed="rId21" cstate="print"/>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Theme="majorEastAsia" w:hAnsiTheme="majorEastAsia" w:eastAsiaTheme="majorEastAsia" w:cstheme="majorEastAsia"/>
          <w:color w:val="auto"/>
          <w:sz w:val="21"/>
          <w:szCs w:val="21"/>
          <w:highlight w:val="none"/>
          <w:u w:val="none"/>
          <w:lang w:val="en-US" w:eastAsia="zh-CN"/>
        </w:rPr>
        <w:t>http://jtw.ningbo.gov.cn/）统计数据宁波市2024年9月份材料信息价中的宁海县部分的材料信息价，宁海县未发布的采用宁波市材料信息价（若材料品种或规格不全时，可采用浙江省交通工程造价管理站同期发布的材料信息价格及2024年9月份的宁波建设工程造价信息）,以上信息价均缺项的材料按市场含税价计取。</w:t>
      </w:r>
    </w:p>
    <w:p w14:paraId="007B80AE">
      <w:pPr>
        <w:keepNext w:val="0"/>
        <w:keepLines w:val="0"/>
        <w:pageBreakBefore w:val="0"/>
        <w:kinsoku/>
        <w:wordWrap/>
        <w:overflowPunct/>
        <w:topLinePunct w:val="0"/>
        <w:autoSpaceDE/>
        <w:autoSpaceDN/>
        <w:bidi w:val="0"/>
        <w:snapToGrid/>
        <w:spacing w:line="360" w:lineRule="auto"/>
        <w:textAlignment w:val="auto"/>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rPr>
        <w:t>四、</w:t>
      </w:r>
      <w:r>
        <w:rPr>
          <w:rFonts w:hint="eastAsia" w:asciiTheme="majorEastAsia" w:hAnsiTheme="majorEastAsia" w:eastAsiaTheme="majorEastAsia" w:cstheme="majorEastAsia"/>
          <w:b/>
          <w:color w:val="auto"/>
          <w:sz w:val="21"/>
          <w:szCs w:val="21"/>
          <w:highlight w:val="none"/>
          <w:lang w:val="en-US" w:eastAsia="zh-CN"/>
        </w:rPr>
        <w:t>工程量清单编制说明</w:t>
      </w:r>
    </w:p>
    <w:p w14:paraId="69A52CC2">
      <w:pPr>
        <w:keepNext w:val="0"/>
        <w:keepLines w:val="0"/>
        <w:pageBreakBefore w:val="0"/>
        <w:kinsoku/>
        <w:wordWrap/>
        <w:overflowPunct/>
        <w:topLinePunct w:val="0"/>
        <w:autoSpaceDE/>
        <w:autoSpaceDN/>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1．工程量清单说明</w:t>
      </w:r>
    </w:p>
    <w:p w14:paraId="3A31DC65">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color w:val="auto"/>
          <w:szCs w:val="21"/>
          <w:highlight w:val="none"/>
        </w:rPr>
      </w:pPr>
      <w:r>
        <w:rPr>
          <w:color w:val="auto"/>
          <w:szCs w:val="21"/>
          <w:highlight w:val="none"/>
        </w:rPr>
        <w:t>1.</w:t>
      </w:r>
      <w:r>
        <w:rPr>
          <w:rFonts w:hint="eastAsia"/>
          <w:color w:val="auto"/>
          <w:szCs w:val="21"/>
          <w:highlight w:val="none"/>
          <w:lang w:val="en-US" w:eastAsia="zh-CN"/>
        </w:rPr>
        <w:t>1</w:t>
      </w:r>
      <w:r>
        <w:rPr>
          <w:color w:val="auto"/>
          <w:szCs w:val="21"/>
          <w:highlight w:val="none"/>
        </w:rPr>
        <w:t xml:space="preserve">  本工程量清单中所列工程数量是估算的或</w:t>
      </w:r>
      <w:r>
        <w:rPr>
          <w:rFonts w:hint="eastAsia"/>
          <w:color w:val="auto"/>
          <w:szCs w:val="21"/>
          <w:highlight w:val="none"/>
        </w:rPr>
        <w:t>是</w:t>
      </w:r>
      <w:r>
        <w:rPr>
          <w:color w:val="auto"/>
          <w:szCs w:val="21"/>
          <w:highlight w:val="none"/>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14:paraId="6F39E6D9">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2</w:t>
      </w:r>
      <w:r>
        <w:rPr>
          <w:rFonts w:hint="eastAsia"/>
          <w:color w:val="auto"/>
          <w:szCs w:val="21"/>
          <w:highlight w:val="none"/>
        </w:rPr>
        <w:t xml:space="preserve">  </w:t>
      </w:r>
      <w:r>
        <w:rPr>
          <w:color w:val="auto"/>
          <w:szCs w:val="21"/>
          <w:highlight w:val="none"/>
        </w:rPr>
        <w:t>工程量清单</w:t>
      </w:r>
      <w:r>
        <w:rPr>
          <w:rFonts w:hint="eastAsia"/>
          <w:color w:val="auto"/>
          <w:szCs w:val="21"/>
          <w:highlight w:val="none"/>
        </w:rPr>
        <w:t>中所列工程量的变动，丝毫不会降低或影响合同条款的效力，也不免除承包人按规定的标准进行施工和修复缺陷的责任。</w:t>
      </w:r>
    </w:p>
    <w:p w14:paraId="76B7B67C">
      <w:pPr>
        <w:keepNext w:val="0"/>
        <w:keepLines w:val="0"/>
        <w:pageBreakBefore w:val="0"/>
        <w:kinsoku/>
        <w:wordWrap/>
        <w:overflowPunct/>
        <w:topLinePunct w:val="0"/>
        <w:autoSpaceDE/>
        <w:autoSpaceDN/>
        <w:bidi w:val="0"/>
        <w:snapToGrid/>
        <w:spacing w:line="360" w:lineRule="auto"/>
        <w:ind w:firstLine="420" w:firstLineChars="200"/>
        <w:jc w:val="left"/>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3</w:t>
      </w:r>
      <w:r>
        <w:rPr>
          <w:rFonts w:hint="eastAsia"/>
          <w:color w:val="auto"/>
          <w:szCs w:val="21"/>
          <w:highlight w:val="none"/>
        </w:rPr>
        <w:t xml:space="preserve">  图纸中所列的工程数量表及数量汇总表仅是提供资料，不是工程量清单的外延。当图纸与</w:t>
      </w:r>
      <w:r>
        <w:rPr>
          <w:color w:val="auto"/>
          <w:szCs w:val="21"/>
          <w:highlight w:val="none"/>
        </w:rPr>
        <w:t>工程量清单</w:t>
      </w:r>
      <w:r>
        <w:rPr>
          <w:rFonts w:hint="eastAsia"/>
          <w:color w:val="auto"/>
          <w:szCs w:val="21"/>
          <w:highlight w:val="none"/>
        </w:rPr>
        <w:t>所列数量不一致时，以</w:t>
      </w:r>
      <w:r>
        <w:rPr>
          <w:color w:val="auto"/>
          <w:szCs w:val="21"/>
          <w:highlight w:val="none"/>
        </w:rPr>
        <w:t>工程量清单</w:t>
      </w:r>
      <w:r>
        <w:rPr>
          <w:rFonts w:hint="eastAsia"/>
          <w:color w:val="auto"/>
          <w:szCs w:val="21"/>
          <w:highlight w:val="none"/>
        </w:rPr>
        <w:t>所列数量作为报价的依据。</w:t>
      </w:r>
    </w:p>
    <w:p w14:paraId="2A2ECC7F">
      <w:pPr>
        <w:keepNext w:val="0"/>
        <w:keepLines w:val="0"/>
        <w:pageBreakBefore w:val="0"/>
        <w:kinsoku/>
        <w:wordWrap/>
        <w:overflowPunct/>
        <w:topLinePunct w:val="0"/>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2．投标报价说明</w:t>
      </w:r>
    </w:p>
    <w:p w14:paraId="33CB2050">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xml:space="preserve">2.1  </w:t>
      </w:r>
      <w:r>
        <w:rPr>
          <w:color w:val="auto"/>
          <w:szCs w:val="21"/>
          <w:highlight w:val="none"/>
        </w:rPr>
        <w:t>工程量清单</w:t>
      </w:r>
      <w:r>
        <w:rPr>
          <w:rFonts w:hint="eastAsia"/>
          <w:color w:val="auto"/>
          <w:szCs w:val="21"/>
          <w:highlight w:val="none"/>
        </w:rPr>
        <w:t>中的每一子目须填入单价或价格，且只允许有一个报价。</w:t>
      </w:r>
    </w:p>
    <w:p w14:paraId="7824D9D2">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00DDBA93">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2.3  工程量清单中</w:t>
      </w:r>
      <w:r>
        <w:rPr>
          <w:rFonts w:hint="eastAsia"/>
          <w:color w:val="auto"/>
          <w:szCs w:val="21"/>
          <w:highlight w:val="none"/>
          <w:lang w:val="en-US" w:eastAsia="zh-CN"/>
        </w:rPr>
        <w:t>供应商</w:t>
      </w:r>
      <w:r>
        <w:rPr>
          <w:rFonts w:hint="eastAsia"/>
          <w:color w:val="auto"/>
          <w:szCs w:val="21"/>
          <w:highlight w:val="none"/>
        </w:rPr>
        <w:t>没有填入单价或价格的子目，其费用视为已分摊在工程量清单中其它相关子目的单价或价格之中。承包人必须按监理人指令完成工程量清单中未填入单价或价格的子目，但不能得到结算与支付。</w:t>
      </w:r>
    </w:p>
    <w:p w14:paraId="14CE46EC">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42A7CF33">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2.5  承包人用于本合同工程的各类装备的提供、运输、维护、拆卸、拼装等支付的费用，已包括在工程量清单的单价与总额价之中。</w:t>
      </w:r>
    </w:p>
    <w:p w14:paraId="1FCCBAE9">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2.6  工程量清单中各项金额均以人民币（元）结算。</w:t>
      </w:r>
    </w:p>
    <w:p w14:paraId="49028B14">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color w:val="auto"/>
          <w:szCs w:val="21"/>
          <w:highlight w:val="none"/>
        </w:rPr>
      </w:pPr>
      <w:r>
        <w:rPr>
          <w:rFonts w:hint="eastAsia"/>
          <w:color w:val="auto"/>
          <w:szCs w:val="21"/>
          <w:highlight w:val="none"/>
        </w:rPr>
        <w:t xml:space="preserve">2.7  暂列金额的数量及拟用子目的说明： </w:t>
      </w:r>
      <w:r>
        <w:rPr>
          <w:rFonts w:hint="eastAsia"/>
          <w:color w:val="auto"/>
          <w:szCs w:val="21"/>
          <w:highlight w:val="none"/>
          <w:u w:val="single"/>
        </w:rPr>
        <w:t xml:space="preserve">     /      </w:t>
      </w:r>
      <w:r>
        <w:rPr>
          <w:rFonts w:hint="eastAsia"/>
          <w:color w:val="auto"/>
          <w:szCs w:val="21"/>
          <w:highlight w:val="none"/>
        </w:rPr>
        <w:t>。</w:t>
      </w:r>
    </w:p>
    <w:p w14:paraId="32A8F9F5">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2.8  暂估价的数量及拟用子目的说明：</w:t>
      </w:r>
      <w:r>
        <w:rPr>
          <w:rFonts w:hint="eastAsia"/>
          <w:color w:val="auto"/>
          <w:szCs w:val="21"/>
          <w:highlight w:val="none"/>
          <w:u w:val="single"/>
        </w:rPr>
        <w:t xml:space="preserve">     /      </w:t>
      </w:r>
      <w:r>
        <w:rPr>
          <w:rFonts w:hint="eastAsia"/>
          <w:color w:val="auto"/>
          <w:szCs w:val="21"/>
          <w:highlight w:val="none"/>
        </w:rPr>
        <w:t>。</w:t>
      </w:r>
    </w:p>
    <w:p w14:paraId="66250AF9">
      <w:pPr>
        <w:keepNext w:val="0"/>
        <w:keepLines w:val="0"/>
        <w:pageBreakBefore w:val="0"/>
        <w:kinsoku/>
        <w:wordWrap/>
        <w:overflowPunct/>
        <w:topLinePunct w:val="0"/>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3．其它说明</w:t>
      </w:r>
    </w:p>
    <w:p w14:paraId="3BB1C3E7">
      <w:pPr>
        <w:keepNext w:val="0"/>
        <w:keepLines w:val="0"/>
        <w:pageBreakBefore w:val="0"/>
        <w:kinsoku/>
        <w:wordWrap/>
        <w:overflowPunct/>
        <w:topLinePunct w:val="0"/>
        <w:bidi w:val="0"/>
        <w:snapToGrid/>
        <w:spacing w:line="360" w:lineRule="auto"/>
        <w:ind w:firstLine="420" w:firstLineChars="200"/>
        <w:textAlignment w:val="auto"/>
        <w:rPr>
          <w:color w:val="auto"/>
          <w:szCs w:val="21"/>
          <w:highlight w:val="none"/>
        </w:rPr>
      </w:pPr>
      <w:r>
        <w:rPr>
          <w:rFonts w:hint="eastAsia"/>
          <w:color w:val="auto"/>
          <w:szCs w:val="21"/>
          <w:highlight w:val="none"/>
        </w:rPr>
        <w:t>3.1</w:t>
      </w:r>
      <w:r>
        <w:rPr>
          <w:color w:val="auto"/>
          <w:szCs w:val="21"/>
          <w:highlight w:val="none"/>
        </w:rPr>
        <w:t> </w:t>
      </w:r>
      <w:r>
        <w:rPr>
          <w:rFonts w:hint="eastAsia"/>
          <w:color w:val="auto"/>
          <w:szCs w:val="21"/>
          <w:highlight w:val="none"/>
        </w:rPr>
        <w:t>建筑工程一切险费率按第100章(不含建筑工程一切险、安全生产责任险及安全生产费)至第600章合计金额的0.3%计取，安全生产责任险（含第三方责任险）按第100章(不含建筑工程一切险、安全生产责任险及安全生产费)至第600章合计金额的0.15%计取。保险费用结算时凭保单按实结算；若保单费用高于承包人合同保险费用的，发包人按投标时保险费支付给承包人，超出部分由承包人自行承担</w:t>
      </w:r>
      <w:r>
        <w:rPr>
          <w:color w:val="auto"/>
          <w:szCs w:val="21"/>
          <w:highlight w:val="none"/>
        </w:rPr>
        <w:t xml:space="preserve"> </w:t>
      </w:r>
    </w:p>
    <w:p w14:paraId="608DD51F">
      <w:pPr>
        <w:keepNext w:val="0"/>
        <w:keepLines w:val="0"/>
        <w:pageBreakBefore w:val="0"/>
        <w:kinsoku/>
        <w:wordWrap/>
        <w:overflowPunct/>
        <w:topLinePunct w:val="0"/>
        <w:bidi w:val="0"/>
        <w:snapToGrid/>
        <w:spacing w:line="360" w:lineRule="auto"/>
        <w:ind w:firstLine="420" w:firstLineChars="200"/>
        <w:textAlignment w:val="auto"/>
        <w:rPr>
          <w:color w:val="auto"/>
          <w:szCs w:val="21"/>
          <w:highlight w:val="none"/>
        </w:rPr>
      </w:pPr>
      <w:r>
        <w:rPr>
          <w:rFonts w:hint="eastAsia"/>
          <w:color w:val="auto"/>
          <w:szCs w:val="21"/>
          <w:highlight w:val="none"/>
        </w:rPr>
        <w:t>3.2安全生产费按第100章~第600章(不含建筑工程一切险、安全生产责任险及安全生产费)合计金额的2%计取，安全生产费结算时由承包人凭安全生产费实际发生清单（须附“安全生产费使用清单”），交监理单位、建设单位等有关部门确认后按实支付，支付总额不超过合同价款中的安全生产费。</w:t>
      </w:r>
    </w:p>
    <w:p w14:paraId="06401733">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3.3建筑施工企业从业人员需到参保关系所在地同级地方税务机关缴纳工伤保险费。</w:t>
      </w:r>
      <w:r>
        <w:rPr>
          <w:color w:val="auto"/>
          <w:szCs w:val="21"/>
          <w:highlight w:val="none"/>
        </w:rPr>
        <w:t xml:space="preserve"> </w:t>
      </w:r>
      <w:r>
        <w:rPr>
          <w:rFonts w:hint="eastAsia"/>
          <w:color w:val="auto"/>
          <w:szCs w:val="21"/>
          <w:highlight w:val="none"/>
        </w:rPr>
        <w:t>（按宁人社【2014】115号、甬人社发【2014】170号文件执行）。</w:t>
      </w:r>
    </w:p>
    <w:p w14:paraId="5187BA33">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3.4 取费标准：雨季施工增加费按II区6个月标准计取；交通量按7001～10000计取；公路等级按一级公路计取；工地转移按50km计取；计划利润按4.5%计取；税金按3.35%计取。</w:t>
      </w:r>
    </w:p>
    <w:p w14:paraId="28672EA0">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养护工程人工费采用35.75元/工日，公路人工费根据浙江省交通厅［2019］116号关于《转发交通运输部2018年第86号公告的通知》取为127.66元/工日。</w:t>
      </w:r>
    </w:p>
    <w:p w14:paraId="3EA3A9A9">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3.5 施工场地内临时供电措施的架设、拆除、维修由承包人负责，此外承包人应根据工程需要配备发电机组，作为后备电源，以保证电网停电时能继续进行施工。场地外供电临时设施（变压器等的安装）由业主提供。</w:t>
      </w:r>
    </w:p>
    <w:p w14:paraId="191AB064">
      <w:pPr>
        <w:keepNext w:val="0"/>
        <w:keepLines w:val="0"/>
        <w:pageBreakBefore w:val="0"/>
        <w:kinsoku/>
        <w:wordWrap/>
        <w:overflowPunct/>
        <w:topLinePunct w:val="0"/>
        <w:bidi w:val="0"/>
        <w:snapToGrid/>
        <w:spacing w:line="360" w:lineRule="auto"/>
        <w:ind w:firstLine="420" w:firstLineChars="200"/>
        <w:textAlignment w:val="auto"/>
        <w:rPr>
          <w:rFonts w:hint="default"/>
          <w:highlight w:val="none"/>
          <w:lang w:val="en-US" w:eastAsia="zh-CN"/>
        </w:rPr>
      </w:pPr>
      <w:r>
        <w:rPr>
          <w:rFonts w:hint="eastAsia"/>
          <w:szCs w:val="21"/>
          <w:highlight w:val="none"/>
          <w:lang w:val="en-US" w:eastAsia="zh-CN"/>
        </w:rPr>
        <w:t>3.6</w:t>
      </w:r>
      <w:r>
        <w:rPr>
          <w:rFonts w:hint="eastAsia"/>
          <w:szCs w:val="21"/>
          <w:highlight w:val="none"/>
        </w:rPr>
        <w:t>工程量清单中有标价的单价和总额价均已包括了为实施和完成合同工程所需的劳务、材料、机械、质检（自检）、安装、缺陷修复、管理、保险、税费、利润等费用，以及合同明示或暗示的所有责任、义务和一般风险。</w:t>
      </w:r>
    </w:p>
    <w:p w14:paraId="120BB090">
      <w:pPr>
        <w:keepNext w:val="0"/>
        <w:keepLines w:val="0"/>
        <w:pageBreakBefore w:val="0"/>
        <w:kinsoku/>
        <w:wordWrap/>
        <w:overflowPunct/>
        <w:topLinePunct w:val="0"/>
        <w:bidi w:val="0"/>
        <w:snapToGrid/>
        <w:spacing w:line="360" w:lineRule="auto"/>
        <w:ind w:firstLine="420" w:firstLineChars="200"/>
        <w:textAlignment w:val="auto"/>
        <w:rPr>
          <w:rFonts w:hint="eastAsia" w:ascii="Times New Roman" w:hAnsi="Times New Roman"/>
          <w:kern w:val="2"/>
          <w:sz w:val="21"/>
          <w:highlight w:val="none"/>
        </w:rPr>
      </w:pPr>
      <w:r>
        <w:rPr>
          <w:rFonts w:hint="eastAsia"/>
          <w:color w:val="auto"/>
          <w:szCs w:val="21"/>
          <w:highlight w:val="none"/>
          <w:lang w:val="en-US" w:eastAsia="zh-CN"/>
        </w:rPr>
        <w:t>3.7</w:t>
      </w:r>
      <w:r>
        <w:rPr>
          <w:rFonts w:hint="eastAsia" w:ascii="Times New Roman" w:hAnsi="Times New Roman"/>
          <w:kern w:val="2"/>
          <w:sz w:val="21"/>
          <w:highlight w:val="none"/>
        </w:rPr>
        <w:t>本工程所有混凝土（含沥青混凝土）均按商品砼计入。</w:t>
      </w:r>
    </w:p>
    <w:p w14:paraId="43CA0074">
      <w:pPr>
        <w:keepNext w:val="0"/>
        <w:keepLines w:val="0"/>
        <w:pageBreakBefore w:val="0"/>
        <w:kinsoku/>
        <w:wordWrap/>
        <w:overflowPunct/>
        <w:topLinePunct w:val="0"/>
        <w:bidi w:val="0"/>
        <w:snapToGrid/>
        <w:spacing w:line="360" w:lineRule="auto"/>
        <w:ind w:firstLine="420" w:firstLineChars="200"/>
        <w:textAlignment w:val="auto"/>
        <w:rPr>
          <w:rFonts w:hint="eastAsia"/>
          <w:lang w:val="en-US" w:eastAsia="zh-CN"/>
        </w:rPr>
      </w:pPr>
      <w:r>
        <w:rPr>
          <w:rFonts w:hint="eastAsia"/>
          <w:color w:val="auto"/>
          <w:szCs w:val="21"/>
          <w:highlight w:val="none"/>
          <w:lang w:val="en-US" w:eastAsia="zh-CN"/>
        </w:rPr>
        <w:t>3.8</w:t>
      </w:r>
      <w:r>
        <w:rPr>
          <w:rFonts w:hint="eastAsia" w:ascii="Times New Roman" w:hAnsi="Times New Roman"/>
          <w:kern w:val="2"/>
          <w:sz w:val="21"/>
          <w:highlight w:val="none"/>
        </w:rPr>
        <w:t>铣刨沥青路面废渣不计运输费，并考虑20元/m³的残值回购费用。</w:t>
      </w:r>
    </w:p>
    <w:p w14:paraId="5A560EEE">
      <w:pPr>
        <w:keepNext w:val="0"/>
        <w:keepLines w:val="0"/>
        <w:pageBreakBefore w:val="0"/>
        <w:kinsoku/>
        <w:wordWrap/>
        <w:overflowPunct/>
        <w:topLinePunct w:val="0"/>
        <w:bidi w:val="0"/>
        <w:snapToGrid/>
        <w:spacing w:line="360" w:lineRule="auto"/>
        <w:ind w:firstLine="420" w:firstLineChars="200"/>
        <w:textAlignment w:val="auto"/>
        <w:rPr>
          <w:rFonts w:hint="eastAsia" w:eastAsia="宋体"/>
          <w:color w:val="auto"/>
          <w:szCs w:val="21"/>
          <w:highlight w:val="none"/>
        </w:rPr>
      </w:pPr>
      <w:r>
        <w:rPr>
          <w:rFonts w:hint="eastAsia"/>
          <w:color w:val="auto"/>
          <w:szCs w:val="21"/>
          <w:highlight w:val="none"/>
          <w:lang w:val="en-US" w:eastAsia="zh-CN"/>
        </w:rPr>
        <w:t>3.9</w:t>
      </w:r>
      <w:r>
        <w:rPr>
          <w:rFonts w:hint="eastAsia" w:eastAsia="宋体"/>
          <w:color w:val="auto"/>
          <w:szCs w:val="21"/>
          <w:highlight w:val="none"/>
        </w:rPr>
        <w:t>工程量清单中的任何遗漏，不应免除承包人根据图纸规定完成合同工程的义务。</w:t>
      </w:r>
    </w:p>
    <w:p w14:paraId="7781C5B5">
      <w:pPr>
        <w:keepNext w:val="0"/>
        <w:keepLines w:val="0"/>
        <w:pageBreakBefore w:val="0"/>
        <w:kinsoku/>
        <w:wordWrap/>
        <w:overflowPunct/>
        <w:topLinePunct w:val="0"/>
        <w:bidi w:val="0"/>
        <w:snapToGrid/>
        <w:spacing w:line="360" w:lineRule="auto"/>
        <w:ind w:firstLine="420" w:firstLineChars="200"/>
        <w:textAlignment w:val="auto"/>
        <w:rPr>
          <w:rFonts w:hint="default" w:eastAsia="宋体"/>
          <w:color w:val="auto"/>
          <w:szCs w:val="21"/>
          <w:highlight w:val="none"/>
          <w:lang w:val="en-US" w:eastAsia="zh-CN"/>
        </w:rPr>
      </w:pPr>
      <w:r>
        <w:rPr>
          <w:rFonts w:hint="eastAsia" w:eastAsia="宋体"/>
          <w:color w:val="auto"/>
          <w:szCs w:val="21"/>
          <w:highlight w:val="none"/>
          <w:lang w:val="en-US" w:eastAsia="zh-CN"/>
        </w:rPr>
        <w:t>3.</w:t>
      </w:r>
      <w:r>
        <w:rPr>
          <w:rFonts w:hint="eastAsia"/>
          <w:color w:val="auto"/>
          <w:szCs w:val="21"/>
          <w:highlight w:val="none"/>
          <w:lang w:val="en-US" w:eastAsia="zh-CN"/>
        </w:rPr>
        <w:t>10</w:t>
      </w:r>
      <w:r>
        <w:rPr>
          <w:rFonts w:hint="eastAsia" w:eastAsia="宋体"/>
          <w:color w:val="auto"/>
          <w:szCs w:val="21"/>
          <w:highlight w:val="none"/>
          <w:lang w:val="en-US" w:eastAsia="zh-CN"/>
        </w:rPr>
        <w:t xml:space="preserve"> </w:t>
      </w:r>
      <w:r>
        <w:rPr>
          <w:rFonts w:hint="default" w:eastAsia="宋体"/>
          <w:color w:val="auto"/>
          <w:szCs w:val="21"/>
          <w:highlight w:val="none"/>
          <w:lang w:val="en-US" w:eastAsia="zh-CN"/>
        </w:rPr>
        <w:t>其它未明确事宜见施工图要求及预算书。</w:t>
      </w:r>
    </w:p>
    <w:p w14:paraId="4055E581">
      <w:pPr>
        <w:keepNext w:val="0"/>
        <w:keepLines w:val="0"/>
        <w:pageBreakBefore w:val="0"/>
        <w:kinsoku/>
        <w:wordWrap/>
        <w:overflowPunct/>
        <w:topLinePunct w:val="0"/>
        <w:bidi w:val="0"/>
        <w:snapToGrid/>
        <w:spacing w:line="360" w:lineRule="auto"/>
        <w:ind w:firstLine="420" w:firstLineChars="200"/>
        <w:textAlignment w:val="auto"/>
        <w:rPr>
          <w:rFonts w:hint="eastAsia" w:eastAsia="宋体"/>
          <w:color w:val="auto"/>
          <w:szCs w:val="21"/>
          <w:highlight w:val="none"/>
          <w:lang w:val="en-US" w:eastAsia="zh-CN"/>
        </w:rPr>
      </w:pPr>
      <w:r>
        <w:rPr>
          <w:rFonts w:hint="eastAsia" w:eastAsia="宋体"/>
          <w:color w:val="auto"/>
          <w:szCs w:val="21"/>
          <w:highlight w:val="none"/>
          <w:lang w:val="en-US" w:eastAsia="zh-CN"/>
        </w:rPr>
        <w:t>3.1</w:t>
      </w:r>
      <w:r>
        <w:rPr>
          <w:rFonts w:hint="eastAsia"/>
          <w:color w:val="auto"/>
          <w:szCs w:val="21"/>
          <w:highlight w:val="none"/>
          <w:lang w:val="en-US" w:eastAsia="zh-CN"/>
        </w:rPr>
        <w:t>1</w:t>
      </w:r>
      <w:r>
        <w:rPr>
          <w:rFonts w:hint="eastAsia" w:eastAsia="宋体"/>
          <w:color w:val="auto"/>
          <w:szCs w:val="21"/>
          <w:highlight w:val="none"/>
          <w:lang w:val="en-US" w:eastAsia="zh-CN"/>
        </w:rPr>
        <w:t>供应商按采购文件提供的《工程量清单》格式报价。</w:t>
      </w:r>
    </w:p>
    <w:p w14:paraId="4D0393E1">
      <w:pPr>
        <w:keepNext w:val="0"/>
        <w:keepLines w:val="0"/>
        <w:pageBreakBefore w:val="0"/>
        <w:kinsoku/>
        <w:wordWrap/>
        <w:overflowPunct/>
        <w:topLinePunct w:val="0"/>
        <w:bidi w:val="0"/>
        <w:snapToGrid/>
        <w:spacing w:line="360" w:lineRule="auto"/>
        <w:ind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3.1</w:t>
      </w:r>
      <w:r>
        <w:rPr>
          <w:rFonts w:hint="eastAsia"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工程量清单</w:t>
      </w:r>
    </w:p>
    <w:p w14:paraId="277E00A2">
      <w:pPr>
        <w:keepNext w:val="0"/>
        <w:keepLines w:val="0"/>
        <w:pageBreakBefore w:val="0"/>
        <w:kinsoku/>
        <w:wordWrap/>
        <w:overflowPunct/>
        <w:topLinePunct w:val="0"/>
        <w:bidi w:val="0"/>
        <w:snapToGrid/>
        <w:spacing w:line="360" w:lineRule="auto"/>
        <w:textAlignment w:val="auto"/>
        <w:rPr>
          <w:rFonts w:hint="eastAsia"/>
          <w:color w:val="auto"/>
          <w:sz w:val="24"/>
          <w:highlight w:val="yellow"/>
        </w:rPr>
      </w:pPr>
    </w:p>
    <w:p w14:paraId="100F70D1">
      <w:pPr>
        <w:rPr>
          <w:rFonts w:hint="eastAsia"/>
          <w:color w:val="auto"/>
          <w:highlight w:val="yellow"/>
        </w:rPr>
      </w:pPr>
      <w:r>
        <w:rPr>
          <w:rFonts w:hint="eastAsia"/>
          <w:color w:val="auto"/>
          <w:highlight w:val="yellow"/>
        </w:rPr>
        <w:br w:type="page"/>
      </w:r>
    </w:p>
    <w:tbl>
      <w:tblPr>
        <w:tblStyle w:val="61"/>
        <w:tblW w:w="905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9"/>
        <w:gridCol w:w="5027"/>
        <w:gridCol w:w="667"/>
        <w:gridCol w:w="667"/>
        <w:gridCol w:w="866"/>
        <w:gridCol w:w="875"/>
      </w:tblGrid>
      <w:tr w14:paraId="41F63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051" w:type="dxa"/>
            <w:gridSpan w:val="6"/>
            <w:tcBorders>
              <w:top w:val="single" w:color="000000" w:sz="8" w:space="0"/>
              <w:left w:val="single" w:color="000000" w:sz="8" w:space="0"/>
              <w:bottom w:val="nil"/>
              <w:right w:val="single" w:color="000000" w:sz="8" w:space="0"/>
            </w:tcBorders>
            <w:shd w:val="clear" w:color="auto" w:fill="FFFFFF"/>
            <w:vAlign w:val="center"/>
          </w:tcPr>
          <w:p w14:paraId="420634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 100 章     总则</w:t>
            </w:r>
          </w:p>
        </w:tc>
      </w:tr>
      <w:tr w14:paraId="4497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4FD860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5027" w:type="dxa"/>
            <w:tcBorders>
              <w:top w:val="single" w:color="000000" w:sz="4" w:space="0"/>
              <w:left w:val="nil"/>
              <w:bottom w:val="nil"/>
              <w:right w:val="single" w:color="000000" w:sz="4" w:space="0"/>
            </w:tcBorders>
            <w:shd w:val="clear" w:color="auto" w:fill="FFFFFF"/>
            <w:vAlign w:val="center"/>
          </w:tcPr>
          <w:p w14:paraId="39A60D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667" w:type="dxa"/>
            <w:tcBorders>
              <w:top w:val="single" w:color="000000" w:sz="4" w:space="0"/>
              <w:left w:val="nil"/>
              <w:bottom w:val="nil"/>
              <w:right w:val="single" w:color="000000" w:sz="4" w:space="0"/>
            </w:tcBorders>
            <w:shd w:val="clear" w:color="auto" w:fill="FFFFFF"/>
            <w:vAlign w:val="center"/>
          </w:tcPr>
          <w:p w14:paraId="0929C3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67" w:type="dxa"/>
            <w:tcBorders>
              <w:top w:val="single" w:color="000000" w:sz="4" w:space="0"/>
              <w:left w:val="nil"/>
              <w:bottom w:val="nil"/>
              <w:right w:val="single" w:color="000000" w:sz="4" w:space="0"/>
            </w:tcBorders>
            <w:shd w:val="clear" w:color="auto" w:fill="FFFFFF"/>
            <w:vAlign w:val="center"/>
          </w:tcPr>
          <w:p w14:paraId="28E5E3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866" w:type="dxa"/>
            <w:tcBorders>
              <w:top w:val="single" w:color="000000" w:sz="4" w:space="0"/>
              <w:left w:val="nil"/>
              <w:bottom w:val="nil"/>
              <w:right w:val="single" w:color="000000" w:sz="4" w:space="0"/>
            </w:tcBorders>
            <w:shd w:val="clear" w:color="auto" w:fill="FFFFFF"/>
            <w:vAlign w:val="center"/>
          </w:tcPr>
          <w:p w14:paraId="448219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875" w:type="dxa"/>
            <w:tcBorders>
              <w:top w:val="single" w:color="000000" w:sz="4" w:space="0"/>
              <w:left w:val="nil"/>
              <w:bottom w:val="nil"/>
              <w:right w:val="single" w:color="000000" w:sz="8" w:space="0"/>
            </w:tcBorders>
            <w:shd w:val="clear" w:color="auto" w:fill="FFFFFF"/>
            <w:vAlign w:val="center"/>
          </w:tcPr>
          <w:p w14:paraId="25B04B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1C08E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20E6C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5027" w:type="dxa"/>
            <w:tcBorders>
              <w:top w:val="single" w:color="000000" w:sz="4" w:space="0"/>
              <w:left w:val="nil"/>
              <w:bottom w:val="nil"/>
              <w:right w:val="single" w:color="000000" w:sz="4" w:space="0"/>
            </w:tcBorders>
            <w:shd w:val="clear" w:color="auto" w:fill="FFFFFF"/>
            <w:vAlign w:val="center"/>
          </w:tcPr>
          <w:p w14:paraId="69C53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通则</w:t>
            </w:r>
          </w:p>
        </w:tc>
        <w:tc>
          <w:tcPr>
            <w:tcW w:w="667" w:type="dxa"/>
            <w:tcBorders>
              <w:top w:val="single" w:color="000000" w:sz="4" w:space="0"/>
              <w:left w:val="nil"/>
              <w:bottom w:val="nil"/>
              <w:right w:val="single" w:color="000000" w:sz="4" w:space="0"/>
            </w:tcBorders>
            <w:shd w:val="clear" w:color="auto" w:fill="FFFFFF"/>
            <w:vAlign w:val="center"/>
          </w:tcPr>
          <w:p w14:paraId="4179AE88">
            <w:pPr>
              <w:jc w:val="center"/>
              <w:rPr>
                <w:rFonts w:hint="eastAsia" w:ascii="宋体" w:hAnsi="宋体" w:eastAsia="宋体" w:cs="宋体"/>
                <w:i w:val="0"/>
                <w:iCs w:val="0"/>
                <w:color w:val="000000"/>
                <w:sz w:val="18"/>
                <w:szCs w:val="18"/>
                <w:u w:val="none"/>
              </w:rPr>
            </w:pPr>
          </w:p>
        </w:tc>
        <w:tc>
          <w:tcPr>
            <w:tcW w:w="667" w:type="dxa"/>
            <w:tcBorders>
              <w:top w:val="single" w:color="000000" w:sz="4" w:space="0"/>
              <w:left w:val="nil"/>
              <w:bottom w:val="nil"/>
              <w:right w:val="single" w:color="000000" w:sz="4" w:space="0"/>
            </w:tcBorders>
            <w:shd w:val="clear" w:color="auto" w:fill="FFFFFF"/>
            <w:vAlign w:val="center"/>
          </w:tcPr>
          <w:p w14:paraId="010A11AC">
            <w:pPr>
              <w:jc w:val="center"/>
              <w:rPr>
                <w:rFonts w:hint="eastAsia" w:ascii="Arial Narrow" w:hAnsi="Arial Narrow" w:eastAsia="Arial Narrow" w:cs="Arial Narrow"/>
                <w:i w:val="0"/>
                <w:iCs w:val="0"/>
                <w:color w:val="000000"/>
                <w:sz w:val="16"/>
                <w:szCs w:val="16"/>
                <w:u w:val="none"/>
              </w:rPr>
            </w:pPr>
          </w:p>
        </w:tc>
        <w:tc>
          <w:tcPr>
            <w:tcW w:w="866" w:type="dxa"/>
            <w:tcBorders>
              <w:top w:val="single" w:color="000000" w:sz="4" w:space="0"/>
              <w:left w:val="nil"/>
              <w:bottom w:val="nil"/>
              <w:right w:val="single" w:color="000000" w:sz="4" w:space="0"/>
            </w:tcBorders>
            <w:shd w:val="clear" w:color="auto" w:fill="FFFFFF"/>
            <w:vAlign w:val="center"/>
          </w:tcPr>
          <w:p w14:paraId="2F76CDF1">
            <w:pPr>
              <w:jc w:val="right"/>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4C7D4986">
            <w:pPr>
              <w:jc w:val="right"/>
              <w:rPr>
                <w:rFonts w:hint="default" w:ascii="Arial Narrow" w:hAnsi="Arial Narrow" w:eastAsia="Arial Narrow" w:cs="Arial Narrow"/>
                <w:i w:val="0"/>
                <w:iCs w:val="0"/>
                <w:color w:val="000000"/>
                <w:sz w:val="16"/>
                <w:szCs w:val="16"/>
                <w:u w:val="none"/>
              </w:rPr>
            </w:pPr>
          </w:p>
        </w:tc>
      </w:tr>
      <w:tr w14:paraId="11D8C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07CFD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5027" w:type="dxa"/>
            <w:tcBorders>
              <w:top w:val="single" w:color="000000" w:sz="4" w:space="0"/>
              <w:left w:val="nil"/>
              <w:bottom w:val="nil"/>
              <w:right w:val="single" w:color="000000" w:sz="4" w:space="0"/>
            </w:tcBorders>
            <w:shd w:val="clear" w:color="auto" w:fill="FFFFFF"/>
            <w:vAlign w:val="center"/>
          </w:tcPr>
          <w:p w14:paraId="16046C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保险费</w:t>
            </w:r>
          </w:p>
        </w:tc>
        <w:tc>
          <w:tcPr>
            <w:tcW w:w="667" w:type="dxa"/>
            <w:tcBorders>
              <w:top w:val="single" w:color="000000" w:sz="4" w:space="0"/>
              <w:left w:val="nil"/>
              <w:bottom w:val="nil"/>
              <w:right w:val="single" w:color="000000" w:sz="4" w:space="0"/>
            </w:tcBorders>
            <w:shd w:val="clear" w:color="auto" w:fill="FFFFFF"/>
            <w:vAlign w:val="center"/>
          </w:tcPr>
          <w:p w14:paraId="43DDFE9C">
            <w:pPr>
              <w:jc w:val="center"/>
              <w:rPr>
                <w:rFonts w:hint="eastAsia" w:ascii="宋体" w:hAnsi="宋体" w:eastAsia="宋体" w:cs="宋体"/>
                <w:i w:val="0"/>
                <w:iCs w:val="0"/>
                <w:color w:val="000000"/>
                <w:sz w:val="18"/>
                <w:szCs w:val="18"/>
                <w:u w:val="none"/>
              </w:rPr>
            </w:pPr>
          </w:p>
        </w:tc>
        <w:tc>
          <w:tcPr>
            <w:tcW w:w="667" w:type="dxa"/>
            <w:tcBorders>
              <w:top w:val="single" w:color="000000" w:sz="4" w:space="0"/>
              <w:left w:val="nil"/>
              <w:bottom w:val="nil"/>
              <w:right w:val="single" w:color="000000" w:sz="4" w:space="0"/>
            </w:tcBorders>
            <w:shd w:val="clear" w:color="auto" w:fill="FFFFFF"/>
            <w:vAlign w:val="center"/>
          </w:tcPr>
          <w:p w14:paraId="2EABA058">
            <w:pPr>
              <w:jc w:val="center"/>
              <w:rPr>
                <w:rFonts w:hint="default" w:ascii="Arial Narrow" w:hAnsi="Arial Narrow" w:eastAsia="Arial Narrow" w:cs="Arial Narrow"/>
                <w:i w:val="0"/>
                <w:iCs w:val="0"/>
                <w:color w:val="000000"/>
                <w:sz w:val="16"/>
                <w:szCs w:val="16"/>
                <w:u w:val="none"/>
              </w:rPr>
            </w:pPr>
          </w:p>
        </w:tc>
        <w:tc>
          <w:tcPr>
            <w:tcW w:w="866" w:type="dxa"/>
            <w:tcBorders>
              <w:top w:val="single" w:color="000000" w:sz="4" w:space="0"/>
              <w:left w:val="nil"/>
              <w:bottom w:val="nil"/>
              <w:right w:val="single" w:color="000000" w:sz="4" w:space="0"/>
            </w:tcBorders>
            <w:shd w:val="clear" w:color="auto" w:fill="FFFFFF"/>
            <w:vAlign w:val="center"/>
          </w:tcPr>
          <w:p w14:paraId="0A0574E7">
            <w:pPr>
              <w:jc w:val="right"/>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755BAEA4">
            <w:pPr>
              <w:jc w:val="right"/>
              <w:rPr>
                <w:rFonts w:hint="default" w:ascii="Arial Narrow" w:hAnsi="Arial Narrow" w:eastAsia="Arial Narrow" w:cs="Arial Narrow"/>
                <w:i w:val="0"/>
                <w:iCs w:val="0"/>
                <w:color w:val="000000"/>
                <w:sz w:val="16"/>
                <w:szCs w:val="16"/>
                <w:u w:val="none"/>
              </w:rPr>
            </w:pPr>
          </w:p>
        </w:tc>
      </w:tr>
      <w:tr w14:paraId="75BF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6B85D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101-1-a</w:t>
            </w:r>
          </w:p>
        </w:tc>
        <w:tc>
          <w:tcPr>
            <w:tcW w:w="5027" w:type="dxa"/>
            <w:tcBorders>
              <w:top w:val="single" w:color="000000" w:sz="4" w:space="0"/>
              <w:left w:val="nil"/>
              <w:bottom w:val="nil"/>
              <w:right w:val="single" w:color="000000" w:sz="4" w:space="0"/>
            </w:tcBorders>
            <w:shd w:val="clear" w:color="auto" w:fill="FFFFFF"/>
            <w:vAlign w:val="center"/>
          </w:tcPr>
          <w:p w14:paraId="49D2F5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按合同条款规定，提供建筑工程一切险</w:t>
            </w:r>
          </w:p>
        </w:tc>
        <w:tc>
          <w:tcPr>
            <w:tcW w:w="667" w:type="dxa"/>
            <w:tcBorders>
              <w:top w:val="single" w:color="000000" w:sz="4" w:space="0"/>
              <w:left w:val="nil"/>
              <w:bottom w:val="nil"/>
              <w:right w:val="single" w:color="000000" w:sz="4" w:space="0"/>
            </w:tcBorders>
            <w:shd w:val="clear" w:color="auto" w:fill="FFFFFF"/>
            <w:vAlign w:val="center"/>
          </w:tcPr>
          <w:p w14:paraId="178A6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67" w:type="dxa"/>
            <w:tcBorders>
              <w:top w:val="single" w:color="000000" w:sz="4" w:space="0"/>
              <w:left w:val="nil"/>
              <w:bottom w:val="nil"/>
              <w:right w:val="single" w:color="000000" w:sz="4" w:space="0"/>
            </w:tcBorders>
            <w:shd w:val="clear" w:color="auto" w:fill="FFFFFF"/>
            <w:vAlign w:val="center"/>
          </w:tcPr>
          <w:p w14:paraId="6F52825A">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3F5E82C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3435EAC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AE1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6AF7E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101-1-c</w:t>
            </w:r>
          </w:p>
        </w:tc>
        <w:tc>
          <w:tcPr>
            <w:tcW w:w="5027" w:type="dxa"/>
            <w:tcBorders>
              <w:top w:val="single" w:color="000000" w:sz="4" w:space="0"/>
              <w:left w:val="nil"/>
              <w:bottom w:val="nil"/>
              <w:right w:val="single" w:color="000000" w:sz="4" w:space="0"/>
            </w:tcBorders>
            <w:shd w:val="clear" w:color="auto" w:fill="FFFFFF"/>
            <w:vAlign w:val="center"/>
          </w:tcPr>
          <w:p w14:paraId="693498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按合同条款规定，提供安全生产责任险</w:t>
            </w:r>
          </w:p>
        </w:tc>
        <w:tc>
          <w:tcPr>
            <w:tcW w:w="667" w:type="dxa"/>
            <w:tcBorders>
              <w:top w:val="single" w:color="000000" w:sz="4" w:space="0"/>
              <w:left w:val="nil"/>
              <w:bottom w:val="nil"/>
              <w:right w:val="single" w:color="000000" w:sz="4" w:space="0"/>
            </w:tcBorders>
            <w:shd w:val="clear" w:color="auto" w:fill="FFFFFF"/>
            <w:vAlign w:val="center"/>
          </w:tcPr>
          <w:p w14:paraId="26112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67" w:type="dxa"/>
            <w:tcBorders>
              <w:top w:val="single" w:color="000000" w:sz="4" w:space="0"/>
              <w:left w:val="nil"/>
              <w:bottom w:val="nil"/>
              <w:right w:val="single" w:color="000000" w:sz="4" w:space="0"/>
            </w:tcBorders>
            <w:shd w:val="clear" w:color="auto" w:fill="FFFFFF"/>
            <w:vAlign w:val="center"/>
          </w:tcPr>
          <w:p w14:paraId="3805F8F4">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6F6429A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2AB86AE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7F8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7C938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5027" w:type="dxa"/>
            <w:tcBorders>
              <w:top w:val="single" w:color="000000" w:sz="4" w:space="0"/>
              <w:left w:val="nil"/>
              <w:bottom w:val="nil"/>
              <w:right w:val="single" w:color="000000" w:sz="4" w:space="0"/>
            </w:tcBorders>
            <w:shd w:val="clear" w:color="auto" w:fill="FFFFFF"/>
            <w:vAlign w:val="center"/>
          </w:tcPr>
          <w:p w14:paraId="1213D1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w:t>
            </w:r>
          </w:p>
        </w:tc>
        <w:tc>
          <w:tcPr>
            <w:tcW w:w="667" w:type="dxa"/>
            <w:tcBorders>
              <w:top w:val="single" w:color="000000" w:sz="4" w:space="0"/>
              <w:left w:val="nil"/>
              <w:bottom w:val="nil"/>
              <w:right w:val="single" w:color="000000" w:sz="4" w:space="0"/>
            </w:tcBorders>
            <w:shd w:val="clear" w:color="auto" w:fill="FFFFFF"/>
            <w:vAlign w:val="center"/>
          </w:tcPr>
          <w:p w14:paraId="778A567F">
            <w:pPr>
              <w:jc w:val="center"/>
              <w:rPr>
                <w:rFonts w:hint="eastAsia" w:ascii="宋体" w:hAnsi="宋体" w:eastAsia="宋体" w:cs="宋体"/>
                <w:i w:val="0"/>
                <w:iCs w:val="0"/>
                <w:color w:val="000000"/>
                <w:sz w:val="18"/>
                <w:szCs w:val="18"/>
                <w:u w:val="none"/>
              </w:rPr>
            </w:pPr>
          </w:p>
        </w:tc>
        <w:tc>
          <w:tcPr>
            <w:tcW w:w="667" w:type="dxa"/>
            <w:tcBorders>
              <w:top w:val="single" w:color="000000" w:sz="4" w:space="0"/>
              <w:left w:val="nil"/>
              <w:bottom w:val="nil"/>
              <w:right w:val="single" w:color="000000" w:sz="4" w:space="0"/>
            </w:tcBorders>
            <w:shd w:val="clear" w:color="auto" w:fill="FFFFFF"/>
            <w:vAlign w:val="center"/>
          </w:tcPr>
          <w:p w14:paraId="414DBDDA">
            <w:pPr>
              <w:jc w:val="center"/>
              <w:rPr>
                <w:rFonts w:hint="default" w:ascii="Arial Narrow" w:hAnsi="Arial Narrow" w:eastAsia="Arial Narrow" w:cs="Arial Narrow"/>
                <w:i w:val="0"/>
                <w:iCs w:val="0"/>
                <w:color w:val="000000"/>
                <w:sz w:val="16"/>
                <w:szCs w:val="16"/>
                <w:u w:val="none"/>
              </w:rPr>
            </w:pPr>
          </w:p>
        </w:tc>
        <w:tc>
          <w:tcPr>
            <w:tcW w:w="866" w:type="dxa"/>
            <w:tcBorders>
              <w:top w:val="single" w:color="000000" w:sz="4" w:space="0"/>
              <w:left w:val="nil"/>
              <w:bottom w:val="nil"/>
              <w:right w:val="single" w:color="000000" w:sz="4" w:space="0"/>
            </w:tcBorders>
            <w:shd w:val="clear" w:color="auto" w:fill="FFFFFF"/>
            <w:vAlign w:val="center"/>
          </w:tcPr>
          <w:p w14:paraId="271201E2">
            <w:pPr>
              <w:jc w:val="right"/>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5D5FF649">
            <w:pPr>
              <w:jc w:val="right"/>
              <w:rPr>
                <w:rFonts w:hint="default" w:ascii="Arial Narrow" w:hAnsi="Arial Narrow" w:eastAsia="Arial Narrow" w:cs="Arial Narrow"/>
                <w:i w:val="0"/>
                <w:iCs w:val="0"/>
                <w:color w:val="000000"/>
                <w:sz w:val="16"/>
                <w:szCs w:val="16"/>
                <w:u w:val="none"/>
              </w:rPr>
            </w:pPr>
          </w:p>
        </w:tc>
      </w:tr>
      <w:tr w14:paraId="2E7F1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22B92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w:t>
            </w:r>
          </w:p>
        </w:tc>
        <w:tc>
          <w:tcPr>
            <w:tcW w:w="5027" w:type="dxa"/>
            <w:tcBorders>
              <w:top w:val="single" w:color="000000" w:sz="4" w:space="0"/>
              <w:left w:val="nil"/>
              <w:bottom w:val="nil"/>
              <w:right w:val="single" w:color="000000" w:sz="4" w:space="0"/>
            </w:tcBorders>
            <w:shd w:val="clear" w:color="auto" w:fill="FFFFFF"/>
            <w:vAlign w:val="center"/>
          </w:tcPr>
          <w:p w14:paraId="33D244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竣工文件</w:t>
            </w:r>
          </w:p>
        </w:tc>
        <w:tc>
          <w:tcPr>
            <w:tcW w:w="667" w:type="dxa"/>
            <w:tcBorders>
              <w:top w:val="single" w:color="000000" w:sz="4" w:space="0"/>
              <w:left w:val="nil"/>
              <w:bottom w:val="nil"/>
              <w:right w:val="single" w:color="000000" w:sz="4" w:space="0"/>
            </w:tcBorders>
            <w:shd w:val="clear" w:color="auto" w:fill="FFFFFF"/>
            <w:vAlign w:val="center"/>
          </w:tcPr>
          <w:p w14:paraId="77600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67" w:type="dxa"/>
            <w:tcBorders>
              <w:top w:val="single" w:color="000000" w:sz="4" w:space="0"/>
              <w:left w:val="nil"/>
              <w:bottom w:val="nil"/>
              <w:right w:val="single" w:color="000000" w:sz="4" w:space="0"/>
            </w:tcBorders>
            <w:shd w:val="clear" w:color="auto" w:fill="FFFFFF"/>
            <w:vAlign w:val="center"/>
          </w:tcPr>
          <w:p w14:paraId="0C0A1C1C">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72A482F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729F98D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58F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5F04B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102-3</w:t>
            </w:r>
          </w:p>
        </w:tc>
        <w:tc>
          <w:tcPr>
            <w:tcW w:w="5027" w:type="dxa"/>
            <w:tcBorders>
              <w:top w:val="single" w:color="000000" w:sz="4" w:space="0"/>
              <w:left w:val="nil"/>
              <w:bottom w:val="nil"/>
              <w:right w:val="single" w:color="000000" w:sz="4" w:space="0"/>
            </w:tcBorders>
            <w:shd w:val="clear" w:color="auto" w:fill="FFFFFF"/>
            <w:vAlign w:val="center"/>
          </w:tcPr>
          <w:p w14:paraId="753E1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667" w:type="dxa"/>
            <w:tcBorders>
              <w:top w:val="single" w:color="000000" w:sz="4" w:space="0"/>
              <w:left w:val="nil"/>
              <w:bottom w:val="nil"/>
              <w:right w:val="single" w:color="000000" w:sz="4" w:space="0"/>
            </w:tcBorders>
            <w:shd w:val="clear" w:color="auto" w:fill="FFFFFF"/>
            <w:vAlign w:val="center"/>
          </w:tcPr>
          <w:p w14:paraId="46838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67" w:type="dxa"/>
            <w:tcBorders>
              <w:top w:val="single" w:color="000000" w:sz="4" w:space="0"/>
              <w:left w:val="nil"/>
              <w:bottom w:val="nil"/>
              <w:right w:val="single" w:color="000000" w:sz="4" w:space="0"/>
            </w:tcBorders>
            <w:shd w:val="clear" w:color="auto" w:fill="FFFFFF"/>
            <w:vAlign w:val="center"/>
          </w:tcPr>
          <w:p w14:paraId="707E2CEB">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164E96A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2F35659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AC49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1A526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5027" w:type="dxa"/>
            <w:tcBorders>
              <w:top w:val="single" w:color="000000" w:sz="4" w:space="0"/>
              <w:left w:val="nil"/>
              <w:bottom w:val="nil"/>
              <w:right w:val="single" w:color="000000" w:sz="4" w:space="0"/>
            </w:tcBorders>
            <w:shd w:val="clear" w:color="auto" w:fill="FFFFFF"/>
            <w:vAlign w:val="center"/>
          </w:tcPr>
          <w:p w14:paraId="2E0546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667" w:type="dxa"/>
            <w:tcBorders>
              <w:top w:val="single" w:color="000000" w:sz="4" w:space="0"/>
              <w:left w:val="nil"/>
              <w:bottom w:val="nil"/>
              <w:right w:val="single" w:color="000000" w:sz="4" w:space="0"/>
            </w:tcBorders>
            <w:shd w:val="clear" w:color="auto" w:fill="FFFFFF"/>
            <w:vAlign w:val="center"/>
          </w:tcPr>
          <w:p w14:paraId="5F60055D">
            <w:pPr>
              <w:jc w:val="center"/>
              <w:rPr>
                <w:rFonts w:hint="eastAsia" w:ascii="宋体" w:hAnsi="宋体" w:eastAsia="宋体" w:cs="宋体"/>
                <w:i w:val="0"/>
                <w:iCs w:val="0"/>
                <w:color w:val="000000"/>
                <w:sz w:val="18"/>
                <w:szCs w:val="18"/>
                <w:u w:val="none"/>
              </w:rPr>
            </w:pPr>
          </w:p>
        </w:tc>
        <w:tc>
          <w:tcPr>
            <w:tcW w:w="667" w:type="dxa"/>
            <w:tcBorders>
              <w:top w:val="single" w:color="000000" w:sz="4" w:space="0"/>
              <w:left w:val="nil"/>
              <w:bottom w:val="nil"/>
              <w:right w:val="single" w:color="000000" w:sz="4" w:space="0"/>
            </w:tcBorders>
            <w:shd w:val="clear" w:color="auto" w:fill="FFFFFF"/>
            <w:vAlign w:val="center"/>
          </w:tcPr>
          <w:p w14:paraId="355C529A">
            <w:pPr>
              <w:jc w:val="center"/>
              <w:rPr>
                <w:rFonts w:hint="default" w:ascii="Arial Narrow" w:hAnsi="Arial Narrow" w:eastAsia="Arial Narrow" w:cs="Arial Narrow"/>
                <w:i w:val="0"/>
                <w:iCs w:val="0"/>
                <w:color w:val="000000"/>
                <w:sz w:val="16"/>
                <w:szCs w:val="16"/>
                <w:u w:val="none"/>
              </w:rPr>
            </w:pPr>
          </w:p>
        </w:tc>
        <w:tc>
          <w:tcPr>
            <w:tcW w:w="866" w:type="dxa"/>
            <w:tcBorders>
              <w:top w:val="single" w:color="000000" w:sz="4" w:space="0"/>
              <w:left w:val="nil"/>
              <w:bottom w:val="nil"/>
              <w:right w:val="single" w:color="000000" w:sz="4" w:space="0"/>
            </w:tcBorders>
            <w:shd w:val="clear" w:color="auto" w:fill="FFFFFF"/>
            <w:vAlign w:val="center"/>
          </w:tcPr>
          <w:p w14:paraId="6826C883">
            <w:pPr>
              <w:jc w:val="right"/>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266AF49A">
            <w:pPr>
              <w:jc w:val="right"/>
              <w:rPr>
                <w:rFonts w:hint="default" w:ascii="Arial Narrow" w:hAnsi="Arial Narrow" w:eastAsia="Arial Narrow" w:cs="Arial Narrow"/>
                <w:i w:val="0"/>
                <w:iCs w:val="0"/>
                <w:color w:val="000000"/>
                <w:sz w:val="16"/>
                <w:szCs w:val="16"/>
                <w:u w:val="none"/>
              </w:rPr>
            </w:pPr>
          </w:p>
        </w:tc>
      </w:tr>
      <w:tr w14:paraId="52BE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78974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104-1</w:t>
            </w:r>
          </w:p>
        </w:tc>
        <w:tc>
          <w:tcPr>
            <w:tcW w:w="5027" w:type="dxa"/>
            <w:tcBorders>
              <w:top w:val="single" w:color="000000" w:sz="4" w:space="0"/>
              <w:left w:val="nil"/>
              <w:bottom w:val="nil"/>
              <w:right w:val="single" w:color="000000" w:sz="4" w:space="0"/>
            </w:tcBorders>
            <w:shd w:val="clear" w:color="auto" w:fill="FFFFFF"/>
            <w:vAlign w:val="center"/>
          </w:tcPr>
          <w:p w14:paraId="601C0C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667" w:type="dxa"/>
            <w:tcBorders>
              <w:top w:val="single" w:color="000000" w:sz="4" w:space="0"/>
              <w:left w:val="nil"/>
              <w:bottom w:val="nil"/>
              <w:right w:val="single" w:color="000000" w:sz="4" w:space="0"/>
            </w:tcBorders>
            <w:shd w:val="clear" w:color="auto" w:fill="FFFFFF"/>
            <w:vAlign w:val="center"/>
          </w:tcPr>
          <w:p w14:paraId="71198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667" w:type="dxa"/>
            <w:tcBorders>
              <w:top w:val="single" w:color="000000" w:sz="4" w:space="0"/>
              <w:left w:val="nil"/>
              <w:bottom w:val="nil"/>
              <w:right w:val="single" w:color="000000" w:sz="4" w:space="0"/>
            </w:tcBorders>
            <w:shd w:val="clear" w:color="auto" w:fill="FFFFFF"/>
            <w:vAlign w:val="center"/>
          </w:tcPr>
          <w:p w14:paraId="2B0B35BB">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0157C45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6571BAE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AE5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224C1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5027" w:type="dxa"/>
            <w:tcBorders>
              <w:top w:val="single" w:color="000000" w:sz="4" w:space="0"/>
              <w:left w:val="nil"/>
              <w:bottom w:val="nil"/>
              <w:right w:val="single" w:color="000000" w:sz="4" w:space="0"/>
            </w:tcBorders>
            <w:shd w:val="clear" w:color="auto" w:fill="FFFFFF"/>
            <w:vAlign w:val="center"/>
          </w:tcPr>
          <w:p w14:paraId="68BE5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其它项目</w:t>
            </w:r>
          </w:p>
        </w:tc>
        <w:tc>
          <w:tcPr>
            <w:tcW w:w="667" w:type="dxa"/>
            <w:tcBorders>
              <w:top w:val="single" w:color="000000" w:sz="4" w:space="0"/>
              <w:left w:val="nil"/>
              <w:bottom w:val="nil"/>
              <w:right w:val="single" w:color="000000" w:sz="4" w:space="0"/>
            </w:tcBorders>
            <w:shd w:val="clear" w:color="auto" w:fill="FFFFFF"/>
            <w:vAlign w:val="center"/>
          </w:tcPr>
          <w:p w14:paraId="3AD48603">
            <w:pPr>
              <w:jc w:val="center"/>
              <w:rPr>
                <w:rFonts w:hint="eastAsia" w:ascii="宋体" w:hAnsi="宋体" w:eastAsia="宋体" w:cs="宋体"/>
                <w:i w:val="0"/>
                <w:iCs w:val="0"/>
                <w:color w:val="000000"/>
                <w:sz w:val="18"/>
                <w:szCs w:val="18"/>
                <w:u w:val="none"/>
              </w:rPr>
            </w:pPr>
          </w:p>
        </w:tc>
        <w:tc>
          <w:tcPr>
            <w:tcW w:w="667" w:type="dxa"/>
            <w:tcBorders>
              <w:top w:val="single" w:color="000000" w:sz="4" w:space="0"/>
              <w:left w:val="nil"/>
              <w:bottom w:val="nil"/>
              <w:right w:val="single" w:color="000000" w:sz="4" w:space="0"/>
            </w:tcBorders>
            <w:shd w:val="clear" w:color="auto" w:fill="FFFFFF"/>
            <w:vAlign w:val="center"/>
          </w:tcPr>
          <w:p w14:paraId="32A2B131">
            <w:pPr>
              <w:jc w:val="center"/>
              <w:rPr>
                <w:rFonts w:hint="default" w:ascii="Arial Narrow" w:hAnsi="Arial Narrow" w:eastAsia="Arial Narrow" w:cs="Arial Narrow"/>
                <w:i w:val="0"/>
                <w:iCs w:val="0"/>
                <w:color w:val="000000"/>
                <w:sz w:val="16"/>
                <w:szCs w:val="16"/>
                <w:u w:val="none"/>
              </w:rPr>
            </w:pPr>
          </w:p>
        </w:tc>
        <w:tc>
          <w:tcPr>
            <w:tcW w:w="866" w:type="dxa"/>
            <w:tcBorders>
              <w:top w:val="single" w:color="000000" w:sz="4" w:space="0"/>
              <w:left w:val="nil"/>
              <w:bottom w:val="nil"/>
              <w:right w:val="single" w:color="000000" w:sz="4" w:space="0"/>
            </w:tcBorders>
            <w:shd w:val="clear" w:color="auto" w:fill="FFFFFF"/>
            <w:vAlign w:val="center"/>
          </w:tcPr>
          <w:p w14:paraId="64F07051">
            <w:pPr>
              <w:jc w:val="right"/>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5C327149">
            <w:pPr>
              <w:jc w:val="right"/>
              <w:rPr>
                <w:rFonts w:hint="default" w:ascii="Arial Narrow" w:hAnsi="Arial Narrow" w:eastAsia="Arial Narrow" w:cs="Arial Narrow"/>
                <w:i w:val="0"/>
                <w:iCs w:val="0"/>
                <w:color w:val="000000"/>
                <w:sz w:val="16"/>
                <w:szCs w:val="16"/>
                <w:u w:val="none"/>
              </w:rPr>
            </w:pPr>
          </w:p>
        </w:tc>
      </w:tr>
      <w:tr w14:paraId="13FF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4AAFD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w:t>
            </w:r>
          </w:p>
        </w:tc>
        <w:tc>
          <w:tcPr>
            <w:tcW w:w="5027" w:type="dxa"/>
            <w:tcBorders>
              <w:top w:val="single" w:color="000000" w:sz="4" w:space="0"/>
              <w:left w:val="nil"/>
              <w:bottom w:val="nil"/>
              <w:right w:val="single" w:color="000000" w:sz="4" w:space="0"/>
            </w:tcBorders>
            <w:shd w:val="clear" w:color="auto" w:fill="FFFFFF"/>
            <w:vAlign w:val="center"/>
          </w:tcPr>
          <w:p w14:paraId="13286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G228白溪大桥轻量化监测系统</w:t>
            </w:r>
          </w:p>
        </w:tc>
        <w:tc>
          <w:tcPr>
            <w:tcW w:w="667" w:type="dxa"/>
            <w:tcBorders>
              <w:top w:val="single" w:color="000000" w:sz="4" w:space="0"/>
              <w:left w:val="nil"/>
              <w:bottom w:val="nil"/>
              <w:right w:val="single" w:color="000000" w:sz="4" w:space="0"/>
            </w:tcBorders>
            <w:shd w:val="clear" w:color="auto" w:fill="FFFFFF"/>
            <w:vAlign w:val="center"/>
          </w:tcPr>
          <w:p w14:paraId="62E80B69">
            <w:pPr>
              <w:jc w:val="center"/>
              <w:rPr>
                <w:rFonts w:hint="eastAsia" w:ascii="宋体" w:hAnsi="宋体" w:eastAsia="宋体" w:cs="宋体"/>
                <w:i w:val="0"/>
                <w:iCs w:val="0"/>
                <w:color w:val="000000"/>
                <w:sz w:val="18"/>
                <w:szCs w:val="18"/>
                <w:u w:val="none"/>
              </w:rPr>
            </w:pPr>
          </w:p>
        </w:tc>
        <w:tc>
          <w:tcPr>
            <w:tcW w:w="667" w:type="dxa"/>
            <w:tcBorders>
              <w:top w:val="single" w:color="000000" w:sz="4" w:space="0"/>
              <w:left w:val="nil"/>
              <w:bottom w:val="nil"/>
              <w:right w:val="single" w:color="000000" w:sz="4" w:space="0"/>
            </w:tcBorders>
            <w:shd w:val="clear" w:color="auto" w:fill="FFFFFF"/>
            <w:vAlign w:val="center"/>
          </w:tcPr>
          <w:p w14:paraId="26CA0ABE">
            <w:pPr>
              <w:jc w:val="center"/>
              <w:rPr>
                <w:rFonts w:hint="default" w:ascii="Arial Narrow" w:hAnsi="Arial Narrow" w:eastAsia="Arial Narrow" w:cs="Arial Narrow"/>
                <w:i w:val="0"/>
                <w:iCs w:val="0"/>
                <w:color w:val="000000"/>
                <w:sz w:val="16"/>
                <w:szCs w:val="16"/>
                <w:u w:val="none"/>
              </w:rPr>
            </w:pPr>
          </w:p>
        </w:tc>
        <w:tc>
          <w:tcPr>
            <w:tcW w:w="866" w:type="dxa"/>
            <w:tcBorders>
              <w:top w:val="single" w:color="000000" w:sz="4" w:space="0"/>
              <w:left w:val="nil"/>
              <w:bottom w:val="nil"/>
              <w:right w:val="single" w:color="000000" w:sz="4" w:space="0"/>
            </w:tcBorders>
            <w:shd w:val="clear" w:color="auto" w:fill="FFFFFF"/>
            <w:vAlign w:val="center"/>
          </w:tcPr>
          <w:p w14:paraId="37B44792">
            <w:pPr>
              <w:jc w:val="right"/>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4362214B">
            <w:pPr>
              <w:jc w:val="right"/>
              <w:rPr>
                <w:rFonts w:hint="default" w:ascii="Arial Narrow" w:hAnsi="Arial Narrow" w:eastAsia="Arial Narrow" w:cs="Arial Narrow"/>
                <w:i w:val="0"/>
                <w:iCs w:val="0"/>
                <w:color w:val="000000"/>
                <w:sz w:val="16"/>
                <w:szCs w:val="16"/>
                <w:u w:val="none"/>
              </w:rPr>
            </w:pPr>
          </w:p>
        </w:tc>
      </w:tr>
      <w:tr w14:paraId="7492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6B479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105-4-a</w:t>
            </w:r>
          </w:p>
        </w:tc>
        <w:tc>
          <w:tcPr>
            <w:tcW w:w="5027" w:type="dxa"/>
            <w:tcBorders>
              <w:top w:val="single" w:color="000000" w:sz="4" w:space="0"/>
              <w:left w:val="nil"/>
              <w:bottom w:val="nil"/>
              <w:right w:val="single" w:color="000000" w:sz="4" w:space="0"/>
            </w:tcBorders>
            <w:shd w:val="clear" w:color="auto" w:fill="FFFFFF"/>
            <w:vAlign w:val="center"/>
          </w:tcPr>
          <w:p w14:paraId="4C4DAB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多元感知终端：量程：加速度：±8g；倾角：±45°；温度：-20～60°C；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分辨率：加速度：1mg；倾角：0.001°；温度：0.5°C；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测量精度：±0.2%FS；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供电方式：市电或太阳能+内置锂电池；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防护等级：IP67。</w:t>
            </w:r>
          </w:p>
        </w:tc>
        <w:tc>
          <w:tcPr>
            <w:tcW w:w="667" w:type="dxa"/>
            <w:tcBorders>
              <w:top w:val="single" w:color="000000" w:sz="4" w:space="0"/>
              <w:left w:val="nil"/>
              <w:bottom w:val="nil"/>
              <w:right w:val="single" w:color="000000" w:sz="4" w:space="0"/>
            </w:tcBorders>
            <w:shd w:val="clear" w:color="auto" w:fill="FFFFFF"/>
            <w:vAlign w:val="center"/>
          </w:tcPr>
          <w:p w14:paraId="28280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nil"/>
              <w:bottom w:val="nil"/>
              <w:right w:val="single" w:color="000000" w:sz="4" w:space="0"/>
            </w:tcBorders>
            <w:shd w:val="clear" w:color="auto" w:fill="FFFFFF"/>
            <w:vAlign w:val="center"/>
          </w:tcPr>
          <w:p w14:paraId="158E7770">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w:t>
            </w:r>
          </w:p>
        </w:tc>
        <w:tc>
          <w:tcPr>
            <w:tcW w:w="866" w:type="dxa"/>
            <w:tcBorders>
              <w:top w:val="single" w:color="000000" w:sz="4" w:space="0"/>
              <w:left w:val="nil"/>
              <w:bottom w:val="nil"/>
              <w:right w:val="single" w:color="000000" w:sz="4" w:space="0"/>
            </w:tcBorders>
            <w:shd w:val="clear" w:color="auto" w:fill="FFFFFF"/>
            <w:vAlign w:val="center"/>
          </w:tcPr>
          <w:p w14:paraId="7A2F68A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0EFA991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7E3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5B370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105-4-b</w:t>
            </w:r>
          </w:p>
        </w:tc>
        <w:tc>
          <w:tcPr>
            <w:tcW w:w="5027" w:type="dxa"/>
            <w:tcBorders>
              <w:top w:val="single" w:color="000000" w:sz="4" w:space="0"/>
              <w:left w:val="nil"/>
              <w:bottom w:val="nil"/>
              <w:right w:val="single" w:color="000000" w:sz="4" w:space="0"/>
            </w:tcBorders>
            <w:shd w:val="clear" w:color="auto" w:fill="FFFFFF"/>
            <w:vAlign w:val="center"/>
          </w:tcPr>
          <w:p w14:paraId="1D13A3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智能网关：频率范围：上行 470～490MHz；下行 500～510MHz；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覆盖范围：空旷 5Km；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外部接口：LAN、WAN；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发射功率：23dBm~30dBm；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防护等级：IP67。</w:t>
            </w:r>
          </w:p>
        </w:tc>
        <w:tc>
          <w:tcPr>
            <w:tcW w:w="667" w:type="dxa"/>
            <w:tcBorders>
              <w:top w:val="single" w:color="000000" w:sz="4" w:space="0"/>
              <w:left w:val="nil"/>
              <w:bottom w:val="nil"/>
              <w:right w:val="single" w:color="000000" w:sz="4" w:space="0"/>
            </w:tcBorders>
            <w:shd w:val="clear" w:color="auto" w:fill="FFFFFF"/>
            <w:vAlign w:val="center"/>
          </w:tcPr>
          <w:p w14:paraId="1E373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nil"/>
              <w:bottom w:val="nil"/>
              <w:right w:val="single" w:color="000000" w:sz="4" w:space="0"/>
            </w:tcBorders>
            <w:shd w:val="clear" w:color="auto" w:fill="FFFFFF"/>
            <w:vAlign w:val="center"/>
          </w:tcPr>
          <w:p w14:paraId="58C4614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74166D8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31E499A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74F0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0F7B4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105-4-c</w:t>
            </w:r>
          </w:p>
        </w:tc>
        <w:tc>
          <w:tcPr>
            <w:tcW w:w="5027" w:type="dxa"/>
            <w:tcBorders>
              <w:top w:val="single" w:color="000000" w:sz="4" w:space="0"/>
              <w:left w:val="nil"/>
              <w:bottom w:val="nil"/>
              <w:right w:val="single" w:color="000000" w:sz="4" w:space="0"/>
            </w:tcBorders>
            <w:shd w:val="clear" w:color="auto" w:fill="FFFFFF"/>
            <w:vAlign w:val="center"/>
          </w:tcPr>
          <w:p w14:paraId="22D605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太阳能供电系统</w:t>
            </w:r>
          </w:p>
        </w:tc>
        <w:tc>
          <w:tcPr>
            <w:tcW w:w="667" w:type="dxa"/>
            <w:tcBorders>
              <w:top w:val="single" w:color="000000" w:sz="4" w:space="0"/>
              <w:left w:val="nil"/>
              <w:bottom w:val="nil"/>
              <w:right w:val="single" w:color="000000" w:sz="4" w:space="0"/>
            </w:tcBorders>
            <w:shd w:val="clear" w:color="auto" w:fill="FFFFFF"/>
            <w:vAlign w:val="center"/>
          </w:tcPr>
          <w:p w14:paraId="37F81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370F9930">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866" w:type="dxa"/>
            <w:tcBorders>
              <w:top w:val="single" w:color="000000" w:sz="4" w:space="0"/>
              <w:left w:val="nil"/>
              <w:bottom w:val="nil"/>
              <w:right w:val="single" w:color="000000" w:sz="4" w:space="0"/>
            </w:tcBorders>
            <w:shd w:val="clear" w:color="auto" w:fill="FFFFFF"/>
            <w:vAlign w:val="center"/>
          </w:tcPr>
          <w:p w14:paraId="49E321B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3F51A06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32B4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21481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105-4-d</w:t>
            </w:r>
          </w:p>
        </w:tc>
        <w:tc>
          <w:tcPr>
            <w:tcW w:w="5027" w:type="dxa"/>
            <w:tcBorders>
              <w:top w:val="single" w:color="000000" w:sz="4" w:space="0"/>
              <w:left w:val="nil"/>
              <w:bottom w:val="nil"/>
              <w:right w:val="single" w:color="000000" w:sz="4" w:space="0"/>
            </w:tcBorders>
            <w:shd w:val="clear" w:color="auto" w:fill="FFFFFF"/>
            <w:vAlign w:val="center"/>
          </w:tcPr>
          <w:p w14:paraId="07A425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一体式报警装置： 功能：红蓝爆闪灯提醒、语音提醒、镭射灯地面提醒；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功率：50W；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发光方式：LED 频闪发光；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喇叭分贝：120dB；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防护等级：IP67</w:t>
            </w:r>
          </w:p>
        </w:tc>
        <w:tc>
          <w:tcPr>
            <w:tcW w:w="667" w:type="dxa"/>
            <w:tcBorders>
              <w:top w:val="single" w:color="000000" w:sz="4" w:space="0"/>
              <w:left w:val="nil"/>
              <w:bottom w:val="nil"/>
              <w:right w:val="single" w:color="000000" w:sz="4" w:space="0"/>
            </w:tcBorders>
            <w:shd w:val="clear" w:color="auto" w:fill="FFFFFF"/>
            <w:vAlign w:val="center"/>
          </w:tcPr>
          <w:p w14:paraId="7F9C6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5714E598">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000000" w:sz="4" w:space="0"/>
              <w:left w:val="nil"/>
              <w:bottom w:val="nil"/>
              <w:right w:val="single" w:color="000000" w:sz="4" w:space="0"/>
            </w:tcBorders>
            <w:shd w:val="clear" w:color="auto" w:fill="FFFFFF"/>
            <w:vAlign w:val="center"/>
          </w:tcPr>
          <w:p w14:paraId="5C9FCAD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64202D0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C62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7C500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105-4-e</w:t>
            </w:r>
          </w:p>
        </w:tc>
        <w:tc>
          <w:tcPr>
            <w:tcW w:w="5027" w:type="dxa"/>
            <w:tcBorders>
              <w:top w:val="single" w:color="000000" w:sz="4" w:space="0"/>
              <w:left w:val="nil"/>
              <w:bottom w:val="nil"/>
              <w:right w:val="single" w:color="000000" w:sz="4" w:space="0"/>
            </w:tcBorders>
            <w:shd w:val="clear" w:color="auto" w:fill="FFFFFF"/>
            <w:vAlign w:val="center"/>
          </w:tcPr>
          <w:p w14:paraId="3487F4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高清球机：像素：400W；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容量：256GB；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焦距：4mm；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探头：2 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补光灯：2 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防护等级：IP66。</w:t>
            </w:r>
          </w:p>
        </w:tc>
        <w:tc>
          <w:tcPr>
            <w:tcW w:w="667" w:type="dxa"/>
            <w:tcBorders>
              <w:top w:val="single" w:color="000000" w:sz="4" w:space="0"/>
              <w:left w:val="nil"/>
              <w:bottom w:val="nil"/>
              <w:right w:val="single" w:color="000000" w:sz="4" w:space="0"/>
            </w:tcBorders>
            <w:shd w:val="clear" w:color="auto" w:fill="FFFFFF"/>
            <w:vAlign w:val="center"/>
          </w:tcPr>
          <w:p w14:paraId="4065D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nil"/>
              <w:bottom w:val="nil"/>
              <w:right w:val="single" w:color="000000" w:sz="4" w:space="0"/>
            </w:tcBorders>
            <w:shd w:val="clear" w:color="auto" w:fill="FFFFFF"/>
            <w:vAlign w:val="center"/>
          </w:tcPr>
          <w:p w14:paraId="13C0CA01">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000000" w:sz="4" w:space="0"/>
              <w:left w:val="nil"/>
              <w:bottom w:val="nil"/>
              <w:right w:val="single" w:color="000000" w:sz="4" w:space="0"/>
            </w:tcBorders>
            <w:shd w:val="clear" w:color="auto" w:fill="FFFFFF"/>
            <w:vAlign w:val="center"/>
          </w:tcPr>
          <w:p w14:paraId="214CE97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40F009C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C1E8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7C88F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105-4-f</w:t>
            </w:r>
          </w:p>
        </w:tc>
        <w:tc>
          <w:tcPr>
            <w:tcW w:w="5027" w:type="dxa"/>
            <w:tcBorders>
              <w:top w:val="single" w:color="000000" w:sz="4" w:space="0"/>
              <w:left w:val="nil"/>
              <w:bottom w:val="nil"/>
              <w:right w:val="single" w:color="000000" w:sz="4" w:space="0"/>
            </w:tcBorders>
            <w:shd w:val="clear" w:color="auto" w:fill="FFFFFF"/>
            <w:vAlign w:val="center"/>
          </w:tcPr>
          <w:p w14:paraId="699AD8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机器视觉智能测量仪： 测量距离：0~100m；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测量精度：0.1mm（50 米测距）；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测量维度：二维；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供电方案：市电/风光互补/外接电源；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防护等级：IP65。 </w:t>
            </w:r>
          </w:p>
        </w:tc>
        <w:tc>
          <w:tcPr>
            <w:tcW w:w="667" w:type="dxa"/>
            <w:tcBorders>
              <w:top w:val="single" w:color="000000" w:sz="4" w:space="0"/>
              <w:left w:val="nil"/>
              <w:bottom w:val="nil"/>
              <w:right w:val="single" w:color="000000" w:sz="4" w:space="0"/>
            </w:tcBorders>
            <w:shd w:val="clear" w:color="auto" w:fill="FFFFFF"/>
            <w:vAlign w:val="center"/>
          </w:tcPr>
          <w:p w14:paraId="4D39F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nil"/>
              <w:bottom w:val="nil"/>
              <w:right w:val="single" w:color="000000" w:sz="4" w:space="0"/>
            </w:tcBorders>
            <w:shd w:val="clear" w:color="auto" w:fill="FFFFFF"/>
            <w:vAlign w:val="center"/>
          </w:tcPr>
          <w:p w14:paraId="121008A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000000" w:sz="4" w:space="0"/>
              <w:left w:val="nil"/>
              <w:bottom w:val="nil"/>
              <w:right w:val="single" w:color="000000" w:sz="4" w:space="0"/>
            </w:tcBorders>
            <w:shd w:val="clear" w:color="auto" w:fill="FFFFFF"/>
            <w:vAlign w:val="center"/>
          </w:tcPr>
          <w:p w14:paraId="144DD0B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3C0113A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A93B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6AA96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105-4-g</w:t>
            </w:r>
          </w:p>
        </w:tc>
        <w:tc>
          <w:tcPr>
            <w:tcW w:w="5027" w:type="dxa"/>
            <w:tcBorders>
              <w:top w:val="single" w:color="000000" w:sz="4" w:space="0"/>
              <w:left w:val="nil"/>
              <w:bottom w:val="nil"/>
              <w:right w:val="single" w:color="000000" w:sz="4" w:space="0"/>
            </w:tcBorders>
            <w:shd w:val="clear" w:color="auto" w:fill="FFFFFF"/>
            <w:vAlign w:val="center"/>
          </w:tcPr>
          <w:p w14:paraId="03B1D5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光电靶标</w:t>
            </w:r>
          </w:p>
        </w:tc>
        <w:tc>
          <w:tcPr>
            <w:tcW w:w="667" w:type="dxa"/>
            <w:tcBorders>
              <w:top w:val="single" w:color="000000" w:sz="4" w:space="0"/>
              <w:left w:val="nil"/>
              <w:bottom w:val="nil"/>
              <w:right w:val="single" w:color="000000" w:sz="4" w:space="0"/>
            </w:tcBorders>
            <w:shd w:val="clear" w:color="auto" w:fill="FFFFFF"/>
            <w:vAlign w:val="center"/>
          </w:tcPr>
          <w:p w14:paraId="6A3D9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nil"/>
              <w:bottom w:val="nil"/>
              <w:right w:val="single" w:color="000000" w:sz="4" w:space="0"/>
            </w:tcBorders>
            <w:shd w:val="clear" w:color="auto" w:fill="FFFFFF"/>
            <w:vAlign w:val="center"/>
          </w:tcPr>
          <w:p w14:paraId="76EF2DC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w:t>
            </w:r>
          </w:p>
        </w:tc>
        <w:tc>
          <w:tcPr>
            <w:tcW w:w="866" w:type="dxa"/>
            <w:tcBorders>
              <w:top w:val="single" w:color="000000" w:sz="4" w:space="0"/>
              <w:left w:val="nil"/>
              <w:bottom w:val="nil"/>
              <w:right w:val="single" w:color="000000" w:sz="4" w:space="0"/>
            </w:tcBorders>
            <w:shd w:val="clear" w:color="auto" w:fill="FFFFFF"/>
            <w:vAlign w:val="center"/>
          </w:tcPr>
          <w:p w14:paraId="4482AA9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1337ADE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71B4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6B2DE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105-4-h</w:t>
            </w:r>
          </w:p>
        </w:tc>
        <w:tc>
          <w:tcPr>
            <w:tcW w:w="5027" w:type="dxa"/>
            <w:tcBorders>
              <w:top w:val="single" w:color="000000" w:sz="4" w:space="0"/>
              <w:left w:val="nil"/>
              <w:bottom w:val="nil"/>
              <w:right w:val="single" w:color="000000" w:sz="4" w:space="0"/>
            </w:tcBorders>
            <w:shd w:val="clear" w:color="auto" w:fill="FFFFFF"/>
            <w:vAlign w:val="center"/>
          </w:tcPr>
          <w:p w14:paraId="4BA9F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数据综合采集与预处理软件</w:t>
            </w:r>
          </w:p>
        </w:tc>
        <w:tc>
          <w:tcPr>
            <w:tcW w:w="667" w:type="dxa"/>
            <w:tcBorders>
              <w:top w:val="single" w:color="000000" w:sz="4" w:space="0"/>
              <w:left w:val="nil"/>
              <w:bottom w:val="nil"/>
              <w:right w:val="single" w:color="000000" w:sz="4" w:space="0"/>
            </w:tcBorders>
            <w:shd w:val="clear" w:color="auto" w:fill="FFFFFF"/>
            <w:vAlign w:val="center"/>
          </w:tcPr>
          <w:p w14:paraId="6DFF7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73E9322A">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46F243E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6EFA825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6EB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2B239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105-4-i</w:t>
            </w:r>
          </w:p>
        </w:tc>
        <w:tc>
          <w:tcPr>
            <w:tcW w:w="5027" w:type="dxa"/>
            <w:tcBorders>
              <w:top w:val="single" w:color="000000" w:sz="4" w:space="0"/>
              <w:left w:val="nil"/>
              <w:bottom w:val="nil"/>
              <w:right w:val="single" w:color="000000" w:sz="4" w:space="0"/>
            </w:tcBorders>
            <w:shd w:val="clear" w:color="auto" w:fill="FFFFFF"/>
            <w:vAlign w:val="center"/>
          </w:tcPr>
          <w:p w14:paraId="248C7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数据处理、分析软件</w:t>
            </w:r>
          </w:p>
        </w:tc>
        <w:tc>
          <w:tcPr>
            <w:tcW w:w="667" w:type="dxa"/>
            <w:tcBorders>
              <w:top w:val="single" w:color="000000" w:sz="4" w:space="0"/>
              <w:left w:val="nil"/>
              <w:bottom w:val="nil"/>
              <w:right w:val="single" w:color="000000" w:sz="4" w:space="0"/>
            </w:tcBorders>
            <w:shd w:val="clear" w:color="auto" w:fill="FFFFFF"/>
            <w:vAlign w:val="center"/>
          </w:tcPr>
          <w:p w14:paraId="5399C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741CD745">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3B67C48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35C7720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B98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072AD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105-4-j</w:t>
            </w:r>
          </w:p>
        </w:tc>
        <w:tc>
          <w:tcPr>
            <w:tcW w:w="5027" w:type="dxa"/>
            <w:tcBorders>
              <w:top w:val="single" w:color="000000" w:sz="4" w:space="0"/>
              <w:left w:val="nil"/>
              <w:bottom w:val="nil"/>
              <w:right w:val="single" w:color="000000" w:sz="4" w:space="0"/>
            </w:tcBorders>
            <w:shd w:val="clear" w:color="auto" w:fill="FFFFFF"/>
            <w:vAlign w:val="center"/>
          </w:tcPr>
          <w:p w14:paraId="6C0CBE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监测预警平台</w:t>
            </w:r>
          </w:p>
        </w:tc>
        <w:tc>
          <w:tcPr>
            <w:tcW w:w="667" w:type="dxa"/>
            <w:tcBorders>
              <w:top w:val="single" w:color="000000" w:sz="4" w:space="0"/>
              <w:left w:val="nil"/>
              <w:bottom w:val="nil"/>
              <w:right w:val="single" w:color="000000" w:sz="4" w:space="0"/>
            </w:tcBorders>
            <w:shd w:val="clear" w:color="auto" w:fill="FFFFFF"/>
            <w:vAlign w:val="center"/>
          </w:tcPr>
          <w:p w14:paraId="2CB94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34017341">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3540E9A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585FE2A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8BDC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799B0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105-4-k</w:t>
            </w:r>
          </w:p>
        </w:tc>
        <w:tc>
          <w:tcPr>
            <w:tcW w:w="5027" w:type="dxa"/>
            <w:tcBorders>
              <w:top w:val="single" w:color="000000" w:sz="4" w:space="0"/>
              <w:left w:val="nil"/>
              <w:bottom w:val="nil"/>
              <w:right w:val="single" w:color="000000" w:sz="4" w:space="0"/>
            </w:tcBorders>
            <w:shd w:val="clear" w:color="auto" w:fill="FFFFFF"/>
            <w:vAlign w:val="center"/>
          </w:tcPr>
          <w:p w14:paraId="566884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数据对接软件</w:t>
            </w:r>
          </w:p>
        </w:tc>
        <w:tc>
          <w:tcPr>
            <w:tcW w:w="667" w:type="dxa"/>
            <w:tcBorders>
              <w:top w:val="single" w:color="000000" w:sz="4" w:space="0"/>
              <w:left w:val="nil"/>
              <w:bottom w:val="nil"/>
              <w:right w:val="single" w:color="000000" w:sz="4" w:space="0"/>
            </w:tcBorders>
            <w:shd w:val="clear" w:color="auto" w:fill="FFFFFF"/>
            <w:vAlign w:val="center"/>
          </w:tcPr>
          <w:p w14:paraId="1936C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2168CB9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0E3E527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10AD69E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A38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single" w:color="auto" w:sz="4" w:space="0"/>
              <w:right w:val="single" w:color="000000" w:sz="4" w:space="0"/>
            </w:tcBorders>
            <w:shd w:val="clear" w:color="auto" w:fill="FFFFFF"/>
            <w:vAlign w:val="center"/>
          </w:tcPr>
          <w:p w14:paraId="1B4A3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105-4-l</w:t>
            </w:r>
          </w:p>
        </w:tc>
        <w:tc>
          <w:tcPr>
            <w:tcW w:w="5027" w:type="dxa"/>
            <w:tcBorders>
              <w:top w:val="single" w:color="000000" w:sz="4" w:space="0"/>
              <w:left w:val="nil"/>
              <w:bottom w:val="single" w:color="auto" w:sz="4" w:space="0"/>
              <w:right w:val="single" w:color="000000" w:sz="4" w:space="0"/>
            </w:tcBorders>
            <w:shd w:val="clear" w:color="auto" w:fill="FFFFFF"/>
            <w:vAlign w:val="center"/>
          </w:tcPr>
          <w:p w14:paraId="7D4475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系统安装费</w:t>
            </w:r>
          </w:p>
        </w:tc>
        <w:tc>
          <w:tcPr>
            <w:tcW w:w="667" w:type="dxa"/>
            <w:tcBorders>
              <w:top w:val="single" w:color="000000" w:sz="4" w:space="0"/>
              <w:left w:val="nil"/>
              <w:bottom w:val="single" w:color="auto" w:sz="4" w:space="0"/>
              <w:right w:val="single" w:color="000000" w:sz="4" w:space="0"/>
            </w:tcBorders>
            <w:shd w:val="clear" w:color="auto" w:fill="FFFFFF"/>
            <w:vAlign w:val="center"/>
          </w:tcPr>
          <w:p w14:paraId="21168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667" w:type="dxa"/>
            <w:tcBorders>
              <w:top w:val="single" w:color="000000" w:sz="4" w:space="0"/>
              <w:left w:val="nil"/>
              <w:bottom w:val="single" w:color="auto" w:sz="4" w:space="0"/>
              <w:right w:val="single" w:color="000000" w:sz="4" w:space="0"/>
            </w:tcBorders>
            <w:shd w:val="clear" w:color="auto" w:fill="FFFFFF"/>
            <w:vAlign w:val="center"/>
          </w:tcPr>
          <w:p w14:paraId="45BE378E">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w:t>
            </w:r>
          </w:p>
        </w:tc>
        <w:tc>
          <w:tcPr>
            <w:tcW w:w="866" w:type="dxa"/>
            <w:tcBorders>
              <w:top w:val="single" w:color="000000" w:sz="4" w:space="0"/>
              <w:left w:val="nil"/>
              <w:bottom w:val="single" w:color="auto" w:sz="4" w:space="0"/>
              <w:right w:val="single" w:color="000000" w:sz="4" w:space="0"/>
            </w:tcBorders>
            <w:shd w:val="clear" w:color="auto" w:fill="FFFFFF"/>
            <w:vAlign w:val="center"/>
          </w:tcPr>
          <w:p w14:paraId="3E33998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single" w:color="auto" w:sz="4" w:space="0"/>
              <w:right w:val="single" w:color="000000" w:sz="8" w:space="0"/>
            </w:tcBorders>
            <w:shd w:val="clear" w:color="auto" w:fill="FFFFFF"/>
            <w:vAlign w:val="center"/>
          </w:tcPr>
          <w:p w14:paraId="1C6325E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FE5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auto" w:sz="4" w:space="0"/>
              <w:left w:val="single" w:color="auto" w:sz="4" w:space="0"/>
              <w:bottom w:val="single" w:color="auto" w:sz="4" w:space="0"/>
              <w:right w:val="single" w:color="000000" w:sz="4" w:space="0"/>
            </w:tcBorders>
            <w:shd w:val="clear" w:color="auto" w:fill="FFFFFF"/>
            <w:vAlign w:val="center"/>
          </w:tcPr>
          <w:p w14:paraId="6942D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105-4-m</w:t>
            </w:r>
          </w:p>
        </w:tc>
        <w:tc>
          <w:tcPr>
            <w:tcW w:w="5027" w:type="dxa"/>
            <w:tcBorders>
              <w:top w:val="single" w:color="auto" w:sz="4" w:space="0"/>
              <w:left w:val="nil"/>
              <w:bottom w:val="single" w:color="auto" w:sz="4" w:space="0"/>
              <w:right w:val="single" w:color="000000" w:sz="4" w:space="0"/>
            </w:tcBorders>
            <w:shd w:val="clear" w:color="auto" w:fill="FFFFFF"/>
            <w:vAlign w:val="center"/>
          </w:tcPr>
          <w:p w14:paraId="046256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系统分项测试费</w:t>
            </w:r>
          </w:p>
        </w:tc>
        <w:tc>
          <w:tcPr>
            <w:tcW w:w="667" w:type="dxa"/>
            <w:tcBorders>
              <w:top w:val="single" w:color="auto" w:sz="4" w:space="0"/>
              <w:left w:val="nil"/>
              <w:bottom w:val="single" w:color="auto" w:sz="4" w:space="0"/>
              <w:right w:val="single" w:color="000000" w:sz="4" w:space="0"/>
            </w:tcBorders>
            <w:shd w:val="clear" w:color="auto" w:fill="FFFFFF"/>
            <w:vAlign w:val="center"/>
          </w:tcPr>
          <w:p w14:paraId="71CEC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667" w:type="dxa"/>
            <w:tcBorders>
              <w:top w:val="single" w:color="auto" w:sz="4" w:space="0"/>
              <w:left w:val="nil"/>
              <w:bottom w:val="single" w:color="auto" w:sz="4" w:space="0"/>
              <w:right w:val="single" w:color="000000" w:sz="4" w:space="0"/>
            </w:tcBorders>
            <w:shd w:val="clear" w:color="auto" w:fill="FFFFFF"/>
            <w:vAlign w:val="center"/>
          </w:tcPr>
          <w:p w14:paraId="34A5C08A">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auto" w:sz="4" w:space="0"/>
              <w:left w:val="nil"/>
              <w:bottom w:val="single" w:color="auto" w:sz="4" w:space="0"/>
              <w:right w:val="single" w:color="000000" w:sz="4" w:space="0"/>
            </w:tcBorders>
            <w:shd w:val="clear" w:color="auto" w:fill="FFFFFF"/>
            <w:vAlign w:val="center"/>
          </w:tcPr>
          <w:p w14:paraId="7110EBA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auto" w:sz="4" w:space="0"/>
              <w:left w:val="nil"/>
              <w:bottom w:val="single" w:color="auto" w:sz="4" w:space="0"/>
              <w:right w:val="single" w:color="auto" w:sz="4" w:space="0"/>
            </w:tcBorders>
            <w:shd w:val="clear" w:color="auto" w:fill="FFFFFF"/>
            <w:vAlign w:val="center"/>
          </w:tcPr>
          <w:p w14:paraId="3996E71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3D8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auto" w:sz="4" w:space="0"/>
              <w:left w:val="single" w:color="000000" w:sz="8" w:space="0"/>
              <w:bottom w:val="nil"/>
              <w:right w:val="single" w:color="000000" w:sz="4" w:space="0"/>
            </w:tcBorders>
            <w:shd w:val="clear" w:color="auto" w:fill="FFFFFF"/>
            <w:vAlign w:val="center"/>
          </w:tcPr>
          <w:p w14:paraId="7E6F6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105-4-n</w:t>
            </w:r>
          </w:p>
        </w:tc>
        <w:tc>
          <w:tcPr>
            <w:tcW w:w="5027" w:type="dxa"/>
            <w:tcBorders>
              <w:top w:val="single" w:color="auto" w:sz="4" w:space="0"/>
              <w:left w:val="nil"/>
              <w:bottom w:val="nil"/>
              <w:right w:val="single" w:color="000000" w:sz="4" w:space="0"/>
            </w:tcBorders>
            <w:shd w:val="clear" w:color="auto" w:fill="FFFFFF"/>
            <w:vAlign w:val="center"/>
          </w:tcPr>
          <w:p w14:paraId="42C734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系统联合调试与测试费</w:t>
            </w:r>
          </w:p>
        </w:tc>
        <w:tc>
          <w:tcPr>
            <w:tcW w:w="667" w:type="dxa"/>
            <w:tcBorders>
              <w:top w:val="single" w:color="auto" w:sz="4" w:space="0"/>
              <w:left w:val="nil"/>
              <w:bottom w:val="nil"/>
              <w:right w:val="single" w:color="000000" w:sz="4" w:space="0"/>
            </w:tcBorders>
            <w:shd w:val="clear" w:color="auto" w:fill="FFFFFF"/>
            <w:vAlign w:val="center"/>
          </w:tcPr>
          <w:p w14:paraId="47B20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667" w:type="dxa"/>
            <w:tcBorders>
              <w:top w:val="single" w:color="auto" w:sz="4" w:space="0"/>
              <w:left w:val="nil"/>
              <w:bottom w:val="nil"/>
              <w:right w:val="single" w:color="000000" w:sz="4" w:space="0"/>
            </w:tcBorders>
            <w:shd w:val="clear" w:color="auto" w:fill="FFFFFF"/>
            <w:vAlign w:val="center"/>
          </w:tcPr>
          <w:p w14:paraId="2403C224">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auto" w:sz="4" w:space="0"/>
              <w:left w:val="nil"/>
              <w:bottom w:val="nil"/>
              <w:right w:val="single" w:color="000000" w:sz="4" w:space="0"/>
            </w:tcBorders>
            <w:shd w:val="clear" w:color="auto" w:fill="FFFFFF"/>
            <w:vAlign w:val="center"/>
          </w:tcPr>
          <w:p w14:paraId="64ACF53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auto" w:sz="4" w:space="0"/>
              <w:left w:val="nil"/>
              <w:bottom w:val="nil"/>
              <w:right w:val="single" w:color="000000" w:sz="8" w:space="0"/>
            </w:tcBorders>
            <w:shd w:val="clear" w:color="auto" w:fill="FFFFFF"/>
            <w:vAlign w:val="center"/>
          </w:tcPr>
          <w:p w14:paraId="59B9FAC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4E5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506C9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105-4-o</w:t>
            </w:r>
          </w:p>
        </w:tc>
        <w:tc>
          <w:tcPr>
            <w:tcW w:w="5027" w:type="dxa"/>
            <w:tcBorders>
              <w:top w:val="single" w:color="000000" w:sz="4" w:space="0"/>
              <w:left w:val="nil"/>
              <w:bottom w:val="nil"/>
              <w:right w:val="single" w:color="000000" w:sz="4" w:space="0"/>
            </w:tcBorders>
            <w:shd w:val="clear" w:color="auto" w:fill="FFFFFF"/>
            <w:vAlign w:val="center"/>
          </w:tcPr>
          <w:p w14:paraId="32263D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工程车辆租赁费</w:t>
            </w:r>
          </w:p>
        </w:tc>
        <w:tc>
          <w:tcPr>
            <w:tcW w:w="667" w:type="dxa"/>
            <w:tcBorders>
              <w:top w:val="single" w:color="000000" w:sz="4" w:space="0"/>
              <w:left w:val="nil"/>
              <w:bottom w:val="nil"/>
              <w:right w:val="single" w:color="000000" w:sz="4" w:space="0"/>
            </w:tcBorders>
            <w:shd w:val="clear" w:color="auto" w:fill="FFFFFF"/>
            <w:vAlign w:val="center"/>
          </w:tcPr>
          <w:p w14:paraId="3C67D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667" w:type="dxa"/>
            <w:tcBorders>
              <w:top w:val="single" w:color="000000" w:sz="4" w:space="0"/>
              <w:left w:val="nil"/>
              <w:bottom w:val="nil"/>
              <w:right w:val="single" w:color="000000" w:sz="4" w:space="0"/>
            </w:tcBorders>
            <w:shd w:val="clear" w:color="auto" w:fill="FFFFFF"/>
            <w:vAlign w:val="center"/>
          </w:tcPr>
          <w:p w14:paraId="425E3A0E">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866" w:type="dxa"/>
            <w:tcBorders>
              <w:top w:val="single" w:color="000000" w:sz="4" w:space="0"/>
              <w:left w:val="nil"/>
              <w:bottom w:val="nil"/>
              <w:right w:val="single" w:color="000000" w:sz="4" w:space="0"/>
            </w:tcBorders>
            <w:shd w:val="clear" w:color="auto" w:fill="FFFFFF"/>
            <w:vAlign w:val="center"/>
          </w:tcPr>
          <w:p w14:paraId="2FD6202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4D4E976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0E42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7404D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105-4-p</w:t>
            </w:r>
          </w:p>
        </w:tc>
        <w:tc>
          <w:tcPr>
            <w:tcW w:w="5027" w:type="dxa"/>
            <w:tcBorders>
              <w:top w:val="single" w:color="000000" w:sz="4" w:space="0"/>
              <w:left w:val="nil"/>
              <w:bottom w:val="nil"/>
              <w:right w:val="single" w:color="000000" w:sz="4" w:space="0"/>
            </w:tcBorders>
            <w:shd w:val="clear" w:color="auto" w:fill="FFFFFF"/>
            <w:vAlign w:val="center"/>
          </w:tcPr>
          <w:p w14:paraId="79FA8C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设备立杆</w:t>
            </w:r>
          </w:p>
        </w:tc>
        <w:tc>
          <w:tcPr>
            <w:tcW w:w="667" w:type="dxa"/>
            <w:tcBorders>
              <w:top w:val="single" w:color="000000" w:sz="4" w:space="0"/>
              <w:left w:val="nil"/>
              <w:bottom w:val="nil"/>
              <w:right w:val="single" w:color="000000" w:sz="4" w:space="0"/>
            </w:tcBorders>
            <w:shd w:val="clear" w:color="auto" w:fill="FFFFFF"/>
            <w:vAlign w:val="center"/>
          </w:tcPr>
          <w:p w14:paraId="59E3C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67" w:type="dxa"/>
            <w:tcBorders>
              <w:top w:val="single" w:color="000000" w:sz="4" w:space="0"/>
              <w:left w:val="nil"/>
              <w:bottom w:val="nil"/>
              <w:right w:val="single" w:color="000000" w:sz="4" w:space="0"/>
            </w:tcBorders>
            <w:shd w:val="clear" w:color="auto" w:fill="FFFFFF"/>
            <w:vAlign w:val="center"/>
          </w:tcPr>
          <w:p w14:paraId="1873EDD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w:t>
            </w:r>
          </w:p>
        </w:tc>
        <w:tc>
          <w:tcPr>
            <w:tcW w:w="866" w:type="dxa"/>
            <w:tcBorders>
              <w:top w:val="single" w:color="000000" w:sz="4" w:space="0"/>
              <w:left w:val="nil"/>
              <w:bottom w:val="nil"/>
              <w:right w:val="single" w:color="000000" w:sz="4" w:space="0"/>
            </w:tcBorders>
            <w:shd w:val="clear" w:color="auto" w:fill="FFFFFF"/>
            <w:vAlign w:val="center"/>
          </w:tcPr>
          <w:p w14:paraId="1D23729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125CBB9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AA0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08203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105-4-q</w:t>
            </w:r>
          </w:p>
        </w:tc>
        <w:tc>
          <w:tcPr>
            <w:tcW w:w="5027" w:type="dxa"/>
            <w:tcBorders>
              <w:top w:val="single" w:color="000000" w:sz="4" w:space="0"/>
              <w:left w:val="nil"/>
              <w:bottom w:val="nil"/>
              <w:right w:val="single" w:color="000000" w:sz="4" w:space="0"/>
            </w:tcBorders>
            <w:shd w:val="clear" w:color="auto" w:fill="FFFFFF"/>
            <w:vAlign w:val="center"/>
          </w:tcPr>
          <w:p w14:paraId="140CF7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667" w:type="dxa"/>
            <w:tcBorders>
              <w:top w:val="single" w:color="000000" w:sz="4" w:space="0"/>
              <w:left w:val="nil"/>
              <w:bottom w:val="nil"/>
              <w:right w:val="single" w:color="000000" w:sz="4" w:space="0"/>
            </w:tcBorders>
            <w:shd w:val="clear" w:color="auto" w:fill="FFFFFF"/>
            <w:vAlign w:val="center"/>
          </w:tcPr>
          <w:p w14:paraId="7F869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nil"/>
              <w:bottom w:val="nil"/>
              <w:right w:val="single" w:color="000000" w:sz="4" w:space="0"/>
            </w:tcBorders>
            <w:shd w:val="clear" w:color="auto" w:fill="FFFFFF"/>
            <w:vAlign w:val="center"/>
          </w:tcPr>
          <w:p w14:paraId="6B5B11B5">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6432177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05DD72B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051DA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22D8F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105-4-r</w:t>
            </w:r>
          </w:p>
        </w:tc>
        <w:tc>
          <w:tcPr>
            <w:tcW w:w="5027" w:type="dxa"/>
            <w:tcBorders>
              <w:top w:val="single" w:color="000000" w:sz="4" w:space="0"/>
              <w:left w:val="nil"/>
              <w:bottom w:val="nil"/>
              <w:right w:val="single" w:color="000000" w:sz="4" w:space="0"/>
            </w:tcBorders>
            <w:shd w:val="clear" w:color="auto" w:fill="FFFFFF"/>
            <w:vAlign w:val="center"/>
          </w:tcPr>
          <w:p w14:paraId="1966AF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其他施工辅材</w:t>
            </w:r>
          </w:p>
        </w:tc>
        <w:tc>
          <w:tcPr>
            <w:tcW w:w="667" w:type="dxa"/>
            <w:tcBorders>
              <w:top w:val="single" w:color="000000" w:sz="4" w:space="0"/>
              <w:left w:val="nil"/>
              <w:bottom w:val="nil"/>
              <w:right w:val="single" w:color="000000" w:sz="4" w:space="0"/>
            </w:tcBorders>
            <w:shd w:val="clear" w:color="auto" w:fill="FFFFFF"/>
            <w:vAlign w:val="center"/>
          </w:tcPr>
          <w:p w14:paraId="58E00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nil"/>
              <w:bottom w:val="nil"/>
              <w:right w:val="single" w:color="000000" w:sz="4" w:space="0"/>
            </w:tcBorders>
            <w:shd w:val="clear" w:color="auto" w:fill="FFFFFF"/>
            <w:vAlign w:val="center"/>
          </w:tcPr>
          <w:p w14:paraId="250EBE6A">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2E79C7C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392D609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6EFC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62752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105-4-s</w:t>
            </w:r>
          </w:p>
        </w:tc>
        <w:tc>
          <w:tcPr>
            <w:tcW w:w="5027" w:type="dxa"/>
            <w:tcBorders>
              <w:top w:val="single" w:color="000000" w:sz="4" w:space="0"/>
              <w:left w:val="nil"/>
              <w:bottom w:val="nil"/>
              <w:right w:val="single" w:color="000000" w:sz="4" w:space="0"/>
            </w:tcBorders>
            <w:shd w:val="clear" w:color="auto" w:fill="FFFFFF"/>
            <w:vAlign w:val="center"/>
          </w:tcPr>
          <w:p w14:paraId="2C2344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系统验收培训</w:t>
            </w:r>
          </w:p>
        </w:tc>
        <w:tc>
          <w:tcPr>
            <w:tcW w:w="667" w:type="dxa"/>
            <w:tcBorders>
              <w:top w:val="single" w:color="000000" w:sz="4" w:space="0"/>
              <w:left w:val="nil"/>
              <w:bottom w:val="nil"/>
              <w:right w:val="single" w:color="000000" w:sz="4" w:space="0"/>
            </w:tcBorders>
            <w:shd w:val="clear" w:color="auto" w:fill="FFFFFF"/>
            <w:vAlign w:val="center"/>
          </w:tcPr>
          <w:p w14:paraId="0797B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nil"/>
              <w:bottom w:val="nil"/>
              <w:right w:val="single" w:color="000000" w:sz="4" w:space="0"/>
            </w:tcBorders>
            <w:shd w:val="clear" w:color="auto" w:fill="FFFFFF"/>
            <w:vAlign w:val="center"/>
          </w:tcPr>
          <w:p w14:paraId="1EE2548E">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686D456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5AFB5E2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517E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7DAD4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105-4-t</w:t>
            </w:r>
          </w:p>
        </w:tc>
        <w:tc>
          <w:tcPr>
            <w:tcW w:w="5027" w:type="dxa"/>
            <w:tcBorders>
              <w:top w:val="single" w:color="000000" w:sz="4" w:space="0"/>
              <w:left w:val="nil"/>
              <w:bottom w:val="nil"/>
              <w:right w:val="single" w:color="000000" w:sz="4" w:space="0"/>
            </w:tcBorders>
            <w:shd w:val="clear" w:color="auto" w:fill="FFFFFF"/>
            <w:vAlign w:val="center"/>
          </w:tcPr>
          <w:p w14:paraId="0AE374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缺陷责任期</w:t>
            </w:r>
          </w:p>
        </w:tc>
        <w:tc>
          <w:tcPr>
            <w:tcW w:w="667" w:type="dxa"/>
            <w:tcBorders>
              <w:top w:val="single" w:color="000000" w:sz="4" w:space="0"/>
              <w:left w:val="nil"/>
              <w:bottom w:val="nil"/>
              <w:right w:val="single" w:color="000000" w:sz="4" w:space="0"/>
            </w:tcBorders>
            <w:shd w:val="clear" w:color="auto" w:fill="FFFFFF"/>
            <w:vAlign w:val="center"/>
          </w:tcPr>
          <w:p w14:paraId="42D82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667" w:type="dxa"/>
            <w:tcBorders>
              <w:top w:val="single" w:color="000000" w:sz="4" w:space="0"/>
              <w:left w:val="nil"/>
              <w:bottom w:val="nil"/>
              <w:right w:val="single" w:color="000000" w:sz="4" w:space="0"/>
            </w:tcBorders>
            <w:shd w:val="clear" w:color="auto" w:fill="FFFFFF"/>
            <w:vAlign w:val="center"/>
          </w:tcPr>
          <w:p w14:paraId="09234D70">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000000" w:sz="4" w:space="0"/>
              <w:left w:val="nil"/>
              <w:bottom w:val="nil"/>
              <w:right w:val="single" w:color="000000" w:sz="4" w:space="0"/>
            </w:tcBorders>
            <w:shd w:val="clear" w:color="auto" w:fill="FFFFFF"/>
            <w:vAlign w:val="center"/>
          </w:tcPr>
          <w:p w14:paraId="107D5C3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7A51740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019C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23BC1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105-4-u</w:t>
            </w:r>
          </w:p>
        </w:tc>
        <w:tc>
          <w:tcPr>
            <w:tcW w:w="5027" w:type="dxa"/>
            <w:tcBorders>
              <w:top w:val="single" w:color="000000" w:sz="4" w:space="0"/>
              <w:left w:val="nil"/>
              <w:bottom w:val="nil"/>
              <w:right w:val="single" w:color="000000" w:sz="4" w:space="0"/>
            </w:tcBorders>
            <w:shd w:val="clear" w:color="auto" w:fill="FFFFFF"/>
            <w:vAlign w:val="center"/>
          </w:tcPr>
          <w:p w14:paraId="5EACB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方案设计</w:t>
            </w:r>
          </w:p>
        </w:tc>
        <w:tc>
          <w:tcPr>
            <w:tcW w:w="667" w:type="dxa"/>
            <w:tcBorders>
              <w:top w:val="single" w:color="000000" w:sz="4" w:space="0"/>
              <w:left w:val="nil"/>
              <w:bottom w:val="nil"/>
              <w:right w:val="single" w:color="000000" w:sz="4" w:space="0"/>
            </w:tcBorders>
            <w:shd w:val="clear" w:color="auto" w:fill="FFFFFF"/>
            <w:vAlign w:val="center"/>
          </w:tcPr>
          <w:p w14:paraId="50CE8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nil"/>
              <w:bottom w:val="nil"/>
              <w:right w:val="single" w:color="000000" w:sz="4" w:space="0"/>
            </w:tcBorders>
            <w:shd w:val="clear" w:color="auto" w:fill="FFFFFF"/>
            <w:vAlign w:val="center"/>
          </w:tcPr>
          <w:p w14:paraId="15D8D30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52A078F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4EF2057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080F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1DD8C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w:t>
            </w:r>
          </w:p>
        </w:tc>
        <w:tc>
          <w:tcPr>
            <w:tcW w:w="5027" w:type="dxa"/>
            <w:tcBorders>
              <w:top w:val="single" w:color="000000" w:sz="4" w:space="0"/>
              <w:left w:val="nil"/>
              <w:bottom w:val="nil"/>
              <w:right w:val="single" w:color="000000" w:sz="4" w:space="0"/>
            </w:tcBorders>
            <w:shd w:val="clear" w:color="auto" w:fill="FFFFFF"/>
            <w:vAlign w:val="center"/>
          </w:tcPr>
          <w:p w14:paraId="56E8F2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G228凫溪桥轻量化监测系统</w:t>
            </w:r>
          </w:p>
        </w:tc>
        <w:tc>
          <w:tcPr>
            <w:tcW w:w="667" w:type="dxa"/>
            <w:tcBorders>
              <w:top w:val="single" w:color="000000" w:sz="4" w:space="0"/>
              <w:left w:val="nil"/>
              <w:bottom w:val="nil"/>
              <w:right w:val="single" w:color="000000" w:sz="4" w:space="0"/>
            </w:tcBorders>
            <w:shd w:val="clear" w:color="auto" w:fill="FFFFFF"/>
            <w:vAlign w:val="center"/>
          </w:tcPr>
          <w:p w14:paraId="40DF4F26">
            <w:pPr>
              <w:jc w:val="center"/>
              <w:rPr>
                <w:rFonts w:hint="eastAsia" w:ascii="宋体" w:hAnsi="宋体" w:eastAsia="宋体" w:cs="宋体"/>
                <w:i w:val="0"/>
                <w:iCs w:val="0"/>
                <w:color w:val="000000"/>
                <w:sz w:val="18"/>
                <w:szCs w:val="18"/>
                <w:u w:val="none"/>
              </w:rPr>
            </w:pPr>
          </w:p>
        </w:tc>
        <w:tc>
          <w:tcPr>
            <w:tcW w:w="667" w:type="dxa"/>
            <w:tcBorders>
              <w:top w:val="single" w:color="000000" w:sz="4" w:space="0"/>
              <w:left w:val="nil"/>
              <w:bottom w:val="nil"/>
              <w:right w:val="single" w:color="000000" w:sz="4" w:space="0"/>
            </w:tcBorders>
            <w:shd w:val="clear" w:color="auto" w:fill="FFFFFF"/>
            <w:vAlign w:val="center"/>
          </w:tcPr>
          <w:p w14:paraId="4C218802">
            <w:pPr>
              <w:jc w:val="center"/>
              <w:rPr>
                <w:rFonts w:hint="default" w:ascii="Arial Narrow" w:hAnsi="Arial Narrow" w:eastAsia="Arial Narrow" w:cs="Arial Narrow"/>
                <w:i w:val="0"/>
                <w:iCs w:val="0"/>
                <w:color w:val="000000"/>
                <w:sz w:val="16"/>
                <w:szCs w:val="16"/>
                <w:u w:val="none"/>
              </w:rPr>
            </w:pPr>
          </w:p>
        </w:tc>
        <w:tc>
          <w:tcPr>
            <w:tcW w:w="866" w:type="dxa"/>
            <w:tcBorders>
              <w:top w:val="single" w:color="000000" w:sz="4" w:space="0"/>
              <w:left w:val="nil"/>
              <w:bottom w:val="nil"/>
              <w:right w:val="single" w:color="000000" w:sz="4" w:space="0"/>
            </w:tcBorders>
            <w:shd w:val="clear" w:color="auto" w:fill="FFFFFF"/>
            <w:vAlign w:val="center"/>
          </w:tcPr>
          <w:p w14:paraId="4558A6B9">
            <w:pPr>
              <w:jc w:val="right"/>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2722E2CC">
            <w:pPr>
              <w:jc w:val="right"/>
              <w:rPr>
                <w:rFonts w:hint="default" w:ascii="Arial Narrow" w:hAnsi="Arial Narrow" w:eastAsia="Arial Narrow" w:cs="Arial Narrow"/>
                <w:i w:val="0"/>
                <w:iCs w:val="0"/>
                <w:color w:val="000000"/>
                <w:sz w:val="16"/>
                <w:szCs w:val="16"/>
                <w:u w:val="none"/>
              </w:rPr>
            </w:pPr>
          </w:p>
        </w:tc>
      </w:tr>
      <w:tr w14:paraId="4CE0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1C798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105-5-a</w:t>
            </w:r>
          </w:p>
        </w:tc>
        <w:tc>
          <w:tcPr>
            <w:tcW w:w="5027" w:type="dxa"/>
            <w:tcBorders>
              <w:top w:val="single" w:color="000000" w:sz="4" w:space="0"/>
              <w:left w:val="nil"/>
              <w:bottom w:val="nil"/>
              <w:right w:val="single" w:color="000000" w:sz="4" w:space="0"/>
            </w:tcBorders>
            <w:shd w:val="clear" w:color="auto" w:fill="FFFFFF"/>
            <w:vAlign w:val="center"/>
          </w:tcPr>
          <w:p w14:paraId="466DC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多元感知终端：量程：加速度：±8g；倾角：±45°；温度：-20～60°C；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分辨率：加速度：1mg；倾角：0.001°；温度：0.5°C；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测量精度：±0.2%FS；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供电方式：市电或太阳能+内置锂电池；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防护等级：IP67。</w:t>
            </w:r>
          </w:p>
        </w:tc>
        <w:tc>
          <w:tcPr>
            <w:tcW w:w="667" w:type="dxa"/>
            <w:tcBorders>
              <w:top w:val="single" w:color="000000" w:sz="4" w:space="0"/>
              <w:left w:val="nil"/>
              <w:bottom w:val="nil"/>
              <w:right w:val="single" w:color="000000" w:sz="4" w:space="0"/>
            </w:tcBorders>
            <w:shd w:val="clear" w:color="auto" w:fill="FFFFFF"/>
            <w:vAlign w:val="center"/>
          </w:tcPr>
          <w:p w14:paraId="5E0F3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nil"/>
              <w:bottom w:val="nil"/>
              <w:right w:val="single" w:color="000000" w:sz="4" w:space="0"/>
            </w:tcBorders>
            <w:shd w:val="clear" w:color="auto" w:fill="FFFFFF"/>
            <w:vAlign w:val="center"/>
          </w:tcPr>
          <w:p w14:paraId="179696C8">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w:t>
            </w:r>
          </w:p>
        </w:tc>
        <w:tc>
          <w:tcPr>
            <w:tcW w:w="866" w:type="dxa"/>
            <w:tcBorders>
              <w:top w:val="single" w:color="000000" w:sz="4" w:space="0"/>
              <w:left w:val="nil"/>
              <w:bottom w:val="nil"/>
              <w:right w:val="single" w:color="000000" w:sz="4" w:space="0"/>
            </w:tcBorders>
            <w:shd w:val="clear" w:color="auto" w:fill="FFFFFF"/>
            <w:vAlign w:val="center"/>
          </w:tcPr>
          <w:p w14:paraId="6AACCF8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396F63E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4D7F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308E5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105-5-b</w:t>
            </w:r>
          </w:p>
        </w:tc>
        <w:tc>
          <w:tcPr>
            <w:tcW w:w="5027" w:type="dxa"/>
            <w:tcBorders>
              <w:top w:val="single" w:color="000000" w:sz="4" w:space="0"/>
              <w:left w:val="nil"/>
              <w:bottom w:val="nil"/>
              <w:right w:val="single" w:color="000000" w:sz="4" w:space="0"/>
            </w:tcBorders>
            <w:shd w:val="clear" w:color="auto" w:fill="FFFFFF"/>
            <w:vAlign w:val="center"/>
          </w:tcPr>
          <w:p w14:paraId="6FDE03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智能网关：频率范围：上行 470～490MHz；下行 500～510MHz；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覆盖范围：空旷 5Km；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外部接口：LAN、WAN；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发射功率：23dBm~30dBm；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防护等级：IP67。</w:t>
            </w:r>
          </w:p>
        </w:tc>
        <w:tc>
          <w:tcPr>
            <w:tcW w:w="667" w:type="dxa"/>
            <w:tcBorders>
              <w:top w:val="single" w:color="000000" w:sz="4" w:space="0"/>
              <w:left w:val="nil"/>
              <w:bottom w:val="nil"/>
              <w:right w:val="single" w:color="000000" w:sz="4" w:space="0"/>
            </w:tcBorders>
            <w:shd w:val="clear" w:color="auto" w:fill="FFFFFF"/>
            <w:vAlign w:val="center"/>
          </w:tcPr>
          <w:p w14:paraId="583A4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nil"/>
              <w:bottom w:val="nil"/>
              <w:right w:val="single" w:color="000000" w:sz="4" w:space="0"/>
            </w:tcBorders>
            <w:shd w:val="clear" w:color="auto" w:fill="FFFFFF"/>
            <w:vAlign w:val="center"/>
          </w:tcPr>
          <w:p w14:paraId="4CDBB90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40DDA90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3A3AA7A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D6D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5995A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105-5-c</w:t>
            </w:r>
          </w:p>
        </w:tc>
        <w:tc>
          <w:tcPr>
            <w:tcW w:w="5027" w:type="dxa"/>
            <w:tcBorders>
              <w:top w:val="single" w:color="000000" w:sz="4" w:space="0"/>
              <w:left w:val="nil"/>
              <w:bottom w:val="nil"/>
              <w:right w:val="single" w:color="000000" w:sz="4" w:space="0"/>
            </w:tcBorders>
            <w:shd w:val="clear" w:color="auto" w:fill="FFFFFF"/>
            <w:vAlign w:val="center"/>
          </w:tcPr>
          <w:p w14:paraId="0BE847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太阳能供电系统</w:t>
            </w:r>
          </w:p>
        </w:tc>
        <w:tc>
          <w:tcPr>
            <w:tcW w:w="667" w:type="dxa"/>
            <w:tcBorders>
              <w:top w:val="single" w:color="000000" w:sz="4" w:space="0"/>
              <w:left w:val="nil"/>
              <w:bottom w:val="nil"/>
              <w:right w:val="single" w:color="000000" w:sz="4" w:space="0"/>
            </w:tcBorders>
            <w:shd w:val="clear" w:color="auto" w:fill="FFFFFF"/>
            <w:vAlign w:val="center"/>
          </w:tcPr>
          <w:p w14:paraId="5E5C6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49F87941">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866" w:type="dxa"/>
            <w:tcBorders>
              <w:top w:val="single" w:color="000000" w:sz="4" w:space="0"/>
              <w:left w:val="nil"/>
              <w:bottom w:val="nil"/>
              <w:right w:val="single" w:color="000000" w:sz="4" w:space="0"/>
            </w:tcBorders>
            <w:shd w:val="clear" w:color="auto" w:fill="FFFFFF"/>
            <w:vAlign w:val="center"/>
          </w:tcPr>
          <w:p w14:paraId="12D7F69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4B440DE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340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5D5B0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105-5-d</w:t>
            </w:r>
          </w:p>
        </w:tc>
        <w:tc>
          <w:tcPr>
            <w:tcW w:w="5027" w:type="dxa"/>
            <w:tcBorders>
              <w:top w:val="single" w:color="000000" w:sz="4" w:space="0"/>
              <w:left w:val="nil"/>
              <w:bottom w:val="nil"/>
              <w:right w:val="single" w:color="000000" w:sz="4" w:space="0"/>
            </w:tcBorders>
            <w:shd w:val="clear" w:color="auto" w:fill="FFFFFF"/>
            <w:vAlign w:val="center"/>
          </w:tcPr>
          <w:p w14:paraId="4BD4F6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一体式报警装置： 功能：红蓝爆闪灯提醒、语音提醒、镭射灯地面提醒；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功率：50W；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发光方式：LED 频闪发光；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喇叭分贝：120dB；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防护等级：IP67</w:t>
            </w:r>
          </w:p>
        </w:tc>
        <w:tc>
          <w:tcPr>
            <w:tcW w:w="667" w:type="dxa"/>
            <w:tcBorders>
              <w:top w:val="single" w:color="000000" w:sz="4" w:space="0"/>
              <w:left w:val="nil"/>
              <w:bottom w:val="nil"/>
              <w:right w:val="single" w:color="000000" w:sz="4" w:space="0"/>
            </w:tcBorders>
            <w:shd w:val="clear" w:color="auto" w:fill="FFFFFF"/>
            <w:vAlign w:val="center"/>
          </w:tcPr>
          <w:p w14:paraId="28D08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78817D75">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000000" w:sz="4" w:space="0"/>
              <w:left w:val="nil"/>
              <w:bottom w:val="nil"/>
              <w:right w:val="single" w:color="000000" w:sz="4" w:space="0"/>
            </w:tcBorders>
            <w:shd w:val="clear" w:color="auto" w:fill="FFFFFF"/>
            <w:vAlign w:val="center"/>
          </w:tcPr>
          <w:p w14:paraId="312935A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18CD8DB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709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3869F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105-5-e</w:t>
            </w:r>
          </w:p>
        </w:tc>
        <w:tc>
          <w:tcPr>
            <w:tcW w:w="5027" w:type="dxa"/>
            <w:tcBorders>
              <w:top w:val="single" w:color="000000" w:sz="4" w:space="0"/>
              <w:left w:val="nil"/>
              <w:bottom w:val="nil"/>
              <w:right w:val="single" w:color="000000" w:sz="4" w:space="0"/>
            </w:tcBorders>
            <w:shd w:val="clear" w:color="auto" w:fill="FFFFFF"/>
            <w:vAlign w:val="center"/>
          </w:tcPr>
          <w:p w14:paraId="26F314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高清球机：像素：400W；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容量：256GB；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焦距：4mm；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探头：2 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补光灯：2 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防护等级：IP66。</w:t>
            </w:r>
          </w:p>
        </w:tc>
        <w:tc>
          <w:tcPr>
            <w:tcW w:w="667" w:type="dxa"/>
            <w:tcBorders>
              <w:top w:val="single" w:color="000000" w:sz="4" w:space="0"/>
              <w:left w:val="nil"/>
              <w:bottom w:val="nil"/>
              <w:right w:val="single" w:color="000000" w:sz="4" w:space="0"/>
            </w:tcBorders>
            <w:shd w:val="clear" w:color="auto" w:fill="FFFFFF"/>
            <w:vAlign w:val="center"/>
          </w:tcPr>
          <w:p w14:paraId="6A506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nil"/>
              <w:bottom w:val="nil"/>
              <w:right w:val="single" w:color="000000" w:sz="4" w:space="0"/>
            </w:tcBorders>
            <w:shd w:val="clear" w:color="auto" w:fill="FFFFFF"/>
            <w:vAlign w:val="center"/>
          </w:tcPr>
          <w:p w14:paraId="349F0096">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000000" w:sz="4" w:space="0"/>
              <w:left w:val="nil"/>
              <w:bottom w:val="nil"/>
              <w:right w:val="single" w:color="000000" w:sz="4" w:space="0"/>
            </w:tcBorders>
            <w:shd w:val="clear" w:color="auto" w:fill="FFFFFF"/>
            <w:vAlign w:val="center"/>
          </w:tcPr>
          <w:p w14:paraId="111E064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7C7BB91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B97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732FB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105-5-f</w:t>
            </w:r>
          </w:p>
        </w:tc>
        <w:tc>
          <w:tcPr>
            <w:tcW w:w="5027" w:type="dxa"/>
            <w:tcBorders>
              <w:top w:val="single" w:color="000000" w:sz="4" w:space="0"/>
              <w:left w:val="nil"/>
              <w:bottom w:val="nil"/>
              <w:right w:val="single" w:color="000000" w:sz="4" w:space="0"/>
            </w:tcBorders>
            <w:shd w:val="clear" w:color="auto" w:fill="FFFFFF"/>
            <w:vAlign w:val="center"/>
          </w:tcPr>
          <w:p w14:paraId="0D7ACE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数据综合采集与预处理软件</w:t>
            </w:r>
          </w:p>
        </w:tc>
        <w:tc>
          <w:tcPr>
            <w:tcW w:w="667" w:type="dxa"/>
            <w:tcBorders>
              <w:top w:val="single" w:color="000000" w:sz="4" w:space="0"/>
              <w:left w:val="nil"/>
              <w:bottom w:val="nil"/>
              <w:right w:val="single" w:color="000000" w:sz="4" w:space="0"/>
            </w:tcBorders>
            <w:shd w:val="clear" w:color="auto" w:fill="FFFFFF"/>
            <w:vAlign w:val="center"/>
          </w:tcPr>
          <w:p w14:paraId="4C2C0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77A478CA">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3789707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5520D57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6DB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7C39B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105-5-g</w:t>
            </w:r>
          </w:p>
        </w:tc>
        <w:tc>
          <w:tcPr>
            <w:tcW w:w="5027" w:type="dxa"/>
            <w:tcBorders>
              <w:top w:val="single" w:color="000000" w:sz="4" w:space="0"/>
              <w:left w:val="nil"/>
              <w:bottom w:val="nil"/>
              <w:right w:val="single" w:color="000000" w:sz="4" w:space="0"/>
            </w:tcBorders>
            <w:shd w:val="clear" w:color="auto" w:fill="FFFFFF"/>
            <w:vAlign w:val="center"/>
          </w:tcPr>
          <w:p w14:paraId="650D6C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数据处理、分析软件</w:t>
            </w:r>
          </w:p>
        </w:tc>
        <w:tc>
          <w:tcPr>
            <w:tcW w:w="667" w:type="dxa"/>
            <w:tcBorders>
              <w:top w:val="single" w:color="000000" w:sz="4" w:space="0"/>
              <w:left w:val="nil"/>
              <w:bottom w:val="nil"/>
              <w:right w:val="single" w:color="000000" w:sz="4" w:space="0"/>
            </w:tcBorders>
            <w:shd w:val="clear" w:color="auto" w:fill="FFFFFF"/>
            <w:vAlign w:val="center"/>
          </w:tcPr>
          <w:p w14:paraId="06A1F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58DC48C1">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0ACEA53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39AAD51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CAD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44C29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105-5-h</w:t>
            </w:r>
          </w:p>
        </w:tc>
        <w:tc>
          <w:tcPr>
            <w:tcW w:w="5027" w:type="dxa"/>
            <w:tcBorders>
              <w:top w:val="single" w:color="000000" w:sz="4" w:space="0"/>
              <w:left w:val="nil"/>
              <w:bottom w:val="nil"/>
              <w:right w:val="single" w:color="000000" w:sz="4" w:space="0"/>
            </w:tcBorders>
            <w:shd w:val="clear" w:color="auto" w:fill="FFFFFF"/>
            <w:vAlign w:val="center"/>
          </w:tcPr>
          <w:p w14:paraId="5992F1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监测预警平台</w:t>
            </w:r>
          </w:p>
        </w:tc>
        <w:tc>
          <w:tcPr>
            <w:tcW w:w="667" w:type="dxa"/>
            <w:tcBorders>
              <w:top w:val="single" w:color="000000" w:sz="4" w:space="0"/>
              <w:left w:val="nil"/>
              <w:bottom w:val="nil"/>
              <w:right w:val="single" w:color="000000" w:sz="4" w:space="0"/>
            </w:tcBorders>
            <w:shd w:val="clear" w:color="auto" w:fill="FFFFFF"/>
            <w:vAlign w:val="center"/>
          </w:tcPr>
          <w:p w14:paraId="38868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3BAEDD57">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1FBCF19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5A3D70E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6F3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38461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105-5-i</w:t>
            </w:r>
          </w:p>
        </w:tc>
        <w:tc>
          <w:tcPr>
            <w:tcW w:w="5027" w:type="dxa"/>
            <w:tcBorders>
              <w:top w:val="single" w:color="000000" w:sz="4" w:space="0"/>
              <w:left w:val="nil"/>
              <w:bottom w:val="nil"/>
              <w:right w:val="single" w:color="000000" w:sz="4" w:space="0"/>
            </w:tcBorders>
            <w:shd w:val="clear" w:color="auto" w:fill="FFFFFF"/>
            <w:vAlign w:val="center"/>
          </w:tcPr>
          <w:p w14:paraId="3EEF7E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数据对接软件</w:t>
            </w:r>
          </w:p>
        </w:tc>
        <w:tc>
          <w:tcPr>
            <w:tcW w:w="667" w:type="dxa"/>
            <w:tcBorders>
              <w:top w:val="single" w:color="000000" w:sz="4" w:space="0"/>
              <w:left w:val="nil"/>
              <w:bottom w:val="nil"/>
              <w:right w:val="single" w:color="000000" w:sz="4" w:space="0"/>
            </w:tcBorders>
            <w:shd w:val="clear" w:color="auto" w:fill="FFFFFF"/>
            <w:vAlign w:val="center"/>
          </w:tcPr>
          <w:p w14:paraId="4C80A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430298F3">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4F0D222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61B8A47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24C6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0E360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105-5-j</w:t>
            </w:r>
          </w:p>
        </w:tc>
        <w:tc>
          <w:tcPr>
            <w:tcW w:w="5027" w:type="dxa"/>
            <w:tcBorders>
              <w:top w:val="single" w:color="000000" w:sz="4" w:space="0"/>
              <w:left w:val="nil"/>
              <w:bottom w:val="nil"/>
              <w:right w:val="single" w:color="000000" w:sz="4" w:space="0"/>
            </w:tcBorders>
            <w:shd w:val="clear" w:color="auto" w:fill="FFFFFF"/>
            <w:vAlign w:val="center"/>
          </w:tcPr>
          <w:p w14:paraId="7000C1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系统安装费</w:t>
            </w:r>
          </w:p>
        </w:tc>
        <w:tc>
          <w:tcPr>
            <w:tcW w:w="667" w:type="dxa"/>
            <w:tcBorders>
              <w:top w:val="single" w:color="000000" w:sz="4" w:space="0"/>
              <w:left w:val="nil"/>
              <w:bottom w:val="nil"/>
              <w:right w:val="single" w:color="000000" w:sz="4" w:space="0"/>
            </w:tcBorders>
            <w:shd w:val="clear" w:color="auto" w:fill="FFFFFF"/>
            <w:vAlign w:val="center"/>
          </w:tcPr>
          <w:p w14:paraId="1B518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667" w:type="dxa"/>
            <w:tcBorders>
              <w:top w:val="single" w:color="000000" w:sz="4" w:space="0"/>
              <w:left w:val="nil"/>
              <w:bottom w:val="nil"/>
              <w:right w:val="single" w:color="000000" w:sz="4" w:space="0"/>
            </w:tcBorders>
            <w:shd w:val="clear" w:color="auto" w:fill="FFFFFF"/>
            <w:vAlign w:val="center"/>
          </w:tcPr>
          <w:p w14:paraId="17F660A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w:t>
            </w:r>
          </w:p>
        </w:tc>
        <w:tc>
          <w:tcPr>
            <w:tcW w:w="866" w:type="dxa"/>
            <w:tcBorders>
              <w:top w:val="single" w:color="000000" w:sz="4" w:space="0"/>
              <w:left w:val="nil"/>
              <w:bottom w:val="nil"/>
              <w:right w:val="single" w:color="000000" w:sz="4" w:space="0"/>
            </w:tcBorders>
            <w:shd w:val="clear" w:color="auto" w:fill="FFFFFF"/>
            <w:vAlign w:val="center"/>
          </w:tcPr>
          <w:p w14:paraId="2CC09CC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66ECB34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91A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0EAD8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105-5-k</w:t>
            </w:r>
          </w:p>
        </w:tc>
        <w:tc>
          <w:tcPr>
            <w:tcW w:w="5027" w:type="dxa"/>
            <w:tcBorders>
              <w:top w:val="single" w:color="000000" w:sz="4" w:space="0"/>
              <w:left w:val="nil"/>
              <w:bottom w:val="nil"/>
              <w:right w:val="single" w:color="000000" w:sz="4" w:space="0"/>
            </w:tcBorders>
            <w:shd w:val="clear" w:color="auto" w:fill="FFFFFF"/>
            <w:vAlign w:val="center"/>
          </w:tcPr>
          <w:p w14:paraId="49D3A3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系统分项测试费</w:t>
            </w:r>
          </w:p>
        </w:tc>
        <w:tc>
          <w:tcPr>
            <w:tcW w:w="667" w:type="dxa"/>
            <w:tcBorders>
              <w:top w:val="single" w:color="000000" w:sz="4" w:space="0"/>
              <w:left w:val="nil"/>
              <w:bottom w:val="nil"/>
              <w:right w:val="single" w:color="000000" w:sz="4" w:space="0"/>
            </w:tcBorders>
            <w:shd w:val="clear" w:color="auto" w:fill="FFFFFF"/>
            <w:vAlign w:val="center"/>
          </w:tcPr>
          <w:p w14:paraId="478BE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667" w:type="dxa"/>
            <w:tcBorders>
              <w:top w:val="single" w:color="000000" w:sz="4" w:space="0"/>
              <w:left w:val="nil"/>
              <w:bottom w:val="nil"/>
              <w:right w:val="single" w:color="000000" w:sz="4" w:space="0"/>
            </w:tcBorders>
            <w:shd w:val="clear" w:color="auto" w:fill="FFFFFF"/>
            <w:vAlign w:val="center"/>
          </w:tcPr>
          <w:p w14:paraId="576D798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000000" w:sz="4" w:space="0"/>
              <w:left w:val="nil"/>
              <w:bottom w:val="nil"/>
              <w:right w:val="single" w:color="000000" w:sz="4" w:space="0"/>
            </w:tcBorders>
            <w:shd w:val="clear" w:color="auto" w:fill="FFFFFF"/>
            <w:vAlign w:val="center"/>
          </w:tcPr>
          <w:p w14:paraId="19FE6B4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4C86814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20D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63159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105-5-l</w:t>
            </w:r>
          </w:p>
        </w:tc>
        <w:tc>
          <w:tcPr>
            <w:tcW w:w="5027" w:type="dxa"/>
            <w:tcBorders>
              <w:top w:val="single" w:color="000000" w:sz="4" w:space="0"/>
              <w:left w:val="nil"/>
              <w:bottom w:val="nil"/>
              <w:right w:val="single" w:color="000000" w:sz="4" w:space="0"/>
            </w:tcBorders>
            <w:shd w:val="clear" w:color="auto" w:fill="FFFFFF"/>
            <w:vAlign w:val="center"/>
          </w:tcPr>
          <w:p w14:paraId="6DBC42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系统联合调试与测试费</w:t>
            </w:r>
          </w:p>
        </w:tc>
        <w:tc>
          <w:tcPr>
            <w:tcW w:w="667" w:type="dxa"/>
            <w:tcBorders>
              <w:top w:val="single" w:color="000000" w:sz="4" w:space="0"/>
              <w:left w:val="nil"/>
              <w:bottom w:val="nil"/>
              <w:right w:val="single" w:color="000000" w:sz="4" w:space="0"/>
            </w:tcBorders>
            <w:shd w:val="clear" w:color="auto" w:fill="FFFFFF"/>
            <w:vAlign w:val="center"/>
          </w:tcPr>
          <w:p w14:paraId="2342C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667" w:type="dxa"/>
            <w:tcBorders>
              <w:top w:val="single" w:color="000000" w:sz="4" w:space="0"/>
              <w:left w:val="nil"/>
              <w:bottom w:val="nil"/>
              <w:right w:val="single" w:color="000000" w:sz="4" w:space="0"/>
            </w:tcBorders>
            <w:shd w:val="clear" w:color="auto" w:fill="FFFFFF"/>
            <w:vAlign w:val="center"/>
          </w:tcPr>
          <w:p w14:paraId="11484A37">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3BAB63A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31FAB11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3BB0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4F82B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105-5-m</w:t>
            </w:r>
          </w:p>
        </w:tc>
        <w:tc>
          <w:tcPr>
            <w:tcW w:w="5027" w:type="dxa"/>
            <w:tcBorders>
              <w:top w:val="single" w:color="000000" w:sz="4" w:space="0"/>
              <w:left w:val="nil"/>
              <w:bottom w:val="nil"/>
              <w:right w:val="single" w:color="000000" w:sz="4" w:space="0"/>
            </w:tcBorders>
            <w:shd w:val="clear" w:color="auto" w:fill="FFFFFF"/>
            <w:vAlign w:val="center"/>
          </w:tcPr>
          <w:p w14:paraId="2EB886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工程车辆租赁费</w:t>
            </w:r>
          </w:p>
        </w:tc>
        <w:tc>
          <w:tcPr>
            <w:tcW w:w="667" w:type="dxa"/>
            <w:tcBorders>
              <w:top w:val="single" w:color="000000" w:sz="4" w:space="0"/>
              <w:left w:val="nil"/>
              <w:bottom w:val="nil"/>
              <w:right w:val="single" w:color="000000" w:sz="4" w:space="0"/>
            </w:tcBorders>
            <w:shd w:val="clear" w:color="auto" w:fill="FFFFFF"/>
            <w:vAlign w:val="center"/>
          </w:tcPr>
          <w:p w14:paraId="05B76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667" w:type="dxa"/>
            <w:tcBorders>
              <w:top w:val="single" w:color="000000" w:sz="4" w:space="0"/>
              <w:left w:val="nil"/>
              <w:bottom w:val="nil"/>
              <w:right w:val="single" w:color="000000" w:sz="4" w:space="0"/>
            </w:tcBorders>
            <w:shd w:val="clear" w:color="auto" w:fill="FFFFFF"/>
            <w:vAlign w:val="center"/>
          </w:tcPr>
          <w:p w14:paraId="260A9B97">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000000" w:sz="4" w:space="0"/>
              <w:left w:val="nil"/>
              <w:bottom w:val="nil"/>
              <w:right w:val="single" w:color="000000" w:sz="4" w:space="0"/>
            </w:tcBorders>
            <w:shd w:val="clear" w:color="auto" w:fill="FFFFFF"/>
            <w:vAlign w:val="center"/>
          </w:tcPr>
          <w:p w14:paraId="08D86D1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0B557C9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97F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772E8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105-5-n</w:t>
            </w:r>
          </w:p>
        </w:tc>
        <w:tc>
          <w:tcPr>
            <w:tcW w:w="5027" w:type="dxa"/>
            <w:tcBorders>
              <w:top w:val="single" w:color="000000" w:sz="4" w:space="0"/>
              <w:left w:val="nil"/>
              <w:bottom w:val="nil"/>
              <w:right w:val="single" w:color="000000" w:sz="4" w:space="0"/>
            </w:tcBorders>
            <w:shd w:val="clear" w:color="auto" w:fill="FFFFFF"/>
            <w:vAlign w:val="center"/>
          </w:tcPr>
          <w:p w14:paraId="539C8F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设备立杆</w:t>
            </w:r>
          </w:p>
        </w:tc>
        <w:tc>
          <w:tcPr>
            <w:tcW w:w="667" w:type="dxa"/>
            <w:tcBorders>
              <w:top w:val="single" w:color="000000" w:sz="4" w:space="0"/>
              <w:left w:val="nil"/>
              <w:bottom w:val="nil"/>
              <w:right w:val="single" w:color="000000" w:sz="4" w:space="0"/>
            </w:tcBorders>
            <w:shd w:val="clear" w:color="auto" w:fill="FFFFFF"/>
            <w:vAlign w:val="center"/>
          </w:tcPr>
          <w:p w14:paraId="5BAD8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67" w:type="dxa"/>
            <w:tcBorders>
              <w:top w:val="single" w:color="000000" w:sz="4" w:space="0"/>
              <w:left w:val="nil"/>
              <w:bottom w:val="nil"/>
              <w:right w:val="single" w:color="000000" w:sz="4" w:space="0"/>
            </w:tcBorders>
            <w:shd w:val="clear" w:color="auto" w:fill="FFFFFF"/>
            <w:vAlign w:val="center"/>
          </w:tcPr>
          <w:p w14:paraId="37BFBAB2">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866" w:type="dxa"/>
            <w:tcBorders>
              <w:top w:val="single" w:color="000000" w:sz="4" w:space="0"/>
              <w:left w:val="nil"/>
              <w:bottom w:val="nil"/>
              <w:right w:val="single" w:color="000000" w:sz="4" w:space="0"/>
            </w:tcBorders>
            <w:shd w:val="clear" w:color="auto" w:fill="FFFFFF"/>
            <w:vAlign w:val="center"/>
          </w:tcPr>
          <w:p w14:paraId="79B7D2D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14A02AA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DDE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3F991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105-5-o</w:t>
            </w:r>
          </w:p>
        </w:tc>
        <w:tc>
          <w:tcPr>
            <w:tcW w:w="5027" w:type="dxa"/>
            <w:tcBorders>
              <w:top w:val="single" w:color="000000" w:sz="4" w:space="0"/>
              <w:left w:val="nil"/>
              <w:bottom w:val="nil"/>
              <w:right w:val="single" w:color="000000" w:sz="4" w:space="0"/>
            </w:tcBorders>
            <w:shd w:val="clear" w:color="auto" w:fill="FFFFFF"/>
            <w:vAlign w:val="center"/>
          </w:tcPr>
          <w:p w14:paraId="1D85A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667" w:type="dxa"/>
            <w:tcBorders>
              <w:top w:val="single" w:color="000000" w:sz="4" w:space="0"/>
              <w:left w:val="nil"/>
              <w:bottom w:val="nil"/>
              <w:right w:val="single" w:color="000000" w:sz="4" w:space="0"/>
            </w:tcBorders>
            <w:shd w:val="clear" w:color="auto" w:fill="FFFFFF"/>
            <w:vAlign w:val="center"/>
          </w:tcPr>
          <w:p w14:paraId="79A09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nil"/>
              <w:bottom w:val="nil"/>
              <w:right w:val="single" w:color="000000" w:sz="4" w:space="0"/>
            </w:tcBorders>
            <w:shd w:val="clear" w:color="auto" w:fill="FFFFFF"/>
            <w:vAlign w:val="center"/>
          </w:tcPr>
          <w:p w14:paraId="0FDC6545">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3F34A75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505AE5B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A120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66F4D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105-5-p</w:t>
            </w:r>
          </w:p>
        </w:tc>
        <w:tc>
          <w:tcPr>
            <w:tcW w:w="5027" w:type="dxa"/>
            <w:tcBorders>
              <w:top w:val="single" w:color="000000" w:sz="4" w:space="0"/>
              <w:left w:val="nil"/>
              <w:bottom w:val="nil"/>
              <w:right w:val="single" w:color="000000" w:sz="4" w:space="0"/>
            </w:tcBorders>
            <w:shd w:val="clear" w:color="auto" w:fill="FFFFFF"/>
            <w:vAlign w:val="center"/>
          </w:tcPr>
          <w:p w14:paraId="018330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其他施工辅材</w:t>
            </w:r>
          </w:p>
        </w:tc>
        <w:tc>
          <w:tcPr>
            <w:tcW w:w="667" w:type="dxa"/>
            <w:tcBorders>
              <w:top w:val="single" w:color="000000" w:sz="4" w:space="0"/>
              <w:left w:val="nil"/>
              <w:bottom w:val="nil"/>
              <w:right w:val="single" w:color="000000" w:sz="4" w:space="0"/>
            </w:tcBorders>
            <w:shd w:val="clear" w:color="auto" w:fill="FFFFFF"/>
            <w:vAlign w:val="center"/>
          </w:tcPr>
          <w:p w14:paraId="57D47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nil"/>
              <w:bottom w:val="nil"/>
              <w:right w:val="single" w:color="000000" w:sz="4" w:space="0"/>
            </w:tcBorders>
            <w:shd w:val="clear" w:color="auto" w:fill="FFFFFF"/>
            <w:vAlign w:val="center"/>
          </w:tcPr>
          <w:p w14:paraId="130E714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10285BB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6CF628D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98C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49898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105-5-q</w:t>
            </w:r>
          </w:p>
        </w:tc>
        <w:tc>
          <w:tcPr>
            <w:tcW w:w="5027" w:type="dxa"/>
            <w:tcBorders>
              <w:top w:val="single" w:color="000000" w:sz="4" w:space="0"/>
              <w:left w:val="nil"/>
              <w:bottom w:val="nil"/>
              <w:right w:val="single" w:color="000000" w:sz="4" w:space="0"/>
            </w:tcBorders>
            <w:shd w:val="clear" w:color="auto" w:fill="FFFFFF"/>
            <w:vAlign w:val="center"/>
          </w:tcPr>
          <w:p w14:paraId="75F059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系统验收培训</w:t>
            </w:r>
          </w:p>
        </w:tc>
        <w:tc>
          <w:tcPr>
            <w:tcW w:w="667" w:type="dxa"/>
            <w:tcBorders>
              <w:top w:val="single" w:color="000000" w:sz="4" w:space="0"/>
              <w:left w:val="nil"/>
              <w:bottom w:val="nil"/>
              <w:right w:val="single" w:color="000000" w:sz="4" w:space="0"/>
            </w:tcBorders>
            <w:shd w:val="clear" w:color="auto" w:fill="FFFFFF"/>
            <w:vAlign w:val="center"/>
          </w:tcPr>
          <w:p w14:paraId="3390F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nil"/>
              <w:bottom w:val="nil"/>
              <w:right w:val="single" w:color="000000" w:sz="4" w:space="0"/>
            </w:tcBorders>
            <w:shd w:val="clear" w:color="auto" w:fill="FFFFFF"/>
            <w:vAlign w:val="center"/>
          </w:tcPr>
          <w:p w14:paraId="5857E382">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7CAA838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5FFD4E9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DB14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762EF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105-5-r</w:t>
            </w:r>
          </w:p>
        </w:tc>
        <w:tc>
          <w:tcPr>
            <w:tcW w:w="5027" w:type="dxa"/>
            <w:tcBorders>
              <w:top w:val="single" w:color="000000" w:sz="4" w:space="0"/>
              <w:left w:val="nil"/>
              <w:bottom w:val="nil"/>
              <w:right w:val="single" w:color="000000" w:sz="4" w:space="0"/>
            </w:tcBorders>
            <w:shd w:val="clear" w:color="auto" w:fill="FFFFFF"/>
            <w:vAlign w:val="center"/>
          </w:tcPr>
          <w:p w14:paraId="56A28C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缺陷责任期</w:t>
            </w:r>
          </w:p>
        </w:tc>
        <w:tc>
          <w:tcPr>
            <w:tcW w:w="667" w:type="dxa"/>
            <w:tcBorders>
              <w:top w:val="single" w:color="000000" w:sz="4" w:space="0"/>
              <w:left w:val="nil"/>
              <w:bottom w:val="nil"/>
              <w:right w:val="single" w:color="000000" w:sz="4" w:space="0"/>
            </w:tcBorders>
            <w:shd w:val="clear" w:color="auto" w:fill="FFFFFF"/>
            <w:vAlign w:val="center"/>
          </w:tcPr>
          <w:p w14:paraId="2D077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667" w:type="dxa"/>
            <w:tcBorders>
              <w:top w:val="single" w:color="000000" w:sz="4" w:space="0"/>
              <w:left w:val="nil"/>
              <w:bottom w:val="nil"/>
              <w:right w:val="single" w:color="000000" w:sz="4" w:space="0"/>
            </w:tcBorders>
            <w:shd w:val="clear" w:color="auto" w:fill="FFFFFF"/>
            <w:vAlign w:val="center"/>
          </w:tcPr>
          <w:p w14:paraId="7E33D97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000000" w:sz="4" w:space="0"/>
              <w:left w:val="nil"/>
              <w:bottom w:val="nil"/>
              <w:right w:val="single" w:color="000000" w:sz="4" w:space="0"/>
            </w:tcBorders>
            <w:shd w:val="clear" w:color="auto" w:fill="FFFFFF"/>
            <w:vAlign w:val="center"/>
          </w:tcPr>
          <w:p w14:paraId="61876B6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43B7085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C5AB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17061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105-4-s</w:t>
            </w:r>
          </w:p>
        </w:tc>
        <w:tc>
          <w:tcPr>
            <w:tcW w:w="5027" w:type="dxa"/>
            <w:tcBorders>
              <w:top w:val="single" w:color="000000" w:sz="4" w:space="0"/>
              <w:left w:val="nil"/>
              <w:bottom w:val="nil"/>
              <w:right w:val="single" w:color="000000" w:sz="4" w:space="0"/>
            </w:tcBorders>
            <w:shd w:val="clear" w:color="auto" w:fill="FFFFFF"/>
            <w:vAlign w:val="center"/>
          </w:tcPr>
          <w:p w14:paraId="7882C7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方案设计</w:t>
            </w:r>
          </w:p>
        </w:tc>
        <w:tc>
          <w:tcPr>
            <w:tcW w:w="667" w:type="dxa"/>
            <w:tcBorders>
              <w:top w:val="single" w:color="000000" w:sz="4" w:space="0"/>
              <w:left w:val="nil"/>
              <w:bottom w:val="nil"/>
              <w:right w:val="single" w:color="000000" w:sz="4" w:space="0"/>
            </w:tcBorders>
            <w:shd w:val="clear" w:color="auto" w:fill="FFFFFF"/>
            <w:vAlign w:val="center"/>
          </w:tcPr>
          <w:p w14:paraId="22A92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nil"/>
              <w:bottom w:val="nil"/>
              <w:right w:val="single" w:color="000000" w:sz="4" w:space="0"/>
            </w:tcBorders>
            <w:shd w:val="clear" w:color="auto" w:fill="FFFFFF"/>
            <w:vAlign w:val="center"/>
          </w:tcPr>
          <w:p w14:paraId="21F466A1">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487D788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3D92921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64E6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single" w:color="auto" w:sz="4" w:space="0"/>
              <w:right w:val="single" w:color="000000" w:sz="4" w:space="0"/>
            </w:tcBorders>
            <w:shd w:val="clear" w:color="auto" w:fill="FFFFFF"/>
            <w:vAlign w:val="center"/>
          </w:tcPr>
          <w:p w14:paraId="48647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c>
          <w:tcPr>
            <w:tcW w:w="5027" w:type="dxa"/>
            <w:tcBorders>
              <w:top w:val="single" w:color="000000" w:sz="4" w:space="0"/>
              <w:left w:val="nil"/>
              <w:bottom w:val="single" w:color="auto" w:sz="4" w:space="0"/>
              <w:right w:val="single" w:color="000000" w:sz="4" w:space="0"/>
            </w:tcBorders>
            <w:shd w:val="clear" w:color="auto" w:fill="FFFFFF"/>
            <w:vAlign w:val="center"/>
          </w:tcPr>
          <w:p w14:paraId="0A756A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G527杜岙大桥轻量化监测系统</w:t>
            </w:r>
          </w:p>
        </w:tc>
        <w:tc>
          <w:tcPr>
            <w:tcW w:w="667" w:type="dxa"/>
            <w:tcBorders>
              <w:top w:val="single" w:color="000000" w:sz="4" w:space="0"/>
              <w:left w:val="nil"/>
              <w:bottom w:val="single" w:color="auto" w:sz="4" w:space="0"/>
              <w:right w:val="single" w:color="000000" w:sz="4" w:space="0"/>
            </w:tcBorders>
            <w:shd w:val="clear" w:color="auto" w:fill="FFFFFF"/>
            <w:vAlign w:val="center"/>
          </w:tcPr>
          <w:p w14:paraId="09DC48F7">
            <w:pPr>
              <w:jc w:val="center"/>
              <w:rPr>
                <w:rFonts w:hint="eastAsia" w:ascii="宋体" w:hAnsi="宋体" w:eastAsia="宋体" w:cs="宋体"/>
                <w:i w:val="0"/>
                <w:iCs w:val="0"/>
                <w:color w:val="000000"/>
                <w:sz w:val="18"/>
                <w:szCs w:val="18"/>
                <w:u w:val="none"/>
              </w:rPr>
            </w:pPr>
          </w:p>
        </w:tc>
        <w:tc>
          <w:tcPr>
            <w:tcW w:w="667" w:type="dxa"/>
            <w:tcBorders>
              <w:top w:val="single" w:color="000000" w:sz="4" w:space="0"/>
              <w:left w:val="nil"/>
              <w:bottom w:val="single" w:color="auto" w:sz="4" w:space="0"/>
              <w:right w:val="single" w:color="000000" w:sz="4" w:space="0"/>
            </w:tcBorders>
            <w:shd w:val="clear" w:color="auto" w:fill="FFFFFF"/>
            <w:vAlign w:val="center"/>
          </w:tcPr>
          <w:p w14:paraId="313ED8CC">
            <w:pPr>
              <w:jc w:val="center"/>
              <w:rPr>
                <w:rFonts w:hint="default" w:ascii="Arial Narrow" w:hAnsi="Arial Narrow" w:eastAsia="Arial Narrow" w:cs="Arial Narrow"/>
                <w:i w:val="0"/>
                <w:iCs w:val="0"/>
                <w:color w:val="000000"/>
                <w:sz w:val="16"/>
                <w:szCs w:val="16"/>
                <w:u w:val="none"/>
              </w:rPr>
            </w:pPr>
          </w:p>
        </w:tc>
        <w:tc>
          <w:tcPr>
            <w:tcW w:w="866" w:type="dxa"/>
            <w:tcBorders>
              <w:top w:val="single" w:color="000000" w:sz="4" w:space="0"/>
              <w:left w:val="nil"/>
              <w:bottom w:val="single" w:color="auto" w:sz="4" w:space="0"/>
              <w:right w:val="single" w:color="000000" w:sz="4" w:space="0"/>
            </w:tcBorders>
            <w:shd w:val="clear" w:color="auto" w:fill="FFFFFF"/>
            <w:vAlign w:val="center"/>
          </w:tcPr>
          <w:p w14:paraId="6A8E5DED">
            <w:pPr>
              <w:jc w:val="right"/>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single" w:color="auto" w:sz="4" w:space="0"/>
              <w:right w:val="single" w:color="000000" w:sz="8" w:space="0"/>
            </w:tcBorders>
            <w:shd w:val="clear" w:color="auto" w:fill="FFFFFF"/>
            <w:vAlign w:val="center"/>
          </w:tcPr>
          <w:p w14:paraId="4C504EE6">
            <w:pPr>
              <w:jc w:val="right"/>
              <w:rPr>
                <w:rFonts w:hint="default" w:ascii="Arial Narrow" w:hAnsi="Arial Narrow" w:eastAsia="Arial Narrow" w:cs="Arial Narrow"/>
                <w:i w:val="0"/>
                <w:iCs w:val="0"/>
                <w:color w:val="000000"/>
                <w:sz w:val="16"/>
                <w:szCs w:val="16"/>
                <w:u w:val="none"/>
              </w:rPr>
            </w:pPr>
          </w:p>
        </w:tc>
      </w:tr>
      <w:tr w14:paraId="62703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auto" w:sz="4" w:space="0"/>
              <w:left w:val="single" w:color="auto" w:sz="4" w:space="0"/>
              <w:bottom w:val="single" w:color="auto" w:sz="4" w:space="0"/>
              <w:right w:val="single" w:color="000000" w:sz="4" w:space="0"/>
            </w:tcBorders>
            <w:shd w:val="clear" w:color="auto" w:fill="FFFFFF"/>
            <w:vAlign w:val="center"/>
          </w:tcPr>
          <w:p w14:paraId="565DC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105-6-a</w:t>
            </w:r>
          </w:p>
        </w:tc>
        <w:tc>
          <w:tcPr>
            <w:tcW w:w="5027" w:type="dxa"/>
            <w:tcBorders>
              <w:top w:val="single" w:color="auto" w:sz="4" w:space="0"/>
              <w:left w:val="nil"/>
              <w:bottom w:val="single" w:color="auto" w:sz="4" w:space="0"/>
              <w:right w:val="single" w:color="000000" w:sz="4" w:space="0"/>
            </w:tcBorders>
            <w:shd w:val="clear" w:color="auto" w:fill="FFFFFF"/>
            <w:vAlign w:val="center"/>
          </w:tcPr>
          <w:p w14:paraId="4C5DF2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太阳能供电系统</w:t>
            </w:r>
          </w:p>
        </w:tc>
        <w:tc>
          <w:tcPr>
            <w:tcW w:w="667" w:type="dxa"/>
            <w:tcBorders>
              <w:top w:val="single" w:color="auto" w:sz="4" w:space="0"/>
              <w:left w:val="nil"/>
              <w:bottom w:val="single" w:color="auto" w:sz="4" w:space="0"/>
              <w:right w:val="single" w:color="000000" w:sz="4" w:space="0"/>
            </w:tcBorders>
            <w:shd w:val="clear" w:color="auto" w:fill="FFFFFF"/>
            <w:vAlign w:val="center"/>
          </w:tcPr>
          <w:p w14:paraId="305F1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auto" w:sz="4" w:space="0"/>
              <w:left w:val="nil"/>
              <w:bottom w:val="single" w:color="auto" w:sz="4" w:space="0"/>
              <w:right w:val="single" w:color="000000" w:sz="4" w:space="0"/>
            </w:tcBorders>
            <w:shd w:val="clear" w:color="auto" w:fill="FFFFFF"/>
            <w:vAlign w:val="center"/>
          </w:tcPr>
          <w:p w14:paraId="48253D87">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auto" w:sz="4" w:space="0"/>
              <w:left w:val="nil"/>
              <w:bottom w:val="single" w:color="auto" w:sz="4" w:space="0"/>
              <w:right w:val="single" w:color="000000" w:sz="4" w:space="0"/>
            </w:tcBorders>
            <w:shd w:val="clear" w:color="auto" w:fill="FFFFFF"/>
            <w:vAlign w:val="center"/>
          </w:tcPr>
          <w:p w14:paraId="716926B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auto" w:sz="4" w:space="0"/>
              <w:left w:val="nil"/>
              <w:bottom w:val="single" w:color="auto" w:sz="4" w:space="0"/>
              <w:right w:val="single" w:color="auto" w:sz="4" w:space="0"/>
            </w:tcBorders>
            <w:shd w:val="clear" w:color="auto" w:fill="FFFFFF"/>
            <w:vAlign w:val="center"/>
          </w:tcPr>
          <w:p w14:paraId="4B83686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7E2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949" w:type="dxa"/>
            <w:tcBorders>
              <w:top w:val="single" w:color="auto" w:sz="4" w:space="0"/>
              <w:left w:val="single" w:color="000000" w:sz="8" w:space="0"/>
              <w:bottom w:val="nil"/>
              <w:right w:val="single" w:color="000000" w:sz="4" w:space="0"/>
            </w:tcBorders>
            <w:shd w:val="clear" w:color="auto" w:fill="FFFFFF"/>
            <w:vAlign w:val="center"/>
          </w:tcPr>
          <w:p w14:paraId="08F53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105-6-b</w:t>
            </w:r>
          </w:p>
        </w:tc>
        <w:tc>
          <w:tcPr>
            <w:tcW w:w="5027" w:type="dxa"/>
            <w:tcBorders>
              <w:top w:val="single" w:color="auto" w:sz="4" w:space="0"/>
              <w:left w:val="nil"/>
              <w:bottom w:val="nil"/>
              <w:right w:val="single" w:color="000000" w:sz="4" w:space="0"/>
            </w:tcBorders>
            <w:shd w:val="clear" w:color="auto" w:fill="FFFFFF"/>
            <w:vAlign w:val="center"/>
          </w:tcPr>
          <w:p w14:paraId="755355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高清球机：像素：400W；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容量：256GB；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焦距：4mm；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探头：2 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补光灯：2 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防护等级：IP66。</w:t>
            </w:r>
          </w:p>
        </w:tc>
        <w:tc>
          <w:tcPr>
            <w:tcW w:w="667" w:type="dxa"/>
            <w:tcBorders>
              <w:top w:val="single" w:color="auto" w:sz="4" w:space="0"/>
              <w:left w:val="nil"/>
              <w:bottom w:val="nil"/>
              <w:right w:val="single" w:color="000000" w:sz="4" w:space="0"/>
            </w:tcBorders>
            <w:shd w:val="clear" w:color="auto" w:fill="FFFFFF"/>
            <w:vAlign w:val="center"/>
          </w:tcPr>
          <w:p w14:paraId="2F7D0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auto" w:sz="4" w:space="0"/>
              <w:left w:val="nil"/>
              <w:bottom w:val="nil"/>
              <w:right w:val="single" w:color="000000" w:sz="4" w:space="0"/>
            </w:tcBorders>
            <w:shd w:val="clear" w:color="auto" w:fill="FFFFFF"/>
            <w:vAlign w:val="center"/>
          </w:tcPr>
          <w:p w14:paraId="62B42C3A">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auto" w:sz="4" w:space="0"/>
              <w:left w:val="nil"/>
              <w:bottom w:val="nil"/>
              <w:right w:val="single" w:color="000000" w:sz="4" w:space="0"/>
            </w:tcBorders>
            <w:shd w:val="clear" w:color="auto" w:fill="FFFFFF"/>
            <w:vAlign w:val="center"/>
          </w:tcPr>
          <w:p w14:paraId="303E329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auto" w:sz="4" w:space="0"/>
              <w:left w:val="nil"/>
              <w:bottom w:val="nil"/>
              <w:right w:val="single" w:color="000000" w:sz="8" w:space="0"/>
            </w:tcBorders>
            <w:shd w:val="clear" w:color="auto" w:fill="FFFFFF"/>
            <w:vAlign w:val="center"/>
          </w:tcPr>
          <w:p w14:paraId="1C0744B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4665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5198D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105-6-c</w:t>
            </w:r>
          </w:p>
        </w:tc>
        <w:tc>
          <w:tcPr>
            <w:tcW w:w="5027" w:type="dxa"/>
            <w:tcBorders>
              <w:top w:val="single" w:color="000000" w:sz="4" w:space="0"/>
              <w:left w:val="nil"/>
              <w:bottom w:val="nil"/>
              <w:right w:val="single" w:color="000000" w:sz="4" w:space="0"/>
            </w:tcBorders>
            <w:shd w:val="clear" w:color="auto" w:fill="FFFFFF"/>
            <w:vAlign w:val="center"/>
          </w:tcPr>
          <w:p w14:paraId="2E7BD3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机器视觉智能测量仪： 测量距离：0~100m；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测量精度：0.1mm（50 米测距）；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测量维度：二维；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供电方案：市电/风光互补/外接电源；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防护等级：IP65。 </w:t>
            </w:r>
          </w:p>
        </w:tc>
        <w:tc>
          <w:tcPr>
            <w:tcW w:w="667" w:type="dxa"/>
            <w:tcBorders>
              <w:top w:val="single" w:color="000000" w:sz="4" w:space="0"/>
              <w:left w:val="nil"/>
              <w:bottom w:val="nil"/>
              <w:right w:val="single" w:color="000000" w:sz="4" w:space="0"/>
            </w:tcBorders>
            <w:shd w:val="clear" w:color="auto" w:fill="FFFFFF"/>
            <w:vAlign w:val="center"/>
          </w:tcPr>
          <w:p w14:paraId="0A7FA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nil"/>
              <w:bottom w:val="nil"/>
              <w:right w:val="single" w:color="000000" w:sz="4" w:space="0"/>
            </w:tcBorders>
            <w:shd w:val="clear" w:color="auto" w:fill="FFFFFF"/>
            <w:vAlign w:val="center"/>
          </w:tcPr>
          <w:p w14:paraId="3176AE6B">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000000" w:sz="4" w:space="0"/>
              <w:left w:val="nil"/>
              <w:bottom w:val="nil"/>
              <w:right w:val="single" w:color="000000" w:sz="4" w:space="0"/>
            </w:tcBorders>
            <w:shd w:val="clear" w:color="auto" w:fill="FFFFFF"/>
            <w:vAlign w:val="center"/>
          </w:tcPr>
          <w:p w14:paraId="606B438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157FBDA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140D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60F14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105-6-d</w:t>
            </w:r>
          </w:p>
        </w:tc>
        <w:tc>
          <w:tcPr>
            <w:tcW w:w="5027" w:type="dxa"/>
            <w:tcBorders>
              <w:top w:val="single" w:color="000000" w:sz="4" w:space="0"/>
              <w:left w:val="nil"/>
              <w:bottom w:val="nil"/>
              <w:right w:val="single" w:color="000000" w:sz="4" w:space="0"/>
            </w:tcBorders>
            <w:shd w:val="clear" w:color="auto" w:fill="FFFFFF"/>
            <w:vAlign w:val="center"/>
          </w:tcPr>
          <w:p w14:paraId="102405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光电靶标</w:t>
            </w:r>
          </w:p>
        </w:tc>
        <w:tc>
          <w:tcPr>
            <w:tcW w:w="667" w:type="dxa"/>
            <w:tcBorders>
              <w:top w:val="single" w:color="000000" w:sz="4" w:space="0"/>
              <w:left w:val="nil"/>
              <w:bottom w:val="nil"/>
              <w:right w:val="single" w:color="000000" w:sz="4" w:space="0"/>
            </w:tcBorders>
            <w:shd w:val="clear" w:color="auto" w:fill="FFFFFF"/>
            <w:vAlign w:val="center"/>
          </w:tcPr>
          <w:p w14:paraId="02863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nil"/>
              <w:bottom w:val="nil"/>
              <w:right w:val="single" w:color="000000" w:sz="4" w:space="0"/>
            </w:tcBorders>
            <w:shd w:val="clear" w:color="auto" w:fill="FFFFFF"/>
            <w:vAlign w:val="center"/>
          </w:tcPr>
          <w:p w14:paraId="0A666CA8">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w:t>
            </w:r>
          </w:p>
        </w:tc>
        <w:tc>
          <w:tcPr>
            <w:tcW w:w="866" w:type="dxa"/>
            <w:tcBorders>
              <w:top w:val="single" w:color="000000" w:sz="4" w:space="0"/>
              <w:left w:val="nil"/>
              <w:bottom w:val="nil"/>
              <w:right w:val="single" w:color="000000" w:sz="4" w:space="0"/>
            </w:tcBorders>
            <w:shd w:val="clear" w:color="auto" w:fill="FFFFFF"/>
            <w:vAlign w:val="center"/>
          </w:tcPr>
          <w:p w14:paraId="487C8BD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31C1030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F8E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090EB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105-6-e</w:t>
            </w:r>
          </w:p>
        </w:tc>
        <w:tc>
          <w:tcPr>
            <w:tcW w:w="5027" w:type="dxa"/>
            <w:tcBorders>
              <w:top w:val="single" w:color="000000" w:sz="4" w:space="0"/>
              <w:left w:val="nil"/>
              <w:bottom w:val="nil"/>
              <w:right w:val="single" w:color="000000" w:sz="4" w:space="0"/>
            </w:tcBorders>
            <w:shd w:val="clear" w:color="auto" w:fill="FFFFFF"/>
            <w:vAlign w:val="center"/>
          </w:tcPr>
          <w:p w14:paraId="0C1A49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数据综合采集与预处理软件</w:t>
            </w:r>
          </w:p>
        </w:tc>
        <w:tc>
          <w:tcPr>
            <w:tcW w:w="667" w:type="dxa"/>
            <w:tcBorders>
              <w:top w:val="single" w:color="000000" w:sz="4" w:space="0"/>
              <w:left w:val="nil"/>
              <w:bottom w:val="nil"/>
              <w:right w:val="single" w:color="000000" w:sz="4" w:space="0"/>
            </w:tcBorders>
            <w:shd w:val="clear" w:color="auto" w:fill="FFFFFF"/>
            <w:vAlign w:val="center"/>
          </w:tcPr>
          <w:p w14:paraId="50A13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6D3DC0D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6A78D1B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5A98E75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9A5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1C78E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105-6-f</w:t>
            </w:r>
          </w:p>
        </w:tc>
        <w:tc>
          <w:tcPr>
            <w:tcW w:w="5027" w:type="dxa"/>
            <w:tcBorders>
              <w:top w:val="single" w:color="000000" w:sz="4" w:space="0"/>
              <w:left w:val="nil"/>
              <w:bottom w:val="nil"/>
              <w:right w:val="single" w:color="000000" w:sz="4" w:space="0"/>
            </w:tcBorders>
            <w:shd w:val="clear" w:color="auto" w:fill="FFFFFF"/>
            <w:vAlign w:val="center"/>
          </w:tcPr>
          <w:p w14:paraId="5933B5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数据处理、分析软件</w:t>
            </w:r>
          </w:p>
        </w:tc>
        <w:tc>
          <w:tcPr>
            <w:tcW w:w="667" w:type="dxa"/>
            <w:tcBorders>
              <w:top w:val="single" w:color="000000" w:sz="4" w:space="0"/>
              <w:left w:val="nil"/>
              <w:bottom w:val="nil"/>
              <w:right w:val="single" w:color="000000" w:sz="4" w:space="0"/>
            </w:tcBorders>
            <w:shd w:val="clear" w:color="auto" w:fill="FFFFFF"/>
            <w:vAlign w:val="center"/>
          </w:tcPr>
          <w:p w14:paraId="50823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4DB86E82">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72822B4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45896DA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E5AE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6F940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105-6-g</w:t>
            </w:r>
          </w:p>
        </w:tc>
        <w:tc>
          <w:tcPr>
            <w:tcW w:w="5027" w:type="dxa"/>
            <w:tcBorders>
              <w:top w:val="single" w:color="000000" w:sz="4" w:space="0"/>
              <w:left w:val="nil"/>
              <w:bottom w:val="nil"/>
              <w:right w:val="single" w:color="000000" w:sz="4" w:space="0"/>
            </w:tcBorders>
            <w:shd w:val="clear" w:color="auto" w:fill="FFFFFF"/>
            <w:vAlign w:val="center"/>
          </w:tcPr>
          <w:p w14:paraId="2D3D1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监测预警平台</w:t>
            </w:r>
          </w:p>
        </w:tc>
        <w:tc>
          <w:tcPr>
            <w:tcW w:w="667" w:type="dxa"/>
            <w:tcBorders>
              <w:top w:val="single" w:color="000000" w:sz="4" w:space="0"/>
              <w:left w:val="nil"/>
              <w:bottom w:val="nil"/>
              <w:right w:val="single" w:color="000000" w:sz="4" w:space="0"/>
            </w:tcBorders>
            <w:shd w:val="clear" w:color="auto" w:fill="FFFFFF"/>
            <w:vAlign w:val="center"/>
          </w:tcPr>
          <w:p w14:paraId="46424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37D98F68">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20045BE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1544F75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B0D6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0C74C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105-6-h</w:t>
            </w:r>
          </w:p>
        </w:tc>
        <w:tc>
          <w:tcPr>
            <w:tcW w:w="5027" w:type="dxa"/>
            <w:tcBorders>
              <w:top w:val="single" w:color="000000" w:sz="4" w:space="0"/>
              <w:left w:val="nil"/>
              <w:bottom w:val="nil"/>
              <w:right w:val="single" w:color="000000" w:sz="4" w:space="0"/>
            </w:tcBorders>
            <w:shd w:val="clear" w:color="auto" w:fill="FFFFFF"/>
            <w:vAlign w:val="center"/>
          </w:tcPr>
          <w:p w14:paraId="6A6E3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数据对接软件</w:t>
            </w:r>
          </w:p>
        </w:tc>
        <w:tc>
          <w:tcPr>
            <w:tcW w:w="667" w:type="dxa"/>
            <w:tcBorders>
              <w:top w:val="single" w:color="000000" w:sz="4" w:space="0"/>
              <w:left w:val="nil"/>
              <w:bottom w:val="nil"/>
              <w:right w:val="single" w:color="000000" w:sz="4" w:space="0"/>
            </w:tcBorders>
            <w:shd w:val="clear" w:color="auto" w:fill="FFFFFF"/>
            <w:vAlign w:val="center"/>
          </w:tcPr>
          <w:p w14:paraId="6E850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2E4385CA">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369D6BD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2988C52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A049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7F4EE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105-6-i</w:t>
            </w:r>
          </w:p>
        </w:tc>
        <w:tc>
          <w:tcPr>
            <w:tcW w:w="5027" w:type="dxa"/>
            <w:tcBorders>
              <w:top w:val="single" w:color="000000" w:sz="4" w:space="0"/>
              <w:left w:val="nil"/>
              <w:bottom w:val="nil"/>
              <w:right w:val="single" w:color="000000" w:sz="4" w:space="0"/>
            </w:tcBorders>
            <w:shd w:val="clear" w:color="auto" w:fill="FFFFFF"/>
            <w:vAlign w:val="center"/>
          </w:tcPr>
          <w:p w14:paraId="6C8A7A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系统安装费</w:t>
            </w:r>
          </w:p>
        </w:tc>
        <w:tc>
          <w:tcPr>
            <w:tcW w:w="667" w:type="dxa"/>
            <w:tcBorders>
              <w:top w:val="single" w:color="000000" w:sz="4" w:space="0"/>
              <w:left w:val="nil"/>
              <w:bottom w:val="nil"/>
              <w:right w:val="single" w:color="000000" w:sz="4" w:space="0"/>
            </w:tcBorders>
            <w:shd w:val="clear" w:color="auto" w:fill="FFFFFF"/>
            <w:vAlign w:val="center"/>
          </w:tcPr>
          <w:p w14:paraId="4DB93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667" w:type="dxa"/>
            <w:tcBorders>
              <w:top w:val="single" w:color="000000" w:sz="4" w:space="0"/>
              <w:left w:val="nil"/>
              <w:bottom w:val="nil"/>
              <w:right w:val="single" w:color="000000" w:sz="4" w:space="0"/>
            </w:tcBorders>
            <w:shd w:val="clear" w:color="auto" w:fill="FFFFFF"/>
            <w:vAlign w:val="center"/>
          </w:tcPr>
          <w:p w14:paraId="2D6CC6A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w:t>
            </w:r>
          </w:p>
        </w:tc>
        <w:tc>
          <w:tcPr>
            <w:tcW w:w="866" w:type="dxa"/>
            <w:tcBorders>
              <w:top w:val="single" w:color="000000" w:sz="4" w:space="0"/>
              <w:left w:val="nil"/>
              <w:bottom w:val="nil"/>
              <w:right w:val="single" w:color="000000" w:sz="4" w:space="0"/>
            </w:tcBorders>
            <w:shd w:val="clear" w:color="auto" w:fill="FFFFFF"/>
            <w:vAlign w:val="center"/>
          </w:tcPr>
          <w:p w14:paraId="611A188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124072C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8EF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09991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105-6-j</w:t>
            </w:r>
          </w:p>
        </w:tc>
        <w:tc>
          <w:tcPr>
            <w:tcW w:w="5027" w:type="dxa"/>
            <w:tcBorders>
              <w:top w:val="single" w:color="000000" w:sz="4" w:space="0"/>
              <w:left w:val="nil"/>
              <w:bottom w:val="nil"/>
              <w:right w:val="single" w:color="000000" w:sz="4" w:space="0"/>
            </w:tcBorders>
            <w:shd w:val="clear" w:color="auto" w:fill="FFFFFF"/>
            <w:vAlign w:val="center"/>
          </w:tcPr>
          <w:p w14:paraId="47A6D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系统分项测试费</w:t>
            </w:r>
          </w:p>
        </w:tc>
        <w:tc>
          <w:tcPr>
            <w:tcW w:w="667" w:type="dxa"/>
            <w:tcBorders>
              <w:top w:val="single" w:color="000000" w:sz="4" w:space="0"/>
              <w:left w:val="nil"/>
              <w:bottom w:val="nil"/>
              <w:right w:val="single" w:color="000000" w:sz="4" w:space="0"/>
            </w:tcBorders>
            <w:shd w:val="clear" w:color="auto" w:fill="FFFFFF"/>
            <w:vAlign w:val="center"/>
          </w:tcPr>
          <w:p w14:paraId="24F3B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667" w:type="dxa"/>
            <w:tcBorders>
              <w:top w:val="single" w:color="000000" w:sz="4" w:space="0"/>
              <w:left w:val="nil"/>
              <w:bottom w:val="nil"/>
              <w:right w:val="single" w:color="000000" w:sz="4" w:space="0"/>
            </w:tcBorders>
            <w:shd w:val="clear" w:color="auto" w:fill="FFFFFF"/>
            <w:vAlign w:val="center"/>
          </w:tcPr>
          <w:p w14:paraId="1BE21E2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000000" w:sz="4" w:space="0"/>
              <w:left w:val="nil"/>
              <w:bottom w:val="nil"/>
              <w:right w:val="single" w:color="000000" w:sz="4" w:space="0"/>
            </w:tcBorders>
            <w:shd w:val="clear" w:color="auto" w:fill="FFFFFF"/>
            <w:vAlign w:val="center"/>
          </w:tcPr>
          <w:p w14:paraId="278D300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17876C7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513C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2FCAE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105-6-k</w:t>
            </w:r>
          </w:p>
        </w:tc>
        <w:tc>
          <w:tcPr>
            <w:tcW w:w="5027" w:type="dxa"/>
            <w:tcBorders>
              <w:top w:val="single" w:color="000000" w:sz="4" w:space="0"/>
              <w:left w:val="nil"/>
              <w:bottom w:val="nil"/>
              <w:right w:val="single" w:color="000000" w:sz="4" w:space="0"/>
            </w:tcBorders>
            <w:shd w:val="clear" w:color="auto" w:fill="FFFFFF"/>
            <w:vAlign w:val="center"/>
          </w:tcPr>
          <w:p w14:paraId="70A21B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系统联合调试与测试费</w:t>
            </w:r>
          </w:p>
        </w:tc>
        <w:tc>
          <w:tcPr>
            <w:tcW w:w="667" w:type="dxa"/>
            <w:tcBorders>
              <w:top w:val="single" w:color="000000" w:sz="4" w:space="0"/>
              <w:left w:val="nil"/>
              <w:bottom w:val="nil"/>
              <w:right w:val="single" w:color="000000" w:sz="4" w:space="0"/>
            </w:tcBorders>
            <w:shd w:val="clear" w:color="auto" w:fill="FFFFFF"/>
            <w:vAlign w:val="center"/>
          </w:tcPr>
          <w:p w14:paraId="3B60E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667" w:type="dxa"/>
            <w:tcBorders>
              <w:top w:val="single" w:color="000000" w:sz="4" w:space="0"/>
              <w:left w:val="nil"/>
              <w:bottom w:val="nil"/>
              <w:right w:val="single" w:color="000000" w:sz="4" w:space="0"/>
            </w:tcBorders>
            <w:shd w:val="clear" w:color="auto" w:fill="FFFFFF"/>
            <w:vAlign w:val="center"/>
          </w:tcPr>
          <w:p w14:paraId="7D192C4A">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64FDCF2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00AA0F7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C8AC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5253F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105-6-l</w:t>
            </w:r>
          </w:p>
        </w:tc>
        <w:tc>
          <w:tcPr>
            <w:tcW w:w="5027" w:type="dxa"/>
            <w:tcBorders>
              <w:top w:val="single" w:color="000000" w:sz="4" w:space="0"/>
              <w:left w:val="nil"/>
              <w:bottom w:val="nil"/>
              <w:right w:val="single" w:color="000000" w:sz="4" w:space="0"/>
            </w:tcBorders>
            <w:shd w:val="clear" w:color="auto" w:fill="FFFFFF"/>
            <w:vAlign w:val="center"/>
          </w:tcPr>
          <w:p w14:paraId="4CB0CE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工程车辆租赁费</w:t>
            </w:r>
          </w:p>
        </w:tc>
        <w:tc>
          <w:tcPr>
            <w:tcW w:w="667" w:type="dxa"/>
            <w:tcBorders>
              <w:top w:val="single" w:color="000000" w:sz="4" w:space="0"/>
              <w:left w:val="nil"/>
              <w:bottom w:val="nil"/>
              <w:right w:val="single" w:color="000000" w:sz="4" w:space="0"/>
            </w:tcBorders>
            <w:shd w:val="clear" w:color="auto" w:fill="FFFFFF"/>
            <w:vAlign w:val="center"/>
          </w:tcPr>
          <w:p w14:paraId="1F327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667" w:type="dxa"/>
            <w:tcBorders>
              <w:top w:val="single" w:color="000000" w:sz="4" w:space="0"/>
              <w:left w:val="nil"/>
              <w:bottom w:val="nil"/>
              <w:right w:val="single" w:color="000000" w:sz="4" w:space="0"/>
            </w:tcBorders>
            <w:shd w:val="clear" w:color="auto" w:fill="FFFFFF"/>
            <w:vAlign w:val="center"/>
          </w:tcPr>
          <w:p w14:paraId="5E42AD6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866" w:type="dxa"/>
            <w:tcBorders>
              <w:top w:val="single" w:color="000000" w:sz="4" w:space="0"/>
              <w:left w:val="nil"/>
              <w:bottom w:val="nil"/>
              <w:right w:val="single" w:color="000000" w:sz="4" w:space="0"/>
            </w:tcBorders>
            <w:shd w:val="clear" w:color="auto" w:fill="FFFFFF"/>
            <w:vAlign w:val="center"/>
          </w:tcPr>
          <w:p w14:paraId="3FA6823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7DD2AD9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CB0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5AAE8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105-6-m</w:t>
            </w:r>
          </w:p>
        </w:tc>
        <w:tc>
          <w:tcPr>
            <w:tcW w:w="5027" w:type="dxa"/>
            <w:tcBorders>
              <w:top w:val="single" w:color="000000" w:sz="4" w:space="0"/>
              <w:left w:val="nil"/>
              <w:bottom w:val="nil"/>
              <w:right w:val="single" w:color="000000" w:sz="4" w:space="0"/>
            </w:tcBorders>
            <w:shd w:val="clear" w:color="auto" w:fill="FFFFFF"/>
            <w:vAlign w:val="center"/>
          </w:tcPr>
          <w:p w14:paraId="4177C1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设备立杆</w:t>
            </w:r>
          </w:p>
        </w:tc>
        <w:tc>
          <w:tcPr>
            <w:tcW w:w="667" w:type="dxa"/>
            <w:tcBorders>
              <w:top w:val="single" w:color="000000" w:sz="4" w:space="0"/>
              <w:left w:val="nil"/>
              <w:bottom w:val="nil"/>
              <w:right w:val="single" w:color="000000" w:sz="4" w:space="0"/>
            </w:tcBorders>
            <w:shd w:val="clear" w:color="auto" w:fill="FFFFFF"/>
            <w:vAlign w:val="center"/>
          </w:tcPr>
          <w:p w14:paraId="5176E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67" w:type="dxa"/>
            <w:tcBorders>
              <w:top w:val="single" w:color="000000" w:sz="4" w:space="0"/>
              <w:left w:val="nil"/>
              <w:bottom w:val="nil"/>
              <w:right w:val="single" w:color="000000" w:sz="4" w:space="0"/>
            </w:tcBorders>
            <w:shd w:val="clear" w:color="auto" w:fill="FFFFFF"/>
            <w:vAlign w:val="center"/>
          </w:tcPr>
          <w:p w14:paraId="3E2EBA45">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w:t>
            </w:r>
          </w:p>
        </w:tc>
        <w:tc>
          <w:tcPr>
            <w:tcW w:w="866" w:type="dxa"/>
            <w:tcBorders>
              <w:top w:val="single" w:color="000000" w:sz="4" w:space="0"/>
              <w:left w:val="nil"/>
              <w:bottom w:val="nil"/>
              <w:right w:val="single" w:color="000000" w:sz="4" w:space="0"/>
            </w:tcBorders>
            <w:shd w:val="clear" w:color="auto" w:fill="FFFFFF"/>
            <w:vAlign w:val="center"/>
          </w:tcPr>
          <w:p w14:paraId="0836D45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6807059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7669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18ED1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105-6-n</w:t>
            </w:r>
          </w:p>
        </w:tc>
        <w:tc>
          <w:tcPr>
            <w:tcW w:w="5027" w:type="dxa"/>
            <w:tcBorders>
              <w:top w:val="single" w:color="000000" w:sz="4" w:space="0"/>
              <w:left w:val="nil"/>
              <w:bottom w:val="nil"/>
              <w:right w:val="single" w:color="000000" w:sz="4" w:space="0"/>
            </w:tcBorders>
            <w:shd w:val="clear" w:color="auto" w:fill="FFFFFF"/>
            <w:vAlign w:val="center"/>
          </w:tcPr>
          <w:p w14:paraId="03B5D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667" w:type="dxa"/>
            <w:tcBorders>
              <w:top w:val="single" w:color="000000" w:sz="4" w:space="0"/>
              <w:left w:val="nil"/>
              <w:bottom w:val="nil"/>
              <w:right w:val="single" w:color="000000" w:sz="4" w:space="0"/>
            </w:tcBorders>
            <w:shd w:val="clear" w:color="auto" w:fill="FFFFFF"/>
            <w:vAlign w:val="center"/>
          </w:tcPr>
          <w:p w14:paraId="7A178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nil"/>
              <w:bottom w:val="nil"/>
              <w:right w:val="single" w:color="000000" w:sz="4" w:space="0"/>
            </w:tcBorders>
            <w:shd w:val="clear" w:color="auto" w:fill="FFFFFF"/>
            <w:vAlign w:val="center"/>
          </w:tcPr>
          <w:p w14:paraId="2BB2C8D6">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436DB86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49CB155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A76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57163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105-6-o</w:t>
            </w:r>
          </w:p>
        </w:tc>
        <w:tc>
          <w:tcPr>
            <w:tcW w:w="5027" w:type="dxa"/>
            <w:tcBorders>
              <w:top w:val="single" w:color="000000" w:sz="4" w:space="0"/>
              <w:left w:val="nil"/>
              <w:bottom w:val="nil"/>
              <w:right w:val="single" w:color="000000" w:sz="4" w:space="0"/>
            </w:tcBorders>
            <w:shd w:val="clear" w:color="auto" w:fill="FFFFFF"/>
            <w:vAlign w:val="center"/>
          </w:tcPr>
          <w:p w14:paraId="019D75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其他施工辅材</w:t>
            </w:r>
          </w:p>
        </w:tc>
        <w:tc>
          <w:tcPr>
            <w:tcW w:w="667" w:type="dxa"/>
            <w:tcBorders>
              <w:top w:val="single" w:color="000000" w:sz="4" w:space="0"/>
              <w:left w:val="nil"/>
              <w:bottom w:val="nil"/>
              <w:right w:val="single" w:color="000000" w:sz="4" w:space="0"/>
            </w:tcBorders>
            <w:shd w:val="clear" w:color="auto" w:fill="FFFFFF"/>
            <w:vAlign w:val="center"/>
          </w:tcPr>
          <w:p w14:paraId="678E1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nil"/>
              <w:bottom w:val="nil"/>
              <w:right w:val="single" w:color="000000" w:sz="4" w:space="0"/>
            </w:tcBorders>
            <w:shd w:val="clear" w:color="auto" w:fill="FFFFFF"/>
            <w:vAlign w:val="center"/>
          </w:tcPr>
          <w:p w14:paraId="2A23721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7E0D668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7D98991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EFA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4F4C6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105-6-p</w:t>
            </w:r>
          </w:p>
        </w:tc>
        <w:tc>
          <w:tcPr>
            <w:tcW w:w="5027" w:type="dxa"/>
            <w:tcBorders>
              <w:top w:val="single" w:color="000000" w:sz="4" w:space="0"/>
              <w:left w:val="nil"/>
              <w:bottom w:val="nil"/>
              <w:right w:val="single" w:color="000000" w:sz="4" w:space="0"/>
            </w:tcBorders>
            <w:shd w:val="clear" w:color="auto" w:fill="FFFFFF"/>
            <w:vAlign w:val="center"/>
          </w:tcPr>
          <w:p w14:paraId="3C3279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系统验收培训</w:t>
            </w:r>
          </w:p>
        </w:tc>
        <w:tc>
          <w:tcPr>
            <w:tcW w:w="667" w:type="dxa"/>
            <w:tcBorders>
              <w:top w:val="single" w:color="000000" w:sz="4" w:space="0"/>
              <w:left w:val="nil"/>
              <w:bottom w:val="nil"/>
              <w:right w:val="single" w:color="000000" w:sz="4" w:space="0"/>
            </w:tcBorders>
            <w:shd w:val="clear" w:color="auto" w:fill="FFFFFF"/>
            <w:vAlign w:val="center"/>
          </w:tcPr>
          <w:p w14:paraId="59658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nil"/>
              <w:bottom w:val="nil"/>
              <w:right w:val="single" w:color="000000" w:sz="4" w:space="0"/>
            </w:tcBorders>
            <w:shd w:val="clear" w:color="auto" w:fill="FFFFFF"/>
            <w:vAlign w:val="center"/>
          </w:tcPr>
          <w:p w14:paraId="0FAD7E9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6C3E10B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71693CF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2B85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2B430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105-6-q</w:t>
            </w:r>
          </w:p>
        </w:tc>
        <w:tc>
          <w:tcPr>
            <w:tcW w:w="5027" w:type="dxa"/>
            <w:tcBorders>
              <w:top w:val="single" w:color="000000" w:sz="4" w:space="0"/>
              <w:left w:val="nil"/>
              <w:bottom w:val="nil"/>
              <w:right w:val="single" w:color="000000" w:sz="4" w:space="0"/>
            </w:tcBorders>
            <w:shd w:val="clear" w:color="auto" w:fill="FFFFFF"/>
            <w:vAlign w:val="center"/>
          </w:tcPr>
          <w:p w14:paraId="1EC095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缺陷责任期</w:t>
            </w:r>
          </w:p>
        </w:tc>
        <w:tc>
          <w:tcPr>
            <w:tcW w:w="667" w:type="dxa"/>
            <w:tcBorders>
              <w:top w:val="single" w:color="000000" w:sz="4" w:space="0"/>
              <w:left w:val="nil"/>
              <w:bottom w:val="nil"/>
              <w:right w:val="single" w:color="000000" w:sz="4" w:space="0"/>
            </w:tcBorders>
            <w:shd w:val="clear" w:color="auto" w:fill="FFFFFF"/>
            <w:vAlign w:val="center"/>
          </w:tcPr>
          <w:p w14:paraId="02DD1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667" w:type="dxa"/>
            <w:tcBorders>
              <w:top w:val="single" w:color="000000" w:sz="4" w:space="0"/>
              <w:left w:val="nil"/>
              <w:bottom w:val="nil"/>
              <w:right w:val="single" w:color="000000" w:sz="4" w:space="0"/>
            </w:tcBorders>
            <w:shd w:val="clear" w:color="auto" w:fill="FFFFFF"/>
            <w:vAlign w:val="center"/>
          </w:tcPr>
          <w:p w14:paraId="3B1192D8">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000000" w:sz="4" w:space="0"/>
              <w:left w:val="nil"/>
              <w:bottom w:val="nil"/>
              <w:right w:val="single" w:color="000000" w:sz="4" w:space="0"/>
            </w:tcBorders>
            <w:shd w:val="clear" w:color="auto" w:fill="FFFFFF"/>
            <w:vAlign w:val="center"/>
          </w:tcPr>
          <w:p w14:paraId="66B59C4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07A1107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844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0252E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105-6-r</w:t>
            </w:r>
          </w:p>
        </w:tc>
        <w:tc>
          <w:tcPr>
            <w:tcW w:w="5027" w:type="dxa"/>
            <w:tcBorders>
              <w:top w:val="single" w:color="000000" w:sz="4" w:space="0"/>
              <w:left w:val="nil"/>
              <w:bottom w:val="nil"/>
              <w:right w:val="single" w:color="000000" w:sz="4" w:space="0"/>
            </w:tcBorders>
            <w:shd w:val="clear" w:color="auto" w:fill="FFFFFF"/>
            <w:vAlign w:val="center"/>
          </w:tcPr>
          <w:p w14:paraId="019ABE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方案设计</w:t>
            </w:r>
          </w:p>
        </w:tc>
        <w:tc>
          <w:tcPr>
            <w:tcW w:w="667" w:type="dxa"/>
            <w:tcBorders>
              <w:top w:val="single" w:color="000000" w:sz="4" w:space="0"/>
              <w:left w:val="nil"/>
              <w:bottom w:val="nil"/>
              <w:right w:val="single" w:color="000000" w:sz="4" w:space="0"/>
            </w:tcBorders>
            <w:shd w:val="clear" w:color="auto" w:fill="FFFFFF"/>
            <w:vAlign w:val="center"/>
          </w:tcPr>
          <w:p w14:paraId="6E0AB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nil"/>
              <w:bottom w:val="nil"/>
              <w:right w:val="single" w:color="000000" w:sz="4" w:space="0"/>
            </w:tcBorders>
            <w:shd w:val="clear" w:color="auto" w:fill="FFFFFF"/>
            <w:vAlign w:val="center"/>
          </w:tcPr>
          <w:p w14:paraId="0432B3FC">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2CC0EAF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6A93D41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C188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3835F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w:t>
            </w:r>
          </w:p>
        </w:tc>
        <w:tc>
          <w:tcPr>
            <w:tcW w:w="5027" w:type="dxa"/>
            <w:tcBorders>
              <w:top w:val="single" w:color="000000" w:sz="4" w:space="0"/>
              <w:left w:val="nil"/>
              <w:bottom w:val="nil"/>
              <w:right w:val="single" w:color="000000" w:sz="4" w:space="0"/>
            </w:tcBorders>
            <w:shd w:val="clear" w:color="auto" w:fill="FFFFFF"/>
            <w:vAlign w:val="center"/>
          </w:tcPr>
          <w:p w14:paraId="437CFC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G527力洋大桥轻量化监测系统</w:t>
            </w:r>
          </w:p>
        </w:tc>
        <w:tc>
          <w:tcPr>
            <w:tcW w:w="667" w:type="dxa"/>
            <w:tcBorders>
              <w:top w:val="single" w:color="000000" w:sz="4" w:space="0"/>
              <w:left w:val="nil"/>
              <w:bottom w:val="nil"/>
              <w:right w:val="single" w:color="000000" w:sz="4" w:space="0"/>
            </w:tcBorders>
            <w:shd w:val="clear" w:color="auto" w:fill="FFFFFF"/>
            <w:vAlign w:val="center"/>
          </w:tcPr>
          <w:p w14:paraId="07FECA5F">
            <w:pPr>
              <w:jc w:val="center"/>
              <w:rPr>
                <w:rFonts w:hint="eastAsia" w:ascii="宋体" w:hAnsi="宋体" w:eastAsia="宋体" w:cs="宋体"/>
                <w:i w:val="0"/>
                <w:iCs w:val="0"/>
                <w:color w:val="000000"/>
                <w:sz w:val="18"/>
                <w:szCs w:val="18"/>
                <w:u w:val="none"/>
              </w:rPr>
            </w:pPr>
          </w:p>
        </w:tc>
        <w:tc>
          <w:tcPr>
            <w:tcW w:w="667" w:type="dxa"/>
            <w:tcBorders>
              <w:top w:val="single" w:color="000000" w:sz="4" w:space="0"/>
              <w:left w:val="nil"/>
              <w:bottom w:val="nil"/>
              <w:right w:val="single" w:color="000000" w:sz="4" w:space="0"/>
            </w:tcBorders>
            <w:shd w:val="clear" w:color="auto" w:fill="FFFFFF"/>
            <w:vAlign w:val="center"/>
          </w:tcPr>
          <w:p w14:paraId="4440FC09">
            <w:pPr>
              <w:jc w:val="center"/>
              <w:rPr>
                <w:rFonts w:hint="default" w:ascii="Arial Narrow" w:hAnsi="Arial Narrow" w:eastAsia="Arial Narrow" w:cs="Arial Narrow"/>
                <w:i w:val="0"/>
                <w:iCs w:val="0"/>
                <w:color w:val="000000"/>
                <w:sz w:val="16"/>
                <w:szCs w:val="16"/>
                <w:u w:val="none"/>
              </w:rPr>
            </w:pPr>
          </w:p>
        </w:tc>
        <w:tc>
          <w:tcPr>
            <w:tcW w:w="866" w:type="dxa"/>
            <w:tcBorders>
              <w:top w:val="single" w:color="000000" w:sz="4" w:space="0"/>
              <w:left w:val="nil"/>
              <w:bottom w:val="nil"/>
              <w:right w:val="single" w:color="000000" w:sz="4" w:space="0"/>
            </w:tcBorders>
            <w:shd w:val="clear" w:color="auto" w:fill="FFFFFF"/>
            <w:vAlign w:val="center"/>
          </w:tcPr>
          <w:p w14:paraId="6671D06A">
            <w:pPr>
              <w:jc w:val="right"/>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38448B53">
            <w:pPr>
              <w:jc w:val="right"/>
              <w:rPr>
                <w:rFonts w:hint="default" w:ascii="Arial Narrow" w:hAnsi="Arial Narrow" w:eastAsia="Arial Narrow" w:cs="Arial Narrow"/>
                <w:i w:val="0"/>
                <w:iCs w:val="0"/>
                <w:color w:val="000000"/>
                <w:sz w:val="16"/>
                <w:szCs w:val="16"/>
                <w:u w:val="none"/>
              </w:rPr>
            </w:pPr>
          </w:p>
        </w:tc>
      </w:tr>
      <w:tr w14:paraId="477C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24C26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105-7-a</w:t>
            </w:r>
          </w:p>
        </w:tc>
        <w:tc>
          <w:tcPr>
            <w:tcW w:w="5027" w:type="dxa"/>
            <w:tcBorders>
              <w:top w:val="single" w:color="000000" w:sz="4" w:space="0"/>
              <w:left w:val="nil"/>
              <w:bottom w:val="nil"/>
              <w:right w:val="single" w:color="000000" w:sz="4" w:space="0"/>
            </w:tcBorders>
            <w:shd w:val="clear" w:color="auto" w:fill="FFFFFF"/>
            <w:vAlign w:val="center"/>
          </w:tcPr>
          <w:p w14:paraId="29787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太阳能供电系统</w:t>
            </w:r>
          </w:p>
        </w:tc>
        <w:tc>
          <w:tcPr>
            <w:tcW w:w="667" w:type="dxa"/>
            <w:tcBorders>
              <w:top w:val="single" w:color="000000" w:sz="4" w:space="0"/>
              <w:left w:val="nil"/>
              <w:bottom w:val="nil"/>
              <w:right w:val="single" w:color="000000" w:sz="4" w:space="0"/>
            </w:tcBorders>
            <w:shd w:val="clear" w:color="auto" w:fill="FFFFFF"/>
            <w:vAlign w:val="center"/>
          </w:tcPr>
          <w:p w14:paraId="3A03A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71B071B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000000" w:sz="4" w:space="0"/>
              <w:left w:val="nil"/>
              <w:bottom w:val="nil"/>
              <w:right w:val="single" w:color="000000" w:sz="4" w:space="0"/>
            </w:tcBorders>
            <w:shd w:val="clear" w:color="auto" w:fill="FFFFFF"/>
            <w:vAlign w:val="center"/>
          </w:tcPr>
          <w:p w14:paraId="02DC1AC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5BA3D3C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65A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2CE4F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105-7-b</w:t>
            </w:r>
          </w:p>
        </w:tc>
        <w:tc>
          <w:tcPr>
            <w:tcW w:w="5027" w:type="dxa"/>
            <w:tcBorders>
              <w:top w:val="single" w:color="000000" w:sz="4" w:space="0"/>
              <w:left w:val="nil"/>
              <w:bottom w:val="nil"/>
              <w:right w:val="single" w:color="000000" w:sz="4" w:space="0"/>
            </w:tcBorders>
            <w:shd w:val="clear" w:color="auto" w:fill="FFFFFF"/>
            <w:vAlign w:val="center"/>
          </w:tcPr>
          <w:p w14:paraId="6F477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高清球机：像素：400W；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容量：256GB；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焦距：4mm；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探头：2 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补光灯：2 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防护等级：IP66。</w:t>
            </w:r>
          </w:p>
        </w:tc>
        <w:tc>
          <w:tcPr>
            <w:tcW w:w="667" w:type="dxa"/>
            <w:tcBorders>
              <w:top w:val="single" w:color="000000" w:sz="4" w:space="0"/>
              <w:left w:val="nil"/>
              <w:bottom w:val="nil"/>
              <w:right w:val="single" w:color="000000" w:sz="4" w:space="0"/>
            </w:tcBorders>
            <w:shd w:val="clear" w:color="auto" w:fill="FFFFFF"/>
            <w:vAlign w:val="center"/>
          </w:tcPr>
          <w:p w14:paraId="03815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nil"/>
              <w:bottom w:val="nil"/>
              <w:right w:val="single" w:color="000000" w:sz="4" w:space="0"/>
            </w:tcBorders>
            <w:shd w:val="clear" w:color="auto" w:fill="FFFFFF"/>
            <w:vAlign w:val="center"/>
          </w:tcPr>
          <w:p w14:paraId="11CB81EA">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000000" w:sz="4" w:space="0"/>
              <w:left w:val="nil"/>
              <w:bottom w:val="nil"/>
              <w:right w:val="single" w:color="000000" w:sz="4" w:space="0"/>
            </w:tcBorders>
            <w:shd w:val="clear" w:color="auto" w:fill="FFFFFF"/>
            <w:vAlign w:val="center"/>
          </w:tcPr>
          <w:p w14:paraId="1597372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30D618F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C56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5C22B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105-7-c</w:t>
            </w:r>
          </w:p>
        </w:tc>
        <w:tc>
          <w:tcPr>
            <w:tcW w:w="5027" w:type="dxa"/>
            <w:tcBorders>
              <w:top w:val="single" w:color="000000" w:sz="4" w:space="0"/>
              <w:left w:val="nil"/>
              <w:bottom w:val="nil"/>
              <w:right w:val="single" w:color="000000" w:sz="4" w:space="0"/>
            </w:tcBorders>
            <w:shd w:val="clear" w:color="auto" w:fill="FFFFFF"/>
            <w:vAlign w:val="center"/>
          </w:tcPr>
          <w:p w14:paraId="482809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机器视觉智能测量仪： 测量距离：0~100m；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测量精度：0.1mm（50 米测距）；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测量维度：二维；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供电方案：市电/风光互补/外接电源；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防护等级：IP65。 </w:t>
            </w:r>
          </w:p>
        </w:tc>
        <w:tc>
          <w:tcPr>
            <w:tcW w:w="667" w:type="dxa"/>
            <w:tcBorders>
              <w:top w:val="single" w:color="000000" w:sz="4" w:space="0"/>
              <w:left w:val="nil"/>
              <w:bottom w:val="nil"/>
              <w:right w:val="single" w:color="000000" w:sz="4" w:space="0"/>
            </w:tcBorders>
            <w:shd w:val="clear" w:color="auto" w:fill="FFFFFF"/>
            <w:vAlign w:val="center"/>
          </w:tcPr>
          <w:p w14:paraId="24F1D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7" w:type="dxa"/>
            <w:tcBorders>
              <w:top w:val="single" w:color="000000" w:sz="4" w:space="0"/>
              <w:left w:val="nil"/>
              <w:bottom w:val="nil"/>
              <w:right w:val="single" w:color="000000" w:sz="4" w:space="0"/>
            </w:tcBorders>
            <w:shd w:val="clear" w:color="auto" w:fill="FFFFFF"/>
            <w:vAlign w:val="center"/>
          </w:tcPr>
          <w:p w14:paraId="36955722">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000000" w:sz="4" w:space="0"/>
              <w:left w:val="nil"/>
              <w:bottom w:val="nil"/>
              <w:right w:val="single" w:color="000000" w:sz="4" w:space="0"/>
            </w:tcBorders>
            <w:shd w:val="clear" w:color="auto" w:fill="FFFFFF"/>
            <w:vAlign w:val="center"/>
          </w:tcPr>
          <w:p w14:paraId="751BA9F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4B3F8A1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05908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70E5E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105-7-d</w:t>
            </w:r>
          </w:p>
        </w:tc>
        <w:tc>
          <w:tcPr>
            <w:tcW w:w="5027" w:type="dxa"/>
            <w:tcBorders>
              <w:top w:val="single" w:color="000000" w:sz="4" w:space="0"/>
              <w:left w:val="nil"/>
              <w:bottom w:val="nil"/>
              <w:right w:val="single" w:color="000000" w:sz="4" w:space="0"/>
            </w:tcBorders>
            <w:shd w:val="clear" w:color="auto" w:fill="FFFFFF"/>
            <w:vAlign w:val="center"/>
          </w:tcPr>
          <w:p w14:paraId="2A3F56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光电靶标</w:t>
            </w:r>
          </w:p>
        </w:tc>
        <w:tc>
          <w:tcPr>
            <w:tcW w:w="667" w:type="dxa"/>
            <w:tcBorders>
              <w:top w:val="single" w:color="000000" w:sz="4" w:space="0"/>
              <w:left w:val="nil"/>
              <w:bottom w:val="nil"/>
              <w:right w:val="single" w:color="000000" w:sz="4" w:space="0"/>
            </w:tcBorders>
            <w:shd w:val="clear" w:color="auto" w:fill="FFFFFF"/>
            <w:vAlign w:val="center"/>
          </w:tcPr>
          <w:p w14:paraId="12F94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7" w:type="dxa"/>
            <w:tcBorders>
              <w:top w:val="single" w:color="000000" w:sz="4" w:space="0"/>
              <w:left w:val="nil"/>
              <w:bottom w:val="nil"/>
              <w:right w:val="single" w:color="000000" w:sz="4" w:space="0"/>
            </w:tcBorders>
            <w:shd w:val="clear" w:color="auto" w:fill="FFFFFF"/>
            <w:vAlign w:val="center"/>
          </w:tcPr>
          <w:p w14:paraId="7C1274A0">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w:t>
            </w:r>
          </w:p>
        </w:tc>
        <w:tc>
          <w:tcPr>
            <w:tcW w:w="866" w:type="dxa"/>
            <w:tcBorders>
              <w:top w:val="single" w:color="000000" w:sz="4" w:space="0"/>
              <w:left w:val="nil"/>
              <w:bottom w:val="nil"/>
              <w:right w:val="single" w:color="000000" w:sz="4" w:space="0"/>
            </w:tcBorders>
            <w:shd w:val="clear" w:color="auto" w:fill="FFFFFF"/>
            <w:vAlign w:val="center"/>
          </w:tcPr>
          <w:p w14:paraId="01D7F4B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29A4045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A14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36167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105-7-e</w:t>
            </w:r>
          </w:p>
        </w:tc>
        <w:tc>
          <w:tcPr>
            <w:tcW w:w="5027" w:type="dxa"/>
            <w:tcBorders>
              <w:top w:val="single" w:color="000000" w:sz="4" w:space="0"/>
              <w:left w:val="nil"/>
              <w:bottom w:val="nil"/>
              <w:right w:val="single" w:color="000000" w:sz="4" w:space="0"/>
            </w:tcBorders>
            <w:shd w:val="clear" w:color="auto" w:fill="FFFFFF"/>
            <w:vAlign w:val="center"/>
          </w:tcPr>
          <w:p w14:paraId="00CC0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数据综合采集与预处理软件</w:t>
            </w:r>
          </w:p>
        </w:tc>
        <w:tc>
          <w:tcPr>
            <w:tcW w:w="667" w:type="dxa"/>
            <w:tcBorders>
              <w:top w:val="single" w:color="000000" w:sz="4" w:space="0"/>
              <w:left w:val="nil"/>
              <w:bottom w:val="nil"/>
              <w:right w:val="single" w:color="000000" w:sz="4" w:space="0"/>
            </w:tcBorders>
            <w:shd w:val="clear" w:color="auto" w:fill="FFFFFF"/>
            <w:vAlign w:val="center"/>
          </w:tcPr>
          <w:p w14:paraId="06902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26D911CB">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3731598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0E51245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85B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6293D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105-7-f</w:t>
            </w:r>
          </w:p>
        </w:tc>
        <w:tc>
          <w:tcPr>
            <w:tcW w:w="5027" w:type="dxa"/>
            <w:tcBorders>
              <w:top w:val="single" w:color="000000" w:sz="4" w:space="0"/>
              <w:left w:val="nil"/>
              <w:bottom w:val="nil"/>
              <w:right w:val="single" w:color="000000" w:sz="4" w:space="0"/>
            </w:tcBorders>
            <w:shd w:val="clear" w:color="auto" w:fill="FFFFFF"/>
            <w:vAlign w:val="center"/>
          </w:tcPr>
          <w:p w14:paraId="371AC0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数据处理、分析软件</w:t>
            </w:r>
          </w:p>
        </w:tc>
        <w:tc>
          <w:tcPr>
            <w:tcW w:w="667" w:type="dxa"/>
            <w:tcBorders>
              <w:top w:val="single" w:color="000000" w:sz="4" w:space="0"/>
              <w:left w:val="nil"/>
              <w:bottom w:val="nil"/>
              <w:right w:val="single" w:color="000000" w:sz="4" w:space="0"/>
            </w:tcBorders>
            <w:shd w:val="clear" w:color="auto" w:fill="FFFFFF"/>
            <w:vAlign w:val="center"/>
          </w:tcPr>
          <w:p w14:paraId="477DB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2CD20617">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4B7D626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011A3E6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0EC7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67D63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105-7-g</w:t>
            </w:r>
          </w:p>
        </w:tc>
        <w:tc>
          <w:tcPr>
            <w:tcW w:w="5027" w:type="dxa"/>
            <w:tcBorders>
              <w:top w:val="single" w:color="000000" w:sz="4" w:space="0"/>
              <w:left w:val="nil"/>
              <w:bottom w:val="nil"/>
              <w:right w:val="single" w:color="000000" w:sz="4" w:space="0"/>
            </w:tcBorders>
            <w:shd w:val="clear" w:color="auto" w:fill="FFFFFF"/>
            <w:vAlign w:val="center"/>
          </w:tcPr>
          <w:p w14:paraId="6BDB82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监测预警平台</w:t>
            </w:r>
          </w:p>
        </w:tc>
        <w:tc>
          <w:tcPr>
            <w:tcW w:w="667" w:type="dxa"/>
            <w:tcBorders>
              <w:top w:val="single" w:color="000000" w:sz="4" w:space="0"/>
              <w:left w:val="nil"/>
              <w:bottom w:val="nil"/>
              <w:right w:val="single" w:color="000000" w:sz="4" w:space="0"/>
            </w:tcBorders>
            <w:shd w:val="clear" w:color="auto" w:fill="FFFFFF"/>
            <w:vAlign w:val="center"/>
          </w:tcPr>
          <w:p w14:paraId="40B37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64D5382A">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2BA54D5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2208DEC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C69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7E831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105-7-h</w:t>
            </w:r>
          </w:p>
        </w:tc>
        <w:tc>
          <w:tcPr>
            <w:tcW w:w="5027" w:type="dxa"/>
            <w:tcBorders>
              <w:top w:val="single" w:color="000000" w:sz="4" w:space="0"/>
              <w:left w:val="nil"/>
              <w:bottom w:val="nil"/>
              <w:right w:val="single" w:color="000000" w:sz="4" w:space="0"/>
            </w:tcBorders>
            <w:shd w:val="clear" w:color="auto" w:fill="FFFFFF"/>
            <w:vAlign w:val="center"/>
          </w:tcPr>
          <w:p w14:paraId="47331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数据对接软件</w:t>
            </w:r>
          </w:p>
        </w:tc>
        <w:tc>
          <w:tcPr>
            <w:tcW w:w="667" w:type="dxa"/>
            <w:tcBorders>
              <w:top w:val="single" w:color="000000" w:sz="4" w:space="0"/>
              <w:left w:val="nil"/>
              <w:bottom w:val="nil"/>
              <w:right w:val="single" w:color="000000" w:sz="4" w:space="0"/>
            </w:tcBorders>
            <w:shd w:val="clear" w:color="auto" w:fill="FFFFFF"/>
            <w:vAlign w:val="center"/>
          </w:tcPr>
          <w:p w14:paraId="1A02B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7" w:type="dxa"/>
            <w:tcBorders>
              <w:top w:val="single" w:color="000000" w:sz="4" w:space="0"/>
              <w:left w:val="nil"/>
              <w:bottom w:val="nil"/>
              <w:right w:val="single" w:color="000000" w:sz="4" w:space="0"/>
            </w:tcBorders>
            <w:shd w:val="clear" w:color="auto" w:fill="FFFFFF"/>
            <w:vAlign w:val="center"/>
          </w:tcPr>
          <w:p w14:paraId="66ADF236">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6E23FA0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25C6E38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04866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1E892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105-7-i</w:t>
            </w:r>
          </w:p>
        </w:tc>
        <w:tc>
          <w:tcPr>
            <w:tcW w:w="5027" w:type="dxa"/>
            <w:tcBorders>
              <w:top w:val="single" w:color="000000" w:sz="4" w:space="0"/>
              <w:left w:val="nil"/>
              <w:bottom w:val="nil"/>
              <w:right w:val="single" w:color="000000" w:sz="4" w:space="0"/>
            </w:tcBorders>
            <w:shd w:val="clear" w:color="auto" w:fill="FFFFFF"/>
            <w:vAlign w:val="center"/>
          </w:tcPr>
          <w:p w14:paraId="03A1D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系统安装费</w:t>
            </w:r>
          </w:p>
        </w:tc>
        <w:tc>
          <w:tcPr>
            <w:tcW w:w="667" w:type="dxa"/>
            <w:tcBorders>
              <w:top w:val="single" w:color="000000" w:sz="4" w:space="0"/>
              <w:left w:val="nil"/>
              <w:bottom w:val="nil"/>
              <w:right w:val="single" w:color="000000" w:sz="4" w:space="0"/>
            </w:tcBorders>
            <w:shd w:val="clear" w:color="auto" w:fill="FFFFFF"/>
            <w:vAlign w:val="center"/>
          </w:tcPr>
          <w:p w14:paraId="61C66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667" w:type="dxa"/>
            <w:tcBorders>
              <w:top w:val="single" w:color="000000" w:sz="4" w:space="0"/>
              <w:left w:val="nil"/>
              <w:bottom w:val="nil"/>
              <w:right w:val="single" w:color="000000" w:sz="4" w:space="0"/>
            </w:tcBorders>
            <w:shd w:val="clear" w:color="auto" w:fill="FFFFFF"/>
            <w:vAlign w:val="center"/>
          </w:tcPr>
          <w:p w14:paraId="57BFA83C">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w:t>
            </w:r>
          </w:p>
        </w:tc>
        <w:tc>
          <w:tcPr>
            <w:tcW w:w="866" w:type="dxa"/>
            <w:tcBorders>
              <w:top w:val="single" w:color="000000" w:sz="4" w:space="0"/>
              <w:left w:val="nil"/>
              <w:bottom w:val="nil"/>
              <w:right w:val="single" w:color="000000" w:sz="4" w:space="0"/>
            </w:tcBorders>
            <w:shd w:val="clear" w:color="auto" w:fill="FFFFFF"/>
            <w:vAlign w:val="center"/>
          </w:tcPr>
          <w:p w14:paraId="1F5C80A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65FEDB1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D719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49D86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105-7-j</w:t>
            </w:r>
          </w:p>
        </w:tc>
        <w:tc>
          <w:tcPr>
            <w:tcW w:w="5027" w:type="dxa"/>
            <w:tcBorders>
              <w:top w:val="single" w:color="000000" w:sz="4" w:space="0"/>
              <w:left w:val="nil"/>
              <w:bottom w:val="nil"/>
              <w:right w:val="single" w:color="000000" w:sz="4" w:space="0"/>
            </w:tcBorders>
            <w:shd w:val="clear" w:color="auto" w:fill="FFFFFF"/>
            <w:vAlign w:val="center"/>
          </w:tcPr>
          <w:p w14:paraId="46CC4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系统分项测试费</w:t>
            </w:r>
          </w:p>
        </w:tc>
        <w:tc>
          <w:tcPr>
            <w:tcW w:w="667" w:type="dxa"/>
            <w:tcBorders>
              <w:top w:val="single" w:color="000000" w:sz="4" w:space="0"/>
              <w:left w:val="nil"/>
              <w:bottom w:val="nil"/>
              <w:right w:val="single" w:color="000000" w:sz="4" w:space="0"/>
            </w:tcBorders>
            <w:shd w:val="clear" w:color="auto" w:fill="FFFFFF"/>
            <w:vAlign w:val="center"/>
          </w:tcPr>
          <w:p w14:paraId="0D252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667" w:type="dxa"/>
            <w:tcBorders>
              <w:top w:val="single" w:color="000000" w:sz="4" w:space="0"/>
              <w:left w:val="nil"/>
              <w:bottom w:val="nil"/>
              <w:right w:val="single" w:color="000000" w:sz="4" w:space="0"/>
            </w:tcBorders>
            <w:shd w:val="clear" w:color="auto" w:fill="FFFFFF"/>
            <w:vAlign w:val="center"/>
          </w:tcPr>
          <w:p w14:paraId="06C1EBB6">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000000" w:sz="4" w:space="0"/>
              <w:left w:val="nil"/>
              <w:bottom w:val="nil"/>
              <w:right w:val="single" w:color="000000" w:sz="4" w:space="0"/>
            </w:tcBorders>
            <w:shd w:val="clear" w:color="auto" w:fill="FFFFFF"/>
            <w:vAlign w:val="center"/>
          </w:tcPr>
          <w:p w14:paraId="06A9B23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4F59B9F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C7E8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36617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105-7-k</w:t>
            </w:r>
          </w:p>
        </w:tc>
        <w:tc>
          <w:tcPr>
            <w:tcW w:w="5027" w:type="dxa"/>
            <w:tcBorders>
              <w:top w:val="single" w:color="000000" w:sz="4" w:space="0"/>
              <w:left w:val="nil"/>
              <w:bottom w:val="nil"/>
              <w:right w:val="single" w:color="000000" w:sz="4" w:space="0"/>
            </w:tcBorders>
            <w:shd w:val="clear" w:color="auto" w:fill="FFFFFF"/>
            <w:vAlign w:val="center"/>
          </w:tcPr>
          <w:p w14:paraId="6083D3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系统联合调试与测试费</w:t>
            </w:r>
          </w:p>
        </w:tc>
        <w:tc>
          <w:tcPr>
            <w:tcW w:w="667" w:type="dxa"/>
            <w:tcBorders>
              <w:top w:val="single" w:color="000000" w:sz="4" w:space="0"/>
              <w:left w:val="nil"/>
              <w:bottom w:val="nil"/>
              <w:right w:val="single" w:color="000000" w:sz="4" w:space="0"/>
            </w:tcBorders>
            <w:shd w:val="clear" w:color="auto" w:fill="FFFFFF"/>
            <w:vAlign w:val="center"/>
          </w:tcPr>
          <w:p w14:paraId="31A17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667" w:type="dxa"/>
            <w:tcBorders>
              <w:top w:val="single" w:color="000000" w:sz="4" w:space="0"/>
              <w:left w:val="nil"/>
              <w:bottom w:val="nil"/>
              <w:right w:val="single" w:color="000000" w:sz="4" w:space="0"/>
            </w:tcBorders>
            <w:shd w:val="clear" w:color="auto" w:fill="FFFFFF"/>
            <w:vAlign w:val="center"/>
          </w:tcPr>
          <w:p w14:paraId="71190BA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7566394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4B2500C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705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single" w:color="auto" w:sz="4" w:space="0"/>
              <w:right w:val="single" w:color="000000" w:sz="4" w:space="0"/>
            </w:tcBorders>
            <w:shd w:val="clear" w:color="auto" w:fill="FFFFFF"/>
            <w:vAlign w:val="center"/>
          </w:tcPr>
          <w:p w14:paraId="48997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105-7-l</w:t>
            </w:r>
          </w:p>
        </w:tc>
        <w:tc>
          <w:tcPr>
            <w:tcW w:w="5027" w:type="dxa"/>
            <w:tcBorders>
              <w:top w:val="single" w:color="000000" w:sz="4" w:space="0"/>
              <w:left w:val="nil"/>
              <w:bottom w:val="single" w:color="auto" w:sz="4" w:space="0"/>
              <w:right w:val="single" w:color="000000" w:sz="4" w:space="0"/>
            </w:tcBorders>
            <w:shd w:val="clear" w:color="auto" w:fill="FFFFFF"/>
            <w:vAlign w:val="center"/>
          </w:tcPr>
          <w:p w14:paraId="428CBB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工程车辆租赁费</w:t>
            </w:r>
          </w:p>
        </w:tc>
        <w:tc>
          <w:tcPr>
            <w:tcW w:w="667" w:type="dxa"/>
            <w:tcBorders>
              <w:top w:val="single" w:color="000000" w:sz="4" w:space="0"/>
              <w:left w:val="nil"/>
              <w:bottom w:val="single" w:color="auto" w:sz="4" w:space="0"/>
              <w:right w:val="single" w:color="000000" w:sz="4" w:space="0"/>
            </w:tcBorders>
            <w:shd w:val="clear" w:color="auto" w:fill="FFFFFF"/>
            <w:vAlign w:val="center"/>
          </w:tcPr>
          <w:p w14:paraId="7BE8B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667" w:type="dxa"/>
            <w:tcBorders>
              <w:top w:val="single" w:color="000000" w:sz="4" w:space="0"/>
              <w:left w:val="nil"/>
              <w:bottom w:val="single" w:color="auto" w:sz="4" w:space="0"/>
              <w:right w:val="single" w:color="000000" w:sz="4" w:space="0"/>
            </w:tcBorders>
            <w:shd w:val="clear" w:color="auto" w:fill="FFFFFF"/>
            <w:vAlign w:val="center"/>
          </w:tcPr>
          <w:p w14:paraId="47AF52A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866" w:type="dxa"/>
            <w:tcBorders>
              <w:top w:val="single" w:color="000000" w:sz="4" w:space="0"/>
              <w:left w:val="nil"/>
              <w:bottom w:val="single" w:color="auto" w:sz="4" w:space="0"/>
              <w:right w:val="single" w:color="000000" w:sz="4" w:space="0"/>
            </w:tcBorders>
            <w:shd w:val="clear" w:color="auto" w:fill="FFFFFF"/>
            <w:vAlign w:val="center"/>
          </w:tcPr>
          <w:p w14:paraId="525EB92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single" w:color="auto" w:sz="4" w:space="0"/>
              <w:right w:val="single" w:color="000000" w:sz="8" w:space="0"/>
            </w:tcBorders>
            <w:shd w:val="clear" w:color="auto" w:fill="FFFFFF"/>
            <w:vAlign w:val="center"/>
          </w:tcPr>
          <w:p w14:paraId="736FBBF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098E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auto" w:sz="4" w:space="0"/>
              <w:left w:val="single" w:color="auto" w:sz="4" w:space="0"/>
              <w:bottom w:val="single" w:color="auto" w:sz="4" w:space="0"/>
              <w:right w:val="single" w:color="000000" w:sz="4" w:space="0"/>
            </w:tcBorders>
            <w:shd w:val="clear" w:color="auto" w:fill="FFFFFF"/>
            <w:vAlign w:val="center"/>
          </w:tcPr>
          <w:p w14:paraId="5A047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105-7-m</w:t>
            </w:r>
          </w:p>
        </w:tc>
        <w:tc>
          <w:tcPr>
            <w:tcW w:w="5027" w:type="dxa"/>
            <w:tcBorders>
              <w:top w:val="single" w:color="auto" w:sz="4" w:space="0"/>
              <w:left w:val="nil"/>
              <w:bottom w:val="single" w:color="auto" w:sz="4" w:space="0"/>
              <w:right w:val="single" w:color="000000" w:sz="4" w:space="0"/>
            </w:tcBorders>
            <w:shd w:val="clear" w:color="auto" w:fill="FFFFFF"/>
            <w:vAlign w:val="center"/>
          </w:tcPr>
          <w:p w14:paraId="21FD94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设备立杆</w:t>
            </w:r>
          </w:p>
        </w:tc>
        <w:tc>
          <w:tcPr>
            <w:tcW w:w="667" w:type="dxa"/>
            <w:tcBorders>
              <w:top w:val="single" w:color="auto" w:sz="4" w:space="0"/>
              <w:left w:val="nil"/>
              <w:bottom w:val="single" w:color="auto" w:sz="4" w:space="0"/>
              <w:right w:val="single" w:color="000000" w:sz="4" w:space="0"/>
            </w:tcBorders>
            <w:shd w:val="clear" w:color="auto" w:fill="FFFFFF"/>
            <w:vAlign w:val="center"/>
          </w:tcPr>
          <w:p w14:paraId="51616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67" w:type="dxa"/>
            <w:tcBorders>
              <w:top w:val="single" w:color="auto" w:sz="4" w:space="0"/>
              <w:left w:val="nil"/>
              <w:bottom w:val="single" w:color="auto" w:sz="4" w:space="0"/>
              <w:right w:val="single" w:color="000000" w:sz="4" w:space="0"/>
            </w:tcBorders>
            <w:shd w:val="clear" w:color="auto" w:fill="FFFFFF"/>
            <w:vAlign w:val="center"/>
          </w:tcPr>
          <w:p w14:paraId="2C3136EA">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w:t>
            </w:r>
          </w:p>
        </w:tc>
        <w:tc>
          <w:tcPr>
            <w:tcW w:w="866" w:type="dxa"/>
            <w:tcBorders>
              <w:top w:val="single" w:color="auto" w:sz="4" w:space="0"/>
              <w:left w:val="nil"/>
              <w:bottom w:val="single" w:color="auto" w:sz="4" w:space="0"/>
              <w:right w:val="single" w:color="000000" w:sz="4" w:space="0"/>
            </w:tcBorders>
            <w:shd w:val="clear" w:color="auto" w:fill="FFFFFF"/>
            <w:vAlign w:val="center"/>
          </w:tcPr>
          <w:p w14:paraId="03BA1A1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auto" w:sz="4" w:space="0"/>
              <w:left w:val="nil"/>
              <w:bottom w:val="single" w:color="auto" w:sz="4" w:space="0"/>
              <w:right w:val="single" w:color="auto" w:sz="4" w:space="0"/>
            </w:tcBorders>
            <w:shd w:val="clear" w:color="auto" w:fill="FFFFFF"/>
            <w:vAlign w:val="center"/>
          </w:tcPr>
          <w:p w14:paraId="1E253BA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1DDA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auto" w:sz="4" w:space="0"/>
              <w:left w:val="single" w:color="000000" w:sz="8" w:space="0"/>
              <w:bottom w:val="nil"/>
              <w:right w:val="single" w:color="000000" w:sz="4" w:space="0"/>
            </w:tcBorders>
            <w:shd w:val="clear" w:color="auto" w:fill="FFFFFF"/>
            <w:vAlign w:val="center"/>
          </w:tcPr>
          <w:p w14:paraId="39896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105-7-n</w:t>
            </w:r>
          </w:p>
        </w:tc>
        <w:tc>
          <w:tcPr>
            <w:tcW w:w="5027" w:type="dxa"/>
            <w:tcBorders>
              <w:top w:val="single" w:color="auto" w:sz="4" w:space="0"/>
              <w:left w:val="nil"/>
              <w:bottom w:val="nil"/>
              <w:right w:val="single" w:color="000000" w:sz="4" w:space="0"/>
            </w:tcBorders>
            <w:shd w:val="clear" w:color="auto" w:fill="FFFFFF"/>
            <w:vAlign w:val="center"/>
          </w:tcPr>
          <w:p w14:paraId="2E54DF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667" w:type="dxa"/>
            <w:tcBorders>
              <w:top w:val="single" w:color="auto" w:sz="4" w:space="0"/>
              <w:left w:val="nil"/>
              <w:bottom w:val="nil"/>
              <w:right w:val="single" w:color="000000" w:sz="4" w:space="0"/>
            </w:tcBorders>
            <w:shd w:val="clear" w:color="auto" w:fill="FFFFFF"/>
            <w:vAlign w:val="center"/>
          </w:tcPr>
          <w:p w14:paraId="55F1A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auto" w:sz="4" w:space="0"/>
              <w:left w:val="nil"/>
              <w:bottom w:val="nil"/>
              <w:right w:val="single" w:color="000000" w:sz="4" w:space="0"/>
            </w:tcBorders>
            <w:shd w:val="clear" w:color="auto" w:fill="FFFFFF"/>
            <w:vAlign w:val="center"/>
          </w:tcPr>
          <w:p w14:paraId="6F490F92">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auto" w:sz="4" w:space="0"/>
              <w:left w:val="nil"/>
              <w:bottom w:val="nil"/>
              <w:right w:val="single" w:color="000000" w:sz="4" w:space="0"/>
            </w:tcBorders>
            <w:shd w:val="clear" w:color="auto" w:fill="FFFFFF"/>
            <w:vAlign w:val="center"/>
          </w:tcPr>
          <w:p w14:paraId="49B3AF9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auto" w:sz="4" w:space="0"/>
              <w:left w:val="nil"/>
              <w:bottom w:val="nil"/>
              <w:right w:val="single" w:color="000000" w:sz="8" w:space="0"/>
            </w:tcBorders>
            <w:shd w:val="clear" w:color="auto" w:fill="FFFFFF"/>
            <w:vAlign w:val="center"/>
          </w:tcPr>
          <w:p w14:paraId="163067C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42D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138A5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105-7-o</w:t>
            </w:r>
          </w:p>
        </w:tc>
        <w:tc>
          <w:tcPr>
            <w:tcW w:w="5027" w:type="dxa"/>
            <w:tcBorders>
              <w:top w:val="single" w:color="000000" w:sz="4" w:space="0"/>
              <w:left w:val="nil"/>
              <w:bottom w:val="nil"/>
              <w:right w:val="single" w:color="000000" w:sz="4" w:space="0"/>
            </w:tcBorders>
            <w:shd w:val="clear" w:color="auto" w:fill="FFFFFF"/>
            <w:vAlign w:val="center"/>
          </w:tcPr>
          <w:p w14:paraId="37C5E7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其他施工辅材</w:t>
            </w:r>
          </w:p>
        </w:tc>
        <w:tc>
          <w:tcPr>
            <w:tcW w:w="667" w:type="dxa"/>
            <w:tcBorders>
              <w:top w:val="single" w:color="000000" w:sz="4" w:space="0"/>
              <w:left w:val="nil"/>
              <w:bottom w:val="nil"/>
              <w:right w:val="single" w:color="000000" w:sz="4" w:space="0"/>
            </w:tcBorders>
            <w:shd w:val="clear" w:color="auto" w:fill="FFFFFF"/>
            <w:vAlign w:val="center"/>
          </w:tcPr>
          <w:p w14:paraId="24174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nil"/>
              <w:bottom w:val="nil"/>
              <w:right w:val="single" w:color="000000" w:sz="4" w:space="0"/>
            </w:tcBorders>
            <w:shd w:val="clear" w:color="auto" w:fill="FFFFFF"/>
            <w:vAlign w:val="center"/>
          </w:tcPr>
          <w:p w14:paraId="2B4DCE9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7C267F7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42E0749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4B6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3C77C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105-7-p</w:t>
            </w:r>
          </w:p>
        </w:tc>
        <w:tc>
          <w:tcPr>
            <w:tcW w:w="5027" w:type="dxa"/>
            <w:tcBorders>
              <w:top w:val="single" w:color="000000" w:sz="4" w:space="0"/>
              <w:left w:val="nil"/>
              <w:bottom w:val="nil"/>
              <w:right w:val="single" w:color="000000" w:sz="4" w:space="0"/>
            </w:tcBorders>
            <w:shd w:val="clear" w:color="auto" w:fill="FFFFFF"/>
            <w:vAlign w:val="center"/>
          </w:tcPr>
          <w:p w14:paraId="2058C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系统验收培训</w:t>
            </w:r>
          </w:p>
        </w:tc>
        <w:tc>
          <w:tcPr>
            <w:tcW w:w="667" w:type="dxa"/>
            <w:tcBorders>
              <w:top w:val="single" w:color="000000" w:sz="4" w:space="0"/>
              <w:left w:val="nil"/>
              <w:bottom w:val="nil"/>
              <w:right w:val="single" w:color="000000" w:sz="4" w:space="0"/>
            </w:tcBorders>
            <w:shd w:val="clear" w:color="auto" w:fill="FFFFFF"/>
            <w:vAlign w:val="center"/>
          </w:tcPr>
          <w:p w14:paraId="17EB2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nil"/>
              <w:bottom w:val="nil"/>
              <w:right w:val="single" w:color="000000" w:sz="4" w:space="0"/>
            </w:tcBorders>
            <w:shd w:val="clear" w:color="auto" w:fill="FFFFFF"/>
            <w:vAlign w:val="center"/>
          </w:tcPr>
          <w:p w14:paraId="66DF9877">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3FF20BA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198941D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0DB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14611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105-7-q</w:t>
            </w:r>
          </w:p>
        </w:tc>
        <w:tc>
          <w:tcPr>
            <w:tcW w:w="5027" w:type="dxa"/>
            <w:tcBorders>
              <w:top w:val="single" w:color="000000" w:sz="4" w:space="0"/>
              <w:left w:val="nil"/>
              <w:bottom w:val="nil"/>
              <w:right w:val="single" w:color="000000" w:sz="4" w:space="0"/>
            </w:tcBorders>
            <w:shd w:val="clear" w:color="auto" w:fill="FFFFFF"/>
            <w:vAlign w:val="center"/>
          </w:tcPr>
          <w:p w14:paraId="11D66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缺陷责任期</w:t>
            </w:r>
          </w:p>
        </w:tc>
        <w:tc>
          <w:tcPr>
            <w:tcW w:w="667" w:type="dxa"/>
            <w:tcBorders>
              <w:top w:val="single" w:color="000000" w:sz="4" w:space="0"/>
              <w:left w:val="nil"/>
              <w:bottom w:val="nil"/>
              <w:right w:val="single" w:color="000000" w:sz="4" w:space="0"/>
            </w:tcBorders>
            <w:shd w:val="clear" w:color="auto" w:fill="FFFFFF"/>
            <w:vAlign w:val="center"/>
          </w:tcPr>
          <w:p w14:paraId="45A42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667" w:type="dxa"/>
            <w:tcBorders>
              <w:top w:val="single" w:color="000000" w:sz="4" w:space="0"/>
              <w:left w:val="nil"/>
              <w:bottom w:val="nil"/>
              <w:right w:val="single" w:color="000000" w:sz="4" w:space="0"/>
            </w:tcBorders>
            <w:shd w:val="clear" w:color="auto" w:fill="FFFFFF"/>
            <w:vAlign w:val="center"/>
          </w:tcPr>
          <w:p w14:paraId="20BB463A">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66" w:type="dxa"/>
            <w:tcBorders>
              <w:top w:val="single" w:color="000000" w:sz="4" w:space="0"/>
              <w:left w:val="nil"/>
              <w:bottom w:val="nil"/>
              <w:right w:val="single" w:color="000000" w:sz="4" w:space="0"/>
            </w:tcBorders>
            <w:shd w:val="clear" w:color="auto" w:fill="FFFFFF"/>
            <w:vAlign w:val="center"/>
          </w:tcPr>
          <w:p w14:paraId="500017D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663BC1B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DE1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9" w:type="dxa"/>
            <w:tcBorders>
              <w:top w:val="single" w:color="000000" w:sz="4" w:space="0"/>
              <w:left w:val="single" w:color="000000" w:sz="8" w:space="0"/>
              <w:bottom w:val="nil"/>
              <w:right w:val="single" w:color="000000" w:sz="4" w:space="0"/>
            </w:tcBorders>
            <w:shd w:val="clear" w:color="auto" w:fill="FFFFFF"/>
            <w:vAlign w:val="center"/>
          </w:tcPr>
          <w:p w14:paraId="57F2C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105-7-r</w:t>
            </w:r>
          </w:p>
        </w:tc>
        <w:tc>
          <w:tcPr>
            <w:tcW w:w="5027" w:type="dxa"/>
            <w:tcBorders>
              <w:top w:val="single" w:color="000000" w:sz="4" w:space="0"/>
              <w:left w:val="nil"/>
              <w:bottom w:val="nil"/>
              <w:right w:val="single" w:color="000000" w:sz="4" w:space="0"/>
            </w:tcBorders>
            <w:shd w:val="clear" w:color="auto" w:fill="FFFFFF"/>
            <w:vAlign w:val="center"/>
          </w:tcPr>
          <w:p w14:paraId="705CC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方案设计</w:t>
            </w:r>
          </w:p>
        </w:tc>
        <w:tc>
          <w:tcPr>
            <w:tcW w:w="667" w:type="dxa"/>
            <w:tcBorders>
              <w:top w:val="single" w:color="000000" w:sz="4" w:space="0"/>
              <w:left w:val="nil"/>
              <w:bottom w:val="nil"/>
              <w:right w:val="single" w:color="000000" w:sz="4" w:space="0"/>
            </w:tcBorders>
            <w:shd w:val="clear" w:color="auto" w:fill="FFFFFF"/>
            <w:vAlign w:val="center"/>
          </w:tcPr>
          <w:p w14:paraId="22B89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7" w:type="dxa"/>
            <w:tcBorders>
              <w:top w:val="single" w:color="000000" w:sz="4" w:space="0"/>
              <w:left w:val="nil"/>
              <w:bottom w:val="nil"/>
              <w:right w:val="single" w:color="000000" w:sz="4" w:space="0"/>
            </w:tcBorders>
            <w:shd w:val="clear" w:color="auto" w:fill="FFFFFF"/>
            <w:vAlign w:val="center"/>
          </w:tcPr>
          <w:p w14:paraId="6F6B6DB1">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66" w:type="dxa"/>
            <w:tcBorders>
              <w:top w:val="single" w:color="000000" w:sz="4" w:space="0"/>
              <w:left w:val="nil"/>
              <w:bottom w:val="nil"/>
              <w:right w:val="single" w:color="000000" w:sz="4" w:space="0"/>
            </w:tcBorders>
            <w:shd w:val="clear" w:color="auto" w:fill="FFFFFF"/>
            <w:vAlign w:val="center"/>
          </w:tcPr>
          <w:p w14:paraId="465C61D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nil"/>
              <w:right w:val="single" w:color="000000" w:sz="8" w:space="0"/>
            </w:tcBorders>
            <w:shd w:val="clear" w:color="auto" w:fill="FFFFFF"/>
            <w:vAlign w:val="center"/>
          </w:tcPr>
          <w:p w14:paraId="19FB17C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8F00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949" w:type="dxa"/>
            <w:tcBorders>
              <w:top w:val="single" w:color="000000" w:sz="4" w:space="0"/>
              <w:left w:val="single" w:color="000000" w:sz="8" w:space="0"/>
              <w:bottom w:val="single" w:color="auto" w:sz="4" w:space="0"/>
              <w:right w:val="single" w:color="000000" w:sz="4" w:space="0"/>
            </w:tcBorders>
            <w:shd w:val="clear" w:color="auto" w:fill="FFFFFF"/>
            <w:vAlign w:val="center"/>
          </w:tcPr>
          <w:p w14:paraId="0F66E20C">
            <w:pPr>
              <w:jc w:val="center"/>
              <w:rPr>
                <w:rFonts w:hint="eastAsia" w:ascii="宋体" w:hAnsi="宋体" w:eastAsia="宋体" w:cs="宋体"/>
                <w:i w:val="0"/>
                <w:iCs w:val="0"/>
                <w:color w:val="000000"/>
                <w:sz w:val="18"/>
                <w:szCs w:val="18"/>
                <w:u w:val="none"/>
              </w:rPr>
            </w:pPr>
          </w:p>
        </w:tc>
        <w:tc>
          <w:tcPr>
            <w:tcW w:w="5027" w:type="dxa"/>
            <w:tcBorders>
              <w:top w:val="single" w:color="000000" w:sz="4" w:space="0"/>
              <w:left w:val="nil"/>
              <w:bottom w:val="single" w:color="auto" w:sz="4" w:space="0"/>
              <w:right w:val="single" w:color="000000" w:sz="4" w:space="0"/>
            </w:tcBorders>
            <w:shd w:val="clear" w:color="auto" w:fill="FFFFFF"/>
            <w:vAlign w:val="center"/>
          </w:tcPr>
          <w:p w14:paraId="0CAA9099">
            <w:pPr>
              <w:jc w:val="left"/>
              <w:rPr>
                <w:rFonts w:hint="eastAsia" w:ascii="宋体" w:hAnsi="宋体" w:eastAsia="宋体" w:cs="宋体"/>
                <w:i w:val="0"/>
                <w:iCs w:val="0"/>
                <w:color w:val="000000"/>
                <w:sz w:val="18"/>
                <w:szCs w:val="18"/>
                <w:u w:val="none"/>
              </w:rPr>
            </w:pPr>
          </w:p>
        </w:tc>
        <w:tc>
          <w:tcPr>
            <w:tcW w:w="667" w:type="dxa"/>
            <w:tcBorders>
              <w:top w:val="single" w:color="000000" w:sz="4" w:space="0"/>
              <w:left w:val="nil"/>
              <w:bottom w:val="single" w:color="auto" w:sz="4" w:space="0"/>
              <w:right w:val="single" w:color="000000" w:sz="4" w:space="0"/>
            </w:tcBorders>
            <w:shd w:val="clear" w:color="auto" w:fill="FFFFFF"/>
            <w:vAlign w:val="center"/>
          </w:tcPr>
          <w:p w14:paraId="50C600C5">
            <w:pPr>
              <w:jc w:val="center"/>
              <w:rPr>
                <w:rFonts w:hint="eastAsia" w:ascii="宋体" w:hAnsi="宋体" w:eastAsia="宋体" w:cs="宋体"/>
                <w:i w:val="0"/>
                <w:iCs w:val="0"/>
                <w:color w:val="000000"/>
                <w:sz w:val="18"/>
                <w:szCs w:val="18"/>
                <w:u w:val="none"/>
              </w:rPr>
            </w:pPr>
          </w:p>
        </w:tc>
        <w:tc>
          <w:tcPr>
            <w:tcW w:w="667" w:type="dxa"/>
            <w:tcBorders>
              <w:top w:val="single" w:color="000000" w:sz="4" w:space="0"/>
              <w:left w:val="nil"/>
              <w:bottom w:val="single" w:color="auto" w:sz="4" w:space="0"/>
              <w:right w:val="single" w:color="000000" w:sz="4" w:space="0"/>
            </w:tcBorders>
            <w:shd w:val="clear" w:color="auto" w:fill="FFFFFF"/>
            <w:vAlign w:val="center"/>
          </w:tcPr>
          <w:p w14:paraId="429AF90F">
            <w:pPr>
              <w:jc w:val="right"/>
              <w:rPr>
                <w:rFonts w:hint="default" w:ascii="Arial Narrow" w:hAnsi="Arial Narrow" w:eastAsia="Arial Narrow" w:cs="Arial Narrow"/>
                <w:i w:val="0"/>
                <w:iCs w:val="0"/>
                <w:color w:val="000000"/>
                <w:sz w:val="16"/>
                <w:szCs w:val="16"/>
                <w:u w:val="none"/>
              </w:rPr>
            </w:pPr>
          </w:p>
        </w:tc>
        <w:tc>
          <w:tcPr>
            <w:tcW w:w="866" w:type="dxa"/>
            <w:tcBorders>
              <w:top w:val="single" w:color="000000" w:sz="4" w:space="0"/>
              <w:left w:val="nil"/>
              <w:bottom w:val="single" w:color="auto" w:sz="4" w:space="0"/>
              <w:right w:val="single" w:color="000000" w:sz="4" w:space="0"/>
            </w:tcBorders>
            <w:shd w:val="clear" w:color="auto" w:fill="FFFFFF"/>
            <w:vAlign w:val="center"/>
          </w:tcPr>
          <w:p w14:paraId="60AC098B">
            <w:pPr>
              <w:jc w:val="right"/>
              <w:rPr>
                <w:rFonts w:hint="default" w:ascii="Arial Narrow" w:hAnsi="Arial Narrow" w:eastAsia="Arial Narrow" w:cs="Arial Narrow"/>
                <w:i w:val="0"/>
                <w:iCs w:val="0"/>
                <w:color w:val="000000"/>
                <w:sz w:val="16"/>
                <w:szCs w:val="16"/>
                <w:u w:val="none"/>
              </w:rPr>
            </w:pPr>
          </w:p>
        </w:tc>
        <w:tc>
          <w:tcPr>
            <w:tcW w:w="875" w:type="dxa"/>
            <w:tcBorders>
              <w:top w:val="single" w:color="000000" w:sz="4" w:space="0"/>
              <w:left w:val="nil"/>
              <w:bottom w:val="single" w:color="auto" w:sz="4" w:space="0"/>
              <w:right w:val="single" w:color="000000" w:sz="8" w:space="0"/>
            </w:tcBorders>
            <w:shd w:val="clear" w:color="auto" w:fill="FFFFFF"/>
            <w:vAlign w:val="center"/>
          </w:tcPr>
          <w:p w14:paraId="6C9BE0A4">
            <w:pPr>
              <w:jc w:val="right"/>
              <w:rPr>
                <w:rFonts w:hint="default" w:ascii="Arial Narrow" w:hAnsi="Arial Narrow" w:eastAsia="Arial Narrow" w:cs="Arial Narrow"/>
                <w:i w:val="0"/>
                <w:iCs w:val="0"/>
                <w:color w:val="000000"/>
                <w:sz w:val="16"/>
                <w:szCs w:val="16"/>
                <w:u w:val="none"/>
              </w:rPr>
            </w:pPr>
          </w:p>
        </w:tc>
      </w:tr>
      <w:tr w14:paraId="551E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5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5777A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 100 章  合计   人民币       元</w:t>
            </w:r>
          </w:p>
        </w:tc>
      </w:tr>
    </w:tbl>
    <w:p w14:paraId="07D4E6C1">
      <w:pPr>
        <w:pStyle w:val="32"/>
        <w:rPr>
          <w:rFonts w:hint="eastAsia"/>
          <w:color w:val="auto"/>
          <w:highlight w:val="yellow"/>
        </w:rPr>
      </w:pPr>
    </w:p>
    <w:p w14:paraId="011354F8">
      <w:pPr>
        <w:rPr>
          <w:color w:val="auto"/>
          <w:highlight w:val="yellow"/>
          <w:lang w:val="en-US"/>
        </w:rPr>
      </w:pPr>
      <w:r>
        <w:rPr>
          <w:color w:val="auto"/>
          <w:highlight w:val="yellow"/>
          <w:lang w:val="en-US"/>
        </w:rPr>
        <w:br w:type="page"/>
      </w:r>
    </w:p>
    <w:tbl>
      <w:tblPr>
        <w:tblStyle w:val="61"/>
        <w:tblW w:w="900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8"/>
        <w:gridCol w:w="5027"/>
        <w:gridCol w:w="660"/>
        <w:gridCol w:w="750"/>
        <w:gridCol w:w="800"/>
        <w:gridCol w:w="816"/>
      </w:tblGrid>
      <w:tr w14:paraId="42257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001" w:type="dxa"/>
            <w:gridSpan w:val="6"/>
            <w:tcBorders>
              <w:top w:val="single" w:color="000000" w:sz="8" w:space="0"/>
              <w:left w:val="single" w:color="000000" w:sz="8" w:space="0"/>
              <w:bottom w:val="nil"/>
              <w:right w:val="single" w:color="000000" w:sz="8" w:space="0"/>
            </w:tcBorders>
            <w:shd w:val="clear" w:color="auto" w:fill="FFFFFF"/>
            <w:vAlign w:val="center"/>
          </w:tcPr>
          <w:p w14:paraId="7EEB81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 400 章     桥涵工程</w:t>
            </w:r>
          </w:p>
        </w:tc>
      </w:tr>
      <w:tr w14:paraId="33928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382C0F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5027" w:type="dxa"/>
            <w:tcBorders>
              <w:top w:val="single" w:color="000000" w:sz="4" w:space="0"/>
              <w:left w:val="nil"/>
              <w:bottom w:val="nil"/>
              <w:right w:val="single" w:color="000000" w:sz="4" w:space="0"/>
            </w:tcBorders>
            <w:shd w:val="clear" w:color="auto" w:fill="FFFFFF"/>
            <w:vAlign w:val="center"/>
          </w:tcPr>
          <w:p w14:paraId="02E1B0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660" w:type="dxa"/>
            <w:tcBorders>
              <w:top w:val="single" w:color="000000" w:sz="4" w:space="0"/>
              <w:left w:val="nil"/>
              <w:bottom w:val="nil"/>
              <w:right w:val="single" w:color="000000" w:sz="4" w:space="0"/>
            </w:tcBorders>
            <w:shd w:val="clear" w:color="auto" w:fill="FFFFFF"/>
            <w:vAlign w:val="center"/>
          </w:tcPr>
          <w:p w14:paraId="2242EF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750" w:type="dxa"/>
            <w:tcBorders>
              <w:top w:val="single" w:color="000000" w:sz="4" w:space="0"/>
              <w:left w:val="nil"/>
              <w:bottom w:val="nil"/>
              <w:right w:val="single" w:color="000000" w:sz="4" w:space="0"/>
            </w:tcBorders>
            <w:shd w:val="clear" w:color="auto" w:fill="FFFFFF"/>
            <w:vAlign w:val="center"/>
          </w:tcPr>
          <w:p w14:paraId="545E04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800" w:type="dxa"/>
            <w:tcBorders>
              <w:top w:val="single" w:color="000000" w:sz="4" w:space="0"/>
              <w:left w:val="nil"/>
              <w:bottom w:val="nil"/>
              <w:right w:val="single" w:color="000000" w:sz="4" w:space="0"/>
            </w:tcBorders>
            <w:shd w:val="clear" w:color="auto" w:fill="FFFFFF"/>
            <w:vAlign w:val="center"/>
          </w:tcPr>
          <w:p w14:paraId="241086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816" w:type="dxa"/>
            <w:tcBorders>
              <w:top w:val="single" w:color="000000" w:sz="4" w:space="0"/>
              <w:left w:val="nil"/>
              <w:bottom w:val="nil"/>
              <w:right w:val="single" w:color="000000" w:sz="8" w:space="0"/>
            </w:tcBorders>
            <w:shd w:val="clear" w:color="auto" w:fill="FFFFFF"/>
            <w:vAlign w:val="center"/>
          </w:tcPr>
          <w:p w14:paraId="7719AC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70D3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4B788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5027" w:type="dxa"/>
            <w:tcBorders>
              <w:top w:val="single" w:color="000000" w:sz="4" w:space="0"/>
              <w:left w:val="nil"/>
              <w:bottom w:val="nil"/>
              <w:right w:val="single" w:color="000000" w:sz="4" w:space="0"/>
            </w:tcBorders>
            <w:shd w:val="clear" w:color="auto" w:fill="FFFFFF"/>
            <w:vAlign w:val="center"/>
          </w:tcPr>
          <w:p w14:paraId="0C272C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结构物拆除</w:t>
            </w:r>
          </w:p>
        </w:tc>
        <w:tc>
          <w:tcPr>
            <w:tcW w:w="660" w:type="dxa"/>
            <w:tcBorders>
              <w:top w:val="single" w:color="000000" w:sz="4" w:space="0"/>
              <w:left w:val="nil"/>
              <w:bottom w:val="nil"/>
              <w:right w:val="single" w:color="000000" w:sz="4" w:space="0"/>
            </w:tcBorders>
            <w:shd w:val="clear" w:color="auto" w:fill="FFFFFF"/>
            <w:vAlign w:val="center"/>
          </w:tcPr>
          <w:p w14:paraId="2F781629">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nil"/>
              <w:bottom w:val="nil"/>
              <w:right w:val="single" w:color="000000" w:sz="4" w:space="0"/>
            </w:tcBorders>
            <w:shd w:val="clear" w:color="auto" w:fill="FFFFFF"/>
            <w:vAlign w:val="center"/>
          </w:tcPr>
          <w:p w14:paraId="0EF8974C">
            <w:pPr>
              <w:jc w:val="center"/>
              <w:rPr>
                <w:rFonts w:hint="eastAsia" w:ascii="Arial Narrow" w:hAnsi="Arial Narrow" w:eastAsia="Arial Narrow" w:cs="Arial Narrow"/>
                <w:i w:val="0"/>
                <w:iCs w:val="0"/>
                <w:color w:val="000000"/>
                <w:sz w:val="16"/>
                <w:szCs w:val="16"/>
                <w:u w:val="none"/>
              </w:rPr>
            </w:pPr>
          </w:p>
        </w:tc>
        <w:tc>
          <w:tcPr>
            <w:tcW w:w="800" w:type="dxa"/>
            <w:tcBorders>
              <w:top w:val="single" w:color="000000" w:sz="4" w:space="0"/>
              <w:left w:val="nil"/>
              <w:bottom w:val="nil"/>
              <w:right w:val="single" w:color="000000" w:sz="4" w:space="0"/>
            </w:tcBorders>
            <w:shd w:val="clear" w:color="auto" w:fill="FFFFFF"/>
            <w:vAlign w:val="center"/>
          </w:tcPr>
          <w:p w14:paraId="4EF7FC3E">
            <w:pPr>
              <w:jc w:val="right"/>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1BAFBB84">
            <w:pPr>
              <w:jc w:val="right"/>
              <w:rPr>
                <w:rFonts w:hint="default" w:ascii="Arial Narrow" w:hAnsi="Arial Narrow" w:eastAsia="Arial Narrow" w:cs="Arial Narrow"/>
                <w:i w:val="0"/>
                <w:iCs w:val="0"/>
                <w:color w:val="000000"/>
                <w:sz w:val="16"/>
                <w:szCs w:val="16"/>
                <w:u w:val="none"/>
              </w:rPr>
            </w:pPr>
          </w:p>
        </w:tc>
      </w:tr>
      <w:tr w14:paraId="6802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13F9D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401-23</w:t>
            </w:r>
          </w:p>
        </w:tc>
        <w:tc>
          <w:tcPr>
            <w:tcW w:w="5027" w:type="dxa"/>
            <w:tcBorders>
              <w:top w:val="single" w:color="000000" w:sz="4" w:space="0"/>
              <w:left w:val="nil"/>
              <w:bottom w:val="nil"/>
              <w:right w:val="single" w:color="000000" w:sz="4" w:space="0"/>
            </w:tcBorders>
            <w:shd w:val="clear" w:color="auto" w:fill="FFFFFF"/>
            <w:vAlign w:val="center"/>
          </w:tcPr>
          <w:p w14:paraId="073AFA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青石栏杆拆除（含弃运）</w:t>
            </w:r>
          </w:p>
        </w:tc>
        <w:tc>
          <w:tcPr>
            <w:tcW w:w="660" w:type="dxa"/>
            <w:tcBorders>
              <w:top w:val="single" w:color="000000" w:sz="4" w:space="0"/>
              <w:left w:val="nil"/>
              <w:bottom w:val="nil"/>
              <w:right w:val="single" w:color="000000" w:sz="4" w:space="0"/>
            </w:tcBorders>
            <w:shd w:val="clear" w:color="auto" w:fill="FFFFFF"/>
            <w:vAlign w:val="center"/>
          </w:tcPr>
          <w:p w14:paraId="7649B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0" w:type="dxa"/>
            <w:tcBorders>
              <w:top w:val="single" w:color="000000" w:sz="4" w:space="0"/>
              <w:left w:val="nil"/>
              <w:bottom w:val="nil"/>
              <w:right w:val="single" w:color="000000" w:sz="4" w:space="0"/>
            </w:tcBorders>
            <w:shd w:val="clear" w:color="auto" w:fill="FFFFFF"/>
            <w:vAlign w:val="center"/>
          </w:tcPr>
          <w:p w14:paraId="33A3783E">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w:t>
            </w:r>
          </w:p>
        </w:tc>
        <w:tc>
          <w:tcPr>
            <w:tcW w:w="800" w:type="dxa"/>
            <w:tcBorders>
              <w:top w:val="single" w:color="000000" w:sz="4" w:space="0"/>
              <w:left w:val="nil"/>
              <w:bottom w:val="nil"/>
              <w:right w:val="single" w:color="000000" w:sz="4" w:space="0"/>
            </w:tcBorders>
            <w:shd w:val="clear" w:color="auto" w:fill="FFFFFF"/>
            <w:vAlign w:val="center"/>
          </w:tcPr>
          <w:p w14:paraId="04D21EC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28B129E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7D86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2BDD9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5027" w:type="dxa"/>
            <w:tcBorders>
              <w:top w:val="single" w:color="000000" w:sz="4" w:space="0"/>
              <w:left w:val="nil"/>
              <w:bottom w:val="nil"/>
              <w:right w:val="single" w:color="000000" w:sz="4" w:space="0"/>
            </w:tcBorders>
            <w:shd w:val="clear" w:color="auto" w:fill="FFFFFF"/>
            <w:vAlign w:val="center"/>
          </w:tcPr>
          <w:p w14:paraId="1EEC4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桥面系修复</w:t>
            </w:r>
          </w:p>
        </w:tc>
        <w:tc>
          <w:tcPr>
            <w:tcW w:w="660" w:type="dxa"/>
            <w:tcBorders>
              <w:top w:val="single" w:color="000000" w:sz="4" w:space="0"/>
              <w:left w:val="nil"/>
              <w:bottom w:val="nil"/>
              <w:right w:val="single" w:color="000000" w:sz="4" w:space="0"/>
            </w:tcBorders>
            <w:shd w:val="clear" w:color="auto" w:fill="FFFFFF"/>
            <w:vAlign w:val="center"/>
          </w:tcPr>
          <w:p w14:paraId="4DFB00EE">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nil"/>
              <w:bottom w:val="nil"/>
              <w:right w:val="single" w:color="000000" w:sz="4" w:space="0"/>
            </w:tcBorders>
            <w:shd w:val="clear" w:color="auto" w:fill="FFFFFF"/>
            <w:vAlign w:val="center"/>
          </w:tcPr>
          <w:p w14:paraId="4EA0C133">
            <w:pPr>
              <w:jc w:val="center"/>
              <w:rPr>
                <w:rFonts w:hint="default" w:ascii="Arial Narrow" w:hAnsi="Arial Narrow" w:eastAsia="Arial Narrow" w:cs="Arial Narrow"/>
                <w:i w:val="0"/>
                <w:iCs w:val="0"/>
                <w:color w:val="000000"/>
                <w:sz w:val="16"/>
                <w:szCs w:val="16"/>
                <w:u w:val="none"/>
              </w:rPr>
            </w:pPr>
          </w:p>
        </w:tc>
        <w:tc>
          <w:tcPr>
            <w:tcW w:w="800" w:type="dxa"/>
            <w:tcBorders>
              <w:top w:val="single" w:color="000000" w:sz="4" w:space="0"/>
              <w:left w:val="nil"/>
              <w:bottom w:val="nil"/>
              <w:right w:val="single" w:color="000000" w:sz="4" w:space="0"/>
            </w:tcBorders>
            <w:shd w:val="clear" w:color="auto" w:fill="FFFFFF"/>
            <w:vAlign w:val="center"/>
          </w:tcPr>
          <w:p w14:paraId="19D750FE">
            <w:pPr>
              <w:jc w:val="right"/>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118D3471">
            <w:pPr>
              <w:jc w:val="right"/>
              <w:rPr>
                <w:rFonts w:hint="default" w:ascii="Arial Narrow" w:hAnsi="Arial Narrow" w:eastAsia="Arial Narrow" w:cs="Arial Narrow"/>
                <w:i w:val="0"/>
                <w:iCs w:val="0"/>
                <w:color w:val="000000"/>
                <w:sz w:val="16"/>
                <w:szCs w:val="16"/>
                <w:u w:val="none"/>
              </w:rPr>
            </w:pPr>
          </w:p>
        </w:tc>
      </w:tr>
      <w:tr w14:paraId="17638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7D303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w:t>
            </w:r>
          </w:p>
        </w:tc>
        <w:tc>
          <w:tcPr>
            <w:tcW w:w="5027" w:type="dxa"/>
            <w:tcBorders>
              <w:top w:val="single" w:color="000000" w:sz="4" w:space="0"/>
              <w:left w:val="nil"/>
              <w:bottom w:val="nil"/>
              <w:right w:val="single" w:color="000000" w:sz="4" w:space="0"/>
            </w:tcBorders>
            <w:shd w:val="clear" w:color="auto" w:fill="FFFFFF"/>
            <w:vAlign w:val="center"/>
          </w:tcPr>
          <w:p w14:paraId="4D30D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桥面铺装</w:t>
            </w:r>
          </w:p>
        </w:tc>
        <w:tc>
          <w:tcPr>
            <w:tcW w:w="660" w:type="dxa"/>
            <w:tcBorders>
              <w:top w:val="single" w:color="000000" w:sz="4" w:space="0"/>
              <w:left w:val="nil"/>
              <w:bottom w:val="nil"/>
              <w:right w:val="single" w:color="000000" w:sz="4" w:space="0"/>
            </w:tcBorders>
            <w:shd w:val="clear" w:color="auto" w:fill="FFFFFF"/>
            <w:vAlign w:val="center"/>
          </w:tcPr>
          <w:p w14:paraId="18A02485">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nil"/>
              <w:bottom w:val="nil"/>
              <w:right w:val="single" w:color="000000" w:sz="4" w:space="0"/>
            </w:tcBorders>
            <w:shd w:val="clear" w:color="auto" w:fill="FFFFFF"/>
            <w:vAlign w:val="center"/>
          </w:tcPr>
          <w:p w14:paraId="30621A98">
            <w:pPr>
              <w:jc w:val="center"/>
              <w:rPr>
                <w:rFonts w:hint="default" w:ascii="Arial Narrow" w:hAnsi="Arial Narrow" w:eastAsia="Arial Narrow" w:cs="Arial Narrow"/>
                <w:i w:val="0"/>
                <w:iCs w:val="0"/>
                <w:color w:val="000000"/>
                <w:sz w:val="16"/>
                <w:szCs w:val="16"/>
                <w:u w:val="none"/>
              </w:rPr>
            </w:pPr>
          </w:p>
        </w:tc>
        <w:tc>
          <w:tcPr>
            <w:tcW w:w="800" w:type="dxa"/>
            <w:tcBorders>
              <w:top w:val="single" w:color="000000" w:sz="4" w:space="0"/>
              <w:left w:val="nil"/>
              <w:bottom w:val="nil"/>
              <w:right w:val="single" w:color="000000" w:sz="4" w:space="0"/>
            </w:tcBorders>
            <w:shd w:val="clear" w:color="auto" w:fill="FFFFFF"/>
            <w:vAlign w:val="center"/>
          </w:tcPr>
          <w:p w14:paraId="76FC1804">
            <w:pPr>
              <w:jc w:val="right"/>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3CCBBF31">
            <w:pPr>
              <w:jc w:val="right"/>
              <w:rPr>
                <w:rFonts w:hint="default" w:ascii="Arial Narrow" w:hAnsi="Arial Narrow" w:eastAsia="Arial Narrow" w:cs="Arial Narrow"/>
                <w:i w:val="0"/>
                <w:iCs w:val="0"/>
                <w:color w:val="000000"/>
                <w:sz w:val="16"/>
                <w:szCs w:val="16"/>
                <w:u w:val="none"/>
              </w:rPr>
            </w:pPr>
          </w:p>
        </w:tc>
      </w:tr>
      <w:tr w14:paraId="1ADBD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232F5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402-2-a</w:t>
            </w:r>
          </w:p>
        </w:tc>
        <w:tc>
          <w:tcPr>
            <w:tcW w:w="5027" w:type="dxa"/>
            <w:tcBorders>
              <w:top w:val="single" w:color="000000" w:sz="4" w:space="0"/>
              <w:left w:val="nil"/>
              <w:bottom w:val="nil"/>
              <w:right w:val="single" w:color="000000" w:sz="4" w:space="0"/>
            </w:tcBorders>
            <w:shd w:val="clear" w:color="auto" w:fill="FFFFFF"/>
            <w:vAlign w:val="center"/>
          </w:tcPr>
          <w:p w14:paraId="2D91E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铣刨沥青面层（含弃运，废渣由施工单位自行处置）</w:t>
            </w:r>
          </w:p>
        </w:tc>
        <w:tc>
          <w:tcPr>
            <w:tcW w:w="660" w:type="dxa"/>
            <w:tcBorders>
              <w:top w:val="single" w:color="000000" w:sz="4" w:space="0"/>
              <w:left w:val="nil"/>
              <w:bottom w:val="nil"/>
              <w:right w:val="single" w:color="000000" w:sz="4" w:space="0"/>
            </w:tcBorders>
            <w:shd w:val="clear" w:color="auto" w:fill="FFFFFF"/>
            <w:vAlign w:val="center"/>
          </w:tcPr>
          <w:p w14:paraId="03D7B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50" w:type="dxa"/>
            <w:tcBorders>
              <w:top w:val="single" w:color="000000" w:sz="4" w:space="0"/>
              <w:left w:val="nil"/>
              <w:bottom w:val="nil"/>
              <w:right w:val="single" w:color="000000" w:sz="4" w:space="0"/>
            </w:tcBorders>
            <w:shd w:val="clear" w:color="auto" w:fill="FFFFFF"/>
            <w:vAlign w:val="center"/>
          </w:tcPr>
          <w:p w14:paraId="1C599563">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80.1</w:t>
            </w:r>
          </w:p>
        </w:tc>
        <w:tc>
          <w:tcPr>
            <w:tcW w:w="800" w:type="dxa"/>
            <w:tcBorders>
              <w:top w:val="single" w:color="000000" w:sz="4" w:space="0"/>
              <w:left w:val="nil"/>
              <w:bottom w:val="nil"/>
              <w:right w:val="single" w:color="000000" w:sz="4" w:space="0"/>
            </w:tcBorders>
            <w:shd w:val="clear" w:color="auto" w:fill="FFFFFF"/>
            <w:vAlign w:val="center"/>
          </w:tcPr>
          <w:p w14:paraId="7AA9A7B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25B4C00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609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2B398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402-2-b</w:t>
            </w:r>
          </w:p>
        </w:tc>
        <w:tc>
          <w:tcPr>
            <w:tcW w:w="5027" w:type="dxa"/>
            <w:tcBorders>
              <w:top w:val="single" w:color="000000" w:sz="4" w:space="0"/>
              <w:left w:val="nil"/>
              <w:bottom w:val="nil"/>
              <w:right w:val="single" w:color="000000" w:sz="4" w:space="0"/>
            </w:tcBorders>
            <w:shd w:val="clear" w:color="auto" w:fill="FFFFFF"/>
            <w:vAlign w:val="center"/>
          </w:tcPr>
          <w:p w14:paraId="11E91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改性乳化沥青粘层</w:t>
            </w:r>
          </w:p>
        </w:tc>
        <w:tc>
          <w:tcPr>
            <w:tcW w:w="660" w:type="dxa"/>
            <w:tcBorders>
              <w:top w:val="single" w:color="000000" w:sz="4" w:space="0"/>
              <w:left w:val="nil"/>
              <w:bottom w:val="nil"/>
              <w:right w:val="single" w:color="000000" w:sz="4" w:space="0"/>
            </w:tcBorders>
            <w:shd w:val="clear" w:color="auto" w:fill="FFFFFF"/>
            <w:vAlign w:val="center"/>
          </w:tcPr>
          <w:p w14:paraId="4B6F9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0" w:type="dxa"/>
            <w:tcBorders>
              <w:top w:val="single" w:color="000000" w:sz="4" w:space="0"/>
              <w:left w:val="nil"/>
              <w:bottom w:val="nil"/>
              <w:right w:val="single" w:color="000000" w:sz="4" w:space="0"/>
            </w:tcBorders>
            <w:shd w:val="clear" w:color="auto" w:fill="FFFFFF"/>
            <w:vAlign w:val="center"/>
          </w:tcPr>
          <w:p w14:paraId="7D763DF8">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1444</w:t>
            </w:r>
          </w:p>
        </w:tc>
        <w:tc>
          <w:tcPr>
            <w:tcW w:w="800" w:type="dxa"/>
            <w:tcBorders>
              <w:top w:val="single" w:color="000000" w:sz="4" w:space="0"/>
              <w:left w:val="nil"/>
              <w:bottom w:val="nil"/>
              <w:right w:val="single" w:color="000000" w:sz="4" w:space="0"/>
            </w:tcBorders>
            <w:shd w:val="clear" w:color="auto" w:fill="FFFFFF"/>
            <w:vAlign w:val="center"/>
          </w:tcPr>
          <w:p w14:paraId="3EC8AA2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32809E6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D21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45BFF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402-2-c</w:t>
            </w:r>
          </w:p>
        </w:tc>
        <w:tc>
          <w:tcPr>
            <w:tcW w:w="5027" w:type="dxa"/>
            <w:tcBorders>
              <w:top w:val="single" w:color="000000" w:sz="4" w:space="0"/>
              <w:left w:val="nil"/>
              <w:bottom w:val="nil"/>
              <w:right w:val="single" w:color="000000" w:sz="4" w:space="0"/>
            </w:tcBorders>
            <w:shd w:val="clear" w:color="auto" w:fill="FFFFFF"/>
            <w:vAlign w:val="center"/>
          </w:tcPr>
          <w:p w14:paraId="71A45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4.5cm厚SBS改性AC-16沥青砼（玄武岩集料）</w:t>
            </w:r>
          </w:p>
        </w:tc>
        <w:tc>
          <w:tcPr>
            <w:tcW w:w="660" w:type="dxa"/>
            <w:tcBorders>
              <w:top w:val="single" w:color="000000" w:sz="4" w:space="0"/>
              <w:left w:val="nil"/>
              <w:bottom w:val="nil"/>
              <w:right w:val="single" w:color="000000" w:sz="4" w:space="0"/>
            </w:tcBorders>
            <w:shd w:val="clear" w:color="auto" w:fill="FFFFFF"/>
            <w:vAlign w:val="center"/>
          </w:tcPr>
          <w:p w14:paraId="2306F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0" w:type="dxa"/>
            <w:tcBorders>
              <w:top w:val="single" w:color="000000" w:sz="4" w:space="0"/>
              <w:left w:val="nil"/>
              <w:bottom w:val="nil"/>
              <w:right w:val="single" w:color="000000" w:sz="4" w:space="0"/>
            </w:tcBorders>
            <w:shd w:val="clear" w:color="auto" w:fill="FFFFFF"/>
            <w:vAlign w:val="center"/>
          </w:tcPr>
          <w:p w14:paraId="4C17CCCC">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375</w:t>
            </w:r>
          </w:p>
        </w:tc>
        <w:tc>
          <w:tcPr>
            <w:tcW w:w="800" w:type="dxa"/>
            <w:tcBorders>
              <w:top w:val="single" w:color="000000" w:sz="4" w:space="0"/>
              <w:left w:val="nil"/>
              <w:bottom w:val="nil"/>
              <w:right w:val="single" w:color="000000" w:sz="4" w:space="0"/>
            </w:tcBorders>
            <w:shd w:val="clear" w:color="auto" w:fill="FFFFFF"/>
            <w:vAlign w:val="center"/>
          </w:tcPr>
          <w:p w14:paraId="48BB5E6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078609B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243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6C1E4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402-2-d</w:t>
            </w:r>
          </w:p>
        </w:tc>
        <w:tc>
          <w:tcPr>
            <w:tcW w:w="5027" w:type="dxa"/>
            <w:tcBorders>
              <w:top w:val="single" w:color="000000" w:sz="4" w:space="0"/>
              <w:left w:val="nil"/>
              <w:bottom w:val="nil"/>
              <w:right w:val="single" w:color="000000" w:sz="4" w:space="0"/>
            </w:tcBorders>
            <w:shd w:val="clear" w:color="auto" w:fill="FFFFFF"/>
            <w:vAlign w:val="center"/>
          </w:tcPr>
          <w:p w14:paraId="2F5A4C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5cm厚SBS改性AC-16沥青砼（玄武岩集料）</w:t>
            </w:r>
          </w:p>
        </w:tc>
        <w:tc>
          <w:tcPr>
            <w:tcW w:w="660" w:type="dxa"/>
            <w:tcBorders>
              <w:top w:val="single" w:color="000000" w:sz="4" w:space="0"/>
              <w:left w:val="nil"/>
              <w:bottom w:val="nil"/>
              <w:right w:val="single" w:color="000000" w:sz="4" w:space="0"/>
            </w:tcBorders>
            <w:shd w:val="clear" w:color="auto" w:fill="FFFFFF"/>
            <w:vAlign w:val="center"/>
          </w:tcPr>
          <w:p w14:paraId="7070D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0" w:type="dxa"/>
            <w:tcBorders>
              <w:top w:val="single" w:color="000000" w:sz="4" w:space="0"/>
              <w:left w:val="nil"/>
              <w:bottom w:val="nil"/>
              <w:right w:val="single" w:color="000000" w:sz="4" w:space="0"/>
            </w:tcBorders>
            <w:shd w:val="clear" w:color="auto" w:fill="FFFFFF"/>
            <w:vAlign w:val="center"/>
          </w:tcPr>
          <w:p w14:paraId="381E114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581.3</w:t>
            </w:r>
          </w:p>
        </w:tc>
        <w:tc>
          <w:tcPr>
            <w:tcW w:w="800" w:type="dxa"/>
            <w:tcBorders>
              <w:top w:val="single" w:color="000000" w:sz="4" w:space="0"/>
              <w:left w:val="nil"/>
              <w:bottom w:val="nil"/>
              <w:right w:val="single" w:color="000000" w:sz="4" w:space="0"/>
            </w:tcBorders>
            <w:shd w:val="clear" w:color="auto" w:fill="FFFFFF"/>
            <w:vAlign w:val="center"/>
          </w:tcPr>
          <w:p w14:paraId="4FD0C24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545D98C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FAA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1A3AF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402-2-e</w:t>
            </w:r>
          </w:p>
        </w:tc>
        <w:tc>
          <w:tcPr>
            <w:tcW w:w="5027" w:type="dxa"/>
            <w:tcBorders>
              <w:top w:val="single" w:color="000000" w:sz="4" w:space="0"/>
              <w:left w:val="nil"/>
              <w:bottom w:val="nil"/>
              <w:right w:val="single" w:color="000000" w:sz="4" w:space="0"/>
            </w:tcBorders>
            <w:shd w:val="clear" w:color="auto" w:fill="FFFFFF"/>
            <w:vAlign w:val="center"/>
          </w:tcPr>
          <w:p w14:paraId="3EE25D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7cm厚SBS改性AC-16沥青砼（玄武岩集料）</w:t>
            </w:r>
          </w:p>
        </w:tc>
        <w:tc>
          <w:tcPr>
            <w:tcW w:w="660" w:type="dxa"/>
            <w:tcBorders>
              <w:top w:val="single" w:color="000000" w:sz="4" w:space="0"/>
              <w:left w:val="nil"/>
              <w:bottom w:val="nil"/>
              <w:right w:val="single" w:color="000000" w:sz="4" w:space="0"/>
            </w:tcBorders>
            <w:shd w:val="clear" w:color="auto" w:fill="FFFFFF"/>
            <w:vAlign w:val="center"/>
          </w:tcPr>
          <w:p w14:paraId="6F126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0" w:type="dxa"/>
            <w:tcBorders>
              <w:top w:val="single" w:color="000000" w:sz="4" w:space="0"/>
              <w:left w:val="nil"/>
              <w:bottom w:val="nil"/>
              <w:right w:val="single" w:color="000000" w:sz="4" w:space="0"/>
            </w:tcBorders>
            <w:shd w:val="clear" w:color="auto" w:fill="FFFFFF"/>
            <w:vAlign w:val="center"/>
          </w:tcPr>
          <w:p w14:paraId="77FB0352">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150</w:t>
            </w:r>
          </w:p>
        </w:tc>
        <w:tc>
          <w:tcPr>
            <w:tcW w:w="800" w:type="dxa"/>
            <w:tcBorders>
              <w:top w:val="single" w:color="000000" w:sz="4" w:space="0"/>
              <w:left w:val="nil"/>
              <w:bottom w:val="nil"/>
              <w:right w:val="single" w:color="000000" w:sz="4" w:space="0"/>
            </w:tcBorders>
            <w:shd w:val="clear" w:color="auto" w:fill="FFFFFF"/>
            <w:vAlign w:val="center"/>
          </w:tcPr>
          <w:p w14:paraId="0B2EB88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43DAE48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0920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080AC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402-2-f</w:t>
            </w:r>
          </w:p>
        </w:tc>
        <w:tc>
          <w:tcPr>
            <w:tcW w:w="5027" w:type="dxa"/>
            <w:tcBorders>
              <w:top w:val="single" w:color="000000" w:sz="4" w:space="0"/>
              <w:left w:val="nil"/>
              <w:bottom w:val="nil"/>
              <w:right w:val="single" w:color="000000" w:sz="4" w:space="0"/>
            </w:tcBorders>
            <w:shd w:val="clear" w:color="auto" w:fill="FFFFFF"/>
            <w:vAlign w:val="center"/>
          </w:tcPr>
          <w:p w14:paraId="32627A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7cm厚SBS改性AC-20沥青砼</w:t>
            </w:r>
          </w:p>
        </w:tc>
        <w:tc>
          <w:tcPr>
            <w:tcW w:w="660" w:type="dxa"/>
            <w:tcBorders>
              <w:top w:val="single" w:color="000000" w:sz="4" w:space="0"/>
              <w:left w:val="nil"/>
              <w:bottom w:val="nil"/>
              <w:right w:val="single" w:color="000000" w:sz="4" w:space="0"/>
            </w:tcBorders>
            <w:shd w:val="clear" w:color="auto" w:fill="FFFFFF"/>
            <w:vAlign w:val="center"/>
          </w:tcPr>
          <w:p w14:paraId="681FF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0" w:type="dxa"/>
            <w:tcBorders>
              <w:top w:val="single" w:color="000000" w:sz="4" w:space="0"/>
              <w:left w:val="nil"/>
              <w:bottom w:val="nil"/>
              <w:right w:val="single" w:color="000000" w:sz="4" w:space="0"/>
            </w:tcBorders>
            <w:shd w:val="clear" w:color="auto" w:fill="FFFFFF"/>
            <w:vAlign w:val="center"/>
          </w:tcPr>
          <w:p w14:paraId="28DAE165">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337.5</w:t>
            </w:r>
          </w:p>
        </w:tc>
        <w:tc>
          <w:tcPr>
            <w:tcW w:w="800" w:type="dxa"/>
            <w:tcBorders>
              <w:top w:val="single" w:color="000000" w:sz="4" w:space="0"/>
              <w:left w:val="nil"/>
              <w:bottom w:val="nil"/>
              <w:right w:val="single" w:color="000000" w:sz="4" w:space="0"/>
            </w:tcBorders>
            <w:shd w:val="clear" w:color="auto" w:fill="FFFFFF"/>
            <w:vAlign w:val="center"/>
          </w:tcPr>
          <w:p w14:paraId="2FFA36F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445525F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43EA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0B455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402-2-g</w:t>
            </w:r>
          </w:p>
        </w:tc>
        <w:tc>
          <w:tcPr>
            <w:tcW w:w="5027" w:type="dxa"/>
            <w:tcBorders>
              <w:top w:val="single" w:color="000000" w:sz="4" w:space="0"/>
              <w:left w:val="nil"/>
              <w:bottom w:val="nil"/>
              <w:right w:val="single" w:color="000000" w:sz="4" w:space="0"/>
            </w:tcBorders>
            <w:shd w:val="clear" w:color="auto" w:fill="FFFFFF"/>
            <w:vAlign w:val="center"/>
          </w:tcPr>
          <w:p w14:paraId="041DD8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双面压缝带</w:t>
            </w:r>
          </w:p>
        </w:tc>
        <w:tc>
          <w:tcPr>
            <w:tcW w:w="660" w:type="dxa"/>
            <w:tcBorders>
              <w:top w:val="single" w:color="000000" w:sz="4" w:space="0"/>
              <w:left w:val="nil"/>
              <w:bottom w:val="nil"/>
              <w:right w:val="single" w:color="000000" w:sz="4" w:space="0"/>
            </w:tcBorders>
            <w:shd w:val="clear" w:color="auto" w:fill="FFFFFF"/>
            <w:vAlign w:val="center"/>
          </w:tcPr>
          <w:p w14:paraId="6FB04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0" w:type="dxa"/>
            <w:tcBorders>
              <w:top w:val="single" w:color="000000" w:sz="4" w:space="0"/>
              <w:left w:val="nil"/>
              <w:bottom w:val="nil"/>
              <w:right w:val="single" w:color="000000" w:sz="4" w:space="0"/>
            </w:tcBorders>
            <w:shd w:val="clear" w:color="auto" w:fill="FFFFFF"/>
            <w:vAlign w:val="center"/>
          </w:tcPr>
          <w:p w14:paraId="4AA4B810">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620</w:t>
            </w:r>
          </w:p>
        </w:tc>
        <w:tc>
          <w:tcPr>
            <w:tcW w:w="800" w:type="dxa"/>
            <w:tcBorders>
              <w:top w:val="single" w:color="000000" w:sz="4" w:space="0"/>
              <w:left w:val="nil"/>
              <w:bottom w:val="nil"/>
              <w:right w:val="single" w:color="000000" w:sz="4" w:space="0"/>
            </w:tcBorders>
            <w:shd w:val="clear" w:color="auto" w:fill="FFFFFF"/>
            <w:vAlign w:val="center"/>
          </w:tcPr>
          <w:p w14:paraId="31BE142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0835F84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61D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4E014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402-2-h</w:t>
            </w:r>
          </w:p>
        </w:tc>
        <w:tc>
          <w:tcPr>
            <w:tcW w:w="5027" w:type="dxa"/>
            <w:tcBorders>
              <w:top w:val="single" w:color="000000" w:sz="4" w:space="0"/>
              <w:left w:val="nil"/>
              <w:bottom w:val="nil"/>
              <w:right w:val="single" w:color="000000" w:sz="4" w:space="0"/>
            </w:tcBorders>
            <w:shd w:val="clear" w:color="auto" w:fill="FFFFFF"/>
            <w:vAlign w:val="center"/>
          </w:tcPr>
          <w:p w14:paraId="33DC4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CAP还原剂</w:t>
            </w:r>
          </w:p>
        </w:tc>
        <w:tc>
          <w:tcPr>
            <w:tcW w:w="660" w:type="dxa"/>
            <w:tcBorders>
              <w:top w:val="single" w:color="000000" w:sz="4" w:space="0"/>
              <w:left w:val="nil"/>
              <w:bottom w:val="nil"/>
              <w:right w:val="single" w:color="000000" w:sz="4" w:space="0"/>
            </w:tcBorders>
            <w:shd w:val="clear" w:color="auto" w:fill="FFFFFF"/>
            <w:vAlign w:val="center"/>
          </w:tcPr>
          <w:p w14:paraId="13ABA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0" w:type="dxa"/>
            <w:tcBorders>
              <w:top w:val="single" w:color="000000" w:sz="4" w:space="0"/>
              <w:left w:val="nil"/>
              <w:bottom w:val="nil"/>
              <w:right w:val="single" w:color="000000" w:sz="4" w:space="0"/>
            </w:tcBorders>
            <w:shd w:val="clear" w:color="auto" w:fill="FFFFFF"/>
            <w:vAlign w:val="center"/>
          </w:tcPr>
          <w:p w14:paraId="61BD27B6">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w:t>
            </w:r>
          </w:p>
        </w:tc>
        <w:tc>
          <w:tcPr>
            <w:tcW w:w="800" w:type="dxa"/>
            <w:tcBorders>
              <w:top w:val="single" w:color="000000" w:sz="4" w:space="0"/>
              <w:left w:val="nil"/>
              <w:bottom w:val="nil"/>
              <w:right w:val="single" w:color="000000" w:sz="4" w:space="0"/>
            </w:tcBorders>
            <w:shd w:val="clear" w:color="auto" w:fill="FFFFFF"/>
            <w:vAlign w:val="center"/>
          </w:tcPr>
          <w:p w14:paraId="5A01148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0BC1174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F325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1B6A3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402-3</w:t>
            </w:r>
          </w:p>
        </w:tc>
        <w:tc>
          <w:tcPr>
            <w:tcW w:w="5027" w:type="dxa"/>
            <w:tcBorders>
              <w:top w:val="single" w:color="000000" w:sz="4" w:space="0"/>
              <w:left w:val="nil"/>
              <w:bottom w:val="nil"/>
              <w:right w:val="single" w:color="000000" w:sz="4" w:space="0"/>
            </w:tcBorders>
            <w:shd w:val="clear" w:color="auto" w:fill="FFFFFF"/>
            <w:vAlign w:val="center"/>
          </w:tcPr>
          <w:p w14:paraId="3089F3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排水设施</w:t>
            </w:r>
          </w:p>
        </w:tc>
        <w:tc>
          <w:tcPr>
            <w:tcW w:w="660" w:type="dxa"/>
            <w:tcBorders>
              <w:top w:val="single" w:color="000000" w:sz="4" w:space="0"/>
              <w:left w:val="nil"/>
              <w:bottom w:val="nil"/>
              <w:right w:val="single" w:color="000000" w:sz="4" w:space="0"/>
            </w:tcBorders>
            <w:shd w:val="clear" w:color="auto" w:fill="FFFFFF"/>
            <w:vAlign w:val="center"/>
          </w:tcPr>
          <w:p w14:paraId="325EF1B9">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nil"/>
              <w:bottom w:val="nil"/>
              <w:right w:val="single" w:color="000000" w:sz="4" w:space="0"/>
            </w:tcBorders>
            <w:shd w:val="clear" w:color="auto" w:fill="FFFFFF"/>
            <w:vAlign w:val="center"/>
          </w:tcPr>
          <w:p w14:paraId="77E58A52">
            <w:pPr>
              <w:jc w:val="center"/>
              <w:rPr>
                <w:rFonts w:hint="default" w:ascii="Arial Narrow" w:hAnsi="Arial Narrow" w:eastAsia="Arial Narrow" w:cs="Arial Narrow"/>
                <w:i w:val="0"/>
                <w:iCs w:val="0"/>
                <w:color w:val="000000"/>
                <w:sz w:val="16"/>
                <w:szCs w:val="16"/>
                <w:u w:val="none"/>
              </w:rPr>
            </w:pPr>
          </w:p>
        </w:tc>
        <w:tc>
          <w:tcPr>
            <w:tcW w:w="800" w:type="dxa"/>
            <w:tcBorders>
              <w:top w:val="single" w:color="000000" w:sz="4" w:space="0"/>
              <w:left w:val="nil"/>
              <w:bottom w:val="nil"/>
              <w:right w:val="single" w:color="000000" w:sz="4" w:space="0"/>
            </w:tcBorders>
            <w:shd w:val="clear" w:color="auto" w:fill="FFFFFF"/>
            <w:vAlign w:val="center"/>
          </w:tcPr>
          <w:p w14:paraId="17E2D4BD">
            <w:pPr>
              <w:jc w:val="right"/>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22CB337D">
            <w:pPr>
              <w:jc w:val="right"/>
              <w:rPr>
                <w:rFonts w:hint="default" w:ascii="Arial Narrow" w:hAnsi="Arial Narrow" w:eastAsia="Arial Narrow" w:cs="Arial Narrow"/>
                <w:i w:val="0"/>
                <w:iCs w:val="0"/>
                <w:color w:val="000000"/>
                <w:sz w:val="16"/>
                <w:szCs w:val="16"/>
                <w:u w:val="none"/>
              </w:rPr>
            </w:pPr>
          </w:p>
        </w:tc>
      </w:tr>
      <w:tr w14:paraId="5243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44E11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402-3-a</w:t>
            </w:r>
          </w:p>
        </w:tc>
        <w:tc>
          <w:tcPr>
            <w:tcW w:w="5027" w:type="dxa"/>
            <w:tcBorders>
              <w:top w:val="single" w:color="000000" w:sz="4" w:space="0"/>
              <w:left w:val="nil"/>
              <w:bottom w:val="nil"/>
              <w:right w:val="single" w:color="000000" w:sz="4" w:space="0"/>
            </w:tcBorders>
            <w:shd w:val="clear" w:color="auto" w:fill="FFFFFF"/>
            <w:vAlign w:val="center"/>
          </w:tcPr>
          <w:p w14:paraId="70A54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排水设施改造（含Φ200mm排水管、管卡、M12不锈钢化学螺栓、L75×75不锈钢支架）</w:t>
            </w:r>
          </w:p>
        </w:tc>
        <w:tc>
          <w:tcPr>
            <w:tcW w:w="660" w:type="dxa"/>
            <w:tcBorders>
              <w:top w:val="single" w:color="000000" w:sz="4" w:space="0"/>
              <w:left w:val="nil"/>
              <w:bottom w:val="nil"/>
              <w:right w:val="single" w:color="000000" w:sz="4" w:space="0"/>
            </w:tcBorders>
            <w:shd w:val="clear" w:color="auto" w:fill="FFFFFF"/>
            <w:vAlign w:val="center"/>
          </w:tcPr>
          <w:p w14:paraId="5278C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0" w:type="dxa"/>
            <w:tcBorders>
              <w:top w:val="single" w:color="000000" w:sz="4" w:space="0"/>
              <w:left w:val="nil"/>
              <w:bottom w:val="nil"/>
              <w:right w:val="single" w:color="000000" w:sz="4" w:space="0"/>
            </w:tcBorders>
            <w:shd w:val="clear" w:color="auto" w:fill="FFFFFF"/>
            <w:vAlign w:val="center"/>
          </w:tcPr>
          <w:p w14:paraId="010A5A7B">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404</w:t>
            </w:r>
          </w:p>
        </w:tc>
        <w:tc>
          <w:tcPr>
            <w:tcW w:w="800" w:type="dxa"/>
            <w:tcBorders>
              <w:top w:val="single" w:color="000000" w:sz="4" w:space="0"/>
              <w:left w:val="nil"/>
              <w:bottom w:val="nil"/>
              <w:right w:val="single" w:color="000000" w:sz="4" w:space="0"/>
            </w:tcBorders>
            <w:shd w:val="clear" w:color="auto" w:fill="FFFFFF"/>
            <w:vAlign w:val="center"/>
          </w:tcPr>
          <w:p w14:paraId="53ADFBC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08106EF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D6EF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72401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402-3-b</w:t>
            </w:r>
          </w:p>
        </w:tc>
        <w:tc>
          <w:tcPr>
            <w:tcW w:w="5027" w:type="dxa"/>
            <w:tcBorders>
              <w:top w:val="single" w:color="000000" w:sz="4" w:space="0"/>
              <w:left w:val="nil"/>
              <w:bottom w:val="nil"/>
              <w:right w:val="single" w:color="000000" w:sz="4" w:space="0"/>
            </w:tcBorders>
            <w:shd w:val="clear" w:color="auto" w:fill="FFFFFF"/>
            <w:vAlign w:val="center"/>
          </w:tcPr>
          <w:p w14:paraId="20469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C25砼排水沟</w:t>
            </w:r>
          </w:p>
        </w:tc>
        <w:tc>
          <w:tcPr>
            <w:tcW w:w="660" w:type="dxa"/>
            <w:tcBorders>
              <w:top w:val="single" w:color="000000" w:sz="4" w:space="0"/>
              <w:left w:val="nil"/>
              <w:bottom w:val="nil"/>
              <w:right w:val="single" w:color="000000" w:sz="4" w:space="0"/>
            </w:tcBorders>
            <w:shd w:val="clear" w:color="auto" w:fill="FFFFFF"/>
            <w:vAlign w:val="center"/>
          </w:tcPr>
          <w:p w14:paraId="1F280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50" w:type="dxa"/>
            <w:tcBorders>
              <w:top w:val="single" w:color="000000" w:sz="4" w:space="0"/>
              <w:left w:val="nil"/>
              <w:bottom w:val="nil"/>
              <w:right w:val="single" w:color="000000" w:sz="4" w:space="0"/>
            </w:tcBorders>
            <w:shd w:val="clear" w:color="auto" w:fill="FFFFFF"/>
            <w:vAlign w:val="center"/>
          </w:tcPr>
          <w:p w14:paraId="66512C9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w:t>
            </w:r>
          </w:p>
        </w:tc>
        <w:tc>
          <w:tcPr>
            <w:tcW w:w="800" w:type="dxa"/>
            <w:tcBorders>
              <w:top w:val="single" w:color="000000" w:sz="4" w:space="0"/>
              <w:left w:val="nil"/>
              <w:bottom w:val="nil"/>
              <w:right w:val="single" w:color="000000" w:sz="4" w:space="0"/>
            </w:tcBorders>
            <w:shd w:val="clear" w:color="auto" w:fill="FFFFFF"/>
            <w:vAlign w:val="center"/>
          </w:tcPr>
          <w:p w14:paraId="595FDC6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3644F77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FB9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1B5B7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402-4</w:t>
            </w:r>
          </w:p>
        </w:tc>
        <w:tc>
          <w:tcPr>
            <w:tcW w:w="5027" w:type="dxa"/>
            <w:tcBorders>
              <w:top w:val="single" w:color="000000" w:sz="4" w:space="0"/>
              <w:left w:val="nil"/>
              <w:bottom w:val="nil"/>
              <w:right w:val="single" w:color="000000" w:sz="4" w:space="0"/>
            </w:tcBorders>
            <w:shd w:val="clear" w:color="auto" w:fill="FFFFFF"/>
            <w:vAlign w:val="center"/>
          </w:tcPr>
          <w:p w14:paraId="31CF87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人行道、栏杆、护栏、防撞墙</w:t>
            </w:r>
          </w:p>
        </w:tc>
        <w:tc>
          <w:tcPr>
            <w:tcW w:w="660" w:type="dxa"/>
            <w:tcBorders>
              <w:top w:val="single" w:color="000000" w:sz="4" w:space="0"/>
              <w:left w:val="nil"/>
              <w:bottom w:val="nil"/>
              <w:right w:val="single" w:color="000000" w:sz="4" w:space="0"/>
            </w:tcBorders>
            <w:shd w:val="clear" w:color="auto" w:fill="FFFFFF"/>
            <w:vAlign w:val="center"/>
          </w:tcPr>
          <w:p w14:paraId="13F771DC">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nil"/>
              <w:bottom w:val="nil"/>
              <w:right w:val="single" w:color="000000" w:sz="4" w:space="0"/>
            </w:tcBorders>
            <w:shd w:val="clear" w:color="auto" w:fill="FFFFFF"/>
            <w:vAlign w:val="center"/>
          </w:tcPr>
          <w:p w14:paraId="235EF70D">
            <w:pPr>
              <w:jc w:val="center"/>
              <w:rPr>
                <w:rFonts w:hint="default" w:ascii="Arial Narrow" w:hAnsi="Arial Narrow" w:eastAsia="Arial Narrow" w:cs="Arial Narrow"/>
                <w:i w:val="0"/>
                <w:iCs w:val="0"/>
                <w:color w:val="000000"/>
                <w:sz w:val="16"/>
                <w:szCs w:val="16"/>
                <w:u w:val="none"/>
              </w:rPr>
            </w:pPr>
          </w:p>
        </w:tc>
        <w:tc>
          <w:tcPr>
            <w:tcW w:w="800" w:type="dxa"/>
            <w:tcBorders>
              <w:top w:val="single" w:color="000000" w:sz="4" w:space="0"/>
              <w:left w:val="nil"/>
              <w:bottom w:val="nil"/>
              <w:right w:val="single" w:color="000000" w:sz="4" w:space="0"/>
            </w:tcBorders>
            <w:shd w:val="clear" w:color="auto" w:fill="FFFFFF"/>
            <w:vAlign w:val="center"/>
          </w:tcPr>
          <w:p w14:paraId="5BD33B58">
            <w:pPr>
              <w:jc w:val="right"/>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2FB30062">
            <w:pPr>
              <w:jc w:val="right"/>
              <w:rPr>
                <w:rFonts w:hint="default" w:ascii="Arial Narrow" w:hAnsi="Arial Narrow" w:eastAsia="Arial Narrow" w:cs="Arial Narrow"/>
                <w:i w:val="0"/>
                <w:iCs w:val="0"/>
                <w:color w:val="000000"/>
                <w:sz w:val="16"/>
                <w:szCs w:val="16"/>
                <w:u w:val="none"/>
              </w:rPr>
            </w:pPr>
          </w:p>
        </w:tc>
      </w:tr>
      <w:tr w14:paraId="3384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7FFA7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402-4-a</w:t>
            </w:r>
          </w:p>
        </w:tc>
        <w:tc>
          <w:tcPr>
            <w:tcW w:w="5027" w:type="dxa"/>
            <w:tcBorders>
              <w:top w:val="single" w:color="000000" w:sz="4" w:space="0"/>
              <w:left w:val="nil"/>
              <w:bottom w:val="nil"/>
              <w:right w:val="single" w:color="000000" w:sz="4" w:space="0"/>
            </w:tcBorders>
            <w:shd w:val="clear" w:color="auto" w:fill="FFFFFF"/>
            <w:vAlign w:val="center"/>
          </w:tcPr>
          <w:p w14:paraId="103A5E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桥梁护栏防腐涂装（腻子1遍，油漆3遍）</w:t>
            </w:r>
          </w:p>
        </w:tc>
        <w:tc>
          <w:tcPr>
            <w:tcW w:w="660" w:type="dxa"/>
            <w:tcBorders>
              <w:top w:val="single" w:color="000000" w:sz="4" w:space="0"/>
              <w:left w:val="nil"/>
              <w:bottom w:val="nil"/>
              <w:right w:val="single" w:color="000000" w:sz="4" w:space="0"/>
            </w:tcBorders>
            <w:shd w:val="clear" w:color="auto" w:fill="FFFFFF"/>
            <w:vAlign w:val="center"/>
          </w:tcPr>
          <w:p w14:paraId="75A0B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0" w:type="dxa"/>
            <w:tcBorders>
              <w:top w:val="single" w:color="000000" w:sz="4" w:space="0"/>
              <w:left w:val="nil"/>
              <w:bottom w:val="nil"/>
              <w:right w:val="single" w:color="000000" w:sz="4" w:space="0"/>
            </w:tcBorders>
            <w:shd w:val="clear" w:color="auto" w:fill="FFFFFF"/>
            <w:vAlign w:val="center"/>
          </w:tcPr>
          <w:p w14:paraId="10E4D3BC">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4096.5</w:t>
            </w:r>
          </w:p>
        </w:tc>
        <w:tc>
          <w:tcPr>
            <w:tcW w:w="800" w:type="dxa"/>
            <w:tcBorders>
              <w:top w:val="single" w:color="000000" w:sz="4" w:space="0"/>
              <w:left w:val="nil"/>
              <w:bottom w:val="nil"/>
              <w:right w:val="single" w:color="000000" w:sz="4" w:space="0"/>
            </w:tcBorders>
            <w:shd w:val="clear" w:color="auto" w:fill="FFFFFF"/>
            <w:vAlign w:val="center"/>
          </w:tcPr>
          <w:p w14:paraId="6F420ED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1869397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91D3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69F8B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402-4-b</w:t>
            </w:r>
          </w:p>
        </w:tc>
        <w:tc>
          <w:tcPr>
            <w:tcW w:w="5027" w:type="dxa"/>
            <w:tcBorders>
              <w:top w:val="single" w:color="000000" w:sz="4" w:space="0"/>
              <w:left w:val="nil"/>
              <w:bottom w:val="nil"/>
              <w:right w:val="single" w:color="000000" w:sz="4" w:space="0"/>
            </w:tcBorders>
            <w:shd w:val="clear" w:color="auto" w:fill="FFFFFF"/>
            <w:vAlign w:val="center"/>
          </w:tcPr>
          <w:p w14:paraId="693F35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破损人行道砖更换（100×200×60mm步道砖）</w:t>
            </w:r>
          </w:p>
        </w:tc>
        <w:tc>
          <w:tcPr>
            <w:tcW w:w="660" w:type="dxa"/>
            <w:tcBorders>
              <w:top w:val="single" w:color="000000" w:sz="4" w:space="0"/>
              <w:left w:val="nil"/>
              <w:bottom w:val="nil"/>
              <w:right w:val="single" w:color="000000" w:sz="4" w:space="0"/>
            </w:tcBorders>
            <w:shd w:val="clear" w:color="auto" w:fill="FFFFFF"/>
            <w:vAlign w:val="center"/>
          </w:tcPr>
          <w:p w14:paraId="23371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0" w:type="dxa"/>
            <w:tcBorders>
              <w:top w:val="single" w:color="000000" w:sz="4" w:space="0"/>
              <w:left w:val="nil"/>
              <w:bottom w:val="nil"/>
              <w:right w:val="single" w:color="000000" w:sz="4" w:space="0"/>
            </w:tcBorders>
            <w:shd w:val="clear" w:color="auto" w:fill="FFFFFF"/>
            <w:vAlign w:val="center"/>
          </w:tcPr>
          <w:p w14:paraId="5B66DB1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150</w:t>
            </w:r>
          </w:p>
        </w:tc>
        <w:tc>
          <w:tcPr>
            <w:tcW w:w="800" w:type="dxa"/>
            <w:tcBorders>
              <w:top w:val="single" w:color="000000" w:sz="4" w:space="0"/>
              <w:left w:val="nil"/>
              <w:bottom w:val="nil"/>
              <w:right w:val="single" w:color="000000" w:sz="4" w:space="0"/>
            </w:tcBorders>
            <w:shd w:val="clear" w:color="auto" w:fill="FFFFFF"/>
            <w:vAlign w:val="center"/>
          </w:tcPr>
          <w:p w14:paraId="3E57D3D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2C77DE8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D13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79B98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402-4-c</w:t>
            </w:r>
          </w:p>
        </w:tc>
        <w:tc>
          <w:tcPr>
            <w:tcW w:w="5027" w:type="dxa"/>
            <w:tcBorders>
              <w:top w:val="single" w:color="000000" w:sz="4" w:space="0"/>
              <w:left w:val="nil"/>
              <w:bottom w:val="nil"/>
              <w:right w:val="single" w:color="000000" w:sz="4" w:space="0"/>
            </w:tcBorders>
            <w:shd w:val="clear" w:color="auto" w:fill="FFFFFF"/>
            <w:vAlign w:val="center"/>
          </w:tcPr>
          <w:p w14:paraId="275722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人行道、青石栏杆高压水枪清洗</w:t>
            </w:r>
          </w:p>
        </w:tc>
        <w:tc>
          <w:tcPr>
            <w:tcW w:w="660" w:type="dxa"/>
            <w:tcBorders>
              <w:top w:val="single" w:color="000000" w:sz="4" w:space="0"/>
              <w:left w:val="nil"/>
              <w:bottom w:val="nil"/>
              <w:right w:val="single" w:color="000000" w:sz="4" w:space="0"/>
            </w:tcBorders>
            <w:shd w:val="clear" w:color="auto" w:fill="FFFFFF"/>
            <w:vAlign w:val="center"/>
          </w:tcPr>
          <w:p w14:paraId="3C192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0" w:type="dxa"/>
            <w:tcBorders>
              <w:top w:val="single" w:color="000000" w:sz="4" w:space="0"/>
              <w:left w:val="nil"/>
              <w:bottom w:val="nil"/>
              <w:right w:val="single" w:color="000000" w:sz="4" w:space="0"/>
            </w:tcBorders>
            <w:shd w:val="clear" w:color="auto" w:fill="FFFFFF"/>
            <w:vAlign w:val="center"/>
          </w:tcPr>
          <w:p w14:paraId="6170BFCE">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1118.6</w:t>
            </w:r>
          </w:p>
        </w:tc>
        <w:tc>
          <w:tcPr>
            <w:tcW w:w="800" w:type="dxa"/>
            <w:tcBorders>
              <w:top w:val="single" w:color="000000" w:sz="4" w:space="0"/>
              <w:left w:val="nil"/>
              <w:bottom w:val="nil"/>
              <w:right w:val="single" w:color="000000" w:sz="4" w:space="0"/>
            </w:tcBorders>
            <w:shd w:val="clear" w:color="auto" w:fill="FFFFFF"/>
            <w:vAlign w:val="center"/>
          </w:tcPr>
          <w:p w14:paraId="57886BB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718CF06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FCF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4461B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402-4-d</w:t>
            </w:r>
          </w:p>
        </w:tc>
        <w:tc>
          <w:tcPr>
            <w:tcW w:w="5027" w:type="dxa"/>
            <w:tcBorders>
              <w:top w:val="single" w:color="000000" w:sz="4" w:space="0"/>
              <w:left w:val="nil"/>
              <w:bottom w:val="nil"/>
              <w:right w:val="single" w:color="000000" w:sz="4" w:space="0"/>
            </w:tcBorders>
            <w:shd w:val="clear" w:color="auto" w:fill="FFFFFF"/>
            <w:vAlign w:val="center"/>
          </w:tcPr>
          <w:p w14:paraId="156A6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铝合金成品护栏（详见图号SⅢ-1-5）</w:t>
            </w:r>
          </w:p>
        </w:tc>
        <w:tc>
          <w:tcPr>
            <w:tcW w:w="660" w:type="dxa"/>
            <w:tcBorders>
              <w:top w:val="single" w:color="000000" w:sz="4" w:space="0"/>
              <w:left w:val="nil"/>
              <w:bottom w:val="nil"/>
              <w:right w:val="single" w:color="000000" w:sz="4" w:space="0"/>
            </w:tcBorders>
            <w:shd w:val="clear" w:color="auto" w:fill="FFFFFF"/>
            <w:vAlign w:val="center"/>
          </w:tcPr>
          <w:p w14:paraId="5D2E5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0" w:type="dxa"/>
            <w:tcBorders>
              <w:top w:val="single" w:color="000000" w:sz="4" w:space="0"/>
              <w:left w:val="nil"/>
              <w:bottom w:val="nil"/>
              <w:right w:val="single" w:color="000000" w:sz="4" w:space="0"/>
            </w:tcBorders>
            <w:shd w:val="clear" w:color="auto" w:fill="FFFFFF"/>
            <w:vAlign w:val="center"/>
          </w:tcPr>
          <w:p w14:paraId="4F02FDAB">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855</w:t>
            </w:r>
          </w:p>
        </w:tc>
        <w:tc>
          <w:tcPr>
            <w:tcW w:w="800" w:type="dxa"/>
            <w:tcBorders>
              <w:top w:val="single" w:color="000000" w:sz="4" w:space="0"/>
              <w:left w:val="nil"/>
              <w:bottom w:val="nil"/>
              <w:right w:val="single" w:color="000000" w:sz="4" w:space="0"/>
            </w:tcBorders>
            <w:shd w:val="clear" w:color="auto" w:fill="FFFFFF"/>
            <w:vAlign w:val="center"/>
          </w:tcPr>
          <w:p w14:paraId="6F7B6BB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33EC934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E6A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7ADF3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402-6</w:t>
            </w:r>
          </w:p>
        </w:tc>
        <w:tc>
          <w:tcPr>
            <w:tcW w:w="5027" w:type="dxa"/>
            <w:tcBorders>
              <w:top w:val="single" w:color="000000" w:sz="4" w:space="0"/>
              <w:left w:val="nil"/>
              <w:bottom w:val="nil"/>
              <w:right w:val="single" w:color="000000" w:sz="4" w:space="0"/>
            </w:tcBorders>
            <w:shd w:val="clear" w:color="auto" w:fill="FFFFFF"/>
            <w:vAlign w:val="center"/>
          </w:tcPr>
          <w:p w14:paraId="7BCCDC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伸缩装置更换</w:t>
            </w:r>
          </w:p>
        </w:tc>
        <w:tc>
          <w:tcPr>
            <w:tcW w:w="660" w:type="dxa"/>
            <w:tcBorders>
              <w:top w:val="single" w:color="000000" w:sz="4" w:space="0"/>
              <w:left w:val="nil"/>
              <w:bottom w:val="nil"/>
              <w:right w:val="single" w:color="000000" w:sz="4" w:space="0"/>
            </w:tcBorders>
            <w:shd w:val="clear" w:color="auto" w:fill="FFFFFF"/>
            <w:vAlign w:val="center"/>
          </w:tcPr>
          <w:p w14:paraId="2A61B0BE">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nil"/>
              <w:bottom w:val="nil"/>
              <w:right w:val="single" w:color="000000" w:sz="4" w:space="0"/>
            </w:tcBorders>
            <w:shd w:val="clear" w:color="auto" w:fill="FFFFFF"/>
            <w:vAlign w:val="center"/>
          </w:tcPr>
          <w:p w14:paraId="486EB403">
            <w:pPr>
              <w:jc w:val="center"/>
              <w:rPr>
                <w:rFonts w:hint="default" w:ascii="Arial Narrow" w:hAnsi="Arial Narrow" w:eastAsia="Arial Narrow" w:cs="Arial Narrow"/>
                <w:i w:val="0"/>
                <w:iCs w:val="0"/>
                <w:color w:val="000000"/>
                <w:sz w:val="16"/>
                <w:szCs w:val="16"/>
                <w:u w:val="none"/>
              </w:rPr>
            </w:pPr>
          </w:p>
        </w:tc>
        <w:tc>
          <w:tcPr>
            <w:tcW w:w="800" w:type="dxa"/>
            <w:tcBorders>
              <w:top w:val="single" w:color="000000" w:sz="4" w:space="0"/>
              <w:left w:val="nil"/>
              <w:bottom w:val="nil"/>
              <w:right w:val="single" w:color="000000" w:sz="4" w:space="0"/>
            </w:tcBorders>
            <w:shd w:val="clear" w:color="auto" w:fill="FFFFFF"/>
            <w:vAlign w:val="center"/>
          </w:tcPr>
          <w:p w14:paraId="1A457EF6">
            <w:pPr>
              <w:jc w:val="right"/>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02E791D5">
            <w:pPr>
              <w:jc w:val="right"/>
              <w:rPr>
                <w:rFonts w:hint="default" w:ascii="Arial Narrow" w:hAnsi="Arial Narrow" w:eastAsia="Arial Narrow" w:cs="Arial Narrow"/>
                <w:i w:val="0"/>
                <w:iCs w:val="0"/>
                <w:color w:val="000000"/>
                <w:sz w:val="16"/>
                <w:szCs w:val="16"/>
                <w:u w:val="none"/>
              </w:rPr>
            </w:pPr>
          </w:p>
        </w:tc>
      </w:tr>
      <w:tr w14:paraId="74D9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22C7D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402-6-a</w:t>
            </w:r>
          </w:p>
        </w:tc>
        <w:tc>
          <w:tcPr>
            <w:tcW w:w="5027" w:type="dxa"/>
            <w:tcBorders>
              <w:top w:val="single" w:color="000000" w:sz="4" w:space="0"/>
              <w:left w:val="nil"/>
              <w:bottom w:val="nil"/>
              <w:right w:val="single" w:color="000000" w:sz="4" w:space="0"/>
            </w:tcBorders>
            <w:shd w:val="clear" w:color="auto" w:fill="FFFFFF"/>
            <w:vAlign w:val="center"/>
          </w:tcPr>
          <w:p w14:paraId="6B87BD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伸缩缝橡胶条更换</w:t>
            </w:r>
          </w:p>
        </w:tc>
        <w:tc>
          <w:tcPr>
            <w:tcW w:w="660" w:type="dxa"/>
            <w:tcBorders>
              <w:top w:val="single" w:color="000000" w:sz="4" w:space="0"/>
              <w:left w:val="nil"/>
              <w:bottom w:val="nil"/>
              <w:right w:val="single" w:color="000000" w:sz="4" w:space="0"/>
            </w:tcBorders>
            <w:shd w:val="clear" w:color="auto" w:fill="FFFFFF"/>
            <w:vAlign w:val="center"/>
          </w:tcPr>
          <w:p w14:paraId="2F580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0" w:type="dxa"/>
            <w:tcBorders>
              <w:top w:val="single" w:color="000000" w:sz="4" w:space="0"/>
              <w:left w:val="nil"/>
              <w:bottom w:val="nil"/>
              <w:right w:val="single" w:color="000000" w:sz="4" w:space="0"/>
            </w:tcBorders>
            <w:shd w:val="clear" w:color="auto" w:fill="FFFFFF"/>
            <w:vAlign w:val="center"/>
          </w:tcPr>
          <w:p w14:paraId="68D93068">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244</w:t>
            </w:r>
          </w:p>
        </w:tc>
        <w:tc>
          <w:tcPr>
            <w:tcW w:w="800" w:type="dxa"/>
            <w:tcBorders>
              <w:top w:val="single" w:color="000000" w:sz="4" w:space="0"/>
              <w:left w:val="nil"/>
              <w:bottom w:val="nil"/>
              <w:right w:val="single" w:color="000000" w:sz="4" w:space="0"/>
            </w:tcBorders>
            <w:shd w:val="clear" w:color="auto" w:fill="FFFFFF"/>
            <w:vAlign w:val="center"/>
          </w:tcPr>
          <w:p w14:paraId="05F849A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47C7A56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7D5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3688C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402-6-b</w:t>
            </w:r>
          </w:p>
        </w:tc>
        <w:tc>
          <w:tcPr>
            <w:tcW w:w="5027" w:type="dxa"/>
            <w:tcBorders>
              <w:top w:val="single" w:color="000000" w:sz="4" w:space="0"/>
              <w:left w:val="nil"/>
              <w:bottom w:val="nil"/>
              <w:right w:val="single" w:color="000000" w:sz="4" w:space="0"/>
            </w:tcBorders>
            <w:shd w:val="clear" w:color="auto" w:fill="FFFFFF"/>
            <w:vAlign w:val="center"/>
          </w:tcPr>
          <w:p w14:paraId="41B1A5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伸缩缝堵塞处治（含清理、弹性填缝材料）</w:t>
            </w:r>
          </w:p>
        </w:tc>
        <w:tc>
          <w:tcPr>
            <w:tcW w:w="660" w:type="dxa"/>
            <w:tcBorders>
              <w:top w:val="single" w:color="000000" w:sz="4" w:space="0"/>
              <w:left w:val="nil"/>
              <w:bottom w:val="nil"/>
              <w:right w:val="single" w:color="000000" w:sz="4" w:space="0"/>
            </w:tcBorders>
            <w:shd w:val="clear" w:color="auto" w:fill="FFFFFF"/>
            <w:vAlign w:val="center"/>
          </w:tcPr>
          <w:p w14:paraId="22B0A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0" w:type="dxa"/>
            <w:tcBorders>
              <w:top w:val="single" w:color="000000" w:sz="4" w:space="0"/>
              <w:left w:val="nil"/>
              <w:bottom w:val="nil"/>
              <w:right w:val="single" w:color="000000" w:sz="4" w:space="0"/>
            </w:tcBorders>
            <w:shd w:val="clear" w:color="auto" w:fill="FFFFFF"/>
            <w:vAlign w:val="center"/>
          </w:tcPr>
          <w:p w14:paraId="6797E6BE">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314.5</w:t>
            </w:r>
          </w:p>
        </w:tc>
        <w:tc>
          <w:tcPr>
            <w:tcW w:w="800" w:type="dxa"/>
            <w:tcBorders>
              <w:top w:val="single" w:color="000000" w:sz="4" w:space="0"/>
              <w:left w:val="nil"/>
              <w:bottom w:val="nil"/>
              <w:right w:val="single" w:color="000000" w:sz="4" w:space="0"/>
            </w:tcBorders>
            <w:shd w:val="clear" w:color="auto" w:fill="FFFFFF"/>
            <w:vAlign w:val="center"/>
          </w:tcPr>
          <w:p w14:paraId="6BBBCF4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6CA6B61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B4E5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0BABF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402-6-c</w:t>
            </w:r>
          </w:p>
        </w:tc>
        <w:tc>
          <w:tcPr>
            <w:tcW w:w="5027" w:type="dxa"/>
            <w:tcBorders>
              <w:top w:val="single" w:color="000000" w:sz="4" w:space="0"/>
              <w:left w:val="nil"/>
              <w:bottom w:val="nil"/>
              <w:right w:val="single" w:color="000000" w:sz="4" w:space="0"/>
            </w:tcBorders>
            <w:shd w:val="clear" w:color="auto" w:fill="FFFFFF"/>
            <w:vAlign w:val="center"/>
          </w:tcPr>
          <w:p w14:paraId="1E03F0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人行道伸缩缝（含10-20mm厚不锈钢板、不锈钢化学螺栓、橡胶止水带）</w:t>
            </w:r>
          </w:p>
        </w:tc>
        <w:tc>
          <w:tcPr>
            <w:tcW w:w="660" w:type="dxa"/>
            <w:tcBorders>
              <w:top w:val="single" w:color="000000" w:sz="4" w:space="0"/>
              <w:left w:val="nil"/>
              <w:bottom w:val="nil"/>
              <w:right w:val="single" w:color="000000" w:sz="4" w:space="0"/>
            </w:tcBorders>
            <w:shd w:val="clear" w:color="auto" w:fill="FFFFFF"/>
            <w:vAlign w:val="center"/>
          </w:tcPr>
          <w:p w14:paraId="3F63B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0" w:type="dxa"/>
            <w:tcBorders>
              <w:top w:val="single" w:color="000000" w:sz="4" w:space="0"/>
              <w:left w:val="nil"/>
              <w:bottom w:val="nil"/>
              <w:right w:val="single" w:color="000000" w:sz="4" w:space="0"/>
            </w:tcBorders>
            <w:shd w:val="clear" w:color="auto" w:fill="FFFFFF"/>
            <w:vAlign w:val="center"/>
          </w:tcPr>
          <w:p w14:paraId="2004FD6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15.3</w:t>
            </w:r>
          </w:p>
        </w:tc>
        <w:tc>
          <w:tcPr>
            <w:tcW w:w="800" w:type="dxa"/>
            <w:tcBorders>
              <w:top w:val="single" w:color="000000" w:sz="4" w:space="0"/>
              <w:left w:val="nil"/>
              <w:bottom w:val="nil"/>
              <w:right w:val="single" w:color="000000" w:sz="4" w:space="0"/>
            </w:tcBorders>
            <w:shd w:val="clear" w:color="auto" w:fill="FFFFFF"/>
            <w:vAlign w:val="center"/>
          </w:tcPr>
          <w:p w14:paraId="3F0F106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31A4EFD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E8C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69B4F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402-6-d</w:t>
            </w:r>
          </w:p>
        </w:tc>
        <w:tc>
          <w:tcPr>
            <w:tcW w:w="5027" w:type="dxa"/>
            <w:tcBorders>
              <w:top w:val="single" w:color="000000" w:sz="4" w:space="0"/>
              <w:left w:val="nil"/>
              <w:bottom w:val="nil"/>
              <w:right w:val="single" w:color="000000" w:sz="4" w:space="0"/>
            </w:tcBorders>
            <w:shd w:val="clear" w:color="auto" w:fill="FFFFFF"/>
            <w:vAlign w:val="center"/>
          </w:tcPr>
          <w:p w14:paraId="691DC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D80伸缩缝更换（含钢筋、钢筋网、C50钢纤维快硬混凝土）</w:t>
            </w:r>
          </w:p>
        </w:tc>
        <w:tc>
          <w:tcPr>
            <w:tcW w:w="660" w:type="dxa"/>
            <w:tcBorders>
              <w:top w:val="single" w:color="000000" w:sz="4" w:space="0"/>
              <w:left w:val="nil"/>
              <w:bottom w:val="nil"/>
              <w:right w:val="single" w:color="000000" w:sz="4" w:space="0"/>
            </w:tcBorders>
            <w:shd w:val="clear" w:color="auto" w:fill="FFFFFF"/>
            <w:vAlign w:val="center"/>
          </w:tcPr>
          <w:p w14:paraId="08F85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0" w:type="dxa"/>
            <w:tcBorders>
              <w:top w:val="single" w:color="000000" w:sz="4" w:space="0"/>
              <w:left w:val="nil"/>
              <w:bottom w:val="nil"/>
              <w:right w:val="single" w:color="000000" w:sz="4" w:space="0"/>
            </w:tcBorders>
            <w:shd w:val="clear" w:color="auto" w:fill="FFFFFF"/>
            <w:vAlign w:val="center"/>
          </w:tcPr>
          <w:p w14:paraId="2FC2ACC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56.5</w:t>
            </w:r>
          </w:p>
        </w:tc>
        <w:tc>
          <w:tcPr>
            <w:tcW w:w="800" w:type="dxa"/>
            <w:tcBorders>
              <w:top w:val="single" w:color="000000" w:sz="4" w:space="0"/>
              <w:left w:val="nil"/>
              <w:bottom w:val="nil"/>
              <w:right w:val="single" w:color="000000" w:sz="4" w:space="0"/>
            </w:tcBorders>
            <w:shd w:val="clear" w:color="auto" w:fill="FFFFFF"/>
            <w:vAlign w:val="center"/>
          </w:tcPr>
          <w:p w14:paraId="6E459E0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4A124B1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180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77A38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402-6-e</w:t>
            </w:r>
          </w:p>
        </w:tc>
        <w:tc>
          <w:tcPr>
            <w:tcW w:w="5027" w:type="dxa"/>
            <w:tcBorders>
              <w:top w:val="single" w:color="000000" w:sz="4" w:space="0"/>
              <w:left w:val="nil"/>
              <w:bottom w:val="nil"/>
              <w:right w:val="single" w:color="000000" w:sz="4" w:space="0"/>
            </w:tcBorders>
            <w:shd w:val="clear" w:color="auto" w:fill="FFFFFF"/>
            <w:vAlign w:val="center"/>
          </w:tcPr>
          <w:p w14:paraId="31CB3A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S160伸缩缝更换（含钢筋、不锈钢排水槽、排水管、C50钢纤维快硬混凝土）</w:t>
            </w:r>
          </w:p>
        </w:tc>
        <w:tc>
          <w:tcPr>
            <w:tcW w:w="660" w:type="dxa"/>
            <w:tcBorders>
              <w:top w:val="single" w:color="000000" w:sz="4" w:space="0"/>
              <w:left w:val="nil"/>
              <w:bottom w:val="nil"/>
              <w:right w:val="single" w:color="000000" w:sz="4" w:space="0"/>
            </w:tcBorders>
            <w:shd w:val="clear" w:color="auto" w:fill="FFFFFF"/>
            <w:vAlign w:val="center"/>
          </w:tcPr>
          <w:p w14:paraId="20503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0" w:type="dxa"/>
            <w:tcBorders>
              <w:top w:val="single" w:color="000000" w:sz="4" w:space="0"/>
              <w:left w:val="nil"/>
              <w:bottom w:val="nil"/>
              <w:right w:val="single" w:color="000000" w:sz="4" w:space="0"/>
            </w:tcBorders>
            <w:shd w:val="clear" w:color="auto" w:fill="FFFFFF"/>
            <w:vAlign w:val="center"/>
          </w:tcPr>
          <w:p w14:paraId="2DCA1AAC">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45</w:t>
            </w:r>
          </w:p>
        </w:tc>
        <w:tc>
          <w:tcPr>
            <w:tcW w:w="800" w:type="dxa"/>
            <w:tcBorders>
              <w:top w:val="single" w:color="000000" w:sz="4" w:space="0"/>
              <w:left w:val="nil"/>
              <w:bottom w:val="nil"/>
              <w:right w:val="single" w:color="000000" w:sz="4" w:space="0"/>
            </w:tcBorders>
            <w:shd w:val="clear" w:color="auto" w:fill="FFFFFF"/>
            <w:vAlign w:val="center"/>
          </w:tcPr>
          <w:p w14:paraId="16D9209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3492C49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AAE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27BC4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5027" w:type="dxa"/>
            <w:tcBorders>
              <w:top w:val="single" w:color="000000" w:sz="4" w:space="0"/>
              <w:left w:val="nil"/>
              <w:bottom w:val="nil"/>
              <w:right w:val="single" w:color="000000" w:sz="4" w:space="0"/>
            </w:tcBorders>
            <w:shd w:val="clear" w:color="auto" w:fill="FFFFFF"/>
            <w:vAlign w:val="center"/>
          </w:tcPr>
          <w:p w14:paraId="0BC91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桥梁支座的维修与更换</w:t>
            </w:r>
          </w:p>
        </w:tc>
        <w:tc>
          <w:tcPr>
            <w:tcW w:w="660" w:type="dxa"/>
            <w:tcBorders>
              <w:top w:val="single" w:color="000000" w:sz="4" w:space="0"/>
              <w:left w:val="nil"/>
              <w:bottom w:val="nil"/>
              <w:right w:val="single" w:color="000000" w:sz="4" w:space="0"/>
            </w:tcBorders>
            <w:shd w:val="clear" w:color="auto" w:fill="FFFFFF"/>
            <w:vAlign w:val="center"/>
          </w:tcPr>
          <w:p w14:paraId="46149991">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nil"/>
              <w:bottom w:val="nil"/>
              <w:right w:val="single" w:color="000000" w:sz="4" w:space="0"/>
            </w:tcBorders>
            <w:shd w:val="clear" w:color="auto" w:fill="FFFFFF"/>
            <w:vAlign w:val="center"/>
          </w:tcPr>
          <w:p w14:paraId="5AE6358E">
            <w:pPr>
              <w:jc w:val="center"/>
              <w:rPr>
                <w:rFonts w:hint="default" w:ascii="Arial Narrow" w:hAnsi="Arial Narrow" w:eastAsia="Arial Narrow" w:cs="Arial Narrow"/>
                <w:i w:val="0"/>
                <w:iCs w:val="0"/>
                <w:color w:val="000000"/>
                <w:sz w:val="16"/>
                <w:szCs w:val="16"/>
                <w:u w:val="none"/>
              </w:rPr>
            </w:pPr>
          </w:p>
        </w:tc>
        <w:tc>
          <w:tcPr>
            <w:tcW w:w="800" w:type="dxa"/>
            <w:tcBorders>
              <w:top w:val="single" w:color="000000" w:sz="4" w:space="0"/>
              <w:left w:val="nil"/>
              <w:bottom w:val="nil"/>
              <w:right w:val="single" w:color="000000" w:sz="4" w:space="0"/>
            </w:tcBorders>
            <w:shd w:val="clear" w:color="auto" w:fill="FFFFFF"/>
            <w:vAlign w:val="center"/>
          </w:tcPr>
          <w:p w14:paraId="3DC0C1C1">
            <w:pPr>
              <w:jc w:val="right"/>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56C38D60">
            <w:pPr>
              <w:jc w:val="right"/>
              <w:rPr>
                <w:rFonts w:hint="default" w:ascii="Arial Narrow" w:hAnsi="Arial Narrow" w:eastAsia="Arial Narrow" w:cs="Arial Narrow"/>
                <w:i w:val="0"/>
                <w:iCs w:val="0"/>
                <w:color w:val="000000"/>
                <w:sz w:val="16"/>
                <w:szCs w:val="16"/>
                <w:u w:val="none"/>
              </w:rPr>
            </w:pPr>
          </w:p>
        </w:tc>
      </w:tr>
      <w:tr w14:paraId="7065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100FE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404-2</w:t>
            </w:r>
          </w:p>
        </w:tc>
        <w:tc>
          <w:tcPr>
            <w:tcW w:w="5027" w:type="dxa"/>
            <w:tcBorders>
              <w:top w:val="single" w:color="000000" w:sz="4" w:space="0"/>
              <w:left w:val="nil"/>
              <w:bottom w:val="nil"/>
              <w:right w:val="single" w:color="000000" w:sz="4" w:space="0"/>
            </w:tcBorders>
            <w:shd w:val="clear" w:color="auto" w:fill="FFFFFF"/>
            <w:vAlign w:val="center"/>
          </w:tcPr>
          <w:p w14:paraId="6C25CD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更换桥梁支座</w:t>
            </w:r>
          </w:p>
        </w:tc>
        <w:tc>
          <w:tcPr>
            <w:tcW w:w="660" w:type="dxa"/>
            <w:tcBorders>
              <w:top w:val="single" w:color="000000" w:sz="4" w:space="0"/>
              <w:left w:val="nil"/>
              <w:bottom w:val="nil"/>
              <w:right w:val="single" w:color="000000" w:sz="4" w:space="0"/>
            </w:tcBorders>
            <w:shd w:val="clear" w:color="auto" w:fill="FFFFFF"/>
            <w:vAlign w:val="center"/>
          </w:tcPr>
          <w:p w14:paraId="1F3305C0">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nil"/>
              <w:bottom w:val="nil"/>
              <w:right w:val="single" w:color="000000" w:sz="4" w:space="0"/>
            </w:tcBorders>
            <w:shd w:val="clear" w:color="auto" w:fill="FFFFFF"/>
            <w:vAlign w:val="center"/>
          </w:tcPr>
          <w:p w14:paraId="02E3715C">
            <w:pPr>
              <w:jc w:val="center"/>
              <w:rPr>
                <w:rFonts w:hint="default" w:ascii="Arial Narrow" w:hAnsi="Arial Narrow" w:eastAsia="Arial Narrow" w:cs="Arial Narrow"/>
                <w:i w:val="0"/>
                <w:iCs w:val="0"/>
                <w:color w:val="000000"/>
                <w:sz w:val="16"/>
                <w:szCs w:val="16"/>
                <w:u w:val="none"/>
              </w:rPr>
            </w:pPr>
          </w:p>
        </w:tc>
        <w:tc>
          <w:tcPr>
            <w:tcW w:w="800" w:type="dxa"/>
            <w:tcBorders>
              <w:top w:val="single" w:color="000000" w:sz="4" w:space="0"/>
              <w:left w:val="nil"/>
              <w:bottom w:val="nil"/>
              <w:right w:val="single" w:color="000000" w:sz="4" w:space="0"/>
            </w:tcBorders>
            <w:shd w:val="clear" w:color="auto" w:fill="FFFFFF"/>
            <w:vAlign w:val="center"/>
          </w:tcPr>
          <w:p w14:paraId="03C737A3">
            <w:pPr>
              <w:jc w:val="right"/>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2C069711">
            <w:pPr>
              <w:jc w:val="right"/>
              <w:rPr>
                <w:rFonts w:hint="default" w:ascii="Arial Narrow" w:hAnsi="Arial Narrow" w:eastAsia="Arial Narrow" w:cs="Arial Narrow"/>
                <w:i w:val="0"/>
                <w:iCs w:val="0"/>
                <w:color w:val="000000"/>
                <w:sz w:val="16"/>
                <w:szCs w:val="16"/>
                <w:u w:val="none"/>
              </w:rPr>
            </w:pPr>
          </w:p>
        </w:tc>
      </w:tr>
      <w:tr w14:paraId="79989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750E3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404-2-a</w:t>
            </w:r>
          </w:p>
        </w:tc>
        <w:tc>
          <w:tcPr>
            <w:tcW w:w="5027" w:type="dxa"/>
            <w:tcBorders>
              <w:top w:val="single" w:color="000000" w:sz="4" w:space="0"/>
              <w:left w:val="nil"/>
              <w:bottom w:val="nil"/>
              <w:right w:val="single" w:color="000000" w:sz="4" w:space="0"/>
            </w:tcBorders>
            <w:shd w:val="clear" w:color="auto" w:fill="FFFFFF"/>
            <w:vAlign w:val="center"/>
          </w:tcPr>
          <w:p w14:paraId="338595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支座同步顶升</w:t>
            </w:r>
          </w:p>
        </w:tc>
        <w:tc>
          <w:tcPr>
            <w:tcW w:w="660" w:type="dxa"/>
            <w:tcBorders>
              <w:top w:val="single" w:color="000000" w:sz="4" w:space="0"/>
              <w:left w:val="nil"/>
              <w:bottom w:val="nil"/>
              <w:right w:val="single" w:color="000000" w:sz="4" w:space="0"/>
            </w:tcBorders>
            <w:shd w:val="clear" w:color="auto" w:fill="FFFFFF"/>
            <w:vAlign w:val="center"/>
          </w:tcPr>
          <w:p w14:paraId="21FAC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50" w:type="dxa"/>
            <w:tcBorders>
              <w:top w:val="single" w:color="000000" w:sz="4" w:space="0"/>
              <w:left w:val="nil"/>
              <w:bottom w:val="nil"/>
              <w:right w:val="single" w:color="000000" w:sz="4" w:space="0"/>
            </w:tcBorders>
            <w:shd w:val="clear" w:color="auto" w:fill="FFFFFF"/>
            <w:vAlign w:val="center"/>
          </w:tcPr>
          <w:p w14:paraId="13FA3A92">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w:t>
            </w:r>
          </w:p>
        </w:tc>
        <w:tc>
          <w:tcPr>
            <w:tcW w:w="800" w:type="dxa"/>
            <w:tcBorders>
              <w:top w:val="single" w:color="000000" w:sz="4" w:space="0"/>
              <w:left w:val="nil"/>
              <w:bottom w:val="nil"/>
              <w:right w:val="single" w:color="000000" w:sz="4" w:space="0"/>
            </w:tcBorders>
            <w:shd w:val="clear" w:color="auto" w:fill="FFFFFF"/>
            <w:vAlign w:val="center"/>
          </w:tcPr>
          <w:p w14:paraId="7B5E70C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455ACDE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086AA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09256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404-2-b</w:t>
            </w:r>
          </w:p>
        </w:tc>
        <w:tc>
          <w:tcPr>
            <w:tcW w:w="5027" w:type="dxa"/>
            <w:tcBorders>
              <w:top w:val="single" w:color="000000" w:sz="4" w:space="0"/>
              <w:left w:val="nil"/>
              <w:bottom w:val="nil"/>
              <w:right w:val="single" w:color="000000" w:sz="4" w:space="0"/>
            </w:tcBorders>
            <w:shd w:val="clear" w:color="auto" w:fill="FFFFFF"/>
            <w:vAlign w:val="center"/>
          </w:tcPr>
          <w:p w14:paraId="36F85D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GYZF4 275×65支座更换</w:t>
            </w:r>
          </w:p>
        </w:tc>
        <w:tc>
          <w:tcPr>
            <w:tcW w:w="660" w:type="dxa"/>
            <w:tcBorders>
              <w:top w:val="single" w:color="000000" w:sz="4" w:space="0"/>
              <w:left w:val="nil"/>
              <w:bottom w:val="nil"/>
              <w:right w:val="single" w:color="000000" w:sz="4" w:space="0"/>
            </w:tcBorders>
            <w:shd w:val="clear" w:color="auto" w:fill="FFFFFF"/>
            <w:vAlign w:val="center"/>
          </w:tcPr>
          <w:p w14:paraId="4BC23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000000" w:sz="4" w:space="0"/>
              <w:left w:val="nil"/>
              <w:bottom w:val="nil"/>
              <w:right w:val="single" w:color="000000" w:sz="4" w:space="0"/>
            </w:tcBorders>
            <w:shd w:val="clear" w:color="auto" w:fill="FFFFFF"/>
            <w:vAlign w:val="center"/>
          </w:tcPr>
          <w:p w14:paraId="4D71555F">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w:t>
            </w:r>
          </w:p>
        </w:tc>
        <w:tc>
          <w:tcPr>
            <w:tcW w:w="800" w:type="dxa"/>
            <w:tcBorders>
              <w:top w:val="single" w:color="000000" w:sz="4" w:space="0"/>
              <w:left w:val="nil"/>
              <w:bottom w:val="nil"/>
              <w:right w:val="single" w:color="000000" w:sz="4" w:space="0"/>
            </w:tcBorders>
            <w:shd w:val="clear" w:color="auto" w:fill="FFFFFF"/>
            <w:vAlign w:val="center"/>
          </w:tcPr>
          <w:p w14:paraId="0015C1D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45BA82D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EE40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36DDE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402-2-c</w:t>
            </w:r>
          </w:p>
        </w:tc>
        <w:tc>
          <w:tcPr>
            <w:tcW w:w="5027" w:type="dxa"/>
            <w:tcBorders>
              <w:top w:val="single" w:color="000000" w:sz="4" w:space="0"/>
              <w:left w:val="nil"/>
              <w:bottom w:val="nil"/>
              <w:right w:val="single" w:color="000000" w:sz="4" w:space="0"/>
            </w:tcBorders>
            <w:shd w:val="clear" w:color="auto" w:fill="FFFFFF"/>
            <w:vAlign w:val="center"/>
          </w:tcPr>
          <w:p w14:paraId="45647B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GYZF4 250×43支座更换</w:t>
            </w:r>
          </w:p>
        </w:tc>
        <w:tc>
          <w:tcPr>
            <w:tcW w:w="660" w:type="dxa"/>
            <w:tcBorders>
              <w:top w:val="single" w:color="000000" w:sz="4" w:space="0"/>
              <w:left w:val="nil"/>
              <w:bottom w:val="nil"/>
              <w:right w:val="single" w:color="000000" w:sz="4" w:space="0"/>
            </w:tcBorders>
            <w:shd w:val="clear" w:color="auto" w:fill="FFFFFF"/>
            <w:vAlign w:val="center"/>
          </w:tcPr>
          <w:p w14:paraId="17A2B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000000" w:sz="4" w:space="0"/>
              <w:left w:val="nil"/>
              <w:bottom w:val="nil"/>
              <w:right w:val="single" w:color="000000" w:sz="4" w:space="0"/>
            </w:tcBorders>
            <w:shd w:val="clear" w:color="auto" w:fill="FFFFFF"/>
            <w:vAlign w:val="center"/>
          </w:tcPr>
          <w:p w14:paraId="415A86A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w:t>
            </w:r>
          </w:p>
        </w:tc>
        <w:tc>
          <w:tcPr>
            <w:tcW w:w="800" w:type="dxa"/>
            <w:tcBorders>
              <w:top w:val="single" w:color="000000" w:sz="4" w:space="0"/>
              <w:left w:val="nil"/>
              <w:bottom w:val="nil"/>
              <w:right w:val="single" w:color="000000" w:sz="4" w:space="0"/>
            </w:tcBorders>
            <w:shd w:val="clear" w:color="auto" w:fill="FFFFFF"/>
            <w:vAlign w:val="center"/>
          </w:tcPr>
          <w:p w14:paraId="6F478C5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47BECC7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192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3785B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402-2-d</w:t>
            </w:r>
          </w:p>
        </w:tc>
        <w:tc>
          <w:tcPr>
            <w:tcW w:w="5027" w:type="dxa"/>
            <w:tcBorders>
              <w:top w:val="single" w:color="000000" w:sz="4" w:space="0"/>
              <w:left w:val="nil"/>
              <w:bottom w:val="nil"/>
              <w:right w:val="single" w:color="000000" w:sz="4" w:space="0"/>
            </w:tcBorders>
            <w:shd w:val="clear" w:color="auto" w:fill="FFFFFF"/>
            <w:vAlign w:val="center"/>
          </w:tcPr>
          <w:p w14:paraId="4122B2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GYZ 400×77支座更换</w:t>
            </w:r>
          </w:p>
        </w:tc>
        <w:tc>
          <w:tcPr>
            <w:tcW w:w="660" w:type="dxa"/>
            <w:tcBorders>
              <w:top w:val="single" w:color="000000" w:sz="4" w:space="0"/>
              <w:left w:val="nil"/>
              <w:bottom w:val="nil"/>
              <w:right w:val="single" w:color="000000" w:sz="4" w:space="0"/>
            </w:tcBorders>
            <w:shd w:val="clear" w:color="auto" w:fill="FFFFFF"/>
            <w:vAlign w:val="center"/>
          </w:tcPr>
          <w:p w14:paraId="37E74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000000" w:sz="4" w:space="0"/>
              <w:left w:val="nil"/>
              <w:bottom w:val="nil"/>
              <w:right w:val="single" w:color="000000" w:sz="4" w:space="0"/>
            </w:tcBorders>
            <w:shd w:val="clear" w:color="auto" w:fill="FFFFFF"/>
            <w:vAlign w:val="center"/>
          </w:tcPr>
          <w:p w14:paraId="7A860E93">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w:t>
            </w:r>
          </w:p>
        </w:tc>
        <w:tc>
          <w:tcPr>
            <w:tcW w:w="800" w:type="dxa"/>
            <w:tcBorders>
              <w:top w:val="single" w:color="000000" w:sz="4" w:space="0"/>
              <w:left w:val="nil"/>
              <w:bottom w:val="nil"/>
              <w:right w:val="single" w:color="000000" w:sz="4" w:space="0"/>
            </w:tcBorders>
            <w:shd w:val="clear" w:color="auto" w:fill="FFFFFF"/>
            <w:vAlign w:val="center"/>
          </w:tcPr>
          <w:p w14:paraId="487F7B0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66CEA39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F220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32206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402-2-e</w:t>
            </w:r>
          </w:p>
        </w:tc>
        <w:tc>
          <w:tcPr>
            <w:tcW w:w="5027" w:type="dxa"/>
            <w:tcBorders>
              <w:top w:val="single" w:color="000000" w:sz="4" w:space="0"/>
              <w:left w:val="nil"/>
              <w:bottom w:val="nil"/>
              <w:right w:val="single" w:color="000000" w:sz="4" w:space="0"/>
            </w:tcBorders>
            <w:shd w:val="clear" w:color="auto" w:fill="FFFFFF"/>
            <w:vAlign w:val="center"/>
          </w:tcPr>
          <w:p w14:paraId="2E8D54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GYZF4 250×41支座更换</w:t>
            </w:r>
          </w:p>
        </w:tc>
        <w:tc>
          <w:tcPr>
            <w:tcW w:w="660" w:type="dxa"/>
            <w:tcBorders>
              <w:top w:val="single" w:color="000000" w:sz="4" w:space="0"/>
              <w:left w:val="nil"/>
              <w:bottom w:val="nil"/>
              <w:right w:val="single" w:color="000000" w:sz="4" w:space="0"/>
            </w:tcBorders>
            <w:shd w:val="clear" w:color="auto" w:fill="FFFFFF"/>
            <w:vAlign w:val="center"/>
          </w:tcPr>
          <w:p w14:paraId="377CA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000000" w:sz="4" w:space="0"/>
              <w:left w:val="nil"/>
              <w:bottom w:val="nil"/>
              <w:right w:val="single" w:color="000000" w:sz="4" w:space="0"/>
            </w:tcBorders>
            <w:shd w:val="clear" w:color="auto" w:fill="FFFFFF"/>
            <w:vAlign w:val="center"/>
          </w:tcPr>
          <w:p w14:paraId="0DB09422">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88</w:t>
            </w:r>
          </w:p>
        </w:tc>
        <w:tc>
          <w:tcPr>
            <w:tcW w:w="800" w:type="dxa"/>
            <w:tcBorders>
              <w:top w:val="single" w:color="000000" w:sz="4" w:space="0"/>
              <w:left w:val="nil"/>
              <w:bottom w:val="nil"/>
              <w:right w:val="single" w:color="000000" w:sz="4" w:space="0"/>
            </w:tcBorders>
            <w:shd w:val="clear" w:color="auto" w:fill="FFFFFF"/>
            <w:vAlign w:val="center"/>
          </w:tcPr>
          <w:p w14:paraId="488CFCD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37C6498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FA9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62E1B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5027" w:type="dxa"/>
            <w:tcBorders>
              <w:top w:val="single" w:color="000000" w:sz="4" w:space="0"/>
              <w:left w:val="nil"/>
              <w:bottom w:val="nil"/>
              <w:right w:val="single" w:color="000000" w:sz="4" w:space="0"/>
            </w:tcBorders>
            <w:shd w:val="clear" w:color="auto" w:fill="FFFFFF"/>
            <w:vAlign w:val="center"/>
          </w:tcPr>
          <w:p w14:paraId="66F0F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墩台修复</w:t>
            </w:r>
          </w:p>
        </w:tc>
        <w:tc>
          <w:tcPr>
            <w:tcW w:w="660" w:type="dxa"/>
            <w:tcBorders>
              <w:top w:val="single" w:color="000000" w:sz="4" w:space="0"/>
              <w:left w:val="nil"/>
              <w:bottom w:val="nil"/>
              <w:right w:val="single" w:color="000000" w:sz="4" w:space="0"/>
            </w:tcBorders>
            <w:shd w:val="clear" w:color="auto" w:fill="FFFFFF"/>
            <w:vAlign w:val="center"/>
          </w:tcPr>
          <w:p w14:paraId="5DD6A276">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nil"/>
              <w:bottom w:val="nil"/>
              <w:right w:val="single" w:color="000000" w:sz="4" w:space="0"/>
            </w:tcBorders>
            <w:shd w:val="clear" w:color="auto" w:fill="FFFFFF"/>
            <w:vAlign w:val="center"/>
          </w:tcPr>
          <w:p w14:paraId="66421F55">
            <w:pPr>
              <w:jc w:val="center"/>
              <w:rPr>
                <w:rFonts w:hint="default" w:ascii="Arial Narrow" w:hAnsi="Arial Narrow" w:eastAsia="Arial Narrow" w:cs="Arial Narrow"/>
                <w:i w:val="0"/>
                <w:iCs w:val="0"/>
                <w:color w:val="000000"/>
                <w:sz w:val="16"/>
                <w:szCs w:val="16"/>
                <w:u w:val="none"/>
              </w:rPr>
            </w:pPr>
          </w:p>
        </w:tc>
        <w:tc>
          <w:tcPr>
            <w:tcW w:w="800" w:type="dxa"/>
            <w:tcBorders>
              <w:top w:val="single" w:color="000000" w:sz="4" w:space="0"/>
              <w:left w:val="nil"/>
              <w:bottom w:val="nil"/>
              <w:right w:val="single" w:color="000000" w:sz="4" w:space="0"/>
            </w:tcBorders>
            <w:shd w:val="clear" w:color="auto" w:fill="FFFFFF"/>
            <w:vAlign w:val="center"/>
          </w:tcPr>
          <w:p w14:paraId="4ECF6CCE">
            <w:pPr>
              <w:jc w:val="right"/>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2C3674C4">
            <w:pPr>
              <w:jc w:val="right"/>
              <w:rPr>
                <w:rFonts w:hint="default" w:ascii="Arial Narrow" w:hAnsi="Arial Narrow" w:eastAsia="Arial Narrow" w:cs="Arial Narrow"/>
                <w:i w:val="0"/>
                <w:iCs w:val="0"/>
                <w:color w:val="000000"/>
                <w:sz w:val="16"/>
                <w:szCs w:val="16"/>
                <w:u w:val="none"/>
              </w:rPr>
            </w:pPr>
          </w:p>
        </w:tc>
      </w:tr>
      <w:tr w14:paraId="0D1C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6E9B9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405-4</w:t>
            </w:r>
          </w:p>
        </w:tc>
        <w:tc>
          <w:tcPr>
            <w:tcW w:w="5027" w:type="dxa"/>
            <w:tcBorders>
              <w:top w:val="single" w:color="000000" w:sz="4" w:space="0"/>
              <w:left w:val="nil"/>
              <w:bottom w:val="nil"/>
              <w:right w:val="single" w:color="000000" w:sz="4" w:space="0"/>
            </w:tcBorders>
            <w:shd w:val="clear" w:color="auto" w:fill="FFFFFF"/>
            <w:vAlign w:val="center"/>
          </w:tcPr>
          <w:p w14:paraId="63682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抛石防护</w:t>
            </w:r>
          </w:p>
        </w:tc>
        <w:tc>
          <w:tcPr>
            <w:tcW w:w="660" w:type="dxa"/>
            <w:tcBorders>
              <w:top w:val="single" w:color="000000" w:sz="4" w:space="0"/>
              <w:left w:val="nil"/>
              <w:bottom w:val="nil"/>
              <w:right w:val="single" w:color="000000" w:sz="4" w:space="0"/>
            </w:tcBorders>
            <w:shd w:val="clear" w:color="auto" w:fill="FFFFFF"/>
            <w:vAlign w:val="center"/>
          </w:tcPr>
          <w:p w14:paraId="0BC8EA35">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nil"/>
              <w:bottom w:val="nil"/>
              <w:right w:val="single" w:color="000000" w:sz="4" w:space="0"/>
            </w:tcBorders>
            <w:shd w:val="clear" w:color="auto" w:fill="FFFFFF"/>
            <w:vAlign w:val="center"/>
          </w:tcPr>
          <w:p w14:paraId="425585D7">
            <w:pPr>
              <w:jc w:val="center"/>
              <w:rPr>
                <w:rFonts w:hint="default" w:ascii="Arial Narrow" w:hAnsi="Arial Narrow" w:eastAsia="Arial Narrow" w:cs="Arial Narrow"/>
                <w:i w:val="0"/>
                <w:iCs w:val="0"/>
                <w:color w:val="000000"/>
                <w:sz w:val="16"/>
                <w:szCs w:val="16"/>
                <w:u w:val="none"/>
              </w:rPr>
            </w:pPr>
          </w:p>
        </w:tc>
        <w:tc>
          <w:tcPr>
            <w:tcW w:w="800" w:type="dxa"/>
            <w:tcBorders>
              <w:top w:val="single" w:color="000000" w:sz="4" w:space="0"/>
              <w:left w:val="nil"/>
              <w:bottom w:val="nil"/>
              <w:right w:val="single" w:color="000000" w:sz="4" w:space="0"/>
            </w:tcBorders>
            <w:shd w:val="clear" w:color="auto" w:fill="FFFFFF"/>
            <w:vAlign w:val="center"/>
          </w:tcPr>
          <w:p w14:paraId="631AAFFB">
            <w:pPr>
              <w:jc w:val="right"/>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3BEFD18F">
            <w:pPr>
              <w:jc w:val="right"/>
              <w:rPr>
                <w:rFonts w:hint="default" w:ascii="Arial Narrow" w:hAnsi="Arial Narrow" w:eastAsia="Arial Narrow" w:cs="Arial Narrow"/>
                <w:i w:val="0"/>
                <w:iCs w:val="0"/>
                <w:color w:val="000000"/>
                <w:sz w:val="16"/>
                <w:szCs w:val="16"/>
                <w:u w:val="none"/>
              </w:rPr>
            </w:pPr>
          </w:p>
        </w:tc>
      </w:tr>
      <w:tr w14:paraId="16504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3D6B4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405-4-a</w:t>
            </w:r>
          </w:p>
        </w:tc>
        <w:tc>
          <w:tcPr>
            <w:tcW w:w="5027" w:type="dxa"/>
            <w:tcBorders>
              <w:top w:val="single" w:color="000000" w:sz="4" w:space="0"/>
              <w:left w:val="nil"/>
              <w:bottom w:val="nil"/>
              <w:right w:val="single" w:color="000000" w:sz="4" w:space="0"/>
            </w:tcBorders>
            <w:shd w:val="clear" w:color="auto" w:fill="FFFFFF"/>
            <w:vAlign w:val="center"/>
          </w:tcPr>
          <w:p w14:paraId="4AA35D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格宾石笼河床铺砌</w:t>
            </w:r>
          </w:p>
        </w:tc>
        <w:tc>
          <w:tcPr>
            <w:tcW w:w="660" w:type="dxa"/>
            <w:tcBorders>
              <w:top w:val="single" w:color="000000" w:sz="4" w:space="0"/>
              <w:left w:val="nil"/>
              <w:bottom w:val="nil"/>
              <w:right w:val="single" w:color="000000" w:sz="4" w:space="0"/>
            </w:tcBorders>
            <w:shd w:val="clear" w:color="auto" w:fill="FFFFFF"/>
            <w:vAlign w:val="center"/>
          </w:tcPr>
          <w:p w14:paraId="0D988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50" w:type="dxa"/>
            <w:tcBorders>
              <w:top w:val="single" w:color="000000" w:sz="4" w:space="0"/>
              <w:left w:val="nil"/>
              <w:bottom w:val="nil"/>
              <w:right w:val="single" w:color="000000" w:sz="4" w:space="0"/>
            </w:tcBorders>
            <w:shd w:val="clear" w:color="auto" w:fill="FFFFFF"/>
            <w:vAlign w:val="center"/>
          </w:tcPr>
          <w:p w14:paraId="11E129B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825</w:t>
            </w:r>
          </w:p>
        </w:tc>
        <w:tc>
          <w:tcPr>
            <w:tcW w:w="800" w:type="dxa"/>
            <w:tcBorders>
              <w:top w:val="single" w:color="000000" w:sz="4" w:space="0"/>
              <w:left w:val="nil"/>
              <w:bottom w:val="nil"/>
              <w:right w:val="single" w:color="000000" w:sz="4" w:space="0"/>
            </w:tcBorders>
            <w:shd w:val="clear" w:color="auto" w:fill="FFFFFF"/>
            <w:vAlign w:val="center"/>
          </w:tcPr>
          <w:p w14:paraId="47A8A9D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4BB9C0C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E83E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1F650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5027" w:type="dxa"/>
            <w:tcBorders>
              <w:top w:val="single" w:color="000000" w:sz="4" w:space="0"/>
              <w:left w:val="nil"/>
              <w:bottom w:val="nil"/>
              <w:right w:val="single" w:color="000000" w:sz="4" w:space="0"/>
            </w:tcBorders>
            <w:shd w:val="clear" w:color="auto" w:fill="FFFFFF"/>
            <w:vAlign w:val="center"/>
          </w:tcPr>
          <w:p w14:paraId="062596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其他设施修复</w:t>
            </w:r>
          </w:p>
        </w:tc>
        <w:tc>
          <w:tcPr>
            <w:tcW w:w="660" w:type="dxa"/>
            <w:tcBorders>
              <w:top w:val="single" w:color="000000" w:sz="4" w:space="0"/>
              <w:left w:val="nil"/>
              <w:bottom w:val="nil"/>
              <w:right w:val="single" w:color="000000" w:sz="4" w:space="0"/>
            </w:tcBorders>
            <w:shd w:val="clear" w:color="auto" w:fill="FFFFFF"/>
            <w:vAlign w:val="center"/>
          </w:tcPr>
          <w:p w14:paraId="39146383">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nil"/>
              <w:bottom w:val="nil"/>
              <w:right w:val="single" w:color="000000" w:sz="4" w:space="0"/>
            </w:tcBorders>
            <w:shd w:val="clear" w:color="auto" w:fill="FFFFFF"/>
            <w:vAlign w:val="center"/>
          </w:tcPr>
          <w:p w14:paraId="2D21C27E">
            <w:pPr>
              <w:jc w:val="center"/>
              <w:rPr>
                <w:rFonts w:hint="default" w:ascii="Arial Narrow" w:hAnsi="Arial Narrow" w:eastAsia="Arial Narrow" w:cs="Arial Narrow"/>
                <w:i w:val="0"/>
                <w:iCs w:val="0"/>
                <w:color w:val="000000"/>
                <w:sz w:val="16"/>
                <w:szCs w:val="16"/>
                <w:u w:val="none"/>
              </w:rPr>
            </w:pPr>
          </w:p>
        </w:tc>
        <w:tc>
          <w:tcPr>
            <w:tcW w:w="800" w:type="dxa"/>
            <w:tcBorders>
              <w:top w:val="single" w:color="000000" w:sz="4" w:space="0"/>
              <w:left w:val="nil"/>
              <w:bottom w:val="nil"/>
              <w:right w:val="single" w:color="000000" w:sz="4" w:space="0"/>
            </w:tcBorders>
            <w:shd w:val="clear" w:color="auto" w:fill="FFFFFF"/>
            <w:vAlign w:val="center"/>
          </w:tcPr>
          <w:p w14:paraId="5D7A52A2">
            <w:pPr>
              <w:jc w:val="right"/>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1DA73C17">
            <w:pPr>
              <w:jc w:val="right"/>
              <w:rPr>
                <w:rFonts w:hint="default" w:ascii="Arial Narrow" w:hAnsi="Arial Narrow" w:eastAsia="Arial Narrow" w:cs="Arial Narrow"/>
                <w:i w:val="0"/>
                <w:iCs w:val="0"/>
                <w:color w:val="000000"/>
                <w:sz w:val="16"/>
                <w:szCs w:val="16"/>
                <w:u w:val="none"/>
              </w:rPr>
            </w:pPr>
          </w:p>
        </w:tc>
      </w:tr>
      <w:tr w14:paraId="4ACB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50EDC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406-3</w:t>
            </w:r>
          </w:p>
        </w:tc>
        <w:tc>
          <w:tcPr>
            <w:tcW w:w="5027" w:type="dxa"/>
            <w:tcBorders>
              <w:top w:val="single" w:color="000000" w:sz="4" w:space="0"/>
              <w:left w:val="nil"/>
              <w:bottom w:val="nil"/>
              <w:right w:val="single" w:color="000000" w:sz="4" w:space="0"/>
            </w:tcBorders>
            <w:shd w:val="clear" w:color="auto" w:fill="FFFFFF"/>
            <w:vAlign w:val="center"/>
          </w:tcPr>
          <w:p w14:paraId="58327E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桥梁结构修复</w:t>
            </w:r>
          </w:p>
        </w:tc>
        <w:tc>
          <w:tcPr>
            <w:tcW w:w="660" w:type="dxa"/>
            <w:tcBorders>
              <w:top w:val="single" w:color="000000" w:sz="4" w:space="0"/>
              <w:left w:val="nil"/>
              <w:bottom w:val="nil"/>
              <w:right w:val="single" w:color="000000" w:sz="4" w:space="0"/>
            </w:tcBorders>
            <w:shd w:val="clear" w:color="auto" w:fill="FFFFFF"/>
            <w:vAlign w:val="center"/>
          </w:tcPr>
          <w:p w14:paraId="392F85A7">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nil"/>
              <w:bottom w:val="nil"/>
              <w:right w:val="single" w:color="000000" w:sz="4" w:space="0"/>
            </w:tcBorders>
            <w:shd w:val="clear" w:color="auto" w:fill="FFFFFF"/>
            <w:vAlign w:val="center"/>
          </w:tcPr>
          <w:p w14:paraId="5A004870">
            <w:pPr>
              <w:jc w:val="center"/>
              <w:rPr>
                <w:rFonts w:hint="default" w:ascii="Arial Narrow" w:hAnsi="Arial Narrow" w:eastAsia="Arial Narrow" w:cs="Arial Narrow"/>
                <w:i w:val="0"/>
                <w:iCs w:val="0"/>
                <w:color w:val="000000"/>
                <w:sz w:val="16"/>
                <w:szCs w:val="16"/>
                <w:u w:val="none"/>
              </w:rPr>
            </w:pPr>
          </w:p>
        </w:tc>
        <w:tc>
          <w:tcPr>
            <w:tcW w:w="800" w:type="dxa"/>
            <w:tcBorders>
              <w:top w:val="single" w:color="000000" w:sz="4" w:space="0"/>
              <w:left w:val="nil"/>
              <w:bottom w:val="nil"/>
              <w:right w:val="single" w:color="000000" w:sz="4" w:space="0"/>
            </w:tcBorders>
            <w:shd w:val="clear" w:color="auto" w:fill="FFFFFF"/>
            <w:vAlign w:val="center"/>
          </w:tcPr>
          <w:p w14:paraId="227C1E96">
            <w:pPr>
              <w:jc w:val="right"/>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5A65D658">
            <w:pPr>
              <w:jc w:val="right"/>
              <w:rPr>
                <w:rFonts w:hint="default" w:ascii="Arial Narrow" w:hAnsi="Arial Narrow" w:eastAsia="Arial Narrow" w:cs="Arial Narrow"/>
                <w:i w:val="0"/>
                <w:iCs w:val="0"/>
                <w:color w:val="000000"/>
                <w:sz w:val="16"/>
                <w:szCs w:val="16"/>
                <w:u w:val="none"/>
              </w:rPr>
            </w:pPr>
          </w:p>
        </w:tc>
      </w:tr>
      <w:tr w14:paraId="4F8B0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single" w:color="auto" w:sz="4" w:space="0"/>
              <w:right w:val="single" w:color="000000" w:sz="4" w:space="0"/>
            </w:tcBorders>
            <w:shd w:val="clear" w:color="auto" w:fill="FFFFFF"/>
            <w:vAlign w:val="center"/>
          </w:tcPr>
          <w:p w14:paraId="63E35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406-3-a</w:t>
            </w:r>
          </w:p>
        </w:tc>
        <w:tc>
          <w:tcPr>
            <w:tcW w:w="5027" w:type="dxa"/>
            <w:tcBorders>
              <w:top w:val="single" w:color="000000" w:sz="4" w:space="0"/>
              <w:left w:val="nil"/>
              <w:bottom w:val="single" w:color="auto" w:sz="4" w:space="0"/>
              <w:right w:val="single" w:color="000000" w:sz="4" w:space="0"/>
            </w:tcBorders>
            <w:shd w:val="clear" w:color="auto" w:fill="FFFFFF"/>
            <w:vAlign w:val="center"/>
          </w:tcPr>
          <w:p w14:paraId="202BC9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＜0.15mm裂缝封闭</w:t>
            </w:r>
          </w:p>
        </w:tc>
        <w:tc>
          <w:tcPr>
            <w:tcW w:w="660" w:type="dxa"/>
            <w:tcBorders>
              <w:top w:val="single" w:color="000000" w:sz="4" w:space="0"/>
              <w:left w:val="nil"/>
              <w:bottom w:val="single" w:color="auto" w:sz="4" w:space="0"/>
              <w:right w:val="single" w:color="000000" w:sz="4" w:space="0"/>
            </w:tcBorders>
            <w:shd w:val="clear" w:color="auto" w:fill="FFFFFF"/>
            <w:vAlign w:val="center"/>
          </w:tcPr>
          <w:p w14:paraId="686BD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0" w:type="dxa"/>
            <w:tcBorders>
              <w:top w:val="single" w:color="000000" w:sz="4" w:space="0"/>
              <w:left w:val="nil"/>
              <w:bottom w:val="single" w:color="auto" w:sz="4" w:space="0"/>
              <w:right w:val="single" w:color="000000" w:sz="4" w:space="0"/>
            </w:tcBorders>
            <w:shd w:val="clear" w:color="auto" w:fill="FFFFFF"/>
            <w:vAlign w:val="center"/>
          </w:tcPr>
          <w:p w14:paraId="71FC3081">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301.32</w:t>
            </w:r>
          </w:p>
        </w:tc>
        <w:tc>
          <w:tcPr>
            <w:tcW w:w="800" w:type="dxa"/>
            <w:tcBorders>
              <w:top w:val="single" w:color="000000" w:sz="4" w:space="0"/>
              <w:left w:val="nil"/>
              <w:bottom w:val="single" w:color="auto" w:sz="4" w:space="0"/>
              <w:right w:val="single" w:color="000000" w:sz="4" w:space="0"/>
            </w:tcBorders>
            <w:shd w:val="clear" w:color="auto" w:fill="FFFFFF"/>
            <w:vAlign w:val="center"/>
          </w:tcPr>
          <w:p w14:paraId="6A5E686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single" w:color="auto" w:sz="4" w:space="0"/>
              <w:right w:val="single" w:color="000000" w:sz="8" w:space="0"/>
            </w:tcBorders>
            <w:shd w:val="clear" w:color="auto" w:fill="FFFFFF"/>
            <w:vAlign w:val="center"/>
          </w:tcPr>
          <w:p w14:paraId="1F3123F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0CBE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auto" w:sz="4" w:space="0"/>
              <w:left w:val="single" w:color="auto" w:sz="4" w:space="0"/>
              <w:bottom w:val="single" w:color="auto" w:sz="4" w:space="0"/>
              <w:right w:val="single" w:color="000000" w:sz="4" w:space="0"/>
            </w:tcBorders>
            <w:shd w:val="clear" w:color="auto" w:fill="FFFFFF"/>
            <w:vAlign w:val="center"/>
          </w:tcPr>
          <w:p w14:paraId="69DA5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406-3-b</w:t>
            </w:r>
          </w:p>
        </w:tc>
        <w:tc>
          <w:tcPr>
            <w:tcW w:w="5027" w:type="dxa"/>
            <w:tcBorders>
              <w:top w:val="single" w:color="auto" w:sz="4" w:space="0"/>
              <w:left w:val="nil"/>
              <w:bottom w:val="single" w:color="auto" w:sz="4" w:space="0"/>
              <w:right w:val="single" w:color="000000" w:sz="4" w:space="0"/>
            </w:tcBorders>
            <w:shd w:val="clear" w:color="auto" w:fill="FFFFFF"/>
            <w:vAlign w:val="center"/>
          </w:tcPr>
          <w:p w14:paraId="2841A8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≥0.15mm压力灌浆</w:t>
            </w:r>
          </w:p>
        </w:tc>
        <w:tc>
          <w:tcPr>
            <w:tcW w:w="660" w:type="dxa"/>
            <w:tcBorders>
              <w:top w:val="single" w:color="auto" w:sz="4" w:space="0"/>
              <w:left w:val="nil"/>
              <w:bottom w:val="single" w:color="auto" w:sz="4" w:space="0"/>
              <w:right w:val="single" w:color="000000" w:sz="4" w:space="0"/>
            </w:tcBorders>
            <w:shd w:val="clear" w:color="auto" w:fill="FFFFFF"/>
            <w:vAlign w:val="center"/>
          </w:tcPr>
          <w:p w14:paraId="5E34B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0" w:type="dxa"/>
            <w:tcBorders>
              <w:top w:val="single" w:color="auto" w:sz="4" w:space="0"/>
              <w:left w:val="nil"/>
              <w:bottom w:val="single" w:color="auto" w:sz="4" w:space="0"/>
              <w:right w:val="single" w:color="000000" w:sz="4" w:space="0"/>
            </w:tcBorders>
            <w:shd w:val="clear" w:color="auto" w:fill="FFFFFF"/>
            <w:vAlign w:val="center"/>
          </w:tcPr>
          <w:p w14:paraId="563360BA">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200.88</w:t>
            </w:r>
          </w:p>
        </w:tc>
        <w:tc>
          <w:tcPr>
            <w:tcW w:w="800" w:type="dxa"/>
            <w:tcBorders>
              <w:top w:val="single" w:color="auto" w:sz="4" w:space="0"/>
              <w:left w:val="nil"/>
              <w:bottom w:val="single" w:color="auto" w:sz="4" w:space="0"/>
              <w:right w:val="single" w:color="000000" w:sz="4" w:space="0"/>
            </w:tcBorders>
            <w:shd w:val="clear" w:color="auto" w:fill="FFFFFF"/>
            <w:vAlign w:val="center"/>
          </w:tcPr>
          <w:p w14:paraId="7951DFB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auto" w:sz="4" w:space="0"/>
              <w:left w:val="nil"/>
              <w:bottom w:val="single" w:color="auto" w:sz="4" w:space="0"/>
              <w:right w:val="single" w:color="auto" w:sz="4" w:space="0"/>
            </w:tcBorders>
            <w:shd w:val="clear" w:color="auto" w:fill="FFFFFF"/>
            <w:vAlign w:val="center"/>
          </w:tcPr>
          <w:p w14:paraId="17BC71F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F3D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auto" w:sz="4" w:space="0"/>
              <w:left w:val="single" w:color="000000" w:sz="8" w:space="0"/>
              <w:bottom w:val="nil"/>
              <w:right w:val="single" w:color="000000" w:sz="4" w:space="0"/>
            </w:tcBorders>
            <w:shd w:val="clear" w:color="auto" w:fill="FFFFFF"/>
            <w:vAlign w:val="center"/>
          </w:tcPr>
          <w:p w14:paraId="713D6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406-3-c</w:t>
            </w:r>
          </w:p>
        </w:tc>
        <w:tc>
          <w:tcPr>
            <w:tcW w:w="5027" w:type="dxa"/>
            <w:tcBorders>
              <w:top w:val="single" w:color="auto" w:sz="4" w:space="0"/>
              <w:left w:val="nil"/>
              <w:bottom w:val="nil"/>
              <w:right w:val="single" w:color="000000" w:sz="4" w:space="0"/>
            </w:tcBorders>
            <w:shd w:val="clear" w:color="auto" w:fill="FFFFFF"/>
            <w:vAlign w:val="center"/>
          </w:tcPr>
          <w:p w14:paraId="12D71A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混凝土缺陷修复</w:t>
            </w:r>
          </w:p>
        </w:tc>
        <w:tc>
          <w:tcPr>
            <w:tcW w:w="660" w:type="dxa"/>
            <w:tcBorders>
              <w:top w:val="single" w:color="auto" w:sz="4" w:space="0"/>
              <w:left w:val="nil"/>
              <w:bottom w:val="nil"/>
              <w:right w:val="single" w:color="000000" w:sz="4" w:space="0"/>
            </w:tcBorders>
            <w:shd w:val="clear" w:color="auto" w:fill="FFFFFF"/>
            <w:vAlign w:val="center"/>
          </w:tcPr>
          <w:p w14:paraId="1F3E9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50" w:type="dxa"/>
            <w:tcBorders>
              <w:top w:val="single" w:color="auto" w:sz="4" w:space="0"/>
              <w:left w:val="nil"/>
              <w:bottom w:val="nil"/>
              <w:right w:val="single" w:color="000000" w:sz="4" w:space="0"/>
            </w:tcBorders>
            <w:shd w:val="clear" w:color="auto" w:fill="FFFFFF"/>
            <w:vAlign w:val="center"/>
          </w:tcPr>
          <w:p w14:paraId="37C8A320">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5.1</w:t>
            </w:r>
          </w:p>
        </w:tc>
        <w:tc>
          <w:tcPr>
            <w:tcW w:w="800" w:type="dxa"/>
            <w:tcBorders>
              <w:top w:val="single" w:color="auto" w:sz="4" w:space="0"/>
              <w:left w:val="nil"/>
              <w:bottom w:val="nil"/>
              <w:right w:val="single" w:color="000000" w:sz="4" w:space="0"/>
            </w:tcBorders>
            <w:shd w:val="clear" w:color="auto" w:fill="FFFFFF"/>
            <w:vAlign w:val="center"/>
          </w:tcPr>
          <w:p w14:paraId="358E338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auto" w:sz="4" w:space="0"/>
              <w:left w:val="nil"/>
              <w:bottom w:val="nil"/>
              <w:right w:val="single" w:color="000000" w:sz="8" w:space="0"/>
            </w:tcBorders>
            <w:shd w:val="clear" w:color="auto" w:fill="FFFFFF"/>
            <w:vAlign w:val="center"/>
          </w:tcPr>
          <w:p w14:paraId="2BDE516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819A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32C2F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406-4</w:t>
            </w:r>
          </w:p>
        </w:tc>
        <w:tc>
          <w:tcPr>
            <w:tcW w:w="5027" w:type="dxa"/>
            <w:tcBorders>
              <w:top w:val="single" w:color="000000" w:sz="4" w:space="0"/>
              <w:left w:val="nil"/>
              <w:bottom w:val="nil"/>
              <w:right w:val="single" w:color="000000" w:sz="4" w:space="0"/>
            </w:tcBorders>
            <w:shd w:val="clear" w:color="auto" w:fill="FFFFFF"/>
            <w:vAlign w:val="center"/>
          </w:tcPr>
          <w:p w14:paraId="5383B6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检修设施</w:t>
            </w:r>
          </w:p>
        </w:tc>
        <w:tc>
          <w:tcPr>
            <w:tcW w:w="660" w:type="dxa"/>
            <w:tcBorders>
              <w:top w:val="single" w:color="000000" w:sz="4" w:space="0"/>
              <w:left w:val="nil"/>
              <w:bottom w:val="nil"/>
              <w:right w:val="single" w:color="000000" w:sz="4" w:space="0"/>
            </w:tcBorders>
            <w:shd w:val="clear" w:color="auto" w:fill="FFFFFF"/>
            <w:vAlign w:val="center"/>
          </w:tcPr>
          <w:p w14:paraId="53027E0C">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nil"/>
              <w:bottom w:val="nil"/>
              <w:right w:val="single" w:color="000000" w:sz="4" w:space="0"/>
            </w:tcBorders>
            <w:shd w:val="clear" w:color="auto" w:fill="FFFFFF"/>
            <w:vAlign w:val="center"/>
          </w:tcPr>
          <w:p w14:paraId="3C8C5CD8">
            <w:pPr>
              <w:jc w:val="center"/>
              <w:rPr>
                <w:rFonts w:hint="default" w:ascii="Arial Narrow" w:hAnsi="Arial Narrow" w:eastAsia="Arial Narrow" w:cs="Arial Narrow"/>
                <w:i w:val="0"/>
                <w:iCs w:val="0"/>
                <w:color w:val="000000"/>
                <w:sz w:val="16"/>
                <w:szCs w:val="16"/>
                <w:u w:val="none"/>
              </w:rPr>
            </w:pPr>
          </w:p>
        </w:tc>
        <w:tc>
          <w:tcPr>
            <w:tcW w:w="800" w:type="dxa"/>
            <w:tcBorders>
              <w:top w:val="single" w:color="000000" w:sz="4" w:space="0"/>
              <w:left w:val="nil"/>
              <w:bottom w:val="nil"/>
              <w:right w:val="single" w:color="000000" w:sz="4" w:space="0"/>
            </w:tcBorders>
            <w:shd w:val="clear" w:color="auto" w:fill="FFFFFF"/>
            <w:vAlign w:val="center"/>
          </w:tcPr>
          <w:p w14:paraId="2020BA09">
            <w:pPr>
              <w:jc w:val="right"/>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6493CC29">
            <w:pPr>
              <w:jc w:val="right"/>
              <w:rPr>
                <w:rFonts w:hint="default" w:ascii="Arial Narrow" w:hAnsi="Arial Narrow" w:eastAsia="Arial Narrow" w:cs="Arial Narrow"/>
                <w:i w:val="0"/>
                <w:iCs w:val="0"/>
                <w:color w:val="000000"/>
                <w:sz w:val="16"/>
                <w:szCs w:val="16"/>
                <w:u w:val="none"/>
              </w:rPr>
            </w:pPr>
          </w:p>
        </w:tc>
      </w:tr>
      <w:tr w14:paraId="23A1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1A401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w:t>
            </w:r>
          </w:p>
        </w:tc>
        <w:tc>
          <w:tcPr>
            <w:tcW w:w="5027" w:type="dxa"/>
            <w:tcBorders>
              <w:top w:val="single" w:color="000000" w:sz="4" w:space="0"/>
              <w:left w:val="nil"/>
              <w:bottom w:val="nil"/>
              <w:right w:val="single" w:color="000000" w:sz="4" w:space="0"/>
            </w:tcBorders>
            <w:shd w:val="clear" w:color="auto" w:fill="FFFFFF"/>
            <w:vAlign w:val="center"/>
          </w:tcPr>
          <w:p w14:paraId="242DF3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660" w:type="dxa"/>
            <w:tcBorders>
              <w:top w:val="single" w:color="000000" w:sz="4" w:space="0"/>
              <w:left w:val="nil"/>
              <w:bottom w:val="nil"/>
              <w:right w:val="single" w:color="000000" w:sz="4" w:space="0"/>
            </w:tcBorders>
            <w:shd w:val="clear" w:color="auto" w:fill="FFFFFF"/>
            <w:vAlign w:val="center"/>
          </w:tcPr>
          <w:p w14:paraId="77E7370F">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nil"/>
              <w:bottom w:val="nil"/>
              <w:right w:val="single" w:color="000000" w:sz="4" w:space="0"/>
            </w:tcBorders>
            <w:shd w:val="clear" w:color="auto" w:fill="FFFFFF"/>
            <w:vAlign w:val="center"/>
          </w:tcPr>
          <w:p w14:paraId="23D39F2B">
            <w:pPr>
              <w:jc w:val="center"/>
              <w:rPr>
                <w:rFonts w:hint="default" w:ascii="Arial Narrow" w:hAnsi="Arial Narrow" w:eastAsia="Arial Narrow" w:cs="Arial Narrow"/>
                <w:i w:val="0"/>
                <w:iCs w:val="0"/>
                <w:color w:val="000000"/>
                <w:sz w:val="16"/>
                <w:szCs w:val="16"/>
                <w:u w:val="none"/>
              </w:rPr>
            </w:pPr>
          </w:p>
        </w:tc>
        <w:tc>
          <w:tcPr>
            <w:tcW w:w="800" w:type="dxa"/>
            <w:tcBorders>
              <w:top w:val="single" w:color="000000" w:sz="4" w:space="0"/>
              <w:left w:val="nil"/>
              <w:bottom w:val="nil"/>
              <w:right w:val="single" w:color="000000" w:sz="4" w:space="0"/>
            </w:tcBorders>
            <w:shd w:val="clear" w:color="auto" w:fill="FFFFFF"/>
            <w:vAlign w:val="center"/>
          </w:tcPr>
          <w:p w14:paraId="2CE286FA">
            <w:pPr>
              <w:jc w:val="right"/>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3B1793A0">
            <w:pPr>
              <w:jc w:val="right"/>
              <w:rPr>
                <w:rFonts w:hint="default" w:ascii="Arial Narrow" w:hAnsi="Arial Narrow" w:eastAsia="Arial Narrow" w:cs="Arial Narrow"/>
                <w:i w:val="0"/>
                <w:iCs w:val="0"/>
                <w:color w:val="000000"/>
                <w:sz w:val="16"/>
                <w:szCs w:val="16"/>
                <w:u w:val="none"/>
              </w:rPr>
            </w:pPr>
          </w:p>
        </w:tc>
      </w:tr>
      <w:tr w14:paraId="5E79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6860A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423-1</w:t>
            </w:r>
          </w:p>
        </w:tc>
        <w:tc>
          <w:tcPr>
            <w:tcW w:w="5027" w:type="dxa"/>
            <w:tcBorders>
              <w:top w:val="single" w:color="000000" w:sz="4" w:space="0"/>
              <w:left w:val="nil"/>
              <w:bottom w:val="nil"/>
              <w:right w:val="single" w:color="000000" w:sz="4" w:space="0"/>
            </w:tcBorders>
            <w:shd w:val="clear" w:color="auto" w:fill="FFFFFF"/>
            <w:vAlign w:val="center"/>
          </w:tcPr>
          <w:p w14:paraId="1134A5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新建检修设施（含钢平台、爬梯、隔离门）</w:t>
            </w:r>
          </w:p>
        </w:tc>
        <w:tc>
          <w:tcPr>
            <w:tcW w:w="660" w:type="dxa"/>
            <w:tcBorders>
              <w:top w:val="single" w:color="000000" w:sz="4" w:space="0"/>
              <w:left w:val="nil"/>
              <w:bottom w:val="nil"/>
              <w:right w:val="single" w:color="000000" w:sz="4" w:space="0"/>
            </w:tcBorders>
            <w:shd w:val="clear" w:color="auto" w:fill="FFFFFF"/>
            <w:vAlign w:val="center"/>
          </w:tcPr>
          <w:p w14:paraId="511F8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750" w:type="dxa"/>
            <w:tcBorders>
              <w:top w:val="single" w:color="000000" w:sz="4" w:space="0"/>
              <w:left w:val="nil"/>
              <w:bottom w:val="nil"/>
              <w:right w:val="single" w:color="000000" w:sz="4" w:space="0"/>
            </w:tcBorders>
            <w:shd w:val="clear" w:color="auto" w:fill="FFFFFF"/>
            <w:vAlign w:val="center"/>
          </w:tcPr>
          <w:p w14:paraId="0012B32F">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00" w:type="dxa"/>
            <w:tcBorders>
              <w:top w:val="single" w:color="000000" w:sz="4" w:space="0"/>
              <w:left w:val="nil"/>
              <w:bottom w:val="nil"/>
              <w:right w:val="single" w:color="000000" w:sz="4" w:space="0"/>
            </w:tcBorders>
            <w:shd w:val="clear" w:color="auto" w:fill="FFFFFF"/>
            <w:vAlign w:val="center"/>
          </w:tcPr>
          <w:p w14:paraId="5167581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522FBED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78C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nil"/>
              <w:right w:val="single" w:color="000000" w:sz="4" w:space="0"/>
            </w:tcBorders>
            <w:shd w:val="clear" w:color="auto" w:fill="FFFFFF"/>
            <w:vAlign w:val="center"/>
          </w:tcPr>
          <w:p w14:paraId="5034F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423-2</w:t>
            </w:r>
          </w:p>
        </w:tc>
        <w:tc>
          <w:tcPr>
            <w:tcW w:w="5027" w:type="dxa"/>
            <w:tcBorders>
              <w:top w:val="single" w:color="000000" w:sz="4" w:space="0"/>
              <w:left w:val="nil"/>
              <w:bottom w:val="nil"/>
              <w:right w:val="single" w:color="000000" w:sz="4" w:space="0"/>
            </w:tcBorders>
            <w:shd w:val="clear" w:color="auto" w:fill="FFFFFF"/>
            <w:vAlign w:val="center"/>
          </w:tcPr>
          <w:p w14:paraId="5EB99F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桥下杂物清理（含弃运）</w:t>
            </w:r>
          </w:p>
        </w:tc>
        <w:tc>
          <w:tcPr>
            <w:tcW w:w="660" w:type="dxa"/>
            <w:tcBorders>
              <w:top w:val="single" w:color="000000" w:sz="4" w:space="0"/>
              <w:left w:val="nil"/>
              <w:bottom w:val="nil"/>
              <w:right w:val="single" w:color="000000" w:sz="4" w:space="0"/>
            </w:tcBorders>
            <w:shd w:val="clear" w:color="auto" w:fill="FFFFFF"/>
            <w:vAlign w:val="center"/>
          </w:tcPr>
          <w:p w14:paraId="51027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50" w:type="dxa"/>
            <w:tcBorders>
              <w:top w:val="single" w:color="000000" w:sz="4" w:space="0"/>
              <w:left w:val="nil"/>
              <w:bottom w:val="nil"/>
              <w:right w:val="single" w:color="000000" w:sz="4" w:space="0"/>
            </w:tcBorders>
            <w:shd w:val="clear" w:color="auto" w:fill="FFFFFF"/>
            <w:vAlign w:val="center"/>
          </w:tcPr>
          <w:p w14:paraId="6B4A396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w:t>
            </w:r>
          </w:p>
        </w:tc>
        <w:tc>
          <w:tcPr>
            <w:tcW w:w="800" w:type="dxa"/>
            <w:tcBorders>
              <w:top w:val="single" w:color="000000" w:sz="4" w:space="0"/>
              <w:left w:val="nil"/>
              <w:bottom w:val="nil"/>
              <w:right w:val="single" w:color="000000" w:sz="4" w:space="0"/>
            </w:tcBorders>
            <w:shd w:val="clear" w:color="auto" w:fill="FFFFFF"/>
            <w:vAlign w:val="center"/>
          </w:tcPr>
          <w:p w14:paraId="32875F1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nil"/>
              <w:right w:val="single" w:color="000000" w:sz="8" w:space="0"/>
            </w:tcBorders>
            <w:shd w:val="clear" w:color="auto" w:fill="FFFFFF"/>
            <w:vAlign w:val="center"/>
          </w:tcPr>
          <w:p w14:paraId="246BE50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498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tcBorders>
              <w:top w:val="single" w:color="000000" w:sz="4" w:space="0"/>
              <w:left w:val="single" w:color="000000" w:sz="8" w:space="0"/>
              <w:bottom w:val="single" w:color="auto" w:sz="4" w:space="0"/>
              <w:right w:val="single" w:color="000000" w:sz="4" w:space="0"/>
            </w:tcBorders>
            <w:shd w:val="clear" w:color="auto" w:fill="FFFFFF"/>
            <w:vAlign w:val="center"/>
          </w:tcPr>
          <w:p w14:paraId="523F5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423-3</w:t>
            </w:r>
          </w:p>
        </w:tc>
        <w:tc>
          <w:tcPr>
            <w:tcW w:w="5027" w:type="dxa"/>
            <w:tcBorders>
              <w:top w:val="single" w:color="000000" w:sz="4" w:space="0"/>
              <w:left w:val="nil"/>
              <w:bottom w:val="single" w:color="auto" w:sz="4" w:space="0"/>
              <w:right w:val="single" w:color="000000" w:sz="4" w:space="0"/>
            </w:tcBorders>
            <w:shd w:val="clear" w:color="auto" w:fill="FFFFFF"/>
            <w:vAlign w:val="center"/>
          </w:tcPr>
          <w:p w14:paraId="7CECBE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桥检车</w:t>
            </w:r>
          </w:p>
        </w:tc>
        <w:tc>
          <w:tcPr>
            <w:tcW w:w="660" w:type="dxa"/>
            <w:tcBorders>
              <w:top w:val="single" w:color="000000" w:sz="4" w:space="0"/>
              <w:left w:val="nil"/>
              <w:bottom w:val="single" w:color="auto" w:sz="4" w:space="0"/>
              <w:right w:val="single" w:color="000000" w:sz="4" w:space="0"/>
            </w:tcBorders>
            <w:shd w:val="clear" w:color="auto" w:fill="FFFFFF"/>
            <w:vAlign w:val="center"/>
          </w:tcPr>
          <w:p w14:paraId="205C7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750" w:type="dxa"/>
            <w:tcBorders>
              <w:top w:val="single" w:color="000000" w:sz="4" w:space="0"/>
              <w:left w:val="nil"/>
              <w:bottom w:val="single" w:color="auto" w:sz="4" w:space="0"/>
              <w:right w:val="single" w:color="000000" w:sz="4" w:space="0"/>
            </w:tcBorders>
            <w:shd w:val="clear" w:color="auto" w:fill="FFFFFF"/>
            <w:vAlign w:val="center"/>
          </w:tcPr>
          <w:p w14:paraId="2A94DFA7">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w:t>
            </w:r>
          </w:p>
        </w:tc>
        <w:tc>
          <w:tcPr>
            <w:tcW w:w="800" w:type="dxa"/>
            <w:tcBorders>
              <w:top w:val="single" w:color="000000" w:sz="4" w:space="0"/>
              <w:left w:val="nil"/>
              <w:bottom w:val="single" w:color="auto" w:sz="4" w:space="0"/>
              <w:right w:val="single" w:color="000000" w:sz="4" w:space="0"/>
            </w:tcBorders>
            <w:shd w:val="clear" w:color="auto" w:fill="FFFFFF"/>
            <w:vAlign w:val="center"/>
          </w:tcPr>
          <w:p w14:paraId="2A7C1FF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816" w:type="dxa"/>
            <w:tcBorders>
              <w:top w:val="single" w:color="000000" w:sz="4" w:space="0"/>
              <w:left w:val="nil"/>
              <w:bottom w:val="single" w:color="auto" w:sz="4" w:space="0"/>
              <w:right w:val="single" w:color="000000" w:sz="8" w:space="0"/>
            </w:tcBorders>
            <w:shd w:val="clear" w:color="auto" w:fill="FFFFFF"/>
            <w:vAlign w:val="center"/>
          </w:tcPr>
          <w:p w14:paraId="5A97F4A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D87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00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554EE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 400 章  合计   人民币          元</w:t>
            </w:r>
          </w:p>
        </w:tc>
      </w:tr>
    </w:tbl>
    <w:p w14:paraId="7D25908A">
      <w:pPr>
        <w:pStyle w:val="32"/>
        <w:rPr>
          <w:color w:val="auto"/>
          <w:highlight w:val="yellow"/>
          <w:lang w:val="en-US"/>
        </w:rPr>
      </w:pPr>
    </w:p>
    <w:p w14:paraId="4BA2C594">
      <w:pPr>
        <w:pStyle w:val="32"/>
        <w:rPr>
          <w:color w:val="auto"/>
          <w:highlight w:val="yellow"/>
          <w:lang w:val="en-US"/>
        </w:rPr>
      </w:pPr>
      <w:r>
        <w:rPr>
          <w:color w:val="auto"/>
          <w:highlight w:val="yellow"/>
          <w:lang w:val="en-US"/>
        </w:rPr>
        <w:br w:type="page"/>
      </w:r>
    </w:p>
    <w:tbl>
      <w:tblPr>
        <w:tblStyle w:val="61"/>
        <w:tblW w:w="90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4719"/>
        <w:gridCol w:w="765"/>
        <w:gridCol w:w="810"/>
        <w:gridCol w:w="870"/>
        <w:gridCol w:w="975"/>
      </w:tblGrid>
      <w:tr w14:paraId="02E42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021" w:type="dxa"/>
            <w:gridSpan w:val="6"/>
            <w:tcBorders>
              <w:top w:val="single" w:color="000000" w:sz="8" w:space="0"/>
              <w:left w:val="single" w:color="000000" w:sz="8" w:space="0"/>
              <w:bottom w:val="nil"/>
              <w:right w:val="single" w:color="000000" w:sz="8" w:space="0"/>
            </w:tcBorders>
            <w:shd w:val="clear" w:color="auto" w:fill="FFFFFF"/>
            <w:vAlign w:val="center"/>
          </w:tcPr>
          <w:p w14:paraId="2C398E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 600 章     沿线设施</w:t>
            </w:r>
          </w:p>
        </w:tc>
      </w:tr>
      <w:tr w14:paraId="4493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FF8C7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4719" w:type="dxa"/>
            <w:tcBorders>
              <w:top w:val="single" w:color="000000" w:sz="4" w:space="0"/>
              <w:left w:val="nil"/>
              <w:bottom w:val="nil"/>
              <w:right w:val="single" w:color="000000" w:sz="4" w:space="0"/>
            </w:tcBorders>
            <w:shd w:val="clear" w:color="auto" w:fill="FFFFFF"/>
            <w:vAlign w:val="center"/>
          </w:tcPr>
          <w:p w14:paraId="17AD97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765" w:type="dxa"/>
            <w:tcBorders>
              <w:top w:val="single" w:color="000000" w:sz="4" w:space="0"/>
              <w:left w:val="nil"/>
              <w:bottom w:val="nil"/>
              <w:right w:val="single" w:color="000000" w:sz="4" w:space="0"/>
            </w:tcBorders>
            <w:shd w:val="clear" w:color="auto" w:fill="FFFFFF"/>
            <w:vAlign w:val="center"/>
          </w:tcPr>
          <w:p w14:paraId="5136B5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10" w:type="dxa"/>
            <w:tcBorders>
              <w:top w:val="single" w:color="000000" w:sz="4" w:space="0"/>
              <w:left w:val="nil"/>
              <w:bottom w:val="nil"/>
              <w:right w:val="single" w:color="000000" w:sz="4" w:space="0"/>
            </w:tcBorders>
            <w:shd w:val="clear" w:color="auto" w:fill="FFFFFF"/>
            <w:vAlign w:val="center"/>
          </w:tcPr>
          <w:p w14:paraId="4BF6D3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870" w:type="dxa"/>
            <w:tcBorders>
              <w:top w:val="single" w:color="000000" w:sz="4" w:space="0"/>
              <w:left w:val="nil"/>
              <w:bottom w:val="nil"/>
              <w:right w:val="single" w:color="000000" w:sz="4" w:space="0"/>
            </w:tcBorders>
            <w:shd w:val="clear" w:color="auto" w:fill="FFFFFF"/>
            <w:vAlign w:val="center"/>
          </w:tcPr>
          <w:p w14:paraId="6FA03A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975" w:type="dxa"/>
            <w:tcBorders>
              <w:top w:val="single" w:color="000000" w:sz="4" w:space="0"/>
              <w:left w:val="nil"/>
              <w:bottom w:val="nil"/>
              <w:right w:val="single" w:color="000000" w:sz="8" w:space="0"/>
            </w:tcBorders>
            <w:shd w:val="clear" w:color="auto" w:fill="FFFFFF"/>
            <w:vAlign w:val="center"/>
          </w:tcPr>
          <w:p w14:paraId="520987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6C16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3766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w:t>
            </w:r>
          </w:p>
        </w:tc>
        <w:tc>
          <w:tcPr>
            <w:tcW w:w="4719" w:type="dxa"/>
            <w:tcBorders>
              <w:top w:val="single" w:color="000000" w:sz="4" w:space="0"/>
              <w:left w:val="nil"/>
              <w:bottom w:val="nil"/>
              <w:right w:val="single" w:color="000000" w:sz="4" w:space="0"/>
            </w:tcBorders>
            <w:shd w:val="clear" w:color="auto" w:fill="FFFFFF"/>
            <w:vAlign w:val="center"/>
          </w:tcPr>
          <w:p w14:paraId="3B6315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波形护栏</w:t>
            </w:r>
          </w:p>
        </w:tc>
        <w:tc>
          <w:tcPr>
            <w:tcW w:w="765" w:type="dxa"/>
            <w:tcBorders>
              <w:top w:val="single" w:color="000000" w:sz="4" w:space="0"/>
              <w:left w:val="nil"/>
              <w:bottom w:val="nil"/>
              <w:right w:val="single" w:color="000000" w:sz="4" w:space="0"/>
            </w:tcBorders>
            <w:shd w:val="clear" w:color="auto" w:fill="FFFFFF"/>
            <w:vAlign w:val="center"/>
          </w:tcPr>
          <w:p w14:paraId="3FC8B1FF">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nil"/>
              <w:bottom w:val="nil"/>
              <w:right w:val="single" w:color="000000" w:sz="4" w:space="0"/>
            </w:tcBorders>
            <w:shd w:val="clear" w:color="auto" w:fill="FFFFFF"/>
            <w:vAlign w:val="center"/>
          </w:tcPr>
          <w:p w14:paraId="2235442C">
            <w:pPr>
              <w:jc w:val="center"/>
              <w:rPr>
                <w:rFonts w:hint="eastAsia" w:ascii="Arial Narrow" w:hAnsi="Arial Narrow" w:eastAsia="Arial Narrow" w:cs="Arial Narrow"/>
                <w:i w:val="0"/>
                <w:iCs w:val="0"/>
                <w:color w:val="000000"/>
                <w:sz w:val="16"/>
                <w:szCs w:val="16"/>
                <w:u w:val="none"/>
              </w:rPr>
            </w:pPr>
          </w:p>
        </w:tc>
        <w:tc>
          <w:tcPr>
            <w:tcW w:w="870" w:type="dxa"/>
            <w:tcBorders>
              <w:top w:val="single" w:color="000000" w:sz="4" w:space="0"/>
              <w:left w:val="nil"/>
              <w:bottom w:val="nil"/>
              <w:right w:val="single" w:color="000000" w:sz="4" w:space="0"/>
            </w:tcBorders>
            <w:shd w:val="clear" w:color="auto" w:fill="FFFFFF"/>
            <w:vAlign w:val="center"/>
          </w:tcPr>
          <w:p w14:paraId="2C0F71D2">
            <w:pPr>
              <w:jc w:val="right"/>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5C3A3B9E">
            <w:pPr>
              <w:jc w:val="right"/>
              <w:rPr>
                <w:rFonts w:hint="default" w:ascii="Arial Narrow" w:hAnsi="Arial Narrow" w:eastAsia="Arial Narrow" w:cs="Arial Narrow"/>
                <w:i w:val="0"/>
                <w:iCs w:val="0"/>
                <w:color w:val="000000"/>
                <w:sz w:val="16"/>
                <w:szCs w:val="16"/>
                <w:u w:val="none"/>
              </w:rPr>
            </w:pPr>
          </w:p>
        </w:tc>
      </w:tr>
      <w:tr w14:paraId="2F72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26C84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603-4</w:t>
            </w:r>
          </w:p>
        </w:tc>
        <w:tc>
          <w:tcPr>
            <w:tcW w:w="4719" w:type="dxa"/>
            <w:tcBorders>
              <w:top w:val="single" w:color="000000" w:sz="4" w:space="0"/>
              <w:left w:val="nil"/>
              <w:bottom w:val="nil"/>
              <w:right w:val="single" w:color="000000" w:sz="4" w:space="0"/>
            </w:tcBorders>
            <w:shd w:val="clear" w:color="auto" w:fill="FFFFFF"/>
            <w:vAlign w:val="center"/>
          </w:tcPr>
          <w:p w14:paraId="329B82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w:t>
            </w:r>
          </w:p>
        </w:tc>
        <w:tc>
          <w:tcPr>
            <w:tcW w:w="765" w:type="dxa"/>
            <w:tcBorders>
              <w:top w:val="single" w:color="000000" w:sz="4" w:space="0"/>
              <w:left w:val="nil"/>
              <w:bottom w:val="nil"/>
              <w:right w:val="single" w:color="000000" w:sz="4" w:space="0"/>
            </w:tcBorders>
            <w:shd w:val="clear" w:color="auto" w:fill="FFFFFF"/>
            <w:vAlign w:val="center"/>
          </w:tcPr>
          <w:p w14:paraId="5F51A5AD">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nil"/>
              <w:bottom w:val="nil"/>
              <w:right w:val="single" w:color="000000" w:sz="4" w:space="0"/>
            </w:tcBorders>
            <w:shd w:val="clear" w:color="auto" w:fill="FFFFFF"/>
            <w:vAlign w:val="center"/>
          </w:tcPr>
          <w:p w14:paraId="09B5F0E3">
            <w:pPr>
              <w:jc w:val="center"/>
              <w:rPr>
                <w:rFonts w:hint="default" w:ascii="Arial Narrow" w:hAnsi="Arial Narrow" w:eastAsia="Arial Narrow" w:cs="Arial Narrow"/>
                <w:i w:val="0"/>
                <w:iCs w:val="0"/>
                <w:color w:val="000000"/>
                <w:sz w:val="16"/>
                <w:szCs w:val="16"/>
                <w:u w:val="none"/>
              </w:rPr>
            </w:pPr>
          </w:p>
        </w:tc>
        <w:tc>
          <w:tcPr>
            <w:tcW w:w="870" w:type="dxa"/>
            <w:tcBorders>
              <w:top w:val="single" w:color="000000" w:sz="4" w:space="0"/>
              <w:left w:val="nil"/>
              <w:bottom w:val="nil"/>
              <w:right w:val="single" w:color="000000" w:sz="4" w:space="0"/>
            </w:tcBorders>
            <w:shd w:val="clear" w:color="auto" w:fill="FFFFFF"/>
            <w:vAlign w:val="center"/>
          </w:tcPr>
          <w:p w14:paraId="0A16F00D">
            <w:pPr>
              <w:jc w:val="right"/>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5B1458E5">
            <w:pPr>
              <w:jc w:val="right"/>
              <w:rPr>
                <w:rFonts w:hint="default" w:ascii="Arial Narrow" w:hAnsi="Arial Narrow" w:eastAsia="Arial Narrow" w:cs="Arial Narrow"/>
                <w:i w:val="0"/>
                <w:iCs w:val="0"/>
                <w:color w:val="000000"/>
                <w:sz w:val="16"/>
                <w:szCs w:val="16"/>
                <w:u w:val="none"/>
              </w:rPr>
            </w:pPr>
          </w:p>
        </w:tc>
      </w:tr>
      <w:tr w14:paraId="284F4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CAC1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603-4-a</w:t>
            </w:r>
          </w:p>
        </w:tc>
        <w:tc>
          <w:tcPr>
            <w:tcW w:w="4719" w:type="dxa"/>
            <w:tcBorders>
              <w:top w:val="single" w:color="000000" w:sz="4" w:space="0"/>
              <w:left w:val="nil"/>
              <w:bottom w:val="nil"/>
              <w:right w:val="single" w:color="000000" w:sz="4" w:space="0"/>
            </w:tcBorders>
            <w:shd w:val="clear" w:color="auto" w:fill="FFFFFF"/>
            <w:vAlign w:val="center"/>
          </w:tcPr>
          <w:p w14:paraId="2203C3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Gr-SB-2E</w:t>
            </w:r>
          </w:p>
        </w:tc>
        <w:tc>
          <w:tcPr>
            <w:tcW w:w="765" w:type="dxa"/>
            <w:tcBorders>
              <w:top w:val="single" w:color="000000" w:sz="4" w:space="0"/>
              <w:left w:val="nil"/>
              <w:bottom w:val="nil"/>
              <w:right w:val="single" w:color="000000" w:sz="4" w:space="0"/>
            </w:tcBorders>
            <w:shd w:val="clear" w:color="auto" w:fill="FFFFFF"/>
            <w:vAlign w:val="center"/>
          </w:tcPr>
          <w:p w14:paraId="797B3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10" w:type="dxa"/>
            <w:tcBorders>
              <w:top w:val="single" w:color="000000" w:sz="4" w:space="0"/>
              <w:left w:val="nil"/>
              <w:bottom w:val="nil"/>
              <w:right w:val="single" w:color="000000" w:sz="4" w:space="0"/>
            </w:tcBorders>
            <w:shd w:val="clear" w:color="auto" w:fill="FFFFFF"/>
            <w:vAlign w:val="center"/>
          </w:tcPr>
          <w:p w14:paraId="56A28CC8">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288</w:t>
            </w:r>
          </w:p>
        </w:tc>
        <w:tc>
          <w:tcPr>
            <w:tcW w:w="870" w:type="dxa"/>
            <w:tcBorders>
              <w:top w:val="single" w:color="000000" w:sz="4" w:space="0"/>
              <w:left w:val="nil"/>
              <w:bottom w:val="nil"/>
              <w:right w:val="single" w:color="000000" w:sz="4" w:space="0"/>
            </w:tcBorders>
            <w:shd w:val="clear" w:color="auto" w:fill="FFFFFF"/>
            <w:vAlign w:val="center"/>
          </w:tcPr>
          <w:p w14:paraId="04452E9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4362FFD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0809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35645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603-4-b</w:t>
            </w:r>
          </w:p>
        </w:tc>
        <w:tc>
          <w:tcPr>
            <w:tcW w:w="4719" w:type="dxa"/>
            <w:tcBorders>
              <w:top w:val="single" w:color="000000" w:sz="4" w:space="0"/>
              <w:left w:val="nil"/>
              <w:bottom w:val="nil"/>
              <w:right w:val="single" w:color="000000" w:sz="4" w:space="0"/>
            </w:tcBorders>
            <w:shd w:val="clear" w:color="auto" w:fill="FFFFFF"/>
            <w:vAlign w:val="center"/>
          </w:tcPr>
          <w:p w14:paraId="4B3892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Gr-A-4E</w:t>
            </w:r>
          </w:p>
        </w:tc>
        <w:tc>
          <w:tcPr>
            <w:tcW w:w="765" w:type="dxa"/>
            <w:tcBorders>
              <w:top w:val="single" w:color="000000" w:sz="4" w:space="0"/>
              <w:left w:val="nil"/>
              <w:bottom w:val="nil"/>
              <w:right w:val="single" w:color="000000" w:sz="4" w:space="0"/>
            </w:tcBorders>
            <w:shd w:val="clear" w:color="auto" w:fill="FFFFFF"/>
            <w:vAlign w:val="center"/>
          </w:tcPr>
          <w:p w14:paraId="61BC6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10" w:type="dxa"/>
            <w:tcBorders>
              <w:top w:val="single" w:color="000000" w:sz="4" w:space="0"/>
              <w:left w:val="nil"/>
              <w:bottom w:val="nil"/>
              <w:right w:val="single" w:color="000000" w:sz="4" w:space="0"/>
            </w:tcBorders>
            <w:shd w:val="clear" w:color="auto" w:fill="FFFFFF"/>
            <w:vAlign w:val="center"/>
          </w:tcPr>
          <w:p w14:paraId="2A03A2C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96</w:t>
            </w:r>
          </w:p>
        </w:tc>
        <w:tc>
          <w:tcPr>
            <w:tcW w:w="870" w:type="dxa"/>
            <w:tcBorders>
              <w:top w:val="single" w:color="000000" w:sz="4" w:space="0"/>
              <w:left w:val="nil"/>
              <w:bottom w:val="nil"/>
              <w:right w:val="single" w:color="000000" w:sz="4" w:space="0"/>
            </w:tcBorders>
            <w:shd w:val="clear" w:color="auto" w:fill="FFFFFF"/>
            <w:vAlign w:val="center"/>
          </w:tcPr>
          <w:p w14:paraId="7B80A8A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57DEB5B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03EAC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9652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603-4-c</w:t>
            </w:r>
          </w:p>
        </w:tc>
        <w:tc>
          <w:tcPr>
            <w:tcW w:w="4719" w:type="dxa"/>
            <w:tcBorders>
              <w:top w:val="single" w:color="000000" w:sz="4" w:space="0"/>
              <w:left w:val="nil"/>
              <w:bottom w:val="nil"/>
              <w:right w:val="single" w:color="000000" w:sz="4" w:space="0"/>
            </w:tcBorders>
            <w:shd w:val="clear" w:color="auto" w:fill="FFFFFF"/>
            <w:vAlign w:val="center"/>
          </w:tcPr>
          <w:p w14:paraId="427A1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二三波波形梁过渡板</w:t>
            </w:r>
          </w:p>
        </w:tc>
        <w:tc>
          <w:tcPr>
            <w:tcW w:w="765" w:type="dxa"/>
            <w:tcBorders>
              <w:top w:val="single" w:color="000000" w:sz="4" w:space="0"/>
              <w:left w:val="nil"/>
              <w:bottom w:val="nil"/>
              <w:right w:val="single" w:color="000000" w:sz="4" w:space="0"/>
            </w:tcBorders>
            <w:shd w:val="clear" w:color="auto" w:fill="FFFFFF"/>
            <w:vAlign w:val="center"/>
          </w:tcPr>
          <w:p w14:paraId="7D4A7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10" w:type="dxa"/>
            <w:tcBorders>
              <w:top w:val="single" w:color="000000" w:sz="4" w:space="0"/>
              <w:left w:val="nil"/>
              <w:bottom w:val="nil"/>
              <w:right w:val="single" w:color="000000" w:sz="4" w:space="0"/>
            </w:tcBorders>
            <w:shd w:val="clear" w:color="auto" w:fill="FFFFFF"/>
            <w:vAlign w:val="center"/>
          </w:tcPr>
          <w:p w14:paraId="79AD905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48</w:t>
            </w:r>
          </w:p>
        </w:tc>
        <w:tc>
          <w:tcPr>
            <w:tcW w:w="870" w:type="dxa"/>
            <w:tcBorders>
              <w:top w:val="single" w:color="000000" w:sz="4" w:space="0"/>
              <w:left w:val="nil"/>
              <w:bottom w:val="nil"/>
              <w:right w:val="single" w:color="000000" w:sz="4" w:space="0"/>
            </w:tcBorders>
            <w:shd w:val="clear" w:color="auto" w:fill="FFFFFF"/>
            <w:vAlign w:val="center"/>
          </w:tcPr>
          <w:p w14:paraId="261BEC9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0937171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3240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1339B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603-4-d</w:t>
            </w:r>
          </w:p>
        </w:tc>
        <w:tc>
          <w:tcPr>
            <w:tcW w:w="4719" w:type="dxa"/>
            <w:tcBorders>
              <w:top w:val="single" w:color="000000" w:sz="4" w:space="0"/>
              <w:left w:val="nil"/>
              <w:bottom w:val="nil"/>
              <w:right w:val="single" w:color="000000" w:sz="4" w:space="0"/>
            </w:tcBorders>
            <w:shd w:val="clear" w:color="auto" w:fill="FFFFFF"/>
            <w:vAlign w:val="center"/>
          </w:tcPr>
          <w:p w14:paraId="7518BE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二波桥路搭接板</w:t>
            </w:r>
          </w:p>
        </w:tc>
        <w:tc>
          <w:tcPr>
            <w:tcW w:w="765" w:type="dxa"/>
            <w:tcBorders>
              <w:top w:val="single" w:color="000000" w:sz="4" w:space="0"/>
              <w:left w:val="nil"/>
              <w:bottom w:val="nil"/>
              <w:right w:val="single" w:color="000000" w:sz="4" w:space="0"/>
            </w:tcBorders>
            <w:shd w:val="clear" w:color="auto" w:fill="FFFFFF"/>
            <w:vAlign w:val="center"/>
          </w:tcPr>
          <w:p w14:paraId="19BC5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10" w:type="dxa"/>
            <w:tcBorders>
              <w:top w:val="single" w:color="000000" w:sz="4" w:space="0"/>
              <w:left w:val="nil"/>
              <w:bottom w:val="nil"/>
              <w:right w:val="single" w:color="000000" w:sz="4" w:space="0"/>
            </w:tcBorders>
            <w:shd w:val="clear" w:color="auto" w:fill="FFFFFF"/>
            <w:vAlign w:val="center"/>
          </w:tcPr>
          <w:p w14:paraId="4DAC624E">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96</w:t>
            </w:r>
          </w:p>
        </w:tc>
        <w:tc>
          <w:tcPr>
            <w:tcW w:w="870" w:type="dxa"/>
            <w:tcBorders>
              <w:top w:val="single" w:color="000000" w:sz="4" w:space="0"/>
              <w:left w:val="nil"/>
              <w:bottom w:val="nil"/>
              <w:right w:val="single" w:color="000000" w:sz="4" w:space="0"/>
            </w:tcBorders>
            <w:shd w:val="clear" w:color="auto" w:fill="FFFFFF"/>
            <w:vAlign w:val="center"/>
          </w:tcPr>
          <w:p w14:paraId="1E282B1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347212D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977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386C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603-4-e</w:t>
            </w:r>
          </w:p>
        </w:tc>
        <w:tc>
          <w:tcPr>
            <w:tcW w:w="4719" w:type="dxa"/>
            <w:tcBorders>
              <w:top w:val="single" w:color="000000" w:sz="4" w:space="0"/>
              <w:left w:val="nil"/>
              <w:bottom w:val="nil"/>
              <w:right w:val="single" w:color="000000" w:sz="4" w:space="0"/>
            </w:tcBorders>
            <w:shd w:val="clear" w:color="auto" w:fill="FFFFFF"/>
            <w:vAlign w:val="center"/>
          </w:tcPr>
          <w:p w14:paraId="58D6A7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二波半圆端头</w:t>
            </w:r>
          </w:p>
        </w:tc>
        <w:tc>
          <w:tcPr>
            <w:tcW w:w="765" w:type="dxa"/>
            <w:tcBorders>
              <w:top w:val="single" w:color="000000" w:sz="4" w:space="0"/>
              <w:left w:val="nil"/>
              <w:bottom w:val="nil"/>
              <w:right w:val="single" w:color="000000" w:sz="4" w:space="0"/>
            </w:tcBorders>
            <w:shd w:val="clear" w:color="auto" w:fill="FFFFFF"/>
            <w:vAlign w:val="center"/>
          </w:tcPr>
          <w:p w14:paraId="771CB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0" w:type="dxa"/>
            <w:tcBorders>
              <w:top w:val="single" w:color="000000" w:sz="4" w:space="0"/>
              <w:left w:val="nil"/>
              <w:bottom w:val="nil"/>
              <w:right w:val="single" w:color="000000" w:sz="4" w:space="0"/>
            </w:tcBorders>
            <w:shd w:val="clear" w:color="auto" w:fill="FFFFFF"/>
            <w:vAlign w:val="center"/>
          </w:tcPr>
          <w:p w14:paraId="12AB8075">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w:t>
            </w:r>
          </w:p>
        </w:tc>
        <w:tc>
          <w:tcPr>
            <w:tcW w:w="870" w:type="dxa"/>
            <w:tcBorders>
              <w:top w:val="single" w:color="000000" w:sz="4" w:space="0"/>
              <w:left w:val="nil"/>
              <w:bottom w:val="nil"/>
              <w:right w:val="single" w:color="000000" w:sz="4" w:space="0"/>
            </w:tcBorders>
            <w:shd w:val="clear" w:color="auto" w:fill="FFFFFF"/>
            <w:vAlign w:val="center"/>
          </w:tcPr>
          <w:p w14:paraId="2887E1C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5978AC8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74D5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39A02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603-4-f</w:t>
            </w:r>
          </w:p>
        </w:tc>
        <w:tc>
          <w:tcPr>
            <w:tcW w:w="4719" w:type="dxa"/>
            <w:tcBorders>
              <w:top w:val="single" w:color="000000" w:sz="4" w:space="0"/>
              <w:left w:val="nil"/>
              <w:bottom w:val="nil"/>
              <w:right w:val="single" w:color="000000" w:sz="4" w:space="0"/>
            </w:tcBorders>
            <w:shd w:val="clear" w:color="auto" w:fill="FFFFFF"/>
            <w:vAlign w:val="center"/>
          </w:tcPr>
          <w:p w14:paraId="596853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三波半圆端头</w:t>
            </w:r>
          </w:p>
        </w:tc>
        <w:tc>
          <w:tcPr>
            <w:tcW w:w="765" w:type="dxa"/>
            <w:tcBorders>
              <w:top w:val="single" w:color="000000" w:sz="4" w:space="0"/>
              <w:left w:val="nil"/>
              <w:bottom w:val="nil"/>
              <w:right w:val="single" w:color="000000" w:sz="4" w:space="0"/>
            </w:tcBorders>
            <w:shd w:val="clear" w:color="auto" w:fill="FFFFFF"/>
            <w:vAlign w:val="center"/>
          </w:tcPr>
          <w:p w14:paraId="7FBD4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0" w:type="dxa"/>
            <w:tcBorders>
              <w:top w:val="single" w:color="000000" w:sz="4" w:space="0"/>
              <w:left w:val="nil"/>
              <w:bottom w:val="nil"/>
              <w:right w:val="single" w:color="000000" w:sz="4" w:space="0"/>
            </w:tcBorders>
            <w:shd w:val="clear" w:color="auto" w:fill="FFFFFF"/>
            <w:vAlign w:val="center"/>
          </w:tcPr>
          <w:p w14:paraId="2A2BAAB6">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w:t>
            </w:r>
          </w:p>
        </w:tc>
        <w:tc>
          <w:tcPr>
            <w:tcW w:w="870" w:type="dxa"/>
            <w:tcBorders>
              <w:top w:val="single" w:color="000000" w:sz="4" w:space="0"/>
              <w:left w:val="nil"/>
              <w:bottom w:val="nil"/>
              <w:right w:val="single" w:color="000000" w:sz="4" w:space="0"/>
            </w:tcBorders>
            <w:shd w:val="clear" w:color="auto" w:fill="FFFFFF"/>
            <w:vAlign w:val="center"/>
          </w:tcPr>
          <w:p w14:paraId="202560B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5057965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E13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0FA71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w:t>
            </w:r>
          </w:p>
        </w:tc>
        <w:tc>
          <w:tcPr>
            <w:tcW w:w="4719" w:type="dxa"/>
            <w:tcBorders>
              <w:top w:val="single" w:color="000000" w:sz="4" w:space="0"/>
              <w:left w:val="nil"/>
              <w:bottom w:val="nil"/>
              <w:right w:val="single" w:color="000000" w:sz="4" w:space="0"/>
            </w:tcBorders>
            <w:shd w:val="clear" w:color="auto" w:fill="FFFFFF"/>
            <w:vAlign w:val="center"/>
          </w:tcPr>
          <w:p w14:paraId="291DBC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隔离栅、护网</w:t>
            </w:r>
          </w:p>
        </w:tc>
        <w:tc>
          <w:tcPr>
            <w:tcW w:w="765" w:type="dxa"/>
            <w:tcBorders>
              <w:top w:val="single" w:color="000000" w:sz="4" w:space="0"/>
              <w:left w:val="nil"/>
              <w:bottom w:val="nil"/>
              <w:right w:val="single" w:color="000000" w:sz="4" w:space="0"/>
            </w:tcBorders>
            <w:shd w:val="clear" w:color="auto" w:fill="FFFFFF"/>
            <w:vAlign w:val="center"/>
          </w:tcPr>
          <w:p w14:paraId="47ADC84A">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nil"/>
              <w:bottom w:val="nil"/>
              <w:right w:val="single" w:color="000000" w:sz="4" w:space="0"/>
            </w:tcBorders>
            <w:shd w:val="clear" w:color="auto" w:fill="FFFFFF"/>
            <w:vAlign w:val="center"/>
          </w:tcPr>
          <w:p w14:paraId="2464BBD2">
            <w:pPr>
              <w:jc w:val="center"/>
              <w:rPr>
                <w:rFonts w:hint="default" w:ascii="Arial Narrow" w:hAnsi="Arial Narrow" w:eastAsia="Arial Narrow" w:cs="Arial Narrow"/>
                <w:i w:val="0"/>
                <w:iCs w:val="0"/>
                <w:color w:val="000000"/>
                <w:sz w:val="16"/>
                <w:szCs w:val="16"/>
                <w:u w:val="none"/>
              </w:rPr>
            </w:pPr>
          </w:p>
        </w:tc>
        <w:tc>
          <w:tcPr>
            <w:tcW w:w="870" w:type="dxa"/>
            <w:tcBorders>
              <w:top w:val="single" w:color="000000" w:sz="4" w:space="0"/>
              <w:left w:val="nil"/>
              <w:bottom w:val="nil"/>
              <w:right w:val="single" w:color="000000" w:sz="4" w:space="0"/>
            </w:tcBorders>
            <w:shd w:val="clear" w:color="auto" w:fill="FFFFFF"/>
            <w:vAlign w:val="center"/>
          </w:tcPr>
          <w:p w14:paraId="451D2BA3">
            <w:pPr>
              <w:jc w:val="right"/>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138D1BCF">
            <w:pPr>
              <w:jc w:val="right"/>
              <w:rPr>
                <w:rFonts w:hint="default" w:ascii="Arial Narrow" w:hAnsi="Arial Narrow" w:eastAsia="Arial Narrow" w:cs="Arial Narrow"/>
                <w:i w:val="0"/>
                <w:iCs w:val="0"/>
                <w:color w:val="000000"/>
                <w:sz w:val="16"/>
                <w:szCs w:val="16"/>
                <w:u w:val="none"/>
              </w:rPr>
            </w:pPr>
          </w:p>
        </w:tc>
      </w:tr>
      <w:tr w14:paraId="15D8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8188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606-3</w:t>
            </w:r>
          </w:p>
        </w:tc>
        <w:tc>
          <w:tcPr>
            <w:tcW w:w="4719" w:type="dxa"/>
            <w:tcBorders>
              <w:top w:val="single" w:color="000000" w:sz="4" w:space="0"/>
              <w:left w:val="nil"/>
              <w:bottom w:val="nil"/>
              <w:right w:val="single" w:color="000000" w:sz="4" w:space="0"/>
            </w:tcBorders>
            <w:shd w:val="clear" w:color="auto" w:fill="FFFFFF"/>
            <w:vAlign w:val="center"/>
          </w:tcPr>
          <w:p w14:paraId="11991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安装隔离栅</w:t>
            </w:r>
          </w:p>
        </w:tc>
        <w:tc>
          <w:tcPr>
            <w:tcW w:w="765" w:type="dxa"/>
            <w:tcBorders>
              <w:top w:val="single" w:color="000000" w:sz="4" w:space="0"/>
              <w:left w:val="nil"/>
              <w:bottom w:val="nil"/>
              <w:right w:val="single" w:color="000000" w:sz="4" w:space="0"/>
            </w:tcBorders>
            <w:shd w:val="clear" w:color="auto" w:fill="FFFFFF"/>
            <w:vAlign w:val="center"/>
          </w:tcPr>
          <w:p w14:paraId="65602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10" w:type="dxa"/>
            <w:tcBorders>
              <w:top w:val="single" w:color="000000" w:sz="4" w:space="0"/>
              <w:left w:val="nil"/>
              <w:bottom w:val="nil"/>
              <w:right w:val="single" w:color="000000" w:sz="4" w:space="0"/>
            </w:tcBorders>
            <w:shd w:val="clear" w:color="auto" w:fill="FFFFFF"/>
            <w:vAlign w:val="center"/>
          </w:tcPr>
          <w:p w14:paraId="1C7F86F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125</w:t>
            </w:r>
          </w:p>
        </w:tc>
        <w:tc>
          <w:tcPr>
            <w:tcW w:w="870" w:type="dxa"/>
            <w:tcBorders>
              <w:top w:val="single" w:color="000000" w:sz="4" w:space="0"/>
              <w:left w:val="nil"/>
              <w:bottom w:val="nil"/>
              <w:right w:val="single" w:color="000000" w:sz="4" w:space="0"/>
            </w:tcBorders>
            <w:shd w:val="clear" w:color="auto" w:fill="FFFFFF"/>
            <w:vAlign w:val="center"/>
          </w:tcPr>
          <w:p w14:paraId="4F3B81A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37C714A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E89B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8286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606-7</w:t>
            </w:r>
          </w:p>
        </w:tc>
        <w:tc>
          <w:tcPr>
            <w:tcW w:w="4719" w:type="dxa"/>
            <w:tcBorders>
              <w:top w:val="single" w:color="000000" w:sz="4" w:space="0"/>
              <w:left w:val="nil"/>
              <w:bottom w:val="nil"/>
              <w:right w:val="single" w:color="000000" w:sz="4" w:space="0"/>
            </w:tcBorders>
            <w:shd w:val="clear" w:color="auto" w:fill="FFFFFF"/>
            <w:vAlign w:val="center"/>
          </w:tcPr>
          <w:p w14:paraId="082EE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安装防抛网</w:t>
            </w:r>
          </w:p>
        </w:tc>
        <w:tc>
          <w:tcPr>
            <w:tcW w:w="765" w:type="dxa"/>
            <w:tcBorders>
              <w:top w:val="single" w:color="000000" w:sz="4" w:space="0"/>
              <w:left w:val="nil"/>
              <w:bottom w:val="nil"/>
              <w:right w:val="single" w:color="000000" w:sz="4" w:space="0"/>
            </w:tcBorders>
            <w:shd w:val="clear" w:color="auto" w:fill="FFFFFF"/>
            <w:vAlign w:val="center"/>
          </w:tcPr>
          <w:p w14:paraId="226C7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10" w:type="dxa"/>
            <w:tcBorders>
              <w:top w:val="single" w:color="000000" w:sz="4" w:space="0"/>
              <w:left w:val="nil"/>
              <w:bottom w:val="nil"/>
              <w:right w:val="single" w:color="000000" w:sz="4" w:space="0"/>
            </w:tcBorders>
            <w:shd w:val="clear" w:color="auto" w:fill="FFFFFF"/>
            <w:vAlign w:val="center"/>
          </w:tcPr>
          <w:p w14:paraId="76F60DFA">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310</w:t>
            </w:r>
          </w:p>
        </w:tc>
        <w:tc>
          <w:tcPr>
            <w:tcW w:w="870" w:type="dxa"/>
            <w:tcBorders>
              <w:top w:val="single" w:color="000000" w:sz="4" w:space="0"/>
              <w:left w:val="nil"/>
              <w:bottom w:val="nil"/>
              <w:right w:val="single" w:color="000000" w:sz="4" w:space="0"/>
            </w:tcBorders>
            <w:shd w:val="clear" w:color="auto" w:fill="FFFFFF"/>
            <w:vAlign w:val="center"/>
          </w:tcPr>
          <w:p w14:paraId="42B1A08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50FF675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397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67ADD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w:t>
            </w:r>
          </w:p>
        </w:tc>
        <w:tc>
          <w:tcPr>
            <w:tcW w:w="4719" w:type="dxa"/>
            <w:tcBorders>
              <w:top w:val="single" w:color="000000" w:sz="4" w:space="0"/>
              <w:left w:val="nil"/>
              <w:bottom w:val="nil"/>
              <w:right w:val="single" w:color="000000" w:sz="4" w:space="0"/>
            </w:tcBorders>
            <w:shd w:val="clear" w:color="auto" w:fill="FFFFFF"/>
            <w:vAlign w:val="center"/>
          </w:tcPr>
          <w:p w14:paraId="25BA1D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单柱式交通标志</w:t>
            </w:r>
          </w:p>
        </w:tc>
        <w:tc>
          <w:tcPr>
            <w:tcW w:w="765" w:type="dxa"/>
            <w:tcBorders>
              <w:top w:val="single" w:color="000000" w:sz="4" w:space="0"/>
              <w:left w:val="nil"/>
              <w:bottom w:val="nil"/>
              <w:right w:val="single" w:color="000000" w:sz="4" w:space="0"/>
            </w:tcBorders>
            <w:shd w:val="clear" w:color="auto" w:fill="FFFFFF"/>
            <w:vAlign w:val="center"/>
          </w:tcPr>
          <w:p w14:paraId="58E03FEC">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nil"/>
              <w:bottom w:val="nil"/>
              <w:right w:val="single" w:color="000000" w:sz="4" w:space="0"/>
            </w:tcBorders>
            <w:shd w:val="clear" w:color="auto" w:fill="FFFFFF"/>
            <w:vAlign w:val="center"/>
          </w:tcPr>
          <w:p w14:paraId="7DBDE609">
            <w:pPr>
              <w:jc w:val="center"/>
              <w:rPr>
                <w:rFonts w:hint="default" w:ascii="Arial Narrow" w:hAnsi="Arial Narrow" w:eastAsia="Arial Narrow" w:cs="Arial Narrow"/>
                <w:i w:val="0"/>
                <w:iCs w:val="0"/>
                <w:color w:val="000000"/>
                <w:sz w:val="16"/>
                <w:szCs w:val="16"/>
                <w:u w:val="none"/>
              </w:rPr>
            </w:pPr>
          </w:p>
        </w:tc>
        <w:tc>
          <w:tcPr>
            <w:tcW w:w="870" w:type="dxa"/>
            <w:tcBorders>
              <w:top w:val="single" w:color="000000" w:sz="4" w:space="0"/>
              <w:left w:val="nil"/>
              <w:bottom w:val="nil"/>
              <w:right w:val="single" w:color="000000" w:sz="4" w:space="0"/>
            </w:tcBorders>
            <w:shd w:val="clear" w:color="auto" w:fill="FFFFFF"/>
            <w:vAlign w:val="center"/>
          </w:tcPr>
          <w:p w14:paraId="2F3DFAB1">
            <w:pPr>
              <w:jc w:val="right"/>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69DF0761">
            <w:pPr>
              <w:jc w:val="right"/>
              <w:rPr>
                <w:rFonts w:hint="default" w:ascii="Arial Narrow" w:hAnsi="Arial Narrow" w:eastAsia="Arial Narrow" w:cs="Arial Narrow"/>
                <w:i w:val="0"/>
                <w:iCs w:val="0"/>
                <w:color w:val="000000"/>
                <w:sz w:val="16"/>
                <w:szCs w:val="16"/>
                <w:u w:val="none"/>
              </w:rPr>
            </w:pPr>
          </w:p>
        </w:tc>
      </w:tr>
      <w:tr w14:paraId="56EF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09E66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609-3</w:t>
            </w:r>
          </w:p>
        </w:tc>
        <w:tc>
          <w:tcPr>
            <w:tcW w:w="4719" w:type="dxa"/>
            <w:tcBorders>
              <w:top w:val="single" w:color="000000" w:sz="4" w:space="0"/>
              <w:left w:val="nil"/>
              <w:bottom w:val="nil"/>
              <w:right w:val="single" w:color="000000" w:sz="4" w:space="0"/>
            </w:tcBorders>
            <w:shd w:val="clear" w:color="auto" w:fill="FFFFFF"/>
            <w:vAlign w:val="center"/>
          </w:tcPr>
          <w:p w14:paraId="5039E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w:t>
            </w:r>
          </w:p>
        </w:tc>
        <w:tc>
          <w:tcPr>
            <w:tcW w:w="765" w:type="dxa"/>
            <w:tcBorders>
              <w:top w:val="single" w:color="000000" w:sz="4" w:space="0"/>
              <w:left w:val="nil"/>
              <w:bottom w:val="nil"/>
              <w:right w:val="single" w:color="000000" w:sz="4" w:space="0"/>
            </w:tcBorders>
            <w:shd w:val="clear" w:color="auto" w:fill="FFFFFF"/>
            <w:vAlign w:val="center"/>
          </w:tcPr>
          <w:p w14:paraId="4A7C228A">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nil"/>
              <w:bottom w:val="nil"/>
              <w:right w:val="single" w:color="000000" w:sz="4" w:space="0"/>
            </w:tcBorders>
            <w:shd w:val="clear" w:color="auto" w:fill="FFFFFF"/>
            <w:vAlign w:val="center"/>
          </w:tcPr>
          <w:p w14:paraId="2FAF2502">
            <w:pPr>
              <w:jc w:val="center"/>
              <w:rPr>
                <w:rFonts w:hint="default" w:ascii="Arial Narrow" w:hAnsi="Arial Narrow" w:eastAsia="Arial Narrow" w:cs="Arial Narrow"/>
                <w:i w:val="0"/>
                <w:iCs w:val="0"/>
                <w:color w:val="000000"/>
                <w:sz w:val="16"/>
                <w:szCs w:val="16"/>
                <w:u w:val="none"/>
              </w:rPr>
            </w:pPr>
          </w:p>
        </w:tc>
        <w:tc>
          <w:tcPr>
            <w:tcW w:w="870" w:type="dxa"/>
            <w:tcBorders>
              <w:top w:val="single" w:color="000000" w:sz="4" w:space="0"/>
              <w:left w:val="nil"/>
              <w:bottom w:val="nil"/>
              <w:right w:val="single" w:color="000000" w:sz="4" w:space="0"/>
            </w:tcBorders>
            <w:shd w:val="clear" w:color="auto" w:fill="FFFFFF"/>
            <w:vAlign w:val="center"/>
          </w:tcPr>
          <w:p w14:paraId="54724975">
            <w:pPr>
              <w:jc w:val="right"/>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780D62E0">
            <w:pPr>
              <w:jc w:val="right"/>
              <w:rPr>
                <w:rFonts w:hint="default" w:ascii="Arial Narrow" w:hAnsi="Arial Narrow" w:eastAsia="Arial Narrow" w:cs="Arial Narrow"/>
                <w:i w:val="0"/>
                <w:iCs w:val="0"/>
                <w:color w:val="000000"/>
                <w:sz w:val="16"/>
                <w:szCs w:val="16"/>
                <w:u w:val="none"/>
              </w:rPr>
            </w:pPr>
          </w:p>
        </w:tc>
      </w:tr>
      <w:tr w14:paraId="651C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8215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609-3-a</w:t>
            </w:r>
          </w:p>
        </w:tc>
        <w:tc>
          <w:tcPr>
            <w:tcW w:w="4719" w:type="dxa"/>
            <w:tcBorders>
              <w:top w:val="single" w:color="000000" w:sz="4" w:space="0"/>
              <w:left w:val="nil"/>
              <w:bottom w:val="nil"/>
              <w:right w:val="single" w:color="000000" w:sz="4" w:space="0"/>
            </w:tcBorders>
            <w:shd w:val="clear" w:color="auto" w:fill="FFFFFF"/>
            <w:vAlign w:val="center"/>
          </w:tcPr>
          <w:p w14:paraId="4A9069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Φ152，2○100cm，更换（运至业主指定地点）</w:t>
            </w:r>
          </w:p>
        </w:tc>
        <w:tc>
          <w:tcPr>
            <w:tcW w:w="765" w:type="dxa"/>
            <w:tcBorders>
              <w:top w:val="single" w:color="000000" w:sz="4" w:space="0"/>
              <w:left w:val="nil"/>
              <w:bottom w:val="nil"/>
              <w:right w:val="single" w:color="000000" w:sz="4" w:space="0"/>
            </w:tcBorders>
            <w:shd w:val="clear" w:color="auto" w:fill="FFFFFF"/>
            <w:vAlign w:val="center"/>
          </w:tcPr>
          <w:p w14:paraId="7D119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0" w:type="dxa"/>
            <w:tcBorders>
              <w:top w:val="single" w:color="000000" w:sz="4" w:space="0"/>
              <w:left w:val="nil"/>
              <w:bottom w:val="nil"/>
              <w:right w:val="single" w:color="000000" w:sz="4" w:space="0"/>
            </w:tcBorders>
            <w:shd w:val="clear" w:color="auto" w:fill="FFFFFF"/>
            <w:vAlign w:val="center"/>
          </w:tcPr>
          <w:p w14:paraId="2A50CA93">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70" w:type="dxa"/>
            <w:tcBorders>
              <w:top w:val="single" w:color="000000" w:sz="4" w:space="0"/>
              <w:left w:val="nil"/>
              <w:bottom w:val="nil"/>
              <w:right w:val="single" w:color="000000" w:sz="4" w:space="0"/>
            </w:tcBorders>
            <w:shd w:val="clear" w:color="auto" w:fill="FFFFFF"/>
            <w:vAlign w:val="center"/>
          </w:tcPr>
          <w:p w14:paraId="67A6105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309063B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656D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058B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609-3-b</w:t>
            </w:r>
          </w:p>
        </w:tc>
        <w:tc>
          <w:tcPr>
            <w:tcW w:w="4719" w:type="dxa"/>
            <w:tcBorders>
              <w:top w:val="single" w:color="000000" w:sz="4" w:space="0"/>
              <w:left w:val="nil"/>
              <w:bottom w:val="nil"/>
              <w:right w:val="single" w:color="000000" w:sz="4" w:space="0"/>
            </w:tcBorders>
            <w:shd w:val="clear" w:color="auto" w:fill="FFFFFF"/>
            <w:vAlign w:val="center"/>
          </w:tcPr>
          <w:p w14:paraId="4F6AD7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Φ152，□60×140cm，新建</w:t>
            </w:r>
          </w:p>
        </w:tc>
        <w:tc>
          <w:tcPr>
            <w:tcW w:w="765" w:type="dxa"/>
            <w:tcBorders>
              <w:top w:val="single" w:color="000000" w:sz="4" w:space="0"/>
              <w:left w:val="nil"/>
              <w:bottom w:val="nil"/>
              <w:right w:val="single" w:color="000000" w:sz="4" w:space="0"/>
            </w:tcBorders>
            <w:shd w:val="clear" w:color="auto" w:fill="FFFFFF"/>
            <w:vAlign w:val="center"/>
          </w:tcPr>
          <w:p w14:paraId="4DCD0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0" w:type="dxa"/>
            <w:tcBorders>
              <w:top w:val="single" w:color="000000" w:sz="4" w:space="0"/>
              <w:left w:val="nil"/>
              <w:bottom w:val="nil"/>
              <w:right w:val="single" w:color="000000" w:sz="4" w:space="0"/>
            </w:tcBorders>
            <w:shd w:val="clear" w:color="auto" w:fill="FFFFFF"/>
            <w:vAlign w:val="center"/>
          </w:tcPr>
          <w:p w14:paraId="2F53B571">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w:t>
            </w:r>
          </w:p>
        </w:tc>
        <w:tc>
          <w:tcPr>
            <w:tcW w:w="870" w:type="dxa"/>
            <w:tcBorders>
              <w:top w:val="single" w:color="000000" w:sz="4" w:space="0"/>
              <w:left w:val="nil"/>
              <w:bottom w:val="nil"/>
              <w:right w:val="single" w:color="000000" w:sz="4" w:space="0"/>
            </w:tcBorders>
            <w:shd w:val="clear" w:color="auto" w:fill="FFFFFF"/>
            <w:vAlign w:val="center"/>
          </w:tcPr>
          <w:p w14:paraId="478D395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2FD2FB3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86A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385F6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609-3-c</w:t>
            </w:r>
          </w:p>
        </w:tc>
        <w:tc>
          <w:tcPr>
            <w:tcW w:w="4719" w:type="dxa"/>
            <w:tcBorders>
              <w:top w:val="single" w:color="000000" w:sz="4" w:space="0"/>
              <w:left w:val="nil"/>
              <w:bottom w:val="nil"/>
              <w:right w:val="single" w:color="000000" w:sz="4" w:space="0"/>
            </w:tcBorders>
            <w:shd w:val="clear" w:color="auto" w:fill="FFFFFF"/>
            <w:vAlign w:val="center"/>
          </w:tcPr>
          <w:p w14:paraId="33A69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2Φ140，□200×200cm，新建</w:t>
            </w:r>
          </w:p>
        </w:tc>
        <w:tc>
          <w:tcPr>
            <w:tcW w:w="765" w:type="dxa"/>
            <w:tcBorders>
              <w:top w:val="single" w:color="000000" w:sz="4" w:space="0"/>
              <w:left w:val="nil"/>
              <w:bottom w:val="nil"/>
              <w:right w:val="single" w:color="000000" w:sz="4" w:space="0"/>
            </w:tcBorders>
            <w:shd w:val="clear" w:color="auto" w:fill="FFFFFF"/>
            <w:vAlign w:val="center"/>
          </w:tcPr>
          <w:p w14:paraId="7AB20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0" w:type="dxa"/>
            <w:tcBorders>
              <w:top w:val="single" w:color="000000" w:sz="4" w:space="0"/>
              <w:left w:val="nil"/>
              <w:bottom w:val="nil"/>
              <w:right w:val="single" w:color="000000" w:sz="4" w:space="0"/>
            </w:tcBorders>
            <w:shd w:val="clear" w:color="auto" w:fill="FFFFFF"/>
            <w:vAlign w:val="center"/>
          </w:tcPr>
          <w:p w14:paraId="20EA74C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70" w:type="dxa"/>
            <w:tcBorders>
              <w:top w:val="single" w:color="000000" w:sz="4" w:space="0"/>
              <w:left w:val="nil"/>
              <w:bottom w:val="nil"/>
              <w:right w:val="single" w:color="000000" w:sz="4" w:space="0"/>
            </w:tcBorders>
            <w:shd w:val="clear" w:color="auto" w:fill="FFFFFF"/>
            <w:vAlign w:val="center"/>
          </w:tcPr>
          <w:p w14:paraId="72E9EE2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0416EA1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3C08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30CB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4719" w:type="dxa"/>
            <w:tcBorders>
              <w:top w:val="single" w:color="000000" w:sz="4" w:space="0"/>
              <w:left w:val="nil"/>
              <w:bottom w:val="nil"/>
              <w:right w:val="single" w:color="000000" w:sz="4" w:space="0"/>
            </w:tcBorders>
            <w:shd w:val="clear" w:color="auto" w:fill="FFFFFF"/>
            <w:vAlign w:val="center"/>
          </w:tcPr>
          <w:p w14:paraId="5FECB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附着式交通标志</w:t>
            </w:r>
          </w:p>
        </w:tc>
        <w:tc>
          <w:tcPr>
            <w:tcW w:w="765" w:type="dxa"/>
            <w:tcBorders>
              <w:top w:val="single" w:color="000000" w:sz="4" w:space="0"/>
              <w:left w:val="nil"/>
              <w:bottom w:val="nil"/>
              <w:right w:val="single" w:color="000000" w:sz="4" w:space="0"/>
            </w:tcBorders>
            <w:shd w:val="clear" w:color="auto" w:fill="FFFFFF"/>
            <w:vAlign w:val="center"/>
          </w:tcPr>
          <w:p w14:paraId="0ACF966A">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nil"/>
              <w:bottom w:val="nil"/>
              <w:right w:val="single" w:color="000000" w:sz="4" w:space="0"/>
            </w:tcBorders>
            <w:shd w:val="clear" w:color="auto" w:fill="FFFFFF"/>
            <w:vAlign w:val="center"/>
          </w:tcPr>
          <w:p w14:paraId="0EB74703">
            <w:pPr>
              <w:jc w:val="center"/>
              <w:rPr>
                <w:rFonts w:hint="default" w:ascii="Arial Narrow" w:hAnsi="Arial Narrow" w:eastAsia="Arial Narrow" w:cs="Arial Narrow"/>
                <w:i w:val="0"/>
                <w:iCs w:val="0"/>
                <w:color w:val="000000"/>
                <w:sz w:val="16"/>
                <w:szCs w:val="16"/>
                <w:u w:val="none"/>
              </w:rPr>
            </w:pPr>
          </w:p>
        </w:tc>
        <w:tc>
          <w:tcPr>
            <w:tcW w:w="870" w:type="dxa"/>
            <w:tcBorders>
              <w:top w:val="single" w:color="000000" w:sz="4" w:space="0"/>
              <w:left w:val="nil"/>
              <w:bottom w:val="nil"/>
              <w:right w:val="single" w:color="000000" w:sz="4" w:space="0"/>
            </w:tcBorders>
            <w:shd w:val="clear" w:color="auto" w:fill="FFFFFF"/>
            <w:vAlign w:val="center"/>
          </w:tcPr>
          <w:p w14:paraId="53EFD475">
            <w:pPr>
              <w:jc w:val="right"/>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5F1F5748">
            <w:pPr>
              <w:jc w:val="right"/>
              <w:rPr>
                <w:rFonts w:hint="default" w:ascii="Arial Narrow" w:hAnsi="Arial Narrow" w:eastAsia="Arial Narrow" w:cs="Arial Narrow"/>
                <w:i w:val="0"/>
                <w:iCs w:val="0"/>
                <w:color w:val="000000"/>
                <w:sz w:val="16"/>
                <w:szCs w:val="16"/>
                <w:u w:val="none"/>
              </w:rPr>
            </w:pPr>
          </w:p>
        </w:tc>
      </w:tr>
      <w:tr w14:paraId="4C027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A109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614-3</w:t>
            </w:r>
          </w:p>
        </w:tc>
        <w:tc>
          <w:tcPr>
            <w:tcW w:w="4719" w:type="dxa"/>
            <w:tcBorders>
              <w:top w:val="single" w:color="000000" w:sz="4" w:space="0"/>
              <w:left w:val="nil"/>
              <w:bottom w:val="nil"/>
              <w:right w:val="single" w:color="000000" w:sz="4" w:space="0"/>
            </w:tcBorders>
            <w:shd w:val="clear" w:color="auto" w:fill="FFFFFF"/>
            <w:vAlign w:val="center"/>
          </w:tcPr>
          <w:p w14:paraId="1B4D3B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w:t>
            </w:r>
          </w:p>
        </w:tc>
        <w:tc>
          <w:tcPr>
            <w:tcW w:w="765" w:type="dxa"/>
            <w:tcBorders>
              <w:top w:val="single" w:color="000000" w:sz="4" w:space="0"/>
              <w:left w:val="nil"/>
              <w:bottom w:val="nil"/>
              <w:right w:val="single" w:color="000000" w:sz="4" w:space="0"/>
            </w:tcBorders>
            <w:shd w:val="clear" w:color="auto" w:fill="FFFFFF"/>
            <w:vAlign w:val="center"/>
          </w:tcPr>
          <w:p w14:paraId="22F776CB">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nil"/>
              <w:bottom w:val="nil"/>
              <w:right w:val="single" w:color="000000" w:sz="4" w:space="0"/>
            </w:tcBorders>
            <w:shd w:val="clear" w:color="auto" w:fill="FFFFFF"/>
            <w:vAlign w:val="center"/>
          </w:tcPr>
          <w:p w14:paraId="547B1BFF">
            <w:pPr>
              <w:jc w:val="center"/>
              <w:rPr>
                <w:rFonts w:hint="default" w:ascii="Arial Narrow" w:hAnsi="Arial Narrow" w:eastAsia="Arial Narrow" w:cs="Arial Narrow"/>
                <w:i w:val="0"/>
                <w:iCs w:val="0"/>
                <w:color w:val="000000"/>
                <w:sz w:val="16"/>
                <w:szCs w:val="16"/>
                <w:u w:val="none"/>
              </w:rPr>
            </w:pPr>
          </w:p>
        </w:tc>
        <w:tc>
          <w:tcPr>
            <w:tcW w:w="870" w:type="dxa"/>
            <w:tcBorders>
              <w:top w:val="single" w:color="000000" w:sz="4" w:space="0"/>
              <w:left w:val="nil"/>
              <w:bottom w:val="nil"/>
              <w:right w:val="single" w:color="000000" w:sz="4" w:space="0"/>
            </w:tcBorders>
            <w:shd w:val="clear" w:color="auto" w:fill="FFFFFF"/>
            <w:vAlign w:val="center"/>
          </w:tcPr>
          <w:p w14:paraId="306C5E90">
            <w:pPr>
              <w:jc w:val="right"/>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330C8319">
            <w:pPr>
              <w:jc w:val="right"/>
              <w:rPr>
                <w:rFonts w:hint="default" w:ascii="Arial Narrow" w:hAnsi="Arial Narrow" w:eastAsia="Arial Narrow" w:cs="Arial Narrow"/>
                <w:i w:val="0"/>
                <w:iCs w:val="0"/>
                <w:color w:val="000000"/>
                <w:sz w:val="16"/>
                <w:szCs w:val="16"/>
                <w:u w:val="none"/>
              </w:rPr>
            </w:pPr>
          </w:p>
        </w:tc>
      </w:tr>
      <w:tr w14:paraId="5052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153AF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614-3-a</w:t>
            </w:r>
          </w:p>
        </w:tc>
        <w:tc>
          <w:tcPr>
            <w:tcW w:w="4719" w:type="dxa"/>
            <w:tcBorders>
              <w:top w:val="single" w:color="000000" w:sz="4" w:space="0"/>
              <w:left w:val="nil"/>
              <w:bottom w:val="nil"/>
              <w:right w:val="single" w:color="000000" w:sz="4" w:space="0"/>
            </w:tcBorders>
            <w:shd w:val="clear" w:color="auto" w:fill="FFFFFF"/>
            <w:vAlign w:val="center"/>
          </w:tcPr>
          <w:p w14:paraId="6729BB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□53×34cm，更换</w:t>
            </w:r>
          </w:p>
        </w:tc>
        <w:tc>
          <w:tcPr>
            <w:tcW w:w="765" w:type="dxa"/>
            <w:tcBorders>
              <w:top w:val="single" w:color="000000" w:sz="4" w:space="0"/>
              <w:left w:val="nil"/>
              <w:bottom w:val="nil"/>
              <w:right w:val="single" w:color="000000" w:sz="4" w:space="0"/>
            </w:tcBorders>
            <w:shd w:val="clear" w:color="auto" w:fill="FFFFFF"/>
            <w:vAlign w:val="center"/>
          </w:tcPr>
          <w:p w14:paraId="41F84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0" w:type="dxa"/>
            <w:tcBorders>
              <w:top w:val="single" w:color="000000" w:sz="4" w:space="0"/>
              <w:left w:val="nil"/>
              <w:bottom w:val="nil"/>
              <w:right w:val="single" w:color="000000" w:sz="4" w:space="0"/>
            </w:tcBorders>
            <w:shd w:val="clear" w:color="auto" w:fill="FFFFFF"/>
            <w:vAlign w:val="center"/>
          </w:tcPr>
          <w:p w14:paraId="0E23C7A5">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870" w:type="dxa"/>
            <w:tcBorders>
              <w:top w:val="single" w:color="000000" w:sz="4" w:space="0"/>
              <w:left w:val="nil"/>
              <w:bottom w:val="nil"/>
              <w:right w:val="single" w:color="000000" w:sz="4" w:space="0"/>
            </w:tcBorders>
            <w:shd w:val="clear" w:color="auto" w:fill="FFFFFF"/>
            <w:vAlign w:val="center"/>
          </w:tcPr>
          <w:p w14:paraId="34DF205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62A4B6D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363C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249A1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614-3-b</w:t>
            </w:r>
          </w:p>
        </w:tc>
        <w:tc>
          <w:tcPr>
            <w:tcW w:w="4719" w:type="dxa"/>
            <w:tcBorders>
              <w:top w:val="single" w:color="000000" w:sz="4" w:space="0"/>
              <w:left w:val="nil"/>
              <w:bottom w:val="nil"/>
              <w:right w:val="single" w:color="000000" w:sz="4" w:space="0"/>
            </w:tcBorders>
            <w:shd w:val="clear" w:color="auto" w:fill="FFFFFF"/>
            <w:vAlign w:val="center"/>
          </w:tcPr>
          <w:p w14:paraId="3E4060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□100×84cm，新建</w:t>
            </w:r>
          </w:p>
        </w:tc>
        <w:tc>
          <w:tcPr>
            <w:tcW w:w="765" w:type="dxa"/>
            <w:tcBorders>
              <w:top w:val="single" w:color="000000" w:sz="4" w:space="0"/>
              <w:left w:val="nil"/>
              <w:bottom w:val="nil"/>
              <w:right w:val="single" w:color="000000" w:sz="4" w:space="0"/>
            </w:tcBorders>
            <w:shd w:val="clear" w:color="auto" w:fill="FFFFFF"/>
            <w:vAlign w:val="center"/>
          </w:tcPr>
          <w:p w14:paraId="44592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0" w:type="dxa"/>
            <w:tcBorders>
              <w:top w:val="single" w:color="000000" w:sz="4" w:space="0"/>
              <w:left w:val="nil"/>
              <w:bottom w:val="nil"/>
              <w:right w:val="single" w:color="000000" w:sz="4" w:space="0"/>
            </w:tcBorders>
            <w:shd w:val="clear" w:color="auto" w:fill="FFFFFF"/>
            <w:vAlign w:val="center"/>
          </w:tcPr>
          <w:p w14:paraId="11109E4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77</w:t>
            </w:r>
          </w:p>
        </w:tc>
        <w:tc>
          <w:tcPr>
            <w:tcW w:w="870" w:type="dxa"/>
            <w:tcBorders>
              <w:top w:val="single" w:color="000000" w:sz="4" w:space="0"/>
              <w:left w:val="nil"/>
              <w:bottom w:val="nil"/>
              <w:right w:val="single" w:color="000000" w:sz="4" w:space="0"/>
            </w:tcBorders>
            <w:shd w:val="clear" w:color="auto" w:fill="FFFFFF"/>
            <w:vAlign w:val="center"/>
          </w:tcPr>
          <w:p w14:paraId="5E165BA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5FED42F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77C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9468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w:t>
            </w:r>
          </w:p>
        </w:tc>
        <w:tc>
          <w:tcPr>
            <w:tcW w:w="4719" w:type="dxa"/>
            <w:tcBorders>
              <w:top w:val="single" w:color="000000" w:sz="4" w:space="0"/>
              <w:left w:val="nil"/>
              <w:bottom w:val="nil"/>
              <w:right w:val="single" w:color="000000" w:sz="4" w:space="0"/>
            </w:tcBorders>
            <w:shd w:val="clear" w:color="auto" w:fill="FFFFFF"/>
            <w:vAlign w:val="center"/>
          </w:tcPr>
          <w:p w14:paraId="4E03B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道路交通标线局部修复</w:t>
            </w:r>
          </w:p>
        </w:tc>
        <w:tc>
          <w:tcPr>
            <w:tcW w:w="765" w:type="dxa"/>
            <w:tcBorders>
              <w:top w:val="single" w:color="000000" w:sz="4" w:space="0"/>
              <w:left w:val="nil"/>
              <w:bottom w:val="nil"/>
              <w:right w:val="single" w:color="000000" w:sz="4" w:space="0"/>
            </w:tcBorders>
            <w:shd w:val="clear" w:color="auto" w:fill="FFFFFF"/>
            <w:vAlign w:val="center"/>
          </w:tcPr>
          <w:p w14:paraId="4DE5262A">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nil"/>
              <w:bottom w:val="nil"/>
              <w:right w:val="single" w:color="000000" w:sz="4" w:space="0"/>
            </w:tcBorders>
            <w:shd w:val="clear" w:color="auto" w:fill="FFFFFF"/>
            <w:vAlign w:val="center"/>
          </w:tcPr>
          <w:p w14:paraId="6B7C9F4E">
            <w:pPr>
              <w:jc w:val="center"/>
              <w:rPr>
                <w:rFonts w:hint="default" w:ascii="Arial Narrow" w:hAnsi="Arial Narrow" w:eastAsia="Arial Narrow" w:cs="Arial Narrow"/>
                <w:i w:val="0"/>
                <w:iCs w:val="0"/>
                <w:color w:val="000000"/>
                <w:sz w:val="16"/>
                <w:szCs w:val="16"/>
                <w:u w:val="none"/>
              </w:rPr>
            </w:pPr>
          </w:p>
        </w:tc>
        <w:tc>
          <w:tcPr>
            <w:tcW w:w="870" w:type="dxa"/>
            <w:tcBorders>
              <w:top w:val="single" w:color="000000" w:sz="4" w:space="0"/>
              <w:left w:val="nil"/>
              <w:bottom w:val="nil"/>
              <w:right w:val="single" w:color="000000" w:sz="4" w:space="0"/>
            </w:tcBorders>
            <w:shd w:val="clear" w:color="auto" w:fill="FFFFFF"/>
            <w:vAlign w:val="center"/>
          </w:tcPr>
          <w:p w14:paraId="796962A5">
            <w:pPr>
              <w:jc w:val="right"/>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79CD2472">
            <w:pPr>
              <w:jc w:val="right"/>
              <w:rPr>
                <w:rFonts w:hint="default" w:ascii="Arial Narrow" w:hAnsi="Arial Narrow" w:eastAsia="Arial Narrow" w:cs="Arial Narrow"/>
                <w:i w:val="0"/>
                <w:iCs w:val="0"/>
                <w:color w:val="000000"/>
                <w:sz w:val="16"/>
                <w:szCs w:val="16"/>
                <w:u w:val="none"/>
              </w:rPr>
            </w:pPr>
          </w:p>
        </w:tc>
      </w:tr>
      <w:tr w14:paraId="152C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365B8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617-1</w:t>
            </w:r>
          </w:p>
        </w:tc>
        <w:tc>
          <w:tcPr>
            <w:tcW w:w="4719" w:type="dxa"/>
            <w:tcBorders>
              <w:top w:val="single" w:color="000000" w:sz="4" w:space="0"/>
              <w:left w:val="nil"/>
              <w:bottom w:val="nil"/>
              <w:right w:val="single" w:color="000000" w:sz="4" w:space="0"/>
            </w:tcBorders>
            <w:shd w:val="clear" w:color="auto" w:fill="FFFFFF"/>
            <w:vAlign w:val="center"/>
          </w:tcPr>
          <w:p w14:paraId="75FC24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热熔型涂料路面标线</w:t>
            </w:r>
          </w:p>
        </w:tc>
        <w:tc>
          <w:tcPr>
            <w:tcW w:w="765" w:type="dxa"/>
            <w:tcBorders>
              <w:top w:val="single" w:color="000000" w:sz="4" w:space="0"/>
              <w:left w:val="nil"/>
              <w:bottom w:val="nil"/>
              <w:right w:val="single" w:color="000000" w:sz="4" w:space="0"/>
            </w:tcBorders>
            <w:shd w:val="clear" w:color="auto" w:fill="FFFFFF"/>
            <w:vAlign w:val="center"/>
          </w:tcPr>
          <w:p w14:paraId="4796A970">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nil"/>
              <w:bottom w:val="nil"/>
              <w:right w:val="single" w:color="000000" w:sz="4" w:space="0"/>
            </w:tcBorders>
            <w:shd w:val="clear" w:color="auto" w:fill="FFFFFF"/>
            <w:vAlign w:val="center"/>
          </w:tcPr>
          <w:p w14:paraId="42D0F39A">
            <w:pPr>
              <w:jc w:val="center"/>
              <w:rPr>
                <w:rFonts w:hint="default" w:ascii="Arial Narrow" w:hAnsi="Arial Narrow" w:eastAsia="Arial Narrow" w:cs="Arial Narrow"/>
                <w:i w:val="0"/>
                <w:iCs w:val="0"/>
                <w:color w:val="000000"/>
                <w:sz w:val="16"/>
                <w:szCs w:val="16"/>
                <w:u w:val="none"/>
              </w:rPr>
            </w:pPr>
          </w:p>
        </w:tc>
        <w:tc>
          <w:tcPr>
            <w:tcW w:w="870" w:type="dxa"/>
            <w:tcBorders>
              <w:top w:val="single" w:color="000000" w:sz="4" w:space="0"/>
              <w:left w:val="nil"/>
              <w:bottom w:val="nil"/>
              <w:right w:val="single" w:color="000000" w:sz="4" w:space="0"/>
            </w:tcBorders>
            <w:shd w:val="clear" w:color="auto" w:fill="FFFFFF"/>
            <w:vAlign w:val="center"/>
          </w:tcPr>
          <w:p w14:paraId="068F59F7">
            <w:pPr>
              <w:jc w:val="right"/>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0048646C">
            <w:pPr>
              <w:jc w:val="right"/>
              <w:rPr>
                <w:rFonts w:hint="default" w:ascii="Arial Narrow" w:hAnsi="Arial Narrow" w:eastAsia="Arial Narrow" w:cs="Arial Narrow"/>
                <w:i w:val="0"/>
                <w:iCs w:val="0"/>
                <w:color w:val="000000"/>
                <w:sz w:val="16"/>
                <w:szCs w:val="16"/>
                <w:u w:val="none"/>
              </w:rPr>
            </w:pPr>
          </w:p>
        </w:tc>
      </w:tr>
      <w:tr w14:paraId="2A989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1E513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617-1-a</w:t>
            </w:r>
          </w:p>
        </w:tc>
        <w:tc>
          <w:tcPr>
            <w:tcW w:w="4719" w:type="dxa"/>
            <w:tcBorders>
              <w:top w:val="single" w:color="000000" w:sz="4" w:space="0"/>
              <w:left w:val="nil"/>
              <w:bottom w:val="nil"/>
              <w:right w:val="single" w:color="000000" w:sz="4" w:space="0"/>
            </w:tcBorders>
            <w:shd w:val="clear" w:color="auto" w:fill="FFFFFF"/>
            <w:vAlign w:val="center"/>
          </w:tcPr>
          <w:p w14:paraId="1918F9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Ⅲ级刮涂型双组份标线</w:t>
            </w:r>
          </w:p>
        </w:tc>
        <w:tc>
          <w:tcPr>
            <w:tcW w:w="765" w:type="dxa"/>
            <w:tcBorders>
              <w:top w:val="single" w:color="000000" w:sz="4" w:space="0"/>
              <w:left w:val="nil"/>
              <w:bottom w:val="nil"/>
              <w:right w:val="single" w:color="000000" w:sz="4" w:space="0"/>
            </w:tcBorders>
            <w:shd w:val="clear" w:color="auto" w:fill="FFFFFF"/>
            <w:vAlign w:val="center"/>
          </w:tcPr>
          <w:p w14:paraId="7DE8B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0" w:type="dxa"/>
            <w:tcBorders>
              <w:top w:val="single" w:color="000000" w:sz="4" w:space="0"/>
              <w:left w:val="nil"/>
              <w:bottom w:val="nil"/>
              <w:right w:val="single" w:color="000000" w:sz="4" w:space="0"/>
            </w:tcBorders>
            <w:shd w:val="clear" w:color="auto" w:fill="FFFFFF"/>
            <w:vAlign w:val="center"/>
          </w:tcPr>
          <w:p w14:paraId="4957BBB8">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144.27</w:t>
            </w:r>
          </w:p>
        </w:tc>
        <w:tc>
          <w:tcPr>
            <w:tcW w:w="870" w:type="dxa"/>
            <w:tcBorders>
              <w:top w:val="single" w:color="000000" w:sz="4" w:space="0"/>
              <w:left w:val="nil"/>
              <w:bottom w:val="nil"/>
              <w:right w:val="single" w:color="000000" w:sz="4" w:space="0"/>
            </w:tcBorders>
            <w:shd w:val="clear" w:color="auto" w:fill="FFFFFF"/>
            <w:vAlign w:val="center"/>
          </w:tcPr>
          <w:p w14:paraId="5C55C37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650A50F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5F99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F516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617-1-b</w:t>
            </w:r>
          </w:p>
        </w:tc>
        <w:tc>
          <w:tcPr>
            <w:tcW w:w="4719" w:type="dxa"/>
            <w:tcBorders>
              <w:top w:val="single" w:color="000000" w:sz="4" w:space="0"/>
              <w:left w:val="nil"/>
              <w:bottom w:val="nil"/>
              <w:right w:val="single" w:color="000000" w:sz="4" w:space="0"/>
            </w:tcBorders>
            <w:shd w:val="clear" w:color="auto" w:fill="FFFFFF"/>
            <w:vAlign w:val="center"/>
          </w:tcPr>
          <w:p w14:paraId="62CDF9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Ⅱ级震荡标线</w:t>
            </w:r>
          </w:p>
        </w:tc>
        <w:tc>
          <w:tcPr>
            <w:tcW w:w="765" w:type="dxa"/>
            <w:tcBorders>
              <w:top w:val="single" w:color="000000" w:sz="4" w:space="0"/>
              <w:left w:val="nil"/>
              <w:bottom w:val="nil"/>
              <w:right w:val="single" w:color="000000" w:sz="4" w:space="0"/>
            </w:tcBorders>
            <w:shd w:val="clear" w:color="auto" w:fill="FFFFFF"/>
            <w:vAlign w:val="center"/>
          </w:tcPr>
          <w:p w14:paraId="72824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0" w:type="dxa"/>
            <w:tcBorders>
              <w:top w:val="single" w:color="000000" w:sz="4" w:space="0"/>
              <w:left w:val="nil"/>
              <w:bottom w:val="nil"/>
              <w:right w:val="single" w:color="000000" w:sz="4" w:space="0"/>
            </w:tcBorders>
            <w:shd w:val="clear" w:color="auto" w:fill="FFFFFF"/>
            <w:vAlign w:val="center"/>
          </w:tcPr>
          <w:p w14:paraId="04BF6102">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534.26</w:t>
            </w:r>
          </w:p>
        </w:tc>
        <w:tc>
          <w:tcPr>
            <w:tcW w:w="870" w:type="dxa"/>
            <w:tcBorders>
              <w:top w:val="single" w:color="000000" w:sz="4" w:space="0"/>
              <w:left w:val="nil"/>
              <w:bottom w:val="nil"/>
              <w:right w:val="single" w:color="000000" w:sz="4" w:space="0"/>
            </w:tcBorders>
            <w:shd w:val="clear" w:color="auto" w:fill="FFFFFF"/>
            <w:vAlign w:val="center"/>
          </w:tcPr>
          <w:p w14:paraId="5F86B1B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7D4F09A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96A0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A266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617-1-c</w:t>
            </w:r>
          </w:p>
        </w:tc>
        <w:tc>
          <w:tcPr>
            <w:tcW w:w="4719" w:type="dxa"/>
            <w:tcBorders>
              <w:top w:val="single" w:color="000000" w:sz="4" w:space="0"/>
              <w:left w:val="nil"/>
              <w:bottom w:val="nil"/>
              <w:right w:val="single" w:color="000000" w:sz="4" w:space="0"/>
            </w:tcBorders>
            <w:shd w:val="clear" w:color="auto" w:fill="FFFFFF"/>
            <w:vAlign w:val="center"/>
          </w:tcPr>
          <w:p w14:paraId="01EC6E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标线清除</w:t>
            </w:r>
          </w:p>
        </w:tc>
        <w:tc>
          <w:tcPr>
            <w:tcW w:w="765" w:type="dxa"/>
            <w:tcBorders>
              <w:top w:val="single" w:color="000000" w:sz="4" w:space="0"/>
              <w:left w:val="nil"/>
              <w:bottom w:val="nil"/>
              <w:right w:val="single" w:color="000000" w:sz="4" w:space="0"/>
            </w:tcBorders>
            <w:shd w:val="clear" w:color="auto" w:fill="FFFFFF"/>
            <w:vAlign w:val="center"/>
          </w:tcPr>
          <w:p w14:paraId="59D51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10" w:type="dxa"/>
            <w:tcBorders>
              <w:top w:val="single" w:color="000000" w:sz="4" w:space="0"/>
              <w:left w:val="nil"/>
              <w:bottom w:val="nil"/>
              <w:right w:val="single" w:color="000000" w:sz="4" w:space="0"/>
            </w:tcBorders>
            <w:shd w:val="clear" w:color="auto" w:fill="FFFFFF"/>
            <w:vAlign w:val="center"/>
          </w:tcPr>
          <w:p w14:paraId="1338C120">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640.32</w:t>
            </w:r>
          </w:p>
        </w:tc>
        <w:tc>
          <w:tcPr>
            <w:tcW w:w="870" w:type="dxa"/>
            <w:tcBorders>
              <w:top w:val="single" w:color="000000" w:sz="4" w:space="0"/>
              <w:left w:val="nil"/>
              <w:bottom w:val="nil"/>
              <w:right w:val="single" w:color="000000" w:sz="4" w:space="0"/>
            </w:tcBorders>
            <w:shd w:val="clear" w:color="auto" w:fill="FFFFFF"/>
            <w:vAlign w:val="center"/>
          </w:tcPr>
          <w:p w14:paraId="4496CA8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5951ABE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DFE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06D5E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617-6</w:t>
            </w:r>
          </w:p>
        </w:tc>
        <w:tc>
          <w:tcPr>
            <w:tcW w:w="4719" w:type="dxa"/>
            <w:tcBorders>
              <w:top w:val="single" w:color="000000" w:sz="4" w:space="0"/>
              <w:left w:val="nil"/>
              <w:bottom w:val="nil"/>
              <w:right w:val="single" w:color="000000" w:sz="4" w:space="0"/>
            </w:tcBorders>
            <w:shd w:val="clear" w:color="auto" w:fill="FFFFFF"/>
            <w:vAlign w:val="center"/>
          </w:tcPr>
          <w:p w14:paraId="26E0FD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突起路标</w:t>
            </w:r>
          </w:p>
        </w:tc>
        <w:tc>
          <w:tcPr>
            <w:tcW w:w="765" w:type="dxa"/>
            <w:tcBorders>
              <w:top w:val="single" w:color="000000" w:sz="4" w:space="0"/>
              <w:left w:val="nil"/>
              <w:bottom w:val="nil"/>
              <w:right w:val="single" w:color="000000" w:sz="4" w:space="0"/>
            </w:tcBorders>
            <w:shd w:val="clear" w:color="auto" w:fill="FFFFFF"/>
            <w:vAlign w:val="center"/>
          </w:tcPr>
          <w:p w14:paraId="12004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0" w:type="dxa"/>
            <w:tcBorders>
              <w:top w:val="single" w:color="000000" w:sz="4" w:space="0"/>
              <w:left w:val="nil"/>
              <w:bottom w:val="nil"/>
              <w:right w:val="single" w:color="000000" w:sz="4" w:space="0"/>
            </w:tcBorders>
            <w:shd w:val="clear" w:color="auto" w:fill="FFFFFF"/>
            <w:vAlign w:val="center"/>
          </w:tcPr>
          <w:p w14:paraId="701DF2FA">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182</w:t>
            </w:r>
          </w:p>
        </w:tc>
        <w:tc>
          <w:tcPr>
            <w:tcW w:w="870" w:type="dxa"/>
            <w:tcBorders>
              <w:top w:val="single" w:color="000000" w:sz="4" w:space="0"/>
              <w:left w:val="nil"/>
              <w:bottom w:val="nil"/>
              <w:right w:val="single" w:color="000000" w:sz="4" w:space="0"/>
            </w:tcBorders>
            <w:shd w:val="clear" w:color="auto" w:fill="FFFFFF"/>
            <w:vAlign w:val="center"/>
          </w:tcPr>
          <w:p w14:paraId="7FC28E3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6EB837C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35B2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6C6FA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617-7</w:t>
            </w:r>
          </w:p>
        </w:tc>
        <w:tc>
          <w:tcPr>
            <w:tcW w:w="4719" w:type="dxa"/>
            <w:tcBorders>
              <w:top w:val="single" w:color="000000" w:sz="4" w:space="0"/>
              <w:left w:val="nil"/>
              <w:bottom w:val="nil"/>
              <w:right w:val="single" w:color="000000" w:sz="4" w:space="0"/>
            </w:tcBorders>
            <w:shd w:val="clear" w:color="auto" w:fill="FFFFFF"/>
            <w:vAlign w:val="center"/>
          </w:tcPr>
          <w:p w14:paraId="54DB3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轮廓标</w:t>
            </w:r>
          </w:p>
        </w:tc>
        <w:tc>
          <w:tcPr>
            <w:tcW w:w="765" w:type="dxa"/>
            <w:tcBorders>
              <w:top w:val="single" w:color="000000" w:sz="4" w:space="0"/>
              <w:left w:val="nil"/>
              <w:bottom w:val="nil"/>
              <w:right w:val="single" w:color="000000" w:sz="4" w:space="0"/>
            </w:tcBorders>
            <w:shd w:val="clear" w:color="auto" w:fill="FFFFFF"/>
            <w:vAlign w:val="center"/>
          </w:tcPr>
          <w:p w14:paraId="173E0CCA">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nil"/>
              <w:bottom w:val="nil"/>
              <w:right w:val="single" w:color="000000" w:sz="4" w:space="0"/>
            </w:tcBorders>
            <w:shd w:val="clear" w:color="auto" w:fill="FFFFFF"/>
            <w:vAlign w:val="center"/>
          </w:tcPr>
          <w:p w14:paraId="1D514A56">
            <w:pPr>
              <w:jc w:val="center"/>
              <w:rPr>
                <w:rFonts w:hint="default" w:ascii="Arial Narrow" w:hAnsi="Arial Narrow" w:eastAsia="Arial Narrow" w:cs="Arial Narrow"/>
                <w:i w:val="0"/>
                <w:iCs w:val="0"/>
                <w:color w:val="000000"/>
                <w:sz w:val="16"/>
                <w:szCs w:val="16"/>
                <w:u w:val="none"/>
              </w:rPr>
            </w:pPr>
          </w:p>
        </w:tc>
        <w:tc>
          <w:tcPr>
            <w:tcW w:w="870" w:type="dxa"/>
            <w:tcBorders>
              <w:top w:val="single" w:color="000000" w:sz="4" w:space="0"/>
              <w:left w:val="nil"/>
              <w:bottom w:val="nil"/>
              <w:right w:val="single" w:color="000000" w:sz="4" w:space="0"/>
            </w:tcBorders>
            <w:shd w:val="clear" w:color="auto" w:fill="FFFFFF"/>
            <w:vAlign w:val="center"/>
          </w:tcPr>
          <w:p w14:paraId="06A2B2B2">
            <w:pPr>
              <w:jc w:val="right"/>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394F18F6">
            <w:pPr>
              <w:jc w:val="right"/>
              <w:rPr>
                <w:rFonts w:hint="default" w:ascii="Arial Narrow" w:hAnsi="Arial Narrow" w:eastAsia="Arial Narrow" w:cs="Arial Narrow"/>
                <w:i w:val="0"/>
                <w:iCs w:val="0"/>
                <w:color w:val="000000"/>
                <w:sz w:val="16"/>
                <w:szCs w:val="16"/>
                <w:u w:val="none"/>
              </w:rPr>
            </w:pPr>
          </w:p>
        </w:tc>
      </w:tr>
      <w:tr w14:paraId="06EB4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364B8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617-7-a</w:t>
            </w:r>
          </w:p>
        </w:tc>
        <w:tc>
          <w:tcPr>
            <w:tcW w:w="4719" w:type="dxa"/>
            <w:tcBorders>
              <w:top w:val="single" w:color="000000" w:sz="4" w:space="0"/>
              <w:left w:val="nil"/>
              <w:bottom w:val="nil"/>
              <w:right w:val="single" w:color="000000" w:sz="4" w:space="0"/>
            </w:tcBorders>
            <w:shd w:val="clear" w:color="auto" w:fill="FFFFFF"/>
            <w:vAlign w:val="center"/>
          </w:tcPr>
          <w:p w14:paraId="007FC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半柱式轮廓标</w:t>
            </w:r>
          </w:p>
        </w:tc>
        <w:tc>
          <w:tcPr>
            <w:tcW w:w="765" w:type="dxa"/>
            <w:tcBorders>
              <w:top w:val="single" w:color="000000" w:sz="4" w:space="0"/>
              <w:left w:val="nil"/>
              <w:bottom w:val="nil"/>
              <w:right w:val="single" w:color="000000" w:sz="4" w:space="0"/>
            </w:tcBorders>
            <w:shd w:val="clear" w:color="auto" w:fill="FFFFFF"/>
            <w:vAlign w:val="center"/>
          </w:tcPr>
          <w:p w14:paraId="4749A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0" w:type="dxa"/>
            <w:tcBorders>
              <w:top w:val="single" w:color="000000" w:sz="4" w:space="0"/>
              <w:left w:val="nil"/>
              <w:bottom w:val="nil"/>
              <w:right w:val="single" w:color="000000" w:sz="4" w:space="0"/>
            </w:tcBorders>
            <w:shd w:val="clear" w:color="auto" w:fill="FFFFFF"/>
            <w:vAlign w:val="center"/>
          </w:tcPr>
          <w:p w14:paraId="28028F8C">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66</w:t>
            </w:r>
          </w:p>
        </w:tc>
        <w:tc>
          <w:tcPr>
            <w:tcW w:w="870" w:type="dxa"/>
            <w:tcBorders>
              <w:top w:val="single" w:color="000000" w:sz="4" w:space="0"/>
              <w:left w:val="nil"/>
              <w:bottom w:val="nil"/>
              <w:right w:val="single" w:color="000000" w:sz="4" w:space="0"/>
            </w:tcBorders>
            <w:shd w:val="clear" w:color="auto" w:fill="FFFFFF"/>
            <w:vAlign w:val="center"/>
          </w:tcPr>
          <w:p w14:paraId="4750984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740F686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269F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DE18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w:t>
            </w:r>
          </w:p>
        </w:tc>
        <w:tc>
          <w:tcPr>
            <w:tcW w:w="4719" w:type="dxa"/>
            <w:tcBorders>
              <w:top w:val="single" w:color="000000" w:sz="4" w:space="0"/>
              <w:left w:val="nil"/>
              <w:bottom w:val="nil"/>
              <w:right w:val="single" w:color="000000" w:sz="4" w:space="0"/>
            </w:tcBorders>
            <w:shd w:val="clear" w:color="auto" w:fill="FFFFFF"/>
            <w:vAlign w:val="center"/>
          </w:tcPr>
          <w:p w14:paraId="26835A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防眩设施</w:t>
            </w:r>
          </w:p>
        </w:tc>
        <w:tc>
          <w:tcPr>
            <w:tcW w:w="765" w:type="dxa"/>
            <w:tcBorders>
              <w:top w:val="single" w:color="000000" w:sz="4" w:space="0"/>
              <w:left w:val="nil"/>
              <w:bottom w:val="nil"/>
              <w:right w:val="single" w:color="000000" w:sz="4" w:space="0"/>
            </w:tcBorders>
            <w:shd w:val="clear" w:color="auto" w:fill="FFFFFF"/>
            <w:vAlign w:val="center"/>
          </w:tcPr>
          <w:p w14:paraId="4431BDA4">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nil"/>
              <w:bottom w:val="nil"/>
              <w:right w:val="single" w:color="000000" w:sz="4" w:space="0"/>
            </w:tcBorders>
            <w:shd w:val="clear" w:color="auto" w:fill="FFFFFF"/>
            <w:vAlign w:val="center"/>
          </w:tcPr>
          <w:p w14:paraId="164DBCC5">
            <w:pPr>
              <w:jc w:val="center"/>
              <w:rPr>
                <w:rFonts w:hint="default" w:ascii="Arial Narrow" w:hAnsi="Arial Narrow" w:eastAsia="Arial Narrow" w:cs="Arial Narrow"/>
                <w:i w:val="0"/>
                <w:iCs w:val="0"/>
                <w:color w:val="000000"/>
                <w:sz w:val="16"/>
                <w:szCs w:val="16"/>
                <w:u w:val="none"/>
              </w:rPr>
            </w:pPr>
          </w:p>
        </w:tc>
        <w:tc>
          <w:tcPr>
            <w:tcW w:w="870" w:type="dxa"/>
            <w:tcBorders>
              <w:top w:val="single" w:color="000000" w:sz="4" w:space="0"/>
              <w:left w:val="nil"/>
              <w:bottom w:val="nil"/>
              <w:right w:val="single" w:color="000000" w:sz="4" w:space="0"/>
            </w:tcBorders>
            <w:shd w:val="clear" w:color="auto" w:fill="FFFFFF"/>
            <w:vAlign w:val="center"/>
          </w:tcPr>
          <w:p w14:paraId="6824099F">
            <w:pPr>
              <w:jc w:val="right"/>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21667A81">
            <w:pPr>
              <w:jc w:val="right"/>
              <w:rPr>
                <w:rFonts w:hint="default" w:ascii="Arial Narrow" w:hAnsi="Arial Narrow" w:eastAsia="Arial Narrow" w:cs="Arial Narrow"/>
                <w:i w:val="0"/>
                <w:iCs w:val="0"/>
                <w:color w:val="000000"/>
                <w:sz w:val="16"/>
                <w:szCs w:val="16"/>
                <w:u w:val="none"/>
              </w:rPr>
            </w:pPr>
          </w:p>
        </w:tc>
      </w:tr>
      <w:tr w14:paraId="2DB2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C109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618-1</w:t>
            </w:r>
          </w:p>
        </w:tc>
        <w:tc>
          <w:tcPr>
            <w:tcW w:w="4719" w:type="dxa"/>
            <w:tcBorders>
              <w:top w:val="single" w:color="000000" w:sz="4" w:space="0"/>
              <w:left w:val="nil"/>
              <w:bottom w:val="nil"/>
              <w:right w:val="single" w:color="000000" w:sz="4" w:space="0"/>
            </w:tcBorders>
            <w:shd w:val="clear" w:color="auto" w:fill="FFFFFF"/>
            <w:vAlign w:val="center"/>
          </w:tcPr>
          <w:p w14:paraId="09ACAB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防眩板</w:t>
            </w:r>
          </w:p>
        </w:tc>
        <w:tc>
          <w:tcPr>
            <w:tcW w:w="765" w:type="dxa"/>
            <w:tcBorders>
              <w:top w:val="single" w:color="000000" w:sz="4" w:space="0"/>
              <w:left w:val="nil"/>
              <w:bottom w:val="nil"/>
              <w:right w:val="single" w:color="000000" w:sz="4" w:space="0"/>
            </w:tcBorders>
            <w:shd w:val="clear" w:color="auto" w:fill="FFFFFF"/>
            <w:vAlign w:val="center"/>
          </w:tcPr>
          <w:p w14:paraId="25E89EA3">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nil"/>
              <w:bottom w:val="nil"/>
              <w:right w:val="single" w:color="000000" w:sz="4" w:space="0"/>
            </w:tcBorders>
            <w:shd w:val="clear" w:color="auto" w:fill="FFFFFF"/>
            <w:vAlign w:val="center"/>
          </w:tcPr>
          <w:p w14:paraId="432EE444">
            <w:pPr>
              <w:jc w:val="center"/>
              <w:rPr>
                <w:rFonts w:hint="default" w:ascii="Arial Narrow" w:hAnsi="Arial Narrow" w:eastAsia="Arial Narrow" w:cs="Arial Narrow"/>
                <w:i w:val="0"/>
                <w:iCs w:val="0"/>
                <w:color w:val="000000"/>
                <w:sz w:val="16"/>
                <w:szCs w:val="16"/>
                <w:u w:val="none"/>
              </w:rPr>
            </w:pPr>
          </w:p>
        </w:tc>
        <w:tc>
          <w:tcPr>
            <w:tcW w:w="870" w:type="dxa"/>
            <w:tcBorders>
              <w:top w:val="single" w:color="000000" w:sz="4" w:space="0"/>
              <w:left w:val="nil"/>
              <w:bottom w:val="nil"/>
              <w:right w:val="single" w:color="000000" w:sz="4" w:space="0"/>
            </w:tcBorders>
            <w:shd w:val="clear" w:color="auto" w:fill="FFFFFF"/>
            <w:vAlign w:val="center"/>
          </w:tcPr>
          <w:p w14:paraId="77758A41">
            <w:pPr>
              <w:jc w:val="right"/>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7483BD3F">
            <w:pPr>
              <w:jc w:val="right"/>
              <w:rPr>
                <w:rFonts w:hint="default" w:ascii="Arial Narrow" w:hAnsi="Arial Narrow" w:eastAsia="Arial Narrow" w:cs="Arial Narrow"/>
                <w:i w:val="0"/>
                <w:iCs w:val="0"/>
                <w:color w:val="000000"/>
                <w:sz w:val="16"/>
                <w:szCs w:val="16"/>
                <w:u w:val="none"/>
              </w:rPr>
            </w:pPr>
          </w:p>
        </w:tc>
      </w:tr>
      <w:tr w14:paraId="1C630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7E6E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618-1-a</w:t>
            </w:r>
          </w:p>
        </w:tc>
        <w:tc>
          <w:tcPr>
            <w:tcW w:w="4719" w:type="dxa"/>
            <w:tcBorders>
              <w:top w:val="single" w:color="000000" w:sz="4" w:space="0"/>
              <w:left w:val="nil"/>
              <w:bottom w:val="nil"/>
              <w:right w:val="single" w:color="000000" w:sz="4" w:space="0"/>
            </w:tcBorders>
            <w:shd w:val="clear" w:color="auto" w:fill="FFFFFF"/>
            <w:vAlign w:val="center"/>
          </w:tcPr>
          <w:p w14:paraId="6298E5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拆除防眩板</w:t>
            </w:r>
          </w:p>
        </w:tc>
        <w:tc>
          <w:tcPr>
            <w:tcW w:w="765" w:type="dxa"/>
            <w:tcBorders>
              <w:top w:val="single" w:color="000000" w:sz="4" w:space="0"/>
              <w:left w:val="nil"/>
              <w:bottom w:val="nil"/>
              <w:right w:val="single" w:color="000000" w:sz="4" w:space="0"/>
            </w:tcBorders>
            <w:shd w:val="clear" w:color="auto" w:fill="FFFFFF"/>
            <w:vAlign w:val="center"/>
          </w:tcPr>
          <w:p w14:paraId="1479C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10" w:type="dxa"/>
            <w:tcBorders>
              <w:top w:val="single" w:color="000000" w:sz="4" w:space="0"/>
              <w:left w:val="nil"/>
              <w:bottom w:val="nil"/>
              <w:right w:val="single" w:color="000000" w:sz="4" w:space="0"/>
            </w:tcBorders>
            <w:shd w:val="clear" w:color="auto" w:fill="FFFFFF"/>
            <w:vAlign w:val="center"/>
          </w:tcPr>
          <w:p w14:paraId="1F88B9F3">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61</w:t>
            </w:r>
          </w:p>
        </w:tc>
        <w:tc>
          <w:tcPr>
            <w:tcW w:w="870" w:type="dxa"/>
            <w:tcBorders>
              <w:top w:val="single" w:color="000000" w:sz="4" w:space="0"/>
              <w:left w:val="nil"/>
              <w:bottom w:val="nil"/>
              <w:right w:val="single" w:color="000000" w:sz="4" w:space="0"/>
            </w:tcBorders>
            <w:shd w:val="clear" w:color="auto" w:fill="FFFFFF"/>
            <w:vAlign w:val="center"/>
          </w:tcPr>
          <w:p w14:paraId="6BFA2E5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3ADF51E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E565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3F7F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618-1-b</w:t>
            </w:r>
          </w:p>
        </w:tc>
        <w:tc>
          <w:tcPr>
            <w:tcW w:w="4719" w:type="dxa"/>
            <w:tcBorders>
              <w:top w:val="single" w:color="000000" w:sz="4" w:space="0"/>
              <w:left w:val="nil"/>
              <w:bottom w:val="nil"/>
              <w:right w:val="single" w:color="000000" w:sz="4" w:space="0"/>
            </w:tcBorders>
            <w:shd w:val="clear" w:color="auto" w:fill="FFFFFF"/>
            <w:vAlign w:val="center"/>
          </w:tcPr>
          <w:p w14:paraId="79D058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新建防眩板</w:t>
            </w:r>
          </w:p>
        </w:tc>
        <w:tc>
          <w:tcPr>
            <w:tcW w:w="765" w:type="dxa"/>
            <w:tcBorders>
              <w:top w:val="single" w:color="000000" w:sz="4" w:space="0"/>
              <w:left w:val="nil"/>
              <w:bottom w:val="nil"/>
              <w:right w:val="single" w:color="000000" w:sz="4" w:space="0"/>
            </w:tcBorders>
            <w:shd w:val="clear" w:color="auto" w:fill="FFFFFF"/>
            <w:vAlign w:val="center"/>
          </w:tcPr>
          <w:p w14:paraId="57843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10" w:type="dxa"/>
            <w:tcBorders>
              <w:top w:val="single" w:color="000000" w:sz="4" w:space="0"/>
              <w:left w:val="nil"/>
              <w:bottom w:val="nil"/>
              <w:right w:val="single" w:color="000000" w:sz="4" w:space="0"/>
            </w:tcBorders>
            <w:shd w:val="clear" w:color="auto" w:fill="FFFFFF"/>
            <w:vAlign w:val="center"/>
          </w:tcPr>
          <w:p w14:paraId="019E3821">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w:t>
            </w:r>
          </w:p>
        </w:tc>
        <w:tc>
          <w:tcPr>
            <w:tcW w:w="870" w:type="dxa"/>
            <w:tcBorders>
              <w:top w:val="single" w:color="000000" w:sz="4" w:space="0"/>
              <w:left w:val="nil"/>
              <w:bottom w:val="nil"/>
              <w:right w:val="single" w:color="000000" w:sz="4" w:space="0"/>
            </w:tcBorders>
            <w:shd w:val="clear" w:color="auto" w:fill="FFFFFF"/>
            <w:vAlign w:val="center"/>
          </w:tcPr>
          <w:p w14:paraId="0A05FCF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6A68203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79B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1CF72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w:t>
            </w:r>
          </w:p>
        </w:tc>
        <w:tc>
          <w:tcPr>
            <w:tcW w:w="4719" w:type="dxa"/>
            <w:tcBorders>
              <w:top w:val="single" w:color="000000" w:sz="4" w:space="0"/>
              <w:left w:val="nil"/>
              <w:bottom w:val="nil"/>
              <w:right w:val="single" w:color="000000" w:sz="4" w:space="0"/>
            </w:tcBorders>
            <w:shd w:val="clear" w:color="auto" w:fill="FFFFFF"/>
            <w:vAlign w:val="center"/>
          </w:tcPr>
          <w:p w14:paraId="5CD8E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其他设施</w:t>
            </w:r>
          </w:p>
        </w:tc>
        <w:tc>
          <w:tcPr>
            <w:tcW w:w="765" w:type="dxa"/>
            <w:tcBorders>
              <w:top w:val="single" w:color="000000" w:sz="4" w:space="0"/>
              <w:left w:val="nil"/>
              <w:bottom w:val="nil"/>
              <w:right w:val="single" w:color="000000" w:sz="4" w:space="0"/>
            </w:tcBorders>
            <w:shd w:val="clear" w:color="auto" w:fill="FFFFFF"/>
            <w:vAlign w:val="center"/>
          </w:tcPr>
          <w:p w14:paraId="23DCB7EC">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nil"/>
              <w:bottom w:val="nil"/>
              <w:right w:val="single" w:color="000000" w:sz="4" w:space="0"/>
            </w:tcBorders>
            <w:shd w:val="clear" w:color="auto" w:fill="FFFFFF"/>
            <w:vAlign w:val="center"/>
          </w:tcPr>
          <w:p w14:paraId="52BCB7DE">
            <w:pPr>
              <w:jc w:val="center"/>
              <w:rPr>
                <w:rFonts w:hint="default" w:ascii="Arial Narrow" w:hAnsi="Arial Narrow" w:eastAsia="Arial Narrow" w:cs="Arial Narrow"/>
                <w:i w:val="0"/>
                <w:iCs w:val="0"/>
                <w:color w:val="000000"/>
                <w:sz w:val="16"/>
                <w:szCs w:val="16"/>
                <w:u w:val="none"/>
              </w:rPr>
            </w:pPr>
          </w:p>
        </w:tc>
        <w:tc>
          <w:tcPr>
            <w:tcW w:w="870" w:type="dxa"/>
            <w:tcBorders>
              <w:top w:val="single" w:color="000000" w:sz="4" w:space="0"/>
              <w:left w:val="nil"/>
              <w:bottom w:val="nil"/>
              <w:right w:val="single" w:color="000000" w:sz="4" w:space="0"/>
            </w:tcBorders>
            <w:shd w:val="clear" w:color="auto" w:fill="FFFFFF"/>
            <w:vAlign w:val="center"/>
          </w:tcPr>
          <w:p w14:paraId="21C84C89">
            <w:pPr>
              <w:jc w:val="right"/>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1043A3A4">
            <w:pPr>
              <w:jc w:val="right"/>
              <w:rPr>
                <w:rFonts w:hint="default" w:ascii="Arial Narrow" w:hAnsi="Arial Narrow" w:eastAsia="Arial Narrow" w:cs="Arial Narrow"/>
                <w:i w:val="0"/>
                <w:iCs w:val="0"/>
                <w:color w:val="000000"/>
                <w:sz w:val="16"/>
                <w:szCs w:val="16"/>
                <w:u w:val="none"/>
              </w:rPr>
            </w:pPr>
          </w:p>
        </w:tc>
      </w:tr>
      <w:tr w14:paraId="4CFA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A941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619-3</w:t>
            </w:r>
          </w:p>
        </w:tc>
        <w:tc>
          <w:tcPr>
            <w:tcW w:w="4719" w:type="dxa"/>
            <w:tcBorders>
              <w:top w:val="single" w:color="000000" w:sz="4" w:space="0"/>
              <w:left w:val="nil"/>
              <w:bottom w:val="nil"/>
              <w:right w:val="single" w:color="000000" w:sz="4" w:space="0"/>
            </w:tcBorders>
            <w:shd w:val="clear" w:color="auto" w:fill="FFFFFF"/>
            <w:vAlign w:val="center"/>
          </w:tcPr>
          <w:p w14:paraId="4C848B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现浇混凝土过渡翼墙</w:t>
            </w:r>
          </w:p>
        </w:tc>
        <w:tc>
          <w:tcPr>
            <w:tcW w:w="765" w:type="dxa"/>
            <w:tcBorders>
              <w:top w:val="single" w:color="000000" w:sz="4" w:space="0"/>
              <w:left w:val="nil"/>
              <w:bottom w:val="nil"/>
              <w:right w:val="single" w:color="000000" w:sz="4" w:space="0"/>
            </w:tcBorders>
            <w:shd w:val="clear" w:color="auto" w:fill="FFFFFF"/>
            <w:vAlign w:val="center"/>
          </w:tcPr>
          <w:p w14:paraId="54904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10" w:type="dxa"/>
            <w:tcBorders>
              <w:top w:val="single" w:color="000000" w:sz="4" w:space="0"/>
              <w:left w:val="nil"/>
              <w:bottom w:val="nil"/>
              <w:right w:val="single" w:color="000000" w:sz="4" w:space="0"/>
            </w:tcBorders>
            <w:shd w:val="clear" w:color="auto" w:fill="FFFFFF"/>
            <w:vAlign w:val="center"/>
          </w:tcPr>
          <w:p w14:paraId="1F5DBBA0">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72</w:t>
            </w:r>
          </w:p>
        </w:tc>
        <w:tc>
          <w:tcPr>
            <w:tcW w:w="870" w:type="dxa"/>
            <w:tcBorders>
              <w:top w:val="single" w:color="000000" w:sz="4" w:space="0"/>
              <w:left w:val="nil"/>
              <w:bottom w:val="nil"/>
              <w:right w:val="single" w:color="000000" w:sz="4" w:space="0"/>
            </w:tcBorders>
            <w:shd w:val="clear" w:color="auto" w:fill="FFFFFF"/>
            <w:vAlign w:val="center"/>
          </w:tcPr>
          <w:p w14:paraId="43976F6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nil"/>
              <w:right w:val="single" w:color="000000" w:sz="8" w:space="0"/>
            </w:tcBorders>
            <w:shd w:val="clear" w:color="auto" w:fill="FFFFFF"/>
            <w:vAlign w:val="center"/>
          </w:tcPr>
          <w:p w14:paraId="7598214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77A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single" w:color="auto" w:sz="4" w:space="0"/>
              <w:right w:val="single" w:color="000000" w:sz="4" w:space="0"/>
            </w:tcBorders>
            <w:shd w:val="clear" w:color="auto" w:fill="FFFFFF"/>
            <w:vAlign w:val="center"/>
          </w:tcPr>
          <w:p w14:paraId="00C66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619-4</w:t>
            </w:r>
          </w:p>
        </w:tc>
        <w:tc>
          <w:tcPr>
            <w:tcW w:w="4719" w:type="dxa"/>
            <w:tcBorders>
              <w:top w:val="single" w:color="000000" w:sz="4" w:space="0"/>
              <w:left w:val="nil"/>
              <w:bottom w:val="single" w:color="auto" w:sz="4" w:space="0"/>
              <w:right w:val="single" w:color="000000" w:sz="4" w:space="0"/>
            </w:tcBorders>
            <w:shd w:val="clear" w:color="auto" w:fill="FFFFFF"/>
            <w:vAlign w:val="center"/>
          </w:tcPr>
          <w:p w14:paraId="2C2EB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铝合金水深标尺</w:t>
            </w:r>
          </w:p>
        </w:tc>
        <w:tc>
          <w:tcPr>
            <w:tcW w:w="765" w:type="dxa"/>
            <w:tcBorders>
              <w:top w:val="single" w:color="000000" w:sz="4" w:space="0"/>
              <w:left w:val="nil"/>
              <w:bottom w:val="single" w:color="auto" w:sz="4" w:space="0"/>
              <w:right w:val="single" w:color="000000" w:sz="4" w:space="0"/>
            </w:tcBorders>
            <w:shd w:val="clear" w:color="auto" w:fill="FFFFFF"/>
            <w:vAlign w:val="center"/>
          </w:tcPr>
          <w:p w14:paraId="05F1E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10" w:type="dxa"/>
            <w:tcBorders>
              <w:top w:val="single" w:color="000000" w:sz="4" w:space="0"/>
              <w:left w:val="nil"/>
              <w:bottom w:val="single" w:color="auto" w:sz="4" w:space="0"/>
              <w:right w:val="single" w:color="000000" w:sz="4" w:space="0"/>
            </w:tcBorders>
            <w:shd w:val="clear" w:color="auto" w:fill="FFFFFF"/>
            <w:vAlign w:val="center"/>
          </w:tcPr>
          <w:p w14:paraId="154A551C">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w:t>
            </w:r>
          </w:p>
        </w:tc>
        <w:tc>
          <w:tcPr>
            <w:tcW w:w="870" w:type="dxa"/>
            <w:tcBorders>
              <w:top w:val="single" w:color="000000" w:sz="4" w:space="0"/>
              <w:left w:val="nil"/>
              <w:bottom w:val="single" w:color="auto" w:sz="4" w:space="0"/>
              <w:right w:val="single" w:color="000000" w:sz="4" w:space="0"/>
            </w:tcBorders>
            <w:shd w:val="clear" w:color="auto" w:fill="FFFFFF"/>
            <w:vAlign w:val="center"/>
          </w:tcPr>
          <w:p w14:paraId="2694AD1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000000" w:sz="4" w:space="0"/>
              <w:left w:val="nil"/>
              <w:bottom w:val="single" w:color="auto" w:sz="4" w:space="0"/>
              <w:right w:val="single" w:color="000000" w:sz="8" w:space="0"/>
            </w:tcBorders>
            <w:shd w:val="clear" w:color="auto" w:fill="FFFFFF"/>
            <w:vAlign w:val="center"/>
          </w:tcPr>
          <w:p w14:paraId="19D9DD0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73E9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2" w:type="dxa"/>
            <w:tcBorders>
              <w:top w:val="single" w:color="auto" w:sz="4" w:space="0"/>
              <w:left w:val="single" w:color="auto" w:sz="4" w:space="0"/>
              <w:bottom w:val="single" w:color="auto" w:sz="4" w:space="0"/>
              <w:right w:val="single" w:color="000000" w:sz="4" w:space="0"/>
            </w:tcBorders>
            <w:shd w:val="clear" w:color="auto" w:fill="FFFFFF"/>
            <w:vAlign w:val="center"/>
          </w:tcPr>
          <w:p w14:paraId="70954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619-5</w:t>
            </w:r>
          </w:p>
        </w:tc>
        <w:tc>
          <w:tcPr>
            <w:tcW w:w="4719" w:type="dxa"/>
            <w:tcBorders>
              <w:top w:val="single" w:color="auto" w:sz="4" w:space="0"/>
              <w:left w:val="nil"/>
              <w:bottom w:val="single" w:color="auto" w:sz="4" w:space="0"/>
              <w:right w:val="single" w:color="000000" w:sz="4" w:space="0"/>
            </w:tcBorders>
            <w:shd w:val="clear" w:color="auto" w:fill="FFFFFF"/>
            <w:vAlign w:val="center"/>
          </w:tcPr>
          <w:p w14:paraId="57AE20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消防设施（1个5kg手提式干粉灭火器，1个5kg手提式二氧化碳灭火器，1个800×650×240mm灭火器箱）</w:t>
            </w:r>
          </w:p>
        </w:tc>
        <w:tc>
          <w:tcPr>
            <w:tcW w:w="765" w:type="dxa"/>
            <w:tcBorders>
              <w:top w:val="single" w:color="auto" w:sz="4" w:space="0"/>
              <w:left w:val="nil"/>
              <w:bottom w:val="single" w:color="auto" w:sz="4" w:space="0"/>
              <w:right w:val="single" w:color="000000" w:sz="4" w:space="0"/>
            </w:tcBorders>
            <w:shd w:val="clear" w:color="auto" w:fill="FFFFFF"/>
            <w:vAlign w:val="center"/>
          </w:tcPr>
          <w:p w14:paraId="7A9A3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10" w:type="dxa"/>
            <w:tcBorders>
              <w:top w:val="single" w:color="auto" w:sz="4" w:space="0"/>
              <w:left w:val="nil"/>
              <w:bottom w:val="single" w:color="auto" w:sz="4" w:space="0"/>
              <w:right w:val="single" w:color="000000" w:sz="4" w:space="0"/>
            </w:tcBorders>
            <w:shd w:val="clear" w:color="auto" w:fill="FFFFFF"/>
            <w:vAlign w:val="center"/>
          </w:tcPr>
          <w:p w14:paraId="2EBF85AF">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870" w:type="dxa"/>
            <w:tcBorders>
              <w:top w:val="single" w:color="auto" w:sz="4" w:space="0"/>
              <w:left w:val="nil"/>
              <w:bottom w:val="single" w:color="auto" w:sz="4" w:space="0"/>
              <w:right w:val="single" w:color="000000" w:sz="4" w:space="0"/>
            </w:tcBorders>
            <w:shd w:val="clear" w:color="auto" w:fill="FFFFFF"/>
            <w:vAlign w:val="center"/>
          </w:tcPr>
          <w:p w14:paraId="50E2723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975" w:type="dxa"/>
            <w:tcBorders>
              <w:top w:val="single" w:color="auto" w:sz="4" w:space="0"/>
              <w:left w:val="nil"/>
              <w:bottom w:val="single" w:color="auto" w:sz="4" w:space="0"/>
              <w:right w:val="single" w:color="auto" w:sz="4" w:space="0"/>
            </w:tcBorders>
            <w:shd w:val="clear" w:color="auto" w:fill="FFFFFF"/>
            <w:vAlign w:val="center"/>
          </w:tcPr>
          <w:p w14:paraId="2AC36E6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0B6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882" w:type="dxa"/>
            <w:tcBorders>
              <w:top w:val="single" w:color="auto" w:sz="4" w:space="0"/>
              <w:left w:val="single" w:color="auto" w:sz="4" w:space="0"/>
              <w:bottom w:val="nil"/>
              <w:right w:val="single" w:color="000000" w:sz="4" w:space="0"/>
            </w:tcBorders>
            <w:shd w:val="clear" w:color="auto" w:fill="FFFFFF"/>
            <w:vAlign w:val="center"/>
          </w:tcPr>
          <w:p w14:paraId="580BAFA4">
            <w:pPr>
              <w:jc w:val="center"/>
              <w:rPr>
                <w:rFonts w:hint="eastAsia" w:ascii="宋体" w:hAnsi="宋体" w:eastAsia="宋体" w:cs="宋体"/>
                <w:i w:val="0"/>
                <w:iCs w:val="0"/>
                <w:color w:val="000000"/>
                <w:sz w:val="18"/>
                <w:szCs w:val="18"/>
                <w:u w:val="none"/>
              </w:rPr>
            </w:pPr>
          </w:p>
        </w:tc>
        <w:tc>
          <w:tcPr>
            <w:tcW w:w="4719" w:type="dxa"/>
            <w:tcBorders>
              <w:top w:val="single" w:color="auto" w:sz="4" w:space="0"/>
              <w:left w:val="nil"/>
              <w:bottom w:val="nil"/>
              <w:right w:val="single" w:color="000000" w:sz="4" w:space="0"/>
            </w:tcBorders>
            <w:shd w:val="clear" w:color="auto" w:fill="FFFFFF"/>
            <w:vAlign w:val="center"/>
          </w:tcPr>
          <w:p w14:paraId="20F2E1C3">
            <w:pPr>
              <w:jc w:val="left"/>
              <w:rPr>
                <w:rFonts w:hint="eastAsia" w:ascii="宋体" w:hAnsi="宋体" w:eastAsia="宋体" w:cs="宋体"/>
                <w:i w:val="0"/>
                <w:iCs w:val="0"/>
                <w:color w:val="000000"/>
                <w:sz w:val="18"/>
                <w:szCs w:val="18"/>
                <w:u w:val="none"/>
              </w:rPr>
            </w:pPr>
          </w:p>
        </w:tc>
        <w:tc>
          <w:tcPr>
            <w:tcW w:w="765" w:type="dxa"/>
            <w:tcBorders>
              <w:top w:val="single" w:color="auto" w:sz="4" w:space="0"/>
              <w:left w:val="nil"/>
              <w:bottom w:val="nil"/>
              <w:right w:val="single" w:color="000000" w:sz="4" w:space="0"/>
            </w:tcBorders>
            <w:shd w:val="clear" w:color="auto" w:fill="FFFFFF"/>
            <w:vAlign w:val="center"/>
          </w:tcPr>
          <w:p w14:paraId="1BC791FC">
            <w:pPr>
              <w:jc w:val="center"/>
              <w:rPr>
                <w:rFonts w:hint="eastAsia" w:ascii="宋体" w:hAnsi="宋体" w:eastAsia="宋体" w:cs="宋体"/>
                <w:i w:val="0"/>
                <w:iCs w:val="0"/>
                <w:color w:val="000000"/>
                <w:sz w:val="18"/>
                <w:szCs w:val="18"/>
                <w:u w:val="none"/>
              </w:rPr>
            </w:pPr>
          </w:p>
        </w:tc>
        <w:tc>
          <w:tcPr>
            <w:tcW w:w="810" w:type="dxa"/>
            <w:tcBorders>
              <w:top w:val="single" w:color="auto" w:sz="4" w:space="0"/>
              <w:left w:val="nil"/>
              <w:bottom w:val="nil"/>
              <w:right w:val="single" w:color="000000" w:sz="4" w:space="0"/>
            </w:tcBorders>
            <w:shd w:val="clear" w:color="auto" w:fill="FFFFFF"/>
            <w:vAlign w:val="center"/>
          </w:tcPr>
          <w:p w14:paraId="08BDE36E">
            <w:pPr>
              <w:jc w:val="right"/>
              <w:rPr>
                <w:rFonts w:hint="default" w:ascii="Arial Narrow" w:hAnsi="Arial Narrow" w:eastAsia="Arial Narrow" w:cs="Arial Narrow"/>
                <w:i w:val="0"/>
                <w:iCs w:val="0"/>
                <w:color w:val="000000"/>
                <w:sz w:val="16"/>
                <w:szCs w:val="16"/>
                <w:u w:val="none"/>
              </w:rPr>
            </w:pPr>
          </w:p>
        </w:tc>
        <w:tc>
          <w:tcPr>
            <w:tcW w:w="870" w:type="dxa"/>
            <w:tcBorders>
              <w:top w:val="single" w:color="auto" w:sz="4" w:space="0"/>
              <w:left w:val="nil"/>
              <w:bottom w:val="nil"/>
              <w:right w:val="single" w:color="000000" w:sz="4" w:space="0"/>
            </w:tcBorders>
            <w:shd w:val="clear" w:color="auto" w:fill="FFFFFF"/>
            <w:vAlign w:val="center"/>
          </w:tcPr>
          <w:p w14:paraId="3F968734">
            <w:pPr>
              <w:jc w:val="right"/>
              <w:rPr>
                <w:rFonts w:hint="default" w:ascii="Arial Narrow" w:hAnsi="Arial Narrow" w:eastAsia="Arial Narrow" w:cs="Arial Narrow"/>
                <w:i w:val="0"/>
                <w:iCs w:val="0"/>
                <w:color w:val="000000"/>
                <w:sz w:val="16"/>
                <w:szCs w:val="16"/>
                <w:u w:val="none"/>
              </w:rPr>
            </w:pPr>
          </w:p>
        </w:tc>
        <w:tc>
          <w:tcPr>
            <w:tcW w:w="975" w:type="dxa"/>
            <w:tcBorders>
              <w:top w:val="single" w:color="auto" w:sz="4" w:space="0"/>
              <w:left w:val="nil"/>
              <w:bottom w:val="nil"/>
              <w:right w:val="single" w:color="auto" w:sz="4" w:space="0"/>
            </w:tcBorders>
            <w:shd w:val="clear" w:color="auto" w:fill="FFFFFF"/>
            <w:vAlign w:val="center"/>
          </w:tcPr>
          <w:p w14:paraId="2943E405">
            <w:pPr>
              <w:jc w:val="right"/>
              <w:rPr>
                <w:rFonts w:hint="default" w:ascii="Arial Narrow" w:hAnsi="Arial Narrow" w:eastAsia="Arial Narrow" w:cs="Arial Narrow"/>
                <w:i w:val="0"/>
                <w:iCs w:val="0"/>
                <w:color w:val="000000"/>
                <w:sz w:val="16"/>
                <w:szCs w:val="16"/>
                <w:u w:val="none"/>
              </w:rPr>
            </w:pPr>
          </w:p>
        </w:tc>
      </w:tr>
      <w:tr w14:paraId="31807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21" w:type="dxa"/>
            <w:gridSpan w:val="6"/>
            <w:tcBorders>
              <w:top w:val="single" w:color="000000" w:sz="4" w:space="0"/>
              <w:left w:val="single" w:color="auto" w:sz="4" w:space="0"/>
              <w:bottom w:val="single" w:color="auto" w:sz="4" w:space="0"/>
              <w:right w:val="single" w:color="auto" w:sz="4" w:space="0"/>
            </w:tcBorders>
            <w:shd w:val="clear" w:color="auto" w:fill="FFFFFF"/>
            <w:vAlign w:val="center"/>
          </w:tcPr>
          <w:p w14:paraId="1066C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 600 章  合计   人民币         元</w:t>
            </w:r>
          </w:p>
        </w:tc>
      </w:tr>
    </w:tbl>
    <w:p w14:paraId="0560C282">
      <w:pPr>
        <w:pStyle w:val="32"/>
        <w:rPr>
          <w:rFonts w:hint="eastAsia"/>
          <w:color w:val="auto"/>
          <w:highlight w:val="yellow"/>
          <w:lang w:val="en-US"/>
        </w:rPr>
      </w:pPr>
    </w:p>
    <w:p w14:paraId="14CEF608">
      <w:pPr>
        <w:pStyle w:val="32"/>
        <w:jc w:val="center"/>
        <w:rPr>
          <w:rFonts w:hint="eastAsia"/>
          <w:color w:val="auto"/>
          <w:highlight w:val="yellow"/>
          <w:lang w:val="en-US"/>
        </w:rPr>
      </w:pPr>
      <w:r>
        <w:rPr>
          <w:rFonts w:hint="eastAsia" w:ascii="宋体" w:hAnsi="宋体" w:eastAsia="宋体" w:cs="宋体"/>
          <w:b/>
          <w:bCs/>
          <w:i w:val="0"/>
          <w:iCs w:val="0"/>
          <w:color w:val="000000"/>
          <w:kern w:val="0"/>
          <w:sz w:val="24"/>
          <w:szCs w:val="24"/>
          <w:u w:val="none"/>
          <w:lang w:val="en-US" w:eastAsia="zh-CN" w:bidi="ar"/>
        </w:rPr>
        <w:t>工程量清单汇总表</w:t>
      </w:r>
    </w:p>
    <w:tbl>
      <w:tblPr>
        <w:tblStyle w:val="61"/>
        <w:tblW w:w="905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8"/>
        <w:gridCol w:w="1180"/>
        <w:gridCol w:w="5445"/>
        <w:gridCol w:w="1708"/>
      </w:tblGrid>
      <w:tr w14:paraId="6743F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8" w:type="dxa"/>
            <w:tcBorders>
              <w:top w:val="single" w:color="000000" w:sz="8" w:space="0"/>
              <w:left w:val="single" w:color="000000" w:sz="8" w:space="0"/>
              <w:bottom w:val="nil"/>
              <w:right w:val="single" w:color="000000" w:sz="4" w:space="0"/>
            </w:tcBorders>
            <w:shd w:val="clear" w:color="auto" w:fill="FFFFFF"/>
            <w:vAlign w:val="center"/>
          </w:tcPr>
          <w:p w14:paraId="6A191D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80" w:type="dxa"/>
            <w:tcBorders>
              <w:top w:val="single" w:color="000000" w:sz="8" w:space="0"/>
              <w:left w:val="nil"/>
              <w:bottom w:val="nil"/>
              <w:right w:val="single" w:color="000000" w:sz="4" w:space="0"/>
            </w:tcBorders>
            <w:shd w:val="clear" w:color="auto" w:fill="FFFFFF"/>
            <w:vAlign w:val="center"/>
          </w:tcPr>
          <w:p w14:paraId="07D551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章次</w:t>
            </w:r>
          </w:p>
        </w:tc>
        <w:tc>
          <w:tcPr>
            <w:tcW w:w="5445" w:type="dxa"/>
            <w:tcBorders>
              <w:top w:val="single" w:color="000000" w:sz="8" w:space="0"/>
              <w:left w:val="nil"/>
              <w:bottom w:val="nil"/>
              <w:right w:val="single" w:color="000000" w:sz="4" w:space="0"/>
            </w:tcBorders>
            <w:shd w:val="clear" w:color="auto" w:fill="FFFFFF"/>
            <w:vAlign w:val="center"/>
          </w:tcPr>
          <w:p w14:paraId="7041DC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708" w:type="dxa"/>
            <w:tcBorders>
              <w:top w:val="single" w:color="000000" w:sz="8" w:space="0"/>
              <w:left w:val="nil"/>
              <w:bottom w:val="nil"/>
              <w:right w:val="single" w:color="000000" w:sz="8" w:space="0"/>
            </w:tcBorders>
            <w:shd w:val="clear" w:color="auto" w:fill="FFFFFF"/>
            <w:vAlign w:val="center"/>
          </w:tcPr>
          <w:p w14:paraId="04B44D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14:paraId="485F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8" w:type="dxa"/>
            <w:tcBorders>
              <w:top w:val="single" w:color="000000" w:sz="4" w:space="0"/>
              <w:left w:val="single" w:color="000000" w:sz="8" w:space="0"/>
              <w:bottom w:val="nil"/>
              <w:right w:val="single" w:color="000000" w:sz="4" w:space="0"/>
            </w:tcBorders>
            <w:shd w:val="clear" w:color="auto" w:fill="FFFFFF"/>
            <w:vAlign w:val="center"/>
          </w:tcPr>
          <w:p w14:paraId="4DE1D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nil"/>
              <w:bottom w:val="nil"/>
              <w:right w:val="single" w:color="000000" w:sz="4" w:space="0"/>
            </w:tcBorders>
            <w:shd w:val="clear" w:color="auto" w:fill="FFFFFF"/>
            <w:vAlign w:val="center"/>
          </w:tcPr>
          <w:p w14:paraId="159A1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100 章</w:t>
            </w:r>
          </w:p>
        </w:tc>
        <w:tc>
          <w:tcPr>
            <w:tcW w:w="5445" w:type="dxa"/>
            <w:tcBorders>
              <w:top w:val="single" w:color="000000" w:sz="4" w:space="0"/>
              <w:left w:val="nil"/>
              <w:bottom w:val="nil"/>
              <w:right w:val="single" w:color="000000" w:sz="4" w:space="0"/>
            </w:tcBorders>
            <w:shd w:val="clear" w:color="auto" w:fill="FFFFFF"/>
            <w:vAlign w:val="center"/>
          </w:tcPr>
          <w:p w14:paraId="53BCAA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总则</w:t>
            </w:r>
          </w:p>
        </w:tc>
        <w:tc>
          <w:tcPr>
            <w:tcW w:w="1708" w:type="dxa"/>
            <w:tcBorders>
              <w:top w:val="single" w:color="000000" w:sz="4" w:space="0"/>
              <w:left w:val="nil"/>
              <w:bottom w:val="nil"/>
              <w:right w:val="single" w:color="000000" w:sz="8" w:space="0"/>
            </w:tcBorders>
            <w:shd w:val="clear" w:color="auto" w:fill="FFFFFF"/>
            <w:vAlign w:val="center"/>
          </w:tcPr>
          <w:p w14:paraId="3CEA0DDA">
            <w:pPr>
              <w:keepNext w:val="0"/>
              <w:keepLines w:val="0"/>
              <w:widowControl/>
              <w:suppressLineNumbers w:val="0"/>
              <w:jc w:val="center"/>
              <w:textAlignment w:val="center"/>
              <w:rPr>
                <w:rFonts w:ascii="Arial Narrow" w:hAnsi="Arial Narrow" w:eastAsia="Arial Narrow" w:cs="Arial Narrow"/>
                <w:i w:val="0"/>
                <w:iCs w:val="0"/>
                <w:color w:val="000000"/>
                <w:sz w:val="18"/>
                <w:szCs w:val="18"/>
                <w:u w:val="none"/>
              </w:rPr>
            </w:pPr>
          </w:p>
        </w:tc>
      </w:tr>
      <w:tr w14:paraId="63A6F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8" w:type="dxa"/>
            <w:tcBorders>
              <w:top w:val="single" w:color="000000" w:sz="4" w:space="0"/>
              <w:left w:val="single" w:color="000000" w:sz="8" w:space="0"/>
              <w:bottom w:val="nil"/>
              <w:right w:val="single" w:color="000000" w:sz="4" w:space="0"/>
            </w:tcBorders>
            <w:shd w:val="clear" w:color="auto" w:fill="FFFFFF"/>
            <w:vAlign w:val="center"/>
          </w:tcPr>
          <w:p w14:paraId="34D69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nil"/>
              <w:bottom w:val="nil"/>
              <w:right w:val="single" w:color="000000" w:sz="4" w:space="0"/>
            </w:tcBorders>
            <w:shd w:val="clear" w:color="auto" w:fill="FFFFFF"/>
            <w:vAlign w:val="center"/>
          </w:tcPr>
          <w:p w14:paraId="068EF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400 章</w:t>
            </w:r>
          </w:p>
        </w:tc>
        <w:tc>
          <w:tcPr>
            <w:tcW w:w="5445" w:type="dxa"/>
            <w:tcBorders>
              <w:top w:val="single" w:color="000000" w:sz="4" w:space="0"/>
              <w:left w:val="nil"/>
              <w:bottom w:val="nil"/>
              <w:right w:val="single" w:color="000000" w:sz="4" w:space="0"/>
            </w:tcBorders>
            <w:shd w:val="clear" w:color="auto" w:fill="FFFFFF"/>
            <w:vAlign w:val="center"/>
          </w:tcPr>
          <w:p w14:paraId="042164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桥涵工程</w:t>
            </w:r>
          </w:p>
        </w:tc>
        <w:tc>
          <w:tcPr>
            <w:tcW w:w="1708" w:type="dxa"/>
            <w:tcBorders>
              <w:top w:val="single" w:color="000000" w:sz="4" w:space="0"/>
              <w:left w:val="nil"/>
              <w:bottom w:val="nil"/>
              <w:right w:val="single" w:color="000000" w:sz="8" w:space="0"/>
            </w:tcBorders>
            <w:shd w:val="clear" w:color="auto" w:fill="FFFFFF"/>
            <w:vAlign w:val="center"/>
          </w:tcPr>
          <w:p w14:paraId="3399DC21">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r>
      <w:tr w14:paraId="6BFA7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8" w:type="dxa"/>
            <w:tcBorders>
              <w:top w:val="single" w:color="000000" w:sz="4" w:space="0"/>
              <w:left w:val="single" w:color="000000" w:sz="8" w:space="0"/>
              <w:bottom w:val="nil"/>
              <w:right w:val="single" w:color="000000" w:sz="4" w:space="0"/>
            </w:tcBorders>
            <w:shd w:val="clear" w:color="auto" w:fill="FFFFFF"/>
            <w:vAlign w:val="center"/>
          </w:tcPr>
          <w:p w14:paraId="3D852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80" w:type="dxa"/>
            <w:tcBorders>
              <w:top w:val="single" w:color="000000" w:sz="4" w:space="0"/>
              <w:left w:val="nil"/>
              <w:bottom w:val="nil"/>
              <w:right w:val="single" w:color="000000" w:sz="4" w:space="0"/>
            </w:tcBorders>
            <w:shd w:val="clear" w:color="auto" w:fill="FFFFFF"/>
            <w:vAlign w:val="center"/>
          </w:tcPr>
          <w:p w14:paraId="309DA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600 章</w:t>
            </w:r>
          </w:p>
        </w:tc>
        <w:tc>
          <w:tcPr>
            <w:tcW w:w="5445" w:type="dxa"/>
            <w:tcBorders>
              <w:top w:val="single" w:color="000000" w:sz="4" w:space="0"/>
              <w:left w:val="nil"/>
              <w:bottom w:val="nil"/>
              <w:right w:val="single" w:color="000000" w:sz="4" w:space="0"/>
            </w:tcBorders>
            <w:shd w:val="clear" w:color="auto" w:fill="FFFFFF"/>
            <w:vAlign w:val="center"/>
          </w:tcPr>
          <w:p w14:paraId="247EBB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沿线设施</w:t>
            </w:r>
          </w:p>
        </w:tc>
        <w:tc>
          <w:tcPr>
            <w:tcW w:w="1708" w:type="dxa"/>
            <w:tcBorders>
              <w:top w:val="single" w:color="000000" w:sz="4" w:space="0"/>
              <w:left w:val="nil"/>
              <w:bottom w:val="nil"/>
              <w:right w:val="single" w:color="000000" w:sz="8" w:space="0"/>
            </w:tcBorders>
            <w:shd w:val="clear" w:color="auto" w:fill="FFFFFF"/>
            <w:vAlign w:val="center"/>
          </w:tcPr>
          <w:p w14:paraId="5B7B2AD8">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r>
      <w:tr w14:paraId="27DB0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8" w:type="dxa"/>
            <w:tcBorders>
              <w:top w:val="single" w:color="000000" w:sz="4" w:space="0"/>
              <w:left w:val="single" w:color="000000" w:sz="8" w:space="0"/>
              <w:bottom w:val="nil"/>
              <w:right w:val="single" w:color="000000" w:sz="4" w:space="0"/>
            </w:tcBorders>
            <w:shd w:val="clear" w:color="auto" w:fill="FFFFFF"/>
            <w:vAlign w:val="center"/>
          </w:tcPr>
          <w:p w14:paraId="31630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80" w:type="dxa"/>
            <w:tcBorders>
              <w:top w:val="single" w:color="000000" w:sz="4" w:space="0"/>
              <w:left w:val="nil"/>
              <w:bottom w:val="nil"/>
              <w:right w:val="single" w:color="000000" w:sz="4" w:space="0"/>
            </w:tcBorders>
            <w:shd w:val="clear" w:color="auto" w:fill="FFFFFF"/>
            <w:vAlign w:val="center"/>
          </w:tcPr>
          <w:p w14:paraId="133B32F3">
            <w:pPr>
              <w:jc w:val="center"/>
              <w:rPr>
                <w:rFonts w:hint="eastAsia" w:ascii="宋体" w:hAnsi="宋体" w:eastAsia="宋体" w:cs="宋体"/>
                <w:i w:val="0"/>
                <w:iCs w:val="0"/>
                <w:color w:val="000000"/>
                <w:sz w:val="18"/>
                <w:szCs w:val="18"/>
                <w:u w:val="none"/>
              </w:rPr>
            </w:pPr>
          </w:p>
        </w:tc>
        <w:tc>
          <w:tcPr>
            <w:tcW w:w="5445" w:type="dxa"/>
            <w:tcBorders>
              <w:top w:val="single" w:color="000000" w:sz="4" w:space="0"/>
              <w:left w:val="nil"/>
              <w:bottom w:val="nil"/>
              <w:right w:val="single" w:color="000000" w:sz="4" w:space="0"/>
            </w:tcBorders>
            <w:shd w:val="clear" w:color="auto" w:fill="FFFFFF"/>
            <w:vAlign w:val="center"/>
          </w:tcPr>
          <w:p w14:paraId="47D9D9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100章～900章清单合计</w:t>
            </w:r>
          </w:p>
        </w:tc>
        <w:tc>
          <w:tcPr>
            <w:tcW w:w="1708" w:type="dxa"/>
            <w:tcBorders>
              <w:top w:val="single" w:color="000000" w:sz="4" w:space="0"/>
              <w:left w:val="nil"/>
              <w:bottom w:val="nil"/>
              <w:right w:val="single" w:color="000000" w:sz="8" w:space="0"/>
            </w:tcBorders>
            <w:shd w:val="clear" w:color="auto" w:fill="FFFFFF"/>
            <w:vAlign w:val="center"/>
          </w:tcPr>
          <w:p w14:paraId="65DA46A8">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r>
      <w:tr w14:paraId="2A3F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8" w:type="dxa"/>
            <w:tcBorders>
              <w:top w:val="single" w:color="000000" w:sz="4" w:space="0"/>
              <w:left w:val="single" w:color="000000" w:sz="8" w:space="0"/>
              <w:bottom w:val="nil"/>
              <w:right w:val="single" w:color="000000" w:sz="4" w:space="0"/>
            </w:tcBorders>
            <w:shd w:val="clear" w:color="auto" w:fill="FFFFFF"/>
            <w:vAlign w:val="center"/>
          </w:tcPr>
          <w:p w14:paraId="6E58E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80" w:type="dxa"/>
            <w:tcBorders>
              <w:top w:val="single" w:color="000000" w:sz="4" w:space="0"/>
              <w:left w:val="nil"/>
              <w:bottom w:val="nil"/>
              <w:right w:val="single" w:color="000000" w:sz="4" w:space="0"/>
            </w:tcBorders>
            <w:shd w:val="clear" w:color="auto" w:fill="FFFFFF"/>
            <w:vAlign w:val="center"/>
          </w:tcPr>
          <w:p w14:paraId="60EBEF14">
            <w:pPr>
              <w:jc w:val="center"/>
              <w:rPr>
                <w:rFonts w:hint="eastAsia" w:ascii="宋体" w:hAnsi="宋体" w:eastAsia="宋体" w:cs="宋体"/>
                <w:i w:val="0"/>
                <w:iCs w:val="0"/>
                <w:color w:val="000000"/>
                <w:sz w:val="18"/>
                <w:szCs w:val="18"/>
                <w:u w:val="none"/>
              </w:rPr>
            </w:pPr>
          </w:p>
        </w:tc>
        <w:tc>
          <w:tcPr>
            <w:tcW w:w="5445" w:type="dxa"/>
            <w:tcBorders>
              <w:top w:val="single" w:color="000000" w:sz="4" w:space="0"/>
              <w:left w:val="nil"/>
              <w:bottom w:val="nil"/>
              <w:right w:val="single" w:color="000000" w:sz="4" w:space="0"/>
            </w:tcBorders>
            <w:shd w:val="clear" w:color="auto" w:fill="FFFFFF"/>
            <w:vAlign w:val="center"/>
          </w:tcPr>
          <w:p w14:paraId="4E1B2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已包含在清单合计中的专项暂定金额小计</w:t>
            </w:r>
          </w:p>
        </w:tc>
        <w:tc>
          <w:tcPr>
            <w:tcW w:w="1708" w:type="dxa"/>
            <w:tcBorders>
              <w:top w:val="single" w:color="000000" w:sz="4" w:space="0"/>
              <w:left w:val="nil"/>
              <w:bottom w:val="nil"/>
              <w:right w:val="single" w:color="000000" w:sz="8" w:space="0"/>
            </w:tcBorders>
            <w:shd w:val="clear" w:color="auto" w:fill="FFFFFF"/>
            <w:vAlign w:val="center"/>
          </w:tcPr>
          <w:p w14:paraId="2A9356C0">
            <w:pPr>
              <w:jc w:val="center"/>
              <w:rPr>
                <w:rFonts w:hint="default" w:ascii="Arial Narrow" w:hAnsi="Arial Narrow" w:eastAsia="Arial Narrow" w:cs="Arial Narrow"/>
                <w:i w:val="0"/>
                <w:iCs w:val="0"/>
                <w:color w:val="000000"/>
                <w:sz w:val="18"/>
                <w:szCs w:val="18"/>
                <w:u w:val="none"/>
              </w:rPr>
            </w:pPr>
          </w:p>
        </w:tc>
      </w:tr>
      <w:tr w14:paraId="5540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8" w:type="dxa"/>
            <w:tcBorders>
              <w:top w:val="single" w:color="000000" w:sz="4" w:space="0"/>
              <w:left w:val="single" w:color="000000" w:sz="8" w:space="0"/>
              <w:bottom w:val="nil"/>
              <w:right w:val="single" w:color="000000" w:sz="4" w:space="0"/>
            </w:tcBorders>
            <w:shd w:val="clear" w:color="auto" w:fill="FFFFFF"/>
            <w:vAlign w:val="center"/>
          </w:tcPr>
          <w:p w14:paraId="52EB5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80" w:type="dxa"/>
            <w:tcBorders>
              <w:top w:val="single" w:color="000000" w:sz="4" w:space="0"/>
              <w:left w:val="nil"/>
              <w:bottom w:val="nil"/>
              <w:right w:val="single" w:color="000000" w:sz="4" w:space="0"/>
            </w:tcBorders>
            <w:shd w:val="clear" w:color="auto" w:fill="FFFFFF"/>
            <w:vAlign w:val="center"/>
          </w:tcPr>
          <w:p w14:paraId="51479585">
            <w:pPr>
              <w:jc w:val="center"/>
              <w:rPr>
                <w:rFonts w:hint="eastAsia" w:ascii="宋体" w:hAnsi="宋体" w:eastAsia="宋体" w:cs="宋体"/>
                <w:i w:val="0"/>
                <w:iCs w:val="0"/>
                <w:color w:val="000000"/>
                <w:sz w:val="18"/>
                <w:szCs w:val="18"/>
                <w:u w:val="none"/>
              </w:rPr>
            </w:pPr>
          </w:p>
        </w:tc>
        <w:tc>
          <w:tcPr>
            <w:tcW w:w="5445" w:type="dxa"/>
            <w:tcBorders>
              <w:top w:val="single" w:color="000000" w:sz="4" w:space="0"/>
              <w:left w:val="nil"/>
              <w:bottom w:val="nil"/>
              <w:right w:val="single" w:color="000000" w:sz="4" w:space="0"/>
            </w:tcBorders>
            <w:shd w:val="clear" w:color="auto" w:fill="FFFFFF"/>
            <w:vAlign w:val="center"/>
          </w:tcPr>
          <w:p w14:paraId="104B35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清单合计减去专项暂定金额</w:t>
            </w:r>
          </w:p>
        </w:tc>
        <w:tc>
          <w:tcPr>
            <w:tcW w:w="1708" w:type="dxa"/>
            <w:tcBorders>
              <w:top w:val="single" w:color="000000" w:sz="4" w:space="0"/>
              <w:left w:val="nil"/>
              <w:bottom w:val="nil"/>
              <w:right w:val="single" w:color="000000" w:sz="8" w:space="0"/>
            </w:tcBorders>
            <w:shd w:val="clear" w:color="auto" w:fill="FFFFFF"/>
            <w:vAlign w:val="center"/>
          </w:tcPr>
          <w:p w14:paraId="3B9C3C60">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r>
      <w:tr w14:paraId="2512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8" w:type="dxa"/>
            <w:tcBorders>
              <w:top w:val="single" w:color="000000" w:sz="4" w:space="0"/>
              <w:left w:val="single" w:color="000000" w:sz="8" w:space="0"/>
              <w:bottom w:val="single" w:color="auto" w:sz="4" w:space="0"/>
              <w:right w:val="single" w:color="000000" w:sz="4" w:space="0"/>
            </w:tcBorders>
            <w:shd w:val="clear" w:color="auto" w:fill="FFFFFF"/>
            <w:vAlign w:val="center"/>
          </w:tcPr>
          <w:p w14:paraId="79CF5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80" w:type="dxa"/>
            <w:tcBorders>
              <w:top w:val="single" w:color="000000" w:sz="4" w:space="0"/>
              <w:left w:val="nil"/>
              <w:bottom w:val="single" w:color="auto" w:sz="4" w:space="0"/>
              <w:right w:val="single" w:color="000000" w:sz="4" w:space="0"/>
            </w:tcBorders>
            <w:shd w:val="clear" w:color="auto" w:fill="FFFFFF"/>
            <w:vAlign w:val="center"/>
          </w:tcPr>
          <w:p w14:paraId="54A4FFB6">
            <w:pPr>
              <w:jc w:val="center"/>
              <w:rPr>
                <w:rFonts w:hint="eastAsia" w:ascii="宋体" w:hAnsi="宋体" w:eastAsia="宋体" w:cs="宋体"/>
                <w:i w:val="0"/>
                <w:iCs w:val="0"/>
                <w:color w:val="000000"/>
                <w:sz w:val="18"/>
                <w:szCs w:val="18"/>
                <w:u w:val="none"/>
              </w:rPr>
            </w:pPr>
          </w:p>
        </w:tc>
        <w:tc>
          <w:tcPr>
            <w:tcW w:w="5445" w:type="dxa"/>
            <w:tcBorders>
              <w:top w:val="single" w:color="000000" w:sz="4" w:space="0"/>
              <w:left w:val="nil"/>
              <w:bottom w:val="single" w:color="auto" w:sz="4" w:space="0"/>
              <w:right w:val="single" w:color="000000" w:sz="4" w:space="0"/>
            </w:tcBorders>
            <w:shd w:val="clear" w:color="auto" w:fill="FFFFFF"/>
            <w:vAlign w:val="center"/>
          </w:tcPr>
          <w:p w14:paraId="5E1BA6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不可预见费（暂定金额）</w:t>
            </w:r>
          </w:p>
        </w:tc>
        <w:tc>
          <w:tcPr>
            <w:tcW w:w="1708" w:type="dxa"/>
            <w:tcBorders>
              <w:top w:val="single" w:color="000000" w:sz="4" w:space="0"/>
              <w:left w:val="nil"/>
              <w:bottom w:val="single" w:color="auto" w:sz="4" w:space="0"/>
              <w:right w:val="single" w:color="000000" w:sz="8" w:space="0"/>
            </w:tcBorders>
            <w:shd w:val="clear" w:color="auto" w:fill="FFFFFF"/>
            <w:vAlign w:val="center"/>
          </w:tcPr>
          <w:p w14:paraId="4EF0B675">
            <w:pPr>
              <w:jc w:val="center"/>
              <w:rPr>
                <w:rFonts w:hint="default" w:ascii="Arial Narrow" w:hAnsi="Arial Narrow" w:eastAsia="Arial Narrow" w:cs="Arial Narrow"/>
                <w:i w:val="0"/>
                <w:iCs w:val="0"/>
                <w:color w:val="000000"/>
                <w:sz w:val="18"/>
                <w:szCs w:val="18"/>
                <w:u w:val="none"/>
              </w:rPr>
            </w:pPr>
          </w:p>
        </w:tc>
      </w:tr>
      <w:tr w14:paraId="2A3A2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8" w:type="dxa"/>
            <w:tcBorders>
              <w:top w:val="single" w:color="auto" w:sz="4" w:space="0"/>
              <w:left w:val="single" w:color="auto" w:sz="4" w:space="0"/>
              <w:bottom w:val="single" w:color="auto" w:sz="4" w:space="0"/>
              <w:right w:val="single" w:color="000000" w:sz="4" w:space="0"/>
            </w:tcBorders>
            <w:shd w:val="clear" w:color="auto" w:fill="FFFFFF"/>
            <w:vAlign w:val="center"/>
          </w:tcPr>
          <w:p w14:paraId="59BFA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80" w:type="dxa"/>
            <w:tcBorders>
              <w:top w:val="single" w:color="auto" w:sz="4" w:space="0"/>
              <w:left w:val="nil"/>
              <w:bottom w:val="single" w:color="auto" w:sz="4" w:space="0"/>
              <w:right w:val="single" w:color="000000" w:sz="4" w:space="0"/>
            </w:tcBorders>
            <w:shd w:val="clear" w:color="auto" w:fill="FFFFFF"/>
            <w:vAlign w:val="center"/>
          </w:tcPr>
          <w:p w14:paraId="00D46338">
            <w:pPr>
              <w:jc w:val="center"/>
              <w:rPr>
                <w:rFonts w:hint="eastAsia" w:ascii="宋体" w:hAnsi="宋体" w:eastAsia="宋体" w:cs="宋体"/>
                <w:i w:val="0"/>
                <w:iCs w:val="0"/>
                <w:color w:val="000000"/>
                <w:sz w:val="18"/>
                <w:szCs w:val="18"/>
                <w:u w:val="none"/>
              </w:rPr>
            </w:pPr>
          </w:p>
        </w:tc>
        <w:tc>
          <w:tcPr>
            <w:tcW w:w="5445" w:type="dxa"/>
            <w:tcBorders>
              <w:top w:val="single" w:color="auto" w:sz="4" w:space="0"/>
              <w:left w:val="nil"/>
              <w:bottom w:val="single" w:color="auto" w:sz="4" w:space="0"/>
              <w:right w:val="single" w:color="000000" w:sz="4" w:space="0"/>
            </w:tcBorders>
            <w:shd w:val="clear" w:color="auto" w:fill="FFFFFF"/>
            <w:vAlign w:val="center"/>
          </w:tcPr>
          <w:p w14:paraId="140EA196">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投标价</w:t>
            </w:r>
          </w:p>
        </w:tc>
        <w:tc>
          <w:tcPr>
            <w:tcW w:w="1708" w:type="dxa"/>
            <w:tcBorders>
              <w:top w:val="single" w:color="auto" w:sz="4" w:space="0"/>
              <w:left w:val="nil"/>
              <w:bottom w:val="single" w:color="auto" w:sz="4" w:space="0"/>
              <w:right w:val="single" w:color="auto" w:sz="4" w:space="0"/>
            </w:tcBorders>
            <w:shd w:val="clear" w:color="auto" w:fill="FFFFFF"/>
            <w:vAlign w:val="center"/>
          </w:tcPr>
          <w:p w14:paraId="40871252">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p>
        </w:tc>
      </w:tr>
    </w:tbl>
    <w:p w14:paraId="464A6FFE">
      <w:pPr>
        <w:pStyle w:val="32"/>
        <w:rPr>
          <w:rFonts w:hint="eastAsia"/>
          <w:color w:val="auto"/>
          <w:highlight w:val="yellow"/>
          <w:lang w:val="en-US"/>
        </w:rPr>
      </w:pPr>
    </w:p>
    <w:p w14:paraId="39AA00E4">
      <w:pPr>
        <w:pStyle w:val="32"/>
        <w:rPr>
          <w:color w:val="auto"/>
          <w:highlight w:val="yellow"/>
          <w:lang w:val="en-US"/>
        </w:rPr>
      </w:pPr>
      <w:r>
        <w:rPr>
          <w:color w:val="auto"/>
          <w:highlight w:val="yellow"/>
          <w:lang w:val="en-US"/>
        </w:rPr>
        <w:br w:type="page"/>
      </w:r>
    </w:p>
    <w:p w14:paraId="0ADEF2D2">
      <w:pPr>
        <w:spacing w:before="120" w:beforeLines="50" w:after="120" w:afterLines="50" w:line="400" w:lineRule="exact"/>
        <w:rPr>
          <w:rFonts w:hint="eastAsia" w:asciiTheme="majorEastAsia" w:hAnsiTheme="majorEastAsia" w:eastAsiaTheme="majorEastAsia" w:cstheme="majorEastAsia"/>
          <w:b/>
          <w:bCs/>
          <w:i/>
          <w:i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eastAsia="zh-CN"/>
        </w:rPr>
        <w:t>五</w:t>
      </w:r>
      <w:r>
        <w:rPr>
          <w:rFonts w:hint="eastAsia" w:asciiTheme="majorEastAsia" w:hAnsiTheme="majorEastAsia" w:eastAsiaTheme="majorEastAsia" w:cstheme="majorEastAsia"/>
          <w:b/>
          <w:bCs/>
          <w:color w:val="auto"/>
          <w:sz w:val="21"/>
          <w:szCs w:val="21"/>
          <w:highlight w:val="none"/>
        </w:rPr>
        <w:t>、商务条款要求</w:t>
      </w:r>
    </w:p>
    <w:tbl>
      <w:tblPr>
        <w:tblStyle w:val="61"/>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257"/>
      </w:tblGrid>
      <w:tr w14:paraId="31CB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2110785B">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8257" w:type="dxa"/>
            <w:noWrap w:val="0"/>
            <w:vAlign w:val="center"/>
          </w:tcPr>
          <w:p w14:paraId="1B9BB826">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14:paraId="3028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51A859B">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8257" w:type="dxa"/>
            <w:noWrap w:val="0"/>
            <w:vAlign w:val="center"/>
          </w:tcPr>
          <w:p w14:paraId="67C0527A">
            <w:pPr>
              <w:pageBreakBefore w:val="0"/>
              <w:kinsoku/>
              <w:wordWrap/>
              <w:overflowPunct/>
              <w:topLinePunct w:val="0"/>
              <w:autoSpaceDE w:val="0"/>
              <w:autoSpaceDN w:val="0"/>
              <w:bidi w:val="0"/>
              <w:adjustRightInd w:val="0"/>
              <w:snapToGrid/>
              <w:spacing w:line="320" w:lineRule="exact"/>
              <w:textAlignment w:val="auto"/>
              <w:rPr>
                <w:rFonts w:hint="eastAsia" w:ascii="宋体" w:hAnsi="宋体" w:eastAsia="宋体"/>
                <w:color w:val="auto"/>
                <w:kern w:val="0"/>
                <w:sz w:val="21"/>
                <w:szCs w:val="21"/>
                <w:highlight w:val="none"/>
                <w:lang w:eastAsia="zh-CN"/>
              </w:rPr>
            </w:pPr>
            <w:r>
              <w:rPr>
                <w:rFonts w:hint="eastAsia" w:asciiTheme="majorEastAsia" w:hAnsiTheme="majorEastAsia" w:eastAsiaTheme="majorEastAsia" w:cstheme="majorEastAsia"/>
                <w:color w:val="auto"/>
                <w:sz w:val="21"/>
                <w:szCs w:val="21"/>
                <w:highlight w:val="none"/>
              </w:rPr>
              <w:t>履约保证金：</w:t>
            </w:r>
            <w:r>
              <w:rPr>
                <w:rFonts w:hint="eastAsia" w:ascii="宋体" w:hAnsi="宋体"/>
                <w:color w:val="auto"/>
                <w:kern w:val="0"/>
                <w:sz w:val="21"/>
                <w:szCs w:val="21"/>
                <w:highlight w:val="none"/>
              </w:rPr>
              <w:t>履约担保金额为签约合同价的</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lang w:val="en-US" w:eastAsia="zh-CN"/>
              </w:rPr>
              <w:t>1</w:t>
            </w:r>
            <w:r>
              <w:rPr>
                <w:rFonts w:hint="eastAsia"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u w:val="none"/>
                <w:lang w:eastAsia="zh-CN"/>
              </w:rPr>
              <w:t>。</w:t>
            </w:r>
          </w:p>
          <w:p w14:paraId="7025E522">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olor w:val="auto"/>
                <w:kern w:val="0"/>
                <w:sz w:val="21"/>
                <w:szCs w:val="21"/>
                <w:highlight w:val="none"/>
              </w:rPr>
              <w:t>履约担保返还期限：在工程竣工验收合格后10日内全额返还。</w:t>
            </w:r>
          </w:p>
        </w:tc>
      </w:tr>
      <w:tr w14:paraId="11D1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DD5529A">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8257" w:type="dxa"/>
            <w:noWrap w:val="0"/>
            <w:vAlign w:val="center"/>
          </w:tcPr>
          <w:p w14:paraId="0C81DF20">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付款方式：合同签订及具备实施条件后</w:t>
            </w:r>
            <w:r>
              <w:rPr>
                <w:rFonts w:hint="eastAsia" w:asciiTheme="majorEastAsia" w:hAnsiTheme="majorEastAsia" w:eastAsiaTheme="majorEastAsia" w:cstheme="majorEastAsia"/>
                <w:color w:val="auto"/>
                <w:sz w:val="21"/>
                <w:szCs w:val="21"/>
                <w:highlight w:val="none"/>
                <w:lang w:val="en-US" w:eastAsia="zh-CN"/>
              </w:rPr>
              <w:t>7</w:t>
            </w:r>
            <w:r>
              <w:rPr>
                <w:rFonts w:hint="eastAsia" w:asciiTheme="majorEastAsia" w:hAnsiTheme="majorEastAsia" w:eastAsiaTheme="majorEastAsia" w:cstheme="majorEastAsia"/>
                <w:color w:val="auto"/>
                <w:sz w:val="21"/>
                <w:szCs w:val="21"/>
                <w:highlight w:val="none"/>
              </w:rPr>
              <w:t>个工作日内支付合同价款的40%</w:t>
            </w:r>
            <w:r>
              <w:rPr>
                <w:rFonts w:hint="eastAsia" w:asciiTheme="majorEastAsia" w:hAnsiTheme="majorEastAsia" w:eastAsiaTheme="majorEastAsia" w:cstheme="majorEastAsia"/>
                <w:color w:val="auto"/>
                <w:sz w:val="21"/>
                <w:szCs w:val="21"/>
                <w:highlight w:val="none"/>
                <w:lang w:val="en-US" w:eastAsia="zh-CN"/>
              </w:rPr>
              <w:t>预付款</w:t>
            </w:r>
            <w:r>
              <w:rPr>
                <w:rFonts w:hint="eastAsia" w:asciiTheme="majorEastAsia" w:hAnsiTheme="majorEastAsia" w:eastAsiaTheme="majorEastAsia" w:cstheme="majorEastAsia"/>
                <w:color w:val="auto"/>
                <w:sz w:val="21"/>
                <w:szCs w:val="21"/>
                <w:highlight w:val="none"/>
              </w:rPr>
              <w:t>（供应商应在收到预付款的同时向采购人提交预付款保函，预付款保函的担保金额应与预付款金额相同，保函的担保金额可根据预付款扣回的金额相应递减，预付款从第一次支付工程款开始分次均衡扣回</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在签订合同时，供应商明确表示无需预付款或者主动要求降低预付款比例的，采购单位可不适用前述规定。）</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tc>
      </w:tr>
      <w:tr w14:paraId="49DE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0352D638">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8257" w:type="dxa"/>
            <w:noWrap w:val="0"/>
            <w:vAlign w:val="center"/>
          </w:tcPr>
          <w:p w14:paraId="3B6B9D5B">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w:t>
            </w:r>
            <w:r>
              <w:rPr>
                <w:rFonts w:hint="eastAsia" w:asciiTheme="majorEastAsia" w:hAnsiTheme="majorEastAsia" w:eastAsiaTheme="majorEastAsia" w:cstheme="majorEastAsia"/>
                <w:color w:val="auto"/>
                <w:sz w:val="21"/>
                <w:szCs w:val="21"/>
                <w:highlight w:val="none"/>
                <w:lang w:val="en-US" w:eastAsia="zh-CN"/>
              </w:rPr>
              <w:t>3个月</w:t>
            </w:r>
          </w:p>
          <w:p w14:paraId="0C405E4C">
            <w:pPr>
              <w:spacing w:line="360" w:lineRule="exact"/>
              <w:jc w:val="lef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质量目标：合格</w:t>
            </w:r>
          </w:p>
          <w:p w14:paraId="7D345575">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val="en-US" w:eastAsia="zh-CN"/>
              </w:rPr>
              <w:t>宁海县境内</w:t>
            </w:r>
          </w:p>
        </w:tc>
      </w:tr>
      <w:tr w14:paraId="20F6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0BEBE326">
            <w:pPr>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4</w:t>
            </w:r>
          </w:p>
        </w:tc>
        <w:tc>
          <w:tcPr>
            <w:tcW w:w="8257" w:type="dxa"/>
            <w:noWrap w:val="0"/>
            <w:vAlign w:val="center"/>
          </w:tcPr>
          <w:p w14:paraId="01271F1B">
            <w:pPr>
              <w:spacing w:line="360" w:lineRule="exact"/>
              <w:jc w:val="lef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缺陷责任期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缺陷责任期自实际竣（交）工日期起计算</w:t>
            </w:r>
            <w:r>
              <w:rPr>
                <w:rFonts w:hint="eastAsia" w:asciiTheme="majorEastAsia" w:hAnsiTheme="majorEastAsia" w:eastAsiaTheme="majorEastAsia" w:cstheme="majorEastAsia"/>
                <w:color w:val="auto"/>
                <w:sz w:val="21"/>
                <w:szCs w:val="21"/>
                <w:highlight w:val="none"/>
                <w:u w:val="none"/>
                <w:lang w:val="en-US" w:eastAsia="zh-CN"/>
              </w:rPr>
              <w:t xml:space="preserve"> 1 </w:t>
            </w:r>
            <w:r>
              <w:rPr>
                <w:rFonts w:hint="eastAsia" w:asciiTheme="majorEastAsia" w:hAnsiTheme="majorEastAsia" w:eastAsiaTheme="majorEastAsia" w:cstheme="majorEastAsia"/>
                <w:color w:val="auto"/>
                <w:sz w:val="21"/>
                <w:szCs w:val="21"/>
                <w:highlight w:val="none"/>
              </w:rPr>
              <w:t>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其中轻量化监测系统为2年。</w:t>
            </w:r>
          </w:p>
        </w:tc>
      </w:tr>
      <w:tr w14:paraId="4A46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62" w:type="dxa"/>
            <w:noWrap w:val="0"/>
            <w:vAlign w:val="center"/>
          </w:tcPr>
          <w:p w14:paraId="68BEF590">
            <w:pPr>
              <w:spacing w:line="360" w:lineRule="exact"/>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w:t>
            </w:r>
          </w:p>
        </w:tc>
        <w:tc>
          <w:tcPr>
            <w:tcW w:w="8257" w:type="dxa"/>
            <w:noWrap w:val="0"/>
            <w:vAlign w:val="center"/>
          </w:tcPr>
          <w:p w14:paraId="15E4FEBE">
            <w:pPr>
              <w:spacing w:line="36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合同条款</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按第</w:t>
            </w:r>
            <w:r>
              <w:rPr>
                <w:rFonts w:hint="eastAsia" w:asciiTheme="majorEastAsia" w:hAnsiTheme="majorEastAsia" w:eastAsiaTheme="majorEastAsia" w:cstheme="majorEastAsia"/>
                <w:color w:val="auto"/>
                <w:sz w:val="21"/>
                <w:szCs w:val="21"/>
                <w:highlight w:val="none"/>
                <w:lang w:eastAsia="zh-CN"/>
              </w:rPr>
              <w:t>五</w:t>
            </w:r>
            <w:r>
              <w:rPr>
                <w:rFonts w:hint="eastAsia" w:asciiTheme="majorEastAsia" w:hAnsiTheme="majorEastAsia" w:eastAsiaTheme="majorEastAsia" w:cstheme="majorEastAsia"/>
                <w:color w:val="auto"/>
                <w:sz w:val="21"/>
                <w:szCs w:val="21"/>
                <w:highlight w:val="none"/>
              </w:rPr>
              <w:t>部分拟签订的合同文本执行</w:t>
            </w:r>
            <w:r>
              <w:rPr>
                <w:rFonts w:hint="eastAsia" w:asciiTheme="majorEastAsia" w:hAnsiTheme="majorEastAsia" w:eastAsiaTheme="majorEastAsia" w:cstheme="majorEastAsia"/>
                <w:color w:val="auto"/>
                <w:sz w:val="21"/>
                <w:szCs w:val="21"/>
                <w:highlight w:val="none"/>
                <w:lang w:eastAsia="zh-CN"/>
              </w:rPr>
              <w:t>。</w:t>
            </w:r>
          </w:p>
        </w:tc>
      </w:tr>
      <w:tr w14:paraId="4542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62" w:type="dxa"/>
            <w:noWrap w:val="0"/>
            <w:vAlign w:val="center"/>
          </w:tcPr>
          <w:p w14:paraId="6B16BF05">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6</w:t>
            </w:r>
          </w:p>
        </w:tc>
        <w:tc>
          <w:tcPr>
            <w:tcW w:w="8257" w:type="dxa"/>
            <w:noWrap w:val="0"/>
            <w:vAlign w:val="center"/>
          </w:tcPr>
          <w:p w14:paraId="5EBEA3E3">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14:paraId="7DB7F950">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14:paraId="7669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2" w:type="dxa"/>
            <w:noWrap w:val="0"/>
            <w:vAlign w:val="center"/>
          </w:tcPr>
          <w:p w14:paraId="108160F4">
            <w:pPr>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7</w:t>
            </w:r>
          </w:p>
        </w:tc>
        <w:tc>
          <w:tcPr>
            <w:tcW w:w="8257" w:type="dxa"/>
            <w:noWrap w:val="0"/>
            <w:vAlign w:val="center"/>
          </w:tcPr>
          <w:p w14:paraId="12FE32AA">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本工程采用单价合同形式，</w:t>
            </w:r>
            <w:r>
              <w:rPr>
                <w:rFonts w:hint="eastAsia" w:asciiTheme="majorEastAsia" w:hAnsiTheme="majorEastAsia" w:eastAsiaTheme="majorEastAsia" w:cstheme="majorEastAsia"/>
                <w:color w:val="auto"/>
                <w:sz w:val="21"/>
                <w:szCs w:val="21"/>
                <w:highlight w:val="none"/>
              </w:rPr>
              <w:t>实行工程量清单固定综合单价，工程量按实际结算。</w:t>
            </w:r>
          </w:p>
        </w:tc>
      </w:tr>
    </w:tbl>
    <w:p w14:paraId="0DF2ED1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358F32A">
      <w:pPr>
        <w:pStyle w:val="41"/>
        <w:tabs>
          <w:tab w:val="right" w:leader="dot" w:pos="9180"/>
        </w:tabs>
        <w:spacing w:before="120" w:beforeLines="50" w:line="600" w:lineRule="exact"/>
        <w:ind w:right="-420" w:rightChars="-200"/>
        <w:jc w:val="center"/>
        <w:outlineLvl w:val="0"/>
        <w:rPr>
          <w:rFonts w:hint="eastAsia"/>
          <w:b/>
          <w:color w:val="auto"/>
          <w:sz w:val="36"/>
          <w:szCs w:val="36"/>
          <w:highlight w:val="none"/>
        </w:rPr>
      </w:pPr>
      <w:r>
        <w:rPr>
          <w:rFonts w:hint="eastAsia" w:ascii="宋体" w:hAnsi="宋体" w:cs="宋体"/>
          <w:b/>
          <w:color w:val="auto"/>
          <w:sz w:val="36"/>
          <w:szCs w:val="36"/>
          <w:highlight w:val="none"/>
        </w:rPr>
        <w:t>第四部分 评审方法及评审</w:t>
      </w:r>
      <w:r>
        <w:rPr>
          <w:rFonts w:hint="eastAsia" w:ascii="宋体" w:hAnsi="宋体" w:cs="宋体"/>
          <w:b/>
          <w:color w:val="auto"/>
          <w:sz w:val="36"/>
          <w:szCs w:val="36"/>
          <w:highlight w:val="none"/>
          <w:lang w:eastAsia="zh-CN"/>
        </w:rPr>
        <w:t>标准</w:t>
      </w:r>
    </w:p>
    <w:p w14:paraId="29A64F51">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一、评审方法</w:t>
      </w:r>
    </w:p>
    <w:p w14:paraId="06EB7293">
      <w:pPr>
        <w:adjustRightInd/>
        <w:spacing w:line="360" w:lineRule="auto"/>
        <w:ind w:firstLine="413" w:firstLineChars="196"/>
        <w:rPr>
          <w:rFonts w:ascii="宋体" w:hAnsi="宋体" w:cs="宋体"/>
          <w:color w:val="auto"/>
          <w:kern w:val="0"/>
          <w:sz w:val="21"/>
          <w:szCs w:val="21"/>
          <w:highlight w:val="none"/>
        </w:rPr>
      </w:pPr>
      <w:r>
        <w:rPr>
          <w:rFonts w:hint="eastAsia" w:ascii="宋体" w:hAnsi="宋体" w:cs="宋体"/>
          <w:b/>
          <w:bCs w:val="0"/>
          <w:color w:val="auto"/>
          <w:kern w:val="0"/>
          <w:sz w:val="21"/>
          <w:szCs w:val="21"/>
          <w:highlight w:val="none"/>
        </w:rPr>
        <w:t>1.</w:t>
      </w:r>
      <w:r>
        <w:rPr>
          <w:rFonts w:hint="eastAsia" w:ascii="宋体" w:hAnsi="宋体" w:cs="宋体"/>
          <w:b/>
          <w:bCs w:val="0"/>
          <w:color w:val="auto"/>
          <w:kern w:val="0"/>
          <w:sz w:val="21"/>
          <w:szCs w:val="21"/>
          <w:highlight w:val="none"/>
          <w:lang w:val="en-US" w:eastAsia="zh-CN"/>
        </w:rPr>
        <w:t xml:space="preserve">1 </w:t>
      </w:r>
      <w:r>
        <w:rPr>
          <w:rFonts w:hint="eastAsia" w:ascii="宋体" w:hAnsi="宋体" w:cs="宋体"/>
          <w:b/>
          <w:bCs w:val="0"/>
          <w:color w:val="auto"/>
          <w:kern w:val="0"/>
          <w:sz w:val="21"/>
          <w:szCs w:val="21"/>
          <w:highlight w:val="none"/>
        </w:rPr>
        <w:t>本项目采用综合评分法。</w:t>
      </w:r>
      <w:r>
        <w:rPr>
          <w:rFonts w:hint="eastAsia" w:ascii="宋体" w:hAnsi="宋体" w:cs="宋体"/>
          <w:color w:val="auto"/>
          <w:kern w:val="0"/>
          <w:sz w:val="21"/>
          <w:szCs w:val="21"/>
          <w:highlight w:val="none"/>
        </w:rPr>
        <w:t>综合评分法，是指响应文件满足磋商文件全部实质性要求且按评审因素的量化指标评审得分最高的供应商为成交候选供应商的评审方法。</w:t>
      </w:r>
    </w:p>
    <w:p w14:paraId="7FD6F32C">
      <w:pPr>
        <w:spacing w:line="360" w:lineRule="auto"/>
        <w:ind w:firstLine="413" w:firstLineChars="196"/>
        <w:rPr>
          <w:rFonts w:hint="eastAsia" w:ascii="宋体" w:hAnsi="宋体" w:cs="宋体"/>
          <w:b w:val="0"/>
          <w:bCs/>
          <w:color w:val="auto"/>
          <w:sz w:val="21"/>
          <w:szCs w:val="21"/>
          <w:highlight w:val="none"/>
          <w:lang w:val="en-US" w:eastAsia="zh-CN"/>
        </w:rPr>
      </w:pPr>
      <w:r>
        <w:rPr>
          <w:rFonts w:hint="eastAsia" w:ascii="宋体" w:hAnsi="宋体" w:cs="宋体"/>
          <w:b/>
          <w:color w:val="auto"/>
          <w:sz w:val="21"/>
          <w:szCs w:val="21"/>
          <w:highlight w:val="none"/>
        </w:rPr>
        <w:t>二、</w:t>
      </w:r>
      <w:r>
        <w:rPr>
          <w:rFonts w:hint="eastAsia" w:ascii="宋体" w:hAnsi="宋体" w:cs="宋体"/>
          <w:b/>
          <w:color w:val="auto"/>
          <w:sz w:val="21"/>
          <w:szCs w:val="21"/>
          <w:highlight w:val="none"/>
          <w:lang w:eastAsia="zh-CN"/>
        </w:rPr>
        <w:t>磋商小组</w:t>
      </w:r>
    </w:p>
    <w:p w14:paraId="482E0AA3">
      <w:pPr>
        <w:spacing w:line="360" w:lineRule="auto"/>
        <w:ind w:firstLine="413" w:firstLineChars="196"/>
        <w:rPr>
          <w:rFonts w:ascii="宋体" w:hAnsi="宋体" w:cs="宋体"/>
          <w:b/>
          <w:color w:val="auto"/>
          <w:sz w:val="21"/>
          <w:szCs w:val="21"/>
          <w:highlight w:val="none"/>
        </w:rPr>
      </w:pPr>
      <w:r>
        <w:rPr>
          <w:rFonts w:hint="eastAsia" w:ascii="宋体" w:hAnsi="宋体" w:cs="宋体"/>
          <w:b/>
          <w:bCs w:val="0"/>
          <w:color w:val="auto"/>
          <w:sz w:val="21"/>
          <w:szCs w:val="21"/>
          <w:highlight w:val="none"/>
          <w:lang w:val="en-US" w:eastAsia="zh-CN"/>
        </w:rPr>
        <w:t>2.1 依法组件磋商小组。</w:t>
      </w:r>
      <w:r>
        <w:rPr>
          <w:rFonts w:hint="eastAsia" w:ascii="宋体" w:hAnsi="宋体" w:cs="宋体"/>
          <w:b w:val="0"/>
          <w:bCs/>
          <w:color w:val="auto"/>
          <w:sz w:val="21"/>
          <w:szCs w:val="21"/>
          <w:highlight w:val="none"/>
          <w:lang w:val="en-US" w:eastAsia="zh-CN"/>
        </w:rPr>
        <w:t>磋商小组由采购人代表和评审专家共3人以上单数组成,其中评审专家人数不得少于磋商小组成员总数的2/3。评审专家从政采云专家库中随机抽取</w:t>
      </w:r>
      <w:r>
        <w:rPr>
          <w:rFonts w:hint="eastAsia" w:ascii="宋体" w:hAnsi="宋体" w:cs="宋体"/>
          <w:b w:val="0"/>
          <w:bCs/>
          <w:color w:val="auto"/>
          <w:kern w:val="0"/>
          <w:sz w:val="21"/>
          <w:szCs w:val="21"/>
          <w:highlight w:val="none"/>
        </w:rPr>
        <w:t>。</w:t>
      </w:r>
    </w:p>
    <w:p w14:paraId="2BBD0485">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三、评审程序</w:t>
      </w:r>
    </w:p>
    <w:p w14:paraId="3C6ED8DF">
      <w:pPr>
        <w:spacing w:line="360" w:lineRule="auto"/>
        <w:ind w:firstLine="413" w:firstLineChars="196"/>
        <w:rPr>
          <w:rFonts w:ascii="宋体" w:hAnsi="宋体" w:cs="宋体"/>
          <w:color w:val="auto"/>
          <w:kern w:val="0"/>
          <w:sz w:val="21"/>
          <w:szCs w:val="21"/>
          <w:highlight w:val="none"/>
        </w:rPr>
      </w:pPr>
      <w:r>
        <w:rPr>
          <w:rFonts w:hint="eastAsia" w:ascii="宋体" w:hAnsi="宋体" w:cs="宋体"/>
          <w:b/>
          <w:bCs w:val="0"/>
          <w:color w:val="auto"/>
          <w:kern w:val="0"/>
          <w:sz w:val="21"/>
          <w:szCs w:val="21"/>
          <w:highlight w:val="none"/>
        </w:rPr>
        <w:t>3.1符合性审查。</w:t>
      </w:r>
      <w:r>
        <w:rPr>
          <w:rFonts w:hint="eastAsia" w:ascii="宋体" w:hAnsi="宋体" w:cs="宋体"/>
          <w:color w:val="auto"/>
          <w:kern w:val="0"/>
          <w:sz w:val="21"/>
          <w:szCs w:val="21"/>
          <w:highlight w:val="none"/>
        </w:rPr>
        <w:t>磋商小组应当对符合资格的供应商的响应文件进行符合性审查，以确定其是否满足采购文件的实质性要求。不满足采购文件的实质性要求的，响应文件无效。</w:t>
      </w:r>
    </w:p>
    <w:p w14:paraId="74806F3A">
      <w:pPr>
        <w:spacing w:line="360" w:lineRule="auto"/>
        <w:ind w:firstLine="413" w:firstLineChars="196"/>
        <w:rPr>
          <w:rFonts w:ascii="宋体" w:hAnsi="宋体" w:cs="宋体"/>
          <w:color w:val="auto"/>
          <w:sz w:val="21"/>
          <w:szCs w:val="21"/>
          <w:highlight w:val="none"/>
        </w:rPr>
      </w:pPr>
      <w:r>
        <w:rPr>
          <w:rFonts w:hint="eastAsia" w:ascii="宋体" w:hAnsi="宋体" w:cs="宋体"/>
          <w:b/>
          <w:bCs w:val="0"/>
          <w:color w:val="auto"/>
          <w:kern w:val="0"/>
          <w:sz w:val="21"/>
          <w:szCs w:val="21"/>
          <w:highlight w:val="none"/>
        </w:rPr>
        <w:t>3.2磋商。</w:t>
      </w:r>
      <w:r>
        <w:rPr>
          <w:rFonts w:hint="eastAsia" w:ascii="宋体" w:hAnsi="宋体" w:cs="宋体"/>
          <w:color w:val="auto"/>
          <w:sz w:val="21"/>
          <w:szCs w:val="21"/>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1"/>
          <w:szCs w:val="21"/>
          <w:highlight w:val="none"/>
        </w:rPr>
        <w:t>符合性审查合格的</w:t>
      </w:r>
      <w:r>
        <w:rPr>
          <w:rFonts w:hint="eastAsia" w:ascii="宋体" w:hAnsi="宋体" w:cs="宋体"/>
          <w:color w:val="auto"/>
          <w:sz w:val="21"/>
          <w:szCs w:val="21"/>
          <w:highlight w:val="none"/>
        </w:rPr>
        <w:t>供应商逐一进行磋商。</w:t>
      </w:r>
    </w:p>
    <w:p w14:paraId="7C2DB11C">
      <w:pPr>
        <w:spacing w:line="360" w:lineRule="auto"/>
        <w:ind w:firstLine="411" w:firstLineChars="196"/>
        <w:rPr>
          <w:rFonts w:ascii="宋体" w:hAnsi="宋体" w:cs="宋体"/>
          <w:b/>
          <w:color w:val="auto"/>
          <w:sz w:val="21"/>
          <w:szCs w:val="21"/>
          <w:highlight w:val="none"/>
        </w:rPr>
      </w:pPr>
      <w:r>
        <w:rPr>
          <w:rFonts w:hint="eastAsia" w:ascii="宋体" w:hAnsi="宋体" w:cs="宋体"/>
          <w:bCs/>
          <w:color w:val="auto"/>
          <w:sz w:val="21"/>
          <w:szCs w:val="21"/>
          <w:highlight w:val="none"/>
        </w:rPr>
        <w:t xml:space="preserve">3.2.1 </w:t>
      </w:r>
      <w:r>
        <w:rPr>
          <w:rFonts w:hint="eastAsia" w:ascii="宋体" w:hAnsi="宋体" w:cs="宋体"/>
          <w:color w:val="auto"/>
          <w:sz w:val="21"/>
          <w:szCs w:val="21"/>
          <w:highlight w:val="none"/>
        </w:rPr>
        <w:t>供应商逐家回答磋商小组的提问；</w:t>
      </w:r>
      <w:r>
        <w:rPr>
          <w:rFonts w:hint="eastAsia" w:ascii="宋体" w:hAnsi="宋体" w:cs="宋体"/>
          <w:b/>
          <w:color w:val="auto"/>
          <w:sz w:val="21"/>
          <w:szCs w:val="21"/>
          <w:highlight w:val="none"/>
        </w:rPr>
        <w:t>逐家磋商一次为一个轮次，磋商轮次根据实际情况进行</w:t>
      </w:r>
      <w:r>
        <w:rPr>
          <w:rFonts w:hint="eastAsia" w:ascii="宋体" w:hAnsi="宋体" w:cs="宋体"/>
          <w:b/>
          <w:color w:val="auto"/>
          <w:sz w:val="21"/>
          <w:szCs w:val="21"/>
          <w:highlight w:val="none"/>
          <w:lang w:eastAsia="zh-CN"/>
        </w:rPr>
        <w:t>，原则上不超过两轮次</w:t>
      </w:r>
      <w:r>
        <w:rPr>
          <w:rFonts w:hint="eastAsia" w:ascii="宋体" w:hAnsi="宋体" w:cs="宋体"/>
          <w:b/>
          <w:color w:val="auto"/>
          <w:sz w:val="21"/>
          <w:szCs w:val="21"/>
          <w:highlight w:val="none"/>
        </w:rPr>
        <w:t>。</w:t>
      </w:r>
    </w:p>
    <w:p w14:paraId="0AFCE965">
      <w:pPr>
        <w:spacing w:line="360" w:lineRule="auto"/>
        <w:ind w:firstLine="411" w:firstLineChars="196"/>
        <w:rPr>
          <w:rFonts w:ascii="宋体" w:hAnsi="宋体" w:cs="宋体"/>
          <w:color w:val="auto"/>
          <w:sz w:val="21"/>
          <w:szCs w:val="21"/>
          <w:highlight w:val="none"/>
        </w:rPr>
      </w:pPr>
      <w:r>
        <w:rPr>
          <w:rFonts w:hint="eastAsia" w:ascii="宋体" w:hAnsi="宋体" w:cs="宋体"/>
          <w:bCs/>
          <w:color w:val="auto"/>
          <w:sz w:val="21"/>
          <w:szCs w:val="21"/>
          <w:highlight w:val="none"/>
        </w:rPr>
        <w:t xml:space="preserve">3.2.2 </w:t>
      </w:r>
      <w:r>
        <w:rPr>
          <w:rFonts w:hint="eastAsia" w:ascii="宋体" w:hAnsi="宋体" w:cs="宋体"/>
          <w:color w:val="auto"/>
          <w:sz w:val="21"/>
          <w:szCs w:val="21"/>
          <w:highlight w:val="none"/>
        </w:rPr>
        <w:t>供应商应按磋商小组通知的时间在线或以邮件回复做出承诺或回复，承诺或回复的内容须由供应商法定代表人或授权代表签署，并作为响应文件的补充部分。</w:t>
      </w:r>
    </w:p>
    <w:p w14:paraId="703E73C0">
      <w:pPr>
        <w:spacing w:line="360" w:lineRule="auto"/>
        <w:ind w:firstLine="411" w:firstLineChars="196"/>
        <w:rPr>
          <w:rFonts w:ascii="宋体" w:hAnsi="宋体" w:cs="宋体"/>
          <w:bCs/>
          <w:color w:val="auto"/>
          <w:kern w:val="0"/>
          <w:sz w:val="21"/>
          <w:szCs w:val="21"/>
          <w:highlight w:val="none"/>
        </w:rPr>
      </w:pPr>
      <w:r>
        <w:rPr>
          <w:rFonts w:hint="eastAsia" w:ascii="宋体" w:hAnsi="宋体" w:cs="宋体"/>
          <w:color w:val="auto"/>
          <w:sz w:val="21"/>
          <w:szCs w:val="21"/>
          <w:highlight w:val="none"/>
        </w:rPr>
        <w:t xml:space="preserve">3.2.3 </w:t>
      </w:r>
      <w:r>
        <w:rPr>
          <w:rFonts w:hint="eastAsia" w:ascii="宋体" w:hAnsi="宋体" w:cs="宋体"/>
          <w:b/>
          <w:bCs/>
          <w:color w:val="auto"/>
          <w:sz w:val="21"/>
          <w:szCs w:val="21"/>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1"/>
          <w:szCs w:val="21"/>
          <w:highlight w:val="none"/>
        </w:rPr>
        <w:t>实质性变动的内容，须经采购人代表确认。磋商文件有实质性变动的，磋商小组将以书面形式通知所有</w:t>
      </w:r>
      <w:r>
        <w:rPr>
          <w:rFonts w:hint="eastAsia" w:ascii="宋体" w:hAnsi="宋体" w:cs="宋体"/>
          <w:color w:val="auto"/>
          <w:kern w:val="0"/>
          <w:sz w:val="21"/>
          <w:szCs w:val="21"/>
          <w:highlight w:val="none"/>
        </w:rPr>
        <w:t>符合性审查合格的</w:t>
      </w:r>
      <w:r>
        <w:rPr>
          <w:rFonts w:hint="eastAsia" w:ascii="宋体" w:hAnsi="宋体" w:cs="宋体"/>
          <w:color w:val="auto"/>
          <w:sz w:val="21"/>
          <w:szCs w:val="21"/>
          <w:highlight w:val="none"/>
        </w:rPr>
        <w:t xml:space="preserve">供应商。 </w:t>
      </w:r>
    </w:p>
    <w:p w14:paraId="002C87D9">
      <w:pPr>
        <w:spacing w:line="360" w:lineRule="auto"/>
        <w:ind w:firstLine="413" w:firstLineChars="196"/>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3.3最后报价</w:t>
      </w:r>
    </w:p>
    <w:p w14:paraId="0570DCF8">
      <w:pPr>
        <w:spacing w:line="360" w:lineRule="auto"/>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3.3.1 磋商文件能够详细列明采购标的的技术、服务要求的，磋商结束后，磋商小组应当要求所有符合性审查合格的供应商在规定时间内提交最后报价，提交最后报价的供应商不得少于3家。</w:t>
      </w:r>
    </w:p>
    <w:p w14:paraId="2354105B">
      <w:pPr>
        <w:spacing w:line="360" w:lineRule="auto"/>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38825C2">
      <w:pPr>
        <w:spacing w:line="360" w:lineRule="auto"/>
        <w:ind w:firstLine="411" w:firstLineChars="196"/>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3.3.3 已提交响应文件的供应商，在提交最后报价之前，可以根据磋商情况退出磋商</w:t>
      </w:r>
      <w:r>
        <w:rPr>
          <w:rFonts w:hint="eastAsia" w:ascii="宋体" w:hAnsi="宋体" w:cs="宋体"/>
          <w:color w:val="auto"/>
          <w:kern w:val="0"/>
          <w:sz w:val="21"/>
          <w:szCs w:val="21"/>
          <w:highlight w:val="none"/>
          <w:lang w:eastAsia="zh-CN"/>
        </w:rPr>
        <w:t>。</w:t>
      </w:r>
    </w:p>
    <w:p w14:paraId="5A70D13D">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3.4 综合评分。</w:t>
      </w:r>
      <w:r>
        <w:rPr>
          <w:rFonts w:hint="eastAsia" w:ascii="宋体" w:hAnsi="宋体" w:cs="宋体"/>
          <w:bCs/>
          <w:color w:val="auto"/>
          <w:kern w:val="0"/>
          <w:sz w:val="21"/>
          <w:szCs w:val="21"/>
          <w:highlight w:val="none"/>
        </w:rPr>
        <w:t>经磋商确定最终采购需求和提交最后报价的供应商后，</w:t>
      </w:r>
      <w:r>
        <w:rPr>
          <w:rFonts w:hint="eastAsia" w:ascii="宋体" w:hAnsi="宋体" w:cs="宋体"/>
          <w:color w:val="auto"/>
          <w:kern w:val="0"/>
          <w:sz w:val="21"/>
          <w:szCs w:val="21"/>
          <w:highlight w:val="none"/>
        </w:rPr>
        <w:t>磋商小组应当按照采购文件中规定的评审标准，对符合性审查合格的响应文件进行综合评分。磋商文件中没有规定的评审标准不得作为评审依据。</w:t>
      </w:r>
    </w:p>
    <w:p w14:paraId="316309A8">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3.5汇总商务技术得分。</w:t>
      </w:r>
      <w:r>
        <w:rPr>
          <w:rFonts w:hint="eastAsia" w:ascii="宋体" w:hAnsi="宋体" w:cs="宋体"/>
          <w:color w:val="auto"/>
          <w:kern w:val="0"/>
          <w:sz w:val="21"/>
          <w:szCs w:val="21"/>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1"/>
          <w:szCs w:val="21"/>
          <w:highlight w:val="none"/>
        </w:rPr>
        <w:t>30%以上的，由</w:t>
      </w:r>
      <w:r>
        <w:rPr>
          <w:rFonts w:hint="eastAsia" w:ascii="宋体" w:hAnsi="宋体" w:cs="宋体"/>
          <w:color w:val="auto"/>
          <w:kern w:val="0"/>
          <w:sz w:val="21"/>
          <w:szCs w:val="21"/>
          <w:highlight w:val="none"/>
        </w:rPr>
        <w:t>磋商小组</w:t>
      </w:r>
      <w:r>
        <w:rPr>
          <w:rFonts w:ascii="宋体" w:hAnsi="宋体" w:cs="宋体"/>
          <w:color w:val="auto"/>
          <w:kern w:val="0"/>
          <w:sz w:val="21"/>
          <w:szCs w:val="21"/>
          <w:highlight w:val="none"/>
        </w:rPr>
        <w:t>启动评分畸高、畸低行为认定程序</w:t>
      </w:r>
      <w:r>
        <w:rPr>
          <w:rFonts w:hint="eastAsia" w:ascii="宋体" w:hAnsi="宋体" w:cs="宋体"/>
          <w:color w:val="auto"/>
          <w:kern w:val="0"/>
          <w:sz w:val="21"/>
          <w:szCs w:val="21"/>
          <w:highlight w:val="none"/>
        </w:rPr>
        <w:t>，磋商小组组长应提醒相关评审人员进行复核或书面说明理由，评审人员拒绝说明的，由现场监督员据实记录；评审人员的评审、修改记录应保留原件，随项目其他资料一并存档。</w:t>
      </w:r>
    </w:p>
    <w:p w14:paraId="3EE6315F">
      <w:pPr>
        <w:spacing w:line="360" w:lineRule="auto"/>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3.6报价评审。</w:t>
      </w:r>
    </w:p>
    <w:p w14:paraId="06EEE283">
      <w:pPr>
        <w:pStyle w:val="397"/>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3.6.1响应文件报价出现前后不一致的，按照下列规定修正：</w:t>
      </w:r>
    </w:p>
    <w:p w14:paraId="4ECBA737">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3.6.1.1响应文件中已标价工程量清单内容与响应文件中相应内容不一致的，以已标价工程量清单为准;</w:t>
      </w:r>
    </w:p>
    <w:p w14:paraId="7AE7B0D6">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3.6.1.2大写金额和小写金额不一致的，以大写金额为准;</w:t>
      </w:r>
    </w:p>
    <w:p w14:paraId="21DF4276">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3.6.1.3单价金额小数点或者百分比有明显错位的，以已标价工程量清单的总价为准，并修改单价;</w:t>
      </w:r>
    </w:p>
    <w:p w14:paraId="753B408A">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3.6.1.4总价金额与按单价汇总金额不一致的，以单价金额计算结果为准。</w:t>
      </w:r>
    </w:p>
    <w:p w14:paraId="6F8CCC5C">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3.6.1.5同时出现两种以上不一致的，按照3.6.1规定的顺序修正。修正后的报价经供应商确认后产生约束力。</w:t>
      </w:r>
    </w:p>
    <w:p w14:paraId="4461A899">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3.6.2响应文件出现不是唯一的、有选择性最后报价的，响应文件无效。</w:t>
      </w:r>
    </w:p>
    <w:p w14:paraId="3C71692D">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3.6.3最后报价超过采购文件中规定的最高限价的，响应文件无效。</w:t>
      </w:r>
    </w:p>
    <w:p w14:paraId="48815C69">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CE53BCA">
      <w:pPr>
        <w:spacing w:line="360" w:lineRule="auto"/>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3.7排序与推荐。</w:t>
      </w:r>
      <w:r>
        <w:rPr>
          <w:rFonts w:hint="eastAsia" w:ascii="宋体" w:hAnsi="宋体" w:cs="宋体"/>
          <w:color w:val="auto"/>
          <w:kern w:val="0"/>
          <w:sz w:val="21"/>
          <w:szCs w:val="21"/>
          <w:highlight w:val="none"/>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14:paraId="27BB82C4">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3.8编写评审报告。</w:t>
      </w:r>
      <w:r>
        <w:rPr>
          <w:rFonts w:hint="eastAsia" w:ascii="宋体" w:hAnsi="宋体" w:cs="宋体"/>
          <w:color w:val="auto"/>
          <w:kern w:val="0"/>
          <w:sz w:val="21"/>
          <w:szCs w:val="21"/>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6AA1AC57">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四、评审中的其他事项</w:t>
      </w:r>
    </w:p>
    <w:p w14:paraId="13B48E5B">
      <w:pPr>
        <w:pStyle w:val="397"/>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4.1供应商澄清、说明或者补正。</w:t>
      </w:r>
      <w:r>
        <w:rPr>
          <w:rFonts w:hint="eastAsia" w:ascii="宋体" w:hAnsi="宋体" w:cs="宋体"/>
          <w:color w:val="auto"/>
          <w:kern w:val="0"/>
          <w:sz w:val="21"/>
          <w:szCs w:val="21"/>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FB436E1">
      <w:pPr>
        <w:pStyle w:val="24"/>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4.2响应文件无效。</w:t>
      </w:r>
      <w:r>
        <w:rPr>
          <w:rFonts w:hint="eastAsia" w:cs="宋体"/>
          <w:color w:val="auto"/>
          <w:sz w:val="21"/>
          <w:szCs w:val="21"/>
          <w:highlight w:val="none"/>
        </w:rPr>
        <w:t>有下列情形之一的，响应文件无效：</w:t>
      </w:r>
    </w:p>
    <w:p w14:paraId="5F48BFE5">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4.2.1供应商不具备采购文件中规定的资格要求的（供应商未提供有效的资格文件的，视为供应商不具备采购文件中规定的资格要求）；</w:t>
      </w:r>
    </w:p>
    <w:p w14:paraId="4139F34A">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4.2.2响应文件未按照采购文件要求签署、盖章的；</w:t>
      </w:r>
    </w:p>
    <w:p w14:paraId="7FEDEB7A">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4.2.3采购人拟采购的产品属于政府强制采购的节能产品品目清单范围的，供应商未按采购文件要求提供国家确定的认证机构出具的、处于有效期之内的节能产品认证证书的；</w:t>
      </w:r>
    </w:p>
    <w:p w14:paraId="2ED3130C">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4.2.4响应文件含有采购人不能接受的附加条件的；</w:t>
      </w:r>
    </w:p>
    <w:p w14:paraId="0A37834C">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4.2.5响应文件中承诺的响应文件有效期少于采购文件中载明的响应文件有效期的；</w:t>
      </w:r>
    </w:p>
    <w:p w14:paraId="63C5F5C3">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4.2.6响应文件出现不是唯一的、有选择性最后报价的</w:t>
      </w:r>
      <w:r>
        <w:rPr>
          <w:rFonts w:hint="eastAsia" w:ascii="宋体" w:hAnsi="宋体" w:cs="宋体"/>
          <w:color w:val="auto"/>
          <w:kern w:val="0"/>
          <w:sz w:val="21"/>
          <w:szCs w:val="21"/>
          <w:highlight w:val="none"/>
          <w:lang w:eastAsia="zh-CN"/>
        </w:rPr>
        <w:t>；</w:t>
      </w:r>
    </w:p>
    <w:p w14:paraId="4DB5B1EA">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4.2.7最后报价超过采购文件中规定的最高限价的</w:t>
      </w:r>
      <w:r>
        <w:rPr>
          <w:rFonts w:hint="eastAsia" w:ascii="宋体" w:hAnsi="宋体" w:cs="宋体"/>
          <w:color w:val="auto"/>
          <w:kern w:val="0"/>
          <w:sz w:val="21"/>
          <w:szCs w:val="21"/>
          <w:highlight w:val="none"/>
          <w:lang w:eastAsia="zh-CN"/>
        </w:rPr>
        <w:t>；</w:t>
      </w:r>
    </w:p>
    <w:p w14:paraId="0DFE67F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4.2.8报价明显低于其他通过符合性审查供应商的报价，有可能影响产品质量或者不能诚信履约的，未能按要求提供书面说明或者提交相关证明材料，不能证明其报价合理性的;</w:t>
      </w:r>
    </w:p>
    <w:p w14:paraId="12AE1EA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4.2.9供应商对根据修正原则修正后的报价不确认的；</w:t>
      </w:r>
    </w:p>
    <w:p w14:paraId="7C856578">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4.2.10供应商提供虚假材料响应的；</w:t>
      </w:r>
    </w:p>
    <w:p w14:paraId="26DE4A24">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4.2.11供应商有恶意串通、妨碍其他供应商的竞争行为、损害采购人或者其他供应商的合法权益情形的；</w:t>
      </w:r>
    </w:p>
    <w:p w14:paraId="09350BAC">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4.2.12供应商仅提交备份响应文件，未在电子交易平台传输递交响应文件的，响应文件无效；</w:t>
      </w:r>
    </w:p>
    <w:p w14:paraId="5E806005">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4.2.13 响应文件不满足采购文件的其它实质性要求的；</w:t>
      </w:r>
    </w:p>
    <w:p w14:paraId="03108A84">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4.2.14法律、法规、规章（适用本市的）及省级以上规范性文件（适用本市的）规定的其他无效情形。</w:t>
      </w:r>
    </w:p>
    <w:p w14:paraId="69876548">
      <w:pPr>
        <w:pStyle w:val="24"/>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5.终止竞争性磋商采购活动。</w:t>
      </w:r>
      <w:r>
        <w:rPr>
          <w:rFonts w:hint="eastAsia" w:cs="宋体"/>
          <w:color w:val="auto"/>
          <w:sz w:val="21"/>
          <w:szCs w:val="21"/>
          <w:highlight w:val="none"/>
        </w:rPr>
        <w:t>出现下列情形之一的，采购人或者采购代理机构应当终止竞争性磋商采购活动，发布项目终止公告并说明原因，重新开展采购活动：</w:t>
      </w:r>
    </w:p>
    <w:p w14:paraId="1FB6CB9A">
      <w:pPr>
        <w:pStyle w:val="24"/>
        <w:snapToGrid w:val="0"/>
        <w:spacing w:line="360" w:lineRule="auto"/>
        <w:rPr>
          <w:rFonts w:cs="宋体"/>
          <w:color w:val="auto"/>
          <w:sz w:val="21"/>
          <w:szCs w:val="21"/>
          <w:highlight w:val="none"/>
        </w:rPr>
      </w:pPr>
      <w:r>
        <w:rPr>
          <w:rFonts w:hint="eastAsia" w:cs="宋体"/>
          <w:color w:val="auto"/>
          <w:sz w:val="21"/>
          <w:szCs w:val="21"/>
          <w:highlight w:val="none"/>
        </w:rPr>
        <w:t>5.1因情况变化，不再符合规定的竞争性磋商采购方式适用情形的；</w:t>
      </w:r>
    </w:p>
    <w:p w14:paraId="7F97E00B">
      <w:pPr>
        <w:pStyle w:val="24"/>
        <w:snapToGrid w:val="0"/>
        <w:spacing w:line="360" w:lineRule="auto"/>
        <w:rPr>
          <w:rFonts w:cs="宋体"/>
          <w:color w:val="auto"/>
          <w:sz w:val="21"/>
          <w:szCs w:val="21"/>
          <w:highlight w:val="none"/>
        </w:rPr>
      </w:pPr>
      <w:r>
        <w:rPr>
          <w:rFonts w:hint="eastAsia" w:cs="宋体"/>
          <w:color w:val="auto"/>
          <w:sz w:val="21"/>
          <w:szCs w:val="21"/>
          <w:highlight w:val="none"/>
        </w:rPr>
        <w:t>5.2出现影响采购公正的违法、违规行为的；</w:t>
      </w:r>
    </w:p>
    <w:p w14:paraId="7069C653">
      <w:pPr>
        <w:pStyle w:val="24"/>
        <w:snapToGrid w:val="0"/>
        <w:spacing w:line="360" w:lineRule="auto"/>
        <w:rPr>
          <w:rFonts w:cs="宋体"/>
          <w:color w:val="auto"/>
          <w:sz w:val="21"/>
          <w:szCs w:val="21"/>
          <w:highlight w:val="none"/>
        </w:rPr>
      </w:pPr>
      <w:r>
        <w:rPr>
          <w:rFonts w:hint="eastAsia" w:cs="宋体"/>
          <w:color w:val="auto"/>
          <w:sz w:val="21"/>
          <w:szCs w:val="21"/>
          <w:highlight w:val="none"/>
        </w:rPr>
        <w:t>5.3除本办法第二十一条第三款规定的情形外，在采购过程中符合要求的供应商或者报价未超过采购预算的供应商不足3家的。</w:t>
      </w:r>
    </w:p>
    <w:p w14:paraId="56E6E81E">
      <w:pPr>
        <w:pStyle w:val="24"/>
        <w:snapToGrid w:val="0"/>
        <w:spacing w:line="360" w:lineRule="auto"/>
        <w:rPr>
          <w:rFonts w:cs="宋体"/>
          <w:color w:val="auto"/>
          <w:sz w:val="21"/>
          <w:szCs w:val="21"/>
          <w:highlight w:val="none"/>
        </w:rPr>
      </w:pPr>
      <w:r>
        <w:rPr>
          <w:rFonts w:hint="eastAsia" w:cs="宋体"/>
          <w:color w:val="auto"/>
          <w:sz w:val="21"/>
          <w:szCs w:val="21"/>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4A298F3">
      <w:pPr>
        <w:pStyle w:val="24"/>
        <w:snapToGrid w:val="0"/>
        <w:spacing w:line="360" w:lineRule="auto"/>
        <w:ind w:firstLine="482"/>
        <w:rPr>
          <w:rFonts w:cs="宋体"/>
          <w:color w:val="auto"/>
          <w:sz w:val="21"/>
          <w:szCs w:val="21"/>
          <w:highlight w:val="none"/>
        </w:rPr>
      </w:pPr>
      <w:r>
        <w:rPr>
          <w:rFonts w:hint="eastAsia" w:cs="宋体"/>
          <w:b/>
          <w:color w:val="auto"/>
          <w:kern w:val="0"/>
          <w:sz w:val="21"/>
          <w:szCs w:val="21"/>
          <w:highlight w:val="none"/>
        </w:rPr>
        <w:t>6.重新开展采购。</w:t>
      </w:r>
      <w:r>
        <w:rPr>
          <w:rFonts w:hint="eastAsia" w:cs="宋体"/>
          <w:color w:val="auto"/>
          <w:sz w:val="21"/>
          <w:szCs w:val="21"/>
          <w:highlight w:val="none"/>
        </w:rPr>
        <w:t>有政府采购法第七十一条、第七十二条规定的违法行为之一，影响或者可能影响成交结果的，依照下列规定处理：</w:t>
      </w:r>
    </w:p>
    <w:p w14:paraId="0CA3F8D1">
      <w:pPr>
        <w:pStyle w:val="24"/>
        <w:snapToGrid w:val="0"/>
        <w:spacing w:line="360" w:lineRule="auto"/>
        <w:rPr>
          <w:rFonts w:cs="宋体"/>
          <w:color w:val="auto"/>
          <w:sz w:val="21"/>
          <w:szCs w:val="21"/>
          <w:highlight w:val="none"/>
        </w:rPr>
      </w:pPr>
      <w:r>
        <w:rPr>
          <w:rFonts w:hint="eastAsia" w:cs="宋体"/>
          <w:color w:val="auto"/>
          <w:sz w:val="21"/>
          <w:szCs w:val="21"/>
          <w:highlight w:val="none"/>
        </w:rPr>
        <w:t>6.1未确定成交供应商的，终止本次政府采购活动，重新开展政府采购活动。</w:t>
      </w:r>
    </w:p>
    <w:p w14:paraId="6D435A9A">
      <w:pPr>
        <w:pStyle w:val="24"/>
        <w:snapToGrid w:val="0"/>
        <w:spacing w:line="360" w:lineRule="auto"/>
        <w:rPr>
          <w:rFonts w:cs="宋体"/>
          <w:color w:val="auto"/>
          <w:sz w:val="21"/>
          <w:szCs w:val="21"/>
          <w:highlight w:val="none"/>
        </w:rPr>
      </w:pPr>
      <w:r>
        <w:rPr>
          <w:rFonts w:hint="eastAsia" w:cs="宋体"/>
          <w:color w:val="auto"/>
          <w:sz w:val="21"/>
          <w:szCs w:val="21"/>
          <w:highlight w:val="none"/>
        </w:rPr>
        <w:t>6.2已确定成交供应商但尚未签订政府采购合同的，成交结果无效，从合格的成交候选供应商中另行确定成交供应商；没有合格的成交候选供应商的，重新开展政府采购活动。</w:t>
      </w:r>
    </w:p>
    <w:p w14:paraId="15D98DA0">
      <w:pPr>
        <w:pStyle w:val="24"/>
        <w:snapToGrid w:val="0"/>
        <w:spacing w:line="360" w:lineRule="auto"/>
        <w:rPr>
          <w:rFonts w:cs="宋体"/>
          <w:color w:val="auto"/>
          <w:sz w:val="21"/>
          <w:szCs w:val="21"/>
          <w:highlight w:val="none"/>
        </w:rPr>
      </w:pPr>
      <w:r>
        <w:rPr>
          <w:rFonts w:hint="eastAsia" w:cs="宋体"/>
          <w:color w:val="auto"/>
          <w:sz w:val="21"/>
          <w:szCs w:val="21"/>
          <w:highlight w:val="none"/>
        </w:rPr>
        <w:t>6.3政府采购合同已签订但尚未履行的，撤销合同，从合格的成交候选供应商中另行确定成交供应商；没有合格的成交候选供应商的，重新开展政府采购活动。</w:t>
      </w:r>
    </w:p>
    <w:p w14:paraId="1A3C9B11">
      <w:pPr>
        <w:pStyle w:val="24"/>
        <w:snapToGrid w:val="0"/>
        <w:spacing w:line="360" w:lineRule="auto"/>
        <w:rPr>
          <w:rFonts w:hint="eastAsia" w:cs="宋体"/>
          <w:color w:val="auto"/>
          <w:sz w:val="21"/>
          <w:szCs w:val="21"/>
          <w:highlight w:val="none"/>
        </w:rPr>
      </w:pPr>
      <w:r>
        <w:rPr>
          <w:rFonts w:hint="eastAsia" w:cs="宋体"/>
          <w:color w:val="auto"/>
          <w:sz w:val="21"/>
          <w:szCs w:val="21"/>
          <w:highlight w:val="none"/>
        </w:rPr>
        <w:t>6.4政府采购合同已经履行，给采购人、供应商造成损失的，由责任人承担赔偿责任。</w:t>
      </w:r>
    </w:p>
    <w:p w14:paraId="2FF993CA">
      <w:pPr>
        <w:pStyle w:val="24"/>
        <w:snapToGrid w:val="0"/>
        <w:spacing w:line="360" w:lineRule="auto"/>
        <w:rPr>
          <w:rFonts w:hint="eastAsia" w:cs="仿宋_GB2312" w:asciiTheme="minorEastAsia" w:hAnsiTheme="minorEastAsia" w:eastAsiaTheme="minorEastAsia"/>
          <w:b/>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6.5</w:t>
      </w:r>
      <w:r>
        <w:rPr>
          <w:rFonts w:hint="eastAsia" w:cs="宋体"/>
          <w:color w:val="auto"/>
          <w:sz w:val="21"/>
          <w:szCs w:val="21"/>
          <w:highlight w:val="none"/>
        </w:rPr>
        <w:t>政府采购当事人有其他违反政府采购法或者政府采购法实施条例等法律法规规定的行为，经改正后仍然影响或者可能影响成交结果或者依法被认定为成交无效的，依照6.1-6.4规定处理。</w:t>
      </w:r>
    </w:p>
    <w:p w14:paraId="6DAA2F27">
      <w:pPr>
        <w:pStyle w:val="397"/>
        <w:spacing w:before="0" w:line="348" w:lineRule="auto"/>
        <w:ind w:firstLine="0" w:firstLineChars="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lang w:val="en-US" w:eastAsia="zh-CN"/>
        </w:rPr>
        <w:t>五、</w:t>
      </w:r>
      <w:r>
        <w:rPr>
          <w:rFonts w:hint="eastAsia" w:cs="仿宋_GB2312" w:asciiTheme="minorEastAsia" w:hAnsiTheme="minorEastAsia" w:eastAsiaTheme="minorEastAsia"/>
          <w:b/>
          <w:color w:val="auto"/>
          <w:sz w:val="21"/>
          <w:szCs w:val="21"/>
          <w:highlight w:val="none"/>
        </w:rPr>
        <w:t>评审标准</w:t>
      </w:r>
      <w:r>
        <w:rPr>
          <w:rFonts w:hint="eastAsia" w:cs="仿宋_GB2312" w:asciiTheme="minorEastAsia" w:hAnsiTheme="minorEastAsia" w:eastAsiaTheme="minorEastAsia"/>
          <w:b/>
          <w:color w:val="auto"/>
          <w:sz w:val="21"/>
          <w:szCs w:val="21"/>
          <w:highlight w:val="none"/>
          <w:lang w:val="en-US" w:eastAsia="zh-CN"/>
        </w:rPr>
        <w:t xml:space="preserve"> ：</w:t>
      </w:r>
      <w:r>
        <w:rPr>
          <w:rFonts w:hint="eastAsia" w:cs="仿宋_GB2312" w:asciiTheme="minorEastAsia" w:hAnsiTheme="minorEastAsia" w:eastAsiaTheme="minorEastAsia"/>
          <w:b w:val="0"/>
          <w:bCs/>
          <w:color w:val="auto"/>
          <w:sz w:val="21"/>
          <w:szCs w:val="21"/>
          <w:highlight w:val="none"/>
        </w:rPr>
        <w:t>详见《评分标准（兼评委打分表）》</w:t>
      </w:r>
      <w:r>
        <w:rPr>
          <w:rFonts w:hint="eastAsia" w:cs="仿宋_GB2312" w:asciiTheme="minorEastAsia" w:hAnsiTheme="minorEastAsia" w:eastAsiaTheme="minorEastAsia"/>
          <w:b/>
          <w:color w:val="auto"/>
          <w:sz w:val="21"/>
          <w:szCs w:val="21"/>
          <w:highlight w:val="none"/>
        </w:rPr>
        <w:t>。</w:t>
      </w:r>
    </w:p>
    <w:p w14:paraId="0042BF27">
      <w:pPr>
        <w:spacing w:line="400" w:lineRule="exact"/>
        <w:jc w:val="center"/>
        <w:rPr>
          <w:rFonts w:eastAsia="黑体"/>
          <w:b/>
          <w:color w:val="auto"/>
          <w:sz w:val="28"/>
          <w:szCs w:val="28"/>
          <w:highlight w:val="none"/>
        </w:rPr>
      </w:pPr>
      <w:r>
        <w:rPr>
          <w:b/>
          <w:color w:val="auto"/>
          <w:sz w:val="24"/>
          <w:szCs w:val="24"/>
          <w:highlight w:val="none"/>
        </w:rPr>
        <w:t>评分标准（兼评委打分表）</w:t>
      </w:r>
    </w:p>
    <w:tbl>
      <w:tblPr>
        <w:tblStyle w:val="61"/>
        <w:tblW w:w="9122"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37"/>
        <w:gridCol w:w="7022"/>
      </w:tblGrid>
      <w:tr w14:paraId="77042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3" w:type="dxa"/>
            <w:vAlign w:val="center"/>
          </w:tcPr>
          <w:p w14:paraId="67415E60">
            <w:pPr>
              <w:spacing w:line="340" w:lineRule="exact"/>
              <w:rPr>
                <w:rFonts w:ascii="宋体" w:hAnsi="宋体" w:cs="宋体"/>
                <w:szCs w:val="21"/>
              </w:rPr>
            </w:pPr>
          </w:p>
        </w:tc>
        <w:tc>
          <w:tcPr>
            <w:tcW w:w="1337" w:type="dxa"/>
            <w:vAlign w:val="center"/>
          </w:tcPr>
          <w:p w14:paraId="16338B07">
            <w:pPr>
              <w:spacing w:line="340" w:lineRule="exact"/>
              <w:jc w:val="center"/>
              <w:rPr>
                <w:rFonts w:ascii="宋体" w:hAnsi="宋体" w:cs="宋体"/>
                <w:szCs w:val="21"/>
              </w:rPr>
            </w:pPr>
            <w:r>
              <w:rPr>
                <w:rFonts w:hint="eastAsia" w:ascii="宋体" w:hAnsi="宋体" w:cs="宋体"/>
                <w:szCs w:val="21"/>
              </w:rPr>
              <w:t>项目</w:t>
            </w:r>
          </w:p>
        </w:tc>
        <w:tc>
          <w:tcPr>
            <w:tcW w:w="7022" w:type="dxa"/>
            <w:vAlign w:val="center"/>
          </w:tcPr>
          <w:p w14:paraId="64F51494">
            <w:pPr>
              <w:tabs>
                <w:tab w:val="left" w:pos="4915"/>
              </w:tabs>
              <w:spacing w:line="340" w:lineRule="exact"/>
              <w:jc w:val="center"/>
              <w:rPr>
                <w:rFonts w:ascii="宋体" w:hAnsi="宋体" w:cs="宋体"/>
                <w:szCs w:val="21"/>
              </w:rPr>
            </w:pPr>
            <w:r>
              <w:rPr>
                <w:rFonts w:hint="eastAsia" w:ascii="宋体" w:hAnsi="宋体" w:cs="宋体"/>
                <w:szCs w:val="21"/>
              </w:rPr>
              <w:t>评分细则</w:t>
            </w:r>
          </w:p>
        </w:tc>
      </w:tr>
      <w:tr w14:paraId="03BCB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63" w:type="dxa"/>
            <w:vMerge w:val="restart"/>
            <w:vAlign w:val="center"/>
          </w:tcPr>
          <w:p w14:paraId="2B61FB14">
            <w:pPr>
              <w:widowControl/>
              <w:spacing w:line="340" w:lineRule="exact"/>
              <w:jc w:val="left"/>
              <w:rPr>
                <w:rFonts w:hint="default" w:ascii="宋体" w:hAnsi="宋体" w:eastAsia="宋体" w:cs="宋体"/>
                <w:szCs w:val="21"/>
                <w:lang w:val="en-US" w:eastAsia="zh-CN"/>
              </w:rPr>
            </w:pPr>
            <w:r>
              <w:rPr>
                <w:rFonts w:hint="eastAsia" w:ascii="宋体" w:hAnsi="宋体" w:cs="宋体"/>
                <w:szCs w:val="21"/>
                <w:lang w:val="en-US" w:eastAsia="zh-CN"/>
              </w:rPr>
              <w:t>技术资信部分70分</w:t>
            </w:r>
          </w:p>
        </w:tc>
        <w:tc>
          <w:tcPr>
            <w:tcW w:w="1337" w:type="dxa"/>
            <w:vMerge w:val="restart"/>
            <w:vAlign w:val="center"/>
          </w:tcPr>
          <w:p w14:paraId="215AD6C5">
            <w:pPr>
              <w:spacing w:line="340" w:lineRule="exact"/>
              <w:jc w:val="center"/>
              <w:rPr>
                <w:rFonts w:hint="eastAsia" w:ascii="宋体" w:hAnsi="宋体" w:cs="宋体"/>
                <w:szCs w:val="21"/>
              </w:rPr>
            </w:pPr>
            <w:r>
              <w:rPr>
                <w:rFonts w:hint="eastAsia" w:ascii="宋体" w:hAnsi="宋体" w:cs="宋体"/>
                <w:szCs w:val="21"/>
              </w:rPr>
              <w:t>施工组织</w:t>
            </w:r>
          </w:p>
          <w:p w14:paraId="10B66EE6">
            <w:pPr>
              <w:spacing w:line="340" w:lineRule="exact"/>
              <w:jc w:val="center"/>
              <w:rPr>
                <w:rFonts w:ascii="宋体" w:hAnsi="宋体" w:cs="宋体"/>
                <w:szCs w:val="21"/>
              </w:rPr>
            </w:pPr>
            <w:r>
              <w:rPr>
                <w:rFonts w:hint="eastAsia" w:ascii="宋体" w:hAnsi="宋体" w:cs="宋体"/>
                <w:szCs w:val="21"/>
              </w:rPr>
              <w:t>方案</w:t>
            </w:r>
          </w:p>
          <w:p w14:paraId="678222A6">
            <w:pPr>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5分）</w:t>
            </w:r>
          </w:p>
        </w:tc>
        <w:tc>
          <w:tcPr>
            <w:tcW w:w="7022" w:type="dxa"/>
            <w:vAlign w:val="center"/>
          </w:tcPr>
          <w:p w14:paraId="29CF773A">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w:t>
            </w:r>
            <w:r>
              <w:rPr>
                <w:rFonts w:hint="eastAsia" w:ascii="宋体" w:hAnsi="宋体" w:eastAsia="宋体" w:cs="宋体"/>
                <w:color w:val="auto"/>
                <w:sz w:val="21"/>
                <w:szCs w:val="21"/>
                <w:highlight w:val="none"/>
              </w:rPr>
              <w:t>本项目现状的调查与问题剖析（</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B24E4D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rPr>
            </w:pPr>
            <w:r>
              <w:rPr>
                <w:rFonts w:hint="eastAsia" w:ascii="宋体" w:hAnsi="宋体" w:eastAsia="宋体" w:cs="宋体"/>
                <w:color w:val="auto"/>
                <w:sz w:val="21"/>
                <w:szCs w:val="21"/>
                <w:highlight w:val="none"/>
              </w:rPr>
              <w:t>评委对供应商根据自行踏勘项目情况所进行的</w:t>
            </w:r>
            <w:r>
              <w:rPr>
                <w:rFonts w:hint="eastAsia" w:ascii="宋体" w:hAnsi="宋体" w:cs="宋体"/>
                <w:color w:val="auto"/>
                <w:sz w:val="21"/>
                <w:szCs w:val="21"/>
                <w:highlight w:val="none"/>
                <w:lang w:eastAsia="zh-CN"/>
              </w:rPr>
              <w:t>本项目实际现状、总结施工过程中可能存在的问题并提出相应的解决措施等</w:t>
            </w:r>
            <w:r>
              <w:rPr>
                <w:rFonts w:hint="eastAsia" w:ascii="宋体" w:hAnsi="宋体" w:eastAsia="宋体" w:cs="宋体"/>
                <w:color w:val="auto"/>
                <w:sz w:val="21"/>
                <w:szCs w:val="21"/>
                <w:highlight w:val="none"/>
              </w:rPr>
              <w:t>进行综合评议并打分：</w:t>
            </w:r>
          </w:p>
          <w:p w14:paraId="0AE009ED">
            <w:pPr>
              <w:keepNext w:val="0"/>
              <w:keepLines w:val="0"/>
              <w:pageBreakBefore w:val="0"/>
              <w:widowControl w:val="0"/>
              <w:numPr>
                <w:ilvl w:val="0"/>
                <w:numId w:val="0"/>
              </w:numPr>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color w:val="auto"/>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描述</w:t>
            </w:r>
            <w:r>
              <w:rPr>
                <w:rFonts w:hint="eastAsia" w:ascii="宋体" w:hAnsi="宋体" w:eastAsia="宋体" w:cs="宋体"/>
                <w:color w:val="auto"/>
                <w:sz w:val="21"/>
                <w:szCs w:val="21"/>
                <w:highlight w:val="none"/>
              </w:rPr>
              <w:t>完全符合本项目需求、分析全面</w:t>
            </w:r>
            <w:r>
              <w:rPr>
                <w:rFonts w:hint="eastAsia" w:ascii="宋体" w:hAnsi="宋体" w:cs="宋体"/>
                <w:color w:val="auto"/>
                <w:sz w:val="21"/>
                <w:szCs w:val="21"/>
                <w:highlight w:val="none"/>
                <w:lang w:eastAsia="zh-CN"/>
              </w:rPr>
              <w:t>、具有针对性</w:t>
            </w:r>
            <w:r>
              <w:rPr>
                <w:rFonts w:hint="eastAsia" w:ascii="宋体" w:hAnsi="宋体" w:eastAsia="宋体" w:cs="宋体"/>
                <w:color w:val="auto"/>
                <w:sz w:val="21"/>
                <w:szCs w:val="21"/>
                <w:highlight w:val="none"/>
              </w:rPr>
              <w:t>的得5分；</w:t>
            </w:r>
          </w:p>
          <w:p w14:paraId="110EC3A0">
            <w:pPr>
              <w:keepNext w:val="0"/>
              <w:keepLines w:val="0"/>
              <w:pageBreakBefore w:val="0"/>
              <w:widowControl w:val="0"/>
              <w:numPr>
                <w:ilvl w:val="0"/>
                <w:numId w:val="0"/>
              </w:numPr>
              <w:shd w:val="clear" w:color="auto" w:fill="auto"/>
              <w:tabs>
                <w:tab w:val="left" w:pos="4915"/>
              </w:tabs>
              <w:kinsoku/>
              <w:wordWrap/>
              <w:overflowPunct/>
              <w:topLinePunct w:val="0"/>
              <w:autoSpaceDE/>
              <w:autoSpaceDN/>
              <w:bidi w:val="0"/>
              <w:adjustRightInd w:val="0"/>
              <w:snapToGrid/>
              <w:spacing w:line="32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描述</w:t>
            </w:r>
            <w:r>
              <w:rPr>
                <w:rFonts w:hint="eastAsia" w:ascii="Arial" w:hAnsi="Arial" w:eastAsia="宋体" w:cs="Arial"/>
                <w:color w:val="auto"/>
                <w:sz w:val="21"/>
                <w:szCs w:val="21"/>
                <w:highlight w:val="none"/>
                <w:lang w:val="en-US" w:eastAsia="zh-CN"/>
              </w:rPr>
              <w:t>较为合理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分析</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全面</w:t>
            </w:r>
            <w:r>
              <w:rPr>
                <w:rFonts w:hint="eastAsia" w:ascii="宋体" w:hAnsi="宋体" w:eastAsia="宋体" w:cs="宋体"/>
                <w:color w:val="auto"/>
                <w:sz w:val="21"/>
                <w:szCs w:val="21"/>
                <w:highlight w:val="none"/>
                <w:lang w:eastAsia="zh-CN"/>
              </w:rPr>
              <w:t>、具有一定的针对性</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BD4A0E7">
            <w:pPr>
              <w:keepNext w:val="0"/>
              <w:keepLines w:val="0"/>
              <w:pageBreakBefore w:val="0"/>
              <w:widowControl w:val="0"/>
              <w:numPr>
                <w:ilvl w:val="0"/>
                <w:numId w:val="0"/>
              </w:numPr>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描述一般</w:t>
            </w:r>
            <w:r>
              <w:rPr>
                <w:rFonts w:hint="eastAsia" w:ascii="宋体" w:hAnsi="宋体" w:eastAsia="宋体" w:cs="宋体"/>
                <w:color w:val="auto"/>
                <w:sz w:val="21"/>
                <w:szCs w:val="21"/>
                <w:highlight w:val="none"/>
              </w:rPr>
              <w:t>、分析</w:t>
            </w:r>
            <w:r>
              <w:rPr>
                <w:rFonts w:hint="eastAsia" w:ascii="宋体" w:hAnsi="宋体" w:cs="宋体"/>
                <w:color w:val="auto"/>
                <w:sz w:val="21"/>
                <w:szCs w:val="21"/>
                <w:highlight w:val="none"/>
                <w:lang w:eastAsia="zh-CN"/>
              </w:rPr>
              <w:t>一般、针对性一般</w:t>
            </w:r>
            <w:r>
              <w:rPr>
                <w:rFonts w:hint="eastAsia" w:ascii="宋体" w:hAnsi="宋体" w:eastAsia="宋体" w:cs="宋体"/>
                <w:color w:val="auto"/>
                <w:sz w:val="21"/>
                <w:szCs w:val="21"/>
                <w:highlight w:val="none"/>
              </w:rPr>
              <w:t>的得3分；</w:t>
            </w:r>
          </w:p>
          <w:p w14:paraId="6BE71950">
            <w:pPr>
              <w:keepNext w:val="0"/>
              <w:keepLines w:val="0"/>
              <w:pageBreakBefore w:val="0"/>
              <w:widowControl w:val="0"/>
              <w:numPr>
                <w:ilvl w:val="0"/>
                <w:numId w:val="0"/>
              </w:numPr>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描述</w:t>
            </w:r>
            <w:r>
              <w:rPr>
                <w:rFonts w:hint="eastAsia" w:ascii="宋体" w:hAnsi="宋体" w:eastAsia="宋体" w:cs="宋体"/>
                <w:color w:val="auto"/>
                <w:sz w:val="21"/>
                <w:szCs w:val="21"/>
                <w:highlight w:val="none"/>
                <w:lang w:eastAsia="zh-CN"/>
              </w:rPr>
              <w:t>简单、分析不全面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针对性弱</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DDE42D7">
            <w:pPr>
              <w:keepNext w:val="0"/>
              <w:keepLines w:val="0"/>
              <w:pageBreakBefore w:val="0"/>
              <w:widowControl w:val="0"/>
              <w:numPr>
                <w:ilvl w:val="0"/>
                <w:numId w:val="0"/>
              </w:numPr>
              <w:shd w:val="clear" w:color="auto" w:fill="auto"/>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描述简单、无针对性的</w:t>
            </w:r>
            <w:r>
              <w:rPr>
                <w:rFonts w:hint="eastAsia" w:ascii="宋体" w:hAnsi="宋体" w:eastAsia="宋体" w:cs="宋体"/>
                <w:color w:val="auto"/>
                <w:sz w:val="21"/>
                <w:szCs w:val="21"/>
                <w:highlight w:val="none"/>
              </w:rPr>
              <w:t>得1分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20E97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63" w:type="dxa"/>
            <w:vMerge w:val="continue"/>
            <w:vAlign w:val="center"/>
          </w:tcPr>
          <w:p w14:paraId="0EEF2478">
            <w:pPr>
              <w:widowControl/>
              <w:spacing w:line="340" w:lineRule="exact"/>
              <w:jc w:val="left"/>
              <w:rPr>
                <w:rFonts w:ascii="宋体" w:hAnsi="宋体" w:cs="宋体"/>
                <w:szCs w:val="21"/>
              </w:rPr>
            </w:pPr>
          </w:p>
        </w:tc>
        <w:tc>
          <w:tcPr>
            <w:tcW w:w="1337" w:type="dxa"/>
            <w:vMerge w:val="continue"/>
            <w:vAlign w:val="center"/>
          </w:tcPr>
          <w:p w14:paraId="4D9FD317">
            <w:pPr>
              <w:spacing w:line="340" w:lineRule="exact"/>
              <w:jc w:val="center"/>
              <w:rPr>
                <w:rFonts w:ascii="宋体" w:hAnsi="宋体" w:cs="宋体"/>
                <w:szCs w:val="21"/>
              </w:rPr>
            </w:pPr>
          </w:p>
        </w:tc>
        <w:tc>
          <w:tcPr>
            <w:tcW w:w="7022" w:type="dxa"/>
            <w:vAlign w:val="center"/>
          </w:tcPr>
          <w:p w14:paraId="3FFAA57C">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2、施工组织方案（5分）</w:t>
            </w:r>
          </w:p>
          <w:p w14:paraId="2188AE75">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评委对整体施工组织方案进行综合评议并打分：</w:t>
            </w:r>
          </w:p>
          <w:p w14:paraId="65766707">
            <w:pPr>
              <w:keepNext w:val="0"/>
              <w:keepLines w:val="0"/>
              <w:pageBreakBefore w:val="0"/>
              <w:widowControl w:val="0"/>
              <w:numPr>
                <w:ilvl w:val="0"/>
                <w:numId w:val="0"/>
              </w:numPr>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方案完全符合本项目需求、工程关键节点分析准确、把控得当的得5分</w:t>
            </w:r>
            <w:r>
              <w:rPr>
                <w:rFonts w:hint="eastAsia" w:ascii="宋体" w:hAnsi="宋体" w:cs="宋体"/>
                <w:color w:val="auto"/>
                <w:sz w:val="21"/>
                <w:szCs w:val="21"/>
                <w:highlight w:val="none"/>
                <w:lang w:eastAsia="zh-CN"/>
              </w:rPr>
              <w:t>；</w:t>
            </w:r>
          </w:p>
          <w:p w14:paraId="4CA0CF57">
            <w:pPr>
              <w:keepNext w:val="0"/>
              <w:keepLines w:val="0"/>
              <w:pageBreakBefore w:val="0"/>
              <w:widowControl w:val="0"/>
              <w:numPr>
                <w:ilvl w:val="0"/>
                <w:numId w:val="0"/>
              </w:numPr>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方案能满足项目的主体需求，工程关键节点析</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准确、把控</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得当的得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4720B43D">
            <w:pPr>
              <w:keepNext w:val="0"/>
              <w:keepLines w:val="0"/>
              <w:pageBreakBefore w:val="0"/>
              <w:widowControl w:val="0"/>
              <w:numPr>
                <w:ilvl w:val="0"/>
                <w:numId w:val="0"/>
              </w:numPr>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，工程关键节点析把控</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的得3分</w:t>
            </w:r>
            <w:r>
              <w:rPr>
                <w:rFonts w:hint="eastAsia" w:ascii="宋体" w:hAnsi="宋体" w:eastAsia="宋体" w:cs="宋体"/>
                <w:color w:val="auto"/>
                <w:sz w:val="21"/>
                <w:szCs w:val="21"/>
                <w:highlight w:val="none"/>
                <w:lang w:eastAsia="zh-CN"/>
              </w:rPr>
              <w:t>；</w:t>
            </w:r>
          </w:p>
          <w:p w14:paraId="03706347">
            <w:pPr>
              <w:keepNext w:val="0"/>
              <w:keepLines w:val="0"/>
              <w:pageBreakBefore w:val="0"/>
              <w:widowControl w:val="0"/>
              <w:numPr>
                <w:ilvl w:val="0"/>
                <w:numId w:val="0"/>
              </w:numPr>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简单</w:t>
            </w:r>
            <w:r>
              <w:rPr>
                <w:rFonts w:hint="eastAsia" w:ascii="宋体" w:hAnsi="宋体" w:eastAsia="宋体" w:cs="宋体"/>
                <w:color w:val="auto"/>
                <w:sz w:val="21"/>
                <w:szCs w:val="21"/>
                <w:highlight w:val="none"/>
              </w:rPr>
              <w:t>，工程关键节点析把控</w:t>
            </w:r>
            <w:r>
              <w:rPr>
                <w:rFonts w:hint="eastAsia" w:ascii="宋体" w:hAnsi="宋体" w:eastAsia="宋体" w:cs="宋体"/>
                <w:color w:val="auto"/>
                <w:sz w:val="21"/>
                <w:szCs w:val="21"/>
                <w:highlight w:val="none"/>
                <w:lang w:eastAsia="zh-CN"/>
              </w:rPr>
              <w:t>弱</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ACC76C8">
            <w:pPr>
              <w:keepNext w:val="0"/>
              <w:keepLines w:val="0"/>
              <w:pageBreakBefore w:val="0"/>
              <w:widowControl w:val="0"/>
              <w:numPr>
                <w:ilvl w:val="0"/>
                <w:numId w:val="0"/>
              </w:numPr>
              <w:shd w:val="clear" w:color="auto" w:fill="auto"/>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简单</w:t>
            </w:r>
            <w:r>
              <w:rPr>
                <w:rFonts w:hint="eastAsia" w:ascii="宋体" w:hAnsi="宋体" w:eastAsia="宋体" w:cs="宋体"/>
                <w:color w:val="auto"/>
                <w:sz w:val="21"/>
                <w:szCs w:val="21"/>
                <w:highlight w:val="none"/>
              </w:rPr>
              <w:t>，工程关键节点析</w:t>
            </w:r>
            <w:r>
              <w:rPr>
                <w:rFonts w:hint="eastAsia" w:ascii="宋体" w:hAnsi="宋体" w:eastAsia="宋体" w:cs="宋体"/>
                <w:color w:val="auto"/>
                <w:sz w:val="21"/>
                <w:szCs w:val="21"/>
                <w:highlight w:val="none"/>
                <w:lang w:eastAsia="zh-CN"/>
              </w:rPr>
              <w:t>缺失、无法</w:t>
            </w:r>
            <w:r>
              <w:rPr>
                <w:rFonts w:hint="eastAsia" w:ascii="宋体" w:hAnsi="宋体" w:eastAsia="宋体" w:cs="宋体"/>
                <w:color w:val="auto"/>
                <w:sz w:val="21"/>
                <w:szCs w:val="21"/>
                <w:highlight w:val="none"/>
              </w:rPr>
              <w:t>把控的得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4AB57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3" w:type="dxa"/>
            <w:vMerge w:val="continue"/>
            <w:vAlign w:val="center"/>
          </w:tcPr>
          <w:p w14:paraId="731EEA47">
            <w:pPr>
              <w:widowControl/>
              <w:spacing w:line="340" w:lineRule="exact"/>
              <w:jc w:val="left"/>
              <w:rPr>
                <w:rFonts w:ascii="宋体" w:hAnsi="宋体" w:cs="宋体"/>
                <w:szCs w:val="21"/>
              </w:rPr>
            </w:pPr>
          </w:p>
        </w:tc>
        <w:tc>
          <w:tcPr>
            <w:tcW w:w="1337" w:type="dxa"/>
            <w:vMerge w:val="continue"/>
            <w:vAlign w:val="center"/>
          </w:tcPr>
          <w:p w14:paraId="05273724">
            <w:pPr>
              <w:widowControl/>
              <w:spacing w:line="340" w:lineRule="exact"/>
              <w:jc w:val="left"/>
              <w:rPr>
                <w:rFonts w:ascii="宋体" w:hAnsi="宋体" w:cs="宋体"/>
                <w:szCs w:val="21"/>
              </w:rPr>
            </w:pPr>
          </w:p>
        </w:tc>
        <w:tc>
          <w:tcPr>
            <w:tcW w:w="7022" w:type="dxa"/>
            <w:vAlign w:val="center"/>
          </w:tcPr>
          <w:p w14:paraId="4EFEB2BF">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3、工程质量保证措施（5分）</w:t>
            </w:r>
          </w:p>
          <w:p w14:paraId="4F659889">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评委对工程质量保证措施进行综合评议并打分：</w:t>
            </w:r>
          </w:p>
          <w:p w14:paraId="29FA4F9A">
            <w:pPr>
              <w:keepNext w:val="0"/>
              <w:keepLines w:val="0"/>
              <w:pageBreakBefore w:val="0"/>
              <w:widowControl w:val="0"/>
              <w:numPr>
                <w:ilvl w:val="0"/>
                <w:numId w:val="0"/>
              </w:numPr>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各项保障措施有力、</w:t>
            </w:r>
            <w:r>
              <w:rPr>
                <w:rFonts w:hint="eastAsia" w:ascii="宋体" w:hAnsi="宋体" w:cs="宋体"/>
                <w:color w:val="auto"/>
                <w:sz w:val="21"/>
                <w:szCs w:val="21"/>
                <w:highlight w:val="none"/>
                <w:lang w:eastAsia="zh-CN"/>
              </w:rPr>
              <w:t>完全</w:t>
            </w:r>
            <w:r>
              <w:rPr>
                <w:rFonts w:hint="eastAsia" w:ascii="宋体" w:hAnsi="宋体" w:eastAsia="宋体" w:cs="宋体"/>
                <w:color w:val="auto"/>
                <w:sz w:val="21"/>
                <w:szCs w:val="21"/>
                <w:highlight w:val="none"/>
              </w:rPr>
              <w:t>符合行业规范</w:t>
            </w:r>
            <w:r>
              <w:rPr>
                <w:rFonts w:hint="eastAsia" w:ascii="宋体" w:hAnsi="宋体" w:cs="宋体"/>
                <w:color w:val="auto"/>
                <w:sz w:val="21"/>
                <w:szCs w:val="21"/>
                <w:highlight w:val="none"/>
                <w:lang w:eastAsia="zh-CN"/>
              </w:rPr>
              <w:t>与</w:t>
            </w:r>
            <w:r>
              <w:rPr>
                <w:rFonts w:hint="eastAsia" w:ascii="宋体" w:hAnsi="宋体" w:eastAsia="宋体" w:cs="宋体"/>
                <w:color w:val="auto"/>
                <w:sz w:val="21"/>
                <w:szCs w:val="21"/>
                <w:highlight w:val="none"/>
              </w:rPr>
              <w:t>本项目需求的得5分</w:t>
            </w:r>
            <w:r>
              <w:rPr>
                <w:rFonts w:hint="eastAsia" w:ascii="宋体" w:hAnsi="宋体" w:cs="宋体"/>
                <w:color w:val="auto"/>
                <w:sz w:val="21"/>
                <w:szCs w:val="21"/>
                <w:highlight w:val="none"/>
                <w:lang w:eastAsia="zh-CN"/>
              </w:rPr>
              <w:t>；</w:t>
            </w:r>
          </w:p>
          <w:p w14:paraId="68E22632">
            <w:pPr>
              <w:keepNext w:val="0"/>
              <w:keepLines w:val="0"/>
              <w:pageBreakBefore w:val="0"/>
              <w:widowControl w:val="0"/>
              <w:numPr>
                <w:ilvl w:val="0"/>
                <w:numId w:val="0"/>
              </w:numPr>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各项保障措施</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有力、</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符合行业规范</w:t>
            </w:r>
            <w:r>
              <w:rPr>
                <w:rFonts w:hint="eastAsia" w:ascii="宋体" w:hAnsi="宋体" w:eastAsia="宋体" w:cs="宋体"/>
                <w:color w:val="auto"/>
                <w:sz w:val="21"/>
                <w:szCs w:val="21"/>
                <w:highlight w:val="none"/>
                <w:lang w:eastAsia="zh-CN"/>
              </w:rPr>
              <w:t>与</w:t>
            </w:r>
            <w:r>
              <w:rPr>
                <w:rFonts w:hint="eastAsia" w:ascii="宋体" w:hAnsi="宋体" w:eastAsia="宋体" w:cs="宋体"/>
                <w:color w:val="auto"/>
                <w:sz w:val="21"/>
                <w:szCs w:val="21"/>
                <w:highlight w:val="none"/>
              </w:rPr>
              <w:t>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3C5C4DF">
            <w:pPr>
              <w:keepNext w:val="0"/>
              <w:keepLines w:val="0"/>
              <w:pageBreakBefore w:val="0"/>
              <w:widowControl w:val="0"/>
              <w:numPr>
                <w:ilvl w:val="0"/>
                <w:numId w:val="0"/>
              </w:numPr>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r>
              <w:rPr>
                <w:rFonts w:hint="eastAsia" w:ascii="宋体" w:hAnsi="宋体" w:cs="宋体"/>
                <w:color w:val="auto"/>
                <w:sz w:val="21"/>
                <w:szCs w:val="21"/>
                <w:highlight w:val="none"/>
                <w:lang w:eastAsia="zh-CN"/>
              </w:rPr>
              <w:t>；</w:t>
            </w:r>
          </w:p>
          <w:p w14:paraId="78B8A5D3">
            <w:pPr>
              <w:keepNext w:val="0"/>
              <w:keepLines w:val="0"/>
              <w:pageBreakBefore w:val="0"/>
              <w:widowControl w:val="0"/>
              <w:numPr>
                <w:ilvl w:val="0"/>
                <w:numId w:val="0"/>
              </w:numPr>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保障措施上有部分内容欠缺，影响履约的得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E4268D0">
            <w:pPr>
              <w:keepNext w:val="0"/>
              <w:keepLines w:val="0"/>
              <w:pageBreakBefore w:val="0"/>
              <w:widowControl w:val="0"/>
              <w:numPr>
                <w:ilvl w:val="0"/>
                <w:numId w:val="0"/>
              </w:numPr>
              <w:shd w:val="clear" w:color="auto" w:fill="auto"/>
              <w:tabs>
                <w:tab w:val="left" w:pos="4915"/>
              </w:tabs>
              <w:kinsoku/>
              <w:wordWrap/>
              <w:overflowPunct/>
              <w:topLinePunct w:val="0"/>
              <w:autoSpaceDE/>
              <w:autoSpaceDN/>
              <w:bidi w:val="0"/>
              <w:adjustRightInd w:val="0"/>
              <w:snapToGrid/>
              <w:spacing w:line="320" w:lineRule="exact"/>
              <w:textAlignment w:val="auto"/>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措施上有主体内容的缺项或缺少具体有效的保证措施，难以保证满足项目需求的得1分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03ED9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3" w:type="dxa"/>
            <w:vMerge w:val="continue"/>
            <w:vAlign w:val="center"/>
          </w:tcPr>
          <w:p w14:paraId="05290D69">
            <w:pPr>
              <w:widowControl/>
              <w:spacing w:line="340" w:lineRule="exact"/>
              <w:jc w:val="left"/>
              <w:rPr>
                <w:rFonts w:ascii="宋体" w:hAnsi="宋体" w:cs="宋体"/>
                <w:szCs w:val="21"/>
              </w:rPr>
            </w:pPr>
          </w:p>
        </w:tc>
        <w:tc>
          <w:tcPr>
            <w:tcW w:w="1337" w:type="dxa"/>
            <w:vMerge w:val="continue"/>
            <w:vAlign w:val="center"/>
          </w:tcPr>
          <w:p w14:paraId="208AD44A">
            <w:pPr>
              <w:widowControl/>
              <w:spacing w:line="340" w:lineRule="exact"/>
              <w:jc w:val="left"/>
              <w:rPr>
                <w:rFonts w:ascii="宋体" w:hAnsi="宋体" w:cs="宋体"/>
                <w:szCs w:val="21"/>
              </w:rPr>
            </w:pPr>
          </w:p>
        </w:tc>
        <w:tc>
          <w:tcPr>
            <w:tcW w:w="7022" w:type="dxa"/>
            <w:vAlign w:val="center"/>
          </w:tcPr>
          <w:p w14:paraId="740B6954">
            <w:pPr>
              <w:keepNext w:val="0"/>
              <w:keepLines w:val="0"/>
              <w:pageBreakBefore w:val="0"/>
              <w:widowControl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4、施工进度管理与控制（5分）</w:t>
            </w:r>
          </w:p>
          <w:p w14:paraId="3C8F4235">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进度计划安排得当、各时间节点明确、项目工期有有效保障的得5分；</w:t>
            </w:r>
          </w:p>
          <w:p w14:paraId="76082399">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进度计划安排</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得当、各时间节点</w:t>
            </w:r>
            <w:r>
              <w:rPr>
                <w:rFonts w:hint="eastAsia" w:ascii="宋体" w:hAnsi="宋体" w:cs="宋体"/>
                <w:color w:val="auto"/>
                <w:sz w:val="21"/>
                <w:szCs w:val="21"/>
                <w:highlight w:val="none"/>
                <w:lang w:eastAsia="zh-CN"/>
              </w:rPr>
              <w:t>较为</w:t>
            </w:r>
            <w:r>
              <w:rPr>
                <w:rFonts w:hint="eastAsia" w:ascii="宋体" w:hAnsi="宋体" w:eastAsia="宋体" w:cs="宋体"/>
                <w:color w:val="auto"/>
                <w:sz w:val="21"/>
                <w:szCs w:val="21"/>
                <w:highlight w:val="none"/>
              </w:rPr>
              <w:t>明确、项目工期</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有有效保障的得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F32EAB3">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进度安排尚能满足项目需求、部分时间节点不够明确或存在前松后紧的得3分；</w:t>
            </w:r>
          </w:p>
          <w:p w14:paraId="0373D01A">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进度安排存在明显不合理之处、时间节点</w:t>
            </w:r>
            <w:r>
              <w:rPr>
                <w:rFonts w:hint="eastAsia" w:ascii="宋体" w:hAnsi="宋体" w:eastAsia="宋体" w:cs="宋体"/>
                <w:color w:val="auto"/>
                <w:sz w:val="21"/>
                <w:szCs w:val="21"/>
                <w:highlight w:val="none"/>
                <w:lang w:eastAsia="zh-CN"/>
              </w:rPr>
              <w:t>较为混乱</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FEC872B">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进度安排存在</w:t>
            </w:r>
            <w:r>
              <w:rPr>
                <w:rFonts w:hint="eastAsia" w:ascii="宋体" w:hAnsi="宋体" w:eastAsia="宋体" w:cs="宋体"/>
                <w:color w:val="auto"/>
                <w:sz w:val="21"/>
                <w:szCs w:val="21"/>
                <w:highlight w:val="none"/>
                <w:lang w:eastAsia="zh-CN"/>
              </w:rPr>
              <w:t>多处</w:t>
            </w:r>
            <w:r>
              <w:rPr>
                <w:rFonts w:hint="eastAsia" w:ascii="宋体" w:hAnsi="宋体" w:eastAsia="宋体" w:cs="宋体"/>
                <w:color w:val="auto"/>
                <w:sz w:val="21"/>
                <w:szCs w:val="21"/>
                <w:highlight w:val="none"/>
              </w:rPr>
              <w:t>明显不合理之处、时间节点混乱、难以保障项目工期的得1分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5DF19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4D860D7A">
            <w:pPr>
              <w:widowControl/>
              <w:spacing w:line="340" w:lineRule="exact"/>
              <w:jc w:val="left"/>
              <w:rPr>
                <w:rFonts w:ascii="宋体" w:hAnsi="宋体" w:cs="宋体"/>
                <w:szCs w:val="21"/>
              </w:rPr>
            </w:pPr>
          </w:p>
        </w:tc>
        <w:tc>
          <w:tcPr>
            <w:tcW w:w="1337" w:type="dxa"/>
            <w:vMerge w:val="continue"/>
            <w:vAlign w:val="center"/>
          </w:tcPr>
          <w:p w14:paraId="60D38E92">
            <w:pPr>
              <w:widowControl/>
              <w:spacing w:line="340" w:lineRule="exact"/>
              <w:jc w:val="left"/>
              <w:rPr>
                <w:rFonts w:ascii="宋体" w:hAnsi="宋体" w:cs="宋体"/>
                <w:szCs w:val="21"/>
              </w:rPr>
            </w:pPr>
          </w:p>
        </w:tc>
        <w:tc>
          <w:tcPr>
            <w:tcW w:w="7022" w:type="dxa"/>
            <w:vAlign w:val="center"/>
          </w:tcPr>
          <w:p w14:paraId="3BBEEA21">
            <w:pPr>
              <w:keepNext w:val="0"/>
              <w:keepLines w:val="0"/>
              <w:pageBreakBefore w:val="0"/>
              <w:widowControl w:val="0"/>
              <w:tabs>
                <w:tab w:val="left" w:pos="4915"/>
              </w:tabs>
              <w:kinsoku/>
              <w:wordWrap/>
              <w:overflowPunct/>
              <w:topLinePunct w:val="0"/>
              <w:autoSpaceDE/>
              <w:autoSpaceDN/>
              <w:bidi w:val="0"/>
              <w:adjustRightInd w:val="0"/>
              <w:snapToGrid/>
              <w:spacing w:line="340" w:lineRule="exact"/>
              <w:textAlignment w:val="auto"/>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安全</w:t>
            </w:r>
            <w:r>
              <w:rPr>
                <w:rFonts w:hint="eastAsia" w:ascii="宋体" w:hAnsi="宋体" w:cs="宋体"/>
                <w:szCs w:val="21"/>
              </w:rPr>
              <w:t>生产、文明施工措施（5分）</w:t>
            </w:r>
          </w:p>
          <w:p w14:paraId="53D16C53">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评委对安全生产、文明施工措施进行综合评议并打分：</w:t>
            </w:r>
          </w:p>
          <w:p w14:paraId="7E70CC57">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施工噪音、施工震动、施工扬尘等保障措施具体有效、符合本项目需求的得5分，</w:t>
            </w:r>
          </w:p>
          <w:p w14:paraId="7C2735E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施工噪音、施工震动、施工扬尘等保障措施</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0E2506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p>
          <w:p w14:paraId="2F5922C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保障措施上存在细节部分欠缺，影响履约的得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84D8637">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ascii="宋体" w:hAnsi="宋体" w:cs="宋体"/>
                <w:szCs w:val="21"/>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措施有缺项或缺少有效保障手段，难以保证项目实施的得1分，未提供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2A5967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63" w:type="dxa"/>
            <w:vMerge w:val="continue"/>
            <w:vAlign w:val="center"/>
          </w:tcPr>
          <w:p w14:paraId="7B7BD5D9">
            <w:pPr>
              <w:widowControl/>
              <w:spacing w:line="340" w:lineRule="exact"/>
              <w:jc w:val="left"/>
              <w:rPr>
                <w:rFonts w:ascii="宋体" w:hAnsi="宋体" w:cs="宋体"/>
                <w:szCs w:val="21"/>
              </w:rPr>
            </w:pPr>
          </w:p>
        </w:tc>
        <w:tc>
          <w:tcPr>
            <w:tcW w:w="1337" w:type="dxa"/>
            <w:vMerge w:val="continue"/>
            <w:vAlign w:val="center"/>
          </w:tcPr>
          <w:p w14:paraId="117E96D4">
            <w:pPr>
              <w:widowControl/>
              <w:spacing w:line="340" w:lineRule="exact"/>
              <w:jc w:val="left"/>
              <w:rPr>
                <w:rFonts w:ascii="宋体" w:hAnsi="宋体" w:cs="宋体"/>
                <w:szCs w:val="21"/>
              </w:rPr>
            </w:pPr>
          </w:p>
        </w:tc>
        <w:tc>
          <w:tcPr>
            <w:tcW w:w="7022" w:type="dxa"/>
            <w:vAlign w:val="center"/>
          </w:tcPr>
          <w:p w14:paraId="6EF3B3D0">
            <w:pPr>
              <w:keepNext w:val="0"/>
              <w:keepLines w:val="0"/>
              <w:pageBreakBefore w:val="0"/>
              <w:widowControl w:val="0"/>
              <w:tabs>
                <w:tab w:val="left" w:pos="4915"/>
              </w:tabs>
              <w:kinsoku/>
              <w:wordWrap/>
              <w:overflowPunct/>
              <w:topLinePunct w:val="0"/>
              <w:autoSpaceDE/>
              <w:autoSpaceDN/>
              <w:bidi w:val="0"/>
              <w:adjustRightInd w:val="0"/>
              <w:snapToGrid/>
              <w:spacing w:line="340" w:lineRule="exact"/>
              <w:textAlignment w:val="auto"/>
              <w:rPr>
                <w:rFonts w:ascii="宋体" w:hAnsi="宋体" w:cs="宋体"/>
                <w:szCs w:val="21"/>
              </w:rPr>
            </w:pPr>
            <w:r>
              <w:rPr>
                <w:rFonts w:hint="eastAsia" w:ascii="宋体" w:hAnsi="宋体" w:cs="宋体"/>
                <w:szCs w:val="21"/>
              </w:rPr>
              <w:t>6、环保管理体系和措施（5分）</w:t>
            </w:r>
          </w:p>
          <w:p w14:paraId="4D79692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评委对环保管理体系和措施进行综合评议并打分：</w:t>
            </w:r>
          </w:p>
          <w:p w14:paraId="0E7B7BDA">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环保管理体系健全有效、保障措施具体细致、符合本项目需求的得5分，</w:t>
            </w:r>
          </w:p>
          <w:p w14:paraId="2FC1DA1B">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环保管理体系</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有效、保障措施</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具体细致、</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97E6DCF">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p>
          <w:p w14:paraId="405D6FC9">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保障措施上存在细节部分欠缺，影响履约的得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7A67D27">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保障体系及措施有明显缺漏项，或过于笼统无法保证项目实施的得1分</w:t>
            </w:r>
            <w:r>
              <w:rPr>
                <w:rFonts w:hint="eastAsia" w:ascii="宋体" w:hAnsi="宋体" w:eastAsia="宋体" w:cs="宋体"/>
                <w:color w:val="auto"/>
                <w:sz w:val="21"/>
                <w:szCs w:val="21"/>
                <w:highlight w:val="none"/>
                <w:lang w:eastAsia="zh-CN"/>
              </w:rPr>
              <w:t>；</w:t>
            </w:r>
          </w:p>
          <w:p w14:paraId="487CED1E">
            <w:pPr>
              <w:keepNext w:val="0"/>
              <w:keepLines w:val="0"/>
              <w:pageBreakBefore w:val="0"/>
              <w:widowControl w:val="0"/>
              <w:tabs>
                <w:tab w:val="left" w:pos="4915"/>
              </w:tabs>
              <w:kinsoku/>
              <w:wordWrap/>
              <w:overflowPunct/>
              <w:topLinePunct w:val="0"/>
              <w:autoSpaceDE/>
              <w:autoSpaceDN/>
              <w:bidi w:val="0"/>
              <w:adjustRightInd w:val="0"/>
              <w:snapToGrid/>
              <w:spacing w:line="340" w:lineRule="exact"/>
              <w:textAlignment w:val="auto"/>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33274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63" w:type="dxa"/>
            <w:vMerge w:val="continue"/>
            <w:vAlign w:val="center"/>
          </w:tcPr>
          <w:p w14:paraId="23321F91">
            <w:pPr>
              <w:widowControl/>
              <w:spacing w:line="340" w:lineRule="exact"/>
              <w:jc w:val="left"/>
              <w:rPr>
                <w:rFonts w:ascii="宋体" w:hAnsi="宋体" w:cs="宋体"/>
                <w:szCs w:val="21"/>
              </w:rPr>
            </w:pPr>
          </w:p>
        </w:tc>
        <w:tc>
          <w:tcPr>
            <w:tcW w:w="1337" w:type="dxa"/>
            <w:vMerge w:val="continue"/>
            <w:vAlign w:val="center"/>
          </w:tcPr>
          <w:p w14:paraId="7EA49D05">
            <w:pPr>
              <w:widowControl/>
              <w:spacing w:line="340" w:lineRule="exact"/>
              <w:jc w:val="left"/>
              <w:rPr>
                <w:rFonts w:ascii="宋体" w:hAnsi="宋体" w:cs="宋体"/>
                <w:szCs w:val="21"/>
              </w:rPr>
            </w:pPr>
          </w:p>
        </w:tc>
        <w:tc>
          <w:tcPr>
            <w:tcW w:w="7022" w:type="dxa"/>
            <w:vAlign w:val="center"/>
          </w:tcPr>
          <w:p w14:paraId="62DF76D2">
            <w:pPr>
              <w:keepNext w:val="0"/>
              <w:keepLines w:val="0"/>
              <w:pageBreakBefore w:val="0"/>
              <w:widowControl w:val="0"/>
              <w:tabs>
                <w:tab w:val="left" w:pos="4915"/>
              </w:tabs>
              <w:kinsoku/>
              <w:wordWrap/>
              <w:overflowPunct/>
              <w:topLinePunct w:val="0"/>
              <w:autoSpaceDE/>
              <w:autoSpaceDN/>
              <w:bidi w:val="0"/>
              <w:adjustRightInd w:val="0"/>
              <w:snapToGrid/>
              <w:spacing w:line="340" w:lineRule="exact"/>
              <w:textAlignment w:val="auto"/>
              <w:rPr>
                <w:rFonts w:ascii="宋体" w:hAnsi="宋体" w:cs="宋体"/>
                <w:szCs w:val="21"/>
              </w:rPr>
            </w:pPr>
            <w:r>
              <w:rPr>
                <w:rFonts w:hint="eastAsia" w:ascii="宋体" w:hAnsi="宋体" w:cs="宋体"/>
                <w:szCs w:val="21"/>
              </w:rPr>
              <w:t>7、主要施工机械设备的选用和布置（5分）</w:t>
            </w:r>
          </w:p>
          <w:p w14:paraId="1995FF0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评委对施工机械设备进行综合评议并打分：</w:t>
            </w:r>
          </w:p>
          <w:p w14:paraId="4E402368">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施工机械设备种类齐全、规格型号较新、完全满足本项目需求的得5分，</w:t>
            </w:r>
          </w:p>
          <w:p w14:paraId="4A39EA6C">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施工机械设备种类齐全、但部分主体设备略为陈旧的得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5A5B35D">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施工机械设备种类齐全、但部分非主体设备略为陈旧的得3分</w:t>
            </w:r>
            <w:r>
              <w:rPr>
                <w:rFonts w:hint="eastAsia" w:ascii="宋体" w:hAnsi="宋体" w:cs="宋体"/>
                <w:color w:val="auto"/>
                <w:sz w:val="21"/>
                <w:szCs w:val="21"/>
                <w:highlight w:val="none"/>
                <w:lang w:eastAsia="zh-CN"/>
              </w:rPr>
              <w:t>；</w:t>
            </w:r>
          </w:p>
          <w:p w14:paraId="3C61D094">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施工机械设备种类</w:t>
            </w:r>
            <w:r>
              <w:rPr>
                <w:rFonts w:hint="eastAsia" w:ascii="宋体" w:hAnsi="宋体" w:eastAsia="宋体" w:cs="宋体"/>
                <w:color w:val="auto"/>
                <w:sz w:val="21"/>
                <w:szCs w:val="21"/>
                <w:highlight w:val="none"/>
                <w:lang w:eastAsia="zh-CN"/>
              </w:rPr>
              <w:t>非主体部分不</w:t>
            </w:r>
            <w:r>
              <w:rPr>
                <w:rFonts w:hint="eastAsia" w:ascii="宋体" w:hAnsi="宋体" w:eastAsia="宋体" w:cs="宋体"/>
                <w:color w:val="auto"/>
                <w:sz w:val="21"/>
                <w:szCs w:val="21"/>
                <w:highlight w:val="none"/>
              </w:rPr>
              <w:t>齐全、</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部分设备略为陈旧的得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09153D40">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施工机械设备种类</w:t>
            </w:r>
            <w:r>
              <w:rPr>
                <w:rFonts w:hint="eastAsia" w:ascii="宋体" w:hAnsi="宋体" w:eastAsia="宋体" w:cs="宋体"/>
                <w:color w:val="auto"/>
                <w:sz w:val="21"/>
                <w:szCs w:val="21"/>
                <w:highlight w:val="none"/>
                <w:lang w:eastAsia="zh-CN"/>
              </w:rPr>
              <w:t>主体部分</w:t>
            </w:r>
            <w:r>
              <w:rPr>
                <w:rFonts w:hint="eastAsia" w:ascii="宋体" w:hAnsi="宋体" w:eastAsia="宋体" w:cs="宋体"/>
                <w:color w:val="auto"/>
                <w:sz w:val="21"/>
                <w:szCs w:val="21"/>
                <w:highlight w:val="none"/>
              </w:rPr>
              <w:t>齐全、</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部分设备略为陈旧的得1分</w:t>
            </w:r>
            <w:r>
              <w:rPr>
                <w:rFonts w:hint="eastAsia" w:ascii="宋体" w:hAnsi="宋体" w:eastAsia="宋体" w:cs="宋体"/>
                <w:color w:val="auto"/>
                <w:sz w:val="21"/>
                <w:szCs w:val="21"/>
                <w:highlight w:val="none"/>
                <w:lang w:eastAsia="zh-CN"/>
              </w:rPr>
              <w:t>；</w:t>
            </w:r>
          </w:p>
          <w:p w14:paraId="0BB9D1DF">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ascii="宋体" w:hAnsi="宋体" w:cs="宋体"/>
                <w:szCs w:val="21"/>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施工机械设备不全、或陈旧落后难以满足项目需求的得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7E91F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3" w:type="dxa"/>
            <w:vMerge w:val="continue"/>
            <w:vAlign w:val="center"/>
          </w:tcPr>
          <w:p w14:paraId="0B89119B">
            <w:pPr>
              <w:widowControl/>
              <w:spacing w:line="340" w:lineRule="exact"/>
              <w:jc w:val="left"/>
              <w:rPr>
                <w:rFonts w:ascii="宋体" w:hAnsi="宋体" w:cs="宋体"/>
                <w:szCs w:val="21"/>
              </w:rPr>
            </w:pPr>
          </w:p>
        </w:tc>
        <w:tc>
          <w:tcPr>
            <w:tcW w:w="1337" w:type="dxa"/>
            <w:vMerge w:val="continue"/>
            <w:vAlign w:val="center"/>
          </w:tcPr>
          <w:p w14:paraId="6DB8D726">
            <w:pPr>
              <w:widowControl/>
              <w:spacing w:line="340" w:lineRule="exact"/>
              <w:jc w:val="left"/>
              <w:rPr>
                <w:rFonts w:ascii="宋体" w:hAnsi="宋体" w:cs="宋体"/>
                <w:szCs w:val="21"/>
              </w:rPr>
            </w:pPr>
          </w:p>
        </w:tc>
        <w:tc>
          <w:tcPr>
            <w:tcW w:w="7022" w:type="dxa"/>
            <w:vAlign w:val="center"/>
          </w:tcPr>
          <w:p w14:paraId="77EF0C20">
            <w:pPr>
              <w:keepNext w:val="0"/>
              <w:keepLines w:val="0"/>
              <w:pageBreakBefore w:val="0"/>
              <w:widowControl w:val="0"/>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8、施工关键点、重难点分析（5分）</w:t>
            </w:r>
          </w:p>
          <w:p w14:paraId="33800CB6">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描述全面、合理，具有针对性的，得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01B6FEC7">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2）描述</w:t>
            </w:r>
            <w:r>
              <w:rPr>
                <w:rFonts w:hint="eastAsia" w:ascii="宋体" w:hAnsi="宋体" w:eastAsia="宋体" w:cs="宋体"/>
                <w:color w:val="auto"/>
                <w:sz w:val="21"/>
                <w:szCs w:val="21"/>
                <w:highlight w:val="none"/>
                <w:lang w:val="en-US" w:eastAsia="zh-CN"/>
              </w:rPr>
              <w:t>较为合理的，</w:t>
            </w:r>
            <w:r>
              <w:rPr>
                <w:rFonts w:hint="default"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针对性的，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分；</w:t>
            </w:r>
          </w:p>
          <w:p w14:paraId="41C5D3B5">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3）描述一般，针对性一般的，得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52307CDA">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4）描述简单，针对性较弱的，得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分；</w:t>
            </w:r>
          </w:p>
          <w:p w14:paraId="5B500661">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lang w:val="en-US" w:eastAsia="zh-CN"/>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描述简单，</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分；未提供的，得0分。</w:t>
            </w:r>
          </w:p>
        </w:tc>
      </w:tr>
      <w:tr w14:paraId="39852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3" w:type="dxa"/>
            <w:vMerge w:val="continue"/>
            <w:vAlign w:val="center"/>
          </w:tcPr>
          <w:p w14:paraId="6008AECA">
            <w:pPr>
              <w:widowControl/>
              <w:spacing w:line="340" w:lineRule="exact"/>
              <w:jc w:val="left"/>
              <w:rPr>
                <w:rFonts w:ascii="宋体" w:hAnsi="宋体" w:cs="宋体"/>
                <w:szCs w:val="21"/>
              </w:rPr>
            </w:pPr>
          </w:p>
        </w:tc>
        <w:tc>
          <w:tcPr>
            <w:tcW w:w="1337" w:type="dxa"/>
            <w:vMerge w:val="continue"/>
            <w:vAlign w:val="center"/>
          </w:tcPr>
          <w:p w14:paraId="3FBD01F2">
            <w:pPr>
              <w:widowControl/>
              <w:spacing w:line="340" w:lineRule="exact"/>
              <w:jc w:val="left"/>
              <w:rPr>
                <w:rFonts w:ascii="宋体" w:hAnsi="宋体" w:cs="宋体"/>
                <w:szCs w:val="21"/>
              </w:rPr>
            </w:pPr>
          </w:p>
        </w:tc>
        <w:tc>
          <w:tcPr>
            <w:tcW w:w="7022" w:type="dxa"/>
            <w:vAlign w:val="center"/>
          </w:tcPr>
          <w:p w14:paraId="4CB8DB71">
            <w:pPr>
              <w:keepNext w:val="0"/>
              <w:keepLines w:val="0"/>
              <w:pageBreakBefore w:val="0"/>
              <w:widowControl w:val="0"/>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szCs w:val="21"/>
              </w:rPr>
            </w:pPr>
            <w:r>
              <w:rPr>
                <w:rFonts w:hint="eastAsia" w:ascii="宋体" w:hAnsi="宋体" w:eastAsia="宋体" w:cs="宋体"/>
                <w:szCs w:val="21"/>
                <w:lang w:val="en-US" w:eastAsia="zh-CN"/>
              </w:rPr>
              <w:t>9、竣工资料整理方案</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p w14:paraId="62C4BCA7">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1）拟定的竣工资料整理方案完善性、合理性优秀的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195DC71C">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拟定的竣工资料整理方案完善性、合理性良好的，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分；</w:t>
            </w:r>
          </w:p>
          <w:p w14:paraId="4EC7B01B">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拟定的竣工资料整理方案完善性、合理性一般的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7522CBE6">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拟定的竣工资料整理方案完善性、合理性较弱的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分；</w:t>
            </w:r>
          </w:p>
          <w:p w14:paraId="66589627">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40" w:lineRule="exact"/>
              <w:textAlignment w:val="auto"/>
              <w:rPr>
                <w:rFonts w:hint="eastAsia" w:ascii="宋体" w:hAnsi="宋体" w:eastAsia="宋体" w:cs="宋体"/>
                <w:szCs w:val="21"/>
                <w:lang w:val="en-US" w:eastAsia="zh-CN"/>
              </w:rPr>
            </w:pPr>
            <w:r>
              <w:rPr>
                <w:rFonts w:hint="eastAsia" w:ascii="宋体" w:hAnsi="宋体" w:eastAsia="宋体" w:cs="宋体"/>
                <w:color w:val="auto"/>
                <w:sz w:val="21"/>
                <w:szCs w:val="21"/>
                <w:highlight w:val="none"/>
                <w:lang w:val="en-US" w:eastAsia="zh-CN"/>
              </w:rPr>
              <w:t>5）拟定的竣工资料整理方案完善性、合理性简单的，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分；未提供的，得0分</w:t>
            </w:r>
            <w:r>
              <w:rPr>
                <w:rFonts w:hint="eastAsia" w:ascii="宋体" w:hAnsi="宋体" w:cs="宋体"/>
                <w:color w:val="auto"/>
                <w:sz w:val="21"/>
                <w:szCs w:val="21"/>
                <w:highlight w:val="none"/>
                <w:lang w:val="en-US" w:eastAsia="zh-CN"/>
              </w:rPr>
              <w:t>。</w:t>
            </w:r>
          </w:p>
        </w:tc>
      </w:tr>
      <w:tr w14:paraId="6EC6A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3" w:type="dxa"/>
            <w:vMerge w:val="continue"/>
            <w:vAlign w:val="center"/>
          </w:tcPr>
          <w:p w14:paraId="6CD19FB4">
            <w:pPr>
              <w:widowControl/>
              <w:spacing w:line="340" w:lineRule="exact"/>
              <w:jc w:val="left"/>
              <w:rPr>
                <w:rFonts w:ascii="宋体" w:hAnsi="宋体" w:cs="宋体"/>
                <w:szCs w:val="21"/>
              </w:rPr>
            </w:pPr>
          </w:p>
        </w:tc>
        <w:tc>
          <w:tcPr>
            <w:tcW w:w="1337" w:type="dxa"/>
            <w:vMerge w:val="restart"/>
            <w:vAlign w:val="center"/>
          </w:tcPr>
          <w:p w14:paraId="08AE13A4">
            <w:pPr>
              <w:spacing w:line="340" w:lineRule="exact"/>
              <w:jc w:val="center"/>
              <w:rPr>
                <w:rFonts w:hint="eastAsia" w:ascii="宋体" w:hAnsi="宋体" w:cs="宋体"/>
                <w:szCs w:val="21"/>
              </w:rPr>
            </w:pPr>
            <w:r>
              <w:rPr>
                <w:rFonts w:hint="eastAsia" w:ascii="宋体" w:hAnsi="宋体" w:cs="宋体"/>
                <w:szCs w:val="21"/>
              </w:rPr>
              <w:t>项目团队</w:t>
            </w:r>
          </w:p>
          <w:p w14:paraId="7FC6FBBE">
            <w:pPr>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分）</w:t>
            </w:r>
          </w:p>
        </w:tc>
        <w:tc>
          <w:tcPr>
            <w:tcW w:w="7022" w:type="dxa"/>
            <w:vAlign w:val="center"/>
          </w:tcPr>
          <w:p w14:paraId="387DFB72">
            <w:pPr>
              <w:tabs>
                <w:tab w:val="left" w:pos="4915"/>
              </w:tabs>
              <w:spacing w:line="340" w:lineRule="exact"/>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、技术人员（</w:t>
            </w:r>
            <w:r>
              <w:rPr>
                <w:rFonts w:hint="eastAsia" w:ascii="宋体" w:hAnsi="宋体" w:cs="宋体"/>
                <w:szCs w:val="21"/>
                <w:lang w:val="en-US" w:eastAsia="zh-CN"/>
              </w:rPr>
              <w:t>4</w:t>
            </w:r>
            <w:r>
              <w:rPr>
                <w:rFonts w:hint="eastAsia" w:ascii="宋体" w:hAnsi="宋体" w:cs="宋体"/>
                <w:szCs w:val="21"/>
              </w:rPr>
              <w:t>分）</w:t>
            </w:r>
          </w:p>
          <w:p w14:paraId="24E11691">
            <w:pPr>
              <w:tabs>
                <w:tab w:val="left" w:pos="4915"/>
              </w:tabs>
              <w:spacing w:line="340" w:lineRule="exact"/>
              <w:rPr>
                <w:rFonts w:hint="eastAsia" w:ascii="宋体" w:hAnsi="宋体" w:cs="宋体"/>
                <w:szCs w:val="21"/>
                <w:highlight w:val="none"/>
              </w:rPr>
            </w:pPr>
            <w:r>
              <w:rPr>
                <w:rFonts w:hint="eastAsia" w:ascii="宋体" w:hAnsi="宋体" w:cs="宋体"/>
                <w:szCs w:val="21"/>
                <w:highlight w:val="none"/>
              </w:rPr>
              <w:t>项目经理在满足招标文件采购需求的基础上，具有公路相关专业高级工程师及以上</w:t>
            </w:r>
            <w:r>
              <w:rPr>
                <w:rFonts w:hint="eastAsia" w:ascii="宋体" w:hAnsi="宋体" w:cs="宋体"/>
                <w:szCs w:val="21"/>
                <w:highlight w:val="none"/>
                <w:lang w:val="en-US" w:eastAsia="zh-CN"/>
              </w:rPr>
              <w:t>技术</w:t>
            </w:r>
            <w:r>
              <w:rPr>
                <w:rFonts w:hint="eastAsia" w:ascii="宋体" w:hAnsi="宋体" w:cs="宋体"/>
                <w:szCs w:val="21"/>
                <w:highlight w:val="none"/>
              </w:rPr>
              <w:t>职称的得2分，</w:t>
            </w:r>
            <w:r>
              <w:rPr>
                <w:rFonts w:hint="eastAsia" w:hAnsi="宋体" w:cs="宋体"/>
                <w:highlight w:val="none"/>
              </w:rPr>
              <w:t>具有公路工程相关专业工程师技术职称</w:t>
            </w:r>
            <w:r>
              <w:rPr>
                <w:rFonts w:hint="eastAsia" w:ascii="宋体" w:hAnsi="宋体" w:eastAsia="宋体" w:cs="宋体"/>
                <w:highlight w:val="none"/>
              </w:rPr>
              <w:t>的得1分，</w:t>
            </w:r>
            <w:r>
              <w:rPr>
                <w:rFonts w:hint="eastAsia" w:hAnsi="宋体" w:cs="宋体"/>
                <w:highlight w:val="none"/>
              </w:rPr>
              <w:t>没有不得分，本项最</w:t>
            </w:r>
            <w:r>
              <w:rPr>
                <w:rFonts w:hint="eastAsia" w:ascii="宋体" w:hAnsi="宋体" w:eastAsia="宋体" w:cs="宋体"/>
                <w:highlight w:val="none"/>
              </w:rPr>
              <w:t>高得2分</w:t>
            </w:r>
            <w:r>
              <w:rPr>
                <w:rFonts w:hint="eastAsia" w:hAnsi="宋体" w:cs="宋体"/>
                <w:highlight w:val="none"/>
              </w:rPr>
              <w:t>。</w:t>
            </w:r>
            <w:r>
              <w:rPr>
                <w:rFonts w:hint="eastAsia" w:ascii="宋体" w:hAnsi="宋体" w:cs="宋体"/>
                <w:szCs w:val="21"/>
                <w:highlight w:val="none"/>
              </w:rPr>
              <w:t>项目技术负责人在满足招标文件采购需求的基础上，</w:t>
            </w:r>
            <w:r>
              <w:rPr>
                <w:rFonts w:hint="eastAsia" w:ascii="宋体" w:hAnsi="宋体" w:cs="宋体"/>
                <w:szCs w:val="21"/>
                <w:highlight w:val="none"/>
                <w:lang w:val="en-US" w:eastAsia="zh-CN"/>
              </w:rPr>
              <w:t>有同类</w:t>
            </w:r>
            <w:r>
              <w:rPr>
                <w:rFonts w:hint="eastAsia" w:ascii="宋体" w:hAnsi="宋体" w:eastAsia="宋体" w:cs="宋体"/>
                <w:bCs/>
                <w:color w:val="auto"/>
                <w:spacing w:val="-3"/>
                <w:sz w:val="21"/>
                <w:szCs w:val="21"/>
                <w:highlight w:val="none"/>
              </w:rPr>
              <w:t>项目</w:t>
            </w:r>
            <w:r>
              <w:rPr>
                <w:rFonts w:hint="eastAsia" w:ascii="宋体" w:hAnsi="宋体" w:eastAsia="宋体" w:cs="宋体"/>
                <w:color w:val="auto"/>
                <w:sz w:val="21"/>
                <w:szCs w:val="21"/>
                <w:highlight w:val="none"/>
              </w:rPr>
              <w:t>从业</w:t>
            </w:r>
            <w:r>
              <w:rPr>
                <w:rFonts w:hint="eastAsia" w:ascii="宋体" w:hAnsi="宋体" w:eastAsia="宋体" w:cs="宋体"/>
                <w:bCs/>
                <w:color w:val="auto"/>
                <w:spacing w:val="-3"/>
                <w:sz w:val="21"/>
                <w:szCs w:val="21"/>
                <w:highlight w:val="none"/>
              </w:rPr>
              <w:t>经验</w:t>
            </w:r>
            <w:r>
              <w:rPr>
                <w:rFonts w:hint="eastAsia" w:ascii="宋体" w:hAnsi="宋体" w:eastAsia="宋体" w:cs="宋体"/>
                <w:bCs/>
                <w:color w:val="auto"/>
                <w:spacing w:val="-3"/>
                <w:sz w:val="21"/>
                <w:szCs w:val="21"/>
                <w:highlight w:val="none"/>
                <w:lang w:val="en-US" w:eastAsia="zh-CN"/>
              </w:rPr>
              <w:t>的得2分</w:t>
            </w:r>
            <w:r>
              <w:rPr>
                <w:rFonts w:hint="eastAsia" w:ascii="宋体" w:hAnsi="宋体" w:cs="宋体"/>
                <w:bCs/>
                <w:color w:val="auto"/>
                <w:spacing w:val="-3"/>
                <w:sz w:val="21"/>
                <w:szCs w:val="21"/>
                <w:highlight w:val="none"/>
                <w:lang w:val="en-US" w:eastAsia="zh-CN"/>
              </w:rPr>
              <w:t>（需提供</w:t>
            </w:r>
            <w:r>
              <w:rPr>
                <w:rFonts w:hint="eastAsia" w:ascii="宋体" w:hAnsi="宋体" w:cs="宋体"/>
                <w:szCs w:val="21"/>
                <w:highlight w:val="none"/>
              </w:rPr>
              <w:t>中标通知书</w:t>
            </w:r>
            <w:r>
              <w:rPr>
                <w:rFonts w:hint="eastAsia" w:ascii="宋体" w:hAnsi="宋体" w:cs="宋体"/>
                <w:szCs w:val="21"/>
                <w:highlight w:val="none"/>
                <w:lang w:val="en-US" w:eastAsia="zh-CN"/>
              </w:rPr>
              <w:t>或</w:t>
            </w:r>
            <w:r>
              <w:rPr>
                <w:rFonts w:hint="eastAsia" w:ascii="宋体" w:hAnsi="宋体" w:cs="宋体"/>
                <w:szCs w:val="21"/>
                <w:highlight w:val="none"/>
              </w:rPr>
              <w:t>合同</w:t>
            </w:r>
            <w:r>
              <w:rPr>
                <w:rFonts w:hint="eastAsia" w:ascii="宋体" w:hAnsi="宋体" w:cs="宋体"/>
                <w:szCs w:val="21"/>
                <w:highlight w:val="none"/>
                <w:lang w:val="en-US" w:eastAsia="zh-CN"/>
              </w:rPr>
              <w:t>或</w:t>
            </w:r>
            <w:r>
              <w:rPr>
                <w:rFonts w:hint="eastAsia" w:ascii="宋体" w:hAnsi="宋体" w:cs="宋体"/>
                <w:szCs w:val="21"/>
                <w:highlight w:val="none"/>
              </w:rPr>
              <w:t>完工证明</w:t>
            </w:r>
            <w:r>
              <w:rPr>
                <w:rFonts w:hint="eastAsia" w:ascii="宋体" w:hAnsi="宋体" w:cs="宋体"/>
                <w:szCs w:val="21"/>
                <w:highlight w:val="none"/>
                <w:lang w:eastAsia="zh-CN"/>
              </w:rPr>
              <w:t>的</w:t>
            </w:r>
            <w:r>
              <w:rPr>
                <w:rFonts w:hint="eastAsia" w:ascii="宋体" w:hAnsi="宋体" w:cs="宋体"/>
                <w:szCs w:val="21"/>
                <w:highlight w:val="none"/>
                <w:lang w:val="en-US" w:eastAsia="zh-CN"/>
              </w:rPr>
              <w:t>复印件</w:t>
            </w:r>
            <w:r>
              <w:rPr>
                <w:rFonts w:hint="eastAsia" w:ascii="宋体" w:hAnsi="宋体" w:cs="宋体"/>
                <w:bCs/>
                <w:color w:val="auto"/>
                <w:spacing w:val="-3"/>
                <w:sz w:val="21"/>
                <w:szCs w:val="21"/>
                <w:highlight w:val="none"/>
                <w:lang w:val="en-US" w:eastAsia="zh-CN"/>
              </w:rPr>
              <w:t>）</w:t>
            </w:r>
            <w:r>
              <w:rPr>
                <w:rFonts w:hint="eastAsia" w:ascii="宋体" w:hAnsi="宋体" w:cs="宋体"/>
                <w:szCs w:val="21"/>
                <w:highlight w:val="none"/>
              </w:rPr>
              <w:t>。</w:t>
            </w:r>
          </w:p>
          <w:p w14:paraId="30C8974E">
            <w:pPr>
              <w:tabs>
                <w:tab w:val="left" w:pos="4915"/>
              </w:tabs>
              <w:spacing w:line="340" w:lineRule="exact"/>
              <w:rPr>
                <w:rFonts w:ascii="宋体" w:hAnsi="宋体" w:cs="宋体"/>
                <w:szCs w:val="21"/>
              </w:rPr>
            </w:pPr>
            <w:r>
              <w:rPr>
                <w:rFonts w:hint="eastAsia" w:ascii="宋体" w:hAnsi="宋体" w:cs="宋体"/>
                <w:szCs w:val="21"/>
              </w:rPr>
              <w:t>（响应文件中提供</w:t>
            </w:r>
            <w:r>
              <w:rPr>
                <w:rFonts w:hint="eastAsia" w:ascii="宋体" w:hAnsi="宋体" w:cs="宋体"/>
                <w:szCs w:val="21"/>
                <w:lang w:val="en-US" w:eastAsia="zh-CN"/>
              </w:rPr>
              <w:t>相关</w:t>
            </w:r>
            <w:r>
              <w:rPr>
                <w:rFonts w:hint="eastAsia" w:ascii="宋体" w:hAnsi="宋体" w:cs="宋体"/>
                <w:szCs w:val="21"/>
              </w:rPr>
              <w:t>证书</w:t>
            </w:r>
            <w:r>
              <w:rPr>
                <w:rFonts w:hint="eastAsia" w:ascii="宋体" w:hAnsi="宋体" w:cs="宋体"/>
                <w:szCs w:val="21"/>
                <w:lang w:eastAsia="zh-CN"/>
              </w:rPr>
              <w:t>、</w:t>
            </w:r>
            <w:r>
              <w:rPr>
                <w:rFonts w:hint="eastAsia" w:ascii="宋体" w:hAnsi="宋体" w:cs="宋体"/>
                <w:szCs w:val="21"/>
                <w:lang w:val="en-US" w:eastAsia="zh-CN"/>
              </w:rPr>
              <w:t>证明材料的</w:t>
            </w:r>
            <w:r>
              <w:rPr>
                <w:rFonts w:hint="eastAsia" w:ascii="宋体" w:hAnsi="宋体" w:cs="宋体"/>
                <w:szCs w:val="21"/>
              </w:rPr>
              <w:t>复印件</w:t>
            </w:r>
            <w:r>
              <w:rPr>
                <w:rFonts w:hint="eastAsia" w:hAnsi="宋体" w:cs="宋体"/>
              </w:rPr>
              <w:t>及近三个月来任意时间的社保证明材料，未提供不得分</w:t>
            </w:r>
            <w:r>
              <w:rPr>
                <w:rFonts w:hint="eastAsia" w:ascii="宋体" w:hAnsi="宋体" w:cs="宋体"/>
                <w:szCs w:val="21"/>
              </w:rPr>
              <w:t>）</w:t>
            </w:r>
          </w:p>
        </w:tc>
      </w:tr>
      <w:tr w14:paraId="700DF0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763" w:type="dxa"/>
            <w:vMerge w:val="continue"/>
            <w:vAlign w:val="center"/>
          </w:tcPr>
          <w:p w14:paraId="31ECC989">
            <w:pPr>
              <w:widowControl/>
              <w:spacing w:line="340" w:lineRule="exact"/>
              <w:jc w:val="left"/>
              <w:rPr>
                <w:rFonts w:ascii="宋体" w:hAnsi="宋体" w:cs="宋体"/>
                <w:szCs w:val="21"/>
              </w:rPr>
            </w:pPr>
          </w:p>
        </w:tc>
        <w:tc>
          <w:tcPr>
            <w:tcW w:w="1337" w:type="dxa"/>
            <w:vMerge w:val="continue"/>
            <w:vAlign w:val="center"/>
          </w:tcPr>
          <w:p w14:paraId="6E5E5FEB">
            <w:pPr>
              <w:widowControl/>
              <w:spacing w:line="340" w:lineRule="exact"/>
              <w:jc w:val="left"/>
              <w:rPr>
                <w:rFonts w:ascii="宋体" w:hAnsi="宋体" w:cs="宋体"/>
                <w:szCs w:val="21"/>
              </w:rPr>
            </w:pPr>
          </w:p>
        </w:tc>
        <w:tc>
          <w:tcPr>
            <w:tcW w:w="7022" w:type="dxa"/>
            <w:vAlign w:val="center"/>
          </w:tcPr>
          <w:p w14:paraId="487BA90E">
            <w:pPr>
              <w:tabs>
                <w:tab w:val="left" w:pos="4915"/>
              </w:tabs>
              <w:spacing w:line="340" w:lineRule="exact"/>
              <w:rPr>
                <w:rFonts w:hint="eastAsia" w:ascii="宋体" w:hAnsi="宋体" w:eastAsia="宋体" w:cs="宋体"/>
                <w:szCs w:val="21"/>
                <w:lang w:val="en-US" w:eastAsia="zh-CN"/>
              </w:rPr>
            </w:pPr>
            <w:r>
              <w:rPr>
                <w:rFonts w:hint="eastAsia" w:ascii="宋体" w:hAnsi="宋体" w:cs="宋体"/>
                <w:szCs w:val="21"/>
                <w:lang w:val="en-US" w:eastAsia="zh-CN"/>
              </w:rPr>
              <w:t>11</w:t>
            </w:r>
            <w:r>
              <w:rPr>
                <w:rFonts w:hint="eastAsia" w:ascii="宋体" w:hAnsi="宋体" w:eastAsia="宋体" w:cs="宋体"/>
                <w:szCs w:val="21"/>
                <w:lang w:val="en-US" w:eastAsia="zh-CN"/>
              </w:rPr>
              <w:t>、其他施工人员配备（</w:t>
            </w:r>
            <w:r>
              <w:rPr>
                <w:rFonts w:hint="eastAsia" w:ascii="宋体" w:hAnsi="宋体" w:cs="宋体"/>
                <w:szCs w:val="21"/>
                <w:lang w:val="en-US" w:eastAsia="zh-CN"/>
              </w:rPr>
              <w:t>4</w:t>
            </w:r>
            <w:r>
              <w:rPr>
                <w:rFonts w:hint="eastAsia" w:ascii="宋体" w:hAnsi="宋体" w:eastAsia="宋体" w:cs="宋体"/>
                <w:szCs w:val="21"/>
                <w:lang w:val="en-US" w:eastAsia="zh-CN"/>
              </w:rPr>
              <w:t>分）</w:t>
            </w:r>
          </w:p>
          <w:p w14:paraId="709D87E9">
            <w:pPr>
              <w:tabs>
                <w:tab w:val="left" w:pos="4915"/>
              </w:tabs>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highlight w:val="none"/>
                <w:lang w:val="en-US" w:eastAsia="zh-CN"/>
              </w:rPr>
              <w:t>除项目经理、项目技术负责人、安全生产负责人外，每增加1名施工员并具有施工员证得1分，最多</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分。（响应文件中提供证书复印件）</w:t>
            </w:r>
          </w:p>
          <w:p w14:paraId="59BAAD85">
            <w:pPr>
              <w:tabs>
                <w:tab w:val="left" w:pos="4915"/>
              </w:tabs>
              <w:spacing w:line="340" w:lineRule="exact"/>
              <w:rPr>
                <w:rFonts w:hint="default" w:eastAsia="宋体"/>
                <w:lang w:val="en-US" w:eastAsia="zh-CN"/>
              </w:rPr>
            </w:pPr>
            <w:r>
              <w:rPr>
                <w:rFonts w:hint="eastAsia" w:ascii="宋体" w:hAnsi="宋体" w:eastAsia="宋体" w:cs="宋体"/>
                <w:szCs w:val="21"/>
                <w:lang w:val="en-US" w:eastAsia="zh-CN"/>
              </w:rPr>
              <w:t>2）拟派人员中人</w:t>
            </w:r>
            <w:r>
              <w:rPr>
                <w:rFonts w:hint="eastAsia" w:ascii="宋体" w:hAnsi="宋体" w:cs="宋体"/>
                <w:szCs w:val="21"/>
                <w:lang w:val="en-US" w:eastAsia="zh-CN"/>
              </w:rPr>
              <w:t>同时</w:t>
            </w:r>
            <w:r>
              <w:rPr>
                <w:rFonts w:hint="eastAsia" w:ascii="宋体" w:hAnsi="宋体" w:eastAsia="宋体" w:cs="宋体"/>
                <w:szCs w:val="21"/>
                <w:lang w:val="en-US" w:eastAsia="zh-CN"/>
              </w:rPr>
              <w:t>具备交通主管部门核发的公路工程试验检测工程师资格(桥梁或桥梁隧道工程)、工程师(桥梁相关专业）及以上技术职称的，得2分</w:t>
            </w:r>
            <w:r>
              <w:rPr>
                <w:rFonts w:hint="eastAsia" w:ascii="宋体" w:hAnsi="宋体" w:cs="宋体"/>
                <w:szCs w:val="21"/>
                <w:lang w:val="en-US" w:eastAsia="zh-CN"/>
              </w:rPr>
              <w:t>。</w:t>
            </w:r>
            <w:r>
              <w:rPr>
                <w:rFonts w:hint="eastAsia" w:ascii="宋体" w:hAnsi="宋体" w:eastAsia="宋体" w:cs="宋体"/>
                <w:szCs w:val="21"/>
                <w:lang w:val="en-US" w:eastAsia="zh-CN"/>
              </w:rPr>
              <w:t>（响应文件中提供证书复印件）</w:t>
            </w:r>
          </w:p>
        </w:tc>
      </w:tr>
      <w:tr w14:paraId="5AE95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63" w:type="dxa"/>
            <w:vMerge w:val="continue"/>
            <w:vAlign w:val="center"/>
          </w:tcPr>
          <w:p w14:paraId="3CC492A4">
            <w:pPr>
              <w:widowControl/>
              <w:spacing w:line="340" w:lineRule="exact"/>
              <w:jc w:val="left"/>
              <w:rPr>
                <w:rFonts w:ascii="宋体" w:hAnsi="宋体" w:cs="宋体"/>
                <w:szCs w:val="21"/>
              </w:rPr>
            </w:pPr>
          </w:p>
        </w:tc>
        <w:tc>
          <w:tcPr>
            <w:tcW w:w="1337" w:type="dxa"/>
            <w:vAlign w:val="center"/>
          </w:tcPr>
          <w:p w14:paraId="34F728CA">
            <w:pPr>
              <w:widowControl/>
              <w:spacing w:line="340" w:lineRule="exact"/>
              <w:jc w:val="center"/>
              <w:rPr>
                <w:rFonts w:hint="eastAsia" w:ascii="宋体" w:hAnsi="宋体" w:cs="宋体"/>
                <w:szCs w:val="21"/>
              </w:rPr>
            </w:pPr>
            <w:r>
              <w:rPr>
                <w:rFonts w:hint="eastAsia" w:ascii="宋体" w:hAnsi="宋体" w:cs="宋体"/>
                <w:szCs w:val="21"/>
              </w:rPr>
              <w:t>突发事件</w:t>
            </w:r>
          </w:p>
          <w:p w14:paraId="4A27C08E">
            <w:pPr>
              <w:widowControl/>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tc>
        <w:tc>
          <w:tcPr>
            <w:tcW w:w="7022" w:type="dxa"/>
            <w:vAlign w:val="center"/>
          </w:tcPr>
          <w:p w14:paraId="14E986E4">
            <w:pPr>
              <w:tabs>
                <w:tab w:val="left" w:pos="4915"/>
              </w:tabs>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12、应急预案 （5分）</w:t>
            </w:r>
          </w:p>
          <w:p w14:paraId="77D2D78D">
            <w:pPr>
              <w:tabs>
                <w:tab w:val="left" w:pos="4915"/>
              </w:tabs>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1）应急预案条款完整、措施得力、能有效降低突发事件的不利影响的得5 分；</w:t>
            </w:r>
          </w:p>
          <w:p w14:paraId="5E560005">
            <w:pPr>
              <w:tabs>
                <w:tab w:val="left" w:pos="4915"/>
              </w:tabs>
              <w:spacing w:line="340" w:lineRule="exact"/>
              <w:rPr>
                <w:rFonts w:hint="eastAsia" w:ascii="宋体" w:hAnsi="宋体" w:eastAsia="宋体" w:cs="宋体"/>
                <w:szCs w:val="21"/>
                <w:lang w:val="en-US" w:eastAsia="zh-CN"/>
              </w:rPr>
            </w:pPr>
            <w:r>
              <w:rPr>
                <w:rFonts w:hint="default" w:ascii="宋体" w:hAnsi="宋体" w:eastAsia="宋体" w:cs="宋体"/>
                <w:szCs w:val="21"/>
                <w:lang w:val="en-US" w:eastAsia="zh-CN"/>
              </w:rPr>
              <w:t>2）</w:t>
            </w:r>
            <w:r>
              <w:rPr>
                <w:rFonts w:hint="eastAsia" w:ascii="宋体" w:hAnsi="宋体" w:eastAsia="宋体" w:cs="宋体"/>
                <w:szCs w:val="21"/>
                <w:lang w:val="en-US" w:eastAsia="zh-CN"/>
              </w:rPr>
              <w:t>应急预案条款内容完整，措施基本得力，能降低突发事件的不利影响的得4 分；</w:t>
            </w:r>
          </w:p>
          <w:p w14:paraId="43C0B048">
            <w:pPr>
              <w:tabs>
                <w:tab w:val="left" w:pos="4915"/>
              </w:tabs>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3）条款内容完整、但具体措施与工程实际情况略有偏差、预计尚不影响履约得3分；</w:t>
            </w:r>
          </w:p>
          <w:p w14:paraId="5BCAD206">
            <w:pPr>
              <w:tabs>
                <w:tab w:val="left" w:pos="4915"/>
              </w:tabs>
              <w:spacing w:line="340" w:lineRule="exact"/>
              <w:rPr>
                <w:rFonts w:hint="eastAsia" w:ascii="宋体" w:hAnsi="宋体" w:eastAsia="宋体" w:cs="宋体"/>
                <w:szCs w:val="21"/>
                <w:lang w:val="en-US" w:eastAsia="zh-CN"/>
              </w:rPr>
            </w:pPr>
            <w:r>
              <w:rPr>
                <w:rFonts w:hint="default" w:ascii="宋体" w:hAnsi="宋体" w:eastAsia="宋体" w:cs="宋体"/>
                <w:szCs w:val="21"/>
                <w:lang w:val="en-US" w:eastAsia="zh-CN"/>
              </w:rPr>
              <w:t>4）</w:t>
            </w:r>
            <w:r>
              <w:rPr>
                <w:rFonts w:hint="eastAsia" w:ascii="宋体" w:hAnsi="宋体" w:eastAsia="宋体" w:cs="宋体"/>
                <w:szCs w:val="21"/>
                <w:lang w:val="en-US" w:eastAsia="zh-CN"/>
              </w:rPr>
              <w:t>条款内容具体措施有明显缺漏项，或过于笼统但能保证项目顺利实施的得2分；</w:t>
            </w:r>
          </w:p>
          <w:p w14:paraId="58D06A08">
            <w:pPr>
              <w:tabs>
                <w:tab w:val="left" w:pos="4915"/>
              </w:tabs>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5）条款内容不完整、或措施没有实际效果、无法保障项目实施的得1分；</w:t>
            </w:r>
          </w:p>
          <w:p w14:paraId="715B8406">
            <w:pPr>
              <w:tabs>
                <w:tab w:val="left" w:pos="4915"/>
              </w:tabs>
              <w:spacing w:line="340" w:lineRule="exact"/>
            </w:pPr>
            <w:r>
              <w:rPr>
                <w:rFonts w:hint="eastAsia" w:ascii="宋体" w:hAnsi="宋体" w:eastAsia="宋体" w:cs="宋体"/>
                <w:szCs w:val="21"/>
                <w:lang w:val="en-US" w:eastAsia="zh-CN"/>
              </w:rPr>
              <w:t>未提供的，得0分。</w:t>
            </w:r>
          </w:p>
        </w:tc>
      </w:tr>
      <w:tr w14:paraId="2AD5B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63" w:type="dxa"/>
            <w:vMerge w:val="continue"/>
            <w:vAlign w:val="center"/>
          </w:tcPr>
          <w:p w14:paraId="0B182579">
            <w:pPr>
              <w:widowControl/>
              <w:spacing w:line="340" w:lineRule="exact"/>
              <w:jc w:val="left"/>
              <w:rPr>
                <w:rFonts w:ascii="宋体" w:hAnsi="宋体" w:cs="宋体"/>
                <w:szCs w:val="21"/>
              </w:rPr>
            </w:pPr>
          </w:p>
        </w:tc>
        <w:tc>
          <w:tcPr>
            <w:tcW w:w="1337" w:type="dxa"/>
            <w:vAlign w:val="center"/>
          </w:tcPr>
          <w:p w14:paraId="78E7EDA7">
            <w:pPr>
              <w:spacing w:line="320" w:lineRule="exact"/>
              <w:rPr>
                <w:rFonts w:ascii="宋体" w:hAnsi="宋体" w:cs="宋体"/>
                <w:szCs w:val="21"/>
              </w:rPr>
            </w:pPr>
            <w:r>
              <w:rPr>
                <w:rFonts w:hint="eastAsia" w:ascii="宋体" w:hAnsi="宋体" w:cs="宋体"/>
                <w:szCs w:val="21"/>
              </w:rPr>
              <w:t>售后服务方案（</w:t>
            </w:r>
            <w:r>
              <w:rPr>
                <w:rFonts w:hint="eastAsia" w:ascii="宋体" w:hAnsi="宋体" w:cs="宋体"/>
                <w:szCs w:val="21"/>
                <w:lang w:val="en-US" w:eastAsia="zh-CN"/>
              </w:rPr>
              <w:t>5</w:t>
            </w:r>
            <w:r>
              <w:rPr>
                <w:rFonts w:hint="eastAsia" w:ascii="宋体" w:hAnsi="宋体" w:cs="宋体"/>
                <w:szCs w:val="21"/>
              </w:rPr>
              <w:t>分）</w:t>
            </w:r>
          </w:p>
        </w:tc>
        <w:tc>
          <w:tcPr>
            <w:tcW w:w="7022" w:type="dxa"/>
            <w:vAlign w:val="center"/>
          </w:tcPr>
          <w:p w14:paraId="4116EF09">
            <w:pPr>
              <w:tabs>
                <w:tab w:val="left" w:pos="4915"/>
              </w:tabs>
              <w:spacing w:line="340" w:lineRule="exac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、售后服务承诺（</w:t>
            </w:r>
            <w:r>
              <w:rPr>
                <w:rFonts w:hint="eastAsia" w:ascii="宋体" w:hAnsi="宋体" w:cs="宋体"/>
                <w:szCs w:val="21"/>
                <w:lang w:val="en-US" w:eastAsia="zh-CN"/>
              </w:rPr>
              <w:t>5</w:t>
            </w:r>
            <w:r>
              <w:rPr>
                <w:rFonts w:hint="eastAsia" w:ascii="宋体" w:hAnsi="宋体" w:cs="宋体"/>
                <w:szCs w:val="21"/>
              </w:rPr>
              <w:t>分）</w:t>
            </w:r>
          </w:p>
          <w:p w14:paraId="2490A871">
            <w:pPr>
              <w:tabs>
                <w:tab w:val="left" w:pos="4915"/>
              </w:tabs>
              <w:spacing w:line="340" w:lineRule="exact"/>
              <w:rPr>
                <w:rFonts w:hint="eastAsia" w:ascii="宋体" w:hAnsi="宋体" w:cs="宋体"/>
                <w:szCs w:val="21"/>
              </w:rPr>
            </w:pPr>
            <w:r>
              <w:rPr>
                <w:rFonts w:hint="eastAsia" w:ascii="宋体" w:hAnsi="宋体" w:cs="宋体"/>
                <w:szCs w:val="21"/>
              </w:rPr>
              <w:t>售后服务保障体系完备、服务内容具体、详细、服务质量有保障的进行综合评议最高得</w:t>
            </w:r>
            <w:r>
              <w:rPr>
                <w:rFonts w:hint="eastAsia" w:ascii="宋体" w:hAnsi="宋体" w:cs="宋体"/>
                <w:szCs w:val="21"/>
                <w:lang w:val="en-US" w:eastAsia="zh-CN"/>
              </w:rPr>
              <w:t>5</w:t>
            </w:r>
            <w:r>
              <w:rPr>
                <w:rFonts w:hint="eastAsia" w:ascii="宋体" w:hAnsi="宋体" w:cs="宋体"/>
                <w:szCs w:val="21"/>
              </w:rPr>
              <w:t>分。</w:t>
            </w:r>
          </w:p>
          <w:p w14:paraId="28EB588E">
            <w:pPr>
              <w:pStyle w:val="2"/>
              <w:numPr>
                <w:ilvl w:val="0"/>
                <w:numId w:val="13"/>
              </w:numPr>
              <w:ind w:left="0" w:leftChars="0" w:firstLine="0" w:firstLineChars="0"/>
              <w:rPr>
                <w:rFonts w:hint="eastAsia" w:ascii="宋体" w:hAnsi="宋体" w:cs="宋体"/>
                <w:color w:val="auto"/>
                <w:szCs w:val="21"/>
                <w:lang w:eastAsia="zh-CN"/>
              </w:rPr>
            </w:pPr>
            <w:r>
              <w:rPr>
                <w:rFonts w:hint="eastAsia" w:ascii="宋体" w:hAnsi="宋体" w:cs="宋体"/>
                <w:color w:val="auto"/>
                <w:szCs w:val="21"/>
              </w:rPr>
              <w:t>描述全面、合理，具有针对性的，得5分</w:t>
            </w:r>
            <w:r>
              <w:rPr>
                <w:rFonts w:hint="eastAsia" w:ascii="宋体" w:hAnsi="宋体" w:cs="宋体"/>
                <w:color w:val="auto"/>
                <w:szCs w:val="21"/>
                <w:lang w:eastAsia="zh-CN"/>
              </w:rPr>
              <w:t>；</w:t>
            </w:r>
          </w:p>
          <w:p w14:paraId="6013A076">
            <w:pPr>
              <w:pStyle w:val="2"/>
              <w:numPr>
                <w:ilvl w:val="0"/>
                <w:numId w:val="13"/>
              </w:numPr>
              <w:ind w:left="0" w:leftChars="0" w:firstLine="0" w:firstLineChars="0"/>
              <w:rPr>
                <w:rFonts w:hint="eastAsia" w:ascii="宋体" w:hAnsi="宋体" w:cs="宋体"/>
                <w:color w:val="auto"/>
                <w:szCs w:val="21"/>
                <w:lang w:val="en-US" w:eastAsia="zh-CN"/>
              </w:rPr>
            </w:pPr>
            <w:r>
              <w:rPr>
                <w:rFonts w:hint="eastAsia" w:ascii="宋体" w:hAnsi="宋体" w:cs="宋体"/>
                <w:color w:val="auto"/>
                <w:szCs w:val="21"/>
              </w:rPr>
              <w:t>描述较为全面、较为合理，具有针对性的，得4分；</w:t>
            </w:r>
          </w:p>
          <w:p w14:paraId="1086DCC8">
            <w:pPr>
              <w:pStyle w:val="2"/>
              <w:numPr>
                <w:ilvl w:val="0"/>
                <w:numId w:val="13"/>
              </w:numPr>
              <w:ind w:left="0" w:leftChars="0" w:firstLine="0" w:firstLineChars="0"/>
              <w:rPr>
                <w:rFonts w:hint="eastAsia" w:ascii="宋体" w:hAnsi="宋体" w:cs="宋体"/>
                <w:color w:val="auto"/>
                <w:szCs w:val="21"/>
                <w:lang w:val="en-US" w:eastAsia="zh-CN"/>
              </w:rPr>
            </w:pPr>
            <w:r>
              <w:rPr>
                <w:rFonts w:hint="eastAsia" w:ascii="宋体" w:hAnsi="宋体" w:cs="宋体"/>
                <w:color w:val="auto"/>
                <w:szCs w:val="21"/>
              </w:rPr>
              <w:t>描述一般，针对性一般的，得3分；</w:t>
            </w:r>
          </w:p>
          <w:p w14:paraId="751BB4E4">
            <w:pPr>
              <w:pStyle w:val="2"/>
              <w:numPr>
                <w:ilvl w:val="0"/>
                <w:numId w:val="13"/>
              </w:numPr>
              <w:ind w:left="0" w:leftChars="0" w:firstLine="0" w:firstLineChars="0"/>
              <w:rPr>
                <w:rFonts w:hint="eastAsia" w:ascii="宋体" w:hAnsi="宋体" w:cs="宋体"/>
                <w:color w:val="auto"/>
                <w:szCs w:val="21"/>
                <w:lang w:val="en-US" w:eastAsia="zh-CN"/>
              </w:rPr>
            </w:pPr>
            <w:r>
              <w:rPr>
                <w:rFonts w:hint="eastAsia" w:ascii="宋体" w:hAnsi="宋体" w:cs="宋体"/>
                <w:color w:val="auto"/>
                <w:szCs w:val="21"/>
              </w:rPr>
              <w:t>描述简单，针对性较弱的，得2分；</w:t>
            </w:r>
          </w:p>
          <w:p w14:paraId="147D3BAE">
            <w:pPr>
              <w:pStyle w:val="2"/>
              <w:numPr>
                <w:ilvl w:val="0"/>
                <w:numId w:val="13"/>
              </w:numPr>
              <w:ind w:left="0" w:leftChars="0" w:firstLine="0" w:firstLineChars="0"/>
              <w:rPr>
                <w:rFonts w:hint="eastAsia" w:ascii="宋体" w:hAnsi="宋体" w:cs="宋体"/>
                <w:color w:val="auto"/>
                <w:szCs w:val="21"/>
                <w:lang w:val="en-US" w:eastAsia="zh-CN"/>
              </w:rPr>
            </w:pPr>
            <w:r>
              <w:rPr>
                <w:rFonts w:hint="eastAsia" w:ascii="宋体" w:hAnsi="宋体" w:cs="宋体"/>
                <w:color w:val="auto"/>
                <w:szCs w:val="21"/>
              </w:rPr>
              <w:t>描述差，无针对性的，得1分；未提供的，得0分。</w:t>
            </w:r>
          </w:p>
        </w:tc>
      </w:tr>
      <w:tr w14:paraId="70FA7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6957106B">
            <w:pPr>
              <w:widowControl/>
              <w:spacing w:line="340" w:lineRule="exact"/>
              <w:jc w:val="left"/>
              <w:rPr>
                <w:rFonts w:ascii="宋体" w:hAnsi="宋体" w:cs="宋体"/>
                <w:szCs w:val="21"/>
              </w:rPr>
            </w:pPr>
          </w:p>
        </w:tc>
        <w:tc>
          <w:tcPr>
            <w:tcW w:w="1337" w:type="dxa"/>
            <w:vAlign w:val="center"/>
          </w:tcPr>
          <w:p w14:paraId="43990CAD">
            <w:pPr>
              <w:spacing w:line="340" w:lineRule="exact"/>
              <w:jc w:val="center"/>
              <w:rPr>
                <w:rFonts w:ascii="宋体" w:hAnsi="宋体" w:cs="宋体"/>
                <w:szCs w:val="21"/>
              </w:rPr>
            </w:pPr>
            <w:r>
              <w:rPr>
                <w:rFonts w:hint="eastAsia" w:ascii="宋体" w:hAnsi="宋体" w:cs="宋体"/>
                <w:szCs w:val="21"/>
              </w:rPr>
              <w:t>合理化建议（</w:t>
            </w:r>
            <w:r>
              <w:rPr>
                <w:rFonts w:hint="eastAsia" w:ascii="宋体" w:hAnsi="宋体" w:cs="宋体"/>
                <w:szCs w:val="21"/>
                <w:lang w:val="en-US" w:eastAsia="zh-CN"/>
              </w:rPr>
              <w:t>4</w:t>
            </w:r>
            <w:r>
              <w:rPr>
                <w:rFonts w:hint="eastAsia" w:ascii="宋体" w:hAnsi="宋体" w:cs="宋体"/>
                <w:szCs w:val="21"/>
              </w:rPr>
              <w:t>分）</w:t>
            </w:r>
          </w:p>
        </w:tc>
        <w:tc>
          <w:tcPr>
            <w:tcW w:w="7022" w:type="dxa"/>
            <w:vAlign w:val="center"/>
          </w:tcPr>
          <w:p w14:paraId="19B44BE4">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、根据供应商提出的针对本项目的合理化建议与承诺进行评议（</w:t>
            </w:r>
            <w:r>
              <w:rPr>
                <w:rFonts w:hint="eastAsia" w:ascii="宋体" w:hAnsi="宋体" w:cs="宋体"/>
                <w:szCs w:val="21"/>
                <w:lang w:val="en-US" w:eastAsia="zh-CN"/>
              </w:rPr>
              <w:t>4</w:t>
            </w:r>
            <w:r>
              <w:rPr>
                <w:rFonts w:hint="eastAsia" w:ascii="宋体" w:hAnsi="宋体" w:cs="宋体"/>
                <w:szCs w:val="21"/>
              </w:rPr>
              <w:t>分）</w:t>
            </w:r>
          </w:p>
          <w:p w14:paraId="77296F17">
            <w:pPr>
              <w:tabs>
                <w:tab w:val="left" w:pos="4915"/>
              </w:tabs>
              <w:spacing w:line="340" w:lineRule="exact"/>
              <w:rPr>
                <w:rFonts w:ascii="宋体" w:hAnsi="宋体" w:cs="宋体"/>
                <w:szCs w:val="21"/>
              </w:rPr>
            </w:pPr>
            <w:r>
              <w:rPr>
                <w:rFonts w:hint="eastAsia" w:ascii="宋体" w:hAnsi="宋体" w:cs="宋体"/>
                <w:szCs w:val="21"/>
              </w:rPr>
              <w:t>提出的建议与承诺具有实际意义并得到采纳，每项得1分，最高得</w:t>
            </w:r>
            <w:r>
              <w:rPr>
                <w:rFonts w:hint="eastAsia" w:ascii="宋体" w:hAnsi="宋体" w:cs="宋体"/>
                <w:szCs w:val="21"/>
                <w:lang w:val="en-US" w:eastAsia="zh-CN"/>
              </w:rPr>
              <w:t>4</w:t>
            </w:r>
            <w:r>
              <w:rPr>
                <w:rFonts w:hint="eastAsia" w:ascii="宋体" w:hAnsi="宋体" w:cs="宋体"/>
                <w:szCs w:val="21"/>
              </w:rPr>
              <w:t>分。与本项目履约无关的建议与承诺不予认可。</w:t>
            </w:r>
          </w:p>
        </w:tc>
      </w:tr>
      <w:tr w14:paraId="25B3B1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476AFD92">
            <w:pPr>
              <w:widowControl/>
              <w:spacing w:line="340" w:lineRule="exact"/>
              <w:jc w:val="left"/>
              <w:rPr>
                <w:rFonts w:ascii="宋体" w:hAnsi="宋体" w:cs="宋体"/>
                <w:szCs w:val="21"/>
              </w:rPr>
            </w:pPr>
          </w:p>
        </w:tc>
        <w:tc>
          <w:tcPr>
            <w:tcW w:w="1337" w:type="dxa"/>
            <w:vAlign w:val="center"/>
          </w:tcPr>
          <w:p w14:paraId="31B1F50C">
            <w:pPr>
              <w:spacing w:line="340" w:lineRule="exact"/>
              <w:jc w:val="center"/>
              <w:rPr>
                <w:rFonts w:hint="eastAsia" w:ascii="宋体" w:hAnsi="宋体" w:cs="宋体"/>
                <w:szCs w:val="21"/>
              </w:rPr>
            </w:pPr>
            <w:r>
              <w:rPr>
                <w:rFonts w:hint="eastAsia" w:ascii="宋体" w:hAnsi="宋体" w:cs="宋体"/>
                <w:szCs w:val="21"/>
              </w:rPr>
              <w:t>业绩</w:t>
            </w:r>
          </w:p>
          <w:p w14:paraId="7B154845">
            <w:pPr>
              <w:spacing w:line="340" w:lineRule="exact"/>
              <w:jc w:val="center"/>
              <w:rPr>
                <w:rFonts w:ascii="宋体" w:hAnsi="宋体" w:cs="宋体"/>
                <w:szCs w:val="21"/>
              </w:rPr>
            </w:pPr>
            <w:r>
              <w:rPr>
                <w:rFonts w:hint="eastAsia" w:ascii="宋体" w:hAnsi="宋体" w:cs="宋体"/>
                <w:szCs w:val="21"/>
              </w:rPr>
              <w:t>（1.5分）</w:t>
            </w:r>
          </w:p>
        </w:tc>
        <w:tc>
          <w:tcPr>
            <w:tcW w:w="7022" w:type="dxa"/>
            <w:vAlign w:val="center"/>
          </w:tcPr>
          <w:p w14:paraId="18D26D1F">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、供应商自202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月1日以来（提供近三年以来完成同类项目业绩证明，以合同签订之日起计算），</w:t>
            </w:r>
            <w:r>
              <w:rPr>
                <w:rFonts w:hint="eastAsia" w:ascii="宋体" w:hAnsi="宋体" w:cs="宋体"/>
                <w:szCs w:val="21"/>
                <w:highlight w:val="none"/>
              </w:rPr>
              <w:t>每完成过一个同类项目的得0.5分，</w:t>
            </w:r>
            <w:r>
              <w:rPr>
                <w:rFonts w:hint="eastAsia" w:ascii="宋体" w:hAnsi="宋体" w:cs="宋体"/>
                <w:szCs w:val="21"/>
              </w:rPr>
              <w:t>最高得1.5分。</w:t>
            </w:r>
          </w:p>
          <w:p w14:paraId="39851D35">
            <w:pPr>
              <w:tabs>
                <w:tab w:val="left" w:pos="4915"/>
              </w:tabs>
              <w:spacing w:line="340" w:lineRule="exact"/>
              <w:rPr>
                <w:rFonts w:ascii="宋体" w:hAnsi="宋体" w:cs="宋体"/>
                <w:szCs w:val="21"/>
              </w:rPr>
            </w:pPr>
            <w:r>
              <w:rPr>
                <w:rFonts w:hint="eastAsia" w:ascii="宋体" w:hAnsi="宋体" w:cs="宋体"/>
                <w:szCs w:val="21"/>
              </w:rPr>
              <w:t>注：响应文件中提供中标通知书、合同、完工证明复印件，否则不予认可。</w:t>
            </w:r>
          </w:p>
        </w:tc>
      </w:tr>
      <w:tr w14:paraId="29A94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099172BD">
            <w:pPr>
              <w:widowControl/>
              <w:spacing w:line="340" w:lineRule="exact"/>
              <w:jc w:val="left"/>
              <w:rPr>
                <w:rFonts w:ascii="宋体" w:hAnsi="宋体" w:cs="宋体"/>
                <w:szCs w:val="21"/>
              </w:rPr>
            </w:pPr>
          </w:p>
        </w:tc>
        <w:tc>
          <w:tcPr>
            <w:tcW w:w="1337" w:type="dxa"/>
            <w:vAlign w:val="center"/>
          </w:tcPr>
          <w:p w14:paraId="029ECF78">
            <w:pPr>
              <w:spacing w:line="340" w:lineRule="exact"/>
              <w:jc w:val="center"/>
              <w:rPr>
                <w:rFonts w:ascii="宋体" w:hAnsi="宋体" w:cs="宋体"/>
                <w:szCs w:val="21"/>
              </w:rPr>
            </w:pPr>
            <w:r>
              <w:rPr>
                <w:rFonts w:hint="eastAsia" w:ascii="宋体" w:hAnsi="宋体" w:cs="宋体"/>
                <w:szCs w:val="21"/>
              </w:rPr>
              <w:t>政策性加分（1.5分）</w:t>
            </w:r>
          </w:p>
        </w:tc>
        <w:tc>
          <w:tcPr>
            <w:tcW w:w="7022" w:type="dxa"/>
            <w:vAlign w:val="center"/>
          </w:tcPr>
          <w:p w14:paraId="0CB99DB1">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、供应商是国家认定的少数民族地区企业的加1.5分。提供证明文件复印件并加盖公章。</w:t>
            </w:r>
          </w:p>
        </w:tc>
      </w:tr>
      <w:tr w14:paraId="0D1A1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63" w:type="dxa"/>
            <w:vAlign w:val="center"/>
          </w:tcPr>
          <w:p w14:paraId="7A0DD65F">
            <w:pPr>
              <w:widowControl/>
              <w:spacing w:line="340" w:lineRule="exact"/>
              <w:jc w:val="left"/>
              <w:rPr>
                <w:rFonts w:ascii="宋体" w:hAnsi="宋体" w:cs="宋体"/>
                <w:szCs w:val="21"/>
              </w:rPr>
            </w:pPr>
            <w:r>
              <w:rPr>
                <w:rFonts w:hint="eastAsia" w:ascii="宋体" w:hAnsi="宋体" w:cs="宋体"/>
                <w:szCs w:val="21"/>
              </w:rPr>
              <w:t>价格部分30分</w:t>
            </w:r>
          </w:p>
        </w:tc>
        <w:tc>
          <w:tcPr>
            <w:tcW w:w="8359" w:type="dxa"/>
            <w:gridSpan w:val="2"/>
            <w:vAlign w:val="center"/>
          </w:tcPr>
          <w:p w14:paraId="32F97826">
            <w:pPr>
              <w:spacing w:line="288" w:lineRule="auto"/>
              <w:rPr>
                <w:rFonts w:ascii="宋体" w:hAnsi="宋体" w:cs="宋体"/>
                <w:szCs w:val="21"/>
              </w:rPr>
            </w:pPr>
            <w:r>
              <w:rPr>
                <w:rFonts w:hint="eastAsia" w:ascii="宋体" w:hAnsi="宋体" w:cs="宋体"/>
                <w:szCs w:val="21"/>
              </w:rPr>
              <w:t>满足采购文件要求投标报价最低为磋商基准价，其价格分为满分，其余供应商的价格分以下列公式计算：</w:t>
            </w:r>
          </w:p>
          <w:p w14:paraId="43CAC83F">
            <w:pPr>
              <w:spacing w:line="288" w:lineRule="auto"/>
              <w:rPr>
                <w:rFonts w:ascii="宋体" w:hAnsi="宋体" w:cs="宋体"/>
                <w:szCs w:val="21"/>
              </w:rPr>
            </w:pPr>
            <w:r>
              <w:rPr>
                <w:rFonts w:hint="eastAsia" w:ascii="宋体" w:hAnsi="宋体" w:cs="宋体"/>
                <w:szCs w:val="21"/>
              </w:rPr>
              <w:t>磋商报价得分=（磋商基准价/磋商报价）×价格权值×100</w:t>
            </w:r>
          </w:p>
        </w:tc>
      </w:tr>
    </w:tbl>
    <w:p w14:paraId="39A483A7">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b w:val="0"/>
          <w:bCs w:val="0"/>
          <w:color w:val="auto"/>
          <w:highlight w:val="none"/>
        </w:rPr>
      </w:pPr>
      <w:r>
        <w:rPr>
          <w:rFonts w:hint="eastAsia"/>
          <w:b w:val="0"/>
          <w:bCs w:val="0"/>
          <w:color w:val="auto"/>
          <w:highlight w:val="none"/>
        </w:rPr>
        <w:t>备注：</w:t>
      </w:r>
    </w:p>
    <w:p w14:paraId="1EFF0FC0">
      <w:pPr>
        <w:keepNext w:val="0"/>
        <w:keepLines w:val="0"/>
        <w:pageBreakBefore w:val="0"/>
        <w:widowControl w:val="0"/>
        <w:numPr>
          <w:ilvl w:val="0"/>
          <w:numId w:val="0"/>
        </w:numPr>
        <w:kinsoku/>
        <w:wordWrap/>
        <w:overflowPunct/>
        <w:topLinePunct w:val="0"/>
        <w:autoSpaceDE/>
        <w:autoSpaceDN/>
        <w:bidi w:val="0"/>
        <w:adjustRightInd w:val="0"/>
        <w:snapToGrid/>
        <w:spacing w:line="340" w:lineRule="exact"/>
        <w:textAlignment w:val="auto"/>
        <w:rPr>
          <w:rFonts w:hint="eastAsia"/>
          <w:b w:val="0"/>
          <w:bCs w:val="0"/>
          <w:color w:val="auto"/>
          <w:highlight w:val="none"/>
        </w:rPr>
      </w:pPr>
      <w:r>
        <w:rPr>
          <w:rFonts w:hint="eastAsia"/>
          <w:b w:val="0"/>
          <w:bCs w:val="0"/>
          <w:color w:val="auto"/>
          <w:highlight w:val="none"/>
          <w:lang w:val="en-US" w:eastAsia="zh-CN"/>
        </w:rPr>
        <w:t>1、</w:t>
      </w:r>
      <w:r>
        <w:rPr>
          <w:rFonts w:hint="eastAsia"/>
          <w:b w:val="0"/>
          <w:bCs w:val="0"/>
          <w:color w:val="auto"/>
          <w:highlight w:val="none"/>
        </w:rPr>
        <w:t>供应商编制</w:t>
      </w:r>
      <w:r>
        <w:rPr>
          <w:rFonts w:hint="eastAsia"/>
          <w:b w:val="0"/>
          <w:bCs w:val="0"/>
          <w:color w:val="auto"/>
          <w:highlight w:val="none"/>
          <w:lang w:val="en-US" w:eastAsia="zh-CN"/>
        </w:rPr>
        <w:t>响应</w:t>
      </w:r>
      <w:r>
        <w:rPr>
          <w:rFonts w:hint="eastAsia"/>
          <w:b w:val="0"/>
          <w:bCs w:val="0"/>
          <w:color w:val="auto"/>
          <w:highlight w:val="none"/>
        </w:rPr>
        <w:t>文件时，建议按此目录（序号和内容）提供评审标准相应的商务技术资料。</w:t>
      </w:r>
    </w:p>
    <w:p w14:paraId="1294C1FD">
      <w:pPr>
        <w:keepNext w:val="0"/>
        <w:keepLines w:val="0"/>
        <w:pageBreakBefore w:val="0"/>
        <w:widowControl w:val="0"/>
        <w:numPr>
          <w:ilvl w:val="0"/>
          <w:numId w:val="0"/>
        </w:numPr>
        <w:kinsoku/>
        <w:wordWrap/>
        <w:overflowPunct/>
        <w:topLinePunct w:val="0"/>
        <w:autoSpaceDE/>
        <w:autoSpaceDN/>
        <w:bidi w:val="0"/>
        <w:adjustRightInd w:val="0"/>
        <w:snapToGrid/>
        <w:spacing w:line="340" w:lineRule="exact"/>
        <w:textAlignment w:val="auto"/>
        <w:rPr>
          <w:rFonts w:hint="eastAsia"/>
          <w:b w:val="0"/>
          <w:bCs w:val="0"/>
          <w:color w:val="auto"/>
          <w:highlight w:val="none"/>
        </w:rPr>
      </w:pPr>
      <w:r>
        <w:rPr>
          <w:rFonts w:hint="eastAsia"/>
          <w:b w:val="0"/>
          <w:bCs w:val="0"/>
          <w:color w:val="auto"/>
          <w:highlight w:val="none"/>
        </w:rPr>
        <w:t>2、小数点后保留二位数。</w:t>
      </w:r>
    </w:p>
    <w:p w14:paraId="39479184">
      <w:pPr>
        <w:keepNext w:val="0"/>
        <w:keepLines w:val="0"/>
        <w:pageBreakBefore w:val="0"/>
        <w:widowControl w:val="0"/>
        <w:numPr>
          <w:ilvl w:val="0"/>
          <w:numId w:val="0"/>
        </w:numPr>
        <w:kinsoku/>
        <w:wordWrap/>
        <w:overflowPunct/>
        <w:topLinePunct w:val="0"/>
        <w:autoSpaceDE/>
        <w:autoSpaceDN/>
        <w:bidi w:val="0"/>
        <w:adjustRightInd w:val="0"/>
        <w:snapToGrid/>
        <w:spacing w:line="340" w:lineRule="exact"/>
        <w:textAlignment w:val="auto"/>
        <w:rPr>
          <w:rFonts w:hint="eastAsia"/>
          <w:b w:val="0"/>
          <w:bCs w:val="0"/>
          <w:color w:val="auto"/>
          <w:highlight w:val="none"/>
        </w:rPr>
      </w:pPr>
      <w:r>
        <w:rPr>
          <w:rFonts w:hint="eastAsia"/>
          <w:b w:val="0"/>
          <w:bCs w:val="0"/>
          <w:color w:val="auto"/>
          <w:highlight w:val="none"/>
        </w:rPr>
        <w:t>3、各磋商小组成员自行按以上参考分值评分。</w:t>
      </w:r>
    </w:p>
    <w:p w14:paraId="6B6B9FB0">
      <w:pPr>
        <w:rPr>
          <w:rFonts w:hint="eastAsia" w:ascii="宋体" w:hAnsi="宋体" w:cs="仿宋_GB2312"/>
          <w:b/>
          <w:color w:val="auto"/>
          <w:sz w:val="36"/>
          <w:szCs w:val="36"/>
          <w:highlight w:val="none"/>
        </w:rPr>
      </w:pPr>
      <w:r>
        <w:rPr>
          <w:rFonts w:hint="eastAsia"/>
          <w:b w:val="0"/>
          <w:bCs w:val="0"/>
          <w:color w:val="auto"/>
          <w:highlight w:val="none"/>
        </w:rPr>
        <w:t>4、重大事件由磋商小组集体讨论，应当按照少数服从多数的原则作出结论。</w:t>
      </w:r>
      <w:r>
        <w:rPr>
          <w:rFonts w:hint="eastAsia" w:ascii="宋体" w:hAnsi="宋体" w:cs="仿宋_GB2312"/>
          <w:b/>
          <w:color w:val="auto"/>
          <w:sz w:val="36"/>
          <w:szCs w:val="36"/>
          <w:highlight w:val="none"/>
        </w:rPr>
        <w:br w:type="page"/>
      </w:r>
    </w:p>
    <w:bookmarkEnd w:id="60"/>
    <w:p w14:paraId="2C4FADBB">
      <w:pPr>
        <w:spacing w:line="360" w:lineRule="auto"/>
        <w:jc w:val="center"/>
        <w:outlineLvl w:val="0"/>
        <w:rPr>
          <w:rFonts w:ascii="宋体" w:hAnsi="宋体" w:cs="仿宋_GB2312"/>
          <w:b/>
          <w:color w:val="auto"/>
          <w:sz w:val="36"/>
          <w:szCs w:val="36"/>
          <w:highlight w:val="none"/>
        </w:rPr>
      </w:pPr>
      <w:r>
        <w:rPr>
          <w:rFonts w:hint="eastAsia" w:ascii="宋体" w:hAnsi="宋体" w:cs="仿宋_GB2312"/>
          <w:b/>
          <w:color w:val="auto"/>
          <w:sz w:val="36"/>
          <w:szCs w:val="36"/>
          <w:highlight w:val="none"/>
        </w:rPr>
        <w:t>第</w:t>
      </w:r>
      <w:r>
        <w:rPr>
          <w:rFonts w:hint="eastAsia" w:ascii="宋体" w:hAnsi="宋体" w:cs="仿宋_GB2312"/>
          <w:b/>
          <w:color w:val="auto"/>
          <w:sz w:val="36"/>
          <w:szCs w:val="36"/>
          <w:highlight w:val="none"/>
          <w:lang w:eastAsia="zh-CN"/>
        </w:rPr>
        <w:t>五</w:t>
      </w:r>
      <w:r>
        <w:rPr>
          <w:rFonts w:hint="eastAsia" w:ascii="宋体" w:hAnsi="宋体" w:cs="仿宋_GB2312"/>
          <w:b/>
          <w:color w:val="auto"/>
          <w:sz w:val="36"/>
          <w:szCs w:val="36"/>
          <w:highlight w:val="none"/>
        </w:rPr>
        <w:t>部分 拟签订的合同文本</w:t>
      </w:r>
    </w:p>
    <w:p w14:paraId="0FDE2F33">
      <w:pPr>
        <w:bidi w:val="0"/>
        <w:rPr>
          <w:color w:val="auto"/>
          <w:highlight w:val="none"/>
        </w:rPr>
      </w:pPr>
    </w:p>
    <w:p w14:paraId="48E010F2">
      <w:pPr>
        <w:bidi w:val="0"/>
        <w:rPr>
          <w:color w:val="auto"/>
          <w:highlight w:val="none"/>
        </w:rPr>
      </w:pPr>
    </w:p>
    <w:p w14:paraId="0EFB3FB7">
      <w:pPr>
        <w:pStyle w:val="23"/>
        <w:rPr>
          <w:color w:val="auto"/>
          <w:highlight w:val="none"/>
        </w:rPr>
      </w:pPr>
    </w:p>
    <w:p w14:paraId="46B9AFE7">
      <w:pPr>
        <w:numPr>
          <w:ilvl w:val="0"/>
          <w:numId w:val="0"/>
        </w:numPr>
        <w:spacing w:line="360" w:lineRule="auto"/>
        <w:ind w:leftChars="0"/>
        <w:rPr>
          <w:rFonts w:hint="eastAsia"/>
          <w:b/>
          <w:color w:val="auto"/>
          <w:sz w:val="32"/>
          <w:szCs w:val="32"/>
          <w:highlight w:val="none"/>
        </w:rPr>
      </w:pPr>
      <w:r>
        <w:rPr>
          <w:rFonts w:hint="eastAsia"/>
          <w:b/>
          <w:color w:val="auto"/>
          <w:sz w:val="32"/>
          <w:szCs w:val="32"/>
          <w:highlight w:val="none"/>
        </w:rPr>
        <w:t>(GF-201</w:t>
      </w:r>
      <w:r>
        <w:rPr>
          <w:b/>
          <w:color w:val="auto"/>
          <w:sz w:val="32"/>
          <w:szCs w:val="32"/>
          <w:highlight w:val="none"/>
        </w:rPr>
        <w:t>7</w:t>
      </w:r>
      <w:r>
        <w:rPr>
          <w:rFonts w:hint="eastAsia"/>
          <w:b/>
          <w:color w:val="auto"/>
          <w:sz w:val="32"/>
          <w:szCs w:val="32"/>
          <w:highlight w:val="none"/>
        </w:rPr>
        <w:t>-0201)</w:t>
      </w:r>
    </w:p>
    <w:p w14:paraId="649AF644">
      <w:pPr>
        <w:numPr>
          <w:ilvl w:val="0"/>
          <w:numId w:val="0"/>
        </w:numPr>
        <w:spacing w:line="360" w:lineRule="auto"/>
        <w:ind w:leftChars="0"/>
        <w:jc w:val="both"/>
        <w:rPr>
          <w:rFonts w:hint="eastAsia"/>
          <w:b/>
          <w:color w:val="auto"/>
          <w:sz w:val="48"/>
          <w:highlight w:val="none"/>
        </w:rPr>
      </w:pPr>
    </w:p>
    <w:p w14:paraId="72D06A25">
      <w:pPr>
        <w:numPr>
          <w:ilvl w:val="0"/>
          <w:numId w:val="0"/>
        </w:numPr>
        <w:spacing w:line="360" w:lineRule="auto"/>
        <w:ind w:leftChars="0"/>
        <w:jc w:val="center"/>
        <w:rPr>
          <w:rFonts w:hint="eastAsia" w:ascii="宋体" w:hAnsi="宋体"/>
          <w:b/>
          <w:color w:val="auto"/>
          <w:sz w:val="32"/>
          <w:szCs w:val="32"/>
          <w:highlight w:val="none"/>
        </w:rPr>
      </w:pPr>
      <w:r>
        <w:rPr>
          <w:rFonts w:hint="eastAsia" w:ascii="宋体" w:hAnsi="宋体"/>
          <w:b/>
          <w:color w:val="auto"/>
          <w:spacing w:val="-100"/>
          <w:sz w:val="84"/>
          <w:szCs w:val="84"/>
          <w:highlight w:val="none"/>
        </w:rPr>
        <w:t>建 设 工 程 施 工 合 同</w:t>
      </w:r>
    </w:p>
    <w:p w14:paraId="060D7C95">
      <w:pPr>
        <w:spacing w:line="360" w:lineRule="auto"/>
        <w:jc w:val="center"/>
        <w:rPr>
          <w:rFonts w:hint="eastAsia" w:ascii="宋体" w:hAnsi="宋体"/>
          <w:b/>
          <w:color w:val="auto"/>
          <w:sz w:val="32"/>
          <w:szCs w:val="32"/>
          <w:highlight w:val="none"/>
        </w:rPr>
      </w:pPr>
    </w:p>
    <w:p w14:paraId="053D4959">
      <w:pPr>
        <w:pStyle w:val="2"/>
        <w:rPr>
          <w:rFonts w:hint="eastAsia"/>
          <w:color w:val="auto"/>
          <w:highlight w:val="none"/>
        </w:rPr>
      </w:pPr>
    </w:p>
    <w:p w14:paraId="14D0DFC2">
      <w:pPr>
        <w:pStyle w:val="2"/>
        <w:rPr>
          <w:rFonts w:hint="eastAsia"/>
          <w:color w:val="auto"/>
          <w:highlight w:val="none"/>
        </w:rPr>
      </w:pPr>
    </w:p>
    <w:p w14:paraId="142A004E">
      <w:pPr>
        <w:pStyle w:val="2"/>
        <w:rPr>
          <w:rFonts w:hint="eastAsia"/>
          <w:color w:val="auto"/>
          <w:highlight w:val="none"/>
        </w:rPr>
      </w:pPr>
    </w:p>
    <w:p w14:paraId="3D26454F">
      <w:pPr>
        <w:pStyle w:val="2"/>
        <w:rPr>
          <w:rFonts w:hint="eastAsia"/>
          <w:color w:val="auto"/>
          <w:highlight w:val="none"/>
        </w:rPr>
      </w:pPr>
    </w:p>
    <w:p w14:paraId="360BC012">
      <w:pPr>
        <w:pStyle w:val="2"/>
        <w:rPr>
          <w:rFonts w:hint="eastAsia"/>
          <w:color w:val="auto"/>
          <w:highlight w:val="none"/>
        </w:rPr>
      </w:pPr>
    </w:p>
    <w:p w14:paraId="45A9748C">
      <w:pPr>
        <w:pStyle w:val="2"/>
        <w:rPr>
          <w:rFonts w:hint="eastAsia"/>
          <w:color w:val="auto"/>
          <w:highlight w:val="none"/>
        </w:rPr>
      </w:pPr>
    </w:p>
    <w:p w14:paraId="7E434D30">
      <w:pPr>
        <w:pStyle w:val="2"/>
        <w:rPr>
          <w:rFonts w:hint="eastAsia"/>
          <w:color w:val="auto"/>
          <w:highlight w:val="none"/>
        </w:rPr>
      </w:pPr>
    </w:p>
    <w:p w14:paraId="74844351">
      <w:pPr>
        <w:pStyle w:val="2"/>
        <w:rPr>
          <w:rFonts w:hint="eastAsia"/>
          <w:color w:val="auto"/>
          <w:highlight w:val="none"/>
        </w:rPr>
      </w:pPr>
    </w:p>
    <w:p w14:paraId="68ECE4BB">
      <w:pPr>
        <w:pStyle w:val="2"/>
        <w:rPr>
          <w:rFonts w:hint="eastAsia"/>
          <w:color w:val="auto"/>
          <w:highlight w:val="none"/>
        </w:rPr>
      </w:pPr>
    </w:p>
    <w:p w14:paraId="7B1FB93B">
      <w:pPr>
        <w:pStyle w:val="2"/>
        <w:rPr>
          <w:rFonts w:hint="eastAsia"/>
          <w:color w:val="auto"/>
          <w:highlight w:val="none"/>
        </w:rPr>
      </w:pPr>
    </w:p>
    <w:p w14:paraId="0FD4D65A">
      <w:pPr>
        <w:pStyle w:val="2"/>
        <w:rPr>
          <w:rFonts w:hint="eastAsia"/>
          <w:color w:val="auto"/>
          <w:highlight w:val="none"/>
        </w:rPr>
      </w:pPr>
    </w:p>
    <w:p w14:paraId="62D9F247">
      <w:pPr>
        <w:pStyle w:val="2"/>
        <w:rPr>
          <w:rFonts w:hint="eastAsia"/>
          <w:color w:val="auto"/>
          <w:highlight w:val="none"/>
        </w:rPr>
      </w:pPr>
    </w:p>
    <w:p w14:paraId="3EABDCC5">
      <w:pPr>
        <w:pStyle w:val="2"/>
        <w:rPr>
          <w:rFonts w:hint="eastAsia"/>
          <w:color w:val="auto"/>
          <w:highlight w:val="none"/>
        </w:rPr>
      </w:pPr>
    </w:p>
    <w:p w14:paraId="5E2D17A5">
      <w:pPr>
        <w:pStyle w:val="2"/>
        <w:rPr>
          <w:rFonts w:hint="eastAsia"/>
          <w:color w:val="auto"/>
          <w:highlight w:val="none"/>
        </w:rPr>
      </w:pPr>
    </w:p>
    <w:p w14:paraId="5EE3DF41">
      <w:pPr>
        <w:numPr>
          <w:ilvl w:val="0"/>
          <w:numId w:val="0"/>
        </w:numPr>
        <w:spacing w:line="360" w:lineRule="auto"/>
        <w:ind w:leftChars="0"/>
        <w:jc w:val="both"/>
        <w:rPr>
          <w:rFonts w:hint="eastAsia" w:ascii="宋体" w:hAnsi="宋体"/>
          <w:b/>
          <w:color w:val="auto"/>
          <w:sz w:val="32"/>
          <w:szCs w:val="32"/>
          <w:highlight w:val="none"/>
        </w:rPr>
      </w:pPr>
    </w:p>
    <w:p w14:paraId="0D5A91C1">
      <w:pPr>
        <w:numPr>
          <w:ilvl w:val="0"/>
          <w:numId w:val="0"/>
        </w:numPr>
        <w:spacing w:line="360" w:lineRule="auto"/>
        <w:ind w:leftChars="0"/>
        <w:jc w:val="both"/>
        <w:rPr>
          <w:rFonts w:hint="eastAsia" w:ascii="宋体" w:hAnsi="宋体"/>
          <w:b/>
          <w:color w:val="auto"/>
          <w:sz w:val="32"/>
          <w:szCs w:val="32"/>
          <w:highlight w:val="none"/>
        </w:rPr>
      </w:pPr>
    </w:p>
    <w:p w14:paraId="4C611A75">
      <w:pPr>
        <w:numPr>
          <w:ilvl w:val="0"/>
          <w:numId w:val="0"/>
        </w:numPr>
        <w:spacing w:line="360" w:lineRule="auto"/>
        <w:ind w:leftChars="0"/>
        <w:jc w:val="both"/>
        <w:rPr>
          <w:rFonts w:hint="eastAsia" w:ascii="宋体" w:hAnsi="宋体"/>
          <w:b/>
          <w:color w:val="auto"/>
          <w:sz w:val="32"/>
          <w:szCs w:val="32"/>
          <w:highlight w:val="none"/>
        </w:rPr>
      </w:pPr>
    </w:p>
    <w:p w14:paraId="6059A9AD">
      <w:pPr>
        <w:numPr>
          <w:ilvl w:val="0"/>
          <w:numId w:val="0"/>
        </w:numPr>
        <w:spacing w:line="360" w:lineRule="auto"/>
        <w:ind w:leftChars="0"/>
        <w:rPr>
          <w:rFonts w:hint="default" w:ascii="黑体" w:hAnsi="宋体" w:eastAsia="宋体"/>
          <w:b/>
          <w:color w:val="auto"/>
          <w:sz w:val="32"/>
          <w:szCs w:val="32"/>
          <w:highlight w:val="none"/>
          <w:u w:val="single"/>
          <w:lang w:val="en-US" w:eastAsia="zh-CN"/>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工程名称</w:t>
      </w:r>
      <w:r>
        <w:rPr>
          <w:rFonts w:hint="eastAsia" w:ascii="宋体" w:hAnsi="宋体"/>
          <w:b/>
          <w:color w:val="auto"/>
          <w:sz w:val="28"/>
          <w:szCs w:val="28"/>
          <w:highlight w:val="none"/>
        </w:rPr>
        <w:t>：</w:t>
      </w:r>
      <w:r>
        <w:rPr>
          <w:rFonts w:hint="eastAsia" w:ascii="宋体" w:hAnsi="宋体"/>
          <w:b/>
          <w:color w:val="auto"/>
          <w:sz w:val="28"/>
          <w:szCs w:val="28"/>
          <w:highlight w:val="none"/>
          <w:u w:val="single"/>
        </w:rPr>
        <w:t xml:space="preserve"> </w:t>
      </w:r>
      <w:r>
        <w:rPr>
          <w:rFonts w:hint="eastAsia" w:ascii="黑体" w:hAnsi="宋体" w:eastAsia="黑体"/>
          <w:b/>
          <w:color w:val="auto"/>
          <w:sz w:val="32"/>
          <w:szCs w:val="32"/>
          <w:highlight w:val="none"/>
          <w:u w:val="single"/>
          <w:lang w:val="en-US" w:eastAsia="zh-CN"/>
        </w:rPr>
        <w:t xml:space="preserve">                                  </w:t>
      </w:r>
    </w:p>
    <w:p w14:paraId="75868297">
      <w:pPr>
        <w:spacing w:line="360" w:lineRule="auto"/>
        <w:ind w:left="321" w:hanging="321" w:hangingChars="100"/>
        <w:rPr>
          <w:rFonts w:hint="eastAsia" w:ascii="宋体" w:hAnsi="宋体"/>
          <w:b/>
          <w:color w:val="auto"/>
          <w:sz w:val="32"/>
          <w:szCs w:val="32"/>
          <w:highlight w:val="none"/>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r>
        <w:rPr>
          <w:rFonts w:ascii="宋体" w:hAnsi="宋体"/>
          <w:b/>
          <w:color w:val="auto"/>
          <w:sz w:val="32"/>
          <w:szCs w:val="32"/>
          <w:highlight w:val="none"/>
        </w:rPr>
        <w:t>发</w:t>
      </w:r>
      <w:r>
        <w:rPr>
          <w:rFonts w:hint="eastAsia" w:ascii="宋体" w:hAnsi="宋体"/>
          <w:b/>
          <w:color w:val="auto"/>
          <w:sz w:val="32"/>
          <w:szCs w:val="32"/>
          <w:highlight w:val="none"/>
        </w:rPr>
        <w:t xml:space="preserve"> </w:t>
      </w:r>
      <w:r>
        <w:rPr>
          <w:rFonts w:ascii="宋体" w:hAnsi="宋体"/>
          <w:b/>
          <w:color w:val="auto"/>
          <w:sz w:val="32"/>
          <w:szCs w:val="32"/>
          <w:highlight w:val="none"/>
        </w:rPr>
        <w:t>包</w:t>
      </w:r>
      <w:r>
        <w:rPr>
          <w:rFonts w:hint="eastAsia" w:ascii="宋体" w:hAnsi="宋体"/>
          <w:b/>
          <w:color w:val="auto"/>
          <w:sz w:val="32"/>
          <w:szCs w:val="32"/>
          <w:highlight w:val="none"/>
        </w:rPr>
        <w:t xml:space="preserve"> </w:t>
      </w:r>
      <w:r>
        <w:rPr>
          <w:rFonts w:ascii="宋体" w:hAnsi="宋体"/>
          <w:b/>
          <w:color w:val="auto"/>
          <w:sz w:val="32"/>
          <w:szCs w:val="32"/>
          <w:highlight w:val="none"/>
        </w:rPr>
        <w:t>人：</w:t>
      </w:r>
      <w:r>
        <w:rPr>
          <w:rFonts w:hint="eastAsia" w:ascii="黑体" w:hAnsi="宋体" w:eastAsia="黑体"/>
          <w:b/>
          <w:color w:val="auto"/>
          <w:sz w:val="32"/>
          <w:szCs w:val="32"/>
          <w:highlight w:val="none"/>
          <w:u w:val="single"/>
          <w:lang w:val="en-US" w:eastAsia="zh-CN"/>
        </w:rPr>
        <w:t xml:space="preserve">            </w:t>
      </w:r>
      <w:r>
        <w:rPr>
          <w:rFonts w:hint="eastAsia" w:ascii="黑体" w:hAnsi="宋体" w:eastAsia="黑体"/>
          <w:b/>
          <w:color w:val="auto"/>
          <w:sz w:val="32"/>
          <w:szCs w:val="32"/>
          <w:highlight w:val="none"/>
          <w:u w:val="single"/>
        </w:rPr>
        <w:t xml:space="preserve">                       </w:t>
      </w:r>
      <w:r>
        <w:rPr>
          <w:rFonts w:hint="eastAsia" w:ascii="宋体" w:hAnsi="宋体"/>
          <w:b/>
          <w:color w:val="auto"/>
          <w:sz w:val="32"/>
          <w:szCs w:val="32"/>
          <w:highlight w:val="none"/>
        </w:rPr>
        <w:t xml:space="preserve"> </w:t>
      </w:r>
    </w:p>
    <w:p w14:paraId="00788941">
      <w:pPr>
        <w:spacing w:line="360" w:lineRule="auto"/>
        <w:ind w:left="319" w:leftChars="152" w:firstLine="0" w:firstLineChars="0"/>
        <w:rPr>
          <w:rFonts w:ascii="宋体" w:hAnsi="宋体"/>
          <w:b/>
          <w:color w:val="auto"/>
          <w:sz w:val="32"/>
          <w:szCs w:val="32"/>
          <w:highlight w:val="none"/>
        </w:rPr>
      </w:pPr>
      <w:r>
        <w:rPr>
          <w:rFonts w:ascii="宋体" w:hAnsi="宋体"/>
          <w:b/>
          <w:color w:val="auto"/>
          <w:sz w:val="32"/>
          <w:szCs w:val="32"/>
          <w:highlight w:val="none"/>
        </w:rPr>
        <w:t>承</w:t>
      </w:r>
      <w:r>
        <w:rPr>
          <w:rFonts w:hint="eastAsia" w:ascii="宋体" w:hAnsi="宋体"/>
          <w:b/>
          <w:color w:val="auto"/>
          <w:sz w:val="32"/>
          <w:szCs w:val="32"/>
          <w:highlight w:val="none"/>
        </w:rPr>
        <w:t xml:space="preserve"> </w:t>
      </w:r>
      <w:r>
        <w:rPr>
          <w:rFonts w:ascii="宋体" w:hAnsi="宋体"/>
          <w:b/>
          <w:color w:val="auto"/>
          <w:sz w:val="32"/>
          <w:szCs w:val="32"/>
          <w:highlight w:val="none"/>
        </w:rPr>
        <w:t>包</w:t>
      </w:r>
      <w:r>
        <w:rPr>
          <w:rFonts w:hint="eastAsia" w:ascii="宋体" w:hAnsi="宋体"/>
          <w:b/>
          <w:color w:val="auto"/>
          <w:sz w:val="32"/>
          <w:szCs w:val="32"/>
          <w:highlight w:val="none"/>
        </w:rPr>
        <w:t xml:space="preserve"> </w:t>
      </w:r>
      <w:r>
        <w:rPr>
          <w:rFonts w:ascii="宋体" w:hAnsi="宋体"/>
          <w:b/>
          <w:color w:val="auto"/>
          <w:sz w:val="32"/>
          <w:szCs w:val="32"/>
          <w:highlight w:val="none"/>
        </w:rPr>
        <w:t>人：</w:t>
      </w:r>
      <w:r>
        <w:rPr>
          <w:rFonts w:hint="eastAsia" w:ascii="黑体" w:hAnsi="宋体" w:eastAsia="黑体"/>
          <w:b/>
          <w:color w:val="auto"/>
          <w:sz w:val="32"/>
          <w:szCs w:val="32"/>
          <w:highlight w:val="none"/>
          <w:u w:val="single"/>
        </w:rPr>
        <w:t xml:space="preserve">                                   </w:t>
      </w:r>
    </w:p>
    <w:p w14:paraId="3C4B3D1D">
      <w:pPr>
        <w:pStyle w:val="4"/>
        <w:numPr>
          <w:ilvl w:val="0"/>
          <w:numId w:val="2"/>
        </w:numPr>
        <w:jc w:val="center"/>
        <w:rPr>
          <w:rFonts w:ascii="黑体" w:hAnsi="华文中宋"/>
          <w:color w:val="auto"/>
          <w:highlight w:val="none"/>
        </w:rPr>
        <w:sectPr>
          <w:footerReference r:id="rId6" w:type="first"/>
          <w:footerReference r:id="rId5" w:type="default"/>
          <w:pgSz w:w="11906" w:h="16838"/>
          <w:pgMar w:top="1440" w:right="1440" w:bottom="1440" w:left="1440" w:header="851" w:footer="992" w:gutter="0"/>
          <w:pgNumType w:fmt="decimal" w:start="1"/>
          <w:cols w:space="720" w:num="1"/>
          <w:titlePg/>
          <w:docGrid w:linePitch="312" w:charSpace="0"/>
        </w:sectPr>
      </w:pPr>
    </w:p>
    <w:p w14:paraId="29F9E02D">
      <w:pPr>
        <w:pStyle w:val="32"/>
        <w:spacing w:line="336" w:lineRule="auto"/>
        <w:jc w:val="center"/>
        <w:rPr>
          <w:rFonts w:ascii="仿宋_GB2312" w:hAnsi="宋体" w:eastAsia="仿宋_GB2312"/>
          <w:b/>
          <w:color w:val="auto"/>
          <w:sz w:val="32"/>
          <w:szCs w:val="32"/>
          <w:highlight w:val="none"/>
        </w:rPr>
      </w:pPr>
      <w:r>
        <w:rPr>
          <w:rFonts w:hint="eastAsia" w:asciiTheme="majorEastAsia" w:hAnsiTheme="majorEastAsia" w:eastAsiaTheme="majorEastAsia" w:cstheme="majorEastAsia"/>
          <w:bCs w:val="0"/>
          <w:color w:val="auto"/>
          <w:sz w:val="21"/>
          <w:szCs w:val="21"/>
          <w:highlight w:val="none"/>
        </w:rPr>
        <w:t xml:space="preserve">  </w:t>
      </w:r>
      <w:bookmarkStart w:id="65" w:name="_Toc20617"/>
      <w:bookmarkStart w:id="66" w:name="第五部分"/>
      <w:bookmarkStart w:id="67" w:name="_Toc86217003"/>
      <w:bookmarkStart w:id="68" w:name="_Toc24679"/>
      <w:r>
        <w:rPr>
          <w:rFonts w:hint="eastAsia" w:ascii="仿宋_GB2312" w:hAnsi="宋体" w:eastAsia="仿宋_GB2312"/>
          <w:b/>
          <w:color w:val="auto"/>
          <w:sz w:val="32"/>
          <w:szCs w:val="32"/>
          <w:highlight w:val="none"/>
        </w:rPr>
        <w:t>第一节 通用合同条款</w:t>
      </w:r>
    </w:p>
    <w:p w14:paraId="7F1B1281">
      <w:pPr>
        <w:pStyle w:val="32"/>
        <w:spacing w:line="240" w:lineRule="exact"/>
        <w:jc w:val="center"/>
        <w:rPr>
          <w:rFonts w:hAnsi="宋体"/>
          <w:color w:val="auto"/>
          <w:sz w:val="24"/>
          <w:szCs w:val="24"/>
          <w:highlight w:val="none"/>
        </w:rPr>
      </w:pPr>
    </w:p>
    <w:p w14:paraId="6C81533F">
      <w:pPr>
        <w:pStyle w:val="32"/>
        <w:spacing w:line="336" w:lineRule="auto"/>
        <w:jc w:val="both"/>
        <w:rPr>
          <w:rFonts w:hAnsi="宋体"/>
          <w:color w:val="auto"/>
          <w:spacing w:val="10"/>
          <w:sz w:val="21"/>
          <w:szCs w:val="21"/>
          <w:highlight w:val="none"/>
        </w:rPr>
      </w:pPr>
      <w:r>
        <w:rPr>
          <w:rFonts w:hint="eastAsia" w:hAnsi="宋体"/>
          <w:color w:val="auto"/>
          <w:spacing w:val="10"/>
          <w:sz w:val="21"/>
          <w:szCs w:val="21"/>
          <w:highlight w:val="none"/>
        </w:rPr>
        <w:t>“通用合同条款”采用2011版《浙江省公路养护工程施工招标文件范本》的“通用合同条款”</w:t>
      </w:r>
    </w:p>
    <w:p w14:paraId="1DD9F856">
      <w:pPr>
        <w:pStyle w:val="32"/>
        <w:spacing w:line="240" w:lineRule="exact"/>
        <w:jc w:val="left"/>
        <w:rPr>
          <w:rFonts w:ascii="仿宋_GB2312" w:hAnsi="宋体" w:eastAsia="仿宋_GB2312"/>
          <w:b/>
          <w:color w:val="auto"/>
          <w:sz w:val="32"/>
          <w:szCs w:val="32"/>
          <w:highlight w:val="none"/>
        </w:rPr>
      </w:pPr>
    </w:p>
    <w:p w14:paraId="34617D40">
      <w:pPr>
        <w:pStyle w:val="32"/>
        <w:spacing w:line="336"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第二节 简明协议书</w:t>
      </w:r>
    </w:p>
    <w:p w14:paraId="7DEFEB09">
      <w:pPr>
        <w:pStyle w:val="32"/>
        <w:spacing w:line="240" w:lineRule="exact"/>
        <w:rPr>
          <w:rFonts w:hAnsi="宋体"/>
          <w:color w:val="auto"/>
          <w:sz w:val="24"/>
          <w:szCs w:val="24"/>
          <w:highlight w:val="none"/>
        </w:rPr>
      </w:pPr>
    </w:p>
    <w:p w14:paraId="5A37E576">
      <w:pPr>
        <w:spacing w:line="460" w:lineRule="exact"/>
        <w:rPr>
          <w:rFonts w:ascii="宋体" w:hAnsi="宋体" w:cs="Courier New"/>
          <w:color w:val="auto"/>
          <w:sz w:val="21"/>
          <w:szCs w:val="21"/>
          <w:highlight w:val="none"/>
          <w:u w:val="single"/>
        </w:rPr>
      </w:pPr>
      <w:r>
        <w:rPr>
          <w:rFonts w:hint="eastAsia" w:ascii="宋体" w:hAnsi="宋体" w:cs="Courier New"/>
          <w:color w:val="auto"/>
          <w:sz w:val="21"/>
          <w:szCs w:val="21"/>
          <w:highlight w:val="none"/>
          <w:lang w:val="en-US" w:eastAsia="zh-CN"/>
        </w:rPr>
        <w:t>采购</w:t>
      </w:r>
      <w:r>
        <w:rPr>
          <w:rFonts w:hint="eastAsia" w:ascii="宋体" w:hAnsi="宋体" w:cs="Courier New"/>
          <w:color w:val="auto"/>
          <w:sz w:val="21"/>
          <w:szCs w:val="21"/>
          <w:highlight w:val="none"/>
        </w:rPr>
        <w:t>人：</w:t>
      </w:r>
      <w:r>
        <w:rPr>
          <w:rFonts w:hint="eastAsia" w:ascii="宋体" w:hAnsi="宋体"/>
          <w:color w:val="auto"/>
          <w:sz w:val="21"/>
          <w:szCs w:val="21"/>
          <w:highlight w:val="none"/>
          <w:u w:val="single"/>
          <w:lang w:val="en-US" w:eastAsia="zh-CN"/>
        </w:rPr>
        <w:t>宁海县交通运输局</w:t>
      </w:r>
      <w:r>
        <w:rPr>
          <w:rFonts w:hint="eastAsia" w:ascii="宋体" w:hAnsi="宋体" w:cs="Courier New"/>
          <w:color w:val="auto"/>
          <w:sz w:val="21"/>
          <w:szCs w:val="21"/>
          <w:highlight w:val="none"/>
        </w:rPr>
        <w:t>(以下简称甲方）</w:t>
      </w:r>
    </w:p>
    <w:p w14:paraId="1F12CA21">
      <w:pPr>
        <w:spacing w:line="460" w:lineRule="exact"/>
        <w:rPr>
          <w:rFonts w:ascii="宋体" w:hAnsi="宋体" w:cs="Courier New"/>
          <w:color w:val="auto"/>
          <w:sz w:val="21"/>
          <w:szCs w:val="21"/>
          <w:highlight w:val="none"/>
        </w:rPr>
      </w:pPr>
      <w:r>
        <w:rPr>
          <w:rFonts w:hint="eastAsia" w:ascii="宋体" w:hAnsi="宋体" w:cs="Courier New"/>
          <w:color w:val="auto"/>
          <w:sz w:val="21"/>
          <w:szCs w:val="21"/>
          <w:highlight w:val="none"/>
          <w:lang w:val="en-US" w:eastAsia="zh-CN"/>
        </w:rPr>
        <w:t>供应商</w:t>
      </w:r>
      <w:r>
        <w:rPr>
          <w:rFonts w:hint="eastAsia" w:ascii="宋体" w:hAnsi="宋体" w:cs="Courier New"/>
          <w:color w:val="auto"/>
          <w:sz w:val="21"/>
          <w:szCs w:val="21"/>
          <w:highlight w:val="none"/>
        </w:rPr>
        <w:t>：</w:t>
      </w:r>
      <w:r>
        <w:rPr>
          <w:rFonts w:hint="eastAsia" w:ascii="宋体" w:hAnsi="宋体" w:cs="Courier New"/>
          <w:color w:val="auto"/>
          <w:sz w:val="21"/>
          <w:szCs w:val="21"/>
          <w:highlight w:val="none"/>
          <w:u w:val="single"/>
        </w:rPr>
        <w:t xml:space="preserve">                    </w:t>
      </w:r>
      <w:r>
        <w:rPr>
          <w:rFonts w:hint="eastAsia" w:ascii="宋体" w:hAnsi="宋体" w:cs="Courier New"/>
          <w:color w:val="auto"/>
          <w:sz w:val="21"/>
          <w:szCs w:val="21"/>
          <w:highlight w:val="none"/>
        </w:rPr>
        <w:t>(以下简称乙方)</w:t>
      </w:r>
    </w:p>
    <w:p w14:paraId="6FF5B79D">
      <w:pPr>
        <w:pStyle w:val="32"/>
        <w:spacing w:line="460" w:lineRule="exact"/>
        <w:jc w:val="left"/>
        <w:rPr>
          <w:rFonts w:hAnsi="宋体"/>
          <w:color w:val="auto"/>
          <w:sz w:val="21"/>
          <w:szCs w:val="21"/>
          <w:highlight w:val="none"/>
        </w:rPr>
      </w:pPr>
      <w:r>
        <w:rPr>
          <w:rFonts w:hint="eastAsia" w:hAnsi="宋体"/>
          <w:color w:val="auto"/>
          <w:sz w:val="21"/>
          <w:szCs w:val="21"/>
          <w:highlight w:val="none"/>
        </w:rPr>
        <w:t xml:space="preserve">    根据宁海县招标投标有关规定及</w:t>
      </w:r>
      <w:r>
        <w:rPr>
          <w:rFonts w:hint="eastAsia" w:hAnsi="宋体"/>
          <w:color w:val="auto"/>
          <w:sz w:val="21"/>
          <w:szCs w:val="21"/>
          <w:highlight w:val="none"/>
          <w:u w:val="single"/>
          <w:lang w:val="en-US" w:eastAsia="zh-CN"/>
        </w:rPr>
        <w:t xml:space="preserve"> </w:t>
      </w:r>
      <w:r>
        <w:rPr>
          <w:rFonts w:hint="eastAsia" w:asciiTheme="minorEastAsia" w:hAnsiTheme="minorEastAsia" w:eastAsiaTheme="minorEastAsia"/>
          <w:bCs/>
          <w:color w:val="auto"/>
          <w:sz w:val="21"/>
          <w:szCs w:val="21"/>
          <w:highlight w:val="none"/>
          <w:u w:val="single"/>
          <w:lang w:val="en-US" w:eastAsia="zh-CN"/>
        </w:rPr>
        <w:t>2025年宁海县普通国省道大桥隐患治理工程</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lang w:val="en-US" w:eastAsia="zh-CN"/>
        </w:rPr>
        <w:t>采购</w:t>
      </w:r>
      <w:r>
        <w:rPr>
          <w:rFonts w:hint="eastAsia" w:hAnsi="宋体"/>
          <w:color w:val="auto"/>
          <w:sz w:val="21"/>
          <w:szCs w:val="21"/>
          <w:highlight w:val="none"/>
        </w:rPr>
        <w:t>公告、</w:t>
      </w:r>
      <w:r>
        <w:rPr>
          <w:rFonts w:hint="eastAsia" w:hAnsi="宋体"/>
          <w:color w:val="auto"/>
          <w:sz w:val="21"/>
          <w:szCs w:val="21"/>
          <w:highlight w:val="none"/>
          <w:lang w:val="en-US" w:eastAsia="zh-CN"/>
        </w:rPr>
        <w:t>采购</w:t>
      </w:r>
      <w:r>
        <w:rPr>
          <w:rFonts w:hint="eastAsia" w:hAnsi="宋体"/>
          <w:color w:val="auto"/>
          <w:sz w:val="21"/>
          <w:szCs w:val="21"/>
          <w:highlight w:val="none"/>
        </w:rPr>
        <w:t>文件、</w:t>
      </w:r>
      <w:r>
        <w:rPr>
          <w:rFonts w:hint="eastAsia" w:hAnsi="宋体"/>
          <w:color w:val="auto"/>
          <w:sz w:val="21"/>
          <w:szCs w:val="21"/>
          <w:highlight w:val="none"/>
          <w:lang w:val="en-US" w:eastAsia="zh-CN"/>
        </w:rPr>
        <w:t>响应</w:t>
      </w:r>
      <w:r>
        <w:rPr>
          <w:rFonts w:hint="eastAsia" w:hAnsi="宋体"/>
          <w:color w:val="auto"/>
          <w:sz w:val="21"/>
          <w:szCs w:val="21"/>
          <w:highlight w:val="none"/>
        </w:rPr>
        <w:t>文件、中标通知书，决定将该工程发包给乙方施工，现将有关事项明确如下：</w:t>
      </w:r>
    </w:p>
    <w:p w14:paraId="4D903B33">
      <w:pPr>
        <w:pStyle w:val="32"/>
        <w:spacing w:line="460" w:lineRule="exact"/>
        <w:jc w:val="left"/>
        <w:rPr>
          <w:rFonts w:hint="eastAsia" w:hAnsi="宋体" w:eastAsia="宋体"/>
          <w:color w:val="auto"/>
          <w:sz w:val="21"/>
          <w:szCs w:val="21"/>
          <w:highlight w:val="none"/>
          <w:lang w:eastAsia="zh-CN"/>
        </w:rPr>
      </w:pPr>
      <w:r>
        <w:rPr>
          <w:rFonts w:hint="eastAsia" w:hAnsi="宋体" w:cs="Courier New"/>
          <w:b/>
          <w:color w:val="auto"/>
          <w:sz w:val="21"/>
          <w:szCs w:val="21"/>
          <w:highlight w:val="none"/>
        </w:rPr>
        <w:t>一、工程名称：</w:t>
      </w:r>
      <w:r>
        <w:rPr>
          <w:rFonts w:hint="eastAsia" w:ascii="Times New Roman" w:hAnsi="宋体" w:cs="Courier New"/>
          <w:color w:val="auto"/>
          <w:kern w:val="2"/>
          <w:sz w:val="21"/>
          <w:szCs w:val="21"/>
          <w:highlight w:val="none"/>
          <w:lang w:val="en-US" w:eastAsia="zh-CN" w:bidi="ar-SA"/>
        </w:rPr>
        <w:t>2025年宁海县普通国省道大桥隐患治理工程</w:t>
      </w:r>
    </w:p>
    <w:p w14:paraId="250D5EE2">
      <w:pPr>
        <w:spacing w:line="400" w:lineRule="exact"/>
        <w:ind w:firstLine="422" w:firstLineChars="200"/>
        <w:rPr>
          <w:rFonts w:ascii="宋体" w:hAnsi="宋体"/>
          <w:color w:val="auto"/>
          <w:sz w:val="21"/>
          <w:szCs w:val="21"/>
          <w:highlight w:val="none"/>
        </w:rPr>
      </w:pPr>
      <w:r>
        <w:rPr>
          <w:rFonts w:hint="eastAsia" w:hAnsi="宋体" w:cs="Courier New"/>
          <w:b/>
          <w:color w:val="auto"/>
          <w:sz w:val="21"/>
          <w:szCs w:val="21"/>
          <w:highlight w:val="none"/>
        </w:rPr>
        <w:t>二、工程内容：</w:t>
      </w:r>
      <w:r>
        <w:rPr>
          <w:rFonts w:hint="eastAsia" w:asciiTheme="majorEastAsia" w:hAnsiTheme="majorEastAsia" w:eastAsiaTheme="majorEastAsia" w:cstheme="majorEastAsia"/>
          <w:color w:val="auto"/>
          <w:sz w:val="21"/>
          <w:szCs w:val="21"/>
          <w:highlight w:val="none"/>
          <w:u w:val="single"/>
          <w:lang w:val="en-US" w:eastAsia="zh-CN"/>
        </w:rPr>
        <w:t>工程建设地点位于宁海县境内,其中白溪大桥位于宁海县丹东线（G228），中心桩号K3810+177，桥梁全长427.5m，跨径组合17×25m，宽12m，上部结构为预应力混凝土小箱梁，下部结构为多柱式墩台、桩基础；凫溪桥位于宁海县丹东线（G228），中心桩号K3783+500/K3783+541，桥梁全长187.7m，跨径组合11×16m，宽11.7m，上部结构为预应力混凝土简支空心板，下部结构桥墩采用双柱式墩钻孔灌注桩，桥台采用框架式钻孔灌注桩；杜岙大桥位于宁海县象义线（G527），中心桩号K46+459,桥梁全长216m，跨径组合6×30m，宽32m，上部结构为预应力混凝土小箱梁，下部结构为多柱式墩台、桩基础；力洋大桥位于宁海县象义线（G527），中心桩号K37+410,桥梁全长119.04m，跨径组合6×16m，上部结构为预应力混凝土空心板梁，下部结构为多柱式墩台+重力式、桩基础+扩大基础；均参照一级公路标准设计，设计时速为80km/h。本工程主要建设内容为：3座桥梁（G228白溪大桥、G527杜岙大桥、G527力洋大桥）的常规病害处治、预防性养护措施、设施功能性提升及4座桥梁的轻量化监测应用。其中包括G228白溪大桥、G527杜岙大桥、G527力洋大桥混凝土破损露筋处治、裂缝封闭、破损伸缩缝凿除重做、对桥面铺装沥青层进行铣刨后重新摊铺，桥梁护栏进行防腐涂装、支座更换、排水设施改造等。</w:t>
      </w:r>
      <w:r>
        <w:rPr>
          <w:rFonts w:hint="eastAsia" w:ascii="Times New Roman" w:hAnsi="宋体" w:eastAsia="宋体" w:cs="Courier New"/>
          <w:color w:val="auto"/>
          <w:kern w:val="2"/>
          <w:sz w:val="21"/>
          <w:szCs w:val="21"/>
          <w:highlight w:val="none"/>
          <w:lang w:val="en-US" w:eastAsia="zh-CN" w:bidi="ar-SA"/>
        </w:rPr>
        <w:t xml:space="preserve">  </w:t>
      </w:r>
      <w:r>
        <w:rPr>
          <w:rFonts w:hint="eastAsia" w:ascii="宋体" w:hAnsi="宋体"/>
          <w:color w:val="auto"/>
          <w:sz w:val="21"/>
          <w:szCs w:val="21"/>
          <w:highlight w:val="none"/>
        </w:rPr>
        <w:t xml:space="preserve">          </w:t>
      </w:r>
    </w:p>
    <w:p w14:paraId="1FD3F612">
      <w:pPr>
        <w:spacing w:line="460" w:lineRule="exact"/>
        <w:ind w:firstLine="422" w:firstLineChars="200"/>
        <w:rPr>
          <w:rFonts w:hAnsi="宋体" w:cs="Courier New"/>
          <w:color w:val="auto"/>
          <w:sz w:val="21"/>
          <w:szCs w:val="21"/>
          <w:highlight w:val="none"/>
        </w:rPr>
      </w:pPr>
      <w:r>
        <w:rPr>
          <w:rFonts w:hint="eastAsia" w:hAnsi="宋体" w:cs="Courier New"/>
          <w:b/>
          <w:color w:val="auto"/>
          <w:sz w:val="21"/>
          <w:szCs w:val="21"/>
          <w:highlight w:val="none"/>
        </w:rPr>
        <w:t>三、承包方式：</w:t>
      </w:r>
      <w:r>
        <w:rPr>
          <w:rFonts w:hint="eastAsia" w:hAnsi="宋体" w:cs="Courier New"/>
          <w:color w:val="auto"/>
          <w:sz w:val="21"/>
          <w:szCs w:val="21"/>
          <w:highlight w:val="none"/>
        </w:rPr>
        <w:t>施工总承包</w:t>
      </w:r>
    </w:p>
    <w:p w14:paraId="433E0B0F">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四、合同价款：</w:t>
      </w:r>
    </w:p>
    <w:p w14:paraId="23594570">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金额（大写）：人民币：</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元整。</w:t>
      </w:r>
    </w:p>
    <w:p w14:paraId="43E185E1">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五、合同工期：</w:t>
      </w:r>
    </w:p>
    <w:p w14:paraId="184A7A1C">
      <w:pPr>
        <w:spacing w:line="460" w:lineRule="exact"/>
        <w:ind w:firstLine="403" w:firstLineChars="192"/>
        <w:textAlignment w:val="baseline"/>
        <w:rPr>
          <w:rFonts w:ascii="宋体" w:hAnsi="宋体"/>
          <w:color w:val="auto"/>
          <w:sz w:val="21"/>
          <w:szCs w:val="21"/>
          <w:highlight w:val="none"/>
        </w:rPr>
      </w:pPr>
      <w:r>
        <w:rPr>
          <w:rFonts w:hint="eastAsia" w:ascii="宋体" w:hAnsi="宋体"/>
          <w:color w:val="auto"/>
          <w:sz w:val="21"/>
          <w:szCs w:val="21"/>
          <w:highlight w:val="none"/>
        </w:rPr>
        <w:t xml:space="preserve">计划开工日期：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年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日（以开工报告为准）  </w:t>
      </w:r>
    </w:p>
    <w:p w14:paraId="3A65B545">
      <w:pPr>
        <w:spacing w:line="460" w:lineRule="exact"/>
        <w:ind w:firstLine="403" w:firstLineChars="192"/>
        <w:textAlignment w:val="baseline"/>
        <w:rPr>
          <w:rFonts w:ascii="宋体" w:hAnsi="宋体"/>
          <w:color w:val="auto"/>
          <w:sz w:val="21"/>
          <w:szCs w:val="21"/>
          <w:highlight w:val="none"/>
          <w:u w:val="single"/>
        </w:rPr>
      </w:pPr>
      <w:r>
        <w:rPr>
          <w:rFonts w:hint="eastAsia" w:ascii="宋体" w:hAnsi="宋体"/>
          <w:color w:val="auto"/>
          <w:sz w:val="21"/>
          <w:szCs w:val="21"/>
          <w:highlight w:val="none"/>
        </w:rPr>
        <w:t>合同工期：</w:t>
      </w:r>
      <w:r>
        <w:rPr>
          <w:rFonts w:hint="eastAsia" w:ascii="宋体" w:hAnsi="宋体"/>
          <w:color w:val="auto"/>
          <w:sz w:val="21"/>
          <w:szCs w:val="21"/>
          <w:highlight w:val="none"/>
          <w:u w:val="single"/>
          <w:lang w:val="en-US" w:eastAsia="zh-CN"/>
        </w:rPr>
        <w:t xml:space="preserve"> 3  </w:t>
      </w:r>
      <w:r>
        <w:rPr>
          <w:rFonts w:hint="eastAsia" w:ascii="宋体" w:hAnsi="宋体"/>
          <w:color w:val="auto"/>
          <w:sz w:val="21"/>
          <w:szCs w:val="21"/>
          <w:highlight w:val="none"/>
        </w:rPr>
        <w:t>个月</w:t>
      </w:r>
    </w:p>
    <w:p w14:paraId="6470FC9D">
      <w:pPr>
        <w:spacing w:line="460" w:lineRule="exact"/>
        <w:ind w:firstLine="417" w:firstLineChars="199"/>
        <w:rPr>
          <w:rFonts w:hint="eastAsia" w:ascii="宋体" w:hAnsi="宋体"/>
          <w:color w:val="auto"/>
          <w:sz w:val="21"/>
          <w:szCs w:val="21"/>
          <w:highlight w:val="none"/>
        </w:rPr>
      </w:pPr>
      <w:r>
        <w:rPr>
          <w:rFonts w:hint="eastAsia" w:ascii="宋体" w:hAnsi="宋体"/>
          <w:color w:val="auto"/>
          <w:sz w:val="21"/>
          <w:szCs w:val="21"/>
          <w:highlight w:val="none"/>
        </w:rPr>
        <w:t>若实际开工日期由于甲方原因或不可抗力因素造成滞后,则以甲方正式批准的实际开工之日为准。非甲方原因乙方如不能按合同约定的时间竣工，应承担违约责任，按每日500元支付违约金（不足一天的按天计算），延期超过7日的，甲方有权单方面解除本合同，乙方应按本合同总额的20%向甲方支付违约金，违约金不足以弥补甲方损失的，乙方还应赔偿甲方由此造成的所有损失。</w:t>
      </w:r>
    </w:p>
    <w:p w14:paraId="518AC33F">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lang w:eastAsia="zh-CN"/>
        </w:rPr>
        <w:t>六</w:t>
      </w:r>
      <w:r>
        <w:rPr>
          <w:rFonts w:hint="eastAsia" w:ascii="宋体" w:hAnsi="宋体" w:cs="Courier New"/>
          <w:b/>
          <w:color w:val="auto"/>
          <w:sz w:val="21"/>
          <w:szCs w:val="21"/>
          <w:highlight w:val="none"/>
        </w:rPr>
        <w:t>、合同</w:t>
      </w:r>
      <w:r>
        <w:rPr>
          <w:rFonts w:hint="eastAsia" w:ascii="宋体" w:hAnsi="宋体" w:cs="Courier New"/>
          <w:b/>
          <w:color w:val="auto"/>
          <w:sz w:val="21"/>
          <w:szCs w:val="21"/>
          <w:highlight w:val="none"/>
          <w:lang w:eastAsia="zh-CN"/>
        </w:rPr>
        <w:t>文件构成</w:t>
      </w:r>
      <w:r>
        <w:rPr>
          <w:rFonts w:hint="eastAsia" w:ascii="宋体" w:hAnsi="宋体" w:cs="Courier New"/>
          <w:b/>
          <w:color w:val="auto"/>
          <w:sz w:val="21"/>
          <w:szCs w:val="21"/>
          <w:highlight w:val="none"/>
        </w:rPr>
        <w:t>：</w:t>
      </w:r>
    </w:p>
    <w:p w14:paraId="4C8092DD">
      <w:pPr>
        <w:spacing w:line="460" w:lineRule="exact"/>
        <w:ind w:firstLine="420" w:firstLineChars="200"/>
        <w:rPr>
          <w:color w:val="auto"/>
          <w:sz w:val="21"/>
          <w:szCs w:val="21"/>
          <w:highlight w:val="none"/>
        </w:rPr>
      </w:pPr>
      <w:r>
        <w:rPr>
          <w:color w:val="auto"/>
          <w:sz w:val="21"/>
          <w:szCs w:val="21"/>
          <w:highlight w:val="none"/>
        </w:rPr>
        <w:t>本协议书与下列文件一起构成合同文件：</w:t>
      </w:r>
    </w:p>
    <w:p w14:paraId="5DA185B6">
      <w:pPr>
        <w:numPr>
          <w:ilvl w:val="0"/>
          <w:numId w:val="14"/>
        </w:numPr>
        <w:autoSpaceDE w:val="0"/>
        <w:autoSpaceDN w:val="0"/>
        <w:adjustRightInd w:val="0"/>
        <w:spacing w:line="460" w:lineRule="exact"/>
        <w:ind w:firstLine="420" w:firstLineChars="200"/>
        <w:jc w:val="left"/>
      </w:pPr>
      <w:bookmarkStart w:id="69" w:name="_Toc144974829"/>
      <w:bookmarkStart w:id="70" w:name="_Toc152042549"/>
      <w:r>
        <w:rPr>
          <w:color w:val="auto"/>
          <w:sz w:val="21"/>
          <w:szCs w:val="21"/>
          <w:highlight w:val="none"/>
        </w:rPr>
        <w:t xml:space="preserve">中标通知书（如果有）； </w:t>
      </w:r>
    </w:p>
    <w:p w14:paraId="7B172C5A">
      <w:pPr>
        <w:numPr>
          <w:ilvl w:val="0"/>
          <w:numId w:val="14"/>
        </w:numPr>
        <w:autoSpaceDE w:val="0"/>
        <w:autoSpaceDN w:val="0"/>
        <w:adjustRightInd w:val="0"/>
        <w:spacing w:line="460" w:lineRule="exact"/>
        <w:ind w:firstLine="420" w:firstLineChars="200"/>
        <w:jc w:val="left"/>
        <w:rPr>
          <w:color w:val="auto"/>
          <w:sz w:val="21"/>
          <w:szCs w:val="21"/>
          <w:highlight w:val="none"/>
        </w:rPr>
      </w:pPr>
      <w:r>
        <w:rPr>
          <w:rFonts w:hint="eastAsia"/>
          <w:color w:val="auto"/>
          <w:sz w:val="21"/>
          <w:szCs w:val="21"/>
          <w:highlight w:val="none"/>
        </w:rPr>
        <w:t>投标函及其附录（如果有）；</w:t>
      </w:r>
    </w:p>
    <w:p w14:paraId="3F21F958">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3</w:t>
      </w:r>
      <w:r>
        <w:rPr>
          <w:color w:val="auto"/>
          <w:sz w:val="21"/>
          <w:szCs w:val="21"/>
          <w:highlight w:val="none"/>
        </w:rPr>
        <w:t>）专用合同条款及其附件；</w:t>
      </w:r>
    </w:p>
    <w:p w14:paraId="34A5793C">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4</w:t>
      </w:r>
      <w:r>
        <w:rPr>
          <w:color w:val="auto"/>
          <w:sz w:val="21"/>
          <w:szCs w:val="21"/>
          <w:highlight w:val="none"/>
        </w:rPr>
        <w:t>）通用合同条款；</w:t>
      </w:r>
    </w:p>
    <w:p w14:paraId="5E98D929">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5</w:t>
      </w:r>
      <w:r>
        <w:rPr>
          <w:color w:val="auto"/>
          <w:sz w:val="21"/>
          <w:szCs w:val="21"/>
          <w:highlight w:val="none"/>
        </w:rPr>
        <w:t>）技术标准和要求；</w:t>
      </w:r>
    </w:p>
    <w:p w14:paraId="4A6586B1">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6</w:t>
      </w:r>
      <w:r>
        <w:rPr>
          <w:color w:val="auto"/>
          <w:sz w:val="21"/>
          <w:szCs w:val="21"/>
          <w:highlight w:val="none"/>
        </w:rPr>
        <w:t>）图纸；</w:t>
      </w:r>
    </w:p>
    <w:p w14:paraId="696D9209">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7</w:t>
      </w:r>
      <w:r>
        <w:rPr>
          <w:color w:val="auto"/>
          <w:sz w:val="21"/>
          <w:szCs w:val="21"/>
          <w:highlight w:val="none"/>
        </w:rPr>
        <w:t>）已标价工程量清单或预算书；</w:t>
      </w:r>
    </w:p>
    <w:p w14:paraId="0DF17461">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8</w:t>
      </w:r>
      <w:r>
        <w:rPr>
          <w:color w:val="auto"/>
          <w:sz w:val="21"/>
          <w:szCs w:val="21"/>
          <w:highlight w:val="none"/>
        </w:rPr>
        <w:t>）其他合同文件。</w:t>
      </w:r>
    </w:p>
    <w:p w14:paraId="399B80C5">
      <w:pPr>
        <w:spacing w:line="460" w:lineRule="exact"/>
        <w:ind w:firstLine="420" w:firstLineChars="200"/>
        <w:rPr>
          <w:rFonts w:ascii="宋体" w:hAnsi="宋体"/>
          <w:color w:val="auto"/>
          <w:sz w:val="21"/>
          <w:szCs w:val="21"/>
          <w:highlight w:val="none"/>
        </w:rPr>
      </w:pPr>
      <w:r>
        <w:rPr>
          <w:color w:val="auto"/>
          <w:sz w:val="21"/>
          <w:szCs w:val="21"/>
          <w:highlight w:val="none"/>
        </w:rPr>
        <w:t>上述文件互相补充和解释，如有不明确或不一致之处，以合同约定次序在先者为准。</w:t>
      </w:r>
      <w:bookmarkEnd w:id="69"/>
      <w:bookmarkEnd w:id="70"/>
    </w:p>
    <w:p w14:paraId="6061EAEB">
      <w:pPr>
        <w:spacing w:line="460" w:lineRule="exact"/>
        <w:ind w:firstLine="413" w:firstLineChars="196"/>
        <w:rPr>
          <w:rFonts w:ascii="宋体" w:hAnsi="宋体" w:cs="Courier New"/>
          <w:b/>
          <w:color w:val="auto"/>
          <w:sz w:val="21"/>
          <w:szCs w:val="21"/>
          <w:highlight w:val="none"/>
        </w:rPr>
      </w:pPr>
      <w:r>
        <w:rPr>
          <w:rFonts w:hint="eastAsia" w:ascii="宋体" w:hAnsi="宋体" w:cs="Courier New"/>
          <w:b/>
          <w:color w:val="auto"/>
          <w:sz w:val="21"/>
          <w:szCs w:val="21"/>
          <w:highlight w:val="none"/>
        </w:rPr>
        <w:t>七、</w:t>
      </w:r>
      <w:r>
        <w:rPr>
          <w:rFonts w:hint="eastAsia" w:ascii="宋体" w:hAnsi="宋体" w:cs="Courier New"/>
          <w:b/>
          <w:color w:val="auto"/>
          <w:sz w:val="21"/>
          <w:szCs w:val="21"/>
          <w:highlight w:val="none"/>
          <w:lang w:eastAsia="zh-CN"/>
        </w:rPr>
        <w:t>供应商</w:t>
      </w:r>
      <w:r>
        <w:rPr>
          <w:rFonts w:hint="eastAsia" w:ascii="宋体" w:hAnsi="宋体" w:cs="Courier New"/>
          <w:b/>
          <w:color w:val="auto"/>
          <w:sz w:val="21"/>
          <w:szCs w:val="21"/>
          <w:highlight w:val="none"/>
        </w:rPr>
        <w:t>人员的管理</w:t>
      </w:r>
    </w:p>
    <w:p w14:paraId="0F606171">
      <w:pPr>
        <w:spacing w:line="460" w:lineRule="exact"/>
        <w:ind w:firstLine="420" w:firstLineChars="200"/>
        <w:textAlignment w:val="baseline"/>
        <w:rPr>
          <w:rFonts w:hint="eastAsia"/>
          <w:color w:val="auto"/>
          <w:sz w:val="21"/>
          <w:szCs w:val="21"/>
          <w:highlight w:val="none"/>
        </w:rPr>
      </w:pPr>
      <w:r>
        <w:rPr>
          <w:rFonts w:hint="eastAsia"/>
          <w:color w:val="auto"/>
          <w:sz w:val="21"/>
          <w:szCs w:val="21"/>
          <w:highlight w:val="none"/>
          <w:lang w:eastAsia="zh-CN"/>
        </w:rPr>
        <w:t>供应商</w:t>
      </w:r>
      <w:r>
        <w:rPr>
          <w:color w:val="auto"/>
          <w:sz w:val="21"/>
          <w:szCs w:val="21"/>
          <w:highlight w:val="none"/>
        </w:rPr>
        <w:t>安排在施工场地的主要管理人员应与</w:t>
      </w:r>
      <w:r>
        <w:rPr>
          <w:rFonts w:hint="eastAsia"/>
          <w:color w:val="auto"/>
          <w:sz w:val="21"/>
          <w:szCs w:val="21"/>
          <w:highlight w:val="none"/>
          <w:lang w:eastAsia="zh-CN"/>
        </w:rPr>
        <w:t>供应商</w:t>
      </w:r>
      <w:r>
        <w:rPr>
          <w:color w:val="auto"/>
          <w:sz w:val="21"/>
          <w:szCs w:val="21"/>
          <w:highlight w:val="none"/>
        </w:rPr>
        <w:t>承诺的名单（项目部关键岗位人员配备表）一致，并建立考勤台账制度。未经监理人批准，上述人员不应无故不到位或被替换；若确认无法到位或需替换，需经监理人审核并报</w:t>
      </w:r>
      <w:r>
        <w:rPr>
          <w:rFonts w:hint="eastAsia"/>
          <w:color w:val="auto"/>
          <w:sz w:val="21"/>
          <w:szCs w:val="21"/>
          <w:highlight w:val="none"/>
          <w:lang w:eastAsia="zh-CN"/>
        </w:rPr>
        <w:t>采购人</w:t>
      </w:r>
      <w:r>
        <w:rPr>
          <w:color w:val="auto"/>
          <w:sz w:val="21"/>
          <w:szCs w:val="21"/>
          <w:highlight w:val="none"/>
        </w:rPr>
        <w:t>批准后，用同等资质和经历的人员替换。</w:t>
      </w:r>
      <w:r>
        <w:rPr>
          <w:rFonts w:hint="eastAsia"/>
          <w:color w:val="auto"/>
          <w:sz w:val="21"/>
          <w:szCs w:val="21"/>
          <w:highlight w:val="none"/>
        </w:rPr>
        <w:t>项目经理在开工令发出后不得更换人员。</w:t>
      </w:r>
    </w:p>
    <w:p w14:paraId="475B86B1">
      <w:pPr>
        <w:spacing w:line="460" w:lineRule="exact"/>
        <w:ind w:firstLine="420" w:firstLineChars="200"/>
        <w:textAlignment w:val="baseline"/>
        <w:rPr>
          <w:color w:val="auto"/>
          <w:sz w:val="21"/>
          <w:szCs w:val="21"/>
          <w:highlight w:val="none"/>
        </w:rPr>
      </w:pPr>
      <w:r>
        <w:rPr>
          <w:color w:val="auto"/>
          <w:sz w:val="21"/>
          <w:szCs w:val="21"/>
          <w:highlight w:val="none"/>
        </w:rPr>
        <w:t>项目经理及项目部关键岗位人员离开工地必须向监理人书面请假，并经</w:t>
      </w:r>
      <w:r>
        <w:rPr>
          <w:rFonts w:hint="eastAsia"/>
          <w:color w:val="auto"/>
          <w:sz w:val="21"/>
          <w:szCs w:val="21"/>
          <w:highlight w:val="none"/>
          <w:lang w:eastAsia="zh-CN"/>
        </w:rPr>
        <w:t>采购人</w:t>
      </w:r>
      <w:r>
        <w:rPr>
          <w:color w:val="auto"/>
          <w:sz w:val="21"/>
          <w:szCs w:val="21"/>
          <w:highlight w:val="none"/>
        </w:rPr>
        <w:t>同意后才能离开；每月在工地天数应不少于22天（特殊情况经监理人批准报</w:t>
      </w:r>
      <w:r>
        <w:rPr>
          <w:rFonts w:hint="eastAsia"/>
          <w:color w:val="auto"/>
          <w:sz w:val="21"/>
          <w:szCs w:val="21"/>
          <w:highlight w:val="none"/>
          <w:lang w:eastAsia="zh-CN"/>
        </w:rPr>
        <w:t>采购人</w:t>
      </w:r>
      <w:r>
        <w:rPr>
          <w:color w:val="auto"/>
          <w:sz w:val="21"/>
          <w:szCs w:val="21"/>
          <w:highlight w:val="none"/>
        </w:rPr>
        <w:t>同意例外）。</w:t>
      </w:r>
    </w:p>
    <w:p w14:paraId="14D648DD">
      <w:pPr>
        <w:spacing w:line="460" w:lineRule="exact"/>
        <w:ind w:firstLine="422" w:firstLineChars="200"/>
        <w:rPr>
          <w:rFonts w:ascii="宋体" w:hAnsi="宋体" w:cs="Courier New"/>
          <w:b/>
          <w:color w:val="auto"/>
          <w:sz w:val="21"/>
          <w:szCs w:val="21"/>
          <w:highlight w:val="none"/>
        </w:rPr>
      </w:pPr>
      <w:r>
        <w:rPr>
          <w:rFonts w:hint="eastAsia" w:ascii="宋体" w:hAnsi="宋体" w:cs="Courier New"/>
          <w:b/>
          <w:color w:val="auto"/>
          <w:sz w:val="21"/>
          <w:szCs w:val="21"/>
          <w:highlight w:val="none"/>
        </w:rPr>
        <w:t>八、质量与验收：</w:t>
      </w:r>
    </w:p>
    <w:p w14:paraId="51E39CA4">
      <w:pPr>
        <w:spacing w:line="460" w:lineRule="exact"/>
        <w:ind w:left="480"/>
        <w:textAlignment w:val="baseline"/>
        <w:rPr>
          <w:rFonts w:ascii="宋体" w:hAnsi="宋体"/>
          <w:color w:val="auto"/>
          <w:sz w:val="21"/>
          <w:szCs w:val="21"/>
          <w:highlight w:val="none"/>
          <w:u w:val="single"/>
        </w:rPr>
      </w:pPr>
      <w:r>
        <w:rPr>
          <w:rFonts w:hint="eastAsia" w:ascii="宋体" w:hAnsi="宋体"/>
          <w:color w:val="auto"/>
          <w:sz w:val="21"/>
          <w:szCs w:val="21"/>
          <w:highlight w:val="none"/>
        </w:rPr>
        <w:t>工程质量标准：</w:t>
      </w:r>
      <w:r>
        <w:rPr>
          <w:rFonts w:hint="eastAsia" w:ascii="宋体" w:hAnsi="宋体"/>
          <w:color w:val="auto"/>
          <w:sz w:val="21"/>
          <w:szCs w:val="21"/>
          <w:highlight w:val="none"/>
          <w:u w:val="single"/>
        </w:rPr>
        <w:t>合格</w:t>
      </w:r>
      <w:r>
        <w:rPr>
          <w:rFonts w:hint="eastAsia" w:ascii="宋体" w:hAnsi="宋体" w:cs="宋体"/>
          <w:color w:val="auto"/>
          <w:sz w:val="21"/>
          <w:szCs w:val="21"/>
          <w:highlight w:val="none"/>
        </w:rPr>
        <w:t>。</w:t>
      </w:r>
    </w:p>
    <w:p w14:paraId="6160F306">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14:paraId="4C1A29E5">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九、安全生产：</w:t>
      </w:r>
    </w:p>
    <w:p w14:paraId="225ABD30">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工程安全要求：</w:t>
      </w:r>
      <w:r>
        <w:rPr>
          <w:rFonts w:hint="eastAsia" w:ascii="宋体" w:hAnsi="宋体"/>
          <w:color w:val="auto"/>
          <w:sz w:val="21"/>
          <w:szCs w:val="21"/>
          <w:highlight w:val="none"/>
          <w:u w:val="single"/>
        </w:rPr>
        <w:t>不发生安全责任事故</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人员零死亡</w:t>
      </w:r>
      <w:r>
        <w:rPr>
          <w:rFonts w:hint="eastAsia" w:ascii="宋体" w:hAnsi="宋体"/>
          <w:b w:val="0"/>
          <w:bCs w:val="0"/>
          <w:color w:val="auto"/>
          <w:sz w:val="21"/>
          <w:szCs w:val="21"/>
          <w:highlight w:val="none"/>
        </w:rPr>
        <w:t>。</w:t>
      </w:r>
    </w:p>
    <w:p w14:paraId="01959211">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本工程必须安全生产，若有安全事故，和（或）造成的工料损失与其他任何损失，概由乙方承担责任，与甲方无关。</w:t>
      </w:r>
    </w:p>
    <w:p w14:paraId="1595B811">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十、付款</w:t>
      </w:r>
      <w:r>
        <w:rPr>
          <w:rFonts w:hint="eastAsia" w:ascii="宋体" w:hAnsi="宋体" w:cs="Courier New"/>
          <w:b/>
          <w:color w:val="auto"/>
          <w:sz w:val="21"/>
          <w:szCs w:val="21"/>
          <w:highlight w:val="none"/>
          <w:lang w:val="en-US" w:eastAsia="zh-CN"/>
        </w:rPr>
        <w:t>方式</w:t>
      </w:r>
      <w:r>
        <w:rPr>
          <w:rFonts w:hint="eastAsia" w:ascii="宋体" w:hAnsi="宋体" w:cs="Courier New"/>
          <w:b/>
          <w:color w:val="auto"/>
          <w:sz w:val="21"/>
          <w:szCs w:val="21"/>
          <w:highlight w:val="none"/>
        </w:rPr>
        <w:t>：</w:t>
      </w:r>
    </w:p>
    <w:p w14:paraId="50B70C68">
      <w:pPr>
        <w:spacing w:line="460" w:lineRule="exact"/>
        <w:ind w:firstLine="417" w:firstLineChars="199"/>
        <w:rPr>
          <w:rFonts w:hint="eastAsia" w:ascii="宋体" w:hAnsi="宋体"/>
          <w:color w:val="auto"/>
          <w:kern w:val="0"/>
          <w:sz w:val="21"/>
          <w:szCs w:val="21"/>
          <w:highlight w:val="none"/>
        </w:rPr>
      </w:pPr>
      <w:r>
        <w:rPr>
          <w:rFonts w:hint="eastAsia" w:ascii="宋体" w:hAnsi="宋体"/>
          <w:color w:val="auto"/>
          <w:kern w:val="0"/>
          <w:sz w:val="21"/>
          <w:szCs w:val="21"/>
          <w:highlight w:val="none"/>
        </w:rPr>
        <w:t>合同签订及具备实施条件后</w:t>
      </w:r>
      <w:r>
        <w:rPr>
          <w:rFonts w:hint="eastAsia" w:ascii="宋体" w:hAnsi="宋体"/>
          <w:color w:val="auto"/>
          <w:kern w:val="0"/>
          <w:sz w:val="21"/>
          <w:szCs w:val="21"/>
          <w:highlight w:val="none"/>
          <w:lang w:val="en-US" w:eastAsia="zh-CN"/>
        </w:rPr>
        <w:t>7</w:t>
      </w:r>
      <w:r>
        <w:rPr>
          <w:rFonts w:hint="eastAsia" w:ascii="宋体" w:hAnsi="宋体"/>
          <w:color w:val="auto"/>
          <w:kern w:val="0"/>
          <w:sz w:val="21"/>
          <w:szCs w:val="21"/>
          <w:highlight w:val="none"/>
        </w:rPr>
        <w:t>个工作日内支付合同价款的40%</w:t>
      </w:r>
      <w:r>
        <w:rPr>
          <w:rFonts w:hint="eastAsia" w:ascii="宋体" w:hAnsi="宋体"/>
          <w:color w:val="auto"/>
          <w:kern w:val="0"/>
          <w:sz w:val="21"/>
          <w:szCs w:val="21"/>
          <w:highlight w:val="none"/>
          <w:lang w:val="en-US" w:eastAsia="zh-CN"/>
        </w:rPr>
        <w:t>预付款</w:t>
      </w:r>
      <w:r>
        <w:rPr>
          <w:rFonts w:hint="eastAsia" w:ascii="宋体" w:hAnsi="宋体"/>
          <w:color w:val="auto"/>
          <w:kern w:val="0"/>
          <w:sz w:val="21"/>
          <w:szCs w:val="21"/>
          <w:highlight w:val="none"/>
        </w:rPr>
        <w:t>（供应商应在收到预付款的同时向采购人提交预付款保函，预付款保函的担保金额应与预付款金额相同，保函的担保金额可根据预付款扣回的金额相应递减，预付款从第一次支付工程款开始分次均衡扣回</w:t>
      </w:r>
      <w:r>
        <w:rPr>
          <w:rFonts w:hint="eastAsia" w:ascii="宋体" w:hAnsi="宋体"/>
          <w:color w:val="auto"/>
          <w:kern w:val="0"/>
          <w:sz w:val="21"/>
          <w:szCs w:val="21"/>
          <w:highlight w:val="none"/>
          <w:lang w:eastAsia="zh-CN"/>
        </w:rPr>
        <w:t>；</w:t>
      </w:r>
      <w:r>
        <w:rPr>
          <w:rFonts w:ascii="微软雅黑" w:hAnsi="微软雅黑" w:eastAsia="微软雅黑" w:cs="微软雅黑"/>
          <w:i w:val="0"/>
          <w:iCs w:val="0"/>
          <w:caps w:val="0"/>
          <w:color w:val="171A1D"/>
          <w:spacing w:val="0"/>
          <w:sz w:val="21"/>
          <w:szCs w:val="21"/>
          <w:shd w:val="clear" w:fill="FFFFFF"/>
        </w:rPr>
        <w:t>在签订合同时，供应商明确表示无需预付款或者主动要求降低预付款比例的，采购单位可不适用前述规定。</w:t>
      </w:r>
      <w:r>
        <w:rPr>
          <w:rFonts w:hint="eastAsia" w:ascii="宋体" w:hAnsi="宋体"/>
          <w:color w:val="auto"/>
          <w:kern w:val="0"/>
          <w:sz w:val="21"/>
          <w:szCs w:val="21"/>
          <w:highlight w:val="none"/>
        </w:rPr>
        <w:t>）</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p w14:paraId="509A182C">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十一、变更</w:t>
      </w:r>
    </w:p>
    <w:p w14:paraId="03165012">
      <w:pPr>
        <w:spacing w:line="460" w:lineRule="exact"/>
        <w:ind w:firstLine="525" w:firstLineChars="250"/>
        <w:rPr>
          <w:rFonts w:ascii="宋体" w:hAnsi="宋体"/>
          <w:color w:val="auto"/>
          <w:sz w:val="21"/>
          <w:szCs w:val="21"/>
          <w:highlight w:val="none"/>
        </w:rPr>
      </w:pPr>
      <w:r>
        <w:rPr>
          <w:rFonts w:hint="eastAsia" w:ascii="宋体" w:hAnsi="宋体"/>
          <w:color w:val="auto"/>
          <w:sz w:val="21"/>
          <w:szCs w:val="21"/>
          <w:highlight w:val="none"/>
        </w:rPr>
        <w:t>1、建设工程在建设过程中，发生下列情况之一的，工程量清单项目及其工程量均应按实调整。</w:t>
      </w:r>
    </w:p>
    <w:p w14:paraId="0BB6AD60">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（1）建设单位提供的工程量清单项目缺项、项目多列或重复列项；</w:t>
      </w:r>
    </w:p>
    <w:p w14:paraId="495F5DED">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（2）设计变更引起新增清单项目或取消原有项目；</w:t>
      </w:r>
    </w:p>
    <w:p w14:paraId="0BF5CD5A">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（3）建设单位提供的工程量清单项目数量有误；</w:t>
      </w:r>
    </w:p>
    <w:p w14:paraId="23D5F306">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（4）设计变更引起的工程量清单项目数量的增减。</w:t>
      </w:r>
    </w:p>
    <w:p w14:paraId="17A632FF">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清单项目或工程量的调整应根据施工图纸、设计变更联系单等内容，并按计价依据和工程量计算规则等计算确定。</w:t>
      </w:r>
    </w:p>
    <w:p w14:paraId="58619FEE">
      <w:pPr>
        <w:spacing w:line="460" w:lineRule="exact"/>
        <w:ind w:firstLine="525" w:firstLineChars="250"/>
        <w:rPr>
          <w:rFonts w:ascii="宋体" w:hAnsi="宋体"/>
          <w:color w:val="auto"/>
          <w:sz w:val="21"/>
          <w:szCs w:val="21"/>
          <w:highlight w:val="none"/>
        </w:rPr>
      </w:pPr>
      <w:r>
        <w:rPr>
          <w:rFonts w:hint="eastAsia" w:ascii="宋体" w:hAnsi="宋体"/>
          <w:color w:val="auto"/>
          <w:sz w:val="21"/>
          <w:szCs w:val="21"/>
          <w:highlight w:val="none"/>
        </w:rPr>
        <w:t>2、变更的估价原则</w:t>
      </w:r>
    </w:p>
    <w:p w14:paraId="14A1F1CF">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（1）如果取消某项工作，则该项工作的总额价不予支付。</w:t>
      </w:r>
    </w:p>
    <w:p w14:paraId="2BE1DF06">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（2）因施工中出现施工图纸与工程量清单项目特征描述不符、分部分项工程量清单项目缺项、非施工企业原因的工程变更等，引起新的工程项目，其相应的综合单价按以下方法确定：</w:t>
      </w:r>
    </w:p>
    <w:p w14:paraId="23BA3600">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a.已标价工程量清单中存在适用于变更工程项目的，采用该项目的单价；</w:t>
      </w:r>
    </w:p>
    <w:p w14:paraId="478D29D9">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b.已标价工程量清单中不存在适用单价但存在与变更工程类似项目价格的，可以参照类似项目的单价；</w:t>
      </w:r>
    </w:p>
    <w:p w14:paraId="4F64B5A6">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c.</w:t>
      </w:r>
      <w:r>
        <w:rPr>
          <w:rFonts w:ascii="宋体" w:hAnsi="宋体"/>
          <w:color w:val="auto"/>
          <w:sz w:val="21"/>
          <w:szCs w:val="21"/>
          <w:highlight w:val="none"/>
        </w:rPr>
        <w:t>已标价工程量清单中不存在适用的价格也没有类似的变更工程项目价格的，则由</w:t>
      </w:r>
      <w:r>
        <w:rPr>
          <w:rFonts w:hint="eastAsia" w:ascii="宋体" w:hAnsi="宋体"/>
          <w:color w:val="auto"/>
          <w:sz w:val="21"/>
          <w:szCs w:val="21"/>
          <w:highlight w:val="none"/>
          <w:lang w:eastAsia="zh-CN"/>
        </w:rPr>
        <w:t>供应商</w:t>
      </w:r>
      <w:r>
        <w:rPr>
          <w:rFonts w:ascii="宋体" w:hAnsi="宋体"/>
          <w:color w:val="auto"/>
          <w:sz w:val="21"/>
          <w:szCs w:val="21"/>
          <w:highlight w:val="none"/>
        </w:rPr>
        <w:t>按照</w:t>
      </w:r>
      <w:r>
        <w:rPr>
          <w:rFonts w:hint="eastAsia" w:ascii="宋体" w:hAnsi="宋体"/>
          <w:color w:val="auto"/>
          <w:sz w:val="21"/>
          <w:szCs w:val="21"/>
          <w:highlight w:val="none"/>
        </w:rPr>
        <w:t>《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3830—2018）、《公路工程概算定额》（JTG/T 3831-2018）、《公路工程预算定额》（JTG/T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r>
        <w:rPr>
          <w:rFonts w:ascii="宋体" w:hAnsi="宋体"/>
          <w:color w:val="auto"/>
          <w:sz w:val="21"/>
          <w:szCs w:val="21"/>
          <w:highlight w:val="none"/>
        </w:rPr>
        <w:t>（有交通定额的采用交通定额，无交通定额的参照相近定额）</w:t>
      </w:r>
      <w:r>
        <w:rPr>
          <w:rFonts w:hint="eastAsia" w:ascii="宋体" w:hAnsi="宋体"/>
          <w:color w:val="auto"/>
          <w:sz w:val="21"/>
          <w:szCs w:val="21"/>
          <w:highlight w:val="none"/>
        </w:rPr>
        <w:t>以及招标人测算价的相应取费费率（其他公路标准取费)</w:t>
      </w:r>
      <w:r>
        <w:rPr>
          <w:rFonts w:ascii="宋体" w:hAnsi="宋体"/>
          <w:color w:val="auto"/>
          <w:sz w:val="21"/>
          <w:szCs w:val="21"/>
          <w:highlight w:val="none"/>
        </w:rPr>
        <w:t>和宁波市交通运输局（</w:t>
      </w:r>
      <w:r>
        <w:rPr>
          <w:rFonts w:ascii="宋体" w:hAnsi="宋体"/>
          <w:color w:val="auto"/>
          <w:sz w:val="21"/>
          <w:szCs w:val="21"/>
          <w:highlight w:val="none"/>
        </w:rPr>
        <w:drawing>
          <wp:inline distT="0" distB="0" distL="0" distR="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21"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olor w:val="auto"/>
          <w:sz w:val="21"/>
          <w:szCs w:val="21"/>
          <w:highlight w:val="none"/>
        </w:rPr>
        <w:t>http://jtw.ningbo.gov.cn/）统计数据宁波市202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9 </w:t>
      </w:r>
      <w:r>
        <w:rPr>
          <w:rFonts w:ascii="宋体" w:hAnsi="宋体"/>
          <w:color w:val="auto"/>
          <w:sz w:val="21"/>
          <w:szCs w:val="21"/>
          <w:highlight w:val="none"/>
        </w:rPr>
        <w:t>月份材料信息价中的宁海县部分的材料信息价，宁海县未发布的采用宁波市材料信息价（若材料品种或规格不全时，可采用浙江省交通工程造价管理站同期发布的材料信息价格及202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9 </w:t>
      </w:r>
      <w:r>
        <w:rPr>
          <w:rFonts w:ascii="宋体" w:hAnsi="宋体"/>
          <w:color w:val="auto"/>
          <w:sz w:val="21"/>
          <w:szCs w:val="21"/>
          <w:highlight w:val="none"/>
        </w:rPr>
        <w:t>月份的宁波建设工程造价信息）</w:t>
      </w:r>
      <w:r>
        <w:rPr>
          <w:rFonts w:hint="eastAsia" w:ascii="宋体" w:hAnsi="宋体"/>
          <w:color w:val="auto"/>
          <w:sz w:val="21"/>
          <w:szCs w:val="21"/>
          <w:highlight w:val="none"/>
        </w:rPr>
        <w:t>,</w:t>
      </w:r>
      <w:r>
        <w:rPr>
          <w:rFonts w:ascii="宋体" w:hAnsi="宋体"/>
          <w:color w:val="auto"/>
          <w:sz w:val="21"/>
          <w:szCs w:val="21"/>
          <w:highlight w:val="none"/>
        </w:rPr>
        <w:t>以上信息价均缺项的材料按市场</w:t>
      </w:r>
      <w:r>
        <w:rPr>
          <w:rFonts w:hint="eastAsia" w:ascii="宋体" w:hAnsi="宋体"/>
          <w:color w:val="auto"/>
          <w:sz w:val="21"/>
          <w:szCs w:val="21"/>
          <w:highlight w:val="none"/>
        </w:rPr>
        <w:t>含</w:t>
      </w:r>
      <w:r>
        <w:rPr>
          <w:rFonts w:ascii="宋体" w:hAnsi="宋体"/>
          <w:color w:val="auto"/>
          <w:sz w:val="21"/>
          <w:szCs w:val="21"/>
          <w:highlight w:val="none"/>
        </w:rPr>
        <w:t>税价计取，并按中标下浮率</w:t>
      </w:r>
      <w:r>
        <w:rPr>
          <w:rFonts w:hint="eastAsia" w:ascii="宋体" w:hAnsi="宋体"/>
          <w:color w:val="auto"/>
          <w:sz w:val="21"/>
          <w:szCs w:val="21"/>
          <w:highlight w:val="none"/>
        </w:rPr>
        <w:t>结算</w:t>
      </w:r>
      <w:r>
        <w:rPr>
          <w:rFonts w:ascii="宋体" w:hAnsi="宋体"/>
          <w:color w:val="auto"/>
          <w:sz w:val="21"/>
          <w:szCs w:val="21"/>
          <w:highlight w:val="none"/>
        </w:rPr>
        <w:t>，</w:t>
      </w:r>
      <w:r>
        <w:rPr>
          <w:rFonts w:hint="eastAsia" w:ascii="宋体" w:hAnsi="宋体"/>
          <w:color w:val="auto"/>
          <w:sz w:val="21"/>
          <w:szCs w:val="21"/>
          <w:highlight w:val="none"/>
        </w:rPr>
        <w:t>特殊材料按业主签证单结算，只计取税金，不计其他任何费用，不下浮。</w:t>
      </w:r>
    </w:p>
    <w:p w14:paraId="77B53631">
      <w:pPr>
        <w:pStyle w:val="32"/>
        <w:spacing w:line="460" w:lineRule="exact"/>
        <w:ind w:firstLine="458"/>
        <w:rPr>
          <w:rFonts w:hAnsi="宋体"/>
          <w:b/>
          <w:color w:val="auto"/>
          <w:sz w:val="21"/>
          <w:szCs w:val="21"/>
          <w:highlight w:val="none"/>
        </w:rPr>
      </w:pPr>
      <w:r>
        <w:rPr>
          <w:rFonts w:hint="eastAsia" w:hAnsi="宋体"/>
          <w:b/>
          <w:color w:val="auto"/>
          <w:sz w:val="21"/>
          <w:szCs w:val="21"/>
          <w:highlight w:val="none"/>
        </w:rPr>
        <w:t>十二、价格调整</w:t>
      </w:r>
    </w:p>
    <w:p w14:paraId="7A28EBA5">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本项目在合同实施期间不进行调价。</w:t>
      </w:r>
    </w:p>
    <w:p w14:paraId="6EB27F19">
      <w:pPr>
        <w:pStyle w:val="32"/>
        <w:spacing w:line="460" w:lineRule="exact"/>
        <w:ind w:firstLine="458"/>
        <w:rPr>
          <w:rFonts w:hAnsi="宋体"/>
          <w:b/>
          <w:color w:val="auto"/>
          <w:sz w:val="21"/>
          <w:szCs w:val="21"/>
          <w:highlight w:val="none"/>
        </w:rPr>
      </w:pPr>
      <w:r>
        <w:rPr>
          <w:rFonts w:hint="eastAsia" w:hAnsi="宋体"/>
          <w:b/>
          <w:color w:val="auto"/>
          <w:sz w:val="21"/>
          <w:szCs w:val="21"/>
          <w:highlight w:val="none"/>
        </w:rPr>
        <w:t>十三、竣工结算办法：</w:t>
      </w:r>
    </w:p>
    <w:p w14:paraId="44016A44">
      <w:pPr>
        <w:spacing w:line="336" w:lineRule="auto"/>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1、本合同采用合同当事人签订的合同协议书中约定的价格形式，即：</w:t>
      </w:r>
      <w:r>
        <w:rPr>
          <w:rFonts w:hint="eastAsia" w:ascii="宋体" w:hAnsi="宋体"/>
          <w:color w:val="auto"/>
          <w:kern w:val="0"/>
          <w:sz w:val="21"/>
          <w:szCs w:val="21"/>
          <w:highlight w:val="none"/>
          <w:u w:val="single"/>
        </w:rPr>
        <w:t>单价合同</w:t>
      </w:r>
      <w:r>
        <w:rPr>
          <w:rFonts w:hint="eastAsia" w:ascii="宋体" w:hAnsi="宋体"/>
          <w:color w:val="auto"/>
          <w:kern w:val="0"/>
          <w:sz w:val="21"/>
          <w:szCs w:val="21"/>
          <w:highlight w:val="none"/>
        </w:rPr>
        <w:t>。</w:t>
      </w:r>
    </w:p>
    <w:p w14:paraId="6B1A486A">
      <w:pPr>
        <w:spacing w:line="336" w:lineRule="auto"/>
        <w:ind w:firstLine="420" w:firstLineChars="200"/>
        <w:textAlignment w:val="baseline"/>
        <w:rPr>
          <w:rFonts w:ascii="宋体" w:hAnsi="宋体"/>
          <w:color w:val="auto"/>
          <w:sz w:val="21"/>
          <w:szCs w:val="21"/>
          <w:highlight w:val="none"/>
        </w:rPr>
      </w:pPr>
      <w:r>
        <w:rPr>
          <w:rFonts w:hint="eastAsia" w:ascii="宋体" w:hAnsi="宋体"/>
          <w:color w:val="auto"/>
          <w:kern w:val="0"/>
          <w:sz w:val="21"/>
          <w:szCs w:val="21"/>
          <w:highlight w:val="none"/>
        </w:rPr>
        <w:t>2、</w:t>
      </w:r>
      <w:r>
        <w:rPr>
          <w:rFonts w:hint="eastAsia" w:ascii="宋体" w:hAnsi="宋体"/>
          <w:color w:val="auto"/>
          <w:sz w:val="21"/>
          <w:szCs w:val="21"/>
          <w:highlight w:val="none"/>
        </w:rPr>
        <w:t>合同价格确定方法：以</w:t>
      </w:r>
      <w:r>
        <w:rPr>
          <w:rFonts w:hint="eastAsia" w:ascii="宋体" w:hAnsi="宋体"/>
          <w:color w:val="auto"/>
          <w:sz w:val="21"/>
          <w:szCs w:val="21"/>
          <w:highlight w:val="none"/>
          <w:lang w:val="en-US" w:eastAsia="zh-CN"/>
        </w:rPr>
        <w:t>投标报价</w:t>
      </w:r>
      <w:r>
        <w:rPr>
          <w:rFonts w:hint="eastAsia" w:ascii="宋体" w:hAnsi="宋体"/>
          <w:color w:val="auto"/>
          <w:sz w:val="21"/>
          <w:szCs w:val="21"/>
          <w:highlight w:val="none"/>
        </w:rPr>
        <w:t>作为合同单价。竣工结算时以实际完成并经业主代表签证的工程量作为竣工结算依据。</w:t>
      </w:r>
    </w:p>
    <w:p w14:paraId="6B1996C9">
      <w:pPr>
        <w:pStyle w:val="32"/>
        <w:spacing w:line="341" w:lineRule="auto"/>
        <w:ind w:firstLine="458"/>
        <w:rPr>
          <w:rFonts w:hAnsi="宋体"/>
          <w:b/>
          <w:color w:val="auto"/>
          <w:sz w:val="21"/>
          <w:szCs w:val="21"/>
          <w:highlight w:val="none"/>
        </w:rPr>
      </w:pPr>
      <w:r>
        <w:rPr>
          <w:rFonts w:hint="eastAsia" w:hAnsi="宋体" w:cs="Courier New"/>
          <w:b/>
          <w:color w:val="auto"/>
          <w:sz w:val="21"/>
          <w:szCs w:val="21"/>
          <w:highlight w:val="none"/>
        </w:rPr>
        <w:t>十四、</w:t>
      </w:r>
      <w:r>
        <w:rPr>
          <w:rFonts w:hint="eastAsia" w:hAnsi="宋体"/>
          <w:b/>
          <w:color w:val="auto"/>
          <w:sz w:val="21"/>
          <w:szCs w:val="21"/>
          <w:highlight w:val="none"/>
        </w:rPr>
        <w:t>材料采购：</w:t>
      </w:r>
    </w:p>
    <w:p w14:paraId="4CB0618B">
      <w:pPr>
        <w:spacing w:line="341" w:lineRule="auto"/>
        <w:ind w:firstLine="417" w:firstLineChars="199"/>
        <w:rPr>
          <w:rFonts w:ascii="宋体" w:hAnsi="宋体"/>
          <w:color w:val="auto"/>
          <w:sz w:val="21"/>
          <w:szCs w:val="21"/>
          <w:highlight w:val="none"/>
        </w:rPr>
      </w:pPr>
      <w:r>
        <w:rPr>
          <w:rFonts w:hint="eastAsia" w:ascii="宋体" w:hAnsi="宋体"/>
          <w:color w:val="auto"/>
          <w:sz w:val="21"/>
          <w:szCs w:val="21"/>
          <w:highlight w:val="none"/>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14:paraId="318C956D">
      <w:pPr>
        <w:spacing w:line="341" w:lineRule="auto"/>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十五、竣工验收</w:t>
      </w:r>
    </w:p>
    <w:p w14:paraId="2E32BA7F">
      <w:pPr>
        <w:spacing w:line="341" w:lineRule="auto"/>
        <w:ind w:firstLine="417" w:firstLineChars="199"/>
        <w:rPr>
          <w:rFonts w:ascii="宋体" w:hAnsi="宋体"/>
          <w:color w:val="auto"/>
          <w:sz w:val="21"/>
          <w:szCs w:val="21"/>
          <w:highlight w:val="none"/>
        </w:rPr>
      </w:pPr>
      <w:r>
        <w:rPr>
          <w:rFonts w:hint="eastAsia" w:ascii="宋体" w:hAnsi="宋体"/>
          <w:color w:val="auto"/>
          <w:sz w:val="21"/>
          <w:szCs w:val="21"/>
          <w:highlight w:val="none"/>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14:paraId="67BF5961">
      <w:pPr>
        <w:spacing w:line="341" w:lineRule="auto"/>
        <w:ind w:firstLine="420" w:firstLineChars="200"/>
        <w:rPr>
          <w:rFonts w:ascii="宋体" w:hAnsi="宋体" w:cs="Courier New"/>
          <w:color w:val="auto"/>
          <w:sz w:val="21"/>
          <w:szCs w:val="21"/>
          <w:highlight w:val="none"/>
        </w:rPr>
      </w:pPr>
      <w:r>
        <w:rPr>
          <w:rFonts w:hint="eastAsia" w:ascii="宋体" w:hAnsi="宋体" w:cs="Courier New"/>
          <w:color w:val="auto"/>
          <w:sz w:val="21"/>
          <w:szCs w:val="21"/>
          <w:highlight w:val="none"/>
        </w:rPr>
        <w:t>2.待甲方组织验收通过后，方能作为最终验收合格。</w:t>
      </w:r>
    </w:p>
    <w:p w14:paraId="43116CE6">
      <w:pPr>
        <w:pStyle w:val="32"/>
        <w:spacing w:line="341" w:lineRule="auto"/>
        <w:ind w:firstLine="422" w:firstLineChars="200"/>
        <w:rPr>
          <w:rFonts w:hAnsi="宋体"/>
          <w:b/>
          <w:color w:val="auto"/>
          <w:sz w:val="21"/>
          <w:szCs w:val="21"/>
          <w:highlight w:val="none"/>
        </w:rPr>
      </w:pPr>
      <w:r>
        <w:rPr>
          <w:rFonts w:hint="eastAsia" w:hAnsi="宋体"/>
          <w:b/>
          <w:color w:val="auto"/>
          <w:sz w:val="21"/>
          <w:szCs w:val="21"/>
          <w:highlight w:val="none"/>
        </w:rPr>
        <w:t>十</w:t>
      </w:r>
      <w:r>
        <w:rPr>
          <w:rFonts w:hint="eastAsia" w:hAnsi="宋体"/>
          <w:b/>
          <w:color w:val="auto"/>
          <w:sz w:val="21"/>
          <w:szCs w:val="21"/>
          <w:highlight w:val="none"/>
          <w:lang w:val="en-US" w:eastAsia="zh-CN"/>
        </w:rPr>
        <w:t>六</w:t>
      </w:r>
      <w:r>
        <w:rPr>
          <w:rFonts w:hint="eastAsia" w:hAnsi="宋体"/>
          <w:b/>
          <w:color w:val="auto"/>
          <w:sz w:val="21"/>
          <w:szCs w:val="21"/>
          <w:highlight w:val="none"/>
        </w:rPr>
        <w:t>、缺陷责任期</w:t>
      </w:r>
    </w:p>
    <w:p w14:paraId="739C964F">
      <w:pPr>
        <w:pStyle w:val="32"/>
        <w:spacing w:line="341" w:lineRule="auto"/>
        <w:ind w:firstLine="420" w:firstLineChars="200"/>
        <w:rPr>
          <w:rFonts w:hAnsi="宋体"/>
          <w:color w:val="auto"/>
          <w:sz w:val="21"/>
          <w:szCs w:val="21"/>
          <w:highlight w:val="none"/>
        </w:rPr>
      </w:pPr>
      <w:r>
        <w:rPr>
          <w:rFonts w:hint="eastAsia" w:hAnsi="宋体"/>
          <w:color w:val="auto"/>
          <w:sz w:val="21"/>
          <w:szCs w:val="21"/>
          <w:highlight w:val="none"/>
        </w:rPr>
        <w:t>1、缺陷责任期自实际竣（交）工日期起计算 1 年，其中轻量化监测系统为2年。</w:t>
      </w:r>
    </w:p>
    <w:p w14:paraId="6790004B">
      <w:pPr>
        <w:pStyle w:val="32"/>
        <w:spacing w:line="341" w:lineRule="auto"/>
        <w:ind w:firstLine="420" w:firstLineChars="200"/>
        <w:rPr>
          <w:rFonts w:hAnsi="宋体"/>
          <w:color w:val="auto"/>
          <w:sz w:val="21"/>
          <w:szCs w:val="21"/>
          <w:highlight w:val="none"/>
        </w:rPr>
      </w:pPr>
      <w:r>
        <w:rPr>
          <w:rFonts w:hint="eastAsia" w:hAnsi="宋体"/>
          <w:color w:val="auto"/>
          <w:sz w:val="21"/>
          <w:szCs w:val="21"/>
          <w:highlight w:val="none"/>
        </w:rPr>
        <w:t>2、因</w:t>
      </w:r>
      <w:r>
        <w:rPr>
          <w:rFonts w:hint="eastAsia" w:hAnsi="宋体"/>
          <w:color w:val="auto"/>
          <w:sz w:val="21"/>
          <w:szCs w:val="21"/>
          <w:highlight w:val="none"/>
          <w:lang w:eastAsia="zh-CN"/>
        </w:rPr>
        <w:t>供应商</w:t>
      </w:r>
      <w:r>
        <w:rPr>
          <w:rFonts w:hint="eastAsia" w:hAnsi="宋体"/>
          <w:color w:val="auto"/>
          <w:sz w:val="21"/>
          <w:szCs w:val="21"/>
          <w:highlight w:val="none"/>
        </w:rPr>
        <w:t>原因导致的缺陷使工程或某项主要设备不能按原定目的使用的，</w:t>
      </w:r>
      <w:r>
        <w:rPr>
          <w:rFonts w:hint="eastAsia" w:hAnsi="宋体"/>
          <w:color w:val="auto"/>
          <w:sz w:val="21"/>
          <w:szCs w:val="21"/>
          <w:highlight w:val="none"/>
          <w:lang w:eastAsia="zh-CN"/>
        </w:rPr>
        <w:t>采购人</w:t>
      </w:r>
      <w:r>
        <w:rPr>
          <w:rFonts w:hint="eastAsia" w:hAnsi="宋体"/>
          <w:color w:val="auto"/>
          <w:sz w:val="21"/>
          <w:szCs w:val="21"/>
          <w:highlight w:val="none"/>
        </w:rPr>
        <w:t>有权在原缺陷责任期届满前要求施工</w:t>
      </w:r>
      <w:r>
        <w:rPr>
          <w:rFonts w:hint="eastAsia" w:hAnsi="宋体"/>
          <w:color w:val="auto"/>
          <w:sz w:val="21"/>
          <w:szCs w:val="21"/>
          <w:highlight w:val="none"/>
          <w:lang w:eastAsia="zh-CN"/>
        </w:rPr>
        <w:t>供应商</w:t>
      </w:r>
      <w:r>
        <w:rPr>
          <w:rFonts w:hint="eastAsia" w:hAnsi="宋体"/>
          <w:color w:val="auto"/>
          <w:sz w:val="21"/>
          <w:szCs w:val="21"/>
          <w:highlight w:val="none"/>
        </w:rPr>
        <w:t>延长缺陷责任期。</w:t>
      </w:r>
    </w:p>
    <w:p w14:paraId="08B442B8">
      <w:pPr>
        <w:pStyle w:val="32"/>
        <w:spacing w:line="341"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3、在约定的缺陷责任期满，且交通主管部门已按规定完成对工程竣工质量评定备案（鉴定）或已完成质量专项验收，</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应在14天内会同</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按照合同约定的内容核实</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是否完成缺陷责任。</w:t>
      </w:r>
    </w:p>
    <w:p w14:paraId="17E389E0">
      <w:pPr>
        <w:pStyle w:val="32"/>
        <w:spacing w:line="341"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十</w:t>
      </w:r>
      <w:r>
        <w:rPr>
          <w:rFonts w:hint="eastAsia" w:hAnsi="宋体" w:cs="宋体"/>
          <w:b/>
          <w:bCs/>
          <w:color w:val="auto"/>
          <w:sz w:val="21"/>
          <w:szCs w:val="21"/>
          <w:highlight w:val="none"/>
          <w:lang w:val="en-US" w:eastAsia="zh-CN"/>
        </w:rPr>
        <w:t>七</w:t>
      </w:r>
      <w:r>
        <w:rPr>
          <w:rFonts w:hint="eastAsia" w:hAnsi="宋体" w:cs="宋体"/>
          <w:b/>
          <w:bCs/>
          <w:color w:val="auto"/>
          <w:sz w:val="21"/>
          <w:szCs w:val="21"/>
          <w:highlight w:val="none"/>
        </w:rPr>
        <w:t>、违约责任</w:t>
      </w:r>
    </w:p>
    <w:p w14:paraId="4C2FB646">
      <w:pPr>
        <w:pStyle w:val="32"/>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1、发生下列情况之一，视作乙方违约，并承担相应违约金，违约金从工程款中扣除：</w:t>
      </w:r>
    </w:p>
    <w:p w14:paraId="6BDF615A">
      <w:pPr>
        <w:pStyle w:val="32"/>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 xml:space="preserve">（1）未达到工程质量验收合格标准违约金为中标价的 </w:t>
      </w:r>
      <w:r>
        <w:rPr>
          <w:rFonts w:hint="eastAsia" w:hAnsi="宋体" w:cs="宋体"/>
          <w:color w:val="auto"/>
          <w:sz w:val="21"/>
          <w:szCs w:val="21"/>
          <w:highlight w:val="none"/>
          <w:lang w:val="en-US" w:eastAsia="zh-CN"/>
        </w:rPr>
        <w:t>20</w:t>
      </w:r>
      <w:r>
        <w:rPr>
          <w:rFonts w:hint="eastAsia" w:hAnsi="宋体" w:cs="宋体"/>
          <w:color w:val="auto"/>
          <w:sz w:val="21"/>
          <w:szCs w:val="21"/>
          <w:highlight w:val="none"/>
        </w:rPr>
        <w:t xml:space="preserve"> %；</w:t>
      </w:r>
    </w:p>
    <w:p w14:paraId="003E096D">
      <w:pPr>
        <w:pStyle w:val="32"/>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（2）未履行安全文明施工承诺违约金为中标价的 1.5 %；</w:t>
      </w:r>
    </w:p>
    <w:p w14:paraId="22DD3B72">
      <w:pPr>
        <w:pStyle w:val="32"/>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2、发生下列情况之一，视作乙方违约，实际施工期到位率以监理和甲方当月统计情况为准，违约金从工程进度款中扣除：</w:t>
      </w:r>
    </w:p>
    <w:p w14:paraId="5ECBA6A7">
      <w:pPr>
        <w:pStyle w:val="32"/>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14:paraId="4106F498">
      <w:pPr>
        <w:pStyle w:val="32"/>
        <w:spacing w:line="341"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（2）当</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因工作安排或其它原因确需调换主要人员时，须事先得到</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的书面批准，更换的人员资质不得低于原被替换人员的资质 ，经</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批准同意更换的，按下述规定课以违约金：项目经理 5 万元/次，项目技术负责人4 万元/次，其他主要人员 3万元/ 次；若未经批准擅自更换的，按下述规定课以违约金：项目经理 10 万元/次，项目技术负责人 8 万元/次，其他主要人员 5 万元/ 次。</w:t>
      </w:r>
    </w:p>
    <w:p w14:paraId="49760A93">
      <w:pPr>
        <w:pStyle w:val="32"/>
        <w:spacing w:line="341" w:lineRule="auto"/>
        <w:ind w:firstLine="420" w:firstLineChars="20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3、对供应商无故弃标、降低服务标准、不能兑现质量工期承诺等情形，将纳入“黑名单”管理，限制参与县内招标投标及相关活动。</w:t>
      </w:r>
    </w:p>
    <w:p w14:paraId="4E55A05B">
      <w:pPr>
        <w:pStyle w:val="32"/>
        <w:spacing w:line="341" w:lineRule="auto"/>
        <w:ind w:firstLine="420" w:firstLineChars="200"/>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4、合同执行过程中不得随意变更，对合同管理不到位导致低价中标、高价结算的项目，将严格追究相关负责人责任。</w:t>
      </w:r>
    </w:p>
    <w:p w14:paraId="5CAB7902">
      <w:pPr>
        <w:pStyle w:val="32"/>
        <w:spacing w:line="341" w:lineRule="auto"/>
        <w:ind w:firstLine="422" w:firstLineChars="200"/>
        <w:rPr>
          <w:rFonts w:hAnsi="宋体"/>
          <w:b/>
          <w:color w:val="auto"/>
          <w:sz w:val="21"/>
          <w:szCs w:val="21"/>
          <w:highlight w:val="none"/>
        </w:rPr>
      </w:pPr>
      <w:r>
        <w:rPr>
          <w:rFonts w:hint="eastAsia" w:hAnsi="宋体"/>
          <w:b/>
          <w:color w:val="auto"/>
          <w:sz w:val="21"/>
          <w:szCs w:val="21"/>
          <w:highlight w:val="none"/>
        </w:rPr>
        <w:t>十</w:t>
      </w:r>
      <w:r>
        <w:rPr>
          <w:rFonts w:hint="eastAsia" w:hAnsi="宋体"/>
          <w:b/>
          <w:color w:val="auto"/>
          <w:sz w:val="21"/>
          <w:szCs w:val="21"/>
          <w:highlight w:val="none"/>
          <w:lang w:val="en-US" w:eastAsia="zh-CN"/>
        </w:rPr>
        <w:t>八</w:t>
      </w:r>
      <w:r>
        <w:rPr>
          <w:rFonts w:hint="eastAsia" w:hAnsi="宋体"/>
          <w:b/>
          <w:color w:val="auto"/>
          <w:sz w:val="21"/>
          <w:szCs w:val="21"/>
          <w:highlight w:val="none"/>
        </w:rPr>
        <w:t>、其他规定：</w:t>
      </w:r>
    </w:p>
    <w:p w14:paraId="0D3D7D26">
      <w:pPr>
        <w:spacing w:line="341" w:lineRule="auto"/>
        <w:ind w:firstLine="420" w:firstLineChars="200"/>
        <w:rPr>
          <w:rFonts w:ascii="宋体" w:hAnsi="宋体" w:cs="Courier New"/>
          <w:color w:val="auto"/>
          <w:sz w:val="21"/>
          <w:szCs w:val="21"/>
          <w:highlight w:val="none"/>
        </w:rPr>
      </w:pPr>
      <w:r>
        <w:rPr>
          <w:rFonts w:hint="eastAsia" w:ascii="宋体" w:hAnsi="宋体" w:cs="Courier New"/>
          <w:color w:val="auto"/>
          <w:sz w:val="21"/>
          <w:szCs w:val="21"/>
          <w:highlight w:val="none"/>
        </w:rPr>
        <w:t>1、乙方应于合同签订后3个工作日内、工程开工前向</w:t>
      </w:r>
      <w:r>
        <w:rPr>
          <w:rFonts w:hint="eastAsia" w:ascii="宋体" w:hAnsi="宋体"/>
          <w:color w:val="auto"/>
          <w:sz w:val="21"/>
          <w:szCs w:val="21"/>
          <w:highlight w:val="none"/>
        </w:rPr>
        <w:t>甲方</w:t>
      </w:r>
      <w:r>
        <w:rPr>
          <w:rFonts w:hint="eastAsia" w:ascii="宋体" w:hAnsi="宋体" w:cs="Courier New"/>
          <w:color w:val="auto"/>
          <w:sz w:val="21"/>
          <w:szCs w:val="21"/>
          <w:highlight w:val="none"/>
        </w:rPr>
        <w:t>提供开工报告。若乙方未按此规定执行，甲方可以推迟付款时间并追究乙方的逾期竣工责任。</w:t>
      </w:r>
    </w:p>
    <w:p w14:paraId="482D3CD2">
      <w:pPr>
        <w:spacing w:line="341"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2、乙方必须</w:t>
      </w:r>
      <w:r>
        <w:rPr>
          <w:rFonts w:ascii="宋体" w:hAnsi="宋体"/>
          <w:color w:val="auto"/>
          <w:sz w:val="21"/>
          <w:szCs w:val="21"/>
          <w:highlight w:val="none"/>
        </w:rPr>
        <w:t>按照《工伤保险条例》为参与该</w:t>
      </w:r>
      <w:r>
        <w:rPr>
          <w:rFonts w:hint="eastAsia" w:ascii="宋体" w:hAnsi="宋体"/>
          <w:color w:val="auto"/>
          <w:sz w:val="21"/>
          <w:szCs w:val="21"/>
          <w:highlight w:val="none"/>
        </w:rPr>
        <w:t>建设工程</w:t>
      </w:r>
      <w:r>
        <w:rPr>
          <w:rFonts w:ascii="宋体" w:hAnsi="宋体"/>
          <w:color w:val="auto"/>
          <w:sz w:val="21"/>
          <w:szCs w:val="21"/>
          <w:highlight w:val="none"/>
        </w:rPr>
        <w:t>的所有农民工统一办理参保登记和缴费手续</w:t>
      </w:r>
      <w:r>
        <w:rPr>
          <w:rFonts w:hint="eastAsia" w:ascii="宋体" w:hAnsi="宋体"/>
          <w:color w:val="auto"/>
          <w:sz w:val="21"/>
          <w:szCs w:val="21"/>
          <w:highlight w:val="none"/>
        </w:rPr>
        <w:t>，甲方已考虑该费用，已纳入本工程预算款。</w:t>
      </w:r>
    </w:p>
    <w:p w14:paraId="1C3F0E6A">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在本工程中，应严格执行《浙江省企业工资支付管理办法》（浙江省</w:t>
      </w:r>
      <w:r>
        <w:rPr>
          <w:rFonts w:ascii="宋体" w:hAnsi="宋体"/>
          <w:color w:val="auto"/>
          <w:sz w:val="21"/>
          <w:szCs w:val="21"/>
          <w:highlight w:val="none"/>
        </w:rPr>
        <w:t>人民政府第</w:t>
      </w:r>
      <w:r>
        <w:rPr>
          <w:rFonts w:hint="eastAsia" w:ascii="宋体" w:hAnsi="宋体"/>
          <w:color w:val="auto"/>
          <w:sz w:val="21"/>
          <w:szCs w:val="21"/>
          <w:highlight w:val="none"/>
        </w:rPr>
        <w:t>353号</w:t>
      </w:r>
      <w:r>
        <w:rPr>
          <w:rFonts w:ascii="宋体" w:hAnsi="宋体"/>
          <w:color w:val="auto"/>
          <w:sz w:val="21"/>
          <w:szCs w:val="21"/>
          <w:highlight w:val="none"/>
        </w:rPr>
        <w:t>令）</w:t>
      </w:r>
      <w:r>
        <w:rPr>
          <w:rFonts w:hint="eastAsia" w:ascii="宋体" w:hAnsi="宋体"/>
          <w:color w:val="auto"/>
          <w:sz w:val="21"/>
          <w:szCs w:val="21"/>
          <w:highlight w:val="none"/>
        </w:rPr>
        <w:t>、《关于进一步落实交通建设领域施工企业农民工记工考勤卡等事宜的通知》（浙交〔2009〕39号）、《关于进一步完善建筑业企业农民工工资支付保证金制度意见的通知》（浙政发〔201</w:t>
      </w:r>
      <w:r>
        <w:rPr>
          <w:rFonts w:ascii="宋体" w:hAnsi="宋体"/>
          <w:color w:val="auto"/>
          <w:sz w:val="21"/>
          <w:szCs w:val="21"/>
          <w:highlight w:val="none"/>
        </w:rPr>
        <w:t>2</w:t>
      </w:r>
      <w:r>
        <w:rPr>
          <w:rFonts w:hint="eastAsia" w:ascii="宋体" w:hAnsi="宋体"/>
          <w:color w:val="auto"/>
          <w:sz w:val="21"/>
          <w:szCs w:val="21"/>
          <w:highlight w:val="none"/>
        </w:rPr>
        <w:t>〕100号）、《浙江省人力资源和社会保障厅等6部门关于加强工程建设市场管理有效治理拖欠农民工工资问题的意见》（浙人社发〔2015〕148号）和</w:t>
      </w:r>
      <w:r>
        <w:rPr>
          <w:rFonts w:ascii="宋体" w:hAnsi="宋体"/>
          <w:color w:val="auto"/>
          <w:sz w:val="21"/>
          <w:szCs w:val="21"/>
          <w:highlight w:val="none"/>
        </w:rPr>
        <w:t>《</w:t>
      </w:r>
      <w:r>
        <w:rPr>
          <w:rFonts w:hint="eastAsia" w:ascii="宋体" w:hAnsi="宋体"/>
          <w:color w:val="auto"/>
          <w:sz w:val="21"/>
          <w:szCs w:val="21"/>
          <w:highlight w:val="none"/>
        </w:rPr>
        <w:t>国</w:t>
      </w:r>
      <w:r>
        <w:rPr>
          <w:rFonts w:ascii="宋体" w:hAnsi="宋体"/>
          <w:color w:val="auto"/>
          <w:sz w:val="21"/>
          <w:szCs w:val="21"/>
          <w:highlight w:val="none"/>
        </w:rPr>
        <w:t>务院办公厅关于全面治理拖欠农民工工资问题的意见》</w:t>
      </w:r>
      <w:r>
        <w:rPr>
          <w:rFonts w:hint="eastAsia" w:ascii="宋体" w:hAnsi="宋体"/>
          <w:color w:val="auto"/>
          <w:sz w:val="21"/>
          <w:szCs w:val="21"/>
          <w:highlight w:val="none"/>
        </w:rPr>
        <w:t>（国</w:t>
      </w:r>
      <w:r>
        <w:rPr>
          <w:rFonts w:ascii="宋体" w:hAnsi="宋体"/>
          <w:color w:val="auto"/>
          <w:sz w:val="21"/>
          <w:szCs w:val="21"/>
          <w:highlight w:val="none"/>
        </w:rPr>
        <w:t>办发</w:t>
      </w:r>
      <w:r>
        <w:rPr>
          <w:rFonts w:hint="eastAsia" w:ascii="宋体" w:hAnsi="宋体"/>
          <w:color w:val="auto"/>
          <w:sz w:val="21"/>
          <w:szCs w:val="21"/>
          <w:highlight w:val="none"/>
        </w:rPr>
        <w:t>〔201</w:t>
      </w:r>
      <w:r>
        <w:rPr>
          <w:rFonts w:ascii="宋体" w:hAnsi="宋体"/>
          <w:color w:val="auto"/>
          <w:sz w:val="21"/>
          <w:szCs w:val="21"/>
          <w:highlight w:val="none"/>
        </w:rPr>
        <w:t>6</w:t>
      </w:r>
      <w:r>
        <w:rPr>
          <w:rFonts w:hint="eastAsia" w:ascii="宋体" w:hAnsi="宋体"/>
          <w:color w:val="auto"/>
          <w:sz w:val="21"/>
          <w:szCs w:val="21"/>
          <w:highlight w:val="none"/>
        </w:rPr>
        <w:t>〕1号</w:t>
      </w:r>
      <w:r>
        <w:rPr>
          <w:rFonts w:ascii="宋体" w:hAnsi="宋体"/>
          <w:color w:val="auto"/>
          <w:sz w:val="21"/>
          <w:szCs w:val="21"/>
          <w:highlight w:val="none"/>
        </w:rPr>
        <w:t>）</w:t>
      </w:r>
      <w:r>
        <w:rPr>
          <w:rFonts w:hint="eastAsia" w:ascii="宋体" w:hAnsi="宋体"/>
          <w:color w:val="auto"/>
          <w:sz w:val="21"/>
          <w:szCs w:val="21"/>
          <w:highlight w:val="none"/>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相关制度的规定，</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全面规范工程建设领域农民工工资支付管理，切实保障农民工合法权益，需落实实名制、分帐管理、保证金、足额及时发放、银行代发，维权公示等六项制度。</w:t>
      </w:r>
    </w:p>
    <w:p w14:paraId="3341219A">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应当按月如实向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和监理人报送项目部农民工工资支付情况。</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没有按时报送农民工工资支付情况的，</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可暂缓支付当月的工程计量款。</w:t>
      </w:r>
    </w:p>
    <w:p w14:paraId="1B568588">
      <w:pPr>
        <w:pStyle w:val="32"/>
        <w:spacing w:line="420" w:lineRule="exact"/>
        <w:ind w:firstLine="420" w:firstLineChars="200"/>
        <w:rPr>
          <w:rFonts w:hAnsi="宋体"/>
          <w:color w:val="auto"/>
          <w:sz w:val="21"/>
          <w:szCs w:val="21"/>
          <w:highlight w:val="none"/>
        </w:rPr>
      </w:pPr>
      <w:r>
        <w:rPr>
          <w:rFonts w:hint="eastAsia" w:hAnsi="宋体"/>
          <w:color w:val="auto"/>
          <w:sz w:val="21"/>
          <w:szCs w:val="21"/>
          <w:highlight w:val="none"/>
        </w:rPr>
        <w:t>4</w:t>
      </w:r>
      <w:r>
        <w:rPr>
          <w:rFonts w:hint="eastAsia" w:hAnsi="宋体"/>
          <w:color w:val="auto"/>
          <w:sz w:val="21"/>
          <w:szCs w:val="21"/>
          <w:highlight w:val="none"/>
          <w:lang w:eastAsia="zh-CN"/>
        </w:rPr>
        <w:t>、</w:t>
      </w:r>
      <w:r>
        <w:rPr>
          <w:rFonts w:hint="eastAsia" w:hAnsi="宋体"/>
          <w:color w:val="auto"/>
          <w:sz w:val="21"/>
          <w:szCs w:val="21"/>
          <w:highlight w:val="none"/>
        </w:rPr>
        <w:t>乙方未按上报给甲方的工程进度报表施工，又不向甲方及时汇报和作出合理解释，应承担违约责任并支付给甲方违约金，违约金金额为</w:t>
      </w:r>
      <w:r>
        <w:rPr>
          <w:rFonts w:hint="eastAsia" w:hAnsi="宋体"/>
          <w:b/>
          <w:color w:val="auto"/>
          <w:sz w:val="21"/>
          <w:szCs w:val="21"/>
          <w:highlight w:val="none"/>
        </w:rPr>
        <w:t>中标合同金额的2%</w:t>
      </w:r>
      <w:r>
        <w:rPr>
          <w:rFonts w:hint="eastAsia" w:hAnsi="宋体"/>
          <w:color w:val="auto"/>
          <w:sz w:val="21"/>
          <w:szCs w:val="21"/>
          <w:highlight w:val="none"/>
        </w:rPr>
        <w:t>，甲方可从应向乙方支付的任何金额中扣除此项赔偿费或其他方式收回此款。在甲方同意的前提下，乙方可以根据实际情况书面调整工程进度，但施工总工期不得超过投标工期。</w:t>
      </w:r>
    </w:p>
    <w:p w14:paraId="7B3B7455">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乙方在工程竣工验收合格后必须及时提交相应施工资料，施工资料应按系统、规范、有序的原则和立卷归档的基本要求装订，经甲方审核后装订成册，一式两份。施工资料作为甲方支付工程款的必要条件之一。</w:t>
      </w:r>
    </w:p>
    <w:p w14:paraId="5A5C95A6">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w:t>
      </w:r>
      <w:r>
        <w:rPr>
          <w:rFonts w:hint="eastAsia" w:ascii="宋体" w:hAnsi="宋体"/>
          <w:color w:val="auto"/>
          <w:sz w:val="21"/>
          <w:szCs w:val="21"/>
          <w:highlight w:val="none"/>
          <w:lang w:eastAsia="zh-CN"/>
        </w:rPr>
        <w:t>、</w:t>
      </w:r>
      <w:r>
        <w:rPr>
          <w:rFonts w:hint="eastAsia" w:ascii="宋体" w:hAnsi="宋体"/>
          <w:color w:val="auto"/>
          <w:sz w:val="21"/>
          <w:szCs w:val="21"/>
          <w:highlight w:val="none"/>
        </w:rPr>
        <w:t>乙方不得转包或分包本工程，在施工过程中如发现工程转包或未经甲方同意进行发包，甲方有权终止合同。</w:t>
      </w:r>
    </w:p>
    <w:p w14:paraId="3A60A174">
      <w:pPr>
        <w:spacing w:line="420" w:lineRule="exact"/>
        <w:ind w:firstLine="420" w:firstLineChars="200"/>
        <w:rPr>
          <w:rFonts w:hint="eastAsia" w:ascii="宋体" w:hAnsi="宋体"/>
          <w:color w:val="auto"/>
          <w:sz w:val="21"/>
          <w:szCs w:val="21"/>
          <w:highlight w:val="none"/>
        </w:rPr>
      </w:pPr>
      <w:r>
        <w:rPr>
          <w:rFonts w:hint="eastAsia"/>
          <w:color w:val="auto"/>
          <w:szCs w:val="21"/>
          <w:highlight w:val="none"/>
          <w:lang w:val="en-US" w:eastAsia="zh-CN"/>
        </w:rPr>
        <w:t>7、交通管制时，接送村民的费用已包含在总价中。</w:t>
      </w:r>
    </w:p>
    <w:p w14:paraId="2064F7F3">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lang w:eastAsia="zh-CN"/>
        </w:rPr>
        <w:t>、</w:t>
      </w:r>
      <w:r>
        <w:rPr>
          <w:rFonts w:hint="eastAsia" w:ascii="宋体" w:hAnsi="宋体"/>
          <w:color w:val="auto"/>
          <w:sz w:val="21"/>
          <w:szCs w:val="21"/>
          <w:highlight w:val="none"/>
        </w:rPr>
        <w:t>发生下列情况之一的，由乙方承担违约责任，甲方有权中止承包合同并可视情况没收部分或全部工程履约保证金：未履行质量、安全承诺的、由于施工单位延误合同工期的。</w:t>
      </w:r>
    </w:p>
    <w:p w14:paraId="03E5AF89">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lang w:eastAsia="zh-CN"/>
        </w:rPr>
        <w:t>、</w:t>
      </w:r>
      <w:r>
        <w:rPr>
          <w:rFonts w:hint="eastAsia" w:ascii="宋体" w:hAnsi="宋体"/>
          <w:color w:val="auto"/>
          <w:sz w:val="21"/>
          <w:szCs w:val="21"/>
          <w:highlight w:val="none"/>
        </w:rPr>
        <w:t>争议解决：有关在履行合同中产生的争议，双方应友好协商解决。协商达不成一致意见的，任何一方均有权向工程所在地法院提起诉讼。</w:t>
      </w:r>
    </w:p>
    <w:p w14:paraId="32F08CF8">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本合同未尽事宜，由双方友好协商解决。</w:t>
      </w:r>
    </w:p>
    <w:p w14:paraId="3B3091D8">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本合同</w:t>
      </w:r>
      <w:r>
        <w:rPr>
          <w:color w:val="auto"/>
          <w:spacing w:val="-3"/>
          <w:sz w:val="21"/>
          <w:szCs w:val="21"/>
          <w:highlight w:val="none"/>
        </w:rPr>
        <w:t>在</w:t>
      </w:r>
      <w:r>
        <w:rPr>
          <w:rFonts w:hint="eastAsia"/>
          <w:color w:val="auto"/>
          <w:spacing w:val="-3"/>
          <w:sz w:val="21"/>
          <w:szCs w:val="21"/>
          <w:highlight w:val="none"/>
        </w:rPr>
        <w:t>乙方</w:t>
      </w:r>
      <w:r>
        <w:rPr>
          <w:color w:val="auto"/>
          <w:spacing w:val="-3"/>
          <w:sz w:val="21"/>
          <w:szCs w:val="21"/>
          <w:highlight w:val="none"/>
        </w:rPr>
        <w:t>提供履约担保后</w:t>
      </w:r>
      <w:r>
        <w:rPr>
          <w:rFonts w:hint="eastAsia"/>
          <w:color w:val="auto"/>
          <w:spacing w:val="-3"/>
          <w:sz w:val="21"/>
          <w:szCs w:val="21"/>
          <w:highlight w:val="none"/>
        </w:rPr>
        <w:t>，</w:t>
      </w:r>
      <w:r>
        <w:rPr>
          <w:rFonts w:hint="eastAsia" w:ascii="宋体" w:hAnsi="宋体"/>
          <w:color w:val="auto"/>
          <w:sz w:val="21"/>
          <w:szCs w:val="21"/>
          <w:highlight w:val="none"/>
        </w:rPr>
        <w:t>由甲乙双方法定代表人或授权代表签字并加盖公章或合同专用章后生效。本协议一式四份，由甲、乙双方各执一份，送交监督单位一份。</w:t>
      </w:r>
    </w:p>
    <w:p w14:paraId="70840DA8">
      <w:pPr>
        <w:pStyle w:val="2"/>
        <w:rPr>
          <w:color w:val="auto"/>
          <w:sz w:val="21"/>
          <w:szCs w:val="21"/>
          <w:highlight w:val="none"/>
        </w:rPr>
      </w:pPr>
    </w:p>
    <w:p w14:paraId="7BE3B1F1">
      <w:pPr>
        <w:spacing w:line="420" w:lineRule="exact"/>
        <w:rPr>
          <w:rFonts w:hint="eastAsia" w:ascii="宋体" w:hAnsi="宋体"/>
          <w:color w:val="auto"/>
          <w:sz w:val="21"/>
          <w:szCs w:val="21"/>
          <w:highlight w:val="none"/>
        </w:rPr>
      </w:pPr>
    </w:p>
    <w:p w14:paraId="274962B5">
      <w:pPr>
        <w:spacing w:line="420" w:lineRule="exact"/>
        <w:rPr>
          <w:rFonts w:ascii="宋体" w:hAnsi="宋体"/>
          <w:b/>
          <w:color w:val="auto"/>
          <w:kern w:val="0"/>
          <w:sz w:val="21"/>
          <w:szCs w:val="21"/>
          <w:highlight w:val="none"/>
          <w:lang w:val="zh-CN"/>
        </w:rPr>
      </w:pPr>
      <w:r>
        <w:rPr>
          <w:rFonts w:hint="eastAsia" w:ascii="宋体" w:hAnsi="宋体"/>
          <w:color w:val="auto"/>
          <w:sz w:val="21"/>
          <w:szCs w:val="21"/>
          <w:highlight w:val="none"/>
          <w:lang w:eastAsia="zh-CN"/>
        </w:rPr>
        <w:t>采购人</w:t>
      </w:r>
      <w:r>
        <w:rPr>
          <w:rFonts w:ascii="宋体" w:hAnsi="宋体"/>
          <w:color w:val="auto"/>
          <w:sz w:val="21"/>
          <w:szCs w:val="21"/>
          <w:highlight w:val="none"/>
        </w:rPr>
        <w:t>(</w:t>
      </w:r>
      <w:r>
        <w:rPr>
          <w:rFonts w:hint="eastAsia" w:ascii="宋体" w:hAnsi="宋体"/>
          <w:color w:val="auto"/>
          <w:sz w:val="21"/>
          <w:szCs w:val="21"/>
          <w:highlight w:val="none"/>
        </w:rPr>
        <w:t>公章</w:t>
      </w:r>
      <w:r>
        <w:rPr>
          <w:rFonts w:ascii="宋体" w:hAnsi="宋体"/>
          <w:color w:val="auto"/>
          <w:sz w:val="21"/>
          <w:szCs w:val="21"/>
          <w:highlight w:val="none"/>
        </w:rPr>
        <w:t>)</w:t>
      </w:r>
      <w:r>
        <w:rPr>
          <w:rFonts w:hint="eastAsia" w:ascii="宋体" w:hAnsi="宋体"/>
          <w:color w:val="auto"/>
          <w:sz w:val="21"/>
          <w:szCs w:val="21"/>
          <w:highlight w:val="none"/>
        </w:rPr>
        <w:t>：</w:t>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 xml:space="preserve">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w:t>
      </w:r>
      <w:r>
        <w:rPr>
          <w:rFonts w:hint="eastAsia" w:ascii="宋体" w:hAnsi="宋体"/>
          <w:color w:val="auto"/>
          <w:sz w:val="21"/>
          <w:szCs w:val="21"/>
          <w:highlight w:val="none"/>
          <w:lang w:eastAsia="zh-CN"/>
        </w:rPr>
        <w:t>供应商</w:t>
      </w:r>
      <w:r>
        <w:rPr>
          <w:rFonts w:ascii="宋体" w:hAnsi="宋体"/>
          <w:color w:val="auto"/>
          <w:sz w:val="21"/>
          <w:szCs w:val="21"/>
          <w:highlight w:val="none"/>
        </w:rPr>
        <w:t>(</w:t>
      </w:r>
      <w:r>
        <w:rPr>
          <w:rFonts w:hint="eastAsia" w:ascii="宋体" w:hAnsi="宋体"/>
          <w:color w:val="auto"/>
          <w:sz w:val="21"/>
          <w:szCs w:val="21"/>
          <w:highlight w:val="none"/>
        </w:rPr>
        <w:t>公章</w:t>
      </w:r>
      <w:r>
        <w:rPr>
          <w:rFonts w:ascii="宋体" w:hAnsi="宋体"/>
          <w:color w:val="auto"/>
          <w:sz w:val="21"/>
          <w:szCs w:val="21"/>
          <w:highlight w:val="none"/>
        </w:rPr>
        <w:t>)</w:t>
      </w:r>
      <w:r>
        <w:rPr>
          <w:rFonts w:hint="eastAsia" w:ascii="宋体" w:hAnsi="宋体"/>
          <w:color w:val="auto"/>
          <w:sz w:val="21"/>
          <w:szCs w:val="21"/>
          <w:highlight w:val="none"/>
        </w:rPr>
        <w:t>：</w:t>
      </w:r>
    </w:p>
    <w:p w14:paraId="7BAB8D8F">
      <w:pPr>
        <w:autoSpaceDE w:val="0"/>
        <w:autoSpaceDN w:val="0"/>
        <w:adjustRightInd w:val="0"/>
        <w:spacing w:line="420" w:lineRule="exact"/>
        <w:jc w:val="left"/>
        <w:textAlignment w:val="baseline"/>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 xml:space="preserve">法定代表人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法定代表人  </w:t>
      </w:r>
    </w:p>
    <w:p w14:paraId="1BE00626">
      <w:pPr>
        <w:autoSpaceDE w:val="0"/>
        <w:autoSpaceDN w:val="0"/>
        <w:adjustRightInd w:val="0"/>
        <w:spacing w:line="420" w:lineRule="exact"/>
        <w:jc w:val="left"/>
        <w:textAlignment w:val="baseline"/>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 xml:space="preserve">或委托代理人：（签字或盖章）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或委托代理人：（签字或盖章）</w:t>
      </w:r>
    </w:p>
    <w:p w14:paraId="60D3F4B0">
      <w:pPr>
        <w:autoSpaceDE w:val="0"/>
        <w:autoSpaceDN w:val="0"/>
        <w:adjustRightInd w:val="0"/>
        <w:spacing w:line="420" w:lineRule="exact"/>
        <w:jc w:val="left"/>
        <w:textAlignment w:val="baseline"/>
        <w:rPr>
          <w:rFonts w:ascii="宋体" w:hAnsi="宋体"/>
          <w:color w:val="auto"/>
          <w:spacing w:val="14"/>
          <w:sz w:val="21"/>
          <w:szCs w:val="21"/>
          <w:highlight w:val="none"/>
        </w:rPr>
      </w:pPr>
      <w:r>
        <w:rPr>
          <w:rFonts w:hint="eastAsia" w:ascii="宋体" w:hAnsi="宋体"/>
          <w:color w:val="auto"/>
          <w:kern w:val="0"/>
          <w:sz w:val="21"/>
          <w:szCs w:val="21"/>
          <w:highlight w:val="none"/>
          <w:lang w:val="zh-CN"/>
        </w:rPr>
        <w:t xml:space="preserve">日期：     年   月   日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日期：     年   月   日</w:t>
      </w:r>
    </w:p>
    <w:p w14:paraId="19A3F246">
      <w:pPr>
        <w:spacing w:line="340" w:lineRule="exact"/>
        <w:ind w:firstLine="420"/>
        <w:rPr>
          <w:rFonts w:ascii="宋体" w:hAnsi="宋体"/>
          <w:color w:val="auto"/>
          <w:szCs w:val="21"/>
          <w:highlight w:val="none"/>
        </w:rPr>
      </w:pPr>
      <w:r>
        <w:rPr>
          <w:rFonts w:ascii="宋体" w:hAnsi="宋体"/>
          <w:color w:val="auto"/>
          <w:kern w:val="0"/>
          <w:sz w:val="24"/>
          <w:highlight w:val="none"/>
          <w:lang w:val="zh-CN"/>
        </w:rPr>
        <w:br w:type="page"/>
      </w:r>
    </w:p>
    <w:p w14:paraId="1FEBC644">
      <w:pPr>
        <w:pStyle w:val="32"/>
        <w:spacing w:line="336" w:lineRule="auto"/>
        <w:ind w:firstLine="4016" w:firstLineChars="1250"/>
        <w:rPr>
          <w:rFonts w:hAnsi="宋体" w:cs="Courier New"/>
          <w:b/>
          <w:color w:val="auto"/>
          <w:sz w:val="32"/>
          <w:szCs w:val="32"/>
          <w:highlight w:val="none"/>
        </w:rPr>
      </w:pPr>
      <w:r>
        <w:rPr>
          <w:rFonts w:hint="eastAsia" w:ascii="仿宋_GB2312" w:hAnsi="宋体" w:eastAsia="仿宋_GB2312"/>
          <w:b/>
          <w:color w:val="auto"/>
          <w:sz w:val="32"/>
          <w:szCs w:val="32"/>
          <w:highlight w:val="none"/>
        </w:rPr>
        <w:t>第三节  廉政合同</w:t>
      </w:r>
    </w:p>
    <w:p w14:paraId="771B25F7">
      <w:pPr>
        <w:autoSpaceDE w:val="0"/>
        <w:autoSpaceDN w:val="0"/>
        <w:adjustRightInd w:val="0"/>
        <w:spacing w:line="240" w:lineRule="exact"/>
        <w:ind w:firstLine="480" w:firstLineChars="200"/>
        <w:rPr>
          <w:rFonts w:ascii="宋体" w:hAnsi="宋体" w:cs="Courier New"/>
          <w:color w:val="auto"/>
          <w:sz w:val="24"/>
          <w:highlight w:val="none"/>
        </w:rPr>
      </w:pPr>
    </w:p>
    <w:p w14:paraId="05A01DC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u w:val="single"/>
        </w:rPr>
      </w:pPr>
      <w:r>
        <w:rPr>
          <w:rFonts w:hint="eastAsia" w:ascii="宋体" w:hAnsi="宋体"/>
          <w:color w:val="auto"/>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（项目名称）的项目法人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（项目法人名称，以下简称“</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”）与该项目的施工单位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（施工单位名称，以下简称“</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”），特订立如下合同。</w:t>
      </w:r>
    </w:p>
    <w:p w14:paraId="57BC9E59">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第一条  </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和</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双方的权利和义务</w:t>
      </w:r>
    </w:p>
    <w:p w14:paraId="7120DA66">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（1）严格遵守党的政策规定和国家有关法律法规及交通运输部的有关规定。</w:t>
      </w:r>
    </w:p>
    <w:p w14:paraId="5F227779">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（2）严格执行</w:t>
      </w:r>
      <w:r>
        <w:rPr>
          <w:rFonts w:hint="eastAsia" w:ascii="宋体" w:hAnsi="宋体"/>
          <w:color w:val="auto"/>
          <w:sz w:val="21"/>
          <w:szCs w:val="21"/>
          <w:highlight w:val="none"/>
          <w:u w:val="single"/>
        </w:rPr>
        <w:t xml:space="preserve">     （项目名称）    </w:t>
      </w:r>
      <w:r>
        <w:rPr>
          <w:rFonts w:hint="eastAsia" w:ascii="宋体" w:hAnsi="宋体"/>
          <w:color w:val="auto"/>
          <w:sz w:val="21"/>
          <w:szCs w:val="21"/>
          <w:highlight w:val="none"/>
        </w:rPr>
        <w:t>施工合同文件，自觉按合同办事。</w:t>
      </w:r>
    </w:p>
    <w:p w14:paraId="25F7B7E8">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（3）双方的业务活动坚持公开、公正、诚信、透明的原则（法律认定的商业秘密和合同文件另有规定除外），不得损害国家和集体利益，不得违反工程建设管理规章制度。</w:t>
      </w:r>
    </w:p>
    <w:p w14:paraId="7D1B06D8">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（4）建立健全廉政制度，开展廉政教育，设立廉政告示牌，公布举报电话，监督并认真查处违法违纪行为。</w:t>
      </w:r>
    </w:p>
    <w:p w14:paraId="60C0F17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（5）发现对方在业务活动中有违反廉政规定的行为，有及时提醒对方纠正的权利和义务。</w:t>
      </w:r>
    </w:p>
    <w:p w14:paraId="5DA3DD2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（6）发现对方严重违反合同义务条款的行为，有向其上级有关部门举报、建议给予处理并要求告知处理结果的权利。</w:t>
      </w:r>
    </w:p>
    <w:p w14:paraId="2C40813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第二条 </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的义务</w:t>
      </w:r>
    </w:p>
    <w:p w14:paraId="419FF53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及其工作人员不得索要或接受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的礼金、有价证券和贵重物品，不得让</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报销任何应由</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或</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工作人员个人支付的费用等。</w:t>
      </w:r>
    </w:p>
    <w:p w14:paraId="2178654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工作人员不得参加</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安排的超标准宴请和娱乐活动；不得接受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提供的通讯工具、交通工具和高档办公用品等。</w:t>
      </w:r>
    </w:p>
    <w:p w14:paraId="2994A338">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及其工作人员不得要求或者接受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为其住房装修、婚丧嫁娶活动、配偶子女的工作安排以及出国出境、旅游等提供方便等。</w:t>
      </w:r>
    </w:p>
    <w:p w14:paraId="0BF35CC5">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工作人员及其配偶、子女不得从事与</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工程有关的材料设备供应、工程分包、劳务等经济活动等。</w:t>
      </w:r>
    </w:p>
    <w:p w14:paraId="6EB6416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及其工作人员不得以任何理由向承包热人推荐分包单位，不得要求</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购买合同规定外的材料和设备。</w:t>
      </w:r>
    </w:p>
    <w:p w14:paraId="67FB5490">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（6）发包工作人员要秉公办事，不准营私舞弊，不准利用职权从事各种个人有偿中介活动和安排个人施工队伍。</w:t>
      </w:r>
    </w:p>
    <w:p w14:paraId="68F6D823">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第三条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的义务</w:t>
      </w:r>
    </w:p>
    <w:p w14:paraId="07B2CE48">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不得以任何理由向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及其工作人员行贿或馈赠礼金、有价证券、贵重物品。</w:t>
      </w:r>
    </w:p>
    <w:p w14:paraId="4F38BF9B">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不得以任何名义为</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及其工作人员报销应有甲方单位或个人支付的和人费用。</w:t>
      </w:r>
    </w:p>
    <w:p w14:paraId="52AFF93F">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不得以任何理由安排</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工作人员参加超标准宴请及娱乐活动。</w:t>
      </w:r>
    </w:p>
    <w:p w14:paraId="7FA5D655">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不得为</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单位和个人购置或提供通讯工具、交通工具和高档办公用品。</w:t>
      </w:r>
    </w:p>
    <w:p w14:paraId="64C2220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（5）不得与监理、设计单位串通一气坑害</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利益。</w:t>
      </w:r>
    </w:p>
    <w:p w14:paraId="0BF6EB9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（6）不得采取其他不正当手段腐蚀拉拢有关工程管理、监理、设计人员，扰乱工程建设正常秩序。</w:t>
      </w:r>
    </w:p>
    <w:p w14:paraId="39D3B34B">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（7）不得有利用劳务、工程分包谋取私利或接受劳务、工程分包单位财物以及在材料采购中吃回扣等商业贿赂行为。</w:t>
      </w:r>
    </w:p>
    <w:p w14:paraId="56AF520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第四条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实行廉政保证金制度，</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廉政保证金与履约担保捆绑，额度为合同价的1%。</w:t>
      </w:r>
    </w:p>
    <w:p w14:paraId="529107CF">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第五条  违约责任</w:t>
      </w:r>
    </w:p>
    <w:p w14:paraId="796AD64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及其工作人员违反本合同第一、二条，按管理权限，依据有关规定给予党纪、政纪或组织处理；涉嫌犯罪的，移交司法机关追究刑事责任；给</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单位造成经济损失的，应予以赔偿。</w:t>
      </w:r>
    </w:p>
    <w:p w14:paraId="5DCAA6B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及其工作人员违反本合同第一、三条，按管理权限，依据有关规定给予党纪、政纪或组织处理；给甲方单位造成经济损失的，应予以赔偿；情节严重的，</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建议交通运输主管部门给予</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 xml:space="preserve">一至三年内不得进入其主管的公路建设市场的处罚。  </w:t>
      </w:r>
    </w:p>
    <w:p w14:paraId="09E8540F">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7C2CEAA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第七条 本合同有效期为甲乙双方签署合同之日起至该工程项目竣工验收后止；廉政责任追溯期为项目竣工后三年。</w:t>
      </w:r>
    </w:p>
    <w:p w14:paraId="63D65FC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第八条 </w:t>
      </w:r>
      <w:r>
        <w:rPr>
          <w:color w:val="auto"/>
          <w:sz w:val="21"/>
          <w:szCs w:val="21"/>
          <w:highlight w:val="none"/>
        </w:rPr>
        <w:t>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施工合同附件，与工程施工合同具有同等法律效力</w:t>
      </w:r>
      <w:r>
        <w:rPr>
          <w:rFonts w:hint="eastAsia"/>
          <w:color w:val="auto"/>
          <w:sz w:val="21"/>
          <w:szCs w:val="21"/>
          <w:highlight w:val="none"/>
        </w:rPr>
        <w:t>。</w:t>
      </w:r>
      <w:r>
        <w:rPr>
          <w:color w:val="auto"/>
          <w:sz w:val="21"/>
          <w:szCs w:val="21"/>
          <w:highlight w:val="none"/>
        </w:rPr>
        <w:t>经合同双方签署后立即生效。</w:t>
      </w:r>
    </w:p>
    <w:p w14:paraId="0737146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第九条 本合同经甲乙双方法定代表人或授权代表签字并加盖公章或合同专用章后生效。本合同一式四份，由甲、乙双方各执一份，送交监双方的督单位各一份。</w:t>
      </w:r>
    </w:p>
    <w:p w14:paraId="770AF2D9">
      <w:pPr>
        <w:spacing w:line="360" w:lineRule="auto"/>
        <w:rPr>
          <w:rFonts w:ascii="宋体" w:hAnsi="宋体"/>
          <w:color w:val="auto"/>
          <w:sz w:val="21"/>
          <w:szCs w:val="21"/>
          <w:highlight w:val="none"/>
        </w:rPr>
      </w:pPr>
    </w:p>
    <w:p w14:paraId="37F3536F">
      <w:pPr>
        <w:spacing w:line="50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56495313">
      <w:pPr>
        <w:spacing w:line="50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6A26EC79">
      <w:pPr>
        <w:spacing w:line="50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136FCCE3">
      <w:pPr>
        <w:spacing w:line="50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p>
    <w:p w14:paraId="5E708399">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7D2D98BE">
      <w:pPr>
        <w:spacing w:line="500" w:lineRule="exact"/>
        <w:ind w:firstLine="1680" w:firstLineChars="800"/>
        <w:rPr>
          <w:rFonts w:ascii="宋体" w:hAnsi="宋体"/>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p>
    <w:p w14:paraId="75A9FDC6">
      <w:pPr>
        <w:spacing w:line="240" w:lineRule="exact"/>
        <w:ind w:firstLine="525" w:firstLineChars="250"/>
        <w:rPr>
          <w:rFonts w:ascii="宋体" w:hAnsi="宋体"/>
          <w:color w:val="auto"/>
          <w:sz w:val="21"/>
          <w:szCs w:val="21"/>
          <w:highlight w:val="none"/>
        </w:rPr>
      </w:pPr>
    </w:p>
    <w:p w14:paraId="13DF2915">
      <w:pPr>
        <w:pStyle w:val="32"/>
        <w:spacing w:line="320" w:lineRule="exact"/>
        <w:rPr>
          <w:rFonts w:hAnsi="宋体"/>
          <w:color w:val="auto"/>
          <w:sz w:val="21"/>
          <w:szCs w:val="21"/>
          <w:highlight w:val="none"/>
          <w:u w:val="single"/>
        </w:rPr>
      </w:pPr>
      <w:r>
        <w:rPr>
          <w:rFonts w:hint="eastAsia" w:hAnsi="宋体"/>
          <w:color w:val="auto"/>
          <w:sz w:val="21"/>
          <w:szCs w:val="21"/>
          <w:highlight w:val="none"/>
          <w:lang w:eastAsia="zh-CN"/>
        </w:rPr>
        <w:t>采购人</w:t>
      </w:r>
      <w:r>
        <w:rPr>
          <w:rFonts w:hint="eastAsia" w:hAnsi="宋体"/>
          <w:color w:val="auto"/>
          <w:sz w:val="21"/>
          <w:szCs w:val="21"/>
          <w:highlight w:val="none"/>
        </w:rPr>
        <w:t>监督单位：</w:t>
      </w:r>
      <w:r>
        <w:rPr>
          <w:rFonts w:hint="eastAsia" w:hAnsi="宋体"/>
          <w:color w:val="auto"/>
          <w:sz w:val="21"/>
          <w:szCs w:val="21"/>
          <w:highlight w:val="none"/>
          <w:u w:val="single"/>
        </w:rPr>
        <w:t xml:space="preserve">（单位全称（盖章） </w:t>
      </w:r>
      <w:r>
        <w:rPr>
          <w:rFonts w:hint="eastAsia" w:hAnsi="宋体"/>
          <w:color w:val="auto"/>
          <w:sz w:val="21"/>
          <w:szCs w:val="21"/>
          <w:highlight w:val="none"/>
          <w:u w:val="none"/>
          <w:lang w:val="en-US" w:eastAsia="zh-CN"/>
        </w:rPr>
        <w:t xml:space="preserve">        </w:t>
      </w:r>
      <w:r>
        <w:rPr>
          <w:rFonts w:hint="eastAsia" w:hAnsi="宋体"/>
          <w:color w:val="auto"/>
          <w:sz w:val="21"/>
          <w:szCs w:val="21"/>
          <w:highlight w:val="none"/>
          <w:u w:val="none"/>
          <w:lang w:eastAsia="zh-CN"/>
        </w:rPr>
        <w:t>采购人</w:t>
      </w:r>
      <w:r>
        <w:rPr>
          <w:rFonts w:hint="eastAsia" w:hAnsi="宋体"/>
          <w:color w:val="auto"/>
          <w:sz w:val="21"/>
          <w:szCs w:val="21"/>
          <w:highlight w:val="none"/>
        </w:rPr>
        <w:t>监督单位：</w:t>
      </w:r>
      <w:r>
        <w:rPr>
          <w:rFonts w:hint="eastAsia" w:hAnsi="宋体"/>
          <w:color w:val="auto"/>
          <w:sz w:val="21"/>
          <w:szCs w:val="21"/>
          <w:highlight w:val="none"/>
          <w:u w:val="single"/>
        </w:rPr>
        <w:t>（单位全称）（盖章）</w:t>
      </w:r>
    </w:p>
    <w:p w14:paraId="1C67DC60">
      <w:pPr>
        <w:pStyle w:val="32"/>
        <w:spacing w:line="336" w:lineRule="auto"/>
        <w:jc w:val="center"/>
        <w:rPr>
          <w:rFonts w:hAnsi="宋体" w:cs="Courier New"/>
          <w:b/>
          <w:color w:val="auto"/>
          <w:sz w:val="32"/>
          <w:szCs w:val="32"/>
          <w:highlight w:val="none"/>
        </w:rPr>
      </w:pPr>
      <w:r>
        <w:rPr>
          <w:rFonts w:hAnsi="宋体"/>
          <w:color w:val="auto"/>
          <w:sz w:val="24"/>
          <w:highlight w:val="none"/>
        </w:rPr>
        <w:br w:type="page"/>
      </w:r>
      <w:r>
        <w:rPr>
          <w:rFonts w:hint="eastAsia" w:ascii="仿宋_GB2312" w:hAnsi="宋体" w:eastAsia="仿宋_GB2312"/>
          <w:b/>
          <w:color w:val="auto"/>
          <w:sz w:val="32"/>
          <w:szCs w:val="32"/>
          <w:highlight w:val="none"/>
        </w:rPr>
        <w:t>第四节 安全生产合同</w:t>
      </w:r>
    </w:p>
    <w:p w14:paraId="7CBC5442">
      <w:pPr>
        <w:autoSpaceDE w:val="0"/>
        <w:autoSpaceDN w:val="0"/>
        <w:adjustRightInd w:val="0"/>
        <w:spacing w:line="240" w:lineRule="exact"/>
        <w:ind w:firstLine="480" w:firstLineChars="200"/>
        <w:rPr>
          <w:rFonts w:ascii="宋体" w:hAnsi="宋体" w:cs="Courier New"/>
          <w:color w:val="auto"/>
          <w:sz w:val="24"/>
          <w:highlight w:val="none"/>
        </w:rPr>
      </w:pPr>
    </w:p>
    <w:p w14:paraId="42ECD5EC">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为在</w:t>
      </w:r>
      <w:r>
        <w:rPr>
          <w:rFonts w:hint="eastAsia" w:ascii="宋体" w:hAnsi="宋体"/>
          <w:color w:val="auto"/>
          <w:sz w:val="21"/>
          <w:szCs w:val="21"/>
          <w:highlight w:val="none"/>
          <w:u w:val="single"/>
        </w:rPr>
        <w:t xml:space="preserve">      （项目名称）     </w:t>
      </w:r>
      <w:r>
        <w:rPr>
          <w:rFonts w:hint="eastAsia" w:ascii="宋体" w:hAnsi="宋体"/>
          <w:color w:val="auto"/>
          <w:sz w:val="21"/>
          <w:szCs w:val="21"/>
          <w:highlight w:val="none"/>
        </w:rPr>
        <w:t>施工合同的实施过程中创造安全、高效的施工环境，切实搞好本项目安全管理工作，本项目</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名称，以下简称“甲方”）与</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名称，以下简称“乙方”）特此签订安全生产合同。</w:t>
      </w:r>
    </w:p>
    <w:p w14:paraId="29B73258">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一、甲方职责</w:t>
      </w:r>
    </w:p>
    <w:p w14:paraId="079CC3A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（1）严格遵守国家有关安全生产的法律法规，认真执行工程承包合同中的有关安全要求。</w:t>
      </w:r>
    </w:p>
    <w:p w14:paraId="5BD32CC6">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（2）按照“安全第一、预防为主”和坚持“管生产必须管安全”的原则进行安全生产管理，做到生产与安全工作同时计划、布置、检查、总结和评比。</w:t>
      </w:r>
    </w:p>
    <w:p w14:paraId="7BBE8F9F">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（3）重要的安全设施必须坚持与主体工程“三同时”的原则，即：同时设计、审批，同时施工，同时验收，投入使用。</w:t>
      </w:r>
    </w:p>
    <w:p w14:paraId="09E40DC3">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（4）定期召开安全生产调度会，及时传达中央及地方有关安全生产的精神。</w:t>
      </w:r>
    </w:p>
    <w:p w14:paraId="18C06FC6">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（5）组织对</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施工现场进行安全生产检查，监督</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及时处理发现的各种安全隐患。</w:t>
      </w:r>
    </w:p>
    <w:p w14:paraId="3425DD19">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二、乙方职责</w:t>
      </w:r>
    </w:p>
    <w:p w14:paraId="0C7AEC38">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w:t>
      </w:r>
      <w:r>
        <w:rPr>
          <w:rFonts w:hint="eastAsia" w:ascii="宋体" w:hAnsi="宋体"/>
          <w:color w:val="auto"/>
          <w:sz w:val="21"/>
          <w:szCs w:val="21"/>
          <w:highlight w:val="none"/>
          <w:lang w:val="en-US" w:eastAsia="zh-CN"/>
        </w:rPr>
        <w:t>发布的</w:t>
      </w:r>
      <w:r>
        <w:rPr>
          <w:rFonts w:hint="eastAsia" w:ascii="宋体" w:hAnsi="宋体"/>
          <w:color w:val="auto"/>
          <w:sz w:val="21"/>
          <w:szCs w:val="21"/>
          <w:highlight w:val="none"/>
        </w:rPr>
        <w:t>《浙江省交通建设工程质量和安全生产管理条例（修正文本）》、浙交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12号《浙江省交通建设工程安全生产费用管理办法》等有关安全生产的规定。认真执行工程承包合同中的有关安全要求。</w:t>
      </w:r>
    </w:p>
    <w:p w14:paraId="4E82CDD4">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64E6C48">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14:paraId="3FD0E87E">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在任何时候都应采取各种合理的预防措施，防止其员工发生任何违法、违禁、暴力或妨碍治安的行为。</w:t>
      </w:r>
    </w:p>
    <w:p w14:paraId="397A5CF3">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2789B82">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（6）对于易燃易爆的材料除应专门妥善保管之外，还应配备有足够的消防设施，所有施工人员都应熟悉消防设备的性能和使用方法；</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不得将任何种类的爆炸物给予、易货或以其他方式转让给任何其他人，或允许、容忍上述同样行为。</w:t>
      </w:r>
    </w:p>
    <w:p w14:paraId="5BBFA2B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（7）操作人员上岗，必须按规定穿戴防护用品。施工负责人和安全检查员应随时检查劳动防护用品的穿戴情况，不按规定穿戴防护用品的人员不得上岗。</w:t>
      </w:r>
    </w:p>
    <w:p w14:paraId="4E0148D9">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0E99BC9E">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（9）施工中采用新技术、新工艺、新设备、新材料时，必须制定相应的安全技术措施，施工现场必须具有相关的安全标志牌。</w:t>
      </w:r>
    </w:p>
    <w:p w14:paraId="40ADA025">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（10）</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B19341E">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（11）安全生产费用按照浙交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12号《浙江省交通建设工程安全生产费用管理办法》相关要求以及相关最新规定使用和管理。</w:t>
      </w:r>
    </w:p>
    <w:p w14:paraId="19FA7031">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（12</w:t>
      </w:r>
      <w:r>
        <w:rPr>
          <w:rFonts w:ascii="宋体" w:hAnsi="宋体"/>
          <w:color w:val="auto"/>
          <w:sz w:val="21"/>
          <w:szCs w:val="21"/>
          <w:highlight w:val="none"/>
        </w:rPr>
        <w:t>）</w:t>
      </w:r>
      <w:r>
        <w:rPr>
          <w:rFonts w:hint="eastAsia" w:ascii="宋体" w:hAnsi="宋体"/>
          <w:color w:val="auto"/>
          <w:sz w:val="21"/>
          <w:szCs w:val="21"/>
          <w:highlight w:val="none"/>
          <w:lang w:eastAsia="zh-CN"/>
        </w:rPr>
        <w:t>供应商</w:t>
      </w:r>
      <w:r>
        <w:rPr>
          <w:rFonts w:ascii="宋体" w:hAnsi="宋体"/>
          <w:color w:val="auto"/>
          <w:sz w:val="21"/>
          <w:szCs w:val="21"/>
          <w:highlight w:val="none"/>
        </w:rPr>
        <w:t>在施工期间应当服从</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w:t>
      </w:r>
      <w:r>
        <w:rPr>
          <w:rFonts w:ascii="宋体" w:hAnsi="宋体"/>
          <w:color w:val="auto"/>
          <w:sz w:val="21"/>
          <w:szCs w:val="21"/>
          <w:highlight w:val="none"/>
        </w:rPr>
        <w:t>交通</w:t>
      </w:r>
      <w:r>
        <w:rPr>
          <w:rFonts w:hint="eastAsia" w:ascii="宋体" w:hAnsi="宋体"/>
          <w:color w:val="auto"/>
          <w:sz w:val="21"/>
          <w:szCs w:val="21"/>
          <w:highlight w:val="none"/>
        </w:rPr>
        <w:t>等行业</w:t>
      </w:r>
      <w:r>
        <w:rPr>
          <w:rFonts w:ascii="宋体" w:hAnsi="宋体"/>
          <w:color w:val="auto"/>
          <w:sz w:val="21"/>
          <w:szCs w:val="21"/>
          <w:highlight w:val="none"/>
        </w:rPr>
        <w:t>主管部门的监督、检查、指令，并积极做好相关配合工作。</w:t>
      </w:r>
    </w:p>
    <w:p w14:paraId="3AA10537">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三、违约责任</w:t>
      </w:r>
    </w:p>
    <w:p w14:paraId="70B8FA9B">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如因甲方或乙方违约造成安全事故，将依法追究责任。</w:t>
      </w:r>
    </w:p>
    <w:p w14:paraId="54767712">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四、</w:t>
      </w:r>
      <w:r>
        <w:rPr>
          <w:color w:val="auto"/>
          <w:sz w:val="21"/>
          <w:szCs w:val="21"/>
          <w:highlight w:val="none"/>
        </w:rPr>
        <w:t>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施工合同附件，与工程施工合同具有同等法律效力</w:t>
      </w:r>
      <w:r>
        <w:rPr>
          <w:rFonts w:hint="eastAsia"/>
          <w:color w:val="auto"/>
          <w:sz w:val="21"/>
          <w:szCs w:val="21"/>
          <w:highlight w:val="none"/>
        </w:rPr>
        <w:t>。</w:t>
      </w:r>
    </w:p>
    <w:p w14:paraId="49078568">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五、本合同正本二份，副本八份，合同双方各执正本一份，副本四份。本合同由双方法定代表人或其授权的代理人签署并加盖公章或合同专用章后生效，全部工程竣工验收后失效。</w:t>
      </w:r>
    </w:p>
    <w:p w14:paraId="50E15CE5">
      <w:pPr>
        <w:spacing w:line="500" w:lineRule="exact"/>
        <w:rPr>
          <w:rFonts w:hint="eastAsia" w:ascii="宋体" w:hAnsi="宋体"/>
          <w:color w:val="auto"/>
          <w:sz w:val="21"/>
          <w:szCs w:val="21"/>
          <w:highlight w:val="none"/>
          <w:lang w:eastAsia="zh-CN"/>
        </w:rPr>
      </w:pPr>
    </w:p>
    <w:p w14:paraId="365B3F15">
      <w:pPr>
        <w:spacing w:line="500" w:lineRule="exact"/>
        <w:rPr>
          <w:rFonts w:hint="eastAsia" w:ascii="宋体" w:hAnsi="宋体"/>
          <w:color w:val="auto"/>
          <w:sz w:val="21"/>
          <w:szCs w:val="21"/>
          <w:highlight w:val="none"/>
          <w:lang w:eastAsia="zh-CN"/>
        </w:rPr>
      </w:pPr>
    </w:p>
    <w:p w14:paraId="58E43B9D">
      <w:pPr>
        <w:spacing w:line="500" w:lineRule="exact"/>
        <w:rPr>
          <w:rFonts w:hint="eastAsia" w:ascii="宋体" w:hAnsi="宋体"/>
          <w:color w:val="auto"/>
          <w:sz w:val="21"/>
          <w:szCs w:val="21"/>
          <w:highlight w:val="none"/>
          <w:lang w:eastAsia="zh-CN"/>
        </w:rPr>
      </w:pPr>
    </w:p>
    <w:p w14:paraId="55921473">
      <w:pPr>
        <w:spacing w:line="500" w:lineRule="exact"/>
        <w:rPr>
          <w:rFonts w:hint="eastAsia" w:ascii="宋体" w:hAnsi="宋体"/>
          <w:color w:val="auto"/>
          <w:sz w:val="21"/>
          <w:szCs w:val="21"/>
          <w:highlight w:val="none"/>
          <w:lang w:eastAsia="zh-CN"/>
        </w:rPr>
      </w:pPr>
    </w:p>
    <w:p w14:paraId="4C5FFA22">
      <w:pPr>
        <w:spacing w:line="50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2A3BD82B">
      <w:pPr>
        <w:spacing w:line="50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1ED1C903">
      <w:pPr>
        <w:spacing w:line="50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5EB91DCB">
      <w:pPr>
        <w:spacing w:line="50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其授权的代理人：</w:t>
      </w:r>
      <w:r>
        <w:rPr>
          <w:rFonts w:hint="eastAsia" w:ascii="宋体" w:hAnsi="宋体"/>
          <w:color w:val="auto"/>
          <w:sz w:val="21"/>
          <w:szCs w:val="21"/>
          <w:highlight w:val="none"/>
          <w:u w:val="single"/>
        </w:rPr>
        <w:t xml:space="preserve">                   </w:t>
      </w:r>
    </w:p>
    <w:p w14:paraId="53E60C62">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77D1B70F">
      <w:pPr>
        <w:spacing w:line="456" w:lineRule="auto"/>
        <w:ind w:firstLine="1785" w:firstLineChars="850"/>
        <w:rPr>
          <w:rFonts w:ascii="宋体" w:hAnsi="宋体"/>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p>
    <w:p w14:paraId="0156532F">
      <w:pPr>
        <w:pStyle w:val="32"/>
        <w:spacing w:line="336" w:lineRule="auto"/>
        <w:jc w:val="center"/>
        <w:rPr>
          <w:rFonts w:hAnsi="宋体" w:cs="Courier New"/>
          <w:b/>
          <w:color w:val="auto"/>
          <w:sz w:val="32"/>
          <w:szCs w:val="32"/>
          <w:highlight w:val="none"/>
        </w:rPr>
      </w:pPr>
      <w:r>
        <w:rPr>
          <w:rFonts w:hAnsi="宋体"/>
          <w:color w:val="auto"/>
          <w:sz w:val="24"/>
          <w:highlight w:val="none"/>
        </w:rPr>
        <w:br w:type="page"/>
      </w:r>
      <w:r>
        <w:rPr>
          <w:rFonts w:hint="eastAsia" w:ascii="仿宋_GB2312" w:hAnsi="宋体" w:eastAsia="仿宋_GB2312"/>
          <w:b/>
          <w:color w:val="auto"/>
          <w:sz w:val="32"/>
          <w:szCs w:val="32"/>
          <w:highlight w:val="none"/>
        </w:rPr>
        <w:t>第五节 工程质量责任合同</w:t>
      </w:r>
    </w:p>
    <w:p w14:paraId="2FD44A87">
      <w:pPr>
        <w:autoSpaceDE w:val="0"/>
        <w:autoSpaceDN w:val="0"/>
        <w:adjustRightInd w:val="0"/>
        <w:spacing w:line="336" w:lineRule="auto"/>
        <w:ind w:firstLine="480" w:firstLineChars="200"/>
        <w:rPr>
          <w:rFonts w:ascii="宋体" w:hAnsi="宋体" w:cs="Courier New"/>
          <w:color w:val="auto"/>
          <w:sz w:val="24"/>
          <w:highlight w:val="none"/>
        </w:rPr>
      </w:pPr>
    </w:p>
    <w:p w14:paraId="4FF33E64">
      <w:pPr>
        <w:spacing w:line="420" w:lineRule="exact"/>
        <w:ind w:firstLine="482"/>
        <w:rPr>
          <w:color w:val="auto"/>
          <w:sz w:val="21"/>
          <w:szCs w:val="21"/>
          <w:highlight w:val="none"/>
        </w:rPr>
      </w:pPr>
      <w:r>
        <w:rPr>
          <w:color w:val="auto"/>
          <w:sz w:val="24"/>
          <w:highlight w:val="none"/>
        </w:rPr>
        <w:t>根</w:t>
      </w:r>
      <w:r>
        <w:rPr>
          <w:color w:val="auto"/>
          <w:sz w:val="21"/>
          <w:szCs w:val="21"/>
          <w:highlight w:val="none"/>
        </w:rPr>
        <w:t>据国务院《建设工程质量管理条例》，为保证在设计使用年限内建设工程质量，</w:t>
      </w:r>
      <w:r>
        <w:rPr>
          <w:color w:val="auto"/>
          <w:sz w:val="21"/>
          <w:szCs w:val="21"/>
          <w:highlight w:val="none"/>
          <w:u w:val="single"/>
        </w:rPr>
        <w:t xml:space="preserve">   </w:t>
      </w:r>
      <w:r>
        <w:rPr>
          <w:rFonts w:hint="eastAsia"/>
          <w:color w:val="auto"/>
          <w:sz w:val="21"/>
          <w:szCs w:val="21"/>
          <w:highlight w:val="none"/>
          <w:u w:val="single"/>
        </w:rPr>
        <w:t xml:space="preserve">   （项目名称）        </w:t>
      </w:r>
      <w:r>
        <w:rPr>
          <w:rFonts w:hint="eastAsia"/>
          <w:color w:val="auto"/>
          <w:sz w:val="21"/>
          <w:szCs w:val="21"/>
          <w:highlight w:val="none"/>
        </w:rPr>
        <w:t>的</w:t>
      </w:r>
      <w:r>
        <w:rPr>
          <w:rFonts w:hint="eastAsia"/>
          <w:color w:val="auto"/>
          <w:sz w:val="21"/>
          <w:szCs w:val="21"/>
          <w:highlight w:val="none"/>
          <w:lang w:eastAsia="zh-CN"/>
        </w:rPr>
        <w:t>采购人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（以下称甲方）与施工单位</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（以下称乙方），特订立如下质量责任合同。</w:t>
      </w:r>
    </w:p>
    <w:p w14:paraId="633BC55D">
      <w:pPr>
        <w:spacing w:line="420" w:lineRule="exact"/>
        <w:ind w:firstLine="482"/>
        <w:rPr>
          <w:color w:val="auto"/>
          <w:sz w:val="21"/>
          <w:szCs w:val="21"/>
          <w:highlight w:val="none"/>
        </w:rPr>
      </w:pPr>
      <w:r>
        <w:rPr>
          <w:color w:val="auto"/>
          <w:sz w:val="21"/>
          <w:szCs w:val="21"/>
          <w:highlight w:val="none"/>
        </w:rPr>
        <w:t>第一条  本建设工程项目的质量目标为</w:t>
      </w:r>
      <w:r>
        <w:rPr>
          <w:rFonts w:hint="eastAsia"/>
          <w:color w:val="auto"/>
          <w:sz w:val="21"/>
          <w:szCs w:val="21"/>
          <w:highlight w:val="none"/>
          <w:u w:val="single"/>
        </w:rPr>
        <w:t xml:space="preserve">     </w:t>
      </w:r>
      <w:r>
        <w:rPr>
          <w:color w:val="auto"/>
          <w:sz w:val="21"/>
          <w:szCs w:val="21"/>
          <w:highlight w:val="none"/>
        </w:rPr>
        <w:t>工程，施工单位对本建设工程的施工质量在设计使用年限内依法终身负责。施工质量责任人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w:t>
      </w:r>
    </w:p>
    <w:p w14:paraId="5F055083">
      <w:pPr>
        <w:spacing w:line="420" w:lineRule="exact"/>
        <w:ind w:firstLine="482"/>
        <w:rPr>
          <w:color w:val="auto"/>
          <w:sz w:val="21"/>
          <w:szCs w:val="21"/>
          <w:highlight w:val="none"/>
        </w:rPr>
      </w:pPr>
      <w:r>
        <w:rPr>
          <w:color w:val="auto"/>
          <w:sz w:val="21"/>
          <w:szCs w:val="21"/>
          <w:highlight w:val="none"/>
        </w:rPr>
        <w:t>第二条  甲乙双方的权利与义务</w:t>
      </w:r>
    </w:p>
    <w:p w14:paraId="121CDDD9">
      <w:pPr>
        <w:spacing w:line="420" w:lineRule="exact"/>
        <w:ind w:firstLine="482"/>
        <w:rPr>
          <w:color w:val="auto"/>
          <w:sz w:val="21"/>
          <w:szCs w:val="21"/>
          <w:highlight w:val="none"/>
        </w:rPr>
      </w:pPr>
      <w:r>
        <w:rPr>
          <w:color w:val="auto"/>
          <w:sz w:val="21"/>
          <w:szCs w:val="21"/>
          <w:highlight w:val="none"/>
        </w:rPr>
        <w:t>（一）严格遵守国家有关法律法规及交通</w:t>
      </w:r>
      <w:r>
        <w:rPr>
          <w:rFonts w:hint="eastAsia"/>
          <w:color w:val="auto"/>
          <w:sz w:val="21"/>
          <w:szCs w:val="21"/>
          <w:highlight w:val="none"/>
        </w:rPr>
        <w:t>运输</w:t>
      </w:r>
      <w:r>
        <w:rPr>
          <w:color w:val="auto"/>
          <w:sz w:val="21"/>
          <w:szCs w:val="21"/>
          <w:highlight w:val="none"/>
        </w:rPr>
        <w:t>部的有关规定。</w:t>
      </w:r>
    </w:p>
    <w:p w14:paraId="33DB851F">
      <w:pPr>
        <w:spacing w:line="420" w:lineRule="exact"/>
        <w:ind w:firstLine="482"/>
        <w:rPr>
          <w:color w:val="auto"/>
          <w:sz w:val="21"/>
          <w:szCs w:val="21"/>
          <w:highlight w:val="none"/>
        </w:rPr>
      </w:pPr>
      <w:r>
        <w:rPr>
          <w:color w:val="auto"/>
          <w:sz w:val="21"/>
          <w:szCs w:val="21"/>
          <w:highlight w:val="none"/>
        </w:rPr>
        <w:t>（二）严格</w:t>
      </w:r>
      <w:r>
        <w:rPr>
          <w:color w:val="auto"/>
          <w:spacing w:val="-2"/>
          <w:sz w:val="21"/>
          <w:szCs w:val="21"/>
          <w:highlight w:val="none"/>
        </w:rPr>
        <w:t>执行</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pacing w:val="-2"/>
          <w:sz w:val="21"/>
          <w:szCs w:val="21"/>
          <w:highlight w:val="none"/>
        </w:rPr>
        <w:t>施工</w:t>
      </w:r>
      <w:r>
        <w:rPr>
          <w:color w:val="auto"/>
          <w:sz w:val="21"/>
          <w:szCs w:val="21"/>
          <w:highlight w:val="none"/>
        </w:rPr>
        <w:t>合同文件，自觉按合同办事。</w:t>
      </w:r>
    </w:p>
    <w:p w14:paraId="268B77B2">
      <w:pPr>
        <w:spacing w:line="420" w:lineRule="exact"/>
        <w:ind w:firstLine="482"/>
        <w:rPr>
          <w:color w:val="auto"/>
          <w:sz w:val="21"/>
          <w:szCs w:val="21"/>
          <w:highlight w:val="none"/>
        </w:rPr>
      </w:pPr>
      <w:r>
        <w:rPr>
          <w:color w:val="auto"/>
          <w:sz w:val="21"/>
          <w:szCs w:val="21"/>
          <w:highlight w:val="none"/>
        </w:rPr>
        <w:t>（三）双方的施工业务活动必须坚持科学、公正、诚信、平等的原则，不得损害国家、集体的利益，不得违反工程建设管理规章制度。</w:t>
      </w:r>
    </w:p>
    <w:p w14:paraId="689CD29C">
      <w:pPr>
        <w:spacing w:line="420" w:lineRule="exact"/>
        <w:ind w:firstLine="482"/>
        <w:rPr>
          <w:color w:val="auto"/>
          <w:sz w:val="21"/>
          <w:szCs w:val="21"/>
          <w:highlight w:val="none"/>
        </w:rPr>
      </w:pPr>
      <w:r>
        <w:rPr>
          <w:color w:val="auto"/>
          <w:sz w:val="21"/>
          <w:szCs w:val="21"/>
          <w:highlight w:val="none"/>
        </w:rPr>
        <w:t>（四）发现对方在施工业务活动中，有违反有关规定的行为，有及时提醒对方纠正的权利和义务。</w:t>
      </w:r>
    </w:p>
    <w:p w14:paraId="3C3B5DCC">
      <w:pPr>
        <w:spacing w:line="420" w:lineRule="exact"/>
        <w:ind w:firstLine="482"/>
        <w:rPr>
          <w:color w:val="auto"/>
          <w:sz w:val="21"/>
          <w:szCs w:val="21"/>
          <w:highlight w:val="none"/>
        </w:rPr>
      </w:pPr>
      <w:r>
        <w:rPr>
          <w:color w:val="auto"/>
          <w:sz w:val="21"/>
          <w:szCs w:val="21"/>
          <w:highlight w:val="none"/>
        </w:rPr>
        <w:t>（五）发现对方严重违反施工合同文件的行为，有向其上级有关部门举报，建议给予处理并要求告知处理结果的权利。</w:t>
      </w:r>
    </w:p>
    <w:p w14:paraId="2CD5844A">
      <w:pPr>
        <w:spacing w:line="420" w:lineRule="exact"/>
        <w:ind w:firstLine="482"/>
        <w:rPr>
          <w:color w:val="auto"/>
          <w:sz w:val="21"/>
          <w:szCs w:val="21"/>
          <w:highlight w:val="none"/>
        </w:rPr>
      </w:pPr>
      <w:r>
        <w:rPr>
          <w:color w:val="auto"/>
          <w:sz w:val="21"/>
          <w:szCs w:val="21"/>
          <w:highlight w:val="none"/>
        </w:rPr>
        <w:t>第三条  甲方的义务</w:t>
      </w:r>
    </w:p>
    <w:p w14:paraId="444C56E9">
      <w:pPr>
        <w:spacing w:line="420" w:lineRule="exact"/>
        <w:ind w:firstLine="482"/>
        <w:rPr>
          <w:color w:val="auto"/>
          <w:sz w:val="21"/>
          <w:szCs w:val="21"/>
          <w:highlight w:val="none"/>
        </w:rPr>
      </w:pPr>
      <w:r>
        <w:rPr>
          <w:color w:val="auto"/>
          <w:sz w:val="21"/>
          <w:szCs w:val="21"/>
          <w:highlight w:val="none"/>
        </w:rPr>
        <w:t>（一）</w:t>
      </w:r>
      <w:r>
        <w:rPr>
          <w:color w:val="auto"/>
          <w:spacing w:val="-5"/>
          <w:sz w:val="21"/>
          <w:szCs w:val="21"/>
          <w:highlight w:val="none"/>
        </w:rPr>
        <w:t>甲方向乙方及时提供有关资料（包括施工图）</w:t>
      </w:r>
      <w:r>
        <w:rPr>
          <w:rFonts w:hint="eastAsia"/>
          <w:color w:val="auto"/>
          <w:spacing w:val="-5"/>
          <w:sz w:val="21"/>
          <w:szCs w:val="21"/>
          <w:highlight w:val="none"/>
        </w:rPr>
        <w:t>。</w:t>
      </w:r>
    </w:p>
    <w:p w14:paraId="7221A868">
      <w:pPr>
        <w:spacing w:line="420" w:lineRule="exact"/>
        <w:ind w:firstLine="482"/>
        <w:rPr>
          <w:color w:val="auto"/>
          <w:sz w:val="21"/>
          <w:szCs w:val="21"/>
          <w:highlight w:val="none"/>
        </w:rPr>
      </w:pPr>
      <w:r>
        <w:rPr>
          <w:color w:val="auto"/>
          <w:sz w:val="21"/>
          <w:szCs w:val="21"/>
          <w:highlight w:val="none"/>
        </w:rPr>
        <w:t>（二）甲方向乙方及时</w:t>
      </w:r>
      <w:r>
        <w:rPr>
          <w:rFonts w:hint="eastAsia"/>
          <w:color w:val="auto"/>
          <w:sz w:val="21"/>
          <w:szCs w:val="21"/>
          <w:highlight w:val="none"/>
        </w:rPr>
        <w:t>提供建设用地，及时</w:t>
      </w:r>
      <w:r>
        <w:rPr>
          <w:color w:val="auto"/>
          <w:sz w:val="21"/>
          <w:szCs w:val="21"/>
          <w:highlight w:val="none"/>
        </w:rPr>
        <w:t>解决对工程占地范围以内尚未拆迁的建筑物及其他障碍物。</w:t>
      </w:r>
    </w:p>
    <w:p w14:paraId="1A62B373">
      <w:pPr>
        <w:spacing w:line="420" w:lineRule="exact"/>
        <w:ind w:firstLine="482"/>
        <w:rPr>
          <w:color w:val="auto"/>
          <w:sz w:val="21"/>
          <w:szCs w:val="21"/>
          <w:highlight w:val="none"/>
        </w:rPr>
      </w:pPr>
      <w:r>
        <w:rPr>
          <w:color w:val="auto"/>
          <w:sz w:val="21"/>
          <w:szCs w:val="21"/>
          <w:highlight w:val="none"/>
        </w:rPr>
        <w:t>（三）甲方不得指使乙方不按法律、法规、工程建设强制性标准和施工规范进行工程的施工活动。</w:t>
      </w:r>
    </w:p>
    <w:p w14:paraId="35A6740F">
      <w:pPr>
        <w:spacing w:line="420" w:lineRule="exact"/>
        <w:ind w:firstLine="482"/>
        <w:rPr>
          <w:color w:val="auto"/>
          <w:sz w:val="21"/>
          <w:szCs w:val="21"/>
          <w:highlight w:val="none"/>
        </w:rPr>
      </w:pPr>
      <w:r>
        <w:rPr>
          <w:color w:val="auto"/>
          <w:sz w:val="21"/>
          <w:szCs w:val="21"/>
          <w:highlight w:val="none"/>
        </w:rPr>
        <w:t>（四）甲方须按施工合同的约定支付工程款，除施工合同的约定外，甲方不得以任何借口克扣工程款或拖延工程款的支付。</w:t>
      </w:r>
    </w:p>
    <w:p w14:paraId="78D20C1A">
      <w:pPr>
        <w:spacing w:line="420" w:lineRule="exact"/>
        <w:ind w:firstLine="482"/>
        <w:rPr>
          <w:color w:val="auto"/>
          <w:sz w:val="21"/>
          <w:szCs w:val="21"/>
          <w:highlight w:val="none"/>
        </w:rPr>
      </w:pPr>
      <w:r>
        <w:rPr>
          <w:color w:val="auto"/>
          <w:sz w:val="21"/>
          <w:szCs w:val="21"/>
          <w:highlight w:val="none"/>
        </w:rPr>
        <w:t>（五）甲方不得明示或暗示向乙方推荐单位或个人承包或分包本工程项目的施工任务。</w:t>
      </w:r>
    </w:p>
    <w:p w14:paraId="41D3EFB9">
      <w:pPr>
        <w:spacing w:line="420" w:lineRule="exact"/>
        <w:ind w:firstLine="482"/>
        <w:rPr>
          <w:color w:val="auto"/>
          <w:sz w:val="21"/>
          <w:szCs w:val="21"/>
          <w:highlight w:val="none"/>
        </w:rPr>
      </w:pPr>
      <w:r>
        <w:rPr>
          <w:color w:val="auto"/>
          <w:sz w:val="21"/>
          <w:szCs w:val="21"/>
          <w:highlight w:val="none"/>
        </w:rPr>
        <w:t>（六）甲方不得以任何理由索取回扣或其它好处。</w:t>
      </w:r>
    </w:p>
    <w:p w14:paraId="7F32A5B9">
      <w:pPr>
        <w:spacing w:line="420" w:lineRule="exact"/>
        <w:ind w:firstLine="482"/>
        <w:rPr>
          <w:color w:val="auto"/>
          <w:sz w:val="21"/>
          <w:szCs w:val="21"/>
          <w:highlight w:val="none"/>
        </w:rPr>
      </w:pPr>
      <w:r>
        <w:rPr>
          <w:color w:val="auto"/>
          <w:sz w:val="21"/>
          <w:szCs w:val="21"/>
          <w:highlight w:val="none"/>
        </w:rPr>
        <w:t>第四条  乙方的义务</w:t>
      </w:r>
    </w:p>
    <w:p w14:paraId="2D290DD2">
      <w:pPr>
        <w:spacing w:line="420" w:lineRule="exact"/>
        <w:ind w:firstLine="482"/>
        <w:rPr>
          <w:color w:val="auto"/>
          <w:sz w:val="21"/>
          <w:szCs w:val="21"/>
          <w:highlight w:val="none"/>
        </w:rPr>
      </w:pPr>
      <w:r>
        <w:rPr>
          <w:color w:val="auto"/>
          <w:sz w:val="21"/>
          <w:szCs w:val="21"/>
          <w:highlight w:val="none"/>
        </w:rPr>
        <w:t>（一）乙方应具备与本工程项目相应等级的施工资质证书。</w:t>
      </w:r>
    </w:p>
    <w:p w14:paraId="55F42328">
      <w:pPr>
        <w:spacing w:line="420" w:lineRule="exact"/>
        <w:ind w:firstLine="482"/>
        <w:rPr>
          <w:color w:val="auto"/>
          <w:sz w:val="21"/>
          <w:szCs w:val="21"/>
          <w:highlight w:val="none"/>
        </w:rPr>
      </w:pPr>
      <w:r>
        <w:rPr>
          <w:color w:val="auto"/>
          <w:sz w:val="21"/>
          <w:szCs w:val="21"/>
          <w:highlight w:val="none"/>
        </w:rPr>
        <w:t>（二）乙方不得允许其它单位或个人以乙方的名义承揽本工程项目的施工任务，不得转包或违法分包所承揽的本工程的项目施工任务。</w:t>
      </w:r>
    </w:p>
    <w:p w14:paraId="5987A2A3">
      <w:pPr>
        <w:pStyle w:val="640"/>
        <w:spacing w:beforeLines="0" w:line="420" w:lineRule="exact"/>
        <w:ind w:firstLine="456"/>
        <w:rPr>
          <w:rFonts w:ascii="Times New Roman" w:hAnsi="Times New Roman"/>
          <w:color w:val="auto"/>
          <w:sz w:val="21"/>
          <w:szCs w:val="21"/>
          <w:highlight w:val="none"/>
        </w:rPr>
      </w:pPr>
      <w:r>
        <w:rPr>
          <w:rFonts w:ascii="Times New Roman" w:hAnsi="Times New Roman"/>
          <w:color w:val="auto"/>
          <w:sz w:val="21"/>
          <w:szCs w:val="21"/>
          <w:highlight w:val="none"/>
        </w:rPr>
        <w:t xml:space="preserve"> （三）乙方必须严格履行施工合同，按投标承诺的施工技术人员及时到位。施工技术人员原则上不得擅自调换，如有特殊原因确需调换的，须经</w:t>
      </w:r>
      <w:r>
        <w:rPr>
          <w:rFonts w:hint="eastAsia" w:ascii="Times New Roman" w:hAnsi="Times New Roman"/>
          <w:color w:val="auto"/>
          <w:sz w:val="21"/>
          <w:szCs w:val="21"/>
          <w:highlight w:val="none"/>
        </w:rPr>
        <w:t>甲方</w:t>
      </w:r>
      <w:r>
        <w:rPr>
          <w:rFonts w:ascii="Times New Roman" w:hAnsi="Times New Roman"/>
          <w:color w:val="auto"/>
          <w:sz w:val="21"/>
          <w:szCs w:val="21"/>
          <w:highlight w:val="none"/>
        </w:rPr>
        <w:t>书面同意方能换人。</w:t>
      </w:r>
    </w:p>
    <w:p w14:paraId="39389548">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四</w:t>
      </w:r>
      <w:r>
        <w:rPr>
          <w:color w:val="auto"/>
          <w:sz w:val="21"/>
          <w:szCs w:val="21"/>
          <w:highlight w:val="none"/>
        </w:rPr>
        <w:t>）乙方必须按照工程设计图纸和施工技术规范施工，不得擅自修改工程设计，不得偷工减料。</w:t>
      </w:r>
    </w:p>
    <w:p w14:paraId="6D1A6090">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五</w:t>
      </w:r>
      <w:r>
        <w:rPr>
          <w:color w:val="auto"/>
          <w:sz w:val="21"/>
          <w:szCs w:val="21"/>
          <w:highlight w:val="none"/>
        </w:rPr>
        <w:t>）乙方在施工过程中发现设计文件和图纸有差错的，应当及时提出意见和建议。</w:t>
      </w:r>
    </w:p>
    <w:p w14:paraId="58708E28">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六</w:t>
      </w:r>
      <w:r>
        <w:rPr>
          <w:color w:val="auto"/>
          <w:sz w:val="21"/>
          <w:szCs w:val="21"/>
          <w:highlight w:val="none"/>
        </w:rPr>
        <w:t>）乙方与甲方、</w:t>
      </w:r>
      <w:r>
        <w:rPr>
          <w:rFonts w:hint="eastAsia"/>
          <w:color w:val="auto"/>
          <w:sz w:val="21"/>
          <w:szCs w:val="21"/>
          <w:highlight w:val="none"/>
          <w:lang w:eastAsia="zh-CN"/>
        </w:rPr>
        <w:t>供应商</w:t>
      </w:r>
      <w:r>
        <w:rPr>
          <w:color w:val="auto"/>
          <w:sz w:val="21"/>
          <w:szCs w:val="21"/>
          <w:highlight w:val="none"/>
        </w:rPr>
        <w:t>或指定分包人之间有关工程质量、进度和费用的一切往来函件、报表均应分类编号归档保存；施工技术资料应真实、完整。</w:t>
      </w:r>
    </w:p>
    <w:p w14:paraId="09711C38">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七</w:t>
      </w:r>
      <w:r>
        <w:rPr>
          <w:color w:val="auto"/>
          <w:sz w:val="21"/>
          <w:szCs w:val="21"/>
          <w:highlight w:val="none"/>
        </w:rPr>
        <w:t>）乙方应加强对甲方按合同规定指定采购的材料和设备的检验，对检验不合格的产品，乙方应拒绝使用。</w:t>
      </w:r>
    </w:p>
    <w:p w14:paraId="644F66D7">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八</w:t>
      </w:r>
      <w:r>
        <w:rPr>
          <w:color w:val="auto"/>
          <w:sz w:val="21"/>
          <w:szCs w:val="21"/>
          <w:highlight w:val="none"/>
        </w:rPr>
        <w:t>）乙方不得暗示材料、设备供应单位提供使用不合格或质量低劣的材料、设备。</w:t>
      </w:r>
    </w:p>
    <w:p w14:paraId="616ECF0D">
      <w:pPr>
        <w:spacing w:line="420" w:lineRule="exact"/>
        <w:ind w:firstLine="480"/>
        <w:rPr>
          <w:color w:val="auto"/>
          <w:sz w:val="21"/>
          <w:szCs w:val="21"/>
          <w:highlight w:val="none"/>
        </w:rPr>
      </w:pPr>
      <w:r>
        <w:rPr>
          <w:color w:val="auto"/>
          <w:sz w:val="21"/>
          <w:szCs w:val="21"/>
          <w:highlight w:val="none"/>
        </w:rPr>
        <w:t>第五条  违约责任</w:t>
      </w:r>
    </w:p>
    <w:p w14:paraId="2EE9DF60">
      <w:pPr>
        <w:spacing w:line="420" w:lineRule="exact"/>
        <w:ind w:firstLine="480"/>
        <w:rPr>
          <w:color w:val="auto"/>
          <w:sz w:val="21"/>
          <w:szCs w:val="21"/>
          <w:highlight w:val="none"/>
        </w:rPr>
      </w:pPr>
      <w:r>
        <w:rPr>
          <w:color w:val="auto"/>
          <w:sz w:val="21"/>
          <w:szCs w:val="21"/>
          <w:highlight w:val="none"/>
        </w:rPr>
        <w:t>（一）甲方及其工作人员违反本合同第二、三条，按管理权限，依据国务院《建设工程质量管理条例》有关规定给予相应的处罚；涉嫌犯罪的，依法追究刑事责任；给乙方单位造成经济损失的，应予以赔偿。</w:t>
      </w:r>
    </w:p>
    <w:p w14:paraId="0559A384">
      <w:pPr>
        <w:spacing w:line="420" w:lineRule="exact"/>
        <w:ind w:firstLine="480"/>
        <w:rPr>
          <w:color w:val="auto"/>
          <w:sz w:val="21"/>
          <w:szCs w:val="21"/>
          <w:highlight w:val="none"/>
        </w:rPr>
      </w:pPr>
      <w:r>
        <w:rPr>
          <w:color w:val="auto"/>
          <w:sz w:val="21"/>
          <w:szCs w:val="21"/>
          <w:highlight w:val="none"/>
        </w:rPr>
        <w:t>（二）乙方及其工作人员违反本合同第二、四条，按管理权限，依据国务院《建设工程质量管理条例》有关规定给予相应的处罚；涉嫌犯罪的，依法追究刑事责任；给甲方单位造成经济损失的，应予以赔偿。</w:t>
      </w:r>
    </w:p>
    <w:p w14:paraId="7AD05AEC">
      <w:pPr>
        <w:spacing w:line="420" w:lineRule="exact"/>
        <w:ind w:firstLine="480"/>
        <w:rPr>
          <w:color w:val="auto"/>
          <w:spacing w:val="-4"/>
          <w:sz w:val="21"/>
          <w:szCs w:val="21"/>
          <w:highlight w:val="none"/>
        </w:rPr>
      </w:pPr>
      <w:r>
        <w:rPr>
          <w:color w:val="auto"/>
          <w:sz w:val="21"/>
          <w:szCs w:val="21"/>
          <w:highlight w:val="none"/>
        </w:rPr>
        <w:t>第六条  本</w:t>
      </w:r>
      <w:r>
        <w:rPr>
          <w:color w:val="auto"/>
          <w:spacing w:val="-4"/>
          <w:sz w:val="21"/>
          <w:szCs w:val="21"/>
          <w:highlight w:val="none"/>
        </w:rPr>
        <w:t>合同有效期为甲乙双方自签署之日起至该工程项目设计使用年限</w:t>
      </w:r>
      <w:r>
        <w:rPr>
          <w:rFonts w:hint="eastAsia"/>
          <w:color w:val="auto"/>
          <w:spacing w:val="-4"/>
          <w:sz w:val="21"/>
          <w:szCs w:val="21"/>
          <w:highlight w:val="none"/>
        </w:rPr>
        <w:t>届满</w:t>
      </w:r>
      <w:r>
        <w:rPr>
          <w:color w:val="auto"/>
          <w:spacing w:val="-4"/>
          <w:sz w:val="21"/>
          <w:szCs w:val="21"/>
          <w:highlight w:val="none"/>
        </w:rPr>
        <w:t>之日止。</w:t>
      </w:r>
    </w:p>
    <w:p w14:paraId="5935FEFD">
      <w:pPr>
        <w:spacing w:line="420" w:lineRule="exact"/>
        <w:ind w:firstLine="480"/>
        <w:rPr>
          <w:color w:val="auto"/>
          <w:sz w:val="21"/>
          <w:szCs w:val="21"/>
          <w:highlight w:val="none"/>
        </w:rPr>
      </w:pPr>
      <w:r>
        <w:rPr>
          <w:color w:val="auto"/>
          <w:sz w:val="21"/>
          <w:szCs w:val="21"/>
          <w:highlight w:val="none"/>
        </w:rPr>
        <w:t>第七条  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施工合同附件，与工程施工合同具有同等的法律效力。</w:t>
      </w:r>
    </w:p>
    <w:p w14:paraId="05260330">
      <w:pPr>
        <w:spacing w:line="420" w:lineRule="exact"/>
        <w:ind w:firstLine="480"/>
        <w:rPr>
          <w:color w:val="auto"/>
          <w:sz w:val="21"/>
          <w:szCs w:val="21"/>
          <w:highlight w:val="none"/>
        </w:rPr>
      </w:pPr>
      <w:r>
        <w:rPr>
          <w:color w:val="auto"/>
          <w:sz w:val="21"/>
          <w:szCs w:val="21"/>
          <w:highlight w:val="none"/>
        </w:rPr>
        <w:t xml:space="preserve">第八条  </w:t>
      </w:r>
      <w:r>
        <w:rPr>
          <w:rFonts w:hint="eastAsia"/>
          <w:color w:val="auto"/>
          <w:sz w:val="21"/>
          <w:szCs w:val="21"/>
          <w:highlight w:val="none"/>
        </w:rPr>
        <w:t>本合同经甲乙双方法定代表人或授权代表签字并加盖公章或合同专用章后生效。</w:t>
      </w:r>
      <w:r>
        <w:rPr>
          <w:rFonts w:hint="eastAsia" w:ascii="宋体" w:hAnsi="宋体"/>
          <w:color w:val="auto"/>
          <w:sz w:val="21"/>
          <w:szCs w:val="21"/>
          <w:highlight w:val="none"/>
        </w:rPr>
        <w:t>本合同正本二份，副本八份，合同双方各执正本一份，副本四份。</w:t>
      </w:r>
    </w:p>
    <w:p w14:paraId="279BE1E1">
      <w:pPr>
        <w:spacing w:line="430" w:lineRule="exact"/>
        <w:rPr>
          <w:rFonts w:ascii="宋体" w:hAnsi="宋体"/>
          <w:color w:val="auto"/>
          <w:sz w:val="21"/>
          <w:szCs w:val="21"/>
          <w:highlight w:val="none"/>
        </w:rPr>
      </w:pPr>
    </w:p>
    <w:p w14:paraId="5C3D3036">
      <w:pPr>
        <w:spacing w:line="43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3136DA1F">
      <w:pPr>
        <w:spacing w:line="43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44E010D2">
      <w:pPr>
        <w:spacing w:line="43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0B949FB4">
      <w:pPr>
        <w:spacing w:line="43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其授权的代理人：</w:t>
      </w:r>
      <w:r>
        <w:rPr>
          <w:rFonts w:hint="eastAsia" w:ascii="宋体" w:hAnsi="宋体"/>
          <w:color w:val="auto"/>
          <w:sz w:val="21"/>
          <w:szCs w:val="21"/>
          <w:highlight w:val="none"/>
          <w:u w:val="single"/>
        </w:rPr>
        <w:t xml:space="preserve">                   </w:t>
      </w:r>
    </w:p>
    <w:p w14:paraId="7316C4CC">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18D93040">
      <w:pPr>
        <w:spacing w:line="240" w:lineRule="exact"/>
        <w:ind w:firstLine="420" w:firstLineChars="200"/>
        <w:rPr>
          <w:rFonts w:ascii="宋体" w:hAnsi="宋体"/>
          <w:color w:val="auto"/>
          <w:sz w:val="21"/>
          <w:szCs w:val="21"/>
          <w:highlight w:val="none"/>
        </w:rPr>
      </w:pPr>
    </w:p>
    <w:p w14:paraId="2D782CF5">
      <w:pPr>
        <w:spacing w:line="456" w:lineRule="auto"/>
        <w:ind w:firstLine="1785" w:firstLineChars="850"/>
        <w:rPr>
          <w:rFonts w:hint="eastAsia" w:ascii="宋体" w:hAnsi="宋体" w:cs="宋体"/>
          <w:b/>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r>
        <w:rPr>
          <w:rFonts w:hint="eastAsia" w:ascii="宋体" w:hAnsi="宋体" w:cs="宋体"/>
          <w:b/>
          <w:color w:val="auto"/>
          <w:sz w:val="21"/>
          <w:szCs w:val="21"/>
          <w:highlight w:val="none"/>
        </w:rPr>
        <w:br w:type="page"/>
      </w:r>
    </w:p>
    <w:bookmarkEnd w:id="65"/>
    <w:bookmarkEnd w:id="66"/>
    <w:bookmarkEnd w:id="67"/>
    <w:bookmarkEnd w:id="68"/>
    <w:p w14:paraId="319E1F0F">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 应提交的有关格式范例</w:t>
      </w:r>
    </w:p>
    <w:p w14:paraId="157DE369">
      <w:pPr>
        <w:pStyle w:val="23"/>
        <w:spacing w:line="480" w:lineRule="auto"/>
        <w:rPr>
          <w:color w:val="auto"/>
          <w:highlight w:val="none"/>
        </w:rPr>
      </w:pPr>
    </w:p>
    <w:p w14:paraId="648B6365">
      <w:pPr>
        <w:bidi w:val="0"/>
        <w:spacing w:line="360" w:lineRule="auto"/>
        <w:jc w:val="center"/>
        <w:rPr>
          <w:b/>
          <w:bCs/>
          <w:color w:val="auto"/>
          <w:sz w:val="36"/>
          <w:szCs w:val="36"/>
          <w:highlight w:val="none"/>
        </w:rPr>
      </w:pPr>
      <w:r>
        <w:rPr>
          <w:rFonts w:hint="eastAsia"/>
          <w:b/>
          <w:bCs/>
          <w:color w:val="auto"/>
          <w:sz w:val="36"/>
          <w:szCs w:val="36"/>
          <w:highlight w:val="none"/>
        </w:rPr>
        <w:t>资格文件部分</w:t>
      </w:r>
    </w:p>
    <w:p w14:paraId="3C44C401">
      <w:pPr>
        <w:bidi w:val="0"/>
        <w:spacing w:line="480" w:lineRule="auto"/>
        <w:jc w:val="center"/>
        <w:rPr>
          <w:rFonts w:hint="eastAsia" w:eastAsia="宋体"/>
          <w:color w:val="auto"/>
          <w:highlight w:val="none"/>
          <w:lang w:eastAsia="zh-CN"/>
        </w:rPr>
      </w:pPr>
      <w:r>
        <w:rPr>
          <w:rFonts w:hint="eastAsia"/>
          <w:b/>
          <w:bCs/>
          <w:color w:val="auto"/>
          <w:sz w:val="36"/>
          <w:szCs w:val="36"/>
          <w:highlight w:val="none"/>
          <w:lang w:eastAsia="zh-CN"/>
        </w:rPr>
        <w:t>目录</w:t>
      </w:r>
    </w:p>
    <w:p w14:paraId="07A4EB3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（1）符合参加政府采购活动应当具备的一般条件的承诺函……………（页码）</w:t>
      </w:r>
    </w:p>
    <w:p w14:paraId="165F3399">
      <w:pPr>
        <w:snapToGrid w:val="0"/>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（2）联合协议</w:t>
      </w:r>
      <w:r>
        <w:rPr>
          <w:rFonts w:hint="eastAsia" w:ascii="宋体" w:hAnsi="宋体" w:cs="宋体"/>
          <w:color w:val="auto"/>
          <w:sz w:val="21"/>
          <w:szCs w:val="21"/>
          <w:highlight w:val="none"/>
        </w:rPr>
        <w:t>………………………………………………………………（页码）</w:t>
      </w:r>
    </w:p>
    <w:p w14:paraId="0C1121E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）落实政府采购政策需满足的资格要求………………………………（页码）</w:t>
      </w:r>
    </w:p>
    <w:p w14:paraId="2C7FA9E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）本项目的特定资格要求………………………………………………（页码）</w:t>
      </w:r>
    </w:p>
    <w:p w14:paraId="487D6D24">
      <w:pPr>
        <w:snapToGrid w:val="0"/>
        <w:spacing w:line="360" w:lineRule="auto"/>
        <w:ind w:firstLine="480" w:firstLineChars="200"/>
        <w:rPr>
          <w:rFonts w:ascii="宋体" w:hAnsi="宋体" w:cs="宋体"/>
          <w:color w:val="auto"/>
          <w:sz w:val="24"/>
          <w:highlight w:val="none"/>
        </w:rPr>
      </w:pPr>
    </w:p>
    <w:p w14:paraId="3E54600B">
      <w:pPr>
        <w:spacing w:line="360" w:lineRule="auto"/>
        <w:ind w:firstLine="480" w:firstLineChars="200"/>
        <w:rPr>
          <w:rFonts w:ascii="宋体" w:hAnsi="宋体" w:cs="宋体"/>
          <w:color w:val="auto"/>
          <w:sz w:val="24"/>
          <w:highlight w:val="none"/>
        </w:rPr>
      </w:pPr>
    </w:p>
    <w:p w14:paraId="6A134C1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4D4ED6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（采购人）、（采购代理机构）：</w:t>
      </w:r>
    </w:p>
    <w:p w14:paraId="29EF630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】政府采购活动，郑重承诺：</w:t>
      </w:r>
    </w:p>
    <w:p w14:paraId="4DF55607">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49656A4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766D005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0B4FBD4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41476E0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3319E27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7A4753A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2167341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5E045E0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601F611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5EEDCD1E">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10A2B48D">
      <w:pPr>
        <w:pStyle w:val="2"/>
        <w:rPr>
          <w:rFonts w:hint="eastAsia" w:ascii="宋体" w:hAnsi="宋体"/>
        </w:rPr>
      </w:pPr>
      <w:r>
        <w:rPr>
          <w:rFonts w:hint="eastAsia" w:ascii="宋体" w:hAnsi="宋体"/>
        </w:rPr>
        <w:t>3、</w:t>
      </w:r>
      <w:r>
        <w:rPr>
          <w:rFonts w:hint="eastAsia" w:ascii="宋体" w:hAnsi="宋体"/>
          <w:color w:val="auto"/>
        </w:rPr>
        <w:t>拟委任的项目经理在投标截止日未在其他在建合同工程中担任项目经理（包括工程总承包项目中的施工负责人）</w:t>
      </w:r>
      <w:r>
        <w:rPr>
          <w:rFonts w:hint="eastAsia" w:ascii="宋体" w:hAnsi="宋体"/>
        </w:rPr>
        <w:t>。</w:t>
      </w:r>
    </w:p>
    <w:p w14:paraId="1D69D4BC">
      <w:pPr>
        <w:pStyle w:val="2"/>
        <w:rPr>
          <w:rFonts w:hint="eastAsia" w:ascii="宋体" w:hAnsi="宋体"/>
        </w:rPr>
      </w:pPr>
    </w:p>
    <w:p w14:paraId="1CC4BF3E">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1D4B303D">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4FD458E1">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1F4D475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383112F">
      <w:pPr>
        <w:widowControl/>
        <w:spacing w:line="360" w:lineRule="auto"/>
        <w:ind w:firstLine="422" w:firstLineChars="200"/>
        <w:jc w:val="left"/>
        <w:rPr>
          <w:rFonts w:ascii="宋体" w:hAnsi="宋体" w:cs="宋体"/>
          <w:b/>
          <w:color w:val="auto"/>
          <w:sz w:val="24"/>
          <w:highlight w:val="none"/>
        </w:rPr>
      </w:pPr>
      <w:r>
        <w:rPr>
          <w:rFonts w:hint="eastAsia" w:ascii="宋体" w:hAnsi="宋体" w:cs="宋体"/>
          <w:b/>
          <w:color w:val="auto"/>
          <w:sz w:val="21"/>
          <w:szCs w:val="21"/>
          <w:highlight w:val="none"/>
        </w:rPr>
        <w:t>[以联合体形式参与的，提供联合协议（附件5）；本项目不接受联合体或者供应商不以联合体形式投参与的，则不需要提供]</w:t>
      </w:r>
    </w:p>
    <w:p w14:paraId="6C8C21D6">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23BBE15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D174C5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（根据竞争性磋商公告落实政府采购政策需满足的资格要求选择提供相应的材料；未要求的，无需提供）</w:t>
      </w:r>
    </w:p>
    <w:p w14:paraId="32DFFA30">
      <w:pPr>
        <w:snapToGrid w:val="0"/>
        <w:spacing w:before="50" w:after="50"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.专门面向中小企业，工程全部由符合政策要求的中小企业（或小微企业）承建的，提供相应的中小企业声明函（附件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 xml:space="preserve">）。 </w:t>
      </w:r>
    </w:p>
    <w:p w14:paraId="25DAA1A7">
      <w:pPr>
        <w:widowControl/>
        <w:spacing w:line="360" w:lineRule="auto"/>
        <w:ind w:firstLine="480"/>
        <w:jc w:val="left"/>
        <w:rPr>
          <w:rFonts w:ascii="宋体" w:hAnsi="宋体" w:cs="宋体"/>
          <w:color w:val="auto"/>
          <w:sz w:val="21"/>
          <w:szCs w:val="21"/>
          <w:highlight w:val="none"/>
        </w:rPr>
      </w:pPr>
    </w:p>
    <w:p w14:paraId="50C4ECB8">
      <w:pPr>
        <w:widowControl/>
        <w:spacing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B.</w:t>
      </w:r>
      <w:r>
        <w:rPr>
          <w:rFonts w:hint="eastAsia" w:ascii="宋体" w:hAnsi="宋体" w:cs="宋体"/>
          <w:color w:val="auto"/>
          <w:sz w:val="21"/>
          <w:szCs w:val="21"/>
          <w:highlight w:val="none"/>
        </w:rPr>
        <w:t>要求以联合体形式参加的，提供联合协议（附件</w:t>
      </w:r>
      <w:r>
        <w:rPr>
          <w:rFonts w:ascii="宋体" w:hAnsi="宋体" w:cs="宋体"/>
          <w:color w:val="auto"/>
          <w:sz w:val="21"/>
          <w:szCs w:val="21"/>
          <w:highlight w:val="none"/>
        </w:rPr>
        <w:t>5</w:t>
      </w:r>
      <w:r>
        <w:rPr>
          <w:rFonts w:hint="eastAsia" w:ascii="宋体" w:hAnsi="宋体" w:cs="宋体"/>
          <w:color w:val="auto"/>
          <w:sz w:val="21"/>
          <w:szCs w:val="21"/>
          <w:highlight w:val="none"/>
        </w:rPr>
        <w:t>）和中小企业声明函（附件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视同符合了资格条件，无需再与其他中小企业组成联合体参加政府采购活动，无需提供联合协议。</w:t>
      </w:r>
    </w:p>
    <w:p w14:paraId="4F557A5A">
      <w:pPr>
        <w:snapToGrid w:val="0"/>
        <w:spacing w:before="50" w:after="50"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 xml:space="preserve">    </w:t>
      </w:r>
    </w:p>
    <w:p w14:paraId="4173161A">
      <w:pPr>
        <w:spacing w:line="360" w:lineRule="auto"/>
        <w:ind w:firstLine="422" w:firstLineChars="200"/>
        <w:rPr>
          <w:rFonts w:ascii="宋体" w:hAnsi="宋体" w:cs="宋体"/>
          <w:color w:val="auto"/>
          <w:sz w:val="24"/>
          <w:highlight w:val="none"/>
        </w:rPr>
      </w:pPr>
      <w:r>
        <w:rPr>
          <w:rFonts w:hint="eastAsia" w:ascii="宋体" w:hAnsi="宋体" w:cs="宋体"/>
          <w:b/>
          <w:color w:val="auto"/>
          <w:sz w:val="21"/>
          <w:szCs w:val="21"/>
          <w:highlight w:val="none"/>
        </w:rPr>
        <w:t>C、</w:t>
      </w:r>
      <w:r>
        <w:rPr>
          <w:rFonts w:hint="eastAsia" w:ascii="宋体" w:hAnsi="宋体" w:cs="宋体"/>
          <w:color w:val="auto"/>
          <w:sz w:val="21"/>
          <w:szCs w:val="21"/>
          <w:highlight w:val="none"/>
        </w:rPr>
        <w:t>要求合同分包的，提供分包意向协议（附件6）和中小企业声明函（附件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视同符合了资格条件，无需再向中小企业分包，无需提供分包意向协议。</w:t>
      </w:r>
    </w:p>
    <w:p w14:paraId="15EEF564">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9910A5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86D1BE0">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（根据竞争性磋商公告本项目的特定资格要求提供相应的材料；未要求的，无需提供）</w:t>
      </w:r>
    </w:p>
    <w:p w14:paraId="4C40E22C">
      <w:pPr>
        <w:snapToGrid w:val="0"/>
        <w:spacing w:line="360" w:lineRule="auto"/>
        <w:ind w:right="480"/>
        <w:jc w:val="center"/>
        <w:rPr>
          <w:rFonts w:ascii="宋体" w:hAnsi="宋体" w:cs="宋体"/>
          <w:b/>
          <w:color w:val="auto"/>
          <w:kern w:val="0"/>
          <w:sz w:val="21"/>
          <w:szCs w:val="21"/>
          <w:highlight w:val="none"/>
        </w:rPr>
        <w:sectPr>
          <w:pgSz w:w="11906" w:h="16838"/>
          <w:pgMar w:top="1440" w:right="1080" w:bottom="1440" w:left="1080" w:header="851" w:footer="992" w:gutter="0"/>
          <w:pgNumType w:fmt="decimal"/>
          <w:cols w:space="720" w:num="1"/>
          <w:titlePg/>
          <w:docGrid w:linePitch="312" w:charSpace="0"/>
        </w:sectPr>
      </w:pPr>
    </w:p>
    <w:p w14:paraId="470DAB6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42CC99B">
      <w:pPr>
        <w:bidi w:val="0"/>
        <w:spacing w:line="360" w:lineRule="auto"/>
        <w:jc w:val="center"/>
        <w:rPr>
          <w:b/>
          <w:bCs/>
          <w:color w:val="auto"/>
          <w:sz w:val="21"/>
          <w:szCs w:val="21"/>
          <w:highlight w:val="none"/>
        </w:rPr>
      </w:pPr>
      <w:r>
        <w:rPr>
          <w:rFonts w:hint="eastAsia"/>
          <w:b/>
          <w:bCs/>
          <w:color w:val="auto"/>
          <w:sz w:val="21"/>
          <w:szCs w:val="21"/>
          <w:highlight w:val="none"/>
        </w:rPr>
        <w:t>目录</w:t>
      </w:r>
    </w:p>
    <w:p w14:paraId="309D6700">
      <w:pPr>
        <w:numPr>
          <w:ilvl w:val="255"/>
          <w:numId w:val="0"/>
        </w:num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响应函…………………………………………………………………………………………（页码）</w:t>
      </w:r>
    </w:p>
    <w:p w14:paraId="3BC1F181">
      <w:pPr>
        <w:numPr>
          <w:ilvl w:val="255"/>
          <w:numId w:val="0"/>
        </w:num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2）授权委托书或法定代表人（单位负责人、自然人本人）身份证明</w:t>
      </w:r>
      <w:r>
        <w:rPr>
          <w:rFonts w:hint="eastAsia" w:ascii="宋体" w:hAnsi="宋体" w:cs="宋体"/>
          <w:color w:val="auto"/>
          <w:sz w:val="21"/>
          <w:szCs w:val="21"/>
          <w:highlight w:val="none"/>
        </w:rPr>
        <w:t>………………………（页码）</w:t>
      </w:r>
    </w:p>
    <w:p w14:paraId="5D77D7EF">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）分包意向协议…………………………………………………………………………………（页码）</w:t>
      </w:r>
    </w:p>
    <w:p w14:paraId="621707D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）符合性审查资料………………………………………………………………………………（页码）</w:t>
      </w:r>
    </w:p>
    <w:p w14:paraId="5DB0DF87">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）评审标准相应的商务技术资料………………………………………………………………（页码）</w:t>
      </w:r>
    </w:p>
    <w:p w14:paraId="4ED6817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）商务技术偏离表………………………………………………………………………………（页码）</w:t>
      </w:r>
    </w:p>
    <w:p w14:paraId="1A97375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r>
        <w:rPr>
          <w:rFonts w:hint="eastAsia" w:ascii="宋体" w:hAnsi="宋体" w:cs="宋体"/>
          <w:color w:val="auto"/>
          <w:sz w:val="21"/>
          <w:szCs w:val="21"/>
          <w:highlight w:val="none"/>
        </w:rPr>
        <w:t>……………………………………………………………（页码）</w:t>
      </w:r>
    </w:p>
    <w:p w14:paraId="09F814C7">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6423EC7F">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4C49132B">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color w:val="auto"/>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w:t>
      </w:r>
    </w:p>
    <w:p w14:paraId="086ADF68">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】采购的有关活动，并对此项目提交响应文件及报价。为此：</w:t>
      </w:r>
    </w:p>
    <w:p w14:paraId="4B84F3BA">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1、我方承诺响应文件有效期从提交响应文件的截止之日起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天（不少于90天），本响应文件在响应文件有效期满之前均具有约束力。</w:t>
      </w:r>
    </w:p>
    <w:p w14:paraId="56E81DA1">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2、我方的响应文件包括以下内容：</w:t>
      </w:r>
    </w:p>
    <w:p w14:paraId="2503805A">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7EC5ED9D">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0FB8C354">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联合协议（如果有)；</w:t>
      </w:r>
    </w:p>
    <w:p w14:paraId="17C2D835">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17D85EB7">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54C914C8">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32FF9EEE">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2.2.1响应函；</w:t>
      </w:r>
      <w:r>
        <w:rPr>
          <w:rFonts w:hint="eastAsia" w:ascii="宋体" w:hAnsi="宋体" w:cs="宋体"/>
          <w:color w:val="auto"/>
          <w:sz w:val="21"/>
          <w:szCs w:val="21"/>
          <w:highlight w:val="none"/>
          <w:lang w:val="zh-CN"/>
        </w:rPr>
        <w:t xml:space="preserve"> </w:t>
      </w:r>
    </w:p>
    <w:p w14:paraId="1990E4CC">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7C72D29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4552F541">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27000D03">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评审标准相应的商务技术资料；</w:t>
      </w:r>
    </w:p>
    <w:p w14:paraId="02304D54">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2.2.6商务技术偏离表；</w:t>
      </w:r>
    </w:p>
    <w:p w14:paraId="0950B5D7">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77854E50">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3FFBEAF8">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2.3.1报价单；</w:t>
      </w:r>
    </w:p>
    <w:p w14:paraId="6710CB7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2.3.2已标价工程量清单；</w:t>
      </w:r>
    </w:p>
    <w:p w14:paraId="05D2D38B">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2.3.3中小企业声明函（如果有）。</w:t>
      </w:r>
    </w:p>
    <w:p w14:paraId="57F70D6D">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3、我方承诺除商务技术偏离表列出的偏离外，我方响应采购文件的全部要求。</w:t>
      </w:r>
    </w:p>
    <w:p w14:paraId="35AEB7F1">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4、如我方成交，我方承诺：</w:t>
      </w:r>
    </w:p>
    <w:p w14:paraId="4D1B442E">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4.1在收到成交通知书后，在成交通知书规定的期限内与你方签订合同； </w:t>
      </w:r>
    </w:p>
    <w:p w14:paraId="5BF9503A">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27AD9717">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4.3按照采购文件要求提交履约保证金； </w:t>
      </w:r>
    </w:p>
    <w:p w14:paraId="74286E1B">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3969E7F9">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B4DA673">
      <w:pPr>
        <w:keepNext w:val="0"/>
        <w:keepLines w:val="0"/>
        <w:pageBreakBefore w:val="0"/>
        <w:widowControl w:val="0"/>
        <w:kinsoku/>
        <w:wordWrap/>
        <w:overflowPunct/>
        <w:topLinePunct w:val="0"/>
        <w:autoSpaceDE/>
        <w:autoSpaceDN/>
        <w:bidi w:val="0"/>
        <w:adjustRightInd w:val="0"/>
        <w:spacing w:line="336"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供应商名称（电子签名）：                          </w:t>
      </w:r>
    </w:p>
    <w:p w14:paraId="3A80724A">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0475D112">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3675" w:firstLineChars="1750"/>
        <w:textAlignment w:val="auto"/>
        <w:rPr>
          <w:rFonts w:ascii="宋体" w:hAnsi="宋体" w:cs="宋体"/>
          <w:color w:val="auto"/>
          <w:kern w:val="0"/>
          <w:sz w:val="21"/>
          <w:szCs w:val="21"/>
          <w:highlight w:val="none"/>
          <w:u w:val="single"/>
        </w:rPr>
      </w:pPr>
    </w:p>
    <w:p w14:paraId="08F8835D">
      <w:pPr>
        <w:keepNext w:val="0"/>
        <w:keepLines w:val="0"/>
        <w:pageBreakBefore w:val="0"/>
        <w:widowControl w:val="0"/>
        <w:kinsoku/>
        <w:wordWrap/>
        <w:overflowPunct/>
        <w:topLinePunct w:val="0"/>
        <w:autoSpaceDE/>
        <w:autoSpaceDN/>
        <w:bidi w:val="0"/>
        <w:adjustRightInd w:val="0"/>
        <w:spacing w:line="336"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EB9F30C">
      <w:pPr>
        <w:snapToGrid w:val="0"/>
        <w:spacing w:line="360" w:lineRule="auto"/>
        <w:jc w:val="center"/>
        <w:rPr>
          <w:rFonts w:ascii="宋体" w:hAnsi="宋体" w:cs="宋体"/>
          <w:b/>
          <w:color w:val="auto"/>
          <w:kern w:val="0"/>
          <w:sz w:val="32"/>
          <w:szCs w:val="32"/>
          <w:highlight w:val="none"/>
        </w:rPr>
      </w:pPr>
    </w:p>
    <w:p w14:paraId="10E4E73F">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07367D9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4560C6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32874D">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7F447268">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2F2C97F7">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kern w:val="0"/>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6499B32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3360265">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5F9AC023">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供应商名称(电子签名)：</w:t>
      </w:r>
    </w:p>
    <w:p w14:paraId="2EE05E5F">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54C81DBC">
      <w:pPr>
        <w:snapToGrid w:val="0"/>
        <w:spacing w:line="360" w:lineRule="auto"/>
        <w:rPr>
          <w:rFonts w:ascii="宋体" w:hAnsi="宋体" w:cs="宋体"/>
          <w:color w:val="auto"/>
          <w:sz w:val="24"/>
          <w:highlight w:val="none"/>
        </w:rPr>
      </w:pPr>
    </w:p>
    <w:p w14:paraId="6B8D015B">
      <w:pPr>
        <w:snapToGrid w:val="0"/>
        <w:spacing w:line="360" w:lineRule="auto"/>
        <w:rPr>
          <w:rFonts w:ascii="宋体" w:hAnsi="宋体" w:cs="宋体"/>
          <w:color w:val="auto"/>
          <w:sz w:val="24"/>
          <w:highlight w:val="none"/>
        </w:rPr>
      </w:pPr>
    </w:p>
    <w:p w14:paraId="5A84E37C">
      <w:pPr>
        <w:snapToGrid w:val="0"/>
        <w:spacing w:line="360" w:lineRule="auto"/>
        <w:rPr>
          <w:rFonts w:ascii="宋体" w:hAnsi="宋体" w:cs="宋体"/>
          <w:color w:val="auto"/>
          <w:sz w:val="24"/>
          <w:highlight w:val="none"/>
        </w:rPr>
      </w:pPr>
    </w:p>
    <w:p w14:paraId="66C27EAB">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8EB7018">
      <w:pPr>
        <w:snapToGrid w:val="0"/>
        <w:spacing w:line="360" w:lineRule="auto"/>
        <w:rPr>
          <w:rFonts w:ascii="宋体" w:hAnsi="宋体" w:cs="宋体"/>
          <w:color w:val="auto"/>
          <w:kern w:val="0"/>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05626B12">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kern w:val="0"/>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3B04067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493553C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1A259B4A">
      <w:pPr>
        <w:jc w:val="center"/>
        <w:rPr>
          <w:rFonts w:ascii="宋体" w:hAnsi="宋体" w:cs="宋体"/>
          <w:b/>
          <w:color w:val="auto"/>
          <w:kern w:val="0"/>
          <w:sz w:val="21"/>
          <w:szCs w:val="21"/>
          <w:highlight w:val="none"/>
        </w:rPr>
      </w:pPr>
    </w:p>
    <w:p w14:paraId="07BA794A">
      <w:pPr>
        <w:jc w:val="center"/>
        <w:rPr>
          <w:rFonts w:ascii="宋体" w:hAnsi="宋体" w:cs="宋体"/>
          <w:b/>
          <w:color w:val="auto"/>
          <w:kern w:val="0"/>
          <w:sz w:val="21"/>
          <w:szCs w:val="21"/>
          <w:highlight w:val="none"/>
        </w:rPr>
      </w:pPr>
    </w:p>
    <w:p w14:paraId="78ECAAF5">
      <w:pPr>
        <w:jc w:val="center"/>
        <w:rPr>
          <w:rFonts w:ascii="宋体" w:hAnsi="宋体" w:cs="宋体"/>
          <w:b/>
          <w:color w:val="auto"/>
          <w:kern w:val="0"/>
          <w:sz w:val="21"/>
          <w:szCs w:val="21"/>
          <w:highlight w:val="none"/>
        </w:rPr>
      </w:pPr>
    </w:p>
    <w:p w14:paraId="7BC7021A">
      <w:pPr>
        <w:rPr>
          <w:rFonts w:ascii="宋体" w:hAnsi="宋体" w:cs="宋体"/>
          <w:color w:val="auto"/>
          <w:sz w:val="21"/>
          <w:szCs w:val="21"/>
          <w:highlight w:val="none"/>
        </w:rPr>
      </w:pPr>
    </w:p>
    <w:p w14:paraId="260B3C1F">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32D7539">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57DA5E8D">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46E67354">
      <w:pPr>
        <w:snapToGrid w:val="0"/>
        <w:spacing w:line="360" w:lineRule="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4C0F2C5A">
      <w:pPr>
        <w:snapToGrid w:val="0"/>
        <w:spacing w:line="360" w:lineRule="auto"/>
        <w:rPr>
          <w:rFonts w:hint="eastAsia" w:ascii="宋体" w:hAnsi="宋体" w:cs="宋体"/>
          <w:color w:val="auto"/>
          <w:kern w:val="0"/>
          <w:sz w:val="24"/>
          <w:highlight w:val="none"/>
          <w:lang w:val="zh-CN"/>
        </w:rPr>
      </w:pPr>
    </w:p>
    <w:p w14:paraId="516F937B">
      <w:pPr>
        <w:pStyle w:val="72"/>
        <w:rPr>
          <w:rFonts w:hint="eastAsia"/>
          <w:color w:val="auto"/>
          <w:highlight w:val="none"/>
          <w:lang w:val="zh-CN"/>
        </w:rPr>
      </w:pPr>
    </w:p>
    <w:p w14:paraId="6B688FB9">
      <w:pPr>
        <w:snapToGrid w:val="0"/>
        <w:jc w:val="center"/>
        <w:rPr>
          <w:rFonts w:hint="eastAsia" w:ascii="宋体" w:hAnsi="宋体" w:cs="宋体"/>
          <w:b/>
          <w:bCs/>
          <w:color w:val="auto"/>
          <w:sz w:val="32"/>
          <w:szCs w:val="32"/>
          <w:highlight w:val="none"/>
          <w:lang w:val="zh-CN"/>
        </w:rPr>
      </w:pPr>
    </w:p>
    <w:p w14:paraId="385DDA60">
      <w:pPr>
        <w:snapToGrid w:val="0"/>
        <w:jc w:val="center"/>
        <w:rPr>
          <w:rFonts w:hint="eastAsia" w:ascii="宋体" w:hAnsi="宋体" w:cs="宋体"/>
          <w:b/>
          <w:bCs/>
          <w:color w:val="auto"/>
          <w:sz w:val="32"/>
          <w:szCs w:val="32"/>
          <w:highlight w:val="none"/>
          <w:lang w:val="zh-CN"/>
        </w:rPr>
      </w:pPr>
    </w:p>
    <w:p w14:paraId="2E7110CF">
      <w:pPr>
        <w:snapToGrid w:val="0"/>
        <w:jc w:val="center"/>
        <w:rPr>
          <w:rFonts w:hint="eastAsia" w:ascii="宋体" w:hAnsi="宋体" w:cs="宋体"/>
          <w:b/>
          <w:bCs/>
          <w:color w:val="auto"/>
          <w:sz w:val="32"/>
          <w:szCs w:val="32"/>
          <w:highlight w:val="none"/>
          <w:lang w:val="zh-CN"/>
        </w:rPr>
      </w:pPr>
    </w:p>
    <w:p w14:paraId="15D3E1F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7AEE5A90">
      <w:pPr>
        <w:pStyle w:val="623"/>
        <w:spacing w:line="360" w:lineRule="auto"/>
        <w:rPr>
          <w:rFonts w:hAnsi="宋体" w:cs="宋体"/>
          <w:bCs/>
          <w:color w:val="auto"/>
          <w:sz w:val="21"/>
          <w:szCs w:val="21"/>
          <w:highlight w:val="none"/>
        </w:rPr>
      </w:pPr>
      <w:r>
        <w:rPr>
          <w:rFonts w:hint="eastAsia" w:hAnsi="宋体" w:cs="宋体"/>
          <w:bCs/>
          <w:color w:val="auto"/>
          <w:sz w:val="21"/>
          <w:szCs w:val="21"/>
          <w:highlight w:val="none"/>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D2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37AA4B7">
            <w:pPr>
              <w:pStyle w:val="623"/>
              <w:adjustRightInd w:val="0"/>
              <w:spacing w:line="360" w:lineRule="auto"/>
              <w:rPr>
                <w:rFonts w:hAnsi="宋体" w:cs="宋体"/>
                <w:bCs/>
                <w:color w:val="auto"/>
                <w:sz w:val="21"/>
                <w:szCs w:val="18"/>
                <w:highlight w:val="none"/>
              </w:rPr>
            </w:pPr>
            <w:r>
              <w:rPr>
                <w:rFonts w:hint="eastAsia" w:hAnsi="宋体" w:cs="宋体"/>
                <w:bCs/>
                <w:color w:val="auto"/>
                <w:sz w:val="21"/>
                <w:szCs w:val="18"/>
                <w:highlight w:val="none"/>
              </w:rPr>
              <w:t>正面：                                 反面：</w:t>
            </w:r>
          </w:p>
          <w:p w14:paraId="3C8DB018">
            <w:pPr>
              <w:pStyle w:val="623"/>
              <w:adjustRightInd w:val="0"/>
              <w:spacing w:line="360" w:lineRule="auto"/>
              <w:rPr>
                <w:rFonts w:hAnsi="宋体" w:cs="宋体"/>
                <w:bCs/>
                <w:color w:val="auto"/>
                <w:sz w:val="24"/>
                <w:highlight w:val="none"/>
              </w:rPr>
            </w:pPr>
          </w:p>
        </w:tc>
      </w:tr>
    </w:tbl>
    <w:p w14:paraId="7DAB71F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2AEE6F1">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1"/>
          <w:szCs w:val="21"/>
          <w:highlight w:val="none"/>
          <w:lang w:val="zh-CN"/>
        </w:rPr>
        <w:t xml:space="preserve">   供应商名称(电子签名)：                              </w:t>
      </w:r>
    </w:p>
    <w:p w14:paraId="7E9B34BA">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1FAC727F">
      <w:pPr>
        <w:jc w:val="center"/>
        <w:rPr>
          <w:rFonts w:ascii="宋体" w:hAnsi="宋体" w:cs="宋体"/>
          <w:b/>
          <w:color w:val="auto"/>
          <w:kern w:val="0"/>
          <w:sz w:val="32"/>
          <w:szCs w:val="32"/>
          <w:highlight w:val="none"/>
        </w:rPr>
      </w:pPr>
    </w:p>
    <w:p w14:paraId="5F8328B0">
      <w:pPr>
        <w:jc w:val="center"/>
        <w:rPr>
          <w:rFonts w:ascii="宋体" w:hAnsi="宋体" w:cs="宋体"/>
          <w:b/>
          <w:color w:val="auto"/>
          <w:kern w:val="0"/>
          <w:sz w:val="32"/>
          <w:szCs w:val="32"/>
          <w:highlight w:val="none"/>
        </w:rPr>
      </w:pPr>
    </w:p>
    <w:p w14:paraId="2DE817CB">
      <w:pPr>
        <w:jc w:val="center"/>
        <w:rPr>
          <w:rFonts w:ascii="宋体" w:hAnsi="宋体" w:cs="宋体"/>
          <w:b/>
          <w:color w:val="auto"/>
          <w:kern w:val="0"/>
          <w:sz w:val="32"/>
          <w:szCs w:val="32"/>
          <w:highlight w:val="none"/>
        </w:rPr>
      </w:pPr>
    </w:p>
    <w:p w14:paraId="28634ECD">
      <w:pPr>
        <w:jc w:val="center"/>
        <w:rPr>
          <w:rFonts w:ascii="宋体" w:hAnsi="宋体" w:cs="宋体"/>
          <w:b/>
          <w:color w:val="auto"/>
          <w:kern w:val="0"/>
          <w:sz w:val="32"/>
          <w:szCs w:val="32"/>
          <w:highlight w:val="none"/>
        </w:rPr>
      </w:pPr>
    </w:p>
    <w:p w14:paraId="49634BB0">
      <w:pPr>
        <w:jc w:val="center"/>
        <w:rPr>
          <w:rFonts w:ascii="宋体" w:hAnsi="宋体" w:cs="宋体"/>
          <w:b/>
          <w:color w:val="auto"/>
          <w:kern w:val="0"/>
          <w:sz w:val="32"/>
          <w:szCs w:val="32"/>
          <w:highlight w:val="none"/>
        </w:rPr>
      </w:pPr>
    </w:p>
    <w:p w14:paraId="011E7651">
      <w:pPr>
        <w:jc w:val="center"/>
        <w:rPr>
          <w:rFonts w:ascii="宋体" w:hAnsi="宋体" w:cs="宋体"/>
          <w:b/>
          <w:color w:val="auto"/>
          <w:kern w:val="0"/>
          <w:sz w:val="32"/>
          <w:szCs w:val="32"/>
          <w:highlight w:val="none"/>
        </w:rPr>
      </w:pPr>
    </w:p>
    <w:p w14:paraId="0907D0DB">
      <w:pPr>
        <w:jc w:val="center"/>
        <w:rPr>
          <w:rFonts w:ascii="宋体" w:hAnsi="宋体" w:cs="宋体"/>
          <w:b/>
          <w:color w:val="auto"/>
          <w:kern w:val="0"/>
          <w:sz w:val="32"/>
          <w:szCs w:val="32"/>
          <w:highlight w:val="none"/>
        </w:rPr>
      </w:pPr>
    </w:p>
    <w:p w14:paraId="2C561B0C">
      <w:pPr>
        <w:jc w:val="center"/>
        <w:rPr>
          <w:rFonts w:ascii="宋体" w:hAnsi="宋体" w:cs="宋体"/>
          <w:b/>
          <w:color w:val="auto"/>
          <w:kern w:val="0"/>
          <w:sz w:val="32"/>
          <w:szCs w:val="32"/>
          <w:highlight w:val="none"/>
        </w:rPr>
      </w:pPr>
    </w:p>
    <w:p w14:paraId="70C7942A">
      <w:pPr>
        <w:jc w:val="center"/>
        <w:rPr>
          <w:rFonts w:ascii="宋体" w:hAnsi="宋体" w:cs="宋体"/>
          <w:b/>
          <w:color w:val="auto"/>
          <w:kern w:val="0"/>
          <w:sz w:val="32"/>
          <w:szCs w:val="32"/>
          <w:highlight w:val="none"/>
        </w:rPr>
      </w:pPr>
    </w:p>
    <w:p w14:paraId="548325EF">
      <w:pPr>
        <w:jc w:val="center"/>
        <w:rPr>
          <w:rFonts w:ascii="宋体" w:hAnsi="宋体" w:cs="宋体"/>
          <w:b/>
          <w:color w:val="auto"/>
          <w:kern w:val="0"/>
          <w:sz w:val="32"/>
          <w:szCs w:val="32"/>
          <w:highlight w:val="none"/>
        </w:rPr>
      </w:pPr>
    </w:p>
    <w:p w14:paraId="6A0C4637">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38D59F6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755357B5">
      <w:pPr>
        <w:widowControl/>
        <w:spacing w:line="360" w:lineRule="auto"/>
        <w:jc w:val="left"/>
        <w:rPr>
          <w:rFonts w:ascii="宋体" w:hAnsi="宋体" w:cs="宋体"/>
          <w:color w:val="auto"/>
          <w:sz w:val="21"/>
          <w:szCs w:val="21"/>
          <w:highlight w:val="none"/>
        </w:rPr>
      </w:pPr>
      <w:bookmarkStart w:id="71" w:name="_Hlk101169080"/>
      <w:r>
        <w:rPr>
          <w:rFonts w:hint="eastAsia" w:ascii="宋体" w:hAnsi="宋体" w:cs="宋体"/>
          <w:color w:val="auto"/>
          <w:sz w:val="21"/>
          <w:szCs w:val="21"/>
          <w:highlight w:val="none"/>
        </w:rPr>
        <w:t>[</w:t>
      </w:r>
      <w:r>
        <w:rPr>
          <w:rFonts w:hint="eastAsia" w:ascii="宋体" w:hAnsi="宋体" w:cs="宋体"/>
          <w:b/>
          <w:color w:val="auto"/>
          <w:sz w:val="21"/>
          <w:szCs w:val="21"/>
          <w:highlight w:val="none"/>
        </w:rPr>
        <w:t>成交后以分包方式履行合同的，提供分包意向协议(附件6</w:t>
      </w:r>
      <w:r>
        <w:rPr>
          <w:rFonts w:ascii="宋体" w:hAnsi="宋体" w:cs="宋体"/>
          <w:b/>
          <w:color w:val="auto"/>
          <w:sz w:val="21"/>
          <w:szCs w:val="21"/>
          <w:highlight w:val="none"/>
        </w:rPr>
        <w:t>)</w:t>
      </w:r>
      <w:r>
        <w:rPr>
          <w:rFonts w:hint="eastAsia" w:ascii="宋体" w:hAnsi="宋体" w:cs="宋体"/>
          <w:b/>
          <w:color w:val="auto"/>
          <w:sz w:val="21"/>
          <w:szCs w:val="21"/>
          <w:highlight w:val="none"/>
        </w:rPr>
        <w:t>；采购人不同意分包或者供应商成交后不以分包方式履行合同的，则不需要提供。</w:t>
      </w:r>
      <w:r>
        <w:rPr>
          <w:rFonts w:hint="eastAsia" w:ascii="宋体" w:hAnsi="宋体" w:cs="宋体"/>
          <w:color w:val="auto"/>
          <w:sz w:val="21"/>
          <w:szCs w:val="21"/>
          <w:highlight w:val="none"/>
        </w:rPr>
        <w:t>]</w:t>
      </w:r>
    </w:p>
    <w:bookmarkEnd w:id="71"/>
    <w:p w14:paraId="658AFBC2">
      <w:pPr>
        <w:snapToGrid w:val="0"/>
        <w:spacing w:line="360" w:lineRule="auto"/>
        <w:rPr>
          <w:rFonts w:ascii="宋体" w:hAnsi="宋体" w:cs="宋体"/>
          <w:color w:val="auto"/>
          <w:kern w:val="0"/>
          <w:sz w:val="24"/>
          <w:highlight w:val="none"/>
        </w:rPr>
      </w:pPr>
    </w:p>
    <w:p w14:paraId="0EA34EA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32E529A6">
      <w:pPr>
        <w:jc w:val="center"/>
        <w:rPr>
          <w:rFonts w:ascii="宋体" w:hAnsi="宋体" w:cs="宋体"/>
          <w:b/>
          <w:color w:val="auto"/>
          <w:kern w:val="0"/>
          <w:sz w:val="32"/>
          <w:szCs w:val="32"/>
          <w:highlight w:val="none"/>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7F0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33CED7">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451F7A56">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50B03239">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1DEDB23C">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响应文件中的</w:t>
            </w:r>
          </w:p>
          <w:p w14:paraId="05E72597">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7AA1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09E086">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323CB32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响应文件按照采购文件要求签署、盖章。</w:t>
            </w:r>
          </w:p>
        </w:tc>
        <w:tc>
          <w:tcPr>
            <w:tcW w:w="2551" w:type="dxa"/>
            <w:vAlign w:val="center"/>
          </w:tcPr>
          <w:p w14:paraId="0B799C00">
            <w:pP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需要使用电子签名或者签字盖章的响应文件的组成部分</w:t>
            </w:r>
          </w:p>
        </w:tc>
        <w:tc>
          <w:tcPr>
            <w:tcW w:w="1418" w:type="dxa"/>
            <w:vAlign w:val="center"/>
          </w:tcPr>
          <w:p w14:paraId="1EF860A6">
            <w:pPr>
              <w:rPr>
                <w:rFonts w:ascii="宋体" w:hAnsi="宋体" w:cs="宋体"/>
                <w:color w:val="auto"/>
                <w:sz w:val="21"/>
                <w:szCs w:val="21"/>
                <w:highlight w:val="none"/>
              </w:rPr>
            </w:pPr>
            <w:r>
              <w:rPr>
                <w:rFonts w:hint="eastAsia" w:ascii="宋体" w:hAnsi="宋体" w:cs="宋体"/>
                <w:color w:val="auto"/>
                <w:sz w:val="21"/>
                <w:szCs w:val="21"/>
                <w:highlight w:val="none"/>
              </w:rPr>
              <w:t>见响应文件</w:t>
            </w:r>
          </w:p>
          <w:p w14:paraId="1E0624CC">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071C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5FCBD3">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14:paraId="2B63941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21592D13">
            <w:pPr>
              <w:rPr>
                <w:rFonts w:ascii="宋体" w:hAnsi="宋体" w:cs="宋体"/>
                <w:color w:val="auto"/>
                <w:sz w:val="21"/>
                <w:szCs w:val="21"/>
                <w:highlight w:val="none"/>
              </w:rPr>
            </w:pPr>
            <w:r>
              <w:rPr>
                <w:rFonts w:hint="eastAsia" w:ascii="宋体" w:hAnsi="宋体" w:cs="宋体"/>
                <w:color w:val="auto"/>
                <w:sz w:val="21"/>
                <w:szCs w:val="21"/>
                <w:highlight w:val="none"/>
              </w:rPr>
              <w:t>节能产品认证证书（本项目拟采购的产品不属于政府强制采购的节能产品品目清单范围的，无需提供）</w:t>
            </w:r>
          </w:p>
        </w:tc>
        <w:tc>
          <w:tcPr>
            <w:tcW w:w="1418" w:type="dxa"/>
            <w:vAlign w:val="center"/>
          </w:tcPr>
          <w:p w14:paraId="407D25B2">
            <w:pPr>
              <w:rPr>
                <w:rFonts w:ascii="宋体" w:hAnsi="宋体" w:cs="宋体"/>
                <w:color w:val="auto"/>
                <w:sz w:val="21"/>
                <w:szCs w:val="21"/>
                <w:highlight w:val="none"/>
              </w:rPr>
            </w:pPr>
            <w:r>
              <w:rPr>
                <w:rFonts w:hint="eastAsia" w:ascii="宋体" w:hAnsi="宋体" w:cs="宋体"/>
                <w:color w:val="auto"/>
                <w:sz w:val="21"/>
                <w:szCs w:val="21"/>
                <w:highlight w:val="none"/>
              </w:rPr>
              <w:t>见响应文件</w:t>
            </w:r>
          </w:p>
          <w:p w14:paraId="3BF0B3F6">
            <w:pPr>
              <w:pStyle w:val="4"/>
              <w:numPr>
                <w:ilvl w:val="0"/>
                <w:numId w:val="0"/>
              </w:numPr>
              <w:ind w:leftChars="0"/>
              <w:jc w:val="both"/>
              <w:rPr>
                <w:rFonts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第</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lang w:val="en-US"/>
              </w:rPr>
              <w:t>页</w:t>
            </w:r>
          </w:p>
        </w:tc>
      </w:tr>
      <w:tr w14:paraId="1015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A4B2D6">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vAlign w:val="center"/>
          </w:tcPr>
          <w:p w14:paraId="5E42050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响应文件中承诺的响应文件有效期不少于采购文件中载明的响应文件有效期。</w:t>
            </w:r>
          </w:p>
        </w:tc>
        <w:tc>
          <w:tcPr>
            <w:tcW w:w="2551" w:type="dxa"/>
            <w:vAlign w:val="center"/>
          </w:tcPr>
          <w:p w14:paraId="657D2890">
            <w:pPr>
              <w:rPr>
                <w:rFonts w:ascii="宋体" w:hAnsi="宋体" w:cs="宋体"/>
                <w:color w:val="auto"/>
                <w:sz w:val="21"/>
                <w:szCs w:val="21"/>
                <w:highlight w:val="none"/>
              </w:rPr>
            </w:pPr>
            <w:r>
              <w:rPr>
                <w:rFonts w:hint="eastAsia" w:ascii="宋体" w:hAnsi="宋体" w:cs="宋体"/>
                <w:color w:val="auto"/>
                <w:sz w:val="21"/>
                <w:szCs w:val="21"/>
                <w:highlight w:val="none"/>
              </w:rPr>
              <w:t>响应函</w:t>
            </w:r>
          </w:p>
        </w:tc>
        <w:tc>
          <w:tcPr>
            <w:tcW w:w="1418" w:type="dxa"/>
            <w:vAlign w:val="center"/>
          </w:tcPr>
          <w:p w14:paraId="67384F5F">
            <w:pPr>
              <w:rPr>
                <w:rFonts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26A4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D3CA20">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991" w:type="dxa"/>
            <w:vAlign w:val="center"/>
          </w:tcPr>
          <w:p w14:paraId="73648EC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响应文件满足采购文件的其它实质性要求。</w:t>
            </w:r>
          </w:p>
        </w:tc>
        <w:tc>
          <w:tcPr>
            <w:tcW w:w="2551" w:type="dxa"/>
            <w:vAlign w:val="center"/>
          </w:tcPr>
          <w:p w14:paraId="7ABB2024">
            <w:pPr>
              <w:rPr>
                <w:rFonts w:ascii="宋体" w:hAnsi="宋体" w:cs="宋体"/>
                <w:color w:val="auto"/>
                <w:sz w:val="21"/>
                <w:szCs w:val="21"/>
                <w:highlight w:val="none"/>
              </w:rPr>
            </w:pPr>
            <w:r>
              <w:rPr>
                <w:rFonts w:hint="eastAsia" w:ascii="宋体" w:hAnsi="宋体" w:cs="宋体"/>
                <w:color w:val="auto"/>
                <w:kern w:val="0"/>
                <w:sz w:val="21"/>
                <w:szCs w:val="21"/>
                <w:highlight w:val="none"/>
              </w:rPr>
              <w:t>采购文件其它实质性要求相应的材料（“▲” 系指实质性要求条款，采购文件无其它实质性要求的，无需提供）</w:t>
            </w:r>
          </w:p>
        </w:tc>
        <w:tc>
          <w:tcPr>
            <w:tcW w:w="1418" w:type="dxa"/>
            <w:vAlign w:val="center"/>
          </w:tcPr>
          <w:p w14:paraId="314740E2">
            <w:pPr>
              <w:rPr>
                <w:rFonts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61B07896">
      <w:pPr>
        <w:spacing w:line="360" w:lineRule="auto"/>
        <w:ind w:right="420"/>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2E179AB8">
      <w:pPr>
        <w:jc w:val="center"/>
        <w:rPr>
          <w:rFonts w:ascii="宋体" w:hAnsi="宋体" w:cs="宋体"/>
          <w:b/>
          <w:color w:val="auto"/>
          <w:kern w:val="0"/>
          <w:sz w:val="32"/>
          <w:szCs w:val="32"/>
          <w:highlight w:val="none"/>
        </w:rPr>
      </w:pPr>
    </w:p>
    <w:p w14:paraId="3D5065C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91BDEEB">
      <w:pPr>
        <w:jc w:val="center"/>
        <w:rPr>
          <w:rFonts w:ascii="宋体" w:hAnsi="宋体" w:cs="宋体"/>
          <w:b/>
          <w:color w:val="auto"/>
          <w:kern w:val="0"/>
          <w:sz w:val="32"/>
          <w:szCs w:val="32"/>
          <w:highlight w:val="none"/>
        </w:rPr>
      </w:pPr>
    </w:p>
    <w:p w14:paraId="700FF2E9">
      <w:pPr>
        <w:jc w:val="center"/>
        <w:rPr>
          <w:rFonts w:ascii="宋体" w:hAnsi="宋体" w:cs="宋体"/>
          <w:b/>
          <w:color w:val="auto"/>
          <w:kern w:val="0"/>
          <w:sz w:val="32"/>
          <w:szCs w:val="32"/>
          <w:highlight w:val="none"/>
        </w:rPr>
      </w:pPr>
    </w:p>
    <w:p w14:paraId="38CE05D1">
      <w:pPr>
        <w:jc w:val="center"/>
        <w:rPr>
          <w:rFonts w:ascii="宋体" w:hAnsi="宋体" w:cs="宋体"/>
          <w:b/>
          <w:color w:val="auto"/>
          <w:kern w:val="0"/>
          <w:sz w:val="32"/>
          <w:szCs w:val="32"/>
          <w:highlight w:val="none"/>
        </w:rPr>
      </w:pPr>
    </w:p>
    <w:p w14:paraId="6FF49979">
      <w:pPr>
        <w:jc w:val="center"/>
        <w:rPr>
          <w:rFonts w:ascii="宋体" w:hAnsi="宋体" w:cs="宋体"/>
          <w:b/>
          <w:color w:val="auto"/>
          <w:kern w:val="0"/>
          <w:sz w:val="32"/>
          <w:szCs w:val="32"/>
          <w:highlight w:val="none"/>
        </w:rPr>
      </w:pPr>
    </w:p>
    <w:p w14:paraId="3499E743">
      <w:pPr>
        <w:jc w:val="center"/>
        <w:rPr>
          <w:rFonts w:ascii="宋体" w:hAnsi="宋体" w:cs="宋体"/>
          <w:b/>
          <w:color w:val="auto"/>
          <w:kern w:val="0"/>
          <w:sz w:val="32"/>
          <w:szCs w:val="32"/>
          <w:highlight w:val="none"/>
        </w:rPr>
      </w:pPr>
    </w:p>
    <w:p w14:paraId="0F6F3C24">
      <w:pPr>
        <w:jc w:val="center"/>
        <w:rPr>
          <w:rFonts w:ascii="宋体" w:hAnsi="宋体" w:cs="宋体"/>
          <w:b/>
          <w:color w:val="auto"/>
          <w:kern w:val="0"/>
          <w:sz w:val="32"/>
          <w:szCs w:val="32"/>
          <w:highlight w:val="none"/>
        </w:rPr>
      </w:pPr>
    </w:p>
    <w:p w14:paraId="507C1B12">
      <w:pPr>
        <w:jc w:val="center"/>
        <w:rPr>
          <w:rFonts w:ascii="宋体" w:hAnsi="宋体" w:cs="宋体"/>
          <w:b/>
          <w:color w:val="auto"/>
          <w:kern w:val="0"/>
          <w:sz w:val="32"/>
          <w:szCs w:val="32"/>
          <w:highlight w:val="none"/>
        </w:rPr>
      </w:pPr>
    </w:p>
    <w:p w14:paraId="3D058A13">
      <w:pPr>
        <w:jc w:val="center"/>
        <w:rPr>
          <w:rFonts w:ascii="宋体" w:hAnsi="宋体" w:cs="宋体"/>
          <w:b/>
          <w:color w:val="auto"/>
          <w:kern w:val="0"/>
          <w:sz w:val="32"/>
          <w:szCs w:val="32"/>
          <w:highlight w:val="none"/>
        </w:rPr>
      </w:pPr>
    </w:p>
    <w:p w14:paraId="73236036">
      <w:pPr>
        <w:snapToGrid w:val="0"/>
        <w:jc w:val="center"/>
        <w:rPr>
          <w:rFonts w:hint="eastAsia" w:ascii="宋体" w:hAnsi="宋体" w:cs="宋体"/>
          <w:b/>
          <w:bCs/>
          <w:color w:val="auto"/>
          <w:sz w:val="32"/>
          <w:szCs w:val="32"/>
          <w:highlight w:val="none"/>
        </w:rPr>
      </w:pPr>
    </w:p>
    <w:p w14:paraId="23CA6B0D">
      <w:pPr>
        <w:snapToGrid w:val="0"/>
        <w:jc w:val="center"/>
        <w:rPr>
          <w:rFonts w:hint="eastAsia" w:ascii="宋体" w:hAnsi="宋体" w:cs="宋体"/>
          <w:b/>
          <w:bCs/>
          <w:color w:val="auto"/>
          <w:sz w:val="32"/>
          <w:szCs w:val="32"/>
          <w:highlight w:val="none"/>
        </w:rPr>
      </w:pPr>
    </w:p>
    <w:p w14:paraId="71120527">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12726002">
      <w:pPr>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（按采购文件第四部分评审办法前附表中“响应文件中评审标准相应的商务技术资料目录”提供资料。）</w:t>
      </w:r>
    </w:p>
    <w:p w14:paraId="3D45BD54">
      <w:pPr>
        <w:jc w:val="center"/>
        <w:rPr>
          <w:rFonts w:ascii="宋体" w:hAnsi="宋体" w:cs="宋体"/>
          <w:b/>
          <w:color w:val="auto"/>
          <w:kern w:val="0"/>
          <w:sz w:val="32"/>
          <w:szCs w:val="32"/>
          <w:highlight w:val="none"/>
        </w:rPr>
      </w:pPr>
    </w:p>
    <w:p w14:paraId="084737AA">
      <w:pPr>
        <w:jc w:val="center"/>
        <w:rPr>
          <w:rFonts w:ascii="宋体" w:hAnsi="宋体" w:cs="宋体"/>
          <w:b/>
          <w:color w:val="auto"/>
          <w:kern w:val="0"/>
          <w:sz w:val="32"/>
          <w:szCs w:val="32"/>
          <w:highlight w:val="none"/>
        </w:rPr>
      </w:pPr>
    </w:p>
    <w:p w14:paraId="10554122">
      <w:pPr>
        <w:jc w:val="center"/>
        <w:rPr>
          <w:rFonts w:ascii="宋体" w:hAnsi="宋体" w:cs="宋体"/>
          <w:b/>
          <w:color w:val="auto"/>
          <w:kern w:val="0"/>
          <w:sz w:val="32"/>
          <w:szCs w:val="32"/>
          <w:highlight w:val="none"/>
        </w:rPr>
      </w:pPr>
    </w:p>
    <w:p w14:paraId="2D01ECA8">
      <w:pPr>
        <w:jc w:val="center"/>
        <w:rPr>
          <w:rFonts w:ascii="宋体" w:hAnsi="宋体" w:cs="宋体"/>
          <w:b/>
          <w:color w:val="auto"/>
          <w:kern w:val="0"/>
          <w:sz w:val="32"/>
          <w:szCs w:val="32"/>
          <w:highlight w:val="none"/>
        </w:rPr>
      </w:pPr>
    </w:p>
    <w:p w14:paraId="45CF9A53">
      <w:pPr>
        <w:jc w:val="center"/>
        <w:rPr>
          <w:rFonts w:ascii="宋体" w:hAnsi="宋体" w:cs="宋体"/>
          <w:b/>
          <w:color w:val="auto"/>
          <w:kern w:val="0"/>
          <w:sz w:val="32"/>
          <w:szCs w:val="32"/>
          <w:highlight w:val="none"/>
        </w:rPr>
      </w:pPr>
    </w:p>
    <w:p w14:paraId="4CE9A63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97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23352A">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3666FD5B">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采购文件章节及具体内容</w:t>
            </w:r>
          </w:p>
        </w:tc>
        <w:tc>
          <w:tcPr>
            <w:tcW w:w="3546" w:type="dxa"/>
          </w:tcPr>
          <w:p w14:paraId="1634A4F8">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响应文件章节及具体内容</w:t>
            </w:r>
          </w:p>
        </w:tc>
        <w:tc>
          <w:tcPr>
            <w:tcW w:w="1276" w:type="dxa"/>
          </w:tcPr>
          <w:p w14:paraId="36B6095D">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10B1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2B75D5">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75D97AF4">
            <w:pPr>
              <w:jc w:val="center"/>
              <w:rPr>
                <w:rFonts w:ascii="宋体" w:hAnsi="宋体" w:cs="宋体"/>
                <w:b/>
                <w:color w:val="auto"/>
                <w:kern w:val="0"/>
                <w:sz w:val="21"/>
                <w:szCs w:val="21"/>
                <w:highlight w:val="none"/>
              </w:rPr>
            </w:pPr>
          </w:p>
        </w:tc>
        <w:tc>
          <w:tcPr>
            <w:tcW w:w="3546" w:type="dxa"/>
          </w:tcPr>
          <w:p w14:paraId="3FA749AB">
            <w:pPr>
              <w:jc w:val="center"/>
              <w:rPr>
                <w:rFonts w:ascii="宋体" w:hAnsi="宋体" w:cs="宋体"/>
                <w:b/>
                <w:color w:val="auto"/>
                <w:kern w:val="0"/>
                <w:sz w:val="21"/>
                <w:szCs w:val="21"/>
                <w:highlight w:val="none"/>
              </w:rPr>
            </w:pPr>
          </w:p>
        </w:tc>
        <w:tc>
          <w:tcPr>
            <w:tcW w:w="1276" w:type="dxa"/>
          </w:tcPr>
          <w:p w14:paraId="5C97A560">
            <w:pPr>
              <w:jc w:val="center"/>
              <w:rPr>
                <w:rFonts w:ascii="宋体" w:hAnsi="宋体" w:cs="宋体"/>
                <w:b/>
                <w:color w:val="auto"/>
                <w:kern w:val="0"/>
                <w:sz w:val="21"/>
                <w:szCs w:val="21"/>
                <w:highlight w:val="none"/>
              </w:rPr>
            </w:pPr>
          </w:p>
        </w:tc>
      </w:tr>
      <w:tr w14:paraId="4C4A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5AAD90">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3A59DBF1">
            <w:pPr>
              <w:jc w:val="center"/>
              <w:rPr>
                <w:rFonts w:ascii="宋体" w:hAnsi="宋体" w:cs="宋体"/>
                <w:b/>
                <w:color w:val="auto"/>
                <w:kern w:val="0"/>
                <w:sz w:val="21"/>
                <w:szCs w:val="21"/>
                <w:highlight w:val="none"/>
              </w:rPr>
            </w:pPr>
          </w:p>
        </w:tc>
        <w:tc>
          <w:tcPr>
            <w:tcW w:w="3546" w:type="dxa"/>
          </w:tcPr>
          <w:p w14:paraId="59925427">
            <w:pPr>
              <w:jc w:val="center"/>
              <w:rPr>
                <w:rFonts w:ascii="宋体" w:hAnsi="宋体" w:cs="宋体"/>
                <w:b/>
                <w:color w:val="auto"/>
                <w:kern w:val="0"/>
                <w:sz w:val="21"/>
                <w:szCs w:val="21"/>
                <w:highlight w:val="none"/>
              </w:rPr>
            </w:pPr>
          </w:p>
        </w:tc>
        <w:tc>
          <w:tcPr>
            <w:tcW w:w="1276" w:type="dxa"/>
          </w:tcPr>
          <w:p w14:paraId="75BC83AD">
            <w:pPr>
              <w:jc w:val="center"/>
              <w:rPr>
                <w:rFonts w:ascii="宋体" w:hAnsi="宋体" w:cs="宋体"/>
                <w:b/>
                <w:color w:val="auto"/>
                <w:kern w:val="0"/>
                <w:sz w:val="21"/>
                <w:szCs w:val="21"/>
                <w:highlight w:val="none"/>
              </w:rPr>
            </w:pPr>
          </w:p>
        </w:tc>
      </w:tr>
      <w:tr w14:paraId="52F2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DC84AD">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07D1752E">
            <w:pPr>
              <w:jc w:val="center"/>
              <w:rPr>
                <w:rFonts w:ascii="宋体" w:hAnsi="宋体" w:cs="宋体"/>
                <w:b/>
                <w:color w:val="auto"/>
                <w:kern w:val="0"/>
                <w:sz w:val="21"/>
                <w:szCs w:val="21"/>
                <w:highlight w:val="none"/>
              </w:rPr>
            </w:pPr>
          </w:p>
        </w:tc>
        <w:tc>
          <w:tcPr>
            <w:tcW w:w="3546" w:type="dxa"/>
          </w:tcPr>
          <w:p w14:paraId="72A0241C">
            <w:pPr>
              <w:jc w:val="center"/>
              <w:rPr>
                <w:rFonts w:ascii="宋体" w:hAnsi="宋体" w:cs="宋体"/>
                <w:b/>
                <w:color w:val="auto"/>
                <w:kern w:val="0"/>
                <w:sz w:val="21"/>
                <w:szCs w:val="21"/>
                <w:highlight w:val="none"/>
              </w:rPr>
            </w:pPr>
          </w:p>
        </w:tc>
        <w:tc>
          <w:tcPr>
            <w:tcW w:w="1276" w:type="dxa"/>
          </w:tcPr>
          <w:p w14:paraId="13171C11">
            <w:pPr>
              <w:jc w:val="center"/>
              <w:rPr>
                <w:rFonts w:ascii="宋体" w:hAnsi="宋体" w:cs="宋体"/>
                <w:b/>
                <w:color w:val="auto"/>
                <w:kern w:val="0"/>
                <w:sz w:val="21"/>
                <w:szCs w:val="21"/>
                <w:highlight w:val="none"/>
              </w:rPr>
            </w:pPr>
          </w:p>
        </w:tc>
      </w:tr>
    </w:tbl>
    <w:p w14:paraId="06D85FAB">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供应商保证：除商务技术偏离表列出的偏离外，供应商响应采购文件的全部要求</w:t>
      </w:r>
    </w:p>
    <w:p w14:paraId="0926A688">
      <w:pPr>
        <w:jc w:val="center"/>
        <w:rPr>
          <w:rFonts w:ascii="宋体" w:hAnsi="宋体" w:cs="宋体"/>
          <w:b/>
          <w:color w:val="auto"/>
          <w:kern w:val="0"/>
          <w:sz w:val="21"/>
          <w:szCs w:val="21"/>
          <w:highlight w:val="none"/>
        </w:rPr>
      </w:pPr>
    </w:p>
    <w:p w14:paraId="1149D9F0">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1BAFE54">
      <w:pPr>
        <w:ind w:firstLine="1254" w:firstLineChars="595"/>
        <w:rPr>
          <w:rFonts w:ascii="宋体" w:hAnsi="宋体" w:cs="宋体"/>
          <w:b/>
          <w:bCs/>
          <w:color w:val="auto"/>
          <w:sz w:val="21"/>
          <w:szCs w:val="21"/>
          <w:highlight w:val="none"/>
        </w:rPr>
        <w:sectPr>
          <w:footerReference r:id="rId8" w:type="first"/>
          <w:footerReference r:id="rId7" w:type="default"/>
          <w:pgSz w:w="11906" w:h="16838"/>
          <w:pgMar w:top="1440" w:right="1080" w:bottom="1440" w:left="1080" w:header="851" w:footer="992" w:gutter="0"/>
          <w:pgNumType w:fmt="decimal"/>
          <w:cols w:space="720" w:num="1"/>
          <w:titlePg/>
          <w:docGrid w:linePitch="312" w:charSpace="0"/>
        </w:sectPr>
      </w:pPr>
    </w:p>
    <w:p w14:paraId="1368BB3E">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67DE2AE">
      <w:pPr>
        <w:snapToGrid w:val="0"/>
        <w:spacing w:line="360" w:lineRule="auto"/>
        <w:rPr>
          <w:rFonts w:ascii="宋体" w:hAnsi="宋体" w:cs="宋体"/>
          <w:color w:val="auto"/>
          <w:sz w:val="24"/>
          <w:highlight w:val="none"/>
        </w:rPr>
      </w:pPr>
    </w:p>
    <w:p w14:paraId="1559A0EB">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5F172511">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0070E5E3">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3FA4AB1C">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52904828">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157AAD3B">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6E8885DB">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五、不为项目有关人员个人装修住房、婚丧嫁娶、配偶子女工作安排等提供好处；</w:t>
      </w:r>
    </w:p>
    <w:p w14:paraId="1CE3653D">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1B87E7E9">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EE250C7">
      <w:pPr>
        <w:autoSpaceDE w:val="0"/>
        <w:autoSpaceDN w:val="0"/>
        <w:spacing w:line="360" w:lineRule="auto"/>
        <w:ind w:left="2"/>
        <w:jc w:val="left"/>
        <w:rPr>
          <w:rFonts w:ascii="宋体" w:hAnsi="宋体" w:cs="宋体"/>
          <w:color w:val="auto"/>
          <w:kern w:val="0"/>
          <w:sz w:val="21"/>
          <w:szCs w:val="21"/>
          <w:highlight w:val="none"/>
          <w:lang w:val="zh-CN"/>
        </w:rPr>
      </w:pPr>
    </w:p>
    <w:p w14:paraId="72D411DC">
      <w:pPr>
        <w:autoSpaceDE w:val="0"/>
        <w:autoSpaceDN w:val="0"/>
        <w:spacing w:line="360" w:lineRule="auto"/>
        <w:ind w:left="2"/>
        <w:jc w:val="left"/>
        <w:rPr>
          <w:rFonts w:ascii="宋体" w:hAnsi="宋体" w:cs="宋体"/>
          <w:color w:val="auto"/>
          <w:kern w:val="0"/>
          <w:sz w:val="21"/>
          <w:szCs w:val="21"/>
          <w:highlight w:val="none"/>
          <w:lang w:val="zh-CN"/>
        </w:rPr>
      </w:pPr>
    </w:p>
    <w:p w14:paraId="716DAB09">
      <w:pPr>
        <w:autoSpaceDE w:val="0"/>
        <w:autoSpaceDN w:val="0"/>
        <w:spacing w:line="360" w:lineRule="auto"/>
        <w:ind w:left="2"/>
        <w:jc w:val="left"/>
        <w:rPr>
          <w:rFonts w:ascii="宋体" w:hAnsi="宋体" w:cs="宋体"/>
          <w:color w:val="auto"/>
          <w:kern w:val="0"/>
          <w:sz w:val="21"/>
          <w:szCs w:val="21"/>
          <w:highlight w:val="none"/>
          <w:lang w:val="zh-CN"/>
        </w:rPr>
      </w:pPr>
    </w:p>
    <w:p w14:paraId="247CBC60">
      <w:pPr>
        <w:autoSpaceDE w:val="0"/>
        <w:autoSpaceDN w:val="0"/>
        <w:spacing w:line="36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0CF4E0DC">
      <w:pPr>
        <w:spacing w:line="36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05A4722B">
      <w:pPr>
        <w:spacing w:line="360" w:lineRule="auto"/>
        <w:jc w:val="center"/>
        <w:rPr>
          <w:rFonts w:ascii="宋体" w:hAnsi="宋体" w:cs="宋体"/>
          <w:b/>
          <w:bCs/>
          <w:color w:val="auto"/>
          <w:sz w:val="21"/>
          <w:szCs w:val="21"/>
          <w:highlight w:val="none"/>
        </w:rPr>
      </w:pPr>
    </w:p>
    <w:p w14:paraId="0A456802">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2AC76C2">
      <w:pPr>
        <w:spacing w:line="360" w:lineRule="auto"/>
        <w:jc w:val="center"/>
        <w:rPr>
          <w:rFonts w:ascii="宋体" w:hAnsi="宋体" w:cs="宋体"/>
          <w:b/>
          <w:bCs/>
          <w:color w:val="auto"/>
          <w:sz w:val="21"/>
          <w:szCs w:val="21"/>
          <w:highlight w:val="none"/>
        </w:rPr>
        <w:sectPr>
          <w:pgSz w:w="11906" w:h="16838"/>
          <w:pgMar w:top="1440" w:right="1080" w:bottom="1440" w:left="1080" w:header="851" w:footer="992" w:gutter="0"/>
          <w:pgNumType w:fmt="decimal"/>
          <w:cols w:space="720" w:num="1"/>
          <w:titlePg/>
          <w:docGrid w:linePitch="312" w:charSpace="0"/>
        </w:sectPr>
      </w:pPr>
    </w:p>
    <w:p w14:paraId="5F38D749">
      <w:pPr>
        <w:bidi w:val="0"/>
        <w:spacing w:line="360" w:lineRule="auto"/>
        <w:jc w:val="center"/>
        <w:rPr>
          <w:rFonts w:ascii="宋体" w:hAnsi="宋体" w:cs="宋体"/>
          <w:b/>
          <w:color w:val="auto"/>
          <w:kern w:val="0"/>
          <w:szCs w:val="36"/>
          <w:highlight w:val="none"/>
        </w:rPr>
      </w:pPr>
      <w:r>
        <w:rPr>
          <w:rFonts w:hint="eastAsia" w:asciiTheme="minorEastAsia" w:hAnsiTheme="minorEastAsia" w:eastAsiaTheme="minorEastAsia" w:cstheme="minorEastAsia"/>
          <w:b/>
          <w:bCs/>
          <w:color w:val="auto"/>
          <w:sz w:val="36"/>
          <w:szCs w:val="36"/>
          <w:highlight w:val="none"/>
        </w:rPr>
        <w:t>报价文件部分</w:t>
      </w:r>
    </w:p>
    <w:p w14:paraId="323EA0FD">
      <w:pPr>
        <w:bidi w:val="0"/>
        <w:spacing w:line="360" w:lineRule="auto"/>
        <w:jc w:val="center"/>
        <w:rPr>
          <w:rFonts w:hint="eastAsia" w:ascii="宋体" w:hAnsi="宋体" w:eastAsia="宋体" w:cs="宋体"/>
          <w:b/>
          <w:color w:val="auto"/>
          <w:kern w:val="0"/>
          <w:szCs w:val="36"/>
          <w:highlight w:val="none"/>
          <w:lang w:eastAsia="zh-CN"/>
        </w:rPr>
      </w:pPr>
      <w:r>
        <w:rPr>
          <w:rFonts w:hint="eastAsia" w:asciiTheme="minorEastAsia" w:hAnsiTheme="minorEastAsia" w:eastAsiaTheme="minorEastAsia" w:cstheme="minorEastAsia"/>
          <w:b/>
          <w:bCs/>
          <w:color w:val="auto"/>
          <w:sz w:val="36"/>
          <w:szCs w:val="36"/>
          <w:highlight w:val="none"/>
          <w:lang w:eastAsia="zh-CN"/>
        </w:rPr>
        <w:t>目录</w:t>
      </w:r>
    </w:p>
    <w:p w14:paraId="62FFF91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（1）报价单………………………………………………………………………………………（页码）</w:t>
      </w:r>
    </w:p>
    <w:p w14:paraId="71850F9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（2）已标价工程量清单…………………………………………………………………………（页码）</w:t>
      </w:r>
    </w:p>
    <w:p w14:paraId="36B8740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（3）中小企业声明函……………………………………………………………………………（页码）</w:t>
      </w:r>
    </w:p>
    <w:p w14:paraId="434B27BC">
      <w:pPr>
        <w:snapToGrid w:val="0"/>
        <w:spacing w:line="360" w:lineRule="auto"/>
        <w:ind w:right="480"/>
        <w:jc w:val="center"/>
        <w:rPr>
          <w:rFonts w:ascii="宋体" w:hAnsi="宋体" w:cs="宋体"/>
          <w:b/>
          <w:color w:val="auto"/>
          <w:kern w:val="0"/>
          <w:sz w:val="32"/>
          <w:szCs w:val="32"/>
          <w:highlight w:val="none"/>
        </w:rPr>
      </w:pPr>
    </w:p>
    <w:p w14:paraId="69B759AD">
      <w:pPr>
        <w:snapToGrid w:val="0"/>
        <w:spacing w:line="360" w:lineRule="auto"/>
        <w:ind w:right="480"/>
        <w:jc w:val="center"/>
        <w:rPr>
          <w:rFonts w:ascii="宋体" w:hAnsi="宋体" w:cs="宋体"/>
          <w:b/>
          <w:color w:val="auto"/>
          <w:kern w:val="0"/>
          <w:sz w:val="32"/>
          <w:szCs w:val="32"/>
          <w:highlight w:val="none"/>
        </w:rPr>
      </w:pPr>
    </w:p>
    <w:p w14:paraId="170E4E64">
      <w:pPr>
        <w:snapToGrid w:val="0"/>
        <w:spacing w:line="360" w:lineRule="auto"/>
        <w:ind w:right="480"/>
        <w:jc w:val="center"/>
        <w:rPr>
          <w:rFonts w:ascii="宋体" w:hAnsi="宋体" w:cs="宋体"/>
          <w:b/>
          <w:color w:val="auto"/>
          <w:kern w:val="0"/>
          <w:sz w:val="32"/>
          <w:szCs w:val="32"/>
          <w:highlight w:val="none"/>
        </w:rPr>
      </w:pPr>
    </w:p>
    <w:p w14:paraId="57D63B45">
      <w:pPr>
        <w:snapToGrid w:val="0"/>
        <w:spacing w:line="360" w:lineRule="auto"/>
        <w:ind w:right="480"/>
        <w:jc w:val="center"/>
        <w:rPr>
          <w:rFonts w:ascii="宋体" w:hAnsi="宋体" w:cs="宋体"/>
          <w:b/>
          <w:color w:val="auto"/>
          <w:kern w:val="0"/>
          <w:sz w:val="32"/>
          <w:szCs w:val="32"/>
          <w:highlight w:val="none"/>
        </w:rPr>
      </w:pPr>
    </w:p>
    <w:p w14:paraId="2E46A8F3">
      <w:pPr>
        <w:snapToGrid w:val="0"/>
        <w:spacing w:line="360" w:lineRule="auto"/>
        <w:ind w:right="480"/>
        <w:jc w:val="center"/>
        <w:rPr>
          <w:rFonts w:ascii="宋体" w:hAnsi="宋体" w:cs="宋体"/>
          <w:b/>
          <w:color w:val="auto"/>
          <w:kern w:val="0"/>
          <w:sz w:val="32"/>
          <w:szCs w:val="32"/>
          <w:highlight w:val="none"/>
        </w:rPr>
      </w:pPr>
    </w:p>
    <w:p w14:paraId="340EC138">
      <w:pPr>
        <w:snapToGrid w:val="0"/>
        <w:spacing w:line="360" w:lineRule="auto"/>
        <w:ind w:right="480"/>
        <w:jc w:val="center"/>
        <w:rPr>
          <w:rFonts w:ascii="宋体" w:hAnsi="宋体" w:cs="宋体"/>
          <w:b/>
          <w:color w:val="auto"/>
          <w:kern w:val="0"/>
          <w:sz w:val="32"/>
          <w:szCs w:val="32"/>
          <w:highlight w:val="none"/>
        </w:rPr>
      </w:pPr>
    </w:p>
    <w:p w14:paraId="488A472D">
      <w:pPr>
        <w:snapToGrid w:val="0"/>
        <w:spacing w:line="360" w:lineRule="auto"/>
        <w:ind w:right="480"/>
        <w:jc w:val="center"/>
        <w:rPr>
          <w:rFonts w:ascii="宋体" w:hAnsi="宋体" w:cs="宋体"/>
          <w:b/>
          <w:color w:val="auto"/>
          <w:kern w:val="0"/>
          <w:sz w:val="32"/>
          <w:szCs w:val="32"/>
          <w:highlight w:val="none"/>
        </w:rPr>
      </w:pPr>
    </w:p>
    <w:p w14:paraId="0963044E">
      <w:pPr>
        <w:snapToGrid w:val="0"/>
        <w:spacing w:line="360" w:lineRule="auto"/>
        <w:ind w:right="480"/>
        <w:jc w:val="center"/>
        <w:rPr>
          <w:rFonts w:ascii="宋体" w:hAnsi="宋体" w:cs="宋体"/>
          <w:b/>
          <w:color w:val="auto"/>
          <w:kern w:val="0"/>
          <w:sz w:val="32"/>
          <w:szCs w:val="32"/>
          <w:highlight w:val="none"/>
        </w:rPr>
      </w:pPr>
    </w:p>
    <w:p w14:paraId="3D5EBC02">
      <w:pPr>
        <w:snapToGrid w:val="0"/>
        <w:spacing w:line="360" w:lineRule="auto"/>
        <w:ind w:right="480"/>
        <w:jc w:val="center"/>
        <w:rPr>
          <w:rFonts w:ascii="宋体" w:hAnsi="宋体" w:cs="宋体"/>
          <w:b/>
          <w:color w:val="auto"/>
          <w:kern w:val="0"/>
          <w:sz w:val="32"/>
          <w:szCs w:val="32"/>
          <w:highlight w:val="none"/>
        </w:rPr>
      </w:pPr>
    </w:p>
    <w:p w14:paraId="33528FB0">
      <w:pPr>
        <w:snapToGrid w:val="0"/>
        <w:spacing w:line="360" w:lineRule="auto"/>
        <w:ind w:right="480"/>
        <w:jc w:val="center"/>
        <w:rPr>
          <w:rFonts w:ascii="宋体" w:hAnsi="宋体" w:cs="宋体"/>
          <w:b/>
          <w:color w:val="auto"/>
          <w:kern w:val="0"/>
          <w:sz w:val="32"/>
          <w:szCs w:val="32"/>
          <w:highlight w:val="none"/>
        </w:rPr>
      </w:pPr>
    </w:p>
    <w:p w14:paraId="16095049">
      <w:pPr>
        <w:snapToGrid w:val="0"/>
        <w:spacing w:line="360" w:lineRule="auto"/>
        <w:ind w:right="480"/>
        <w:jc w:val="center"/>
        <w:rPr>
          <w:rFonts w:ascii="宋体" w:hAnsi="宋体" w:cs="宋体"/>
          <w:b/>
          <w:color w:val="auto"/>
          <w:kern w:val="0"/>
          <w:sz w:val="32"/>
          <w:szCs w:val="32"/>
          <w:highlight w:val="none"/>
        </w:rPr>
      </w:pPr>
    </w:p>
    <w:p w14:paraId="345A94F9">
      <w:pPr>
        <w:snapToGrid w:val="0"/>
        <w:spacing w:line="360" w:lineRule="auto"/>
        <w:ind w:right="480"/>
        <w:jc w:val="center"/>
        <w:rPr>
          <w:rFonts w:ascii="宋体" w:hAnsi="宋体" w:cs="宋体"/>
          <w:b/>
          <w:color w:val="auto"/>
          <w:kern w:val="0"/>
          <w:sz w:val="32"/>
          <w:szCs w:val="32"/>
          <w:highlight w:val="none"/>
        </w:rPr>
      </w:pPr>
    </w:p>
    <w:p w14:paraId="5E8B53EC">
      <w:pPr>
        <w:snapToGrid w:val="0"/>
        <w:spacing w:line="360" w:lineRule="auto"/>
        <w:ind w:right="480"/>
        <w:jc w:val="center"/>
        <w:rPr>
          <w:rFonts w:ascii="宋体" w:hAnsi="宋体" w:cs="宋体"/>
          <w:b/>
          <w:color w:val="auto"/>
          <w:kern w:val="0"/>
          <w:sz w:val="32"/>
          <w:szCs w:val="32"/>
          <w:highlight w:val="none"/>
        </w:rPr>
      </w:pPr>
    </w:p>
    <w:p w14:paraId="0B48E33D">
      <w:pPr>
        <w:snapToGrid w:val="0"/>
        <w:spacing w:line="360" w:lineRule="auto"/>
        <w:ind w:right="480"/>
        <w:jc w:val="center"/>
        <w:rPr>
          <w:rFonts w:ascii="宋体" w:hAnsi="宋体" w:cs="宋体"/>
          <w:b/>
          <w:color w:val="auto"/>
          <w:kern w:val="0"/>
          <w:sz w:val="32"/>
          <w:szCs w:val="32"/>
          <w:highlight w:val="none"/>
        </w:rPr>
      </w:pPr>
    </w:p>
    <w:p w14:paraId="7E52F856">
      <w:pPr>
        <w:snapToGrid w:val="0"/>
        <w:spacing w:line="360" w:lineRule="auto"/>
        <w:ind w:right="480"/>
        <w:jc w:val="center"/>
        <w:rPr>
          <w:rFonts w:ascii="宋体" w:hAnsi="宋体" w:cs="宋体"/>
          <w:b/>
          <w:color w:val="auto"/>
          <w:kern w:val="0"/>
          <w:sz w:val="32"/>
          <w:szCs w:val="32"/>
          <w:highlight w:val="none"/>
        </w:rPr>
      </w:pPr>
    </w:p>
    <w:p w14:paraId="4CE433A5">
      <w:pPr>
        <w:pStyle w:val="11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1" w:type="first"/>
          <w:headerReference r:id="rId9" w:type="default"/>
          <w:footerReference r:id="rId10" w:type="default"/>
          <w:pgSz w:w="11906" w:h="16838"/>
          <w:pgMar w:top="1440" w:right="1080" w:bottom="1440" w:left="1080" w:header="851" w:footer="992" w:gutter="0"/>
          <w:pgNumType w:fmt="decimal"/>
          <w:cols w:space="720" w:num="1"/>
          <w:titlePg/>
          <w:docGrid w:linePitch="312" w:charSpace="0"/>
        </w:sectPr>
      </w:pPr>
    </w:p>
    <w:p w14:paraId="0EA8536E">
      <w:pPr>
        <w:pStyle w:val="119"/>
        <w:keepNext w:val="0"/>
        <w:pageBreakBefore w:val="0"/>
        <w:numPr>
          <w:ilvl w:val="0"/>
          <w:numId w:val="15"/>
        </w:numPr>
        <w:tabs>
          <w:tab w:val="clear" w:pos="720"/>
        </w:tabs>
        <w:snapToGrid w:val="0"/>
        <w:spacing w:before="120" w:after="120"/>
        <w:ind w:firstLine="643"/>
        <w:outlineLvl w:val="9"/>
        <w:rPr>
          <w:rFonts w:eastAsia="宋体"/>
          <w:color w:val="auto"/>
          <w:highlight w:val="none"/>
        </w:rPr>
      </w:pPr>
      <w:r>
        <w:rPr>
          <w:rFonts w:hint="eastAsia" w:ascii="宋体" w:hAnsi="宋体" w:eastAsia="宋体" w:cs="宋体"/>
          <w:color w:val="auto"/>
          <w:kern w:val="2"/>
          <w:sz w:val="32"/>
          <w:szCs w:val="32"/>
          <w:highlight w:val="none"/>
        </w:rPr>
        <w:t>报价单</w:t>
      </w:r>
    </w:p>
    <w:p w14:paraId="1184A6CF">
      <w:pPr>
        <w:tabs>
          <w:tab w:val="left" w:pos="1494"/>
        </w:tabs>
        <w:spacing w:line="400" w:lineRule="exact"/>
        <w:rPr>
          <w:rFonts w:hint="eastAsia" w:eastAsia="宋体"/>
          <w:color w:val="auto"/>
          <w:szCs w:val="22"/>
          <w:highlight w:val="none"/>
        </w:rPr>
      </w:pPr>
      <w:r>
        <w:rPr>
          <w:rFonts w:hint="eastAsia" w:eastAsia="宋体"/>
          <w:color w:val="auto"/>
          <w:szCs w:val="22"/>
          <w:highlight w:val="none"/>
        </w:rPr>
        <w:t>项目编号：</w:t>
      </w:r>
      <w:r>
        <w:rPr>
          <w:rFonts w:hint="eastAsia"/>
          <w:color w:val="auto"/>
          <w:szCs w:val="22"/>
          <w:highlight w:val="none"/>
          <w:lang w:val="en-US" w:eastAsia="zh-CN"/>
        </w:rPr>
        <w:t xml:space="preserve">                 </w:t>
      </w:r>
      <w:r>
        <w:rPr>
          <w:rFonts w:hint="eastAsia" w:eastAsia="宋体"/>
          <w:color w:val="auto"/>
          <w:szCs w:val="22"/>
          <w:highlight w:val="none"/>
        </w:rPr>
        <w:t>项目名称：</w:t>
      </w:r>
      <w:r>
        <w:rPr>
          <w:rFonts w:hint="eastAsia"/>
          <w:color w:val="auto"/>
          <w:szCs w:val="22"/>
          <w:highlight w:val="none"/>
          <w:lang w:val="en-US" w:eastAsia="zh-CN"/>
        </w:rPr>
        <w:t xml:space="preserve">                                         </w:t>
      </w:r>
      <w:r>
        <w:rPr>
          <w:rFonts w:hint="eastAsia" w:eastAsia="宋体"/>
          <w:color w:val="auto"/>
          <w:szCs w:val="22"/>
          <w:highlight w:val="none"/>
        </w:rPr>
        <w:t>单位：人民币元</w:t>
      </w:r>
    </w:p>
    <w:tbl>
      <w:tblPr>
        <w:tblStyle w:val="61"/>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648639A5">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C99828F">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86E9013">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CCC4C7">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911FA3">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备注</w:t>
            </w:r>
          </w:p>
        </w:tc>
      </w:tr>
      <w:tr w14:paraId="6FB10C3A">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3829CB">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r>
              <w:rPr>
                <w:rFonts w:hint="eastAsia"/>
                <w:color w:val="auto"/>
                <w:kern w:val="2"/>
                <w:szCs w:val="22"/>
                <w:highlight w:val="none"/>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28DFD95">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7CDE21">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EC1D8D8">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auto"/>
                <w:kern w:val="2"/>
                <w:szCs w:val="22"/>
                <w:highlight w:val="none"/>
              </w:rPr>
            </w:pPr>
          </w:p>
        </w:tc>
      </w:tr>
      <w:tr w14:paraId="081EEB7D">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58D8C9C">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auto"/>
                <w:kern w:val="2"/>
                <w:szCs w:val="22"/>
                <w:highlight w:val="none"/>
              </w:rPr>
            </w:pPr>
            <w:r>
              <w:rPr>
                <w:rFonts w:hint="eastAsia"/>
                <w:color w:val="auto"/>
                <w:kern w:val="2"/>
                <w:highlight w:val="none"/>
              </w:rPr>
              <w:t>报价大写：</w:t>
            </w:r>
            <w:r>
              <w:rPr>
                <w:rFonts w:hint="eastAsia"/>
                <w:color w:val="auto"/>
                <w:kern w:val="2"/>
                <w:highlight w:val="none"/>
                <w:u w:val="single"/>
                <w:lang w:val="en-US" w:eastAsia="zh-CN"/>
              </w:rPr>
              <w:t xml:space="preserve">             </w:t>
            </w:r>
            <w:r>
              <w:rPr>
                <w:rFonts w:hint="eastAsia"/>
                <w:color w:val="auto"/>
                <w:kern w:val="2"/>
                <w:highlight w:val="none"/>
              </w:rPr>
              <w:t>元整（小写：</w:t>
            </w:r>
            <w:r>
              <w:rPr>
                <w:rFonts w:hint="eastAsia"/>
                <w:color w:val="auto"/>
                <w:kern w:val="2"/>
                <w:highlight w:val="none"/>
                <w:u w:val="single"/>
                <w:lang w:val="en-US" w:eastAsia="zh-CN"/>
              </w:rPr>
              <w:t xml:space="preserve">              </w:t>
            </w:r>
            <w:r>
              <w:rPr>
                <w:rFonts w:hint="eastAsia"/>
                <w:color w:val="auto"/>
                <w:kern w:val="2"/>
                <w:highlight w:val="none"/>
              </w:rPr>
              <w:t xml:space="preserve">￥） </w:t>
            </w:r>
          </w:p>
        </w:tc>
      </w:tr>
      <w:tr w14:paraId="4FBBBDFA">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4EAF61A9">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auto"/>
                <w:kern w:val="2"/>
                <w:szCs w:val="22"/>
                <w:highlight w:val="none"/>
              </w:rPr>
            </w:pPr>
            <w:r>
              <w:rPr>
                <w:rFonts w:hint="eastAsia" w:eastAsia="宋体"/>
                <w:color w:val="auto"/>
                <w:kern w:val="2"/>
                <w:szCs w:val="22"/>
                <w:highlight w:val="none"/>
              </w:rPr>
              <w:t>质量目标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591F3BF">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r w14:paraId="0D26E83D">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70F0B39">
            <w:pPr>
              <w:keepNext w:val="0"/>
              <w:keepLines w:val="0"/>
              <w:widowControl/>
              <w:suppressLineNumbers w:val="0"/>
              <w:tabs>
                <w:tab w:val="left" w:pos="1494"/>
              </w:tabs>
              <w:spacing w:before="0" w:beforeAutospacing="0" w:after="0" w:afterAutospacing="0"/>
              <w:ind w:left="0" w:right="0" w:firstLine="210" w:firstLineChars="100"/>
              <w:textAlignment w:val="bottom"/>
              <w:rPr>
                <w:color w:val="auto"/>
                <w:kern w:val="2"/>
                <w:highlight w:val="none"/>
              </w:rPr>
            </w:pPr>
            <w:r>
              <w:rPr>
                <w:rFonts w:hint="eastAsia"/>
                <w:color w:val="auto"/>
                <w:kern w:val="2"/>
                <w:highlight w:val="none"/>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F69F82F">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r w14:paraId="406C2A29">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CE8FBE0">
            <w:pPr>
              <w:keepNext w:val="0"/>
              <w:keepLines w:val="0"/>
              <w:widowControl/>
              <w:suppressLineNumbers w:val="0"/>
              <w:tabs>
                <w:tab w:val="left" w:pos="1494"/>
              </w:tabs>
              <w:spacing w:before="0" w:beforeAutospacing="0" w:after="0" w:afterAutospacing="0"/>
              <w:ind w:left="0" w:right="0" w:firstLine="210" w:firstLineChars="100"/>
              <w:textAlignment w:val="bottom"/>
              <w:rPr>
                <w:color w:val="auto"/>
                <w:kern w:val="2"/>
                <w:highlight w:val="none"/>
              </w:rPr>
            </w:pPr>
            <w:r>
              <w:rPr>
                <w:rFonts w:hint="eastAsia"/>
                <w:color w:val="auto"/>
                <w:kern w:val="2"/>
                <w:highlight w:val="none"/>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565BC5C9">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bl>
    <w:p w14:paraId="1CDB2281">
      <w:pPr>
        <w:keepNext w:val="0"/>
        <w:keepLines w:val="0"/>
        <w:pageBreakBefore w:val="0"/>
        <w:widowControl w:val="0"/>
        <w:tabs>
          <w:tab w:val="left" w:pos="1494"/>
        </w:tabs>
        <w:kinsoku/>
        <w:wordWrap/>
        <w:overflowPunct/>
        <w:topLinePunct w:val="0"/>
        <w:autoSpaceDE/>
        <w:autoSpaceDN/>
        <w:bidi w:val="0"/>
        <w:adjustRightInd w:val="0"/>
        <w:snapToGrid/>
        <w:jc w:val="both"/>
        <w:textAlignment w:val="auto"/>
        <w:rPr>
          <w:rFonts w:eastAsia="宋体"/>
          <w:color w:val="auto"/>
          <w:szCs w:val="22"/>
          <w:highlight w:val="none"/>
        </w:rPr>
      </w:pPr>
      <w:r>
        <w:rPr>
          <w:rFonts w:hint="eastAsia" w:eastAsia="宋体"/>
          <w:color w:val="auto"/>
          <w:kern w:val="2"/>
          <w:szCs w:val="22"/>
          <w:highlight w:val="none"/>
        </w:rPr>
        <w:t>注：1、报价包含施工、保险、安全文明施工费、保修、风险、管理费、利润及税金、政策性文件规定及为完成本次项目合同实施过程中不可预见费用等的一切费用。</w:t>
      </w:r>
    </w:p>
    <w:p w14:paraId="1AB3228A">
      <w:pPr>
        <w:keepNext w:val="0"/>
        <w:keepLines w:val="0"/>
        <w:pageBreakBefore w:val="0"/>
        <w:widowControl w:val="0"/>
        <w:tabs>
          <w:tab w:val="left" w:pos="1494"/>
        </w:tabs>
        <w:kinsoku/>
        <w:wordWrap/>
        <w:overflowPunct/>
        <w:topLinePunct w:val="0"/>
        <w:autoSpaceDE/>
        <w:autoSpaceDN/>
        <w:bidi w:val="0"/>
        <w:adjustRightInd w:val="0"/>
        <w:snapToGrid/>
        <w:ind w:firstLine="210" w:firstLineChars="100"/>
        <w:jc w:val="both"/>
        <w:textAlignment w:val="auto"/>
        <w:rPr>
          <w:rFonts w:hint="eastAsia" w:ascii="Times New Roman" w:hAnsi="Times New Roman" w:eastAsia="宋体" w:cs="Times New Roman"/>
          <w:color w:val="auto"/>
          <w:kern w:val="2"/>
          <w:szCs w:val="22"/>
          <w:highlight w:val="none"/>
        </w:rPr>
      </w:pPr>
      <w:r>
        <w:rPr>
          <w:rFonts w:hint="eastAsia" w:ascii="Times New Roman" w:hAnsi="Times New Roman" w:cs="Times New Roman"/>
          <w:color w:val="auto"/>
          <w:kern w:val="2"/>
          <w:szCs w:val="22"/>
          <w:highlight w:val="none"/>
          <w:lang w:val="en-US" w:eastAsia="zh-CN"/>
        </w:rPr>
        <w:t>2</w:t>
      </w:r>
      <w:r>
        <w:rPr>
          <w:rFonts w:hint="eastAsia" w:ascii="Times New Roman" w:hAnsi="Times New Roman" w:eastAsia="宋体" w:cs="Times New Roman"/>
          <w:color w:val="auto"/>
          <w:kern w:val="2"/>
          <w:szCs w:val="22"/>
          <w:highlight w:val="none"/>
        </w:rPr>
        <w:t>、报价一经涂改，应在涂改处加盖单位公章或者由法定代表人或授权代表签字或盖章，否则其投标作无效标处理。</w:t>
      </w:r>
    </w:p>
    <w:p w14:paraId="0840E289">
      <w:pPr>
        <w:keepNext w:val="0"/>
        <w:keepLines w:val="0"/>
        <w:pageBreakBefore w:val="0"/>
        <w:widowControl w:val="0"/>
        <w:tabs>
          <w:tab w:val="left" w:pos="1494"/>
        </w:tabs>
        <w:kinsoku/>
        <w:wordWrap/>
        <w:overflowPunct/>
        <w:topLinePunct w:val="0"/>
        <w:autoSpaceDE/>
        <w:autoSpaceDN/>
        <w:bidi w:val="0"/>
        <w:adjustRightInd w:val="0"/>
        <w:snapToGrid/>
        <w:ind w:firstLine="210" w:firstLineChars="100"/>
        <w:jc w:val="both"/>
        <w:textAlignment w:val="auto"/>
        <w:rPr>
          <w:rFonts w:hint="eastAsia" w:ascii="Times New Roman" w:hAnsi="Times New Roman" w:eastAsia="宋体" w:cs="Times New Roman"/>
          <w:color w:val="auto"/>
          <w:kern w:val="2"/>
          <w:szCs w:val="22"/>
          <w:highlight w:val="none"/>
        </w:rPr>
      </w:pPr>
      <w:r>
        <w:rPr>
          <w:rFonts w:hint="eastAsia" w:cs="Times New Roman"/>
          <w:color w:val="auto"/>
          <w:kern w:val="2"/>
          <w:szCs w:val="22"/>
          <w:highlight w:val="none"/>
          <w:lang w:val="en-US" w:eastAsia="zh-CN"/>
        </w:rPr>
        <w:t>3</w:t>
      </w:r>
      <w:r>
        <w:rPr>
          <w:rFonts w:hint="eastAsia" w:ascii="Times New Roman" w:hAnsi="Times New Roman" w:eastAsia="宋体" w:cs="Times New Roman"/>
          <w:color w:val="auto"/>
          <w:kern w:val="2"/>
          <w:szCs w:val="22"/>
          <w:highlight w:val="none"/>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83F3370">
      <w:pPr>
        <w:tabs>
          <w:tab w:val="left" w:pos="1494"/>
        </w:tabs>
        <w:jc w:val="both"/>
        <w:rPr>
          <w:rFonts w:eastAsia="宋体"/>
          <w:color w:val="auto"/>
          <w:szCs w:val="22"/>
          <w:highlight w:val="none"/>
        </w:rPr>
      </w:pPr>
    </w:p>
    <w:p w14:paraId="7AF8382A">
      <w:pPr>
        <w:tabs>
          <w:tab w:val="left" w:pos="1494"/>
        </w:tabs>
        <w:jc w:val="both"/>
        <w:rPr>
          <w:rFonts w:eastAsia="宋体"/>
          <w:b/>
          <w:color w:val="auto"/>
          <w:sz w:val="36"/>
          <w:highlight w:val="none"/>
        </w:rPr>
      </w:pPr>
    </w:p>
    <w:p w14:paraId="62D60F56">
      <w:pPr>
        <w:tabs>
          <w:tab w:val="left" w:pos="1494"/>
        </w:tabs>
        <w:jc w:val="center"/>
        <w:rPr>
          <w:rFonts w:eastAsia="宋体"/>
          <w:b/>
          <w:color w:val="auto"/>
          <w:sz w:val="36"/>
          <w:highlight w:val="none"/>
        </w:rPr>
      </w:pPr>
    </w:p>
    <w:p w14:paraId="778131B7">
      <w:pPr>
        <w:tabs>
          <w:tab w:val="left" w:pos="1494"/>
        </w:tabs>
        <w:jc w:val="center"/>
        <w:rPr>
          <w:rFonts w:eastAsia="宋体"/>
          <w:b/>
          <w:color w:val="auto"/>
          <w:sz w:val="36"/>
          <w:highlight w:val="none"/>
        </w:rPr>
      </w:pPr>
    </w:p>
    <w:p w14:paraId="3EB865B2">
      <w:pPr>
        <w:tabs>
          <w:tab w:val="left" w:pos="1494"/>
        </w:tabs>
        <w:spacing w:line="720" w:lineRule="auto"/>
        <w:ind w:firstLine="105" w:firstLineChars="50"/>
        <w:jc w:val="center"/>
        <w:rPr>
          <w:color w:val="auto"/>
          <w:highlight w:val="none"/>
          <w:u w:val="single"/>
        </w:rPr>
      </w:pPr>
      <w:r>
        <w:rPr>
          <w:rFonts w:hint="eastAsia" w:eastAsia="宋体"/>
          <w:color w:val="auto"/>
          <w:highlight w:val="none"/>
        </w:rPr>
        <w:t xml:space="preserve">                  </w:t>
      </w:r>
      <w:r>
        <w:rPr>
          <w:rFonts w:hint="eastAsia"/>
          <w:color w:val="auto"/>
          <w:highlight w:val="none"/>
        </w:rPr>
        <w:t>供应商</w:t>
      </w:r>
      <w:r>
        <w:rPr>
          <w:rFonts w:hint="eastAsia"/>
          <w:color w:val="auto"/>
          <w:highlight w:val="none"/>
          <w:lang w:val="en-US" w:eastAsia="zh-CN"/>
        </w:rPr>
        <w:t>名称</w:t>
      </w:r>
      <w:r>
        <w:rPr>
          <w:rFonts w:hint="eastAsia"/>
          <w:color w:val="auto"/>
          <w:highlight w:val="none"/>
        </w:rPr>
        <w:t>（</w:t>
      </w:r>
      <w:r>
        <w:rPr>
          <w:rFonts w:hint="eastAsia"/>
          <w:color w:val="auto"/>
          <w:highlight w:val="none"/>
          <w:lang w:val="en-US" w:eastAsia="zh-CN"/>
        </w:rPr>
        <w:t>电子签名</w:t>
      </w:r>
      <w:r>
        <w:rPr>
          <w:rFonts w:hint="eastAsia"/>
          <w:color w:val="auto"/>
          <w:highlight w:val="none"/>
        </w:rPr>
        <w:t>）：</w:t>
      </w:r>
    </w:p>
    <w:p w14:paraId="5408DF37">
      <w:pPr>
        <w:tabs>
          <w:tab w:val="left" w:pos="1494"/>
        </w:tabs>
        <w:spacing w:line="720" w:lineRule="auto"/>
        <w:rPr>
          <w:rFonts w:ascii="仿宋" w:hAnsi="仿宋" w:eastAsia="仿宋" w:cs="仿宋"/>
          <w:b w:val="0"/>
          <w:color w:val="auto"/>
          <w:kern w:val="2"/>
          <w:sz w:val="24"/>
          <w:szCs w:val="24"/>
          <w:highlight w:val="none"/>
        </w:rPr>
      </w:pPr>
      <w:r>
        <w:rPr>
          <w:rFonts w:hint="eastAsia"/>
          <w:color w:val="auto"/>
          <w:highlight w:val="none"/>
        </w:rPr>
        <w:t xml:space="preserve">                                         日  期：    年   月   日</w:t>
      </w:r>
    </w:p>
    <w:p w14:paraId="212EF01C">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12F5E39A">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7714CD79">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15C217B9">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775A2E93">
      <w:pPr>
        <w:pStyle w:val="119"/>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7B7CEAAF">
      <w:pPr>
        <w:ind w:right="420"/>
        <w:rPr>
          <w:rFonts w:ascii="宋体" w:hAnsi="宋体" w:cs="宋体"/>
          <w:color w:val="auto"/>
          <w:sz w:val="21"/>
          <w:szCs w:val="21"/>
          <w:highlight w:val="none"/>
        </w:rPr>
      </w:pPr>
      <w:r>
        <w:rPr>
          <w:rFonts w:hint="eastAsia" w:ascii="宋体" w:hAnsi="宋体" w:cs="宋体"/>
          <w:color w:val="auto"/>
          <w:sz w:val="21"/>
          <w:szCs w:val="21"/>
          <w:highlight w:val="none"/>
        </w:rPr>
        <w:t xml:space="preserve">注：按采购文件工程量清单编制 </w:t>
      </w:r>
    </w:p>
    <w:p w14:paraId="23105710">
      <w:pPr>
        <w:pStyle w:val="60"/>
        <w:ind w:firstLine="480"/>
        <w:rPr>
          <w:rFonts w:cs="宋体"/>
          <w:color w:val="auto"/>
          <w:sz w:val="24"/>
          <w:highlight w:val="none"/>
        </w:rPr>
      </w:pPr>
    </w:p>
    <w:p w14:paraId="35A0480D">
      <w:pPr>
        <w:pStyle w:val="60"/>
        <w:ind w:firstLine="480"/>
        <w:rPr>
          <w:rFonts w:cs="宋体"/>
          <w:color w:val="auto"/>
          <w:sz w:val="24"/>
          <w:highlight w:val="none"/>
        </w:rPr>
        <w:sectPr>
          <w:footerReference r:id="rId15" w:type="first"/>
          <w:headerReference r:id="rId12" w:type="default"/>
          <w:footerReference r:id="rId13" w:type="default"/>
          <w:footerReference r:id="rId14" w:type="even"/>
          <w:pgSz w:w="11906" w:h="16838"/>
          <w:pgMar w:top="1440" w:right="1080" w:bottom="1440" w:left="1080" w:header="851" w:footer="992" w:gutter="0"/>
          <w:pgNumType w:fmt="decimal"/>
          <w:cols w:space="720" w:num="1"/>
          <w:titlePg/>
          <w:docGrid w:linePitch="312" w:charSpace="0"/>
        </w:sectPr>
      </w:pPr>
    </w:p>
    <w:p w14:paraId="6189A257">
      <w:pPr>
        <w:pStyle w:val="119"/>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72" w:name="_Hlk101259491"/>
      <w:r>
        <w:rPr>
          <w:rFonts w:hint="eastAsia" w:ascii="宋体" w:hAnsi="宋体" w:eastAsia="宋体" w:cs="宋体"/>
          <w:color w:val="auto"/>
          <w:sz w:val="32"/>
          <w:szCs w:val="32"/>
          <w:highlight w:val="none"/>
        </w:rPr>
        <w:t>（如果有）</w:t>
      </w:r>
      <w:bookmarkEnd w:id="72"/>
    </w:p>
    <w:p w14:paraId="2989CED8">
      <w:pPr>
        <w:widowControl/>
        <w:spacing w:line="360" w:lineRule="auto"/>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1"/>
          <w:szCs w:val="21"/>
          <w:highlight w:val="none"/>
        </w:rPr>
        <w:t>7</w:t>
      </w:r>
      <w:r>
        <w:rPr>
          <w:rFonts w:hint="eastAsia" w:ascii="宋体" w:hAnsi="宋体" w:cs="宋体"/>
          <w:b/>
          <w:color w:val="auto"/>
          <w:sz w:val="21"/>
          <w:szCs w:val="21"/>
          <w:highlight w:val="none"/>
        </w:rPr>
        <w:t>）。]</w:t>
      </w:r>
    </w:p>
    <w:p w14:paraId="56A40E80">
      <w:pP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6931FB37">
      <w:pPr>
        <w:pStyle w:val="23"/>
        <w:rPr>
          <w:color w:val="auto"/>
          <w:highlight w:val="none"/>
        </w:rPr>
      </w:pPr>
    </w:p>
    <w:p w14:paraId="6C4B4682">
      <w:pPr>
        <w:bidi w:val="0"/>
        <w:spacing w:line="360" w:lineRule="auto"/>
        <w:jc w:val="center"/>
        <w:rPr>
          <w:color w:val="auto"/>
          <w:sz w:val="44"/>
          <w:szCs w:val="44"/>
          <w:highlight w:val="none"/>
        </w:rPr>
      </w:pPr>
      <w:bookmarkStart w:id="73" w:name="_Toc465665161"/>
      <w:r>
        <w:rPr>
          <w:rFonts w:hint="eastAsia"/>
          <w:color w:val="auto"/>
          <w:sz w:val="44"/>
          <w:szCs w:val="44"/>
          <w:highlight w:val="none"/>
        </w:rPr>
        <w:t>附件</w:t>
      </w:r>
      <w:bookmarkEnd w:id="73"/>
    </w:p>
    <w:p w14:paraId="7380575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3A01976">
      <w:pPr>
        <w:spacing w:line="360" w:lineRule="auto"/>
        <w:jc w:val="center"/>
        <w:rPr>
          <w:rFonts w:ascii="宋体" w:hAnsi="宋体" w:cs="宋体"/>
          <w:b/>
          <w:color w:val="auto"/>
          <w:spacing w:val="6"/>
          <w:sz w:val="32"/>
          <w:szCs w:val="32"/>
          <w:highlight w:val="none"/>
        </w:rPr>
      </w:pPr>
      <w:bookmarkStart w:id="74" w:name="OLE_LINK14"/>
      <w:bookmarkStart w:id="75" w:name="OLE_LINK13"/>
      <w:r>
        <w:rPr>
          <w:rFonts w:hint="eastAsia" w:ascii="宋体" w:hAnsi="宋体" w:cs="宋体"/>
          <w:b/>
          <w:color w:val="auto"/>
          <w:spacing w:val="6"/>
          <w:sz w:val="32"/>
          <w:szCs w:val="32"/>
          <w:highlight w:val="none"/>
        </w:rPr>
        <w:t>残疾人福利性单位声明函</w:t>
      </w:r>
    </w:p>
    <w:bookmarkEnd w:id="74"/>
    <w:bookmarkEnd w:id="75"/>
    <w:p w14:paraId="428CAB16">
      <w:pPr>
        <w:spacing w:line="360" w:lineRule="auto"/>
        <w:rPr>
          <w:rFonts w:ascii="宋体" w:hAnsi="宋体" w:cs="宋体"/>
          <w:b/>
          <w:color w:val="auto"/>
          <w:spacing w:val="6"/>
          <w:sz w:val="30"/>
          <w:szCs w:val="30"/>
          <w:highlight w:val="none"/>
        </w:rPr>
      </w:pPr>
    </w:p>
    <w:p w14:paraId="7321D8E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25541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0E321B25">
      <w:pPr>
        <w:spacing w:line="360" w:lineRule="auto"/>
        <w:ind w:firstLine="420" w:firstLineChars="200"/>
        <w:rPr>
          <w:rFonts w:ascii="宋体" w:hAnsi="宋体" w:cs="宋体"/>
          <w:color w:val="auto"/>
          <w:sz w:val="21"/>
          <w:szCs w:val="21"/>
          <w:highlight w:val="none"/>
        </w:rPr>
      </w:pPr>
    </w:p>
    <w:p w14:paraId="20FD3439">
      <w:pPr>
        <w:spacing w:line="360" w:lineRule="auto"/>
        <w:ind w:firstLine="420" w:firstLineChars="200"/>
        <w:rPr>
          <w:rFonts w:ascii="宋体" w:hAnsi="宋体" w:cs="宋体"/>
          <w:color w:val="auto"/>
          <w:sz w:val="21"/>
          <w:szCs w:val="21"/>
          <w:highlight w:val="none"/>
        </w:rPr>
      </w:pPr>
    </w:p>
    <w:p w14:paraId="6E260377">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供应商名称（电子签名）</w:t>
      </w:r>
      <w:r>
        <w:rPr>
          <w:rFonts w:hint="eastAsia" w:ascii="宋体" w:hAnsi="宋体" w:cs="宋体"/>
          <w:color w:val="auto"/>
          <w:sz w:val="21"/>
          <w:szCs w:val="21"/>
          <w:highlight w:val="none"/>
        </w:rPr>
        <w:t>：</w:t>
      </w:r>
    </w:p>
    <w:p w14:paraId="3C5D032C">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636C7146">
      <w:pPr>
        <w:rPr>
          <w:rFonts w:ascii="宋体" w:hAnsi="宋体" w:cs="宋体"/>
          <w:color w:val="auto"/>
          <w:sz w:val="24"/>
          <w:highlight w:val="none"/>
        </w:rPr>
      </w:pPr>
      <w:r>
        <w:rPr>
          <w:rFonts w:ascii="宋体" w:hAnsi="宋体" w:cs="宋体"/>
          <w:color w:val="auto"/>
          <w:sz w:val="24"/>
          <w:highlight w:val="none"/>
        </w:rPr>
        <w:br w:type="page"/>
      </w:r>
    </w:p>
    <w:p w14:paraId="315599A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69DC79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4AFD994">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230BE4CA">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12DED20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27428F3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0262BE1C">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06C332B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070295A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4903BF7F">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1F21921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760A0EC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9FEF222">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1EC31CB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302F0EF0">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7A7FA38D">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7235B392">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61D96C8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198CC04F">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65D14138">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012D58A0">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15EABBAC">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5A09A6C4">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00C8D240">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7995559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32B2DCA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3A6FF837">
      <w:pPr>
        <w:spacing w:line="360" w:lineRule="auto"/>
        <w:jc w:val="center"/>
        <w:rPr>
          <w:rFonts w:ascii="宋体" w:hAnsi="宋体" w:cs="宋体"/>
          <w:b/>
          <w:bCs/>
          <w:color w:val="auto"/>
          <w:sz w:val="21"/>
          <w:szCs w:val="21"/>
          <w:highlight w:val="none"/>
        </w:rPr>
      </w:pPr>
    </w:p>
    <w:p w14:paraId="0D38CAE4">
      <w:pPr>
        <w:spacing w:line="360" w:lineRule="auto"/>
        <w:rPr>
          <w:rFonts w:ascii="宋体" w:hAnsi="宋体" w:cs="宋体"/>
          <w:b/>
          <w:color w:val="auto"/>
          <w:sz w:val="21"/>
          <w:szCs w:val="21"/>
          <w:highlight w:val="none"/>
        </w:rPr>
      </w:pPr>
    </w:p>
    <w:p w14:paraId="0FAE35ED">
      <w:pPr>
        <w:spacing w:line="360" w:lineRule="auto"/>
        <w:rPr>
          <w:rFonts w:ascii="宋体" w:hAnsi="宋体" w:cs="宋体"/>
          <w:b/>
          <w:color w:val="auto"/>
          <w:sz w:val="21"/>
          <w:szCs w:val="21"/>
          <w:highlight w:val="none"/>
        </w:rPr>
      </w:pPr>
    </w:p>
    <w:p w14:paraId="52E5BFAC">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0B38D1F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5147BFC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33AD9E62">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32812641">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5DD149F2">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4F30F68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198EB496">
      <w:pPr>
        <w:rPr>
          <w:rFonts w:ascii="宋体" w:hAnsi="宋体" w:cs="宋体"/>
          <w:color w:val="auto"/>
          <w:sz w:val="30"/>
          <w:szCs w:val="30"/>
          <w:highlight w:val="none"/>
        </w:rPr>
      </w:pPr>
      <w:r>
        <w:rPr>
          <w:rFonts w:ascii="宋体" w:hAnsi="宋体" w:cs="宋体"/>
          <w:color w:val="auto"/>
          <w:sz w:val="30"/>
          <w:szCs w:val="30"/>
          <w:highlight w:val="none"/>
        </w:rPr>
        <w:br w:type="page"/>
      </w:r>
    </w:p>
    <w:p w14:paraId="43345DC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6AB1665">
      <w:pPr>
        <w:spacing w:line="360" w:lineRule="auto"/>
        <w:jc w:val="center"/>
        <w:rPr>
          <w:rFonts w:ascii="宋体" w:hAnsi="宋体" w:cs="宋体"/>
          <w:b/>
          <w:color w:val="auto"/>
          <w:sz w:val="24"/>
          <w:highlight w:val="none"/>
        </w:rPr>
      </w:pPr>
    </w:p>
    <w:p w14:paraId="1EA956B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9A5A05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7C019AD7">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19056DD4">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777F78D">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4DDF0E17">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36EDCF84">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14F2694F">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402AB608">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12B674C">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FD4757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835D52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3741F57F">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06C5957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BB5542B">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A2F09DB">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14655F5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71C64585">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3DB4991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6D03A48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19A334CC">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30C127C1">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3A845CD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5891406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13714ECB">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36D7358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3E0A3C90">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日,就质疑事项作出了答复/没有在法定期限内作出答复。</w:t>
      </w:r>
    </w:p>
    <w:p w14:paraId="2415829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5995C0B8">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11D9E6C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37CB442D">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3C15C9B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3D8B675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491D1E0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32F72D7F">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696DC40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68EC004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03B1AAE7">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616FE80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50C1FDA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4DC94A51">
      <w:pPr>
        <w:spacing w:line="360" w:lineRule="auto"/>
        <w:rPr>
          <w:rFonts w:ascii="宋体" w:hAnsi="宋体" w:cs="宋体"/>
          <w:b/>
          <w:color w:val="auto"/>
          <w:sz w:val="21"/>
          <w:szCs w:val="21"/>
          <w:highlight w:val="none"/>
        </w:rPr>
      </w:pPr>
    </w:p>
    <w:p w14:paraId="10D2E2FB">
      <w:pPr>
        <w:spacing w:line="360" w:lineRule="auto"/>
        <w:rPr>
          <w:rFonts w:ascii="宋体" w:hAnsi="宋体" w:cs="宋体"/>
          <w:b/>
          <w:color w:val="auto"/>
          <w:sz w:val="21"/>
          <w:szCs w:val="21"/>
          <w:highlight w:val="none"/>
        </w:rPr>
      </w:pPr>
    </w:p>
    <w:p w14:paraId="307A7B1A">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19D7E63D">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6EBCF699">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2BF620CD">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5EA16FAA">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47C2952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063EBF8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43760286">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552149E4">
      <w:pPr>
        <w:rPr>
          <w:rFonts w:ascii="宋体" w:hAnsi="宋体" w:cs="宋体"/>
          <w:b/>
          <w:color w:val="auto"/>
          <w:sz w:val="24"/>
          <w:highlight w:val="none"/>
        </w:rPr>
      </w:pPr>
      <w:r>
        <w:rPr>
          <w:rFonts w:ascii="宋体" w:hAnsi="宋体" w:cs="宋体"/>
          <w:b/>
          <w:color w:val="auto"/>
          <w:sz w:val="24"/>
          <w:highlight w:val="none"/>
        </w:rPr>
        <w:br w:type="page"/>
      </w:r>
    </w:p>
    <w:p w14:paraId="2DE5617B">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7C7451">
      <w:pPr>
        <w:spacing w:line="360" w:lineRule="auto"/>
        <w:rPr>
          <w:rFonts w:ascii="宋体" w:hAnsi="宋体" w:cs="宋体"/>
          <w:color w:val="auto"/>
          <w:sz w:val="24"/>
          <w:highlight w:val="none"/>
          <w:u w:val="single"/>
        </w:rPr>
      </w:pPr>
    </w:p>
    <w:p w14:paraId="41DF76B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（采购人）、（采购代理机构）</w:t>
      </w:r>
    </w:p>
    <w:p w14:paraId="0F722775">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(供应商全称)是中华人民共和国依法登记注册的合法企业，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58BBAA0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40EA10FA">
      <w:pPr>
        <w:spacing w:line="360" w:lineRule="auto"/>
        <w:ind w:firstLine="494"/>
        <w:rPr>
          <w:rFonts w:ascii="宋体" w:hAnsi="宋体" w:cs="宋体"/>
          <w:color w:val="auto"/>
          <w:sz w:val="21"/>
          <w:szCs w:val="21"/>
          <w:highlight w:val="none"/>
        </w:rPr>
      </w:pPr>
    </w:p>
    <w:p w14:paraId="0E070807">
      <w:pPr>
        <w:spacing w:line="360" w:lineRule="auto"/>
        <w:ind w:firstLine="494"/>
        <w:rPr>
          <w:rFonts w:ascii="宋体" w:hAnsi="宋体" w:cs="宋体"/>
          <w:color w:val="auto"/>
          <w:sz w:val="21"/>
          <w:szCs w:val="21"/>
          <w:highlight w:val="none"/>
        </w:rPr>
      </w:pPr>
    </w:p>
    <w:p w14:paraId="7732ACCD">
      <w:pPr>
        <w:spacing w:line="360" w:lineRule="auto"/>
        <w:ind w:firstLine="494"/>
        <w:rPr>
          <w:rFonts w:ascii="宋体" w:hAnsi="宋体" w:cs="宋体"/>
          <w:color w:val="auto"/>
          <w:sz w:val="21"/>
          <w:szCs w:val="21"/>
          <w:highlight w:val="none"/>
        </w:rPr>
      </w:pPr>
    </w:p>
    <w:p w14:paraId="78E05AB9">
      <w:pPr>
        <w:spacing w:line="360" w:lineRule="auto"/>
        <w:ind w:firstLine="494"/>
        <w:rPr>
          <w:rFonts w:ascii="宋体" w:hAnsi="宋体" w:cs="宋体"/>
          <w:color w:val="auto"/>
          <w:sz w:val="21"/>
          <w:szCs w:val="21"/>
          <w:highlight w:val="none"/>
        </w:rPr>
      </w:pPr>
    </w:p>
    <w:p w14:paraId="68BD6E66">
      <w:pPr>
        <w:spacing w:line="360" w:lineRule="auto"/>
        <w:ind w:right="480" w:firstLine="3570" w:firstLineChars="1700"/>
        <w:rPr>
          <w:rFonts w:ascii="宋体" w:hAnsi="宋体" w:cs="宋体"/>
          <w:color w:val="auto"/>
          <w:sz w:val="21"/>
          <w:szCs w:val="21"/>
          <w:highlight w:val="none"/>
        </w:rPr>
      </w:pPr>
      <w:r>
        <w:rPr>
          <w:rFonts w:hint="eastAsia" w:ascii="宋体" w:hAnsi="宋体" w:cs="宋体"/>
          <w:color w:val="auto"/>
          <w:sz w:val="21"/>
          <w:szCs w:val="21"/>
          <w:highlight w:val="none"/>
        </w:rPr>
        <w:t>供应商（法定名称章）：</w:t>
      </w:r>
    </w:p>
    <w:p w14:paraId="06C9D124">
      <w:pPr>
        <w:ind w:right="1440" w:firstLine="494"/>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日期：       年     月     日</w:t>
      </w:r>
    </w:p>
    <w:p w14:paraId="72BCE7A8">
      <w:pPr>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0DDB9AAD">
      <w:pPr>
        <w:spacing w:line="360" w:lineRule="auto"/>
        <w:rPr>
          <w:rFonts w:ascii="宋体" w:hAnsi="宋体" w:cs="宋体"/>
          <w:bCs/>
          <w:color w:val="auto"/>
          <w:sz w:val="21"/>
          <w:szCs w:val="21"/>
          <w:highlight w:val="none"/>
        </w:rPr>
      </w:pPr>
      <w:r>
        <w:rPr>
          <w:rFonts w:ascii="宋体" w:hAnsi="宋体" w:cs="宋体"/>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1"/>
          <w:szCs w:val="21"/>
          <w:highlight w:val="none"/>
        </w:rPr>
        <w:t>供应商</w:t>
      </w:r>
      <w:r>
        <w:rPr>
          <w:rFonts w:hint="eastAsia" w:ascii="宋体" w:hAnsi="宋体" w:cs="宋体"/>
          <w:color w:val="auto"/>
          <w:sz w:val="21"/>
          <w:szCs w:val="21"/>
          <w:highlight w:val="none"/>
        </w:rPr>
        <w:t xml:space="preserve">法定名称章（印模）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供应商“XX专用章”（印模）</w:t>
      </w:r>
    </w:p>
    <w:p w14:paraId="4537D69A">
      <w:pPr>
        <w:autoSpaceDE w:val="0"/>
        <w:autoSpaceDN w:val="0"/>
        <w:jc w:val="center"/>
        <w:rPr>
          <w:rFonts w:ascii="宋体" w:hAnsi="宋体" w:cs="宋体"/>
          <w:b/>
          <w:color w:val="auto"/>
          <w:spacing w:val="6"/>
          <w:sz w:val="32"/>
          <w:szCs w:val="32"/>
          <w:highlight w:val="none"/>
        </w:rPr>
      </w:pPr>
    </w:p>
    <w:p w14:paraId="173F3A8A">
      <w:pPr>
        <w:autoSpaceDE w:val="0"/>
        <w:autoSpaceDN w:val="0"/>
        <w:jc w:val="center"/>
        <w:rPr>
          <w:rFonts w:ascii="宋体" w:hAnsi="宋体" w:cs="宋体"/>
          <w:b/>
          <w:color w:val="auto"/>
          <w:spacing w:val="6"/>
          <w:sz w:val="32"/>
          <w:szCs w:val="32"/>
          <w:highlight w:val="none"/>
        </w:rPr>
      </w:pPr>
    </w:p>
    <w:p w14:paraId="66285BB9">
      <w:pPr>
        <w:autoSpaceDE w:val="0"/>
        <w:autoSpaceDN w:val="0"/>
        <w:jc w:val="center"/>
        <w:rPr>
          <w:rFonts w:ascii="宋体" w:hAnsi="宋体" w:cs="宋体"/>
          <w:b/>
          <w:color w:val="auto"/>
          <w:spacing w:val="6"/>
          <w:sz w:val="32"/>
          <w:szCs w:val="32"/>
          <w:highlight w:val="none"/>
        </w:rPr>
      </w:pPr>
    </w:p>
    <w:p w14:paraId="073F2D1E">
      <w:pPr>
        <w:autoSpaceDE w:val="0"/>
        <w:autoSpaceDN w:val="0"/>
        <w:jc w:val="center"/>
        <w:rPr>
          <w:rFonts w:ascii="宋体" w:hAnsi="宋体" w:cs="宋体"/>
          <w:b/>
          <w:color w:val="auto"/>
          <w:spacing w:val="6"/>
          <w:sz w:val="32"/>
          <w:szCs w:val="32"/>
          <w:highlight w:val="none"/>
        </w:rPr>
      </w:pPr>
    </w:p>
    <w:p w14:paraId="54AF5197">
      <w:pPr>
        <w:autoSpaceDE w:val="0"/>
        <w:autoSpaceDN w:val="0"/>
        <w:jc w:val="center"/>
        <w:rPr>
          <w:rFonts w:ascii="宋体" w:hAnsi="宋体" w:cs="宋体"/>
          <w:b/>
          <w:color w:val="auto"/>
          <w:spacing w:val="6"/>
          <w:sz w:val="32"/>
          <w:szCs w:val="32"/>
          <w:highlight w:val="none"/>
        </w:rPr>
      </w:pPr>
    </w:p>
    <w:p w14:paraId="2082C282">
      <w:pPr>
        <w:autoSpaceDE w:val="0"/>
        <w:autoSpaceDN w:val="0"/>
        <w:jc w:val="center"/>
        <w:rPr>
          <w:rFonts w:ascii="宋体" w:hAnsi="宋体" w:cs="宋体"/>
          <w:b/>
          <w:color w:val="auto"/>
          <w:spacing w:val="6"/>
          <w:sz w:val="32"/>
          <w:szCs w:val="32"/>
          <w:highlight w:val="none"/>
        </w:rPr>
      </w:pPr>
    </w:p>
    <w:p w14:paraId="3E301611">
      <w:pPr>
        <w:autoSpaceDE w:val="0"/>
        <w:autoSpaceDN w:val="0"/>
        <w:jc w:val="center"/>
        <w:rPr>
          <w:rFonts w:ascii="宋体" w:hAnsi="宋体" w:cs="宋体"/>
          <w:b/>
          <w:color w:val="auto"/>
          <w:spacing w:val="6"/>
          <w:sz w:val="32"/>
          <w:szCs w:val="32"/>
          <w:highlight w:val="none"/>
        </w:rPr>
      </w:pPr>
    </w:p>
    <w:p w14:paraId="79CFCB04">
      <w:pPr>
        <w:autoSpaceDE w:val="0"/>
        <w:autoSpaceDN w:val="0"/>
        <w:jc w:val="center"/>
        <w:rPr>
          <w:rFonts w:ascii="宋体" w:hAnsi="宋体" w:cs="宋体"/>
          <w:b/>
          <w:color w:val="auto"/>
          <w:spacing w:val="6"/>
          <w:sz w:val="32"/>
          <w:szCs w:val="32"/>
          <w:highlight w:val="none"/>
        </w:rPr>
      </w:pPr>
    </w:p>
    <w:p w14:paraId="7265D523">
      <w:pPr>
        <w:autoSpaceDE w:val="0"/>
        <w:autoSpaceDN w:val="0"/>
        <w:jc w:val="center"/>
        <w:rPr>
          <w:rFonts w:ascii="宋体" w:hAnsi="宋体" w:cs="宋体"/>
          <w:b/>
          <w:color w:val="auto"/>
          <w:spacing w:val="6"/>
          <w:sz w:val="32"/>
          <w:szCs w:val="32"/>
          <w:highlight w:val="none"/>
        </w:rPr>
      </w:pPr>
    </w:p>
    <w:p w14:paraId="3D36B236">
      <w:pPr>
        <w:autoSpaceDE w:val="0"/>
        <w:autoSpaceDN w:val="0"/>
        <w:jc w:val="center"/>
        <w:rPr>
          <w:rFonts w:ascii="宋体" w:hAnsi="宋体" w:cs="宋体"/>
          <w:b/>
          <w:color w:val="auto"/>
          <w:spacing w:val="6"/>
          <w:sz w:val="32"/>
          <w:szCs w:val="32"/>
          <w:highlight w:val="none"/>
        </w:rPr>
      </w:pPr>
    </w:p>
    <w:p w14:paraId="636BA580">
      <w:pPr>
        <w:autoSpaceDE w:val="0"/>
        <w:autoSpaceDN w:val="0"/>
        <w:jc w:val="center"/>
        <w:rPr>
          <w:rFonts w:ascii="宋体" w:hAnsi="宋体" w:cs="宋体"/>
          <w:b/>
          <w:color w:val="auto"/>
          <w:spacing w:val="6"/>
          <w:sz w:val="32"/>
          <w:szCs w:val="32"/>
          <w:highlight w:val="none"/>
        </w:rPr>
      </w:pPr>
    </w:p>
    <w:p w14:paraId="04AB1D4F">
      <w:pPr>
        <w:autoSpaceDE w:val="0"/>
        <w:autoSpaceDN w:val="0"/>
        <w:jc w:val="center"/>
        <w:rPr>
          <w:rFonts w:ascii="宋体" w:hAnsi="宋体" w:cs="宋体"/>
          <w:b/>
          <w:color w:val="auto"/>
          <w:spacing w:val="6"/>
          <w:sz w:val="32"/>
          <w:szCs w:val="32"/>
          <w:highlight w:val="none"/>
        </w:rPr>
      </w:pPr>
    </w:p>
    <w:p w14:paraId="70B4365F">
      <w:pPr>
        <w:autoSpaceDE w:val="0"/>
        <w:autoSpaceDN w:val="0"/>
        <w:jc w:val="center"/>
        <w:rPr>
          <w:rFonts w:ascii="宋体" w:hAnsi="宋体" w:cs="宋体"/>
          <w:b/>
          <w:color w:val="auto"/>
          <w:spacing w:val="6"/>
          <w:sz w:val="32"/>
          <w:szCs w:val="32"/>
          <w:highlight w:val="none"/>
        </w:rPr>
      </w:pPr>
    </w:p>
    <w:p w14:paraId="72716B06">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6F6CB2E9">
      <w:pPr>
        <w:autoSpaceDE w:val="0"/>
        <w:autoSpaceDN w:val="0"/>
        <w:jc w:val="both"/>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C51B704">
      <w:pPr>
        <w:widowControl/>
        <w:spacing w:line="360" w:lineRule="auto"/>
        <w:ind w:firstLine="482" w:firstLineChars="200"/>
        <w:jc w:val="left"/>
        <w:rPr>
          <w:rFonts w:hint="eastAsia" w:ascii="宋体" w:hAnsi="宋体" w:cs="宋体"/>
          <w:b/>
          <w:color w:val="auto"/>
          <w:sz w:val="24"/>
          <w:highlight w:val="none"/>
        </w:rPr>
      </w:pPr>
    </w:p>
    <w:p w14:paraId="4C58E3CD">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（以联合体形式参与的，提供联合协议；本项目不接受联合体或者供应商不以联合体形式参与的，则不需要提供）</w:t>
      </w:r>
    </w:p>
    <w:p w14:paraId="11CBACF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组成一个联合体，以一个供应商的身份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 xml:space="preserve">。 </w:t>
      </w:r>
    </w:p>
    <w:p w14:paraId="428D9E2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74D9BF6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授权代表根据采购文件规定及</w:t>
      </w:r>
      <w:r>
        <w:rPr>
          <w:rFonts w:hint="eastAsia" w:ascii="宋体" w:hAnsi="宋体" w:cs="宋体"/>
          <w:color w:val="auto"/>
          <w:kern w:val="0"/>
          <w:sz w:val="21"/>
          <w:szCs w:val="21"/>
          <w:highlight w:val="none"/>
        </w:rPr>
        <w:t>响应内容</w:t>
      </w:r>
      <w:r>
        <w:rPr>
          <w:rFonts w:hint="eastAsia" w:ascii="宋体" w:hAnsi="宋体" w:cs="宋体"/>
          <w:color w:val="auto"/>
          <w:kern w:val="0"/>
          <w:sz w:val="21"/>
          <w:szCs w:val="21"/>
          <w:highlight w:val="none"/>
          <w:lang w:val="zh-CN"/>
        </w:rPr>
        <w:t>而对采购人、采购代理机构所作的任何合法承诺，包括书面澄清及相应等均对联合投标各方产生约束力。</w:t>
      </w:r>
    </w:p>
    <w:p w14:paraId="57CFB0E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中，分工如下：</w:t>
      </w:r>
    </w:p>
    <w:p w14:paraId="40FCC98F">
      <w:pPr>
        <w:snapToGrid w:val="0"/>
        <w:spacing w:line="360" w:lineRule="auto"/>
        <w:ind w:firstLine="576"/>
        <w:rPr>
          <w:rFonts w:ascii="宋体" w:hAnsi="宋体" w:cs="宋体"/>
          <w:color w:val="auto"/>
          <w:kern w:val="0"/>
          <w:sz w:val="21"/>
          <w:szCs w:val="21"/>
          <w:highlight w:val="none"/>
          <w:lang w:val="zh-CN"/>
        </w:rPr>
      </w:pPr>
      <w:bookmarkStart w:id="76" w:name="_Hlk101134295"/>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42DBBF4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389BF80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bookmarkEnd w:id="76"/>
    <w:p w14:paraId="6607E26F">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586BA0EB">
      <w:pPr>
        <w:snapToGrid w:val="0"/>
        <w:spacing w:line="360"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X,</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提供的全部工程由小微企业承建，其合同份额占到合同总金额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w:t>
      </w:r>
      <w:r>
        <w:rPr>
          <w:rFonts w:hint="eastAsia" w:ascii="宋体" w:hAnsi="宋体" w:cs="宋体"/>
          <w:b/>
          <w:color w:val="auto"/>
          <w:kern w:val="0"/>
          <w:sz w:val="21"/>
          <w:szCs w:val="21"/>
          <w:highlight w:val="none"/>
        </w:rPr>
        <w:t>磋商</w:t>
      </w:r>
      <w:r>
        <w:rPr>
          <w:rFonts w:hint="eastAsia" w:ascii="宋体" w:hAnsi="宋体" w:cs="宋体"/>
          <w:b/>
          <w:color w:val="auto"/>
          <w:kern w:val="0"/>
          <w:sz w:val="21"/>
          <w:szCs w:val="21"/>
          <w:highlight w:val="none"/>
          <w:lang w:val="zh-CN"/>
        </w:rPr>
        <w:t>的，联合协议约定小微企业的合同份额占到合同总金额30%以上的，对联合体报价给予</w:t>
      </w:r>
      <w:r>
        <w:rPr>
          <w:rFonts w:hint="eastAsia" w:ascii="宋体" w:hAnsi="宋体" w:cs="宋体"/>
          <w:b/>
          <w:color w:val="auto"/>
          <w:kern w:val="0"/>
          <w:sz w:val="21"/>
          <w:szCs w:val="21"/>
          <w:highlight w:val="none"/>
        </w:rPr>
        <w:t>2</w:t>
      </w:r>
      <w:r>
        <w:rPr>
          <w:rFonts w:hint="eastAsia" w:ascii="宋体" w:hAnsi="宋体" w:cs="宋体"/>
          <w:b/>
          <w:color w:val="auto"/>
          <w:kern w:val="0"/>
          <w:sz w:val="21"/>
          <w:szCs w:val="21"/>
          <w:highlight w:val="none"/>
          <w:lang w:val="zh-CN"/>
        </w:rPr>
        <w:t>%的扣除。供应商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5E4884B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p>
    <w:p w14:paraId="0D0D5E8F">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五、如果成交，</w:t>
      </w:r>
      <w:r>
        <w:rPr>
          <w:rFonts w:hint="eastAsia" w:ascii="宋体" w:hAnsi="宋体" w:cs="宋体"/>
          <w:color w:val="auto"/>
          <w:sz w:val="21"/>
          <w:szCs w:val="21"/>
          <w:highlight w:val="none"/>
        </w:rPr>
        <w:t>联合体各成员方共同与采购人签订合同，并就采购合同约定的事项对采购人承担连带责任。</w:t>
      </w:r>
    </w:p>
    <w:p w14:paraId="18D7DFD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的其他事宜：</w:t>
      </w:r>
    </w:p>
    <w:p w14:paraId="53E34E6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77EFE9F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6FABC4A7">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7A523172">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AAC373B">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3FAD367A">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7748CE2D">
      <w:pPr>
        <w:autoSpaceDE w:val="0"/>
        <w:autoSpaceDN w:val="0"/>
        <w:jc w:val="center"/>
        <w:rPr>
          <w:rFonts w:ascii="宋体" w:hAnsi="宋体" w:cs="宋体"/>
          <w:b/>
          <w:color w:val="auto"/>
          <w:spacing w:val="6"/>
          <w:sz w:val="21"/>
          <w:szCs w:val="21"/>
          <w:highlight w:val="none"/>
        </w:rPr>
        <w:sectPr>
          <w:pgSz w:w="11906" w:h="16838"/>
          <w:pgMar w:top="1440" w:right="1080" w:bottom="1440" w:left="1080" w:header="851" w:footer="992" w:gutter="0"/>
          <w:pgNumType w:fmt="decimal"/>
          <w:cols w:space="720" w:num="1"/>
          <w:titlePg/>
          <w:docGrid w:linePitch="312" w:charSpace="0"/>
        </w:sectPr>
      </w:pPr>
    </w:p>
    <w:p w14:paraId="77C7FAA8">
      <w:pPr>
        <w:snapToGrid w:val="0"/>
        <w:spacing w:line="360" w:lineRule="auto"/>
        <w:jc w:val="both"/>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2C37CE9">
      <w:pPr>
        <w:widowControl/>
        <w:spacing w:line="360" w:lineRule="auto"/>
        <w:ind w:firstLine="120" w:firstLineChars="50"/>
        <w:jc w:val="left"/>
        <w:rPr>
          <w:rFonts w:hint="eastAsia" w:ascii="宋体" w:hAnsi="宋体" w:cs="宋体"/>
          <w:color w:val="auto"/>
          <w:sz w:val="24"/>
          <w:highlight w:val="none"/>
        </w:rPr>
      </w:pPr>
    </w:p>
    <w:p w14:paraId="5654C387">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1"/>
          <w:szCs w:val="21"/>
          <w:highlight w:val="none"/>
        </w:rPr>
        <w:t>）</w:t>
      </w:r>
    </w:p>
    <w:p w14:paraId="23A5AF3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的成交供应商，将依法采取分包方式履行合同。</w:t>
      </w: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2980358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1CE0D530">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538699DC">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6E0A395E">
      <w:pPr>
        <w:snapToGrid w:val="0"/>
        <w:spacing w:line="360" w:lineRule="auto"/>
        <w:ind w:firstLine="576"/>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……）提供的工程全部由小微企业承建，</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 w:val="21"/>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1"/>
          <w:szCs w:val="21"/>
          <w:highlight w:val="none"/>
        </w:rPr>
        <w:t>2</w:t>
      </w:r>
      <w:r>
        <w:rPr>
          <w:rFonts w:hint="eastAsia" w:ascii="宋体" w:hAnsi="宋体" w:cs="宋体"/>
          <w:b/>
          <w:color w:val="auto"/>
          <w:kern w:val="0"/>
          <w:sz w:val="21"/>
          <w:szCs w:val="21"/>
          <w:highlight w:val="none"/>
          <w:lang w:val="zh-CN"/>
        </w:rPr>
        <w:t>%的扣除。供应商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112EA59D">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77"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bookmarkEnd w:id="77"/>
    </w:p>
    <w:p w14:paraId="58B1334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4FAC777D">
      <w:pPr>
        <w:snapToGrid w:val="0"/>
        <w:spacing w:line="360" w:lineRule="auto"/>
        <w:ind w:firstLine="576"/>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p>
    <w:p w14:paraId="1FF9FD37">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49B55C4F">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9BEC73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4CC6B517">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2189B012">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7BC0C1B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6FF473AC">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4662EA8A">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1137B094">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供应商名称(电子签名)：</w:t>
      </w:r>
    </w:p>
    <w:p w14:paraId="2B25870D">
      <w:pPr>
        <w:snapToGrid w:val="0"/>
        <w:spacing w:line="360" w:lineRule="auto"/>
        <w:ind w:firstLine="4620" w:firstLineChars="2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w:t>
      </w:r>
    </w:p>
    <w:p w14:paraId="3A1F699A">
      <w:pPr>
        <w:spacing w:line="360" w:lineRule="auto"/>
        <w:jc w:val="cente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r>
        <w:rPr>
          <w:rFonts w:hint="eastAsia" w:ascii="宋体" w:hAnsi="宋体" w:cs="宋体"/>
          <w:color w:val="auto"/>
          <w:kern w:val="0"/>
          <w:sz w:val="21"/>
          <w:szCs w:val="21"/>
          <w:highlight w:val="none"/>
          <w:lang w:val="zh-CN"/>
        </w:rPr>
        <w:br w:type="page"/>
      </w:r>
    </w:p>
    <w:p w14:paraId="4A1647BA">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1029243A">
      <w:pPr>
        <w:spacing w:line="360" w:lineRule="auto"/>
        <w:jc w:val="center"/>
        <w:rPr>
          <w:rFonts w:ascii="宋体" w:hAnsi="宋体" w:cs="宋体"/>
          <w:color w:val="auto"/>
          <w:sz w:val="24"/>
          <w:highlight w:val="none"/>
          <w:u w:val="single"/>
        </w:rPr>
      </w:pPr>
    </w:p>
    <w:p w14:paraId="5EC2672A">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中小企业声明函（工程）</w:t>
      </w:r>
    </w:p>
    <w:p w14:paraId="6F21CC47">
      <w:pPr>
        <w:spacing w:line="360" w:lineRule="auto"/>
        <w:ind w:firstLine="315" w:firstLineChars="15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 w:val="21"/>
          <w:szCs w:val="21"/>
          <w:highlight w:val="none"/>
          <w:u w:val="single"/>
        </w:rPr>
        <w:t xml:space="preserve">（采购人）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3E8E491">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1.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rPr>
        <w:t xml:space="preserve">，属于 </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 xml:space="preserve"> ；承建（承接）企业为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5EE9EE44">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rPr>
        <w:t xml:space="preserve">，属于 </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 xml:space="preserve"> ；承建（承接）企业为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71056536">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w:t>
      </w:r>
    </w:p>
    <w:p w14:paraId="7D156F9B">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3C62BFF4">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49D813D0">
      <w:pPr>
        <w:spacing w:line="360" w:lineRule="auto"/>
        <w:ind w:firstLine="420" w:firstLineChars="200"/>
        <w:rPr>
          <w:rFonts w:ascii="宋体" w:hAnsi="宋体" w:cs="宋体"/>
          <w:color w:val="auto"/>
          <w:sz w:val="21"/>
          <w:szCs w:val="21"/>
          <w:highlight w:val="none"/>
        </w:rPr>
      </w:pPr>
    </w:p>
    <w:p w14:paraId="27C0CCBA">
      <w:pPr>
        <w:snapToGrid w:val="0"/>
        <w:spacing w:line="360" w:lineRule="auto"/>
        <w:ind w:firstLine="4515" w:firstLineChars="215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750BBD90">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5C78C0D3">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从业人员、营业收入、资产总额填报上一年度数据，无上一年度数据的新成立企业可不填报。</w:t>
      </w:r>
    </w:p>
    <w:p w14:paraId="6FC6E525">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w:t>
      </w:r>
    </w:p>
    <w:p w14:paraId="579186C8">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1、填写要求：①“标的名称”、“采购文件中明确的所属行业”依据采购文件第</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BB7A715">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9E12AAF">
      <w:pPr>
        <w:spacing w:line="360" w:lineRule="auto"/>
        <w:jc w:val="center"/>
        <w:rPr>
          <w:rFonts w:ascii="宋体" w:hAnsi="宋体" w:cs="宋体"/>
          <w:b/>
          <w:color w:val="auto"/>
          <w:sz w:val="32"/>
          <w:szCs w:val="32"/>
          <w:highlight w:val="none"/>
        </w:rPr>
      </w:pPr>
    </w:p>
    <w:p w14:paraId="60BA8B8B">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784D3B1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5A723728">
      <w:pPr>
        <w:spacing w:line="360" w:lineRule="auto"/>
        <w:rPr>
          <w:rFonts w:hint="eastAsia" w:ascii="宋体" w:hAnsi="宋体" w:cs="宋体"/>
          <w:b/>
          <w:color w:val="auto"/>
          <w:spacing w:val="6"/>
          <w:sz w:val="32"/>
          <w:szCs w:val="32"/>
          <w:highlight w:val="none"/>
        </w:rPr>
      </w:pPr>
    </w:p>
    <w:p w14:paraId="787A48A4">
      <w:pPr>
        <w:spacing w:line="360" w:lineRule="auto"/>
        <w:rPr>
          <w:rFonts w:hint="eastAsia" w:ascii="宋体" w:hAnsi="宋体" w:cs="宋体"/>
          <w:b/>
          <w:color w:val="auto"/>
          <w:spacing w:val="6"/>
          <w:sz w:val="32"/>
          <w:szCs w:val="32"/>
          <w:highlight w:val="none"/>
        </w:rPr>
      </w:pPr>
    </w:p>
    <w:p w14:paraId="242B20F1">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403CFE18">
      <w:pPr>
        <w:widowControl/>
        <w:adjustRightInd/>
        <w:jc w:val="left"/>
        <w:rPr>
          <w:rFonts w:cs="仿宋_GB2312" w:asciiTheme="minorEastAsia" w:hAnsiTheme="minorEastAsia" w:eastAsiaTheme="minorEastAsia"/>
          <w:b/>
          <w:color w:val="auto"/>
          <w:sz w:val="24"/>
        </w:rPr>
      </w:pPr>
    </w:p>
    <w:sectPr>
      <w:headerReference r:id="rId17" w:type="first"/>
      <w:footerReference r:id="rId19" w:type="first"/>
      <w:headerReference r:id="rId16" w:type="default"/>
      <w:footerReference r:id="rId18"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DejaVu Math TeX Gyre"/>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ˎ̥">
    <w:altName w:val="微软雅黑"/>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CAD4A">
    <w:pPr>
      <w:pStyle w:val="38"/>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3A2C0857">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14:paraId="3A2C0857">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3FE31">
    <w:pPr>
      <w:pStyle w:val="38"/>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BD4A7">
                          <w:pPr>
                            <w:pStyle w:val="3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C1BD4A7">
                    <w:pPr>
                      <w:pStyle w:val="3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B08B">
    <w:pPr>
      <w:pStyle w:val="38"/>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6F269">
                          <w:pPr>
                            <w:pStyle w:val="3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1E6F269">
                    <w:pPr>
                      <w:pStyle w:val="3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67A43">
    <w:pPr>
      <w:pStyle w:val="3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BA977">
                          <w:pPr>
                            <w:pStyle w:val="3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2BA977">
                    <w:pPr>
                      <w:pStyle w:val="3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37B03">
    <w:pPr>
      <w:pStyle w:val="38"/>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0C392827">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vu0qlzQEAAJc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S1uAiWOWxz46cf308/fp1/f&#10;yDzL0weoMeshYF4a3vohp05+QGdmPaho8xf5EIyjuMeLuHJIRORH8+WiuqJEYGhxfXO9vMoo7PFx&#10;iJDeSW9JNhoacXZFUn74AGlMPafkWs7fa2PQz2vj/nEgZvaw3PnYYbbSsB2mtre+PSKbHsfeUIdb&#10;Tol571DVvCFnI56N7dnYh6h3XVmhXA/C3T5hE6W3XGGEnQrjvAq7abfyQvx9L1m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vu0qlzQEAAJcDAAAOAAAAAAAAAAEAIAAAACABAABkcnMv&#10;ZTJvRG9jLnhtbFBLBQYAAAAABgAGAFkBAABfBQAAAAA=&#10;">
              <v:fill on="f" focussize="0,0"/>
              <v:stroke on="f"/>
              <v:imagedata o:title=""/>
              <o:lock v:ext="edit" aspectratio="f"/>
              <v:textbox inset="0mm,0mm,0mm,0mm" style="mso-fit-shape-to-text:t;">
                <w:txbxContent>
                  <w:p w14:paraId="0C392827">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7107">
    <w:pPr>
      <w:pStyle w:val="3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3E1B4">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D23E1B4">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1CF85">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458AB">
                          <w:pPr>
                            <w:pStyle w:val="3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80458AB">
                    <w:pPr>
                      <w:pStyle w:val="3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9D14">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182BB">
                          <w:pPr>
                            <w:pStyle w:val="3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5D182BB">
                    <w:pPr>
                      <w:pStyle w:val="3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412EA">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18B45">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818B45">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D5205">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0D9B4">
                          <w:pPr>
                            <w:pStyle w:val="3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6C0D9B4">
                    <w:pPr>
                      <w:pStyle w:val="3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2D68C">
    <w:pPr>
      <w:pStyle w:val="38"/>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3B144">
                          <w:pPr>
                            <w:pStyle w:val="3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FF3B144">
                    <w:pPr>
                      <w:pStyle w:val="3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95396">
    <w:pPr>
      <w:pStyle w:val="38"/>
      <w:framePr w:wrap="around" w:vAnchor="text" w:hAnchor="margin" w:xAlign="right" w:y="1"/>
      <w:rPr>
        <w:rStyle w:val="65"/>
      </w:rPr>
    </w:pPr>
    <w:r>
      <w:fldChar w:fldCharType="begin"/>
    </w:r>
    <w:r>
      <w:rPr>
        <w:rStyle w:val="65"/>
      </w:rPr>
      <w:instrText xml:space="preserve">PAGE  </w:instrText>
    </w:r>
    <w:r>
      <w:fldChar w:fldCharType="end"/>
    </w:r>
  </w:p>
  <w:p w14:paraId="4872B680">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489BA">
    <w:pPr>
      <w:pStyle w:val="3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8151A">
    <w:pPr>
      <w:pStyle w:val="39"/>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B2935">
    <w:pPr>
      <w:pStyle w:val="39"/>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E5358">
    <w:pPr>
      <w:pStyle w:val="39"/>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46C8F">
    <w:pPr>
      <w:pStyle w:val="39"/>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AD649D9C"/>
    <w:multiLevelType w:val="singleLevel"/>
    <w:tmpl w:val="AD649D9C"/>
    <w:lvl w:ilvl="0" w:tentative="0">
      <w:start w:val="1"/>
      <w:numFmt w:val="decimal"/>
      <w:suff w:val="nothing"/>
      <w:lvlText w:val="（%1）"/>
      <w:lvlJc w:val="left"/>
    </w:lvl>
  </w:abstractNum>
  <w:abstractNum w:abstractNumId="3">
    <w:nsid w:val="BD3F480C"/>
    <w:multiLevelType w:val="singleLevel"/>
    <w:tmpl w:val="BD3F480C"/>
    <w:lvl w:ilvl="0" w:tentative="0">
      <w:start w:val="8"/>
      <w:numFmt w:val="decimal"/>
      <w:suff w:val="space"/>
      <w:lvlText w:val="%1."/>
      <w:lvlJc w:val="left"/>
    </w:lvl>
  </w:abstractNum>
  <w:abstractNum w:abstractNumId="4">
    <w:nsid w:val="BDFF6944"/>
    <w:multiLevelType w:val="singleLevel"/>
    <w:tmpl w:val="BDFF6944"/>
    <w:lvl w:ilvl="0" w:tentative="0">
      <w:start w:val="27"/>
      <w:numFmt w:val="decimal"/>
      <w:suff w:val="space"/>
      <w:lvlText w:val="%1."/>
      <w:lvlJc w:val="left"/>
    </w:lvl>
  </w:abstractNum>
  <w:abstractNum w:abstractNumId="5">
    <w:nsid w:val="FE7D9555"/>
    <w:multiLevelType w:val="singleLevel"/>
    <w:tmpl w:val="FE7D9555"/>
    <w:lvl w:ilvl="0" w:tentative="0">
      <w:start w:val="13"/>
      <w:numFmt w:val="decimal"/>
      <w:suff w:val="space"/>
      <w:lvlText w:val="%1."/>
      <w:lvlJc w:val="left"/>
    </w:lvl>
  </w:abstractNum>
  <w:abstractNum w:abstractNumId="6">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7">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8">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0">
    <w:nsid w:val="4113AFF1"/>
    <w:multiLevelType w:val="singleLevel"/>
    <w:tmpl w:val="4113AFF1"/>
    <w:lvl w:ilvl="0" w:tentative="0">
      <w:start w:val="1"/>
      <w:numFmt w:val="decimal"/>
      <w:suff w:val="nothing"/>
      <w:lvlText w:val="%1）"/>
      <w:lvlJc w:val="left"/>
    </w:lvl>
  </w:abstractNum>
  <w:abstractNum w:abstractNumId="11">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7F24382"/>
    <w:multiLevelType w:val="singleLevel"/>
    <w:tmpl w:val="57F24382"/>
    <w:lvl w:ilvl="0" w:tentative="0">
      <w:start w:val="16"/>
      <w:numFmt w:val="decimal"/>
      <w:suff w:val="space"/>
      <w:lvlText w:val="%1."/>
      <w:lvlJc w:val="left"/>
    </w:lvl>
  </w:abstractNum>
  <w:abstractNum w:abstractNumId="13">
    <w:nsid w:val="642EEA21"/>
    <w:multiLevelType w:val="singleLevel"/>
    <w:tmpl w:val="642EEA21"/>
    <w:lvl w:ilvl="0" w:tentative="0">
      <w:start w:val="2"/>
      <w:numFmt w:val="chineseCounting"/>
      <w:suff w:val="space"/>
      <w:lvlText w:val="第%1部分"/>
      <w:lvlJc w:val="left"/>
      <w:rPr>
        <w:rFonts w:hint="eastAsia"/>
      </w:rPr>
    </w:lvl>
  </w:abstractNum>
  <w:abstractNum w:abstractNumId="14">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9"/>
  </w:num>
  <w:num w:numId="2">
    <w:abstractNumId w:val="8"/>
  </w:num>
  <w:num w:numId="3">
    <w:abstractNumId w:val="6"/>
  </w:num>
  <w:num w:numId="4">
    <w:abstractNumId w:val="7"/>
  </w:num>
  <w:num w:numId="5">
    <w:abstractNumId w:val="11"/>
  </w:num>
  <w:num w:numId="6">
    <w:abstractNumId w:val="14"/>
  </w:num>
  <w:num w:numId="7">
    <w:abstractNumId w:val="13"/>
  </w:num>
  <w:num w:numId="8">
    <w:abstractNumId w:val="3"/>
  </w:num>
  <w:num w:numId="9">
    <w:abstractNumId w:val="5"/>
  </w:num>
  <w:num w:numId="10">
    <w:abstractNumId w:val="12"/>
  </w:num>
  <w:num w:numId="11">
    <w:abstractNumId w:val="0"/>
  </w:num>
  <w:num w:numId="12">
    <w:abstractNumId w:val="4"/>
  </w:num>
  <w:num w:numId="13">
    <w:abstractNumId w:val="1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OGE5ZGUzZTIyZTJhZDM5NzBkZjAxMWYwY2I5ND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443D"/>
    <w:rsid w:val="010651D9"/>
    <w:rsid w:val="012C687B"/>
    <w:rsid w:val="014B6728"/>
    <w:rsid w:val="014C70DD"/>
    <w:rsid w:val="01A45240"/>
    <w:rsid w:val="01C10D4A"/>
    <w:rsid w:val="01C81F7D"/>
    <w:rsid w:val="02063FE0"/>
    <w:rsid w:val="026779BA"/>
    <w:rsid w:val="02DA0C0E"/>
    <w:rsid w:val="02E845D2"/>
    <w:rsid w:val="032B7D33"/>
    <w:rsid w:val="03321D76"/>
    <w:rsid w:val="03660724"/>
    <w:rsid w:val="03762F3D"/>
    <w:rsid w:val="03DD35E4"/>
    <w:rsid w:val="04206073"/>
    <w:rsid w:val="04452310"/>
    <w:rsid w:val="047E337A"/>
    <w:rsid w:val="04903021"/>
    <w:rsid w:val="04953394"/>
    <w:rsid w:val="04B73F03"/>
    <w:rsid w:val="04FF037E"/>
    <w:rsid w:val="051261E1"/>
    <w:rsid w:val="051B106F"/>
    <w:rsid w:val="053C7025"/>
    <w:rsid w:val="05567BCF"/>
    <w:rsid w:val="059F38C8"/>
    <w:rsid w:val="05E06AAE"/>
    <w:rsid w:val="06037097"/>
    <w:rsid w:val="06137719"/>
    <w:rsid w:val="061816F7"/>
    <w:rsid w:val="06214D1D"/>
    <w:rsid w:val="062B6CAE"/>
    <w:rsid w:val="063B3638"/>
    <w:rsid w:val="0652760A"/>
    <w:rsid w:val="065A6178"/>
    <w:rsid w:val="06826B71"/>
    <w:rsid w:val="06CE3F39"/>
    <w:rsid w:val="06E27403"/>
    <w:rsid w:val="070E6657"/>
    <w:rsid w:val="07454E7C"/>
    <w:rsid w:val="074F7D92"/>
    <w:rsid w:val="07531A99"/>
    <w:rsid w:val="075562B7"/>
    <w:rsid w:val="07B43916"/>
    <w:rsid w:val="07B62ACF"/>
    <w:rsid w:val="07E74A05"/>
    <w:rsid w:val="07EB639F"/>
    <w:rsid w:val="07F6164B"/>
    <w:rsid w:val="08404F36"/>
    <w:rsid w:val="085E45AD"/>
    <w:rsid w:val="08604549"/>
    <w:rsid w:val="087A1B7A"/>
    <w:rsid w:val="08E826EA"/>
    <w:rsid w:val="092959CA"/>
    <w:rsid w:val="0934798B"/>
    <w:rsid w:val="096A4E8D"/>
    <w:rsid w:val="096B2097"/>
    <w:rsid w:val="09AF2373"/>
    <w:rsid w:val="09B207F9"/>
    <w:rsid w:val="0A0A7F8B"/>
    <w:rsid w:val="0A100B48"/>
    <w:rsid w:val="0A337B86"/>
    <w:rsid w:val="0A3C4EDA"/>
    <w:rsid w:val="0A5B7E63"/>
    <w:rsid w:val="0A896E9D"/>
    <w:rsid w:val="0B090DF2"/>
    <w:rsid w:val="0B15035B"/>
    <w:rsid w:val="0B231954"/>
    <w:rsid w:val="0B256896"/>
    <w:rsid w:val="0B2A3393"/>
    <w:rsid w:val="0B2B55B2"/>
    <w:rsid w:val="0B3A7244"/>
    <w:rsid w:val="0B3F5A01"/>
    <w:rsid w:val="0B420FC5"/>
    <w:rsid w:val="0B4D2798"/>
    <w:rsid w:val="0C296C83"/>
    <w:rsid w:val="0C4D5E73"/>
    <w:rsid w:val="0C87121B"/>
    <w:rsid w:val="0CA42D4A"/>
    <w:rsid w:val="0CA971D2"/>
    <w:rsid w:val="0CDE05EF"/>
    <w:rsid w:val="0CEA1EEC"/>
    <w:rsid w:val="0CF61A8A"/>
    <w:rsid w:val="0CFE46DD"/>
    <w:rsid w:val="0D237A01"/>
    <w:rsid w:val="0D706F9B"/>
    <w:rsid w:val="0D732BFC"/>
    <w:rsid w:val="0DE21395"/>
    <w:rsid w:val="0DF702FE"/>
    <w:rsid w:val="0E0E7D9E"/>
    <w:rsid w:val="0E3F698B"/>
    <w:rsid w:val="0E5077D5"/>
    <w:rsid w:val="0E576B35"/>
    <w:rsid w:val="0EBC236B"/>
    <w:rsid w:val="0EBC6E34"/>
    <w:rsid w:val="0EBF2140"/>
    <w:rsid w:val="0F0E7940"/>
    <w:rsid w:val="0F1605D0"/>
    <w:rsid w:val="0F21508F"/>
    <w:rsid w:val="0F4A5C7C"/>
    <w:rsid w:val="0F553938"/>
    <w:rsid w:val="0F5B5841"/>
    <w:rsid w:val="0F6E640E"/>
    <w:rsid w:val="0F8021FE"/>
    <w:rsid w:val="0F816ACD"/>
    <w:rsid w:val="0F890F70"/>
    <w:rsid w:val="0FB50EA3"/>
    <w:rsid w:val="0FB94501"/>
    <w:rsid w:val="10052457"/>
    <w:rsid w:val="10534F50"/>
    <w:rsid w:val="107E6ED2"/>
    <w:rsid w:val="10830B27"/>
    <w:rsid w:val="1087172B"/>
    <w:rsid w:val="10A97A39"/>
    <w:rsid w:val="10B047CF"/>
    <w:rsid w:val="10B27FF1"/>
    <w:rsid w:val="10C47810"/>
    <w:rsid w:val="10FC16EA"/>
    <w:rsid w:val="114A0BD3"/>
    <w:rsid w:val="115253E7"/>
    <w:rsid w:val="1183694F"/>
    <w:rsid w:val="118963A1"/>
    <w:rsid w:val="11BF435B"/>
    <w:rsid w:val="11C15FB0"/>
    <w:rsid w:val="11F239C2"/>
    <w:rsid w:val="11FC4B10"/>
    <w:rsid w:val="126C41CD"/>
    <w:rsid w:val="127723A9"/>
    <w:rsid w:val="127C3E33"/>
    <w:rsid w:val="12AC07F5"/>
    <w:rsid w:val="12DC6296"/>
    <w:rsid w:val="13003E71"/>
    <w:rsid w:val="13072A44"/>
    <w:rsid w:val="13232374"/>
    <w:rsid w:val="13463B67"/>
    <w:rsid w:val="136B653B"/>
    <w:rsid w:val="13C72E82"/>
    <w:rsid w:val="13D7532F"/>
    <w:rsid w:val="13E3112D"/>
    <w:rsid w:val="13F94390"/>
    <w:rsid w:val="140653CC"/>
    <w:rsid w:val="14070637"/>
    <w:rsid w:val="140D5C74"/>
    <w:rsid w:val="14456614"/>
    <w:rsid w:val="145044FA"/>
    <w:rsid w:val="14614A30"/>
    <w:rsid w:val="14900FF3"/>
    <w:rsid w:val="14B04ABD"/>
    <w:rsid w:val="14E013D0"/>
    <w:rsid w:val="14EC4A3E"/>
    <w:rsid w:val="152143DD"/>
    <w:rsid w:val="153B7CE0"/>
    <w:rsid w:val="153F757E"/>
    <w:rsid w:val="154532F3"/>
    <w:rsid w:val="15591F94"/>
    <w:rsid w:val="156B6B7C"/>
    <w:rsid w:val="15811E53"/>
    <w:rsid w:val="15A227EC"/>
    <w:rsid w:val="15A62093"/>
    <w:rsid w:val="15B910B3"/>
    <w:rsid w:val="167E56DF"/>
    <w:rsid w:val="16992920"/>
    <w:rsid w:val="169D3553"/>
    <w:rsid w:val="16AE4E44"/>
    <w:rsid w:val="16C50F7C"/>
    <w:rsid w:val="170461FB"/>
    <w:rsid w:val="170654D2"/>
    <w:rsid w:val="171112E5"/>
    <w:rsid w:val="17942BA8"/>
    <w:rsid w:val="18075128"/>
    <w:rsid w:val="180E2D83"/>
    <w:rsid w:val="18253800"/>
    <w:rsid w:val="182E403B"/>
    <w:rsid w:val="185A0382"/>
    <w:rsid w:val="186742B0"/>
    <w:rsid w:val="18736C4F"/>
    <w:rsid w:val="18BE00A7"/>
    <w:rsid w:val="190B4D55"/>
    <w:rsid w:val="19470E61"/>
    <w:rsid w:val="195F64DC"/>
    <w:rsid w:val="19F4126B"/>
    <w:rsid w:val="1A0B7489"/>
    <w:rsid w:val="1A6516DC"/>
    <w:rsid w:val="1A667D10"/>
    <w:rsid w:val="1A682661"/>
    <w:rsid w:val="1A697089"/>
    <w:rsid w:val="1A7F369B"/>
    <w:rsid w:val="1A903AFB"/>
    <w:rsid w:val="1ADB29A0"/>
    <w:rsid w:val="1AE41750"/>
    <w:rsid w:val="1B237DAE"/>
    <w:rsid w:val="1B2830AF"/>
    <w:rsid w:val="1B2A271F"/>
    <w:rsid w:val="1B356531"/>
    <w:rsid w:val="1B5E08D6"/>
    <w:rsid w:val="1B8235DA"/>
    <w:rsid w:val="1B890139"/>
    <w:rsid w:val="1BB65826"/>
    <w:rsid w:val="1BC03F17"/>
    <w:rsid w:val="1BD17F27"/>
    <w:rsid w:val="1BD72C73"/>
    <w:rsid w:val="1C0843BD"/>
    <w:rsid w:val="1C1C604E"/>
    <w:rsid w:val="1C215235"/>
    <w:rsid w:val="1C6E7533"/>
    <w:rsid w:val="1C805AAF"/>
    <w:rsid w:val="1C8E6B3D"/>
    <w:rsid w:val="1CDF0AEB"/>
    <w:rsid w:val="1CED5883"/>
    <w:rsid w:val="1D0371D2"/>
    <w:rsid w:val="1D0C6137"/>
    <w:rsid w:val="1D1F3AD3"/>
    <w:rsid w:val="1D266CE1"/>
    <w:rsid w:val="1D3963AF"/>
    <w:rsid w:val="1D4B5AB7"/>
    <w:rsid w:val="1D6439F7"/>
    <w:rsid w:val="1D73135F"/>
    <w:rsid w:val="1D946334"/>
    <w:rsid w:val="1D9D26E5"/>
    <w:rsid w:val="1DDB4B14"/>
    <w:rsid w:val="1E225C80"/>
    <w:rsid w:val="1E3319CC"/>
    <w:rsid w:val="1E381134"/>
    <w:rsid w:val="1E520FD0"/>
    <w:rsid w:val="1E714A66"/>
    <w:rsid w:val="1E766568"/>
    <w:rsid w:val="1E981141"/>
    <w:rsid w:val="1EC01001"/>
    <w:rsid w:val="1F45125A"/>
    <w:rsid w:val="1F7D3F22"/>
    <w:rsid w:val="1F854242"/>
    <w:rsid w:val="1F874D4E"/>
    <w:rsid w:val="1FD16BF6"/>
    <w:rsid w:val="1FD73412"/>
    <w:rsid w:val="1FE868A9"/>
    <w:rsid w:val="201673B4"/>
    <w:rsid w:val="202E11D8"/>
    <w:rsid w:val="20330EE3"/>
    <w:rsid w:val="20857532"/>
    <w:rsid w:val="20E96EDC"/>
    <w:rsid w:val="20FD05AB"/>
    <w:rsid w:val="21066CBD"/>
    <w:rsid w:val="2107679C"/>
    <w:rsid w:val="2116253B"/>
    <w:rsid w:val="211A44F5"/>
    <w:rsid w:val="211E26D6"/>
    <w:rsid w:val="21283D08"/>
    <w:rsid w:val="212B031C"/>
    <w:rsid w:val="212E1977"/>
    <w:rsid w:val="214B19AF"/>
    <w:rsid w:val="215F39E6"/>
    <w:rsid w:val="21913937"/>
    <w:rsid w:val="21AD1289"/>
    <w:rsid w:val="21C94302"/>
    <w:rsid w:val="21E968BD"/>
    <w:rsid w:val="21EB0234"/>
    <w:rsid w:val="21EF6C3A"/>
    <w:rsid w:val="220821C8"/>
    <w:rsid w:val="2216237D"/>
    <w:rsid w:val="222334A6"/>
    <w:rsid w:val="228101C4"/>
    <w:rsid w:val="228161A9"/>
    <w:rsid w:val="228B08AF"/>
    <w:rsid w:val="23102595"/>
    <w:rsid w:val="233649D3"/>
    <w:rsid w:val="234647A0"/>
    <w:rsid w:val="23693F28"/>
    <w:rsid w:val="236B0C61"/>
    <w:rsid w:val="237A63C1"/>
    <w:rsid w:val="238406A4"/>
    <w:rsid w:val="239372EB"/>
    <w:rsid w:val="23B26890"/>
    <w:rsid w:val="23BD012F"/>
    <w:rsid w:val="24390D5F"/>
    <w:rsid w:val="24472ACE"/>
    <w:rsid w:val="244A7DE5"/>
    <w:rsid w:val="24844675"/>
    <w:rsid w:val="248F0CA5"/>
    <w:rsid w:val="248F3D0B"/>
    <w:rsid w:val="24BD397B"/>
    <w:rsid w:val="24CF4AF4"/>
    <w:rsid w:val="2500240E"/>
    <w:rsid w:val="253D662D"/>
    <w:rsid w:val="2566237E"/>
    <w:rsid w:val="256D7E76"/>
    <w:rsid w:val="25893620"/>
    <w:rsid w:val="259A3F0E"/>
    <w:rsid w:val="25B440B3"/>
    <w:rsid w:val="25C40AFC"/>
    <w:rsid w:val="25C61809"/>
    <w:rsid w:val="25CC7E8F"/>
    <w:rsid w:val="25F3318F"/>
    <w:rsid w:val="25FF4432"/>
    <w:rsid w:val="266102CA"/>
    <w:rsid w:val="26916953"/>
    <w:rsid w:val="26D20A42"/>
    <w:rsid w:val="26DB004C"/>
    <w:rsid w:val="26E1123A"/>
    <w:rsid w:val="26E92BE5"/>
    <w:rsid w:val="270621EE"/>
    <w:rsid w:val="2710343B"/>
    <w:rsid w:val="272F04D1"/>
    <w:rsid w:val="278E13C2"/>
    <w:rsid w:val="27AA5AD0"/>
    <w:rsid w:val="27B222AE"/>
    <w:rsid w:val="280E7144"/>
    <w:rsid w:val="2816750C"/>
    <w:rsid w:val="28231668"/>
    <w:rsid w:val="28392256"/>
    <w:rsid w:val="287E1048"/>
    <w:rsid w:val="28A349F9"/>
    <w:rsid w:val="28B24989"/>
    <w:rsid w:val="29064F88"/>
    <w:rsid w:val="295334CD"/>
    <w:rsid w:val="296455C8"/>
    <w:rsid w:val="29D97ADD"/>
    <w:rsid w:val="29E05594"/>
    <w:rsid w:val="2A12139B"/>
    <w:rsid w:val="2A1A11CC"/>
    <w:rsid w:val="2A23327D"/>
    <w:rsid w:val="2A2953D2"/>
    <w:rsid w:val="2A700EAD"/>
    <w:rsid w:val="2A8F6FDA"/>
    <w:rsid w:val="2AA1365A"/>
    <w:rsid w:val="2AA837C2"/>
    <w:rsid w:val="2AAB4774"/>
    <w:rsid w:val="2AB74521"/>
    <w:rsid w:val="2AC40D70"/>
    <w:rsid w:val="2AFE4C0F"/>
    <w:rsid w:val="2B226752"/>
    <w:rsid w:val="2B23410F"/>
    <w:rsid w:val="2B494413"/>
    <w:rsid w:val="2B8C029D"/>
    <w:rsid w:val="2BA267D3"/>
    <w:rsid w:val="2BA3303A"/>
    <w:rsid w:val="2BA35DA7"/>
    <w:rsid w:val="2BA57D3C"/>
    <w:rsid w:val="2BD51A79"/>
    <w:rsid w:val="2BEC48F2"/>
    <w:rsid w:val="2C9D5C3F"/>
    <w:rsid w:val="2CB1791C"/>
    <w:rsid w:val="2CD53B9A"/>
    <w:rsid w:val="2D3D22C5"/>
    <w:rsid w:val="2D4609D6"/>
    <w:rsid w:val="2DC33823"/>
    <w:rsid w:val="2DD15014"/>
    <w:rsid w:val="2DDD275B"/>
    <w:rsid w:val="2E4619BD"/>
    <w:rsid w:val="2E6E3D4C"/>
    <w:rsid w:val="2E7748AB"/>
    <w:rsid w:val="2E7A444E"/>
    <w:rsid w:val="2E7B2FD1"/>
    <w:rsid w:val="2E8325DC"/>
    <w:rsid w:val="2E922091"/>
    <w:rsid w:val="2EC22ECE"/>
    <w:rsid w:val="2ED01D7A"/>
    <w:rsid w:val="2EFA0894"/>
    <w:rsid w:val="2F3E2704"/>
    <w:rsid w:val="2F5C0536"/>
    <w:rsid w:val="2F5C3B54"/>
    <w:rsid w:val="2FD25781"/>
    <w:rsid w:val="2FDB1798"/>
    <w:rsid w:val="3011436C"/>
    <w:rsid w:val="305C56E5"/>
    <w:rsid w:val="307A0518"/>
    <w:rsid w:val="30960D42"/>
    <w:rsid w:val="30A56DDE"/>
    <w:rsid w:val="30B11C7D"/>
    <w:rsid w:val="30EC3CCF"/>
    <w:rsid w:val="31422A46"/>
    <w:rsid w:val="31445AD2"/>
    <w:rsid w:val="314964D6"/>
    <w:rsid w:val="319C6071"/>
    <w:rsid w:val="31D41C9F"/>
    <w:rsid w:val="320E3C68"/>
    <w:rsid w:val="321E0BC9"/>
    <w:rsid w:val="322C7EDF"/>
    <w:rsid w:val="32407E6C"/>
    <w:rsid w:val="32416A63"/>
    <w:rsid w:val="32483F8C"/>
    <w:rsid w:val="326F76CF"/>
    <w:rsid w:val="328C4B48"/>
    <w:rsid w:val="32C062B9"/>
    <w:rsid w:val="32D401C8"/>
    <w:rsid w:val="32DB72BE"/>
    <w:rsid w:val="330F26D0"/>
    <w:rsid w:val="33637EC3"/>
    <w:rsid w:val="336765E2"/>
    <w:rsid w:val="342E63AB"/>
    <w:rsid w:val="343D6547"/>
    <w:rsid w:val="3447647F"/>
    <w:rsid w:val="345A60C4"/>
    <w:rsid w:val="345D260B"/>
    <w:rsid w:val="3460797A"/>
    <w:rsid w:val="34AC73D1"/>
    <w:rsid w:val="34B77502"/>
    <w:rsid w:val="34BF2248"/>
    <w:rsid w:val="34C1119D"/>
    <w:rsid w:val="34E32CC2"/>
    <w:rsid w:val="34E73EBF"/>
    <w:rsid w:val="355E6A9D"/>
    <w:rsid w:val="358E72A8"/>
    <w:rsid w:val="35A266DF"/>
    <w:rsid w:val="35A47211"/>
    <w:rsid w:val="35BC48B8"/>
    <w:rsid w:val="35C8614C"/>
    <w:rsid w:val="35E13608"/>
    <w:rsid w:val="35FE728D"/>
    <w:rsid w:val="360430BF"/>
    <w:rsid w:val="362178A5"/>
    <w:rsid w:val="365302AE"/>
    <w:rsid w:val="367B5207"/>
    <w:rsid w:val="367E6B74"/>
    <w:rsid w:val="36B4119A"/>
    <w:rsid w:val="36B77FD3"/>
    <w:rsid w:val="36D65004"/>
    <w:rsid w:val="371428EB"/>
    <w:rsid w:val="3720417F"/>
    <w:rsid w:val="372C6501"/>
    <w:rsid w:val="37755EB7"/>
    <w:rsid w:val="377A5B12"/>
    <w:rsid w:val="378B575B"/>
    <w:rsid w:val="37BD7E71"/>
    <w:rsid w:val="37D7646D"/>
    <w:rsid w:val="37F03B68"/>
    <w:rsid w:val="37F142D2"/>
    <w:rsid w:val="38027B2C"/>
    <w:rsid w:val="384E36BB"/>
    <w:rsid w:val="38C83236"/>
    <w:rsid w:val="38D65DCF"/>
    <w:rsid w:val="38E20E0E"/>
    <w:rsid w:val="391626C5"/>
    <w:rsid w:val="3935166B"/>
    <w:rsid w:val="39537EB0"/>
    <w:rsid w:val="39646964"/>
    <w:rsid w:val="39923F83"/>
    <w:rsid w:val="39A13F14"/>
    <w:rsid w:val="39B52C5F"/>
    <w:rsid w:val="39B70940"/>
    <w:rsid w:val="39C421D4"/>
    <w:rsid w:val="39D7104F"/>
    <w:rsid w:val="39E42709"/>
    <w:rsid w:val="39F82BC4"/>
    <w:rsid w:val="3A137505"/>
    <w:rsid w:val="3A1A7360"/>
    <w:rsid w:val="3A210DC5"/>
    <w:rsid w:val="3A3C6707"/>
    <w:rsid w:val="3A5C70FE"/>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5C78D4"/>
    <w:rsid w:val="3D7106DB"/>
    <w:rsid w:val="3DB57251"/>
    <w:rsid w:val="3DD96E06"/>
    <w:rsid w:val="3E025A4C"/>
    <w:rsid w:val="3E0953D7"/>
    <w:rsid w:val="3E68709A"/>
    <w:rsid w:val="3E6D50FB"/>
    <w:rsid w:val="3E713B01"/>
    <w:rsid w:val="3EC84D62"/>
    <w:rsid w:val="3F250BDB"/>
    <w:rsid w:val="3F2B7F51"/>
    <w:rsid w:val="3FD768CC"/>
    <w:rsid w:val="3FFF72A6"/>
    <w:rsid w:val="401F6C03"/>
    <w:rsid w:val="402C3DD7"/>
    <w:rsid w:val="40934A80"/>
    <w:rsid w:val="40B03CFF"/>
    <w:rsid w:val="40DE3BFB"/>
    <w:rsid w:val="410924C1"/>
    <w:rsid w:val="41371D0B"/>
    <w:rsid w:val="4137558E"/>
    <w:rsid w:val="413C1A16"/>
    <w:rsid w:val="41FB0B50"/>
    <w:rsid w:val="420610DF"/>
    <w:rsid w:val="428C11CB"/>
    <w:rsid w:val="429A3B51"/>
    <w:rsid w:val="42BB570A"/>
    <w:rsid w:val="42C6780A"/>
    <w:rsid w:val="42E1381E"/>
    <w:rsid w:val="42E874D3"/>
    <w:rsid w:val="42F06ADE"/>
    <w:rsid w:val="430B62E2"/>
    <w:rsid w:val="433575D3"/>
    <w:rsid w:val="433663D6"/>
    <w:rsid w:val="437A6A42"/>
    <w:rsid w:val="437B44C4"/>
    <w:rsid w:val="43857659"/>
    <w:rsid w:val="43943A06"/>
    <w:rsid w:val="439C027C"/>
    <w:rsid w:val="439D5CFD"/>
    <w:rsid w:val="43AD1976"/>
    <w:rsid w:val="43F63E0D"/>
    <w:rsid w:val="43FB717C"/>
    <w:rsid w:val="441906B4"/>
    <w:rsid w:val="44763847"/>
    <w:rsid w:val="44797901"/>
    <w:rsid w:val="44DC0C08"/>
    <w:rsid w:val="44EB68E3"/>
    <w:rsid w:val="44FA3B9F"/>
    <w:rsid w:val="451E447A"/>
    <w:rsid w:val="45345B76"/>
    <w:rsid w:val="456747A2"/>
    <w:rsid w:val="458127C4"/>
    <w:rsid w:val="459F2450"/>
    <w:rsid w:val="45B871BA"/>
    <w:rsid w:val="46390B44"/>
    <w:rsid w:val="46446ED5"/>
    <w:rsid w:val="46FF2BC0"/>
    <w:rsid w:val="470362D1"/>
    <w:rsid w:val="47251A46"/>
    <w:rsid w:val="47292944"/>
    <w:rsid w:val="472F05FE"/>
    <w:rsid w:val="47307808"/>
    <w:rsid w:val="47633AAA"/>
    <w:rsid w:val="478046DF"/>
    <w:rsid w:val="47831DE0"/>
    <w:rsid w:val="478F3674"/>
    <w:rsid w:val="478F4BB0"/>
    <w:rsid w:val="479123FB"/>
    <w:rsid w:val="47B34331"/>
    <w:rsid w:val="47B40657"/>
    <w:rsid w:val="47BA1F3A"/>
    <w:rsid w:val="47F14220"/>
    <w:rsid w:val="47F35EA9"/>
    <w:rsid w:val="480A0DBF"/>
    <w:rsid w:val="48492777"/>
    <w:rsid w:val="48505BED"/>
    <w:rsid w:val="485B5A04"/>
    <w:rsid w:val="48667E54"/>
    <w:rsid w:val="486F747C"/>
    <w:rsid w:val="48733F90"/>
    <w:rsid w:val="48877A3B"/>
    <w:rsid w:val="489003DA"/>
    <w:rsid w:val="48965ED0"/>
    <w:rsid w:val="48A95C04"/>
    <w:rsid w:val="48B37F53"/>
    <w:rsid w:val="48B70EAB"/>
    <w:rsid w:val="48C803C7"/>
    <w:rsid w:val="48D75130"/>
    <w:rsid w:val="48E00EFA"/>
    <w:rsid w:val="48ED35B0"/>
    <w:rsid w:val="4915277E"/>
    <w:rsid w:val="495D70FC"/>
    <w:rsid w:val="49951AC7"/>
    <w:rsid w:val="49B90A51"/>
    <w:rsid w:val="49C07F1A"/>
    <w:rsid w:val="49C330CD"/>
    <w:rsid w:val="49EA5A52"/>
    <w:rsid w:val="4A3C327C"/>
    <w:rsid w:val="4A41678F"/>
    <w:rsid w:val="4A5F5A11"/>
    <w:rsid w:val="4A6766A0"/>
    <w:rsid w:val="4AE66BEE"/>
    <w:rsid w:val="4AFF44E2"/>
    <w:rsid w:val="4B2047EA"/>
    <w:rsid w:val="4B316836"/>
    <w:rsid w:val="4B4F4D2E"/>
    <w:rsid w:val="4B565FA9"/>
    <w:rsid w:val="4B722056"/>
    <w:rsid w:val="4B8E1986"/>
    <w:rsid w:val="4BB0494B"/>
    <w:rsid w:val="4BB12F55"/>
    <w:rsid w:val="4BD40DF5"/>
    <w:rsid w:val="4BF4712C"/>
    <w:rsid w:val="4BFB7439"/>
    <w:rsid w:val="4C023EC3"/>
    <w:rsid w:val="4C0A34CE"/>
    <w:rsid w:val="4C413881"/>
    <w:rsid w:val="4C4F6AC2"/>
    <w:rsid w:val="4C6F6A75"/>
    <w:rsid w:val="4C7042D7"/>
    <w:rsid w:val="4C8A18A8"/>
    <w:rsid w:val="4CA54934"/>
    <w:rsid w:val="4CB30DFF"/>
    <w:rsid w:val="4CCB04FB"/>
    <w:rsid w:val="4CD82C22"/>
    <w:rsid w:val="4D4F3B65"/>
    <w:rsid w:val="4D5F32DC"/>
    <w:rsid w:val="4D645CE9"/>
    <w:rsid w:val="4D6E11CA"/>
    <w:rsid w:val="4D7B5CAE"/>
    <w:rsid w:val="4D861CF6"/>
    <w:rsid w:val="4D9642D9"/>
    <w:rsid w:val="4DC46900"/>
    <w:rsid w:val="4E264AC2"/>
    <w:rsid w:val="4E4C2783"/>
    <w:rsid w:val="4E5C54C6"/>
    <w:rsid w:val="4E8B5691"/>
    <w:rsid w:val="4E992A4E"/>
    <w:rsid w:val="4E9E02B0"/>
    <w:rsid w:val="4EBD5AC5"/>
    <w:rsid w:val="4EC15FC5"/>
    <w:rsid w:val="4ED02D5C"/>
    <w:rsid w:val="4F637D4D"/>
    <w:rsid w:val="4F6A76D8"/>
    <w:rsid w:val="4F7E6378"/>
    <w:rsid w:val="4FA47125"/>
    <w:rsid w:val="4FED7CB1"/>
    <w:rsid w:val="4FF57980"/>
    <w:rsid w:val="4FFD46C8"/>
    <w:rsid w:val="501527AD"/>
    <w:rsid w:val="50234908"/>
    <w:rsid w:val="504C1986"/>
    <w:rsid w:val="504E35B8"/>
    <w:rsid w:val="50633173"/>
    <w:rsid w:val="506D7517"/>
    <w:rsid w:val="50C63F4A"/>
    <w:rsid w:val="50DD17B8"/>
    <w:rsid w:val="51134562"/>
    <w:rsid w:val="5142308A"/>
    <w:rsid w:val="51A0432A"/>
    <w:rsid w:val="51C51AB5"/>
    <w:rsid w:val="51E9384F"/>
    <w:rsid w:val="52545498"/>
    <w:rsid w:val="5257222D"/>
    <w:rsid w:val="527140E5"/>
    <w:rsid w:val="5292508F"/>
    <w:rsid w:val="52A96B6F"/>
    <w:rsid w:val="52F60736"/>
    <w:rsid w:val="52F83A10"/>
    <w:rsid w:val="530B5ECA"/>
    <w:rsid w:val="53234411"/>
    <w:rsid w:val="53341752"/>
    <w:rsid w:val="534D068E"/>
    <w:rsid w:val="53876B42"/>
    <w:rsid w:val="53C81BD3"/>
    <w:rsid w:val="53ED01C1"/>
    <w:rsid w:val="53EF0F1D"/>
    <w:rsid w:val="54190C85"/>
    <w:rsid w:val="5435659E"/>
    <w:rsid w:val="544F249F"/>
    <w:rsid w:val="545B29F3"/>
    <w:rsid w:val="54807967"/>
    <w:rsid w:val="548E5275"/>
    <w:rsid w:val="549051C1"/>
    <w:rsid w:val="54971E69"/>
    <w:rsid w:val="54BF4C96"/>
    <w:rsid w:val="54CD4A28"/>
    <w:rsid w:val="54EA6DDF"/>
    <w:rsid w:val="55041558"/>
    <w:rsid w:val="550764A4"/>
    <w:rsid w:val="551926E0"/>
    <w:rsid w:val="551F76C9"/>
    <w:rsid w:val="55201B57"/>
    <w:rsid w:val="55804D54"/>
    <w:rsid w:val="55820257"/>
    <w:rsid w:val="55A439DB"/>
    <w:rsid w:val="55C23E61"/>
    <w:rsid w:val="55FC7F21"/>
    <w:rsid w:val="561279B9"/>
    <w:rsid w:val="56362B6A"/>
    <w:rsid w:val="563A463E"/>
    <w:rsid w:val="56474B1D"/>
    <w:rsid w:val="56515F3B"/>
    <w:rsid w:val="565977BE"/>
    <w:rsid w:val="56692AD3"/>
    <w:rsid w:val="568D0FCA"/>
    <w:rsid w:val="569263A8"/>
    <w:rsid w:val="56B62BD2"/>
    <w:rsid w:val="56F426B7"/>
    <w:rsid w:val="572B71CA"/>
    <w:rsid w:val="575A3C3E"/>
    <w:rsid w:val="5780229B"/>
    <w:rsid w:val="57925A39"/>
    <w:rsid w:val="57985206"/>
    <w:rsid w:val="57C00B06"/>
    <w:rsid w:val="57C54F8E"/>
    <w:rsid w:val="57D342A4"/>
    <w:rsid w:val="57F347D8"/>
    <w:rsid w:val="58052123"/>
    <w:rsid w:val="582E57DE"/>
    <w:rsid w:val="5849726D"/>
    <w:rsid w:val="588A581C"/>
    <w:rsid w:val="588B22C9"/>
    <w:rsid w:val="58951D01"/>
    <w:rsid w:val="58A27E37"/>
    <w:rsid w:val="58AD528C"/>
    <w:rsid w:val="58AE4F0C"/>
    <w:rsid w:val="58C561C6"/>
    <w:rsid w:val="58CF6ABA"/>
    <w:rsid w:val="58FB4E97"/>
    <w:rsid w:val="591A120C"/>
    <w:rsid w:val="59342BE6"/>
    <w:rsid w:val="59993AEA"/>
    <w:rsid w:val="59A3044D"/>
    <w:rsid w:val="59B36D38"/>
    <w:rsid w:val="59D7103B"/>
    <w:rsid w:val="59F02E1D"/>
    <w:rsid w:val="59F43024"/>
    <w:rsid w:val="5A2A7C7B"/>
    <w:rsid w:val="5A2E47B3"/>
    <w:rsid w:val="5A3B5997"/>
    <w:rsid w:val="5A4B3A33"/>
    <w:rsid w:val="5A6C6A91"/>
    <w:rsid w:val="5A9801EF"/>
    <w:rsid w:val="5AA31870"/>
    <w:rsid w:val="5AEB36A2"/>
    <w:rsid w:val="5B5B2552"/>
    <w:rsid w:val="5B761C7C"/>
    <w:rsid w:val="5B7F05AD"/>
    <w:rsid w:val="5BE2700B"/>
    <w:rsid w:val="5BFE29CB"/>
    <w:rsid w:val="5C56150A"/>
    <w:rsid w:val="5C6043D4"/>
    <w:rsid w:val="5C6D0BD6"/>
    <w:rsid w:val="5C80234E"/>
    <w:rsid w:val="5C8E1738"/>
    <w:rsid w:val="5CA54B0C"/>
    <w:rsid w:val="5CE40A53"/>
    <w:rsid w:val="5CF214D0"/>
    <w:rsid w:val="5CF3268D"/>
    <w:rsid w:val="5CF5084F"/>
    <w:rsid w:val="5D0E70DE"/>
    <w:rsid w:val="5D13446D"/>
    <w:rsid w:val="5D1F2257"/>
    <w:rsid w:val="5D2466DF"/>
    <w:rsid w:val="5D323938"/>
    <w:rsid w:val="5D3D1807"/>
    <w:rsid w:val="5D587E33"/>
    <w:rsid w:val="5D826A79"/>
    <w:rsid w:val="5DA64281"/>
    <w:rsid w:val="5DF90F71"/>
    <w:rsid w:val="5E0302CC"/>
    <w:rsid w:val="5E1A4FFD"/>
    <w:rsid w:val="5E261785"/>
    <w:rsid w:val="5E2C368E"/>
    <w:rsid w:val="5E515E4C"/>
    <w:rsid w:val="5E91296F"/>
    <w:rsid w:val="5EB6477F"/>
    <w:rsid w:val="5F130109"/>
    <w:rsid w:val="5F274BAB"/>
    <w:rsid w:val="5F597925"/>
    <w:rsid w:val="5F5C50C1"/>
    <w:rsid w:val="5F66297C"/>
    <w:rsid w:val="5F713D25"/>
    <w:rsid w:val="5F81685A"/>
    <w:rsid w:val="5FA650F9"/>
    <w:rsid w:val="5FB54A36"/>
    <w:rsid w:val="5FCC5339"/>
    <w:rsid w:val="5FCE70C0"/>
    <w:rsid w:val="5FE70807"/>
    <w:rsid w:val="603460E8"/>
    <w:rsid w:val="60443CFE"/>
    <w:rsid w:val="60956CE9"/>
    <w:rsid w:val="60BA173E"/>
    <w:rsid w:val="60E53485"/>
    <w:rsid w:val="610417D1"/>
    <w:rsid w:val="61054A27"/>
    <w:rsid w:val="61107F4E"/>
    <w:rsid w:val="61130ED3"/>
    <w:rsid w:val="61131A15"/>
    <w:rsid w:val="611D2366"/>
    <w:rsid w:val="6135490B"/>
    <w:rsid w:val="614416A2"/>
    <w:rsid w:val="614C4F26"/>
    <w:rsid w:val="61657658"/>
    <w:rsid w:val="61857F0D"/>
    <w:rsid w:val="61AC3502"/>
    <w:rsid w:val="61AC44B2"/>
    <w:rsid w:val="623B2220"/>
    <w:rsid w:val="6251635C"/>
    <w:rsid w:val="626E347A"/>
    <w:rsid w:val="627666FF"/>
    <w:rsid w:val="62885958"/>
    <w:rsid w:val="629E4300"/>
    <w:rsid w:val="62AC7970"/>
    <w:rsid w:val="62B95B6A"/>
    <w:rsid w:val="630435DB"/>
    <w:rsid w:val="632A2792"/>
    <w:rsid w:val="63320ECD"/>
    <w:rsid w:val="633F4EF2"/>
    <w:rsid w:val="636C452A"/>
    <w:rsid w:val="639C592F"/>
    <w:rsid w:val="646B597A"/>
    <w:rsid w:val="647729F1"/>
    <w:rsid w:val="649C269E"/>
    <w:rsid w:val="64AF4371"/>
    <w:rsid w:val="64C30063"/>
    <w:rsid w:val="64C847E7"/>
    <w:rsid w:val="64CE2EAA"/>
    <w:rsid w:val="64D312ED"/>
    <w:rsid w:val="653D4DB6"/>
    <w:rsid w:val="654140C2"/>
    <w:rsid w:val="656071F2"/>
    <w:rsid w:val="65670E6D"/>
    <w:rsid w:val="65923EB0"/>
    <w:rsid w:val="659A4B3F"/>
    <w:rsid w:val="65C648F5"/>
    <w:rsid w:val="65D40E0C"/>
    <w:rsid w:val="662E75B1"/>
    <w:rsid w:val="66342C2E"/>
    <w:rsid w:val="6639016F"/>
    <w:rsid w:val="663E784C"/>
    <w:rsid w:val="664B10E0"/>
    <w:rsid w:val="664C6B61"/>
    <w:rsid w:val="66531D6F"/>
    <w:rsid w:val="667C41F6"/>
    <w:rsid w:val="668B7F72"/>
    <w:rsid w:val="668C3218"/>
    <w:rsid w:val="669F7EFD"/>
    <w:rsid w:val="66CF713B"/>
    <w:rsid w:val="66D23ABE"/>
    <w:rsid w:val="66E16111"/>
    <w:rsid w:val="66EB728A"/>
    <w:rsid w:val="676C02BE"/>
    <w:rsid w:val="67765EAB"/>
    <w:rsid w:val="677874B3"/>
    <w:rsid w:val="67984605"/>
    <w:rsid w:val="67C3028D"/>
    <w:rsid w:val="67CE125C"/>
    <w:rsid w:val="67DE35E9"/>
    <w:rsid w:val="681E22E0"/>
    <w:rsid w:val="68480F25"/>
    <w:rsid w:val="684F6332"/>
    <w:rsid w:val="685867EC"/>
    <w:rsid w:val="685956A2"/>
    <w:rsid w:val="68696EDC"/>
    <w:rsid w:val="6892481D"/>
    <w:rsid w:val="68C3086F"/>
    <w:rsid w:val="68C504EF"/>
    <w:rsid w:val="68E1064A"/>
    <w:rsid w:val="691D2203"/>
    <w:rsid w:val="692D388F"/>
    <w:rsid w:val="694110E9"/>
    <w:rsid w:val="694855A7"/>
    <w:rsid w:val="69B013F1"/>
    <w:rsid w:val="69DE22C1"/>
    <w:rsid w:val="69DF48FD"/>
    <w:rsid w:val="6A22146E"/>
    <w:rsid w:val="6A3B6DD7"/>
    <w:rsid w:val="6A3D709E"/>
    <w:rsid w:val="6A971908"/>
    <w:rsid w:val="6AAE6EDD"/>
    <w:rsid w:val="6AC634A7"/>
    <w:rsid w:val="6B0777A4"/>
    <w:rsid w:val="6B1E5F5D"/>
    <w:rsid w:val="6B2F7872"/>
    <w:rsid w:val="6B4314E3"/>
    <w:rsid w:val="6B4D068F"/>
    <w:rsid w:val="6B500E9D"/>
    <w:rsid w:val="6B9B01DE"/>
    <w:rsid w:val="6BB875B1"/>
    <w:rsid w:val="6BD209CA"/>
    <w:rsid w:val="6BF95E33"/>
    <w:rsid w:val="6C0341C4"/>
    <w:rsid w:val="6C4B45B8"/>
    <w:rsid w:val="6CDB16A8"/>
    <w:rsid w:val="6D0A4C32"/>
    <w:rsid w:val="6D4B1F5D"/>
    <w:rsid w:val="6D4B4BC9"/>
    <w:rsid w:val="6D800B1C"/>
    <w:rsid w:val="6D8A7447"/>
    <w:rsid w:val="6D955854"/>
    <w:rsid w:val="6DC46415"/>
    <w:rsid w:val="6DC72BAB"/>
    <w:rsid w:val="6E02321C"/>
    <w:rsid w:val="6E0B0D16"/>
    <w:rsid w:val="6E4A50E8"/>
    <w:rsid w:val="6E501E3C"/>
    <w:rsid w:val="6E5A7B9C"/>
    <w:rsid w:val="6E7400A0"/>
    <w:rsid w:val="6E8E12EF"/>
    <w:rsid w:val="6EFE46BB"/>
    <w:rsid w:val="6F7F686B"/>
    <w:rsid w:val="6FA31026"/>
    <w:rsid w:val="6FC438EB"/>
    <w:rsid w:val="6FDE1F16"/>
    <w:rsid w:val="6FEF7AF1"/>
    <w:rsid w:val="701B1D7B"/>
    <w:rsid w:val="702A2F9C"/>
    <w:rsid w:val="70465FB6"/>
    <w:rsid w:val="707B5618"/>
    <w:rsid w:val="708C3CA2"/>
    <w:rsid w:val="70B90980"/>
    <w:rsid w:val="70EC4652"/>
    <w:rsid w:val="718B37D7"/>
    <w:rsid w:val="71CC4D10"/>
    <w:rsid w:val="71CC7543"/>
    <w:rsid w:val="71D43752"/>
    <w:rsid w:val="71F07415"/>
    <w:rsid w:val="7201041D"/>
    <w:rsid w:val="720F7FD6"/>
    <w:rsid w:val="723A7B77"/>
    <w:rsid w:val="72465B88"/>
    <w:rsid w:val="72506497"/>
    <w:rsid w:val="7293150A"/>
    <w:rsid w:val="729B22F4"/>
    <w:rsid w:val="72B10ABA"/>
    <w:rsid w:val="72C55778"/>
    <w:rsid w:val="73171838"/>
    <w:rsid w:val="734F3E89"/>
    <w:rsid w:val="735A7977"/>
    <w:rsid w:val="735E1128"/>
    <w:rsid w:val="739367E9"/>
    <w:rsid w:val="73946B2F"/>
    <w:rsid w:val="739545B0"/>
    <w:rsid w:val="73DD6243"/>
    <w:rsid w:val="73F00353"/>
    <w:rsid w:val="74262565"/>
    <w:rsid w:val="74930D71"/>
    <w:rsid w:val="749C4185"/>
    <w:rsid w:val="74B35591"/>
    <w:rsid w:val="74BF2D99"/>
    <w:rsid w:val="74FF5D81"/>
    <w:rsid w:val="75560B8F"/>
    <w:rsid w:val="7564460A"/>
    <w:rsid w:val="75645C30"/>
    <w:rsid w:val="759873CC"/>
    <w:rsid w:val="759926FC"/>
    <w:rsid w:val="75DA2C18"/>
    <w:rsid w:val="75FB611F"/>
    <w:rsid w:val="761130AB"/>
    <w:rsid w:val="761E2EDE"/>
    <w:rsid w:val="762F0C47"/>
    <w:rsid w:val="764F1442"/>
    <w:rsid w:val="766B233D"/>
    <w:rsid w:val="767B611C"/>
    <w:rsid w:val="76A258BD"/>
    <w:rsid w:val="76BB7AF8"/>
    <w:rsid w:val="76DD4B47"/>
    <w:rsid w:val="76E3721B"/>
    <w:rsid w:val="76E74E06"/>
    <w:rsid w:val="76E92764"/>
    <w:rsid w:val="76FD5631"/>
    <w:rsid w:val="771B7BF9"/>
    <w:rsid w:val="775319EF"/>
    <w:rsid w:val="776D717F"/>
    <w:rsid w:val="7777552B"/>
    <w:rsid w:val="77781192"/>
    <w:rsid w:val="77980A6E"/>
    <w:rsid w:val="77D53A70"/>
    <w:rsid w:val="781F7AFB"/>
    <w:rsid w:val="78236BD5"/>
    <w:rsid w:val="78237FF9"/>
    <w:rsid w:val="78574B7E"/>
    <w:rsid w:val="787A38E7"/>
    <w:rsid w:val="789B6166"/>
    <w:rsid w:val="78A33979"/>
    <w:rsid w:val="78AE3180"/>
    <w:rsid w:val="78C935D5"/>
    <w:rsid w:val="79075530"/>
    <w:rsid w:val="790F1C77"/>
    <w:rsid w:val="793A2CE4"/>
    <w:rsid w:val="79830A68"/>
    <w:rsid w:val="798E1AF5"/>
    <w:rsid w:val="79953E26"/>
    <w:rsid w:val="7997550A"/>
    <w:rsid w:val="79A060E3"/>
    <w:rsid w:val="79B25E17"/>
    <w:rsid w:val="79C11BD2"/>
    <w:rsid w:val="79DF6DA1"/>
    <w:rsid w:val="79FB18DE"/>
    <w:rsid w:val="7A042073"/>
    <w:rsid w:val="7A382B2A"/>
    <w:rsid w:val="7A67303B"/>
    <w:rsid w:val="7A801345"/>
    <w:rsid w:val="7A9E78D8"/>
    <w:rsid w:val="7AAB1D04"/>
    <w:rsid w:val="7ABA4368"/>
    <w:rsid w:val="7ABC46D8"/>
    <w:rsid w:val="7AC83933"/>
    <w:rsid w:val="7ACB734E"/>
    <w:rsid w:val="7AE47E6B"/>
    <w:rsid w:val="7B081EE9"/>
    <w:rsid w:val="7B257FFD"/>
    <w:rsid w:val="7B7956A0"/>
    <w:rsid w:val="7B8C7B5C"/>
    <w:rsid w:val="7BF62A6B"/>
    <w:rsid w:val="7C2B1DA5"/>
    <w:rsid w:val="7C2F7BF3"/>
    <w:rsid w:val="7C364B59"/>
    <w:rsid w:val="7CA65570"/>
    <w:rsid w:val="7D016009"/>
    <w:rsid w:val="7D3127F3"/>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EE529E"/>
    <w:rsid w:val="7EFB52E1"/>
    <w:rsid w:val="7F2464A6"/>
    <w:rsid w:val="7F2C0419"/>
    <w:rsid w:val="7F2D7288"/>
    <w:rsid w:val="7F871AF4"/>
    <w:rsid w:val="7F8E1929"/>
    <w:rsid w:val="7FA7C635"/>
    <w:rsid w:val="7FB778FC"/>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2"/>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02"/>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6"/>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5"/>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4"/>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4"/>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2"/>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7"/>
    <w:basedOn w:val="1"/>
    <w:autoRedefine/>
    <w:qFormat/>
    <w:uiPriority w:val="0"/>
    <w:pPr>
      <w:ind w:firstLine="420" w:firstLineChars="200"/>
    </w:pPr>
  </w:style>
  <w:style w:type="paragraph" w:styleId="6">
    <w:name w:val="Normal Indent"/>
    <w:basedOn w:val="1"/>
    <w:link w:val="616"/>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7"/>
    <w:autoRedefine/>
    <w:qFormat/>
    <w:uiPriority w:val="99"/>
    <w:pPr>
      <w:jc w:val="left"/>
    </w:pPr>
  </w:style>
  <w:style w:type="paragraph" w:styleId="21">
    <w:name w:val="Salutation"/>
    <w:basedOn w:val="1"/>
    <w:next w:val="1"/>
    <w:link w:val="485"/>
    <w:autoRedefine/>
    <w:qFormat/>
    <w:uiPriority w:val="0"/>
    <w:rPr>
      <w:rFonts w:ascii="仿宋_GB2312" w:eastAsia="仿宋_GB2312"/>
      <w:sz w:val="28"/>
      <w:szCs w:val="20"/>
    </w:rPr>
  </w:style>
  <w:style w:type="paragraph" w:styleId="22">
    <w:name w:val="Body Text 3"/>
    <w:basedOn w:val="1"/>
    <w:link w:val="584"/>
    <w:autoRedefine/>
    <w:qFormat/>
    <w:uiPriority w:val="0"/>
    <w:pPr>
      <w:jc w:val="center"/>
    </w:pPr>
    <w:rPr>
      <w:szCs w:val="20"/>
    </w:rPr>
  </w:style>
  <w:style w:type="paragraph" w:styleId="23">
    <w:name w:val="Body Text"/>
    <w:basedOn w:val="1"/>
    <w:link w:val="515"/>
    <w:autoRedefine/>
    <w:qFormat/>
    <w:uiPriority w:val="0"/>
    <w:pPr>
      <w:autoSpaceDE w:val="0"/>
      <w:autoSpaceDN w:val="0"/>
      <w:spacing w:line="360" w:lineRule="auto"/>
    </w:pPr>
    <w:rPr>
      <w:rFonts w:ascii="宋体"/>
      <w:sz w:val="24"/>
      <w:szCs w:val="21"/>
      <w:lang w:val="zh-CN"/>
    </w:rPr>
  </w:style>
  <w:style w:type="paragraph" w:styleId="24">
    <w:name w:val="Body Text Indent"/>
    <w:basedOn w:val="1"/>
    <w:next w:val="1"/>
    <w:link w:val="478"/>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4"/>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2"/>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601"/>
    <w:autoRedefine/>
    <w:qFormat/>
    <w:uiPriority w:val="0"/>
    <w:pPr>
      <w:ind w:left="100" w:leftChars="2500"/>
    </w:pPr>
    <w:rPr>
      <w:rFonts w:ascii="宋体"/>
      <w:sz w:val="24"/>
      <w:szCs w:val="21"/>
      <w:lang w:val="zh-CN"/>
    </w:rPr>
  </w:style>
  <w:style w:type="paragraph" w:styleId="36">
    <w:name w:val="Body Text Indent 2"/>
    <w:basedOn w:val="1"/>
    <w:link w:val="506"/>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8"/>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8"/>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9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6"/>
    <w:link w:val="476"/>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91"/>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autoRedefine/>
    <w:semiHidden/>
    <w:qFormat/>
    <w:uiPriority w:val="0"/>
    <w:rPr>
      <w:b/>
      <w:bCs/>
    </w:rPr>
  </w:style>
  <w:style w:type="paragraph" w:styleId="59">
    <w:name w:val="Body Text First Indent"/>
    <w:basedOn w:val="23"/>
    <w:next w:val="49"/>
    <w:link w:val="548"/>
    <w:autoRedefine/>
    <w:qFormat/>
    <w:uiPriority w:val="0"/>
    <w:pPr>
      <w:ind w:firstLine="420"/>
    </w:pPr>
    <w:rPr>
      <w:szCs w:val="20"/>
    </w:rPr>
  </w:style>
  <w:style w:type="paragraph" w:styleId="60">
    <w:name w:val="Body Text First Indent 2"/>
    <w:basedOn w:val="24"/>
    <w:link w:val="505"/>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Body Text First Indent 21"/>
    <w:basedOn w:val="73"/>
    <w:autoRedefine/>
    <w:qFormat/>
    <w:uiPriority w:val="0"/>
    <w:pPr>
      <w:ind w:firstLine="420"/>
    </w:pPr>
    <w:rPr>
      <w:rFonts w:ascii="Times New Roman" w:hAnsi="Times New Roman" w:cs="宋体"/>
    </w:rPr>
  </w:style>
  <w:style w:type="paragraph" w:customStyle="1" w:styleId="73">
    <w:name w:val="Body Text Indent1"/>
    <w:basedOn w:val="1"/>
    <w:next w:val="1"/>
    <w:autoRedefine/>
    <w:qFormat/>
    <w:uiPriority w:val="0"/>
    <w:pPr>
      <w:spacing w:after="120"/>
      <w:ind w:left="420" w:leftChars="200"/>
    </w:pPr>
    <w:rPr>
      <w:color w:val="000000"/>
      <w:szCs w:val="21"/>
    </w:rPr>
  </w:style>
  <w:style w:type="paragraph" w:customStyle="1" w:styleId="74">
    <w:name w:val="Default"/>
    <w:next w:val="1"/>
    <w:link w:val="6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autoRedefine/>
    <w:qFormat/>
    <w:uiPriority w:val="0"/>
    <w:pPr>
      <w:tabs>
        <w:tab w:val="left" w:pos="2790"/>
        <w:tab w:val="left" w:pos="4230"/>
      </w:tabs>
      <w:spacing w:before="312" w:beforeLines="100"/>
      <w:jc w:val="left"/>
    </w:pPr>
  </w:style>
  <w:style w:type="paragraph" w:customStyle="1" w:styleId="7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autoRedefine/>
    <w:qFormat/>
    <w:uiPriority w:val="0"/>
    <w:pPr>
      <w:adjustRightInd/>
      <w:spacing w:line="288" w:lineRule="auto"/>
      <w:ind w:firstLine="425" w:firstLineChars="200"/>
    </w:pPr>
  </w:style>
  <w:style w:type="paragraph" w:customStyle="1" w:styleId="81">
    <w:name w:val="Char1 Char Char Char"/>
    <w:basedOn w:val="1"/>
    <w:autoRedefine/>
    <w:qFormat/>
    <w:uiPriority w:val="0"/>
    <w:rPr>
      <w:rFonts w:ascii="Tahoma" w:hAnsi="Tahoma"/>
      <w:sz w:val="24"/>
      <w:szCs w:val="20"/>
    </w:rPr>
  </w:style>
  <w:style w:type="paragraph" w:customStyle="1" w:styleId="8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autoRedefine/>
    <w:qFormat/>
    <w:uiPriority w:val="0"/>
    <w:pPr>
      <w:spacing w:after="156" w:afterLines="50"/>
      <w:jc w:val="left"/>
      <w:outlineLvl w:val="3"/>
    </w:pPr>
    <w:rPr>
      <w:sz w:val="24"/>
      <w:szCs w:val="24"/>
    </w:rPr>
  </w:style>
  <w:style w:type="paragraph" w:customStyle="1" w:styleId="8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autoRedefine/>
    <w:qFormat/>
    <w:uiPriority w:val="0"/>
    <w:pPr>
      <w:numPr>
        <w:ilvl w:val="1"/>
        <w:numId w:val="4"/>
      </w:numPr>
      <w:adjustRightInd/>
    </w:pPr>
  </w:style>
  <w:style w:type="paragraph" w:customStyle="1" w:styleId="89">
    <w:name w:val="Char3"/>
    <w:basedOn w:val="1"/>
    <w:autoRedefine/>
    <w:qFormat/>
    <w:uiPriority w:val="0"/>
    <w:pPr>
      <w:adjustRightInd/>
    </w:pPr>
    <w:rPr>
      <w:rFonts w:ascii="仿宋_GB2312" w:eastAsia="仿宋_GB2312"/>
      <w:b/>
      <w:sz w:val="32"/>
      <w:szCs w:val="32"/>
    </w:rPr>
  </w:style>
  <w:style w:type="paragraph" w:customStyle="1" w:styleId="90">
    <w:name w:val="Char Char1 Char Char Char Char Char Char"/>
    <w:basedOn w:val="1"/>
    <w:autoRedefine/>
    <w:qFormat/>
    <w:uiPriority w:val="0"/>
    <w:rPr>
      <w:rFonts w:ascii="仿宋_GB2312" w:eastAsia="仿宋_GB2312"/>
      <w:b/>
      <w:sz w:val="32"/>
      <w:szCs w:val="20"/>
    </w:rPr>
  </w:style>
  <w:style w:type="paragraph" w:customStyle="1" w:styleId="91">
    <w:name w:val="文本正文 Char"/>
    <w:basedOn w:val="1"/>
    <w:autoRedefine/>
    <w:qFormat/>
    <w:uiPriority w:val="0"/>
    <w:pPr>
      <w:spacing w:line="360" w:lineRule="auto"/>
      <w:ind w:firstLine="200" w:firstLineChars="200"/>
    </w:pPr>
    <w:rPr>
      <w:kern w:val="0"/>
      <w:sz w:val="24"/>
      <w:szCs w:val="20"/>
    </w:rPr>
  </w:style>
  <w:style w:type="paragraph" w:customStyle="1" w:styleId="9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1">
    <w:name w:val="Char1"/>
    <w:basedOn w:val="1"/>
    <w:autoRedefine/>
    <w:qFormat/>
    <w:uiPriority w:val="0"/>
    <w:rPr>
      <w:rFonts w:ascii="仿宋_GB2312" w:eastAsia="仿宋_GB2312"/>
      <w:b/>
      <w:sz w:val="32"/>
      <w:szCs w:val="32"/>
    </w:rPr>
  </w:style>
  <w:style w:type="paragraph" w:customStyle="1" w:styleId="102">
    <w:name w:val="CM14"/>
    <w:basedOn w:val="74"/>
    <w:next w:val="74"/>
    <w:autoRedefine/>
    <w:qFormat/>
    <w:uiPriority w:val="0"/>
    <w:pPr>
      <w:spacing w:after="68"/>
    </w:pPr>
    <w:rPr>
      <w:rFonts w:ascii="FHLHE E+ Futura Bk" w:eastAsia="FHLHE E+ Futura Bk" w:cs="Times New Roman"/>
      <w:color w:val="auto"/>
    </w:rPr>
  </w:style>
  <w:style w:type="paragraph" w:customStyle="1" w:styleId="103">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autoRedefine/>
    <w:qFormat/>
    <w:uiPriority w:val="0"/>
    <w:rPr>
      <w:rFonts w:ascii="仿宋_GB2312" w:eastAsia="仿宋_GB2312"/>
      <w:b/>
      <w:sz w:val="32"/>
      <w:szCs w:val="32"/>
    </w:rPr>
  </w:style>
  <w:style w:type="paragraph" w:customStyle="1" w:styleId="1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autoRedefine/>
    <w:qFormat/>
    <w:uiPriority w:val="0"/>
    <w:rPr>
      <w:rFonts w:ascii="Tahoma" w:hAnsi="Tahoma"/>
      <w:sz w:val="24"/>
      <w:szCs w:val="20"/>
    </w:rPr>
  </w:style>
  <w:style w:type="paragraph" w:customStyle="1" w:styleId="1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7">
    <w:name w:val="样式 正文缩进 + 首行缩进:  2 字符"/>
    <w:basedOn w:val="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autoRedefine/>
    <w:qFormat/>
    <w:uiPriority w:val="0"/>
    <w:pPr>
      <w:spacing w:line="360" w:lineRule="auto"/>
      <w:ind w:firstLine="480" w:firstLineChars="200"/>
    </w:pPr>
    <w:rPr>
      <w:rFonts w:hAnsi="宋体"/>
      <w:sz w:val="24"/>
      <w:szCs w:val="20"/>
    </w:rPr>
  </w:style>
  <w:style w:type="paragraph" w:customStyle="1" w:styleId="124">
    <w:name w:val="MM Topic 4"/>
    <w:basedOn w:val="7"/>
    <w:autoRedefine/>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autoRedefine/>
    <w:qFormat/>
    <w:uiPriority w:val="0"/>
    <w:pPr>
      <w:adjustRightInd/>
      <w:spacing w:line="400" w:lineRule="exact"/>
      <w:ind w:firstLine="200" w:firstLineChars="200"/>
    </w:pPr>
    <w:rPr>
      <w:rFonts w:ascii="Arial" w:hAnsi="Arial"/>
    </w:rPr>
  </w:style>
  <w:style w:type="paragraph" w:customStyle="1" w:styleId="1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autoRedefine/>
    <w:qFormat/>
    <w:uiPriority w:val="0"/>
    <w:rPr>
      <w:rFonts w:ascii="Tahoma" w:hAnsi="Tahoma"/>
      <w:sz w:val="24"/>
      <w:szCs w:val="20"/>
    </w:rPr>
  </w:style>
  <w:style w:type="paragraph" w:customStyle="1" w:styleId="129">
    <w:name w:val="Char1 Char Char Char2"/>
    <w:basedOn w:val="1"/>
    <w:autoRedefine/>
    <w:qFormat/>
    <w:uiPriority w:val="0"/>
    <w:pPr>
      <w:adjustRightInd/>
      <w:ind w:firstLine="200" w:firstLineChars="200"/>
    </w:pPr>
    <w:rPr>
      <w:rFonts w:ascii="Tahoma" w:hAnsi="Tahoma"/>
      <w:sz w:val="24"/>
      <w:szCs w:val="20"/>
    </w:rPr>
  </w:style>
  <w:style w:type="paragraph" w:customStyle="1" w:styleId="13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autoRedefine/>
    <w:qFormat/>
    <w:uiPriority w:val="0"/>
    <w:pPr>
      <w:adjustRightInd/>
      <w:spacing w:line="360" w:lineRule="auto"/>
      <w:ind w:firstLine="480"/>
    </w:pPr>
    <w:rPr>
      <w:sz w:val="24"/>
    </w:rPr>
  </w:style>
  <w:style w:type="paragraph" w:customStyle="1" w:styleId="1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autoRedefine/>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autoRedefine/>
    <w:qFormat/>
    <w:uiPriority w:val="0"/>
    <w:pPr>
      <w:adjustRightInd/>
      <w:spacing w:line="300" w:lineRule="auto"/>
      <w:jc w:val="center"/>
    </w:pPr>
  </w:style>
  <w:style w:type="paragraph" w:customStyle="1" w:styleId="138">
    <w:name w:val="Char Char Char1 Char"/>
    <w:basedOn w:val="1"/>
    <w:autoRedefine/>
    <w:qFormat/>
    <w:uiPriority w:val="0"/>
    <w:rPr>
      <w:szCs w:val="20"/>
    </w:rPr>
  </w:style>
  <w:style w:type="paragraph" w:customStyle="1" w:styleId="1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1">
    <w:name w:val="章标题"/>
    <w:next w:val="1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表文字"/>
    <w:autoRedefine/>
    <w:qFormat/>
    <w:uiPriority w:val="0"/>
    <w:rPr>
      <w:rFonts w:ascii="宋体" w:hAnsi="Times New Roman" w:eastAsia="宋体" w:cs="Times New Roman"/>
      <w:kern w:val="2"/>
      <w:lang w:val="en-US" w:eastAsia="zh-CN" w:bidi="ar-SA"/>
    </w:rPr>
  </w:style>
  <w:style w:type="paragraph" w:customStyle="1" w:styleId="14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autoRedefine/>
    <w:qFormat/>
    <w:uiPriority w:val="0"/>
    <w:pPr>
      <w:widowControl/>
      <w:tabs>
        <w:tab w:val="left" w:pos="840"/>
      </w:tabs>
      <w:ind w:left="840" w:hanging="420"/>
      <w:jc w:val="left"/>
    </w:pPr>
    <w:rPr>
      <w:kern w:val="0"/>
      <w:sz w:val="18"/>
    </w:rPr>
  </w:style>
  <w:style w:type="paragraph" w:customStyle="1" w:styleId="15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autoRedefine/>
    <w:qFormat/>
    <w:uiPriority w:val="0"/>
    <w:pPr>
      <w:adjustRightInd/>
    </w:pPr>
    <w:rPr>
      <w:rFonts w:ascii="Tahoma" w:hAnsi="Tahoma"/>
      <w:sz w:val="24"/>
      <w:szCs w:val="20"/>
    </w:rPr>
  </w:style>
  <w:style w:type="paragraph" w:customStyle="1" w:styleId="15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autoRedefine/>
    <w:qFormat/>
    <w:uiPriority w:val="0"/>
    <w:rPr>
      <w:rFonts w:ascii="仿宋_GB2312" w:eastAsia="仿宋_GB2312"/>
      <w:b/>
      <w:sz w:val="32"/>
      <w:szCs w:val="20"/>
    </w:rPr>
  </w:style>
  <w:style w:type="paragraph" w:customStyle="1" w:styleId="16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autoRedefine/>
    <w:qFormat/>
    <w:uiPriority w:val="0"/>
    <w:pPr>
      <w:suppressAutoHyphens/>
      <w:adjustRightInd/>
      <w:ind w:firstLine="420"/>
    </w:pPr>
    <w:rPr>
      <w:kern w:val="1"/>
      <w:szCs w:val="20"/>
    </w:rPr>
  </w:style>
  <w:style w:type="paragraph" w:customStyle="1" w:styleId="1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autoRedefine/>
    <w:qFormat/>
    <w:uiPriority w:val="0"/>
    <w:pPr>
      <w:spacing w:line="360" w:lineRule="auto"/>
    </w:pPr>
    <w:rPr>
      <w:szCs w:val="20"/>
    </w:rPr>
  </w:style>
  <w:style w:type="paragraph" w:customStyle="1" w:styleId="165">
    <w:name w:val="Char Char11 Char Char Char"/>
    <w:basedOn w:val="1"/>
    <w:autoRedefine/>
    <w:qFormat/>
    <w:uiPriority w:val="0"/>
    <w:pPr>
      <w:spacing w:line="360" w:lineRule="auto"/>
    </w:pPr>
    <w:rPr>
      <w:szCs w:val="20"/>
    </w:rPr>
  </w:style>
  <w:style w:type="paragraph" w:customStyle="1" w:styleId="16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autoRedefine/>
    <w:qFormat/>
    <w:uiPriority w:val="0"/>
    <w:pPr>
      <w:adjustRightInd/>
      <w:ind w:firstLine="200" w:firstLineChars="200"/>
      <w:jc w:val="right"/>
    </w:pPr>
  </w:style>
  <w:style w:type="paragraph" w:customStyle="1" w:styleId="169">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2">
    <w:name w:val="无间隔1"/>
    <w:link w:val="534"/>
    <w:autoRedefine/>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autoRedefine/>
    <w:qFormat/>
    <w:uiPriority w:val="0"/>
    <w:pPr>
      <w:tabs>
        <w:tab w:val="left" w:pos="2356"/>
      </w:tabs>
    </w:pPr>
  </w:style>
  <w:style w:type="paragraph" w:customStyle="1" w:styleId="174">
    <w:name w:val="样式 标题 4h4H4Fab-4T5Ref Heading 1rh1Heading sqlsect 1.2.3...."/>
    <w:basedOn w:val="7"/>
    <w:link w:val="562"/>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autoRedefine/>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autoRedefine/>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autoRedefine/>
    <w:qFormat/>
    <w:uiPriority w:val="0"/>
    <w:pPr>
      <w:numPr>
        <w:ilvl w:val="3"/>
        <w:numId w:val="4"/>
      </w:numPr>
      <w:tabs>
        <w:tab w:val="left" w:pos="1680"/>
      </w:tabs>
      <w:ind w:left="0"/>
      <w:outlineLvl w:val="3"/>
    </w:pPr>
  </w:style>
  <w:style w:type="paragraph" w:customStyle="1" w:styleId="178">
    <w:name w:val="一级条标题"/>
    <w:basedOn w:val="141"/>
    <w:next w:val="142"/>
    <w:autoRedefine/>
    <w:qFormat/>
    <w:uiPriority w:val="0"/>
    <w:pPr>
      <w:tabs>
        <w:tab w:val="left" w:pos="1680"/>
        <w:tab w:val="clear" w:pos="1260"/>
      </w:tabs>
      <w:spacing w:before="0" w:beforeLines="0" w:after="0" w:afterLines="0"/>
      <w:ind w:left="1680"/>
      <w:outlineLvl w:val="2"/>
    </w:pPr>
  </w:style>
  <w:style w:type="paragraph" w:customStyle="1" w:styleId="17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autoRedefine/>
    <w:qFormat/>
    <w:uiPriority w:val="0"/>
    <w:pPr>
      <w:spacing w:line="360" w:lineRule="auto"/>
      <w:ind w:firstLine="480" w:firstLineChars="200"/>
    </w:pPr>
    <w:rPr>
      <w:rFonts w:ascii="Arial" w:hAnsi="Arial"/>
      <w:sz w:val="24"/>
      <w:szCs w:val="21"/>
    </w:rPr>
  </w:style>
  <w:style w:type="paragraph" w:customStyle="1" w:styleId="181">
    <w:name w:val="表格"/>
    <w:basedOn w:val="1"/>
    <w:autoRedefine/>
    <w:qFormat/>
    <w:uiPriority w:val="0"/>
    <w:pPr>
      <w:snapToGrid w:val="0"/>
      <w:ind w:firstLine="42" w:firstLineChars="21"/>
    </w:pPr>
    <w:rPr>
      <w:rFonts w:ascii="宋体" w:hAnsi="宋体"/>
      <w:kern w:val="0"/>
      <w:sz w:val="20"/>
      <w:szCs w:val="20"/>
    </w:rPr>
  </w:style>
  <w:style w:type="paragraph" w:customStyle="1" w:styleId="18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autoRedefine/>
    <w:qFormat/>
    <w:uiPriority w:val="0"/>
    <w:rPr>
      <w:rFonts w:ascii="仿宋_GB2312" w:eastAsia="仿宋_GB2312"/>
      <w:b/>
      <w:sz w:val="32"/>
      <w:szCs w:val="32"/>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autoRedefine/>
    <w:qFormat/>
    <w:uiPriority w:val="0"/>
    <w:rPr>
      <w:rFonts w:ascii="仿宋_GB2312" w:eastAsia="仿宋_GB2312"/>
      <w:b/>
      <w:sz w:val="32"/>
      <w:szCs w:val="32"/>
    </w:rPr>
  </w:style>
  <w:style w:type="paragraph" w:customStyle="1" w:styleId="19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5">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autoRedefine/>
    <w:qFormat/>
    <w:uiPriority w:val="0"/>
    <w:pPr>
      <w:widowControl/>
      <w:adjustRightInd/>
      <w:spacing w:after="160" w:line="240" w:lineRule="exact"/>
      <w:jc w:val="left"/>
    </w:pPr>
  </w:style>
  <w:style w:type="paragraph" w:customStyle="1" w:styleId="197">
    <w:name w:val="Char2 Char Char1"/>
    <w:basedOn w:val="1"/>
    <w:autoRedefine/>
    <w:qFormat/>
    <w:uiPriority w:val="0"/>
    <w:pPr>
      <w:adjustRightInd/>
    </w:pPr>
    <w:rPr>
      <w:rFonts w:ascii="Tahoma" w:hAnsi="Tahoma"/>
      <w:sz w:val="24"/>
      <w:szCs w:val="20"/>
    </w:rPr>
  </w:style>
  <w:style w:type="paragraph" w:customStyle="1" w:styleId="198">
    <w:name w:val="默认段落字体 Para Char Char Char Char Char Char Char"/>
    <w:basedOn w:val="1"/>
    <w:autoRedefine/>
    <w:qFormat/>
    <w:uiPriority w:val="0"/>
    <w:rPr>
      <w:rFonts w:eastAsia="仿宋_GB2312"/>
      <w:sz w:val="28"/>
      <w:szCs w:val="20"/>
    </w:rPr>
  </w:style>
  <w:style w:type="paragraph" w:customStyle="1" w:styleId="19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0">
    <w:name w:val="正文21"/>
    <w:basedOn w:val="1"/>
    <w:autoRedefine/>
    <w:qFormat/>
    <w:uiPriority w:val="0"/>
    <w:pPr>
      <w:adjustRightInd/>
      <w:spacing w:before="156" w:line="360" w:lineRule="auto"/>
      <w:ind w:firstLine="510" w:firstLineChars="200"/>
    </w:pPr>
    <w:rPr>
      <w:sz w:val="24"/>
      <w:szCs w:val="20"/>
    </w:rPr>
  </w:style>
  <w:style w:type="paragraph" w:customStyle="1" w:styleId="201">
    <w:name w:val="标题4_自定义"/>
    <w:basedOn w:val="7"/>
    <w:autoRedefine/>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3">
    <w:name w:val="标题五"/>
    <w:basedOn w:val="1"/>
    <w:autoRedefine/>
    <w:qFormat/>
    <w:uiPriority w:val="0"/>
    <w:pPr>
      <w:adjustRightInd/>
      <w:spacing w:before="156" w:beforeLines="50" w:line="360" w:lineRule="auto"/>
    </w:pPr>
    <w:rPr>
      <w:b/>
      <w:sz w:val="24"/>
    </w:rPr>
  </w:style>
  <w:style w:type="paragraph" w:customStyle="1" w:styleId="204">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autoRedefine/>
    <w:qFormat/>
    <w:uiPriority w:val="0"/>
    <w:pPr>
      <w:spacing w:line="360" w:lineRule="auto"/>
    </w:pPr>
    <w:rPr>
      <w:szCs w:val="20"/>
    </w:rPr>
  </w:style>
  <w:style w:type="paragraph" w:customStyle="1" w:styleId="20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Char Char1 Char Char Char1"/>
    <w:basedOn w:val="1"/>
    <w:autoRedefine/>
    <w:qFormat/>
    <w:uiPriority w:val="0"/>
    <w:rPr>
      <w:rFonts w:ascii="仿宋_GB2312" w:eastAsia="仿宋_GB2312"/>
      <w:b/>
      <w:sz w:val="32"/>
      <w:szCs w:val="32"/>
    </w:rPr>
  </w:style>
  <w:style w:type="paragraph" w:customStyle="1" w:styleId="213">
    <w:name w:val="样式 标题 4PIM 4H4h4bulletblbbH41H42H43H44H45H46H47H48...1"/>
    <w:basedOn w:val="7"/>
    <w:autoRedefine/>
    <w:qFormat/>
    <w:uiPriority w:val="0"/>
    <w:pPr>
      <w:widowControl/>
      <w:jc w:val="left"/>
    </w:pPr>
    <w:rPr>
      <w:rFonts w:cs="宋体"/>
      <w:sz w:val="24"/>
      <w:szCs w:val="20"/>
    </w:rPr>
  </w:style>
  <w:style w:type="paragraph" w:customStyle="1" w:styleId="21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autoRedefine/>
    <w:qFormat/>
    <w:uiPriority w:val="0"/>
    <w:rPr>
      <w:b/>
    </w:rPr>
  </w:style>
  <w:style w:type="paragraph" w:customStyle="1" w:styleId="216">
    <w:name w:val="表格内文"/>
    <w:basedOn w:val="1"/>
    <w:autoRedefine/>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autoRedefine/>
    <w:qFormat/>
    <w:uiPriority w:val="0"/>
    <w:rPr>
      <w:rFonts w:ascii="仿宋_GB2312" w:eastAsia="仿宋_GB2312"/>
      <w:b/>
      <w:sz w:val="32"/>
      <w:szCs w:val="32"/>
    </w:rPr>
  </w:style>
  <w:style w:type="paragraph" w:customStyle="1" w:styleId="21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9"/>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autoRedefine/>
    <w:qFormat/>
    <w:uiPriority w:val="0"/>
    <w:pPr>
      <w:widowControl/>
      <w:spacing w:before="60" w:after="60"/>
      <w:jc w:val="left"/>
    </w:pPr>
    <w:rPr>
      <w:kern w:val="0"/>
      <w:sz w:val="24"/>
    </w:rPr>
  </w:style>
  <w:style w:type="paragraph" w:customStyle="1" w:styleId="22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autoRedefine/>
    <w:qFormat/>
    <w:uiPriority w:val="0"/>
    <w:rPr>
      <w:rFonts w:ascii="仿宋_GB2312" w:eastAsia="仿宋_GB2312"/>
      <w:b/>
      <w:sz w:val="32"/>
      <w:szCs w:val="32"/>
    </w:rPr>
  </w:style>
  <w:style w:type="paragraph" w:customStyle="1" w:styleId="231">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4"/>
    <w:autoRedefine/>
    <w:qFormat/>
    <w:uiPriority w:val="0"/>
    <w:pPr>
      <w:snapToGrid w:val="0"/>
      <w:spacing w:line="360" w:lineRule="auto"/>
    </w:pPr>
    <w:rPr>
      <w:rFonts w:ascii="宋体"/>
      <w:b/>
      <w:sz w:val="24"/>
      <w:szCs w:val="20"/>
    </w:rPr>
  </w:style>
  <w:style w:type="paragraph" w:customStyle="1" w:styleId="233">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冯广丽"/>
    <w:basedOn w:val="1"/>
    <w:link w:val="475"/>
    <w:autoRedefine/>
    <w:qFormat/>
    <w:uiPriority w:val="0"/>
    <w:pPr>
      <w:adjustRightInd/>
      <w:spacing w:line="360" w:lineRule="auto"/>
      <w:ind w:firstLine="480" w:firstLineChars="200"/>
    </w:pPr>
    <w:rPr>
      <w:rFonts w:ascii="宋体" w:hAnsi="宋体"/>
      <w:sz w:val="24"/>
      <w:szCs w:val="22"/>
    </w:rPr>
  </w:style>
  <w:style w:type="paragraph" w:customStyle="1" w:styleId="23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autoRedefine/>
    <w:qFormat/>
    <w:uiPriority w:val="0"/>
    <w:pPr>
      <w:adjustRightInd/>
      <w:ind w:firstLine="200" w:firstLineChars="200"/>
    </w:pPr>
    <w:rPr>
      <w:rFonts w:ascii="Tahoma" w:hAnsi="Tahoma"/>
      <w:sz w:val="24"/>
      <w:szCs w:val="20"/>
    </w:rPr>
  </w:style>
  <w:style w:type="paragraph" w:customStyle="1" w:styleId="241">
    <w:name w:val="Char Char11 Char Char Char1"/>
    <w:basedOn w:val="1"/>
    <w:autoRedefine/>
    <w:qFormat/>
    <w:uiPriority w:val="0"/>
    <w:pPr>
      <w:spacing w:line="360" w:lineRule="auto"/>
    </w:pPr>
    <w:rPr>
      <w:szCs w:val="20"/>
    </w:rPr>
  </w:style>
  <w:style w:type="paragraph" w:customStyle="1" w:styleId="24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3">
    <w:name w:val="_Style 236"/>
    <w:autoRedefine/>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0">
    <w:name w:val="4"/>
    <w:basedOn w:val="1"/>
    <w:next w:val="36"/>
    <w:autoRedefine/>
    <w:qFormat/>
    <w:uiPriority w:val="0"/>
    <w:pPr>
      <w:spacing w:after="120" w:line="480" w:lineRule="auto"/>
      <w:ind w:left="420" w:leftChars="200"/>
    </w:pPr>
    <w:rPr>
      <w:sz w:val="24"/>
      <w:szCs w:val="20"/>
    </w:rPr>
  </w:style>
  <w:style w:type="paragraph" w:customStyle="1" w:styleId="25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autoRedefine/>
    <w:qFormat/>
    <w:uiPriority w:val="0"/>
    <w:pPr>
      <w:adjustRightInd/>
    </w:pPr>
    <w:rPr>
      <w:rFonts w:ascii="Tahoma" w:hAnsi="Tahoma"/>
      <w:sz w:val="24"/>
    </w:rPr>
  </w:style>
  <w:style w:type="paragraph" w:customStyle="1" w:styleId="25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4">
    <w:name w:val="标书表格字体格式"/>
    <w:next w:val="158"/>
    <w:autoRedefine/>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1"/>
    <w:autoRedefine/>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4"/>
    <w:next w:val="74"/>
    <w:autoRedefine/>
    <w:qFormat/>
    <w:uiPriority w:val="0"/>
    <w:rPr>
      <w:rFonts w:ascii="宋体" w:eastAsia="宋体" w:cs="Times New Roman"/>
      <w:color w:val="auto"/>
    </w:rPr>
  </w:style>
  <w:style w:type="paragraph" w:customStyle="1" w:styleId="2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62">
    <w:name w:val="Char5"/>
    <w:basedOn w:val="1"/>
    <w:autoRedefine/>
    <w:qFormat/>
    <w:uiPriority w:val="0"/>
    <w:rPr>
      <w:rFonts w:ascii="仿宋_GB2312" w:eastAsia="仿宋_GB2312"/>
      <w:b/>
      <w:sz w:val="32"/>
      <w:szCs w:val="32"/>
    </w:rPr>
  </w:style>
  <w:style w:type="paragraph" w:customStyle="1" w:styleId="2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autoRedefine/>
    <w:qFormat/>
    <w:uiPriority w:val="0"/>
    <w:rPr>
      <w:rFonts w:ascii="仿宋_GB2312" w:eastAsia="仿宋_GB2312"/>
      <w:b/>
      <w:sz w:val="32"/>
      <w:szCs w:val="20"/>
    </w:rPr>
  </w:style>
  <w:style w:type="paragraph" w:customStyle="1" w:styleId="271">
    <w:name w:val="Char Char Char Char Char Char Char Char Char Char Char Char1 Char"/>
    <w:basedOn w:val="1"/>
    <w:autoRedefine/>
    <w:qFormat/>
    <w:uiPriority w:val="0"/>
    <w:rPr>
      <w:rFonts w:ascii="Tahoma" w:hAnsi="Tahoma" w:cs="仿宋_GB2312"/>
      <w:sz w:val="24"/>
      <w:szCs w:val="20"/>
    </w:rPr>
  </w:style>
  <w:style w:type="paragraph" w:customStyle="1" w:styleId="27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7">
    <w:name w:val="Char1 Char Char Char3"/>
    <w:basedOn w:val="1"/>
    <w:autoRedefine/>
    <w:qFormat/>
    <w:uiPriority w:val="0"/>
    <w:pPr>
      <w:adjustRightInd/>
      <w:ind w:firstLine="200" w:firstLineChars="200"/>
    </w:pPr>
    <w:rPr>
      <w:rFonts w:ascii="Tahoma" w:hAnsi="Tahoma"/>
      <w:sz w:val="24"/>
      <w:szCs w:val="20"/>
    </w:rPr>
  </w:style>
  <w:style w:type="paragraph" w:customStyle="1" w:styleId="278">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autoRedefine/>
    <w:qFormat/>
    <w:uiPriority w:val="0"/>
    <w:rPr>
      <w:rFonts w:ascii="Tahoma" w:hAnsi="Tahoma" w:cs="仿宋_GB2312"/>
      <w:sz w:val="24"/>
      <w:szCs w:val="20"/>
    </w:rPr>
  </w:style>
  <w:style w:type="paragraph" w:customStyle="1" w:styleId="280">
    <w:name w:val="Char Char1 Char1"/>
    <w:basedOn w:val="1"/>
    <w:autoRedefine/>
    <w:qFormat/>
    <w:uiPriority w:val="0"/>
    <w:rPr>
      <w:rFonts w:ascii="仿宋_GB2312" w:eastAsia="仿宋_GB2312"/>
      <w:b/>
      <w:sz w:val="32"/>
      <w:szCs w:val="32"/>
    </w:rPr>
  </w:style>
  <w:style w:type="paragraph" w:customStyle="1" w:styleId="281">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autoRedefine/>
    <w:qFormat/>
    <w:uiPriority w:val="0"/>
    <w:pPr>
      <w:widowControl/>
      <w:spacing w:after="160" w:line="240" w:lineRule="exact"/>
      <w:jc w:val="left"/>
    </w:pPr>
    <w:rPr>
      <w:rFonts w:eastAsia="仿宋_GB2312"/>
      <w:sz w:val="28"/>
    </w:rPr>
  </w:style>
  <w:style w:type="paragraph" w:customStyle="1" w:styleId="285">
    <w:name w:val="单元格居中"/>
    <w:basedOn w:val="1"/>
    <w:autoRedefine/>
    <w:qFormat/>
    <w:uiPriority w:val="0"/>
    <w:pPr>
      <w:adjustRightInd/>
      <w:spacing w:line="360" w:lineRule="auto"/>
      <w:jc w:val="center"/>
    </w:pPr>
    <w:rPr>
      <w:sz w:val="24"/>
    </w:rPr>
  </w:style>
  <w:style w:type="paragraph" w:customStyle="1" w:styleId="286">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9">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autoRedefine/>
    <w:qFormat/>
    <w:uiPriority w:val="0"/>
    <w:pPr>
      <w:adjustRightInd/>
    </w:p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autoRedefine/>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autoRedefine/>
    <w:qFormat/>
    <w:uiPriority w:val="0"/>
    <w:rPr>
      <w:rFonts w:ascii="仿宋_GB2312" w:eastAsia="仿宋_GB2312"/>
      <w:b/>
      <w:sz w:val="32"/>
      <w:szCs w:val="32"/>
    </w:rPr>
  </w:style>
  <w:style w:type="paragraph" w:customStyle="1" w:styleId="29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autoRedefine/>
    <w:qFormat/>
    <w:uiPriority w:val="0"/>
    <w:pPr>
      <w:spacing w:line="240" w:lineRule="atLeast"/>
      <w:ind w:left="420" w:firstLine="420"/>
    </w:pPr>
    <w:rPr>
      <w:sz w:val="24"/>
    </w:rPr>
  </w:style>
  <w:style w:type="paragraph" w:styleId="29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autoRedefine/>
    <w:qFormat/>
    <w:uiPriority w:val="0"/>
    <w:pPr>
      <w:adjustRightInd/>
      <w:ind w:firstLine="200" w:firstLineChars="200"/>
    </w:pPr>
    <w:rPr>
      <w:rFonts w:ascii="Tahoma" w:hAnsi="Tahoma"/>
      <w:sz w:val="24"/>
      <w:szCs w:val="20"/>
    </w:rPr>
  </w:style>
  <w:style w:type="paragraph" w:customStyle="1" w:styleId="302">
    <w:name w:val="Char Char Char Char Char Char Char1"/>
    <w:basedOn w:val="1"/>
    <w:autoRedefine/>
    <w:qFormat/>
    <w:uiPriority w:val="0"/>
    <w:rPr>
      <w:rFonts w:ascii="仿宋_GB2312" w:eastAsia="仿宋_GB2312"/>
      <w:b/>
      <w:sz w:val="32"/>
      <w:szCs w:val="32"/>
    </w:rPr>
  </w:style>
  <w:style w:type="paragraph" w:customStyle="1" w:styleId="30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autoRedefine/>
    <w:qFormat/>
    <w:uiPriority w:val="0"/>
    <w:pPr>
      <w:adjustRightInd/>
      <w:spacing w:line="360" w:lineRule="auto"/>
    </w:pPr>
    <w:rPr>
      <w:rFonts w:ascii="宋体" w:hAnsi="宋体"/>
      <w:szCs w:val="20"/>
    </w:rPr>
  </w:style>
  <w:style w:type="paragraph" w:customStyle="1" w:styleId="30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autoRedefine/>
    <w:qFormat/>
    <w:uiPriority w:val="0"/>
    <w:pPr>
      <w:spacing w:line="360" w:lineRule="auto"/>
      <w:ind w:firstLine="480" w:firstLineChars="200"/>
    </w:pPr>
    <w:rPr>
      <w:rFonts w:ascii="宋体"/>
      <w:sz w:val="24"/>
      <w:szCs w:val="20"/>
    </w:rPr>
  </w:style>
  <w:style w:type="paragraph" w:customStyle="1" w:styleId="310">
    <w:name w:val="Char1 Char Char Char1"/>
    <w:basedOn w:val="1"/>
    <w:autoRedefine/>
    <w:qFormat/>
    <w:uiPriority w:val="0"/>
    <w:pPr>
      <w:adjustRightInd/>
      <w:ind w:firstLine="200" w:firstLineChars="200"/>
    </w:pPr>
    <w:rPr>
      <w:rFonts w:ascii="Tahoma" w:hAnsi="Tahoma"/>
      <w:sz w:val="24"/>
      <w:szCs w:val="20"/>
    </w:rPr>
  </w:style>
  <w:style w:type="paragraph" w:customStyle="1" w:styleId="311">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autoRedefine/>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autoRedefine/>
    <w:qFormat/>
    <w:uiPriority w:val="0"/>
    <w:pPr>
      <w:spacing w:line="360" w:lineRule="auto"/>
    </w:pPr>
    <w:rPr>
      <w:szCs w:val="20"/>
    </w:rPr>
  </w:style>
  <w:style w:type="paragraph" w:customStyle="1" w:styleId="322">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autoRedefine/>
    <w:qFormat/>
    <w:uiPriority w:val="0"/>
    <w:pPr>
      <w:numPr>
        <w:ilvl w:val="0"/>
        <w:numId w:val="6"/>
      </w:numPr>
      <w:tabs>
        <w:tab w:val="left" w:pos="840"/>
      </w:tabs>
      <w:spacing w:after="0"/>
    </w:pPr>
  </w:style>
  <w:style w:type="paragraph" w:customStyle="1" w:styleId="32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autoRedefine/>
    <w:qFormat/>
    <w:uiPriority w:val="0"/>
    <w:rPr>
      <w:szCs w:val="20"/>
    </w:rPr>
  </w:style>
  <w:style w:type="paragraph" w:customStyle="1" w:styleId="32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5"/>
    <w:next w:val="1"/>
    <w:autoRedefine/>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autoRedefine/>
    <w:qFormat/>
    <w:uiPriority w:val="0"/>
    <w:pPr>
      <w:adjustRightInd/>
      <w:spacing w:line="360" w:lineRule="auto"/>
      <w:ind w:firstLine="480" w:firstLineChars="200"/>
    </w:pPr>
    <w:rPr>
      <w:sz w:val="24"/>
      <w:szCs w:val="20"/>
    </w:rPr>
  </w:style>
  <w:style w:type="paragraph" w:customStyle="1" w:styleId="33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autoRedefine/>
    <w:qFormat/>
    <w:uiPriority w:val="0"/>
    <w:pPr>
      <w:adjustRightInd/>
      <w:ind w:firstLine="420" w:firstLineChars="200"/>
    </w:pPr>
    <w:rPr>
      <w:rFonts w:ascii="Calibri" w:hAnsi="Calibri"/>
      <w:szCs w:val="22"/>
    </w:rPr>
  </w:style>
  <w:style w:type="paragraph" w:customStyle="1" w:styleId="339">
    <w:name w:val="数字标题4"/>
    <w:basedOn w:val="7"/>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autoRedefine/>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autoRedefine/>
    <w:qFormat/>
    <w:uiPriority w:val="0"/>
    <w:pPr>
      <w:spacing w:line="360" w:lineRule="auto"/>
      <w:ind w:firstLine="200" w:firstLineChars="200"/>
    </w:pPr>
    <w:rPr>
      <w:sz w:val="24"/>
    </w:rPr>
  </w:style>
  <w:style w:type="paragraph" w:customStyle="1" w:styleId="344">
    <w:name w:val="MM Topic 3"/>
    <w:basedOn w:val="5"/>
    <w:autoRedefine/>
    <w:qFormat/>
    <w:uiPriority w:val="0"/>
    <w:pPr>
      <w:numPr>
        <w:numId w:val="4"/>
      </w:numPr>
      <w:tabs>
        <w:tab w:val="left" w:pos="840"/>
        <w:tab w:val="left" w:pos="1680"/>
        <w:tab w:val="clear" w:pos="900"/>
      </w:tabs>
      <w:adjustRightInd/>
    </w:pPr>
  </w:style>
  <w:style w:type="paragraph" w:customStyle="1" w:styleId="34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7">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autoRedefine/>
    <w:qFormat/>
    <w:uiPriority w:val="0"/>
    <w:pPr>
      <w:adjustRightInd/>
      <w:ind w:firstLine="200" w:firstLineChars="200"/>
    </w:pPr>
    <w:rPr>
      <w:rFonts w:ascii="仿宋_GB2312" w:eastAsia="仿宋_GB2312"/>
      <w:b/>
      <w:sz w:val="32"/>
      <w:szCs w:val="32"/>
    </w:rPr>
  </w:style>
  <w:style w:type="paragraph" w:customStyle="1" w:styleId="34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7"/>
    <w:link w:val="555"/>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autoRedefine/>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autoRedefine/>
    <w:qFormat/>
    <w:uiPriority w:val="0"/>
    <w:rPr>
      <w:rFonts w:ascii="仿宋_GB2312" w:eastAsia="仿宋_GB2312"/>
      <w:b/>
      <w:sz w:val="32"/>
      <w:szCs w:val="32"/>
    </w:rPr>
  </w:style>
  <w:style w:type="paragraph" w:customStyle="1" w:styleId="35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autoRedefine/>
    <w:qFormat/>
    <w:uiPriority w:val="0"/>
    <w:pPr>
      <w:adjustRightInd/>
      <w:spacing w:line="360" w:lineRule="auto"/>
      <w:ind w:firstLine="200" w:firstLineChars="200"/>
    </w:pPr>
    <w:rPr>
      <w:sz w:val="24"/>
    </w:rPr>
  </w:style>
  <w:style w:type="paragraph" w:customStyle="1" w:styleId="3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autoRedefine/>
    <w:qFormat/>
    <w:uiPriority w:val="0"/>
    <w:pPr>
      <w:widowControl/>
      <w:adjustRightInd/>
      <w:spacing w:after="160" w:line="240" w:lineRule="exact"/>
      <w:jc w:val="left"/>
    </w:pPr>
    <w:rPr>
      <w:szCs w:val="20"/>
    </w:rPr>
  </w:style>
  <w:style w:type="paragraph" w:customStyle="1" w:styleId="3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autoRedefine/>
    <w:qFormat/>
    <w:uiPriority w:val="0"/>
    <w:rPr>
      <w:rFonts w:ascii="Times New Roman" w:hAnsi="Times New Roman" w:eastAsia="宋体" w:cs="Times New Roman"/>
      <w:lang w:val="en-US" w:eastAsia="en-US" w:bidi="ar-SA"/>
    </w:rPr>
  </w:style>
  <w:style w:type="paragraph" w:customStyle="1" w:styleId="36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autoRedefine/>
    <w:qFormat/>
    <w:uiPriority w:val="0"/>
    <w:pPr>
      <w:widowControl/>
      <w:spacing w:line="300" w:lineRule="atLeast"/>
      <w:jc w:val="left"/>
    </w:pPr>
    <w:rPr>
      <w:rFonts w:ascii="宋体" w:hAnsi="宋体"/>
      <w:kern w:val="0"/>
      <w:sz w:val="18"/>
      <w:szCs w:val="20"/>
    </w:rPr>
  </w:style>
  <w:style w:type="paragraph" w:customStyle="1" w:styleId="36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4"/>
    <w:autoRedefine/>
    <w:qFormat/>
    <w:uiPriority w:val="0"/>
    <w:pPr>
      <w:ind w:left="0"/>
    </w:pPr>
  </w:style>
  <w:style w:type="paragraph" w:customStyle="1" w:styleId="370">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9"/>
    <w:autoRedefine/>
    <w:qFormat/>
    <w:uiPriority w:val="0"/>
    <w:pPr>
      <w:snapToGrid w:val="0"/>
      <w:spacing w:line="360" w:lineRule="auto"/>
    </w:pPr>
  </w:style>
  <w:style w:type="paragraph" w:customStyle="1" w:styleId="375">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autoRedefine/>
    <w:qFormat/>
    <w:uiPriority w:val="0"/>
    <w:pPr>
      <w:spacing w:line="360" w:lineRule="auto"/>
    </w:pPr>
    <w:rPr>
      <w:rFonts w:ascii="Tahoma" w:hAnsi="Tahoma"/>
      <w:sz w:val="24"/>
      <w:szCs w:val="20"/>
    </w:rPr>
  </w:style>
  <w:style w:type="paragraph" w:customStyle="1" w:styleId="379">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autoRedefine/>
    <w:qFormat/>
    <w:uiPriority w:val="0"/>
    <w:pPr>
      <w:adjustRightInd/>
      <w:ind w:firstLine="420" w:firstLineChars="200"/>
    </w:pPr>
    <w:rPr>
      <w:rFonts w:ascii="Calibri" w:hAnsi="Calibri"/>
      <w:szCs w:val="22"/>
    </w:rPr>
  </w:style>
  <w:style w:type="paragraph" w:customStyle="1" w:styleId="38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autoRedefine/>
    <w:qFormat/>
    <w:uiPriority w:val="0"/>
    <w:pPr>
      <w:adjustRightInd/>
    </w:pPr>
    <w:rPr>
      <w:szCs w:val="20"/>
    </w:rPr>
  </w:style>
  <w:style w:type="paragraph" w:customStyle="1" w:styleId="384">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autoRedefine/>
    <w:qFormat/>
    <w:uiPriority w:val="0"/>
    <w:pPr>
      <w:adjustRightInd/>
      <w:snapToGrid w:val="0"/>
      <w:spacing w:line="300" w:lineRule="auto"/>
    </w:pPr>
    <w:rPr>
      <w:rFonts w:eastAsia="仿宋"/>
      <w:szCs w:val="21"/>
    </w:rPr>
  </w:style>
  <w:style w:type="paragraph" w:customStyle="1" w:styleId="38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autoRedefine/>
    <w:qFormat/>
    <w:uiPriority w:val="0"/>
    <w:rPr>
      <w:rFonts w:ascii="Tahoma" w:hAnsi="Tahoma"/>
      <w:sz w:val="24"/>
      <w:szCs w:val="20"/>
    </w:rPr>
  </w:style>
  <w:style w:type="paragraph" w:customStyle="1" w:styleId="393">
    <w:name w:val="p0"/>
    <w:basedOn w:val="1"/>
    <w:autoRedefine/>
    <w:qFormat/>
    <w:uiPriority w:val="0"/>
    <w:pPr>
      <w:widowControl/>
      <w:adjustRightInd/>
    </w:pPr>
    <w:rPr>
      <w:kern w:val="0"/>
      <w:szCs w:val="21"/>
    </w:rPr>
  </w:style>
  <w:style w:type="paragraph" w:customStyle="1" w:styleId="39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autoRedefine/>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autoRedefine/>
    <w:qFormat/>
    <w:uiPriority w:val="0"/>
    <w:pPr>
      <w:spacing w:before="156" w:line="360" w:lineRule="auto"/>
      <w:ind w:firstLine="510" w:firstLineChars="200"/>
    </w:pPr>
    <w:rPr>
      <w:sz w:val="24"/>
      <w:szCs w:val="20"/>
    </w:rPr>
  </w:style>
  <w:style w:type="paragraph" w:customStyle="1" w:styleId="39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autoRedefine/>
    <w:qFormat/>
    <w:uiPriority w:val="0"/>
    <w:pPr>
      <w:tabs>
        <w:tab w:val="left" w:pos="840"/>
      </w:tabs>
      <w:adjustRightInd/>
      <w:ind w:left="840" w:hanging="420"/>
    </w:pPr>
  </w:style>
  <w:style w:type="paragraph" w:customStyle="1" w:styleId="402">
    <w:name w:val="五级条标题"/>
    <w:basedOn w:val="175"/>
    <w:next w:val="142"/>
    <w:autoRedefine/>
    <w:qFormat/>
    <w:uiPriority w:val="0"/>
    <w:pPr>
      <w:numPr>
        <w:ilvl w:val="6"/>
      </w:numPr>
      <w:tabs>
        <w:tab w:val="clear" w:pos="2940"/>
      </w:tabs>
      <w:outlineLvl w:val="6"/>
    </w:pPr>
  </w:style>
  <w:style w:type="paragraph" w:customStyle="1" w:styleId="403">
    <w:name w:val="Char Char Char Char Char Char Char Char"/>
    <w:basedOn w:val="1"/>
    <w:autoRedefine/>
    <w:qFormat/>
    <w:uiPriority w:val="0"/>
    <w:pPr>
      <w:tabs>
        <w:tab w:val="left" w:pos="360"/>
      </w:tabs>
    </w:pPr>
    <w:rPr>
      <w:sz w:val="24"/>
      <w:szCs w:val="20"/>
    </w:rPr>
  </w:style>
  <w:style w:type="paragraph" w:customStyle="1" w:styleId="4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8"/>
    <w:next w:val="1"/>
    <w:autoRedefine/>
    <w:qFormat/>
    <w:uiPriority w:val="0"/>
    <w:pPr>
      <w:numPr>
        <w:numId w:val="5"/>
      </w:numPr>
      <w:tabs>
        <w:tab w:val="left" w:pos="480"/>
        <w:tab w:val="left" w:pos="1080"/>
        <w:tab w:val="clear" w:pos="1008"/>
      </w:tabs>
    </w:pPr>
  </w:style>
  <w:style w:type="paragraph" w:customStyle="1" w:styleId="40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410">
    <w:name w:val="0"/>
    <w:basedOn w:val="1"/>
    <w:autoRedefine/>
    <w:qFormat/>
    <w:uiPriority w:val="0"/>
    <w:pPr>
      <w:widowControl/>
    </w:pPr>
    <w:rPr>
      <w:kern w:val="0"/>
      <w:sz w:val="24"/>
      <w:szCs w:val="20"/>
    </w:rPr>
  </w:style>
  <w:style w:type="paragraph" w:customStyle="1" w:styleId="411">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8"/>
    <w:autoRedefine/>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3"/>
    <w:next w:val="1"/>
    <w:autoRedefine/>
    <w:qFormat/>
    <w:uiPriority w:val="0"/>
    <w:pPr>
      <w:numPr>
        <w:numId w:val="5"/>
      </w:numPr>
      <w:tabs>
        <w:tab w:val="left" w:pos="480"/>
        <w:tab w:val="clear" w:pos="432"/>
      </w:tabs>
    </w:pPr>
  </w:style>
  <w:style w:type="paragraph" w:customStyle="1" w:styleId="417">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3"/>
    <w:autoRedefine/>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autoRedefine/>
    <w:qFormat/>
    <w:uiPriority w:val="0"/>
    <w:pPr>
      <w:tabs>
        <w:tab w:val="left" w:pos="360"/>
      </w:tabs>
    </w:pPr>
    <w:rPr>
      <w:sz w:val="24"/>
      <w:szCs w:val="20"/>
    </w:rPr>
  </w:style>
  <w:style w:type="paragraph" w:customStyle="1" w:styleId="42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autoRedefine/>
    <w:qFormat/>
    <w:uiPriority w:val="0"/>
    <w:pPr>
      <w:widowControl/>
      <w:adjustRightInd/>
      <w:spacing w:after="160" w:line="240" w:lineRule="exact"/>
      <w:jc w:val="left"/>
    </w:pPr>
    <w:rPr>
      <w:szCs w:val="20"/>
    </w:rPr>
  </w:style>
  <w:style w:type="paragraph" w:customStyle="1" w:styleId="428">
    <w:name w:val="Char Char12"/>
    <w:basedOn w:val="1"/>
    <w:autoRedefine/>
    <w:qFormat/>
    <w:uiPriority w:val="0"/>
    <w:pPr>
      <w:widowControl/>
      <w:spacing w:after="160" w:line="240" w:lineRule="exact"/>
      <w:jc w:val="left"/>
    </w:pPr>
    <w:rPr>
      <w:rFonts w:eastAsia="仿宋_GB2312"/>
      <w:sz w:val="28"/>
    </w:rPr>
  </w:style>
  <w:style w:type="paragraph" w:customStyle="1" w:styleId="42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autoRedefine/>
    <w:qFormat/>
    <w:uiPriority w:val="0"/>
    <w:pPr>
      <w:adjustRightInd/>
      <w:spacing w:line="360" w:lineRule="auto"/>
    </w:pPr>
    <w:rPr>
      <w:sz w:val="24"/>
    </w:rPr>
  </w:style>
  <w:style w:type="paragraph" w:customStyle="1" w:styleId="43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autoRedefine/>
    <w:qFormat/>
    <w:uiPriority w:val="0"/>
    <w:rPr>
      <w:rFonts w:eastAsia="宋体"/>
      <w:kern w:val="2"/>
      <w:sz w:val="24"/>
      <w:szCs w:val="24"/>
      <w:lang w:val="en-US" w:eastAsia="zh-CN" w:bidi="ar-SA"/>
    </w:rPr>
  </w:style>
  <w:style w:type="character" w:customStyle="1" w:styleId="436">
    <w:name w:val="myp1111"/>
    <w:autoRedefine/>
    <w:qFormat/>
    <w:uiPriority w:val="0"/>
    <w:rPr>
      <w:rFonts w:hint="default" w:ascii="ˎ̥" w:hAnsi="ˎ̥"/>
      <w:color w:val="000000"/>
      <w:sz w:val="20"/>
      <w:szCs w:val="20"/>
      <w:u w:val="none"/>
    </w:rPr>
  </w:style>
  <w:style w:type="character" w:customStyle="1" w:styleId="437">
    <w:name w:val="mdeck"/>
    <w:autoRedefine/>
    <w:qFormat/>
    <w:uiPriority w:val="0"/>
    <w:rPr>
      <w:rFonts w:ascii="仿宋_GB2312" w:eastAsia="微软雅黑"/>
      <w:b/>
      <w:kern w:val="2"/>
      <w:sz w:val="32"/>
      <w:szCs w:val="32"/>
      <w:lang w:val="en-US" w:eastAsia="zh-CN" w:bidi="ar-SA"/>
    </w:rPr>
  </w:style>
  <w:style w:type="character" w:customStyle="1" w:styleId="438">
    <w:name w:val="签名 字符"/>
    <w:link w:val="40"/>
    <w:autoRedefine/>
    <w:qFormat/>
    <w:uiPriority w:val="0"/>
    <w:rPr>
      <w:rFonts w:eastAsia="仿宋_GB2312"/>
      <w:sz w:val="24"/>
    </w:rPr>
  </w:style>
  <w:style w:type="character" w:customStyle="1" w:styleId="439">
    <w:name w:val="tw4winMark"/>
    <w:autoRedefine/>
    <w:qFormat/>
    <w:uiPriority w:val="0"/>
    <w:rPr>
      <w:rFonts w:ascii="Courier New" w:hAnsi="Courier New" w:cs="Courier New"/>
      <w:vanish/>
      <w:color w:val="800080"/>
      <w:sz w:val="24"/>
      <w:szCs w:val="24"/>
      <w:vertAlign w:val="subscript"/>
    </w:rPr>
  </w:style>
  <w:style w:type="character" w:customStyle="1" w:styleId="440">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autoRedefine/>
    <w:semiHidden/>
    <w:qFormat/>
    <w:locked/>
    <w:uiPriority w:val="0"/>
    <w:rPr>
      <w:rFonts w:eastAsia="宋体"/>
      <w:kern w:val="2"/>
      <w:sz w:val="18"/>
      <w:szCs w:val="18"/>
      <w:lang w:val="en-US" w:eastAsia="zh-CN" w:bidi="ar-SA"/>
    </w:rPr>
  </w:style>
  <w:style w:type="character" w:customStyle="1" w:styleId="442">
    <w:name w:val="正文非缩进 Char"/>
    <w:autoRedefine/>
    <w:qFormat/>
    <w:uiPriority w:val="0"/>
    <w:rPr>
      <w:rFonts w:ascii="宋体" w:eastAsia="宋体"/>
      <w:snapToGrid w:val="0"/>
      <w:color w:val="000000"/>
      <w:kern w:val="28"/>
      <w:sz w:val="28"/>
      <w:lang w:val="en-US" w:eastAsia="zh-CN" w:bidi="ar-SA"/>
    </w:rPr>
  </w:style>
  <w:style w:type="character" w:customStyle="1" w:styleId="443">
    <w:name w:val="此正文 Char"/>
    <w:link w:val="358"/>
    <w:autoRedefine/>
    <w:qFormat/>
    <w:uiPriority w:val="0"/>
    <w:rPr>
      <w:kern w:val="2"/>
      <w:sz w:val="24"/>
      <w:szCs w:val="24"/>
    </w:rPr>
  </w:style>
  <w:style w:type="character" w:customStyle="1" w:styleId="444">
    <w:name w:val="Ò³Ã¼ Char Char"/>
    <w:autoRedefine/>
    <w:qFormat/>
    <w:uiPriority w:val="0"/>
    <w:rPr>
      <w:rFonts w:eastAsia="宋体"/>
      <w:kern w:val="2"/>
      <w:sz w:val="18"/>
      <w:lang w:val="en-US" w:eastAsia="zh-CN" w:bidi="ar-SA"/>
    </w:rPr>
  </w:style>
  <w:style w:type="character" w:customStyle="1" w:styleId="445">
    <w:name w:val="style91"/>
    <w:autoRedefine/>
    <w:qFormat/>
    <w:uiPriority w:val="0"/>
    <w:rPr>
      <w:color w:val="333333"/>
    </w:rPr>
  </w:style>
  <w:style w:type="character" w:customStyle="1" w:styleId="446">
    <w:name w:val="标书1 Char"/>
    <w:autoRedefine/>
    <w:qFormat/>
    <w:uiPriority w:val="0"/>
    <w:rPr>
      <w:rFonts w:eastAsia="宋体"/>
      <w:b/>
      <w:bCs/>
      <w:kern w:val="44"/>
      <w:sz w:val="44"/>
      <w:szCs w:val="44"/>
      <w:lang w:val="en-US" w:eastAsia="zh-CN" w:bidi="ar-SA"/>
    </w:rPr>
  </w:style>
  <w:style w:type="character" w:customStyle="1" w:styleId="447">
    <w:name w:val="ca-131"/>
    <w:autoRedefine/>
    <w:qFormat/>
    <w:uiPriority w:val="0"/>
    <w:rPr>
      <w:rFonts w:hint="eastAsia" w:ascii="仿宋_GB2312" w:eastAsia="仿宋_GB2312"/>
      <w:b/>
      <w:bCs/>
      <w:color w:val="000000"/>
      <w:spacing w:val="-20"/>
      <w:sz w:val="24"/>
      <w:szCs w:val="24"/>
    </w:rPr>
  </w:style>
  <w:style w:type="character" w:customStyle="1" w:styleId="448">
    <w:name w:val="标书正文格式 Char"/>
    <w:autoRedefine/>
    <w:qFormat/>
    <w:uiPriority w:val="0"/>
    <w:rPr>
      <w:rFonts w:eastAsia="楷体_GB2312"/>
      <w:kern w:val="2"/>
      <w:sz w:val="24"/>
      <w:szCs w:val="24"/>
      <w:lang w:bidi="ar-SA"/>
    </w:rPr>
  </w:style>
  <w:style w:type="character" w:customStyle="1" w:styleId="449">
    <w:name w:val="Char Char6"/>
    <w:autoRedefine/>
    <w:qFormat/>
    <w:uiPriority w:val="0"/>
    <w:rPr>
      <w:rFonts w:eastAsia="宋体"/>
      <w:kern w:val="2"/>
      <w:sz w:val="21"/>
      <w:szCs w:val="24"/>
      <w:lang w:val="en-US" w:eastAsia="zh-CN" w:bidi="ar-SA"/>
    </w:rPr>
  </w:style>
  <w:style w:type="character" w:customStyle="1" w:styleId="450">
    <w:name w:val="正文2 Char Char"/>
    <w:link w:val="397"/>
    <w:autoRedefine/>
    <w:qFormat/>
    <w:uiPriority w:val="0"/>
    <w:rPr>
      <w:rFonts w:eastAsia="宋体"/>
      <w:kern w:val="2"/>
      <w:sz w:val="24"/>
      <w:lang w:val="en-US" w:eastAsia="zh-CN" w:bidi="ar-SA"/>
    </w:rPr>
  </w:style>
  <w:style w:type="character" w:customStyle="1" w:styleId="451">
    <w:name w:val="content"/>
    <w:autoRedefine/>
    <w:qFormat/>
    <w:uiPriority w:val="0"/>
  </w:style>
  <w:style w:type="character" w:customStyle="1" w:styleId="452">
    <w:name w:val="正文文本 2 Char"/>
    <w:autoRedefine/>
    <w:qFormat/>
    <w:uiPriority w:val="0"/>
    <w:rPr>
      <w:rFonts w:eastAsia="宋体"/>
      <w:kern w:val="2"/>
      <w:sz w:val="21"/>
      <w:szCs w:val="24"/>
      <w:lang w:val="en-US" w:eastAsia="zh-CN" w:bidi="ar-SA"/>
    </w:rPr>
  </w:style>
  <w:style w:type="character" w:customStyle="1" w:styleId="453">
    <w:name w:val="Heading 2 Hidden Char"/>
    <w:autoRedefine/>
    <w:qFormat/>
    <w:uiPriority w:val="0"/>
    <w:rPr>
      <w:rFonts w:ascii="仿宋_GB2312" w:eastAsia="仿宋_GB2312"/>
      <w:b/>
      <w:bCs/>
      <w:kern w:val="2"/>
      <w:sz w:val="24"/>
      <w:szCs w:val="24"/>
      <w:lang w:val="zh-CN" w:eastAsia="zh-CN" w:bidi="ar-SA"/>
    </w:rPr>
  </w:style>
  <w:style w:type="character" w:customStyle="1" w:styleId="454">
    <w:name w:val="首行缩进 Char"/>
    <w:autoRedefine/>
    <w:qFormat/>
    <w:uiPriority w:val="0"/>
    <w:rPr>
      <w:rFonts w:ascii="宋体" w:eastAsia="宋体"/>
      <w:kern w:val="2"/>
      <w:sz w:val="24"/>
      <w:lang w:val="en-US" w:eastAsia="zh-CN" w:bidi="ar-SA"/>
    </w:rPr>
  </w:style>
  <w:style w:type="character" w:customStyle="1" w:styleId="45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autoRedefine/>
    <w:qFormat/>
    <w:uiPriority w:val="0"/>
    <w:rPr>
      <w:rFonts w:ascii="宋体" w:hAnsi="Courier New"/>
      <w:kern w:val="2"/>
      <w:sz w:val="21"/>
    </w:rPr>
  </w:style>
  <w:style w:type="character" w:customStyle="1" w:styleId="457">
    <w:name w:val="Footer-Even Char"/>
    <w:autoRedefine/>
    <w:qFormat/>
    <w:uiPriority w:val="0"/>
    <w:rPr>
      <w:rFonts w:eastAsia="宋体"/>
      <w:kern w:val="2"/>
      <w:sz w:val="18"/>
      <w:lang w:val="en-US" w:eastAsia="zh-CN" w:bidi="ar-SA"/>
    </w:rPr>
  </w:style>
  <w:style w:type="character" w:customStyle="1" w:styleId="458">
    <w:name w:val="dandyren_title1"/>
    <w:autoRedefine/>
    <w:qFormat/>
    <w:uiPriority w:val="0"/>
    <w:rPr>
      <w:b/>
      <w:bCs/>
      <w:color w:val="FF6633"/>
      <w:sz w:val="18"/>
      <w:szCs w:val="18"/>
    </w:rPr>
  </w:style>
  <w:style w:type="character" w:customStyle="1" w:styleId="459">
    <w:name w:val="标题 3 Char2"/>
    <w:autoRedefine/>
    <w:qFormat/>
    <w:uiPriority w:val="0"/>
    <w:rPr>
      <w:rFonts w:eastAsia="宋体"/>
      <w:b/>
      <w:bCs/>
      <w:kern w:val="2"/>
      <w:sz w:val="32"/>
      <w:szCs w:val="32"/>
      <w:lang w:val="en-US" w:eastAsia="zh-CN" w:bidi="ar-SA"/>
    </w:rPr>
  </w:style>
  <w:style w:type="character" w:customStyle="1" w:styleId="460">
    <w:name w:val="gray6"/>
    <w:basedOn w:val="63"/>
    <w:autoRedefine/>
    <w:qFormat/>
    <w:uiPriority w:val="0"/>
  </w:style>
  <w:style w:type="character" w:customStyle="1" w:styleId="461">
    <w:name w:val="标准正文格式 Char"/>
    <w:autoRedefine/>
    <w:qFormat/>
    <w:uiPriority w:val="0"/>
    <w:rPr>
      <w:rFonts w:ascii="宋体" w:eastAsia="仿宋_GB2312" w:cs="宋体"/>
      <w:color w:val="000000"/>
      <w:sz w:val="24"/>
      <w:lang w:val="en-US" w:eastAsia="zh-CN" w:bidi="ar-SA"/>
    </w:rPr>
  </w:style>
  <w:style w:type="character" w:customStyle="1" w:styleId="462">
    <w:name w:val="Char Char3"/>
    <w:autoRedefine/>
    <w:qFormat/>
    <w:uiPriority w:val="0"/>
    <w:rPr>
      <w:rFonts w:eastAsia="宋体"/>
      <w:kern w:val="2"/>
      <w:sz w:val="21"/>
      <w:szCs w:val="24"/>
      <w:lang w:val="en-US" w:eastAsia="zh-CN" w:bidi="ar-SA"/>
    </w:rPr>
  </w:style>
  <w:style w:type="character" w:customStyle="1" w:styleId="463">
    <w:name w:val="px14"/>
    <w:autoRedefine/>
    <w:qFormat/>
    <w:uiPriority w:val="0"/>
    <w:rPr>
      <w:rFonts w:ascii="仿宋_GB2312" w:eastAsia="微软雅黑" w:cs="Times New Roman"/>
      <w:b/>
      <w:kern w:val="2"/>
      <w:sz w:val="32"/>
      <w:szCs w:val="32"/>
      <w:lang w:val="en-US" w:eastAsia="zh-CN" w:bidi="ar-SA"/>
    </w:rPr>
  </w:style>
  <w:style w:type="character" w:customStyle="1" w:styleId="464">
    <w:name w:val="txt"/>
    <w:autoRedefine/>
    <w:qFormat/>
    <w:uiPriority w:val="0"/>
    <w:rPr>
      <w:rFonts w:ascii="仿宋_GB2312" w:eastAsia="微软雅黑"/>
      <w:b/>
      <w:kern w:val="2"/>
      <w:sz w:val="32"/>
      <w:szCs w:val="32"/>
      <w:lang w:val="en-US" w:eastAsia="zh-CN" w:bidi="ar-SA"/>
    </w:rPr>
  </w:style>
  <w:style w:type="character" w:customStyle="1" w:styleId="465">
    <w:name w:val="仿宋正文 Char"/>
    <w:link w:val="342"/>
    <w:autoRedefine/>
    <w:qFormat/>
    <w:uiPriority w:val="0"/>
    <w:rPr>
      <w:rFonts w:ascii="仿宋_GB2312" w:eastAsia="仿宋_GB2312"/>
      <w:kern w:val="2"/>
      <w:sz w:val="24"/>
      <w:lang w:val="en-US" w:eastAsia="zh-CN" w:bidi="ar-SA"/>
    </w:rPr>
  </w:style>
  <w:style w:type="character" w:customStyle="1" w:styleId="466">
    <w:name w:val="Comment Text Char"/>
    <w:autoRedefine/>
    <w:semiHidden/>
    <w:qFormat/>
    <w:locked/>
    <w:uiPriority w:val="0"/>
    <w:rPr>
      <w:rFonts w:ascii="宋体" w:hAnsi="宋体" w:eastAsia="宋体"/>
      <w:kern w:val="2"/>
      <w:sz w:val="24"/>
      <w:lang w:val="en-US" w:eastAsia="zh-CN" w:bidi="ar-SA"/>
    </w:rPr>
  </w:style>
  <w:style w:type="character" w:customStyle="1" w:styleId="467">
    <w:name w:val="tw4winExternal"/>
    <w:autoRedefine/>
    <w:qFormat/>
    <w:uiPriority w:val="0"/>
    <w:rPr>
      <w:rFonts w:ascii="Courier New" w:hAnsi="Courier New" w:cs="Courier New"/>
      <w:color w:val="808080"/>
    </w:rPr>
  </w:style>
  <w:style w:type="character" w:customStyle="1" w:styleId="468">
    <w:name w:val="Char Char10"/>
    <w:autoRedefine/>
    <w:semiHidden/>
    <w:qFormat/>
    <w:uiPriority w:val="0"/>
    <w:rPr>
      <w:rFonts w:ascii="宋体" w:hAnsi="宋体"/>
      <w:kern w:val="2"/>
      <w:sz w:val="21"/>
      <w:szCs w:val="24"/>
    </w:rPr>
  </w:style>
  <w:style w:type="character" w:customStyle="1" w:styleId="469">
    <w:name w:val="Bold"/>
    <w:autoRedefine/>
    <w:qFormat/>
    <w:uiPriority w:val="0"/>
    <w:rPr>
      <w:rFonts w:ascii="Arial" w:hAnsi="Arial" w:eastAsia="黑体" w:cs="Times New Roman"/>
      <w:b/>
      <w:kern w:val="2"/>
      <w:sz w:val="32"/>
      <w:szCs w:val="32"/>
      <w:lang w:val="en-US" w:eastAsia="zh-CN" w:bidi="ar-SA"/>
    </w:rPr>
  </w:style>
  <w:style w:type="character" w:customStyle="1" w:styleId="470">
    <w:name w:val="Font Style82"/>
    <w:autoRedefine/>
    <w:qFormat/>
    <w:uiPriority w:val="99"/>
    <w:rPr>
      <w:rFonts w:ascii="宋体" w:eastAsia="宋体" w:cs="宋体"/>
      <w:color w:val="000000"/>
      <w:sz w:val="14"/>
      <w:szCs w:val="14"/>
    </w:rPr>
  </w:style>
  <w:style w:type="character" w:customStyle="1" w:styleId="471">
    <w:name w:val="标题 2 Char"/>
    <w:autoRedefine/>
    <w:qFormat/>
    <w:uiPriority w:val="0"/>
    <w:rPr>
      <w:rFonts w:ascii="Arial" w:hAnsi="Arial" w:eastAsia="黑体"/>
      <w:b/>
      <w:kern w:val="2"/>
      <w:sz w:val="32"/>
      <w:lang w:val="en-US" w:eastAsia="zh-CN"/>
    </w:rPr>
  </w:style>
  <w:style w:type="character" w:customStyle="1" w:styleId="472">
    <w:name w:val="h3 Char"/>
    <w:autoRedefine/>
    <w:qFormat/>
    <w:uiPriority w:val="0"/>
    <w:rPr>
      <w:rFonts w:eastAsia="宋体"/>
      <w:b/>
      <w:kern w:val="2"/>
      <w:sz w:val="32"/>
      <w:lang w:val="en-US" w:eastAsia="zh-CN" w:bidi="ar-SA"/>
    </w:rPr>
  </w:style>
  <w:style w:type="character" w:customStyle="1" w:styleId="473">
    <w:name w:val="页眉 Char1"/>
    <w:autoRedefine/>
    <w:qFormat/>
    <w:uiPriority w:val="0"/>
    <w:rPr>
      <w:rFonts w:eastAsia="宋体"/>
      <w:kern w:val="2"/>
      <w:sz w:val="18"/>
      <w:szCs w:val="18"/>
      <w:lang w:val="en-US" w:eastAsia="zh-CN" w:bidi="ar-SA"/>
    </w:rPr>
  </w:style>
  <w:style w:type="character" w:customStyle="1" w:styleId="474">
    <w:name w:val="标题 8 字符"/>
    <w:link w:val="11"/>
    <w:autoRedefine/>
    <w:qFormat/>
    <w:uiPriority w:val="0"/>
    <w:rPr>
      <w:rFonts w:ascii="Arial" w:hAnsi="Arial" w:eastAsia="黑体"/>
      <w:kern w:val="2"/>
      <w:sz w:val="24"/>
      <w:szCs w:val="24"/>
    </w:rPr>
  </w:style>
  <w:style w:type="character" w:customStyle="1" w:styleId="475">
    <w:name w:val="冯广丽 Char"/>
    <w:link w:val="238"/>
    <w:autoRedefine/>
    <w:qFormat/>
    <w:uiPriority w:val="0"/>
    <w:rPr>
      <w:rFonts w:ascii="宋体" w:hAnsi="宋体"/>
      <w:kern w:val="2"/>
      <w:sz w:val="24"/>
      <w:szCs w:val="22"/>
    </w:rPr>
  </w:style>
  <w:style w:type="character" w:customStyle="1" w:styleId="476">
    <w:name w:val="脚注文本 字符"/>
    <w:link w:val="48"/>
    <w:autoRedefine/>
    <w:qFormat/>
    <w:uiPriority w:val="0"/>
    <w:rPr>
      <w:color w:val="0000FF"/>
      <w:sz w:val="21"/>
    </w:rPr>
  </w:style>
  <w:style w:type="character" w:customStyle="1" w:styleId="477">
    <w:name w:val="font12gray1"/>
    <w:autoRedefine/>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4"/>
    <w:autoRedefine/>
    <w:qFormat/>
    <w:uiPriority w:val="0"/>
    <w:rPr>
      <w:rFonts w:ascii="宋体" w:hAnsi="宋体"/>
      <w:kern w:val="2"/>
      <w:sz w:val="24"/>
      <w:szCs w:val="24"/>
    </w:rPr>
  </w:style>
  <w:style w:type="character" w:customStyle="1" w:styleId="479">
    <w:name w:val="方案正文 Char"/>
    <w:autoRedefine/>
    <w:qFormat/>
    <w:uiPriority w:val="0"/>
    <w:rPr>
      <w:rFonts w:ascii="仿宋_GB2312" w:eastAsia="仿宋_GB2312"/>
      <w:b/>
      <w:color w:val="000000"/>
      <w:kern w:val="2"/>
      <w:sz w:val="24"/>
      <w:lang w:val="en-US" w:eastAsia="zh-CN" w:bidi="ar-SA"/>
    </w:rPr>
  </w:style>
  <w:style w:type="character" w:customStyle="1" w:styleId="480">
    <w:name w:val="Item List Char"/>
    <w:link w:val="265"/>
    <w:autoRedefine/>
    <w:qFormat/>
    <w:uiPriority w:val="0"/>
    <w:rPr>
      <w:rFonts w:ascii="Arial"/>
      <w:bCs/>
      <w:sz w:val="21"/>
      <w:szCs w:val="21"/>
      <w:lang w:val="en-US" w:eastAsia="zh-CN" w:bidi="ar-SA"/>
    </w:rPr>
  </w:style>
  <w:style w:type="character" w:customStyle="1" w:styleId="481">
    <w:name w:val="Normal Indent Char Char"/>
    <w:autoRedefine/>
    <w:qFormat/>
    <w:uiPriority w:val="0"/>
    <w:rPr>
      <w:rFonts w:eastAsia="宋体"/>
      <w:kern w:val="2"/>
      <w:sz w:val="21"/>
      <w:lang w:val="en-US" w:eastAsia="zh-CN" w:bidi="ar-SA"/>
    </w:rPr>
  </w:style>
  <w:style w:type="character" w:customStyle="1" w:styleId="482">
    <w:name w:val="t21"/>
    <w:autoRedefine/>
    <w:qFormat/>
    <w:uiPriority w:val="0"/>
    <w:rPr>
      <w:rFonts w:ascii="仿宋_GB2312" w:eastAsia="微软雅黑"/>
      <w:b/>
      <w:kern w:val="2"/>
      <w:sz w:val="23"/>
      <w:szCs w:val="23"/>
      <w:lang w:val="en-US" w:eastAsia="zh-CN" w:bidi="ar-SA"/>
    </w:rPr>
  </w:style>
  <w:style w:type="character" w:customStyle="1" w:styleId="483">
    <w:name w:val="Char Char121"/>
    <w:autoRedefine/>
    <w:qFormat/>
    <w:uiPriority w:val="0"/>
    <w:rPr>
      <w:rFonts w:ascii="仿宋_GB2312" w:eastAsia="仿宋_GB2312"/>
      <w:b/>
      <w:bCs/>
      <w:kern w:val="2"/>
      <w:sz w:val="24"/>
      <w:szCs w:val="24"/>
      <w:lang w:val="zh-CN" w:eastAsia="zh-CN" w:bidi="ar-SA"/>
    </w:rPr>
  </w:style>
  <w:style w:type="character" w:customStyle="1" w:styleId="484">
    <w:name w:val="标题 7 字符"/>
    <w:link w:val="10"/>
    <w:autoRedefine/>
    <w:qFormat/>
    <w:uiPriority w:val="0"/>
    <w:rPr>
      <w:b/>
      <w:bCs/>
      <w:kern w:val="2"/>
      <w:sz w:val="24"/>
      <w:szCs w:val="24"/>
    </w:rPr>
  </w:style>
  <w:style w:type="character" w:customStyle="1" w:styleId="485">
    <w:name w:val="称呼 字符"/>
    <w:link w:val="21"/>
    <w:autoRedefine/>
    <w:qFormat/>
    <w:uiPriority w:val="0"/>
    <w:rPr>
      <w:rFonts w:ascii="仿宋_GB2312" w:eastAsia="仿宋_GB2312"/>
      <w:kern w:val="2"/>
      <w:sz w:val="28"/>
    </w:rPr>
  </w:style>
  <w:style w:type="character" w:customStyle="1" w:styleId="486">
    <w:name w:val="正文 项目 Char"/>
    <w:autoRedefine/>
    <w:qFormat/>
    <w:uiPriority w:val="0"/>
    <w:rPr>
      <w:rFonts w:ascii="仿宋_GB2312" w:hAnsi="仿宋_GB2312" w:eastAsia="仿宋_GB2312"/>
      <w:kern w:val="2"/>
      <w:sz w:val="24"/>
      <w:lang w:bidi="ar-SA"/>
    </w:rPr>
  </w:style>
  <w:style w:type="character" w:customStyle="1" w:styleId="487">
    <w:name w:val="普通文字 Char1"/>
    <w:autoRedefine/>
    <w:qFormat/>
    <w:uiPriority w:val="0"/>
    <w:rPr>
      <w:rFonts w:ascii="宋体" w:hAnsi="Courier New" w:eastAsia="宋体"/>
      <w:kern w:val="2"/>
      <w:sz w:val="21"/>
      <w:lang w:val="en-US" w:eastAsia="zh-CN"/>
    </w:rPr>
  </w:style>
  <w:style w:type="character" w:customStyle="1" w:styleId="488">
    <w:name w:val="正文1 Char1"/>
    <w:autoRedefine/>
    <w:qFormat/>
    <w:uiPriority w:val="0"/>
    <w:rPr>
      <w:rFonts w:ascii="仿宋_GB2312" w:hAnsi="Courier New" w:eastAsia="仿宋_GB2312"/>
      <w:kern w:val="28"/>
      <w:sz w:val="24"/>
      <w:szCs w:val="24"/>
    </w:rPr>
  </w:style>
  <w:style w:type="character" w:customStyle="1" w:styleId="489">
    <w:name w:val="hei16b1"/>
    <w:autoRedefine/>
    <w:qFormat/>
    <w:uiPriority w:val="0"/>
    <w:rPr>
      <w:rFonts w:hint="default" w:ascii="Arial" w:hAnsi="Arial" w:cs="Arial"/>
      <w:b/>
      <w:bCs/>
      <w:color w:val="000000"/>
      <w:sz w:val="24"/>
      <w:szCs w:val="24"/>
    </w:rPr>
  </w:style>
  <w:style w:type="character" w:customStyle="1" w:styleId="490">
    <w:name w:val="c7 style3"/>
    <w:autoRedefine/>
    <w:qFormat/>
    <w:uiPriority w:val="0"/>
  </w:style>
  <w:style w:type="character" w:customStyle="1" w:styleId="491">
    <w:name w:val="副标题 字符"/>
    <w:link w:val="45"/>
    <w:autoRedefine/>
    <w:qFormat/>
    <w:uiPriority w:val="0"/>
    <w:rPr>
      <w:rFonts w:ascii="Arial" w:hAnsi="Arial" w:eastAsia="隶书"/>
      <w:b/>
      <w:bCs/>
      <w:kern w:val="28"/>
      <w:sz w:val="44"/>
      <w:szCs w:val="32"/>
      <w:lang w:val="en-US" w:eastAsia="zh-CN" w:bidi="ar-SA"/>
    </w:rPr>
  </w:style>
  <w:style w:type="character" w:customStyle="1" w:styleId="492">
    <w:name w:val="纯文本 字符"/>
    <w:link w:val="32"/>
    <w:autoRedefine/>
    <w:qFormat/>
    <w:uiPriority w:val="0"/>
    <w:rPr>
      <w:rFonts w:ascii="宋体" w:hAnsi="Courier New" w:eastAsia="宋体" w:cs="Arial"/>
      <w:snapToGrid w:val="0"/>
      <w:kern w:val="2"/>
      <w:sz w:val="21"/>
      <w:szCs w:val="21"/>
      <w:lang w:val="en-US" w:eastAsia="zh-CN" w:bidi="ar-SA"/>
    </w:rPr>
  </w:style>
  <w:style w:type="character" w:customStyle="1" w:styleId="493">
    <w:name w:val="表正文 Char1"/>
    <w:autoRedefine/>
    <w:qFormat/>
    <w:uiPriority w:val="0"/>
    <w:rPr>
      <w:rFonts w:ascii="宋体" w:eastAsia="宋体"/>
      <w:snapToGrid w:val="0"/>
      <w:color w:val="000000"/>
      <w:kern w:val="28"/>
      <w:sz w:val="28"/>
    </w:rPr>
  </w:style>
  <w:style w:type="character" w:customStyle="1" w:styleId="494">
    <w:name w:val="Char Char5"/>
    <w:autoRedefine/>
    <w:qFormat/>
    <w:uiPriority w:val="0"/>
    <w:rPr>
      <w:rFonts w:ascii="宋体" w:hAnsi="Courier New" w:eastAsia="宋体"/>
      <w:kern w:val="2"/>
      <w:sz w:val="21"/>
      <w:lang w:val="en-US" w:eastAsia="zh-CN"/>
    </w:rPr>
  </w:style>
  <w:style w:type="character" w:customStyle="1" w:styleId="495">
    <w:name w:val="标题 1 Char Char"/>
    <w:autoRedefine/>
    <w:qFormat/>
    <w:uiPriority w:val="0"/>
    <w:rPr>
      <w:rFonts w:hint="eastAsia" w:ascii="宋体" w:hAnsi="宋体" w:eastAsia="宋体"/>
      <w:b/>
      <w:spacing w:val="-2"/>
      <w:sz w:val="24"/>
      <w:lang w:val="en-US" w:eastAsia="zh-CN" w:bidi="ar-SA"/>
    </w:rPr>
  </w:style>
  <w:style w:type="character" w:customStyle="1" w:styleId="496">
    <w:name w:val="Char Char4"/>
    <w:autoRedefine/>
    <w:qFormat/>
    <w:uiPriority w:val="0"/>
    <w:rPr>
      <w:rFonts w:eastAsia="宋体"/>
      <w:b/>
      <w:sz w:val="24"/>
      <w:lang w:val="en-GB" w:eastAsia="zh-CN" w:bidi="ar-SA"/>
    </w:rPr>
  </w:style>
  <w:style w:type="character" w:customStyle="1" w:styleId="497">
    <w:name w:val="zbggmain style9"/>
    <w:autoRedefine/>
    <w:qFormat/>
    <w:uiPriority w:val="0"/>
  </w:style>
  <w:style w:type="character" w:customStyle="1" w:styleId="498">
    <w:name w:val="Header Char"/>
    <w:autoRedefine/>
    <w:semiHidden/>
    <w:qFormat/>
    <w:locked/>
    <w:uiPriority w:val="0"/>
    <w:rPr>
      <w:rFonts w:eastAsia="宋体"/>
      <w:kern w:val="2"/>
      <w:sz w:val="18"/>
      <w:szCs w:val="18"/>
      <w:lang w:val="en-US" w:eastAsia="zh-CN" w:bidi="ar-SA"/>
    </w:rPr>
  </w:style>
  <w:style w:type="character" w:customStyle="1" w:styleId="499">
    <w:name w:val="样式 宋体"/>
    <w:autoRedefine/>
    <w:qFormat/>
    <w:uiPriority w:val="0"/>
    <w:rPr>
      <w:rFonts w:ascii="宋体" w:hAnsi="宋体"/>
      <w:sz w:val="24"/>
    </w:rPr>
  </w:style>
  <w:style w:type="character" w:customStyle="1" w:styleId="500">
    <w:name w:val="哈哈正文 Char"/>
    <w:link w:val="316"/>
    <w:autoRedefine/>
    <w:qFormat/>
    <w:uiPriority w:val="0"/>
    <w:rPr>
      <w:rFonts w:ascii="宋体" w:hAnsi="宋体" w:eastAsia="宋体"/>
      <w:kern w:val="2"/>
      <w:sz w:val="24"/>
      <w:lang w:bidi="ar-SA"/>
    </w:rPr>
  </w:style>
  <w:style w:type="character" w:customStyle="1" w:styleId="501">
    <w:name w:val="标题 Char"/>
    <w:autoRedefine/>
    <w:qFormat/>
    <w:uiPriority w:val="0"/>
    <w:rPr>
      <w:rFonts w:eastAsia="宋体"/>
      <w:b/>
      <w:sz w:val="24"/>
      <w:lang w:val="en-GB" w:eastAsia="zh-CN" w:bidi="ar-SA"/>
    </w:rPr>
  </w:style>
  <w:style w:type="character" w:customStyle="1" w:styleId="502">
    <w:name w:val="纯文本 Char Char Char"/>
    <w:autoRedefine/>
    <w:qFormat/>
    <w:uiPriority w:val="0"/>
    <w:rPr>
      <w:rFonts w:ascii="宋体" w:hAnsi="Courier New" w:eastAsia="宋体"/>
      <w:kern w:val="2"/>
      <w:sz w:val="21"/>
      <w:lang w:val="en-US" w:eastAsia="zh-CN" w:bidi="ar-SA"/>
    </w:rPr>
  </w:style>
  <w:style w:type="character" w:customStyle="1" w:styleId="503">
    <w:name w:val="正文 编号 Char"/>
    <w:autoRedefine/>
    <w:qFormat/>
    <w:uiPriority w:val="0"/>
    <w:rPr>
      <w:rFonts w:ascii="仿宋_GB2312" w:hAnsi="仿宋_GB2312" w:eastAsia="仿宋_GB2312"/>
      <w:kern w:val="2"/>
      <w:sz w:val="24"/>
      <w:lang w:bidi="ar-SA"/>
    </w:rPr>
  </w:style>
  <w:style w:type="character" w:customStyle="1" w:styleId="504">
    <w:name w:val="插图说明 Char"/>
    <w:autoRedefine/>
    <w:qFormat/>
    <w:uiPriority w:val="0"/>
    <w:rPr>
      <w:rFonts w:eastAsia="黑体"/>
      <w:sz w:val="24"/>
      <w:lang w:val="en-US" w:eastAsia="zh-CN"/>
    </w:rPr>
  </w:style>
  <w:style w:type="character" w:customStyle="1" w:styleId="505">
    <w:name w:val="正文文本首行缩进 2 字符"/>
    <w:link w:val="60"/>
    <w:autoRedefine/>
    <w:qFormat/>
    <w:uiPriority w:val="0"/>
    <w:rPr>
      <w:rFonts w:ascii="宋体" w:hAnsi="宋体"/>
      <w:kern w:val="2"/>
      <w:sz w:val="21"/>
      <w:szCs w:val="24"/>
    </w:rPr>
  </w:style>
  <w:style w:type="character" w:customStyle="1" w:styleId="506">
    <w:name w:val="正文文本缩进 2 字符"/>
    <w:link w:val="36"/>
    <w:autoRedefine/>
    <w:qFormat/>
    <w:uiPriority w:val="0"/>
    <w:rPr>
      <w:rFonts w:ascii="宋体"/>
      <w:sz w:val="28"/>
    </w:rPr>
  </w:style>
  <w:style w:type="character" w:customStyle="1" w:styleId="507">
    <w:name w:val="公文正文 Char"/>
    <w:autoRedefine/>
    <w:qFormat/>
    <w:uiPriority w:val="0"/>
    <w:rPr>
      <w:rFonts w:ascii="仿宋_GB2312" w:eastAsia="仿宋_GB2312"/>
      <w:kern w:val="2"/>
      <w:sz w:val="24"/>
      <w:szCs w:val="24"/>
      <w:lang w:val="en-US" w:eastAsia="zh-CN" w:bidi="ar-SA"/>
    </w:rPr>
  </w:style>
  <w:style w:type="character" w:customStyle="1" w:styleId="508">
    <w:name w:val="Char Char41"/>
    <w:autoRedefine/>
    <w:qFormat/>
    <w:uiPriority w:val="0"/>
    <w:rPr>
      <w:rFonts w:eastAsia="宋体"/>
      <w:b/>
      <w:sz w:val="24"/>
      <w:lang w:val="en-GB" w:eastAsia="zh-CN" w:bidi="ar-SA"/>
    </w:rPr>
  </w:style>
  <w:style w:type="character" w:customStyle="1" w:styleId="509">
    <w:name w:val="unnamed31"/>
    <w:autoRedefine/>
    <w:qFormat/>
    <w:uiPriority w:val="0"/>
    <w:rPr>
      <w:rFonts w:ascii="Tahoma" w:hAnsi="Tahoma" w:eastAsia="宋体"/>
      <w:b/>
      <w:kern w:val="2"/>
      <w:sz w:val="24"/>
      <w:szCs w:val="32"/>
      <w:u w:val="none"/>
      <w:lang w:val="en-US" w:eastAsia="zh-CN" w:bidi="ar-SA"/>
    </w:rPr>
  </w:style>
  <w:style w:type="character" w:customStyle="1" w:styleId="510">
    <w:name w:val="Char Char91"/>
    <w:autoRedefine/>
    <w:qFormat/>
    <w:uiPriority w:val="0"/>
    <w:rPr>
      <w:rFonts w:eastAsia="宋体"/>
      <w:kern w:val="2"/>
      <w:sz w:val="18"/>
      <w:szCs w:val="18"/>
      <w:lang w:val="en-US" w:eastAsia="zh-CN" w:bidi="ar-SA"/>
    </w:rPr>
  </w:style>
  <w:style w:type="character" w:customStyle="1" w:styleId="511">
    <w:name w:val="Footer-Even Char1"/>
    <w:autoRedefine/>
    <w:qFormat/>
    <w:uiPriority w:val="0"/>
    <w:rPr>
      <w:rFonts w:eastAsia="宋体"/>
      <w:kern w:val="2"/>
      <w:sz w:val="18"/>
      <w:szCs w:val="18"/>
      <w:lang w:val="en-US" w:eastAsia="zh-CN" w:bidi="ar-SA"/>
    </w:rPr>
  </w:style>
  <w:style w:type="character" w:customStyle="1" w:styleId="512">
    <w:name w:val="gf正文1 Char"/>
    <w:autoRedefine/>
    <w:qFormat/>
    <w:uiPriority w:val="0"/>
    <w:rPr>
      <w:rFonts w:ascii="宋体" w:hAnsi="宋体" w:eastAsia="宋体" w:cs="宋体"/>
      <w:kern w:val="2"/>
      <w:sz w:val="24"/>
      <w:szCs w:val="24"/>
      <w:lang w:val="en-US" w:eastAsia="zh-CN" w:bidi="ar-SA"/>
    </w:rPr>
  </w:style>
  <w:style w:type="character" w:customStyle="1" w:styleId="513">
    <w:name w:val="javascript"/>
    <w:autoRedefine/>
    <w:qFormat/>
    <w:uiPriority w:val="0"/>
  </w:style>
  <w:style w:type="character" w:customStyle="1" w:styleId="514">
    <w:name w:val="列出段落 Char"/>
    <w:autoRedefine/>
    <w:qFormat/>
    <w:uiPriority w:val="34"/>
    <w:rPr>
      <w:rFonts w:eastAsia="楷体_GB2312" w:cs="Lucida Sans"/>
      <w:kern w:val="2"/>
      <w:sz w:val="24"/>
      <w:szCs w:val="24"/>
      <w:lang w:val="en-US" w:eastAsia="zh-CN" w:bidi="ar-SA"/>
    </w:rPr>
  </w:style>
  <w:style w:type="character" w:customStyle="1" w:styleId="515">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autoRedefine/>
    <w:qFormat/>
    <w:uiPriority w:val="0"/>
    <w:rPr>
      <w:kern w:val="2"/>
      <w:sz w:val="21"/>
      <w:szCs w:val="24"/>
      <w:lang w:bidi="ar-SA"/>
    </w:rPr>
  </w:style>
  <w:style w:type="character" w:customStyle="1" w:styleId="517">
    <w:name w:val="普通文字 Char3"/>
    <w:autoRedefine/>
    <w:qFormat/>
    <w:uiPriority w:val="0"/>
    <w:rPr>
      <w:rFonts w:ascii="宋体" w:hAnsi="Courier New" w:eastAsia="宋体"/>
      <w:kern w:val="2"/>
      <w:sz w:val="21"/>
      <w:lang w:val="en-US" w:eastAsia="zh-CN" w:bidi="ar-SA"/>
    </w:rPr>
  </w:style>
  <w:style w:type="character" w:customStyle="1" w:styleId="518">
    <w:name w:val="h Char Char1"/>
    <w:autoRedefine/>
    <w:qFormat/>
    <w:uiPriority w:val="0"/>
    <w:rPr>
      <w:rFonts w:eastAsia="宋体"/>
      <w:kern w:val="2"/>
      <w:sz w:val="18"/>
      <w:szCs w:val="18"/>
      <w:lang w:val="en-US" w:eastAsia="zh-CN" w:bidi="ar-SA"/>
    </w:rPr>
  </w:style>
  <w:style w:type="character" w:customStyle="1" w:styleId="519">
    <w:name w:val="冯 Char"/>
    <w:link w:val="77"/>
    <w:autoRedefine/>
    <w:qFormat/>
    <w:uiPriority w:val="0"/>
    <w:rPr>
      <w:rFonts w:ascii="宋体" w:hAnsi="宋体"/>
      <w:color w:val="000000"/>
      <w:sz w:val="24"/>
      <w:szCs w:val="24"/>
    </w:rPr>
  </w:style>
  <w:style w:type="character" w:customStyle="1" w:styleId="520">
    <w:name w:val="highlight1"/>
    <w:autoRedefine/>
    <w:qFormat/>
    <w:uiPriority w:val="0"/>
    <w:rPr>
      <w:rFonts w:ascii="仿宋_GB2312" w:eastAsia="微软雅黑"/>
      <w:b/>
      <w:kern w:val="2"/>
      <w:sz w:val="23"/>
      <w:szCs w:val="23"/>
      <w:lang w:val="en-US" w:eastAsia="zh-CN" w:bidi="ar-SA"/>
    </w:rPr>
  </w:style>
  <w:style w:type="character" w:customStyle="1" w:styleId="521">
    <w:name w:val="样式6 Char"/>
    <w:autoRedefine/>
    <w:qFormat/>
    <w:uiPriority w:val="0"/>
    <w:rPr>
      <w:rFonts w:ascii="仿宋_GB2312" w:hAnsi="宋体" w:eastAsia="仿宋_GB2312"/>
      <w:b/>
      <w:bCs/>
      <w:kern w:val="2"/>
      <w:sz w:val="24"/>
      <w:szCs w:val="24"/>
      <w:lang w:val="en-US" w:eastAsia="zh-CN" w:bidi="ar-SA"/>
    </w:rPr>
  </w:style>
  <w:style w:type="character" w:customStyle="1" w:styleId="522">
    <w:name w:val="标题 9 字符"/>
    <w:link w:val="12"/>
    <w:autoRedefine/>
    <w:qFormat/>
    <w:uiPriority w:val="0"/>
    <w:rPr>
      <w:rFonts w:ascii="Arial" w:hAnsi="Arial" w:eastAsia="黑体"/>
      <w:kern w:val="2"/>
      <w:sz w:val="21"/>
      <w:szCs w:val="21"/>
    </w:rPr>
  </w:style>
  <w:style w:type="character" w:customStyle="1" w:styleId="523">
    <w:name w:val="md"/>
    <w:basedOn w:val="63"/>
    <w:autoRedefine/>
    <w:qFormat/>
    <w:uiPriority w:val="0"/>
  </w:style>
  <w:style w:type="character" w:customStyle="1" w:styleId="524">
    <w:name w:val="myp11"/>
    <w:autoRedefine/>
    <w:qFormat/>
    <w:uiPriority w:val="0"/>
    <w:rPr>
      <w:rFonts w:ascii="仿宋_GB2312" w:eastAsia="微软雅黑"/>
      <w:b/>
      <w:kern w:val="2"/>
      <w:sz w:val="32"/>
      <w:szCs w:val="32"/>
      <w:lang w:val="en-US" w:eastAsia="zh-CN" w:bidi="ar-SA"/>
    </w:rPr>
  </w:style>
  <w:style w:type="character" w:customStyle="1" w:styleId="525">
    <w:name w:val="Ò³Ã¼ Char Char1"/>
    <w:autoRedefine/>
    <w:qFormat/>
    <w:uiPriority w:val="0"/>
    <w:rPr>
      <w:rFonts w:eastAsia="宋体"/>
      <w:kern w:val="2"/>
      <w:sz w:val="18"/>
      <w:szCs w:val="18"/>
      <w:lang w:val="en-US" w:eastAsia="zh-CN" w:bidi="ar-SA"/>
    </w:rPr>
  </w:style>
  <w:style w:type="character" w:customStyle="1" w:styleId="526">
    <w:name w:val="tw4winTerm"/>
    <w:autoRedefine/>
    <w:qFormat/>
    <w:uiPriority w:val="0"/>
    <w:rPr>
      <w:color w:val="0000FF"/>
    </w:rPr>
  </w:style>
  <w:style w:type="character" w:customStyle="1" w:styleId="527">
    <w:name w:val="表格 Char Char"/>
    <w:autoRedefine/>
    <w:qFormat/>
    <w:uiPriority w:val="0"/>
    <w:rPr>
      <w:rFonts w:ascii="宋体" w:hAnsi="宋体" w:eastAsia="宋体"/>
      <w:lang w:bidi="ar-SA"/>
    </w:rPr>
  </w:style>
  <w:style w:type="character" w:customStyle="1" w:styleId="528">
    <w:name w:val="样式8 Char"/>
    <w:autoRedefine/>
    <w:qFormat/>
    <w:uiPriority w:val="0"/>
    <w:rPr>
      <w:rFonts w:ascii="仿宋_GB2312" w:hAnsi="宋体" w:eastAsia="仿宋_GB2312"/>
      <w:b/>
      <w:bCs/>
      <w:kern w:val="2"/>
      <w:sz w:val="24"/>
      <w:szCs w:val="24"/>
    </w:rPr>
  </w:style>
  <w:style w:type="character" w:customStyle="1" w:styleId="529">
    <w:name w:val="样式5 Char"/>
    <w:autoRedefine/>
    <w:qFormat/>
    <w:uiPriority w:val="0"/>
    <w:rPr>
      <w:rFonts w:ascii="仿宋_GB2312" w:hAnsi="仿宋" w:eastAsia="仿宋_GB2312"/>
      <w:kern w:val="2"/>
      <w:sz w:val="24"/>
      <w:szCs w:val="24"/>
    </w:rPr>
  </w:style>
  <w:style w:type="character" w:customStyle="1" w:styleId="530">
    <w:name w:val="页脚 Char1"/>
    <w:autoRedefine/>
    <w:qFormat/>
    <w:uiPriority w:val="0"/>
    <w:rPr>
      <w:rFonts w:eastAsia="宋体"/>
      <w:kern w:val="2"/>
      <w:sz w:val="18"/>
      <w:szCs w:val="18"/>
      <w:lang w:val="en-US" w:eastAsia="zh-CN" w:bidi="ar-SA"/>
    </w:rPr>
  </w:style>
  <w:style w:type="character" w:customStyle="1" w:styleId="531">
    <w:name w:val="tw4winJump"/>
    <w:autoRedefine/>
    <w:qFormat/>
    <w:uiPriority w:val="0"/>
    <w:rPr>
      <w:rFonts w:ascii="Courier New" w:hAnsi="Courier New" w:cs="Courier New"/>
      <w:color w:val="008080"/>
    </w:rPr>
  </w:style>
  <w:style w:type="character" w:customStyle="1" w:styleId="532">
    <w:name w:val="批注文字 Char"/>
    <w:autoRedefine/>
    <w:qFormat/>
    <w:uiPriority w:val="99"/>
    <w:rPr>
      <w:kern w:val="2"/>
      <w:sz w:val="21"/>
      <w:szCs w:val="24"/>
    </w:rPr>
  </w:style>
  <w:style w:type="character" w:customStyle="1" w:styleId="533">
    <w:name w:val="Char Char122"/>
    <w:autoRedefine/>
    <w:qFormat/>
    <w:uiPriority w:val="0"/>
    <w:rPr>
      <w:rFonts w:ascii="仿宋_GB2312" w:eastAsia="仿宋_GB2312"/>
      <w:b/>
      <w:bCs/>
      <w:kern w:val="2"/>
      <w:sz w:val="24"/>
      <w:szCs w:val="24"/>
      <w:lang w:val="zh-CN" w:eastAsia="zh-CN" w:bidi="ar-SA"/>
    </w:rPr>
  </w:style>
  <w:style w:type="character" w:customStyle="1" w:styleId="534">
    <w:name w:val="No Spacing Char"/>
    <w:link w:val="172"/>
    <w:autoRedefine/>
    <w:qFormat/>
    <w:uiPriority w:val="1"/>
    <w:rPr>
      <w:rFonts w:ascii="Calibri" w:hAnsi="Calibri"/>
      <w:sz w:val="22"/>
      <w:szCs w:val="22"/>
      <w:lang w:val="en-US" w:eastAsia="zh-CN" w:bidi="ar-SA"/>
    </w:rPr>
  </w:style>
  <w:style w:type="character" w:customStyle="1" w:styleId="535">
    <w:name w:val="Char Char21"/>
    <w:autoRedefine/>
    <w:qFormat/>
    <w:uiPriority w:val="0"/>
    <w:rPr>
      <w:rFonts w:ascii="宋体" w:hAnsi="Courier New" w:eastAsia="宋体"/>
      <w:kern w:val="2"/>
      <w:sz w:val="21"/>
      <w:lang w:val="en-US" w:eastAsia="zh-CN" w:bidi="ar-SA"/>
    </w:rPr>
  </w:style>
  <w:style w:type="character" w:customStyle="1" w:styleId="536">
    <w:name w:val="Char Char8"/>
    <w:autoRedefine/>
    <w:qFormat/>
    <w:uiPriority w:val="0"/>
    <w:rPr>
      <w:rFonts w:eastAsia="宋体"/>
      <w:b/>
      <w:sz w:val="24"/>
      <w:lang w:val="en-GB" w:eastAsia="zh-CN"/>
    </w:rPr>
  </w:style>
  <w:style w:type="character" w:customStyle="1" w:styleId="537">
    <w:name w:val="font21"/>
    <w:autoRedefine/>
    <w:qFormat/>
    <w:uiPriority w:val="0"/>
    <w:rPr>
      <w:rFonts w:hint="eastAsia" w:ascii="宋体" w:hAnsi="宋体" w:eastAsia="宋体"/>
      <w:kern w:val="2"/>
      <w:sz w:val="28"/>
      <w:szCs w:val="28"/>
      <w:lang w:val="en-US" w:eastAsia="zh-CN" w:bidi="ar-SA"/>
    </w:rPr>
  </w:style>
  <w:style w:type="character" w:customStyle="1" w:styleId="538">
    <w:name w:val="正文2 Char"/>
    <w:autoRedefine/>
    <w:qFormat/>
    <w:uiPriority w:val="0"/>
    <w:rPr>
      <w:rFonts w:eastAsia="宋体"/>
      <w:kern w:val="2"/>
      <w:sz w:val="24"/>
      <w:lang w:val="en-US" w:eastAsia="zh-CN" w:bidi="ar-SA"/>
    </w:rPr>
  </w:style>
  <w:style w:type="character" w:customStyle="1" w:styleId="539">
    <w:name w:val="big1"/>
    <w:autoRedefine/>
    <w:qFormat/>
    <w:uiPriority w:val="0"/>
    <w:rPr>
      <w:rFonts w:hint="eastAsia" w:ascii="宋体" w:hAnsi="宋体" w:eastAsia="宋体"/>
      <w:color w:val="333333"/>
      <w:sz w:val="22"/>
      <w:szCs w:val="22"/>
    </w:rPr>
  </w:style>
  <w:style w:type="character" w:customStyle="1" w:styleId="540">
    <w:name w:val="Body Text(ch) Char Char"/>
    <w:autoRedefine/>
    <w:qFormat/>
    <w:uiPriority w:val="0"/>
    <w:rPr>
      <w:rFonts w:ascii="宋体"/>
      <w:kern w:val="2"/>
      <w:sz w:val="24"/>
      <w:szCs w:val="21"/>
      <w:lang w:val="zh-CN"/>
    </w:rPr>
  </w:style>
  <w:style w:type="character" w:customStyle="1" w:styleId="541">
    <w:name w:val="blue1"/>
    <w:basedOn w:val="63"/>
    <w:autoRedefine/>
    <w:qFormat/>
    <w:uiPriority w:val="0"/>
  </w:style>
  <w:style w:type="character" w:customStyle="1" w:styleId="542">
    <w:name w:val="正文 项目2 Char"/>
    <w:basedOn w:val="486"/>
    <w:autoRedefine/>
    <w:qFormat/>
    <w:uiPriority w:val="0"/>
    <w:rPr>
      <w:rFonts w:ascii="仿宋_GB2312" w:hAnsi="仿宋_GB2312" w:eastAsia="仿宋_GB2312"/>
      <w:kern w:val="2"/>
      <w:sz w:val="24"/>
      <w:lang w:bidi="ar-SA"/>
    </w:rPr>
  </w:style>
  <w:style w:type="character" w:customStyle="1" w:styleId="543">
    <w:name w:val="solutionfonts"/>
    <w:autoRedefine/>
    <w:qFormat/>
    <w:uiPriority w:val="0"/>
  </w:style>
  <w:style w:type="character" w:customStyle="1" w:styleId="544">
    <w:name w:val="Char Char81"/>
    <w:autoRedefine/>
    <w:qFormat/>
    <w:uiPriority w:val="0"/>
    <w:rPr>
      <w:rFonts w:eastAsia="宋体"/>
      <w:b/>
      <w:sz w:val="24"/>
      <w:lang w:val="en-GB" w:eastAsia="zh-CN"/>
    </w:rPr>
  </w:style>
  <w:style w:type="character" w:customStyle="1" w:styleId="545">
    <w:name w:val="Char Char2"/>
    <w:autoRedefine/>
    <w:qFormat/>
    <w:uiPriority w:val="0"/>
    <w:rPr>
      <w:rFonts w:eastAsia="宋体"/>
      <w:b/>
      <w:bCs/>
      <w:kern w:val="2"/>
      <w:sz w:val="21"/>
      <w:szCs w:val="24"/>
      <w:lang w:val="en-US" w:eastAsia="zh-CN" w:bidi="ar-SA"/>
    </w:rPr>
  </w:style>
  <w:style w:type="character" w:customStyle="1" w:styleId="546">
    <w:name w:val="HTML 预设格式 字符"/>
    <w:link w:val="55"/>
    <w:autoRedefine/>
    <w:qFormat/>
    <w:uiPriority w:val="0"/>
    <w:rPr>
      <w:rFonts w:ascii="黑体" w:hAnsi="Courier New" w:eastAsia="黑体"/>
    </w:rPr>
  </w:style>
  <w:style w:type="character" w:customStyle="1" w:styleId="547">
    <w:name w:val="Heading 7 Char"/>
    <w:autoRedefine/>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59"/>
    <w:autoRedefine/>
    <w:qFormat/>
    <w:uiPriority w:val="0"/>
    <w:rPr>
      <w:rFonts w:ascii="宋体"/>
      <w:kern w:val="2"/>
      <w:sz w:val="24"/>
      <w:lang w:val="zh-CN"/>
    </w:rPr>
  </w:style>
  <w:style w:type="character" w:customStyle="1" w:styleId="549">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0">
    <w:name w:val="pt141"/>
    <w:autoRedefine/>
    <w:qFormat/>
    <w:uiPriority w:val="0"/>
    <w:rPr>
      <w:color w:val="330066"/>
      <w:sz w:val="22"/>
      <w:szCs w:val="22"/>
    </w:rPr>
  </w:style>
  <w:style w:type="character" w:customStyle="1" w:styleId="551">
    <w:name w:val="h Char Char"/>
    <w:autoRedefine/>
    <w:qFormat/>
    <w:uiPriority w:val="0"/>
    <w:rPr>
      <w:rFonts w:eastAsia="宋体"/>
      <w:kern w:val="2"/>
      <w:sz w:val="18"/>
      <w:lang w:val="en-US" w:eastAsia="zh-CN" w:bidi="ar-SA"/>
    </w:rPr>
  </w:style>
  <w:style w:type="character" w:customStyle="1" w:styleId="552">
    <w:name w:val="标题 1 字符"/>
    <w:link w:val="3"/>
    <w:autoRedefine/>
    <w:qFormat/>
    <w:uiPriority w:val="0"/>
    <w:rPr>
      <w:b/>
      <w:bCs/>
      <w:kern w:val="44"/>
      <w:sz w:val="44"/>
      <w:szCs w:val="44"/>
    </w:rPr>
  </w:style>
  <w:style w:type="character" w:customStyle="1" w:styleId="553">
    <w:name w:val="页眉 Char"/>
    <w:autoRedefine/>
    <w:qFormat/>
    <w:uiPriority w:val="0"/>
    <w:rPr>
      <w:rFonts w:eastAsia="仿宋_GB2312"/>
      <w:kern w:val="2"/>
      <w:sz w:val="18"/>
      <w:lang w:val="en-US" w:eastAsia="zh-CN"/>
    </w:rPr>
  </w:style>
  <w:style w:type="character" w:customStyle="1" w:styleId="554">
    <w:name w:val="b11_01b Char"/>
    <w:link w:val="412"/>
    <w:autoRedefine/>
    <w:qFormat/>
    <w:uiPriority w:val="0"/>
    <w:rPr>
      <w:rFonts w:ascii="Verdana" w:hAnsi="Verdana"/>
      <w:b/>
      <w:bCs/>
      <w:color w:val="4A82CA"/>
      <w:sz w:val="17"/>
      <w:szCs w:val="17"/>
    </w:rPr>
  </w:style>
  <w:style w:type="character" w:customStyle="1" w:styleId="555">
    <w:name w:val="标题4-dyf Char"/>
    <w:link w:val="350"/>
    <w:autoRedefine/>
    <w:qFormat/>
    <w:uiPriority w:val="0"/>
    <w:rPr>
      <w:rFonts w:ascii="Cambria" w:hAnsi="Cambria"/>
      <w:b/>
      <w:bCs/>
      <w:color w:val="000000"/>
      <w:kern w:val="2"/>
      <w:sz w:val="21"/>
      <w:szCs w:val="21"/>
    </w:rPr>
  </w:style>
  <w:style w:type="character" w:customStyle="1" w:styleId="556">
    <w:name w:val="批注主题 Char"/>
    <w:autoRedefine/>
    <w:qFormat/>
    <w:uiPriority w:val="0"/>
    <w:rPr>
      <w:rFonts w:eastAsia="宋体"/>
      <w:b/>
      <w:bCs/>
      <w:kern w:val="2"/>
      <w:sz w:val="21"/>
      <w:szCs w:val="24"/>
      <w:lang w:val="en-US" w:eastAsia="zh-CN" w:bidi="ar-SA"/>
    </w:rPr>
  </w:style>
  <w:style w:type="character" w:customStyle="1" w:styleId="55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autoRedefine/>
    <w:qFormat/>
    <w:uiPriority w:val="0"/>
    <w:rPr>
      <w:sz w:val="24"/>
      <w:szCs w:val="24"/>
      <w:lang w:val="en-US" w:eastAsia="zh-CN" w:bidi="ar-SA"/>
    </w:rPr>
  </w:style>
  <w:style w:type="character" w:customStyle="1" w:styleId="559">
    <w:name w:val="Char Char51"/>
    <w:autoRedefine/>
    <w:qFormat/>
    <w:uiPriority w:val="0"/>
    <w:rPr>
      <w:rFonts w:ascii="宋体" w:hAnsi="Courier New" w:eastAsia="宋体"/>
      <w:kern w:val="2"/>
      <w:sz w:val="21"/>
      <w:lang w:val="en-US" w:eastAsia="zh-CN"/>
    </w:rPr>
  </w:style>
  <w:style w:type="character" w:customStyle="1" w:styleId="560">
    <w:name w:val="带编号样式 Char"/>
    <w:autoRedefine/>
    <w:qFormat/>
    <w:uiPriority w:val="0"/>
    <w:rPr>
      <w:rFonts w:ascii="仿宋_GB2312" w:eastAsia="仿宋_GB2312"/>
      <w:color w:val="000000"/>
      <w:sz w:val="24"/>
      <w:lang w:bidi="ar-SA"/>
    </w:rPr>
  </w:style>
  <w:style w:type="character" w:customStyle="1" w:styleId="561">
    <w:name w:val="样式4 Char"/>
    <w:autoRedefine/>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autoRedefine/>
    <w:qFormat/>
    <w:uiPriority w:val="0"/>
    <w:rPr>
      <w:rFonts w:ascii="微软雅黑" w:hAnsi="微软雅黑" w:eastAsia="微软雅黑"/>
      <w:b/>
      <w:bCs/>
      <w:kern w:val="2"/>
      <w:sz w:val="24"/>
      <w:szCs w:val="28"/>
    </w:rPr>
  </w:style>
  <w:style w:type="character" w:customStyle="1" w:styleId="563">
    <w:name w:val="PI Char"/>
    <w:autoRedefine/>
    <w:qFormat/>
    <w:uiPriority w:val="0"/>
    <w:rPr>
      <w:rFonts w:ascii="宋体" w:hAnsi="宋体" w:eastAsia="宋体"/>
      <w:kern w:val="2"/>
      <w:sz w:val="24"/>
      <w:szCs w:val="24"/>
      <w:lang w:val="en-US" w:eastAsia="zh-CN" w:bidi="ar-SA"/>
    </w:rPr>
  </w:style>
  <w:style w:type="character" w:customStyle="1" w:styleId="564">
    <w:name w:val="Char Char111"/>
    <w:autoRedefine/>
    <w:qFormat/>
    <w:locked/>
    <w:uiPriority w:val="0"/>
    <w:rPr>
      <w:rFonts w:ascii="宋体" w:hAnsi="宋体" w:eastAsia="宋体"/>
      <w:b/>
      <w:kern w:val="2"/>
      <w:sz w:val="24"/>
      <w:szCs w:val="24"/>
      <w:lang w:val="en-US" w:eastAsia="zh-CN" w:bidi="ar-SA"/>
    </w:rPr>
  </w:style>
  <w:style w:type="character" w:customStyle="1" w:styleId="565">
    <w:name w:val="Document Map Char"/>
    <w:autoRedefine/>
    <w:semiHidden/>
    <w:qFormat/>
    <w:locked/>
    <w:uiPriority w:val="0"/>
    <w:rPr>
      <w:rFonts w:eastAsia="宋体"/>
      <w:kern w:val="2"/>
      <w:sz w:val="21"/>
      <w:szCs w:val="24"/>
      <w:lang w:val="en-US" w:eastAsia="zh-CN" w:bidi="ar-SA"/>
    </w:rPr>
  </w:style>
  <w:style w:type="character" w:customStyle="1" w:styleId="566">
    <w:name w:val="正文文本缩进 Char"/>
    <w:autoRedefine/>
    <w:qFormat/>
    <w:uiPriority w:val="0"/>
    <w:rPr>
      <w:rFonts w:ascii="宋体" w:hAnsi="宋体"/>
      <w:kern w:val="2"/>
      <w:sz w:val="24"/>
      <w:szCs w:val="24"/>
    </w:rPr>
  </w:style>
  <w:style w:type="character" w:customStyle="1" w:styleId="567">
    <w:name w:val="文本正文 Char Char"/>
    <w:autoRedefine/>
    <w:qFormat/>
    <w:locked/>
    <w:uiPriority w:val="0"/>
    <w:rPr>
      <w:sz w:val="24"/>
      <w:lang w:bidi="ar-SA"/>
    </w:rPr>
  </w:style>
  <w:style w:type="character" w:customStyle="1" w:styleId="568">
    <w:name w:val="样式7 Char"/>
    <w:autoRedefine/>
    <w:qFormat/>
    <w:uiPriority w:val="0"/>
    <w:rPr>
      <w:rFonts w:ascii="仿宋_GB2312" w:hAnsi="仿宋" w:eastAsia="仿宋_GB2312"/>
      <w:b/>
      <w:kern w:val="2"/>
      <w:sz w:val="24"/>
      <w:szCs w:val="24"/>
    </w:rPr>
  </w:style>
  <w:style w:type="character" w:customStyle="1" w:styleId="569">
    <w:name w:val="样式3 Char"/>
    <w:basedOn w:val="570"/>
    <w:autoRedefine/>
    <w:qFormat/>
    <w:uiPriority w:val="0"/>
    <w:rPr>
      <w:rFonts w:ascii="仿宋_GB2312" w:hAnsi="仿宋" w:eastAsia="仿宋_GB2312" w:cs="仿宋_GB2312"/>
      <w:sz w:val="32"/>
      <w:szCs w:val="30"/>
      <w:lang w:val="zh-CN"/>
    </w:rPr>
  </w:style>
  <w:style w:type="character" w:customStyle="1" w:styleId="570">
    <w:name w:val="样式2 Char"/>
    <w:autoRedefine/>
    <w:qFormat/>
    <w:uiPriority w:val="0"/>
    <w:rPr>
      <w:rFonts w:ascii="仿宋_GB2312" w:hAnsi="仿宋" w:eastAsia="仿宋_GB2312" w:cs="仿宋_GB2312"/>
      <w:b/>
      <w:bCs/>
      <w:sz w:val="32"/>
      <w:szCs w:val="30"/>
      <w:lang w:val="zh-CN"/>
    </w:rPr>
  </w:style>
  <w:style w:type="character" w:customStyle="1" w:styleId="57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2">
    <w:name w:val="Table Text Char1"/>
    <w:autoRedefine/>
    <w:qFormat/>
    <w:uiPriority w:val="0"/>
    <w:rPr>
      <w:rFonts w:eastAsia="宋体"/>
      <w:sz w:val="24"/>
      <w:szCs w:val="24"/>
      <w:lang w:val="en-US" w:eastAsia="zh-CN" w:bidi="ar-SA"/>
    </w:rPr>
  </w:style>
  <w:style w:type="character" w:customStyle="1" w:styleId="573">
    <w:name w:val="shadow11"/>
    <w:autoRedefine/>
    <w:qFormat/>
    <w:uiPriority w:val="0"/>
    <w:rPr>
      <w:color w:val="000000"/>
      <w:sz w:val="21"/>
    </w:rPr>
  </w:style>
  <w:style w:type="character" w:customStyle="1" w:styleId="574">
    <w:name w:val="HTML 地址 字符"/>
    <w:link w:val="29"/>
    <w:autoRedefine/>
    <w:qFormat/>
    <w:uiPriority w:val="0"/>
    <w:rPr>
      <w:rFonts w:ascii="宋体" w:hAnsi="宋体"/>
      <w:i/>
      <w:iCs/>
      <w:sz w:val="24"/>
      <w:szCs w:val="24"/>
    </w:rPr>
  </w:style>
  <w:style w:type="character" w:customStyle="1" w:styleId="575">
    <w:name w:val="Char Char22"/>
    <w:autoRedefine/>
    <w:qFormat/>
    <w:uiPriority w:val="0"/>
    <w:rPr>
      <w:rFonts w:eastAsia="宋体"/>
      <w:b/>
      <w:bCs/>
      <w:kern w:val="2"/>
      <w:sz w:val="21"/>
      <w:szCs w:val="24"/>
      <w:lang w:val="en-US" w:eastAsia="zh-CN" w:bidi="ar-SA"/>
    </w:rPr>
  </w:style>
  <w:style w:type="character" w:customStyle="1" w:styleId="576">
    <w:name w:val="标题 5 字符"/>
    <w:link w:val="8"/>
    <w:autoRedefine/>
    <w:qFormat/>
    <w:uiPriority w:val="0"/>
    <w:rPr>
      <w:b/>
      <w:bCs/>
      <w:kern w:val="2"/>
      <w:sz w:val="28"/>
      <w:szCs w:val="28"/>
    </w:rPr>
  </w:style>
  <w:style w:type="character" w:customStyle="1" w:styleId="577">
    <w:name w:val="h3 Char1"/>
    <w:autoRedefine/>
    <w:qFormat/>
    <w:uiPriority w:val="0"/>
    <w:rPr>
      <w:rFonts w:eastAsia="宋体"/>
      <w:b/>
      <w:bCs/>
      <w:kern w:val="2"/>
      <w:sz w:val="32"/>
      <w:szCs w:val="32"/>
      <w:lang w:bidi="ar-SA"/>
    </w:rPr>
  </w:style>
  <w:style w:type="character" w:customStyle="1" w:styleId="578">
    <w:name w:val="FA正文 Char Char"/>
    <w:autoRedefine/>
    <w:qFormat/>
    <w:uiPriority w:val="0"/>
    <w:rPr>
      <w:rFonts w:hAnsi="宋体"/>
      <w:kern w:val="2"/>
      <w:sz w:val="24"/>
      <w:lang w:bidi="ar-SA"/>
    </w:rPr>
  </w:style>
  <w:style w:type="character" w:customStyle="1" w:styleId="579">
    <w:name w:val="Char Char7"/>
    <w:autoRedefine/>
    <w:semiHidden/>
    <w:qFormat/>
    <w:uiPriority w:val="0"/>
    <w:rPr>
      <w:rFonts w:eastAsia="宋体"/>
      <w:kern w:val="2"/>
      <w:sz w:val="21"/>
      <w:szCs w:val="24"/>
      <w:lang w:val="en-US" w:eastAsia="zh-CN" w:bidi="ar-SA"/>
    </w:rPr>
  </w:style>
  <w:style w:type="character" w:customStyle="1" w:styleId="580">
    <w:name w:val="hui"/>
    <w:basedOn w:val="63"/>
    <w:autoRedefine/>
    <w:qFormat/>
    <w:uiPriority w:val="0"/>
  </w:style>
  <w:style w:type="character" w:customStyle="1" w:styleId="581">
    <w:name w:val="正文缩进 Char"/>
    <w:autoRedefine/>
    <w:qFormat/>
    <w:uiPriority w:val="0"/>
    <w:rPr>
      <w:rFonts w:eastAsia="宋体"/>
      <w:kern w:val="2"/>
      <w:sz w:val="21"/>
      <w:lang w:val="en-US" w:eastAsia="zh-CN"/>
    </w:rPr>
  </w:style>
  <w:style w:type="character" w:customStyle="1" w:styleId="582">
    <w:name w:val="正文1 Char"/>
    <w:autoRedefine/>
    <w:qFormat/>
    <w:uiPriority w:val="0"/>
    <w:rPr>
      <w:rFonts w:ascii="宋体" w:eastAsia="宋体"/>
      <w:snapToGrid w:val="0"/>
      <w:color w:val="000000"/>
      <w:kern w:val="28"/>
      <w:sz w:val="28"/>
      <w:lang w:val="en-US" w:eastAsia="zh-CN" w:bidi="ar-SA"/>
    </w:rPr>
  </w:style>
  <w:style w:type="character" w:customStyle="1" w:styleId="583">
    <w:name w:val="Char Char61"/>
    <w:autoRedefine/>
    <w:qFormat/>
    <w:uiPriority w:val="0"/>
    <w:rPr>
      <w:rFonts w:eastAsia="宋体"/>
      <w:kern w:val="2"/>
      <w:sz w:val="21"/>
      <w:szCs w:val="24"/>
      <w:lang w:val="en-US" w:eastAsia="zh-CN" w:bidi="ar-SA"/>
    </w:rPr>
  </w:style>
  <w:style w:type="character" w:customStyle="1" w:styleId="584">
    <w:name w:val="正文文本 3 字符"/>
    <w:link w:val="22"/>
    <w:autoRedefine/>
    <w:qFormat/>
    <w:uiPriority w:val="0"/>
    <w:rPr>
      <w:kern w:val="2"/>
      <w:sz w:val="21"/>
    </w:rPr>
  </w:style>
  <w:style w:type="character" w:customStyle="1" w:styleId="585">
    <w:name w:val="message1"/>
    <w:autoRedefine/>
    <w:qFormat/>
    <w:uiPriority w:val="0"/>
    <w:rPr>
      <w:rFonts w:hint="default" w:ascii="Tahoma" w:hAnsi="Tahoma" w:cs="Tahoma"/>
      <w:sz w:val="18"/>
      <w:szCs w:val="18"/>
    </w:rPr>
  </w:style>
  <w:style w:type="character" w:customStyle="1" w:styleId="586">
    <w:name w:val="DO_NOT_TRANSLATE"/>
    <w:autoRedefine/>
    <w:qFormat/>
    <w:uiPriority w:val="0"/>
    <w:rPr>
      <w:rFonts w:ascii="Courier New" w:hAnsi="Courier New" w:cs="Courier New"/>
      <w:color w:val="800000"/>
    </w:rPr>
  </w:style>
  <w:style w:type="character" w:customStyle="1" w:styleId="587">
    <w:name w:val="unnamed11"/>
    <w:autoRedefine/>
    <w:qFormat/>
    <w:uiPriority w:val="0"/>
    <w:rPr>
      <w:sz w:val="20"/>
      <w:szCs w:val="20"/>
    </w:rPr>
  </w:style>
  <w:style w:type="character" w:customStyle="1" w:styleId="588">
    <w:name w:val="tw4winInternal"/>
    <w:autoRedefine/>
    <w:qFormat/>
    <w:uiPriority w:val="0"/>
    <w:rPr>
      <w:rFonts w:ascii="Courier New" w:hAnsi="Courier New" w:cs="Courier New"/>
      <w:color w:val="FF0000"/>
    </w:rPr>
  </w:style>
  <w:style w:type="character" w:customStyle="1" w:styleId="589">
    <w:name w:val="正文（缩进2汉字） Char"/>
    <w:link w:val="329"/>
    <w:autoRedefine/>
    <w:qFormat/>
    <w:uiPriority w:val="0"/>
    <w:rPr>
      <w:rFonts w:ascii="宋体"/>
    </w:rPr>
  </w:style>
  <w:style w:type="character" w:customStyle="1" w:styleId="590">
    <w:name w:val="页脚 Char"/>
    <w:autoRedefine/>
    <w:qFormat/>
    <w:uiPriority w:val="0"/>
    <w:rPr>
      <w:rFonts w:eastAsia="仿宋_GB2312"/>
      <w:kern w:val="2"/>
      <w:sz w:val="18"/>
      <w:lang w:val="en-US" w:eastAsia="zh-CN"/>
    </w:rPr>
  </w:style>
  <w:style w:type="character" w:customStyle="1" w:styleId="591">
    <w:name w:val="正文文本缩进 3 字符"/>
    <w:link w:val="51"/>
    <w:autoRedefine/>
    <w:qFormat/>
    <w:uiPriority w:val="0"/>
    <w:rPr>
      <w:kern w:val="2"/>
      <w:sz w:val="24"/>
    </w:rPr>
  </w:style>
  <w:style w:type="character" w:customStyle="1" w:styleId="592">
    <w:name w:val="正文缩进 Char1"/>
    <w:autoRedefine/>
    <w:qFormat/>
    <w:uiPriority w:val="0"/>
    <w:rPr>
      <w:rFonts w:ascii="宋体" w:eastAsia="宋体"/>
      <w:snapToGrid w:val="0"/>
      <w:color w:val="000000"/>
      <w:kern w:val="28"/>
      <w:sz w:val="28"/>
      <w:lang w:val="en-US" w:eastAsia="zh-CN" w:bidi="ar-SA"/>
    </w:rPr>
  </w:style>
  <w:style w:type="character" w:customStyle="1" w:styleId="593">
    <w:name w:val="style36"/>
    <w:basedOn w:val="63"/>
    <w:autoRedefine/>
    <w:qFormat/>
    <w:uiPriority w:val="0"/>
  </w:style>
  <w:style w:type="character" w:customStyle="1" w:styleId="594">
    <w:name w:val="hui3"/>
    <w:autoRedefine/>
    <w:qFormat/>
    <w:uiPriority w:val="0"/>
    <w:rPr>
      <w:color w:val="333333"/>
    </w:rPr>
  </w:style>
  <w:style w:type="character" w:customStyle="1" w:styleId="595">
    <w:name w:val="apple-converted-space"/>
    <w:autoRedefine/>
    <w:qFormat/>
    <w:uiPriority w:val="0"/>
  </w:style>
  <w:style w:type="character" w:customStyle="1" w:styleId="596">
    <w:name w:val="文档结构图 Char"/>
    <w:autoRedefine/>
    <w:qFormat/>
    <w:uiPriority w:val="0"/>
    <w:rPr>
      <w:rFonts w:eastAsia="宋体"/>
      <w:kern w:val="2"/>
      <w:sz w:val="21"/>
      <w:szCs w:val="24"/>
      <w:lang w:val="en-US" w:eastAsia="zh-CN" w:bidi="ar-SA"/>
    </w:rPr>
  </w:style>
  <w:style w:type="character" w:customStyle="1" w:styleId="597">
    <w:name w:val="正文非缩进 Char3"/>
    <w:autoRedefine/>
    <w:qFormat/>
    <w:uiPriority w:val="0"/>
    <w:rPr>
      <w:rFonts w:ascii="宋体" w:eastAsia="宋体"/>
      <w:snapToGrid w:val="0"/>
      <w:color w:val="000000"/>
      <w:kern w:val="28"/>
      <w:sz w:val="28"/>
      <w:lang w:val="en-US" w:eastAsia="zh-CN" w:bidi="ar-SA"/>
    </w:rPr>
  </w:style>
  <w:style w:type="character" w:customStyle="1" w:styleId="598">
    <w:name w:val="dectext1"/>
    <w:autoRedefine/>
    <w:qFormat/>
    <w:uiPriority w:val="0"/>
    <w:rPr>
      <w:rFonts w:ascii="宋体" w:hAnsi="宋体" w:eastAsia="宋体"/>
      <w:color w:val="333333"/>
      <w:sz w:val="21"/>
      <w:szCs w:val="21"/>
      <w:u w:val="none"/>
    </w:rPr>
  </w:style>
  <w:style w:type="character" w:customStyle="1" w:styleId="599">
    <w:name w:val="副标题 Char1"/>
    <w:autoRedefine/>
    <w:qFormat/>
    <w:uiPriority w:val="0"/>
    <w:rPr>
      <w:rFonts w:ascii="Cambria" w:hAnsi="Cambria" w:eastAsia="宋体" w:cs="Times New Roman"/>
      <w:b/>
      <w:bCs/>
      <w:snapToGrid w:val="0"/>
      <w:kern w:val="28"/>
      <w:sz w:val="32"/>
      <w:szCs w:val="32"/>
    </w:rPr>
  </w:style>
  <w:style w:type="character" w:customStyle="1" w:styleId="600">
    <w:name w:val="f141"/>
    <w:autoRedefine/>
    <w:qFormat/>
    <w:uiPriority w:val="0"/>
    <w:rPr>
      <w:rFonts w:ascii="Tahoma" w:hAnsi="Tahoma" w:eastAsia="宋体"/>
      <w:b/>
      <w:kern w:val="2"/>
      <w:sz w:val="21"/>
      <w:szCs w:val="21"/>
      <w:lang w:val="en-US" w:eastAsia="zh-CN" w:bidi="ar-SA"/>
    </w:rPr>
  </w:style>
  <w:style w:type="character" w:customStyle="1" w:styleId="601">
    <w:name w:val="日期 字符"/>
    <w:link w:val="35"/>
    <w:autoRedefine/>
    <w:qFormat/>
    <w:uiPriority w:val="0"/>
    <w:rPr>
      <w:rFonts w:ascii="宋体"/>
      <w:kern w:val="2"/>
      <w:sz w:val="24"/>
      <w:szCs w:val="21"/>
      <w:lang w:val="zh-CN"/>
    </w:rPr>
  </w:style>
  <w:style w:type="character" w:customStyle="1" w:styleId="602">
    <w:name w:val="标题 4 字符"/>
    <w:link w:val="7"/>
    <w:autoRedefine/>
    <w:qFormat/>
    <w:uiPriority w:val="0"/>
    <w:rPr>
      <w:rFonts w:ascii="Arial" w:hAnsi="Arial" w:eastAsia="黑体"/>
      <w:b/>
      <w:bCs/>
      <w:kern w:val="2"/>
      <w:sz w:val="28"/>
      <w:szCs w:val="28"/>
      <w:lang w:val="zh-CN"/>
    </w:rPr>
  </w:style>
  <w:style w:type="character" w:customStyle="1" w:styleId="603">
    <w:name w:val="链接"/>
    <w:autoRedefine/>
    <w:qFormat/>
    <w:uiPriority w:val="0"/>
    <w:rPr>
      <w:color w:val="0000FF"/>
      <w:sz w:val="21"/>
      <w:szCs w:val="21"/>
      <w:u w:val="single"/>
    </w:rPr>
  </w:style>
  <w:style w:type="character" w:customStyle="1" w:styleId="604">
    <w:name w:val="正文首行缩进 Char Char Char Char Char Char"/>
    <w:autoRedefine/>
    <w:qFormat/>
    <w:uiPriority w:val="0"/>
    <w:rPr>
      <w:rFonts w:ascii="宋体" w:eastAsia="宋体"/>
      <w:kern w:val="2"/>
      <w:sz w:val="24"/>
      <w:lang w:val="zh-CN" w:bidi="ar-SA"/>
    </w:rPr>
  </w:style>
  <w:style w:type="character" w:customStyle="1" w:styleId="605">
    <w:name w:val="tw4winError"/>
    <w:autoRedefine/>
    <w:qFormat/>
    <w:uiPriority w:val="0"/>
    <w:rPr>
      <w:rFonts w:ascii="Courier New" w:hAnsi="Courier New" w:cs="Courier New"/>
      <w:color w:val="00FF00"/>
      <w:sz w:val="40"/>
      <w:szCs w:val="40"/>
    </w:rPr>
  </w:style>
  <w:style w:type="character" w:customStyle="1" w:styleId="606">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7">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autoRedefine/>
    <w:qFormat/>
    <w:uiPriority w:val="0"/>
    <w:rPr>
      <w:rFonts w:ascii="宋体" w:eastAsia="宋体"/>
      <w:snapToGrid w:val="0"/>
      <w:color w:val="000000"/>
      <w:kern w:val="28"/>
      <w:sz w:val="28"/>
      <w:lang w:val="en-US" w:eastAsia="zh-CN" w:bidi="ar-SA"/>
    </w:rPr>
  </w:style>
  <w:style w:type="character" w:customStyle="1" w:styleId="609">
    <w:name w:val="普通文字 Char1 Char"/>
    <w:autoRedefine/>
    <w:qFormat/>
    <w:uiPriority w:val="0"/>
    <w:rPr>
      <w:rFonts w:ascii="宋体" w:hAnsi="Courier New" w:eastAsia="宋体"/>
      <w:kern w:val="2"/>
      <w:sz w:val="21"/>
      <w:szCs w:val="24"/>
      <w:lang w:val="en-US" w:eastAsia="zh-CN" w:bidi="ar-SA"/>
    </w:rPr>
  </w:style>
  <w:style w:type="character" w:customStyle="1" w:styleId="610">
    <w:name w:val="pt9"/>
    <w:autoRedefine/>
    <w:qFormat/>
    <w:uiPriority w:val="0"/>
    <w:rPr>
      <w:rFonts w:ascii="仿宋_GB2312" w:eastAsia="微软雅黑"/>
      <w:b/>
      <w:kern w:val="2"/>
      <w:sz w:val="32"/>
      <w:szCs w:val="32"/>
      <w:lang w:val="en-US" w:eastAsia="zh-CN" w:bidi="ar-SA"/>
    </w:rPr>
  </w:style>
  <w:style w:type="character" w:customStyle="1" w:styleId="611">
    <w:name w:val="large1"/>
    <w:autoRedefine/>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autoRedefine/>
    <w:qFormat/>
    <w:uiPriority w:val="0"/>
    <w:rPr>
      <w:rFonts w:ascii="微软雅黑" w:hAnsi="微软雅黑" w:eastAsia="微软雅黑"/>
      <w:b/>
      <w:bCs/>
      <w:kern w:val="2"/>
      <w:sz w:val="24"/>
      <w:szCs w:val="28"/>
    </w:rPr>
  </w:style>
  <w:style w:type="character" w:customStyle="1" w:styleId="613">
    <w:name w:val="标题 4 Char1"/>
    <w:autoRedefine/>
    <w:semiHidden/>
    <w:qFormat/>
    <w:uiPriority w:val="9"/>
    <w:rPr>
      <w:rFonts w:ascii="Cambria" w:hAnsi="Cambria" w:eastAsia="宋体" w:cs="Times New Roman"/>
      <w:b/>
      <w:bCs/>
      <w:kern w:val="2"/>
      <w:sz w:val="28"/>
      <w:szCs w:val="28"/>
    </w:rPr>
  </w:style>
  <w:style w:type="character" w:customStyle="1" w:styleId="614">
    <w:name w:val="tw4winPopup"/>
    <w:autoRedefine/>
    <w:qFormat/>
    <w:uiPriority w:val="0"/>
    <w:rPr>
      <w:rFonts w:ascii="Courier New" w:hAnsi="Courier New" w:cs="Courier New"/>
      <w:color w:val="008000"/>
    </w:rPr>
  </w:style>
  <w:style w:type="character" w:customStyle="1" w:styleId="615">
    <w:name w:val="标题 6 字符"/>
    <w:link w:val="9"/>
    <w:autoRedefine/>
    <w:qFormat/>
    <w:uiPriority w:val="0"/>
    <w:rPr>
      <w:rFonts w:ascii="Arial" w:hAnsi="Arial" w:eastAsia="黑体"/>
      <w:b/>
      <w:bCs/>
      <w:kern w:val="2"/>
      <w:sz w:val="24"/>
      <w:szCs w:val="24"/>
    </w:rPr>
  </w:style>
  <w:style w:type="character" w:customStyle="1" w:styleId="616">
    <w:name w:val="正文缩进 字符"/>
    <w:link w:val="6"/>
    <w:autoRedefine/>
    <w:qFormat/>
    <w:uiPriority w:val="0"/>
    <w:rPr>
      <w:rFonts w:ascii="宋体" w:eastAsia="宋体"/>
      <w:snapToGrid w:val="0"/>
      <w:color w:val="000000"/>
      <w:kern w:val="28"/>
      <w:sz w:val="28"/>
      <w:lang w:val="en-US" w:eastAsia="zh-CN" w:bidi="ar-SA"/>
    </w:rPr>
  </w:style>
  <w:style w:type="character" w:customStyle="1" w:styleId="617">
    <w:name w:val="批注文字 字符"/>
    <w:link w:val="20"/>
    <w:autoRedefine/>
    <w:qFormat/>
    <w:uiPriority w:val="99"/>
    <w:rPr>
      <w:kern w:val="2"/>
      <w:sz w:val="21"/>
      <w:szCs w:val="24"/>
    </w:rPr>
  </w:style>
  <w:style w:type="character" w:customStyle="1" w:styleId="618">
    <w:name w:val="批注框文本 字符"/>
    <w:link w:val="37"/>
    <w:autoRedefine/>
    <w:semiHidden/>
    <w:qFormat/>
    <w:uiPriority w:val="0"/>
    <w:rPr>
      <w:kern w:val="2"/>
      <w:sz w:val="18"/>
      <w:szCs w:val="18"/>
    </w:rPr>
  </w:style>
  <w:style w:type="character" w:customStyle="1" w:styleId="619">
    <w:name w:val="Footer Char"/>
    <w:autoRedefine/>
    <w:qFormat/>
    <w:locked/>
    <w:uiPriority w:val="0"/>
    <w:rPr>
      <w:rFonts w:eastAsia="宋体"/>
      <w:kern w:val="2"/>
      <w:sz w:val="18"/>
      <w:lang w:val="en-US" w:eastAsia="zh-CN" w:bidi="ar-SA"/>
    </w:rPr>
  </w:style>
  <w:style w:type="paragraph" w:customStyle="1" w:styleId="62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2">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624"/>
    <w:link w:val="625"/>
    <w:autoRedefine/>
    <w:qFormat/>
    <w:uiPriority w:val="0"/>
    <w:pPr>
      <w:adjustRightInd/>
    </w:pPr>
    <w:rPr>
      <w:rFonts w:ascii="宋体" w:hAnsi="Courier New"/>
      <w:szCs w:val="21"/>
    </w:rPr>
  </w:style>
  <w:style w:type="paragraph" w:customStyle="1" w:styleId="62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纯文本 Char_0"/>
    <w:link w:val="623"/>
    <w:autoRedefine/>
    <w:qFormat/>
    <w:uiPriority w:val="0"/>
    <w:rPr>
      <w:rFonts w:ascii="宋体" w:hAnsi="Courier New"/>
      <w:kern w:val="2"/>
      <w:sz w:val="21"/>
      <w:szCs w:val="21"/>
      <w:lang w:val="en-US" w:eastAsia="zh-CN"/>
    </w:rPr>
  </w:style>
  <w:style w:type="character" w:customStyle="1" w:styleId="626">
    <w:name w:val="纯文本 Char1"/>
    <w:link w:val="627"/>
    <w:autoRedefine/>
    <w:qFormat/>
    <w:uiPriority w:val="0"/>
    <w:rPr>
      <w:rFonts w:ascii="宋体" w:hAnsi="Courier New"/>
    </w:rPr>
  </w:style>
  <w:style w:type="paragraph" w:customStyle="1" w:styleId="627">
    <w:name w:val="纯文本1"/>
    <w:basedOn w:val="1"/>
    <w:link w:val="626"/>
    <w:autoRedefine/>
    <w:qFormat/>
    <w:uiPriority w:val="0"/>
    <w:pPr>
      <w:adjustRightInd/>
    </w:pPr>
    <w:rPr>
      <w:rFonts w:ascii="宋体" w:hAnsi="Courier New"/>
      <w:kern w:val="0"/>
      <w:sz w:val="20"/>
      <w:szCs w:val="20"/>
    </w:rPr>
  </w:style>
  <w:style w:type="paragraph" w:customStyle="1" w:styleId="628">
    <w:name w:val="Char Char Char Char Char Char Char2"/>
    <w:basedOn w:val="1"/>
    <w:autoRedefine/>
    <w:qFormat/>
    <w:uiPriority w:val="0"/>
    <w:rPr>
      <w:rFonts w:ascii="仿宋_GB2312" w:eastAsia="仿宋_GB2312"/>
      <w:b/>
      <w:sz w:val="32"/>
      <w:szCs w:val="32"/>
    </w:rPr>
  </w:style>
  <w:style w:type="paragraph" w:customStyle="1" w:styleId="629">
    <w:name w:val="Char Char1 Char Char Char Char Char Char2"/>
    <w:basedOn w:val="1"/>
    <w:autoRedefine/>
    <w:qFormat/>
    <w:uiPriority w:val="0"/>
    <w:rPr>
      <w:rFonts w:ascii="仿宋_GB2312" w:eastAsia="仿宋_GB2312"/>
      <w:b/>
      <w:sz w:val="32"/>
      <w:szCs w:val="20"/>
    </w:rPr>
  </w:style>
  <w:style w:type="paragraph" w:customStyle="1" w:styleId="630">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4"/>
    <w:autoRedefine/>
    <w:qFormat/>
    <w:uiPriority w:val="0"/>
    <w:rPr>
      <w:rFonts w:ascii="仿宋_GB2312" w:eastAsia="仿宋_GB2312" w:cs="仿宋_GB2312"/>
      <w:color w:val="000000"/>
      <w:sz w:val="24"/>
      <w:szCs w:val="24"/>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autoRedefine/>
    <w:qFormat/>
    <w:uiPriority w:val="0"/>
    <w:rPr>
      <w:rFonts w:ascii="Times New Roman" w:hAnsi="Times New Roman" w:eastAsia="宋体" w:cs="Times New Roman"/>
      <w:lang w:val="en-US" w:eastAsia="zh-CN" w:bidi="ar-SA"/>
    </w:rPr>
  </w:style>
  <w:style w:type="paragraph" w:customStyle="1" w:styleId="637">
    <w:name w:val="_Style 3"/>
    <w:basedOn w:val="1"/>
    <w:autoRedefine/>
    <w:qFormat/>
    <w:uiPriority w:val="0"/>
    <w:pPr>
      <w:adjustRightInd/>
      <w:ind w:firstLine="420" w:firstLineChars="200"/>
    </w:pPr>
    <w:rPr>
      <w:rFonts w:eastAsia="仿宋_GB2312"/>
      <w:sz w:val="28"/>
    </w:rPr>
  </w:style>
  <w:style w:type="paragraph" w:customStyle="1" w:styleId="638">
    <w:name w:val="须知二级小标题"/>
    <w:basedOn w:val="1"/>
    <w:autoRedefine/>
    <w:qFormat/>
    <w:uiPriority w:val="0"/>
    <w:pPr>
      <w:spacing w:line="500" w:lineRule="exact"/>
    </w:pPr>
    <w:rPr>
      <w:rFonts w:ascii="宋体"/>
      <w:b/>
      <w:sz w:val="24"/>
      <w:szCs w:val="20"/>
    </w:rPr>
  </w:style>
  <w:style w:type="paragraph" w:customStyle="1" w:styleId="639">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3"/>
    <w:basedOn w:val="1"/>
    <w:next w:val="24"/>
    <w:autoRedefine/>
    <w:qFormat/>
    <w:uiPriority w:val="0"/>
    <w:pPr>
      <w:spacing w:beforeLines="50"/>
      <w:ind w:firstLine="420" w:firstLineChars="200"/>
    </w:pPr>
    <w:rPr>
      <w:rFonts w:ascii="宋体" w:hAnsi="宋体"/>
      <w:spacing w:val="-6"/>
    </w:rPr>
  </w:style>
  <w:style w:type="paragraph" w:customStyle="1" w:styleId="641">
    <w:name w:val="目次、标准名称标题"/>
    <w:basedOn w:val="245"/>
    <w:next w:val="142"/>
    <w:autoRedefine/>
    <w:qFormat/>
    <w:uiPriority w:val="0"/>
    <w:pPr>
      <w:spacing w:line="460" w:lineRule="exact"/>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403</Words>
  <Characters>475</Characters>
  <Lines>391</Lines>
  <Paragraphs>110</Paragraphs>
  <TotalTime>394</TotalTime>
  <ScaleCrop>false</ScaleCrop>
  <LinksUpToDate>false</LinksUpToDate>
  <CharactersWithSpaces>501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huhu</cp:lastModifiedBy>
  <cp:lastPrinted>2025-01-22T05:38:00Z</cp:lastPrinted>
  <dcterms:modified xsi:type="dcterms:W3CDTF">2025-02-05T07:38:50Z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34E420B422CE4488A88F720843D65A1D_13</vt:lpwstr>
  </property>
  <property fmtid="{D5CDD505-2E9C-101B-9397-08002B2CF9AE}" pid="4" name="KSOTemplateDocerSaveRecord">
    <vt:lpwstr>eyJoZGlkIjoiZGI5OGE5ZGUzZTIyZTJhZDM5NzBkZjAxMWYwY2I5NDYiLCJ1c2VySWQiOiIzNjk2MzgzOTYifQ==</vt:lpwstr>
  </property>
</Properties>
</file>