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3D13C">
      <w:pPr>
        <w:spacing w:line="360" w:lineRule="auto"/>
        <w:jc w:val="center"/>
        <w:rPr>
          <w:rFonts w:ascii="宋体" w:hAnsi="宋体" w:cs="宋体"/>
          <w:b/>
          <w:color w:val="auto"/>
          <w:sz w:val="24"/>
          <w:highlight w:val="none"/>
        </w:rPr>
      </w:pPr>
    </w:p>
    <w:p w14:paraId="7847D568">
      <w:pPr>
        <w:spacing w:line="360" w:lineRule="auto"/>
        <w:jc w:val="center"/>
        <w:rPr>
          <w:rFonts w:ascii="宋体" w:hAnsi="宋体" w:cs="宋体"/>
          <w:b/>
          <w:color w:val="auto"/>
          <w:sz w:val="24"/>
          <w:highlight w:val="none"/>
        </w:rPr>
      </w:pPr>
    </w:p>
    <w:p w14:paraId="26DECBF4">
      <w:pPr>
        <w:adjustRightInd/>
        <w:spacing w:line="360" w:lineRule="auto"/>
        <w:jc w:val="center"/>
        <w:rPr>
          <w:rFonts w:ascii="宋体" w:hAnsi="宋体" w:cs="宋体"/>
          <w:b/>
          <w:color w:val="auto"/>
          <w:sz w:val="44"/>
          <w:szCs w:val="44"/>
          <w:highlight w:val="none"/>
        </w:rPr>
      </w:pPr>
    </w:p>
    <w:p w14:paraId="3C8C8817">
      <w:pPr>
        <w:adjustRightInd/>
        <w:spacing w:line="360" w:lineRule="auto"/>
        <w:jc w:val="center"/>
        <w:rPr>
          <w:rFonts w:ascii="宋体" w:hAnsi="宋体" w:cs="宋体"/>
          <w:b/>
          <w:color w:val="auto"/>
          <w:sz w:val="48"/>
          <w:szCs w:val="48"/>
          <w:highlight w:val="none"/>
        </w:rPr>
      </w:pPr>
    </w:p>
    <w:p w14:paraId="25FEEA58">
      <w:pPr>
        <w:adjustRightInd/>
        <w:spacing w:line="360" w:lineRule="auto"/>
        <w:jc w:val="center"/>
        <w:rPr>
          <w:rFonts w:hint="eastAsia" w:cs="宋体" w:asciiTheme="minorEastAsia" w:hAnsiTheme="minorEastAsia"/>
          <w:color w:val="auto"/>
          <w:sz w:val="52"/>
          <w:szCs w:val="52"/>
          <w:highlight w:val="none"/>
          <w:lang w:val="en-US" w:eastAsia="zh-CN"/>
        </w:rPr>
      </w:pPr>
      <w:r>
        <w:rPr>
          <w:rFonts w:hint="eastAsia" w:cs="宋体" w:asciiTheme="minorEastAsia" w:hAnsiTheme="minorEastAsia"/>
          <w:color w:val="auto"/>
          <w:sz w:val="52"/>
          <w:szCs w:val="52"/>
          <w:highlight w:val="none"/>
          <w:lang w:eastAsia="zh-CN"/>
        </w:rPr>
        <w:t>杭州市上城区计划生育协会2025年计生系列保险项目（</w:t>
      </w:r>
      <w:r>
        <w:rPr>
          <w:rFonts w:hint="eastAsia" w:cs="宋体" w:asciiTheme="minorEastAsia" w:hAnsiTheme="minorEastAsia"/>
          <w:color w:val="auto"/>
          <w:sz w:val="52"/>
          <w:szCs w:val="52"/>
          <w:highlight w:val="none"/>
          <w:lang w:val="en-US" w:eastAsia="zh-CN"/>
        </w:rPr>
        <w:t>第二次）</w:t>
      </w:r>
    </w:p>
    <w:p w14:paraId="1E8C2B6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B7CBD5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E7EB76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XRGC-JHSYXH2024-01（2）</w:t>
      </w:r>
    </w:p>
    <w:p w14:paraId="393A288C">
      <w:pPr>
        <w:adjustRightInd/>
        <w:spacing w:line="360" w:lineRule="auto"/>
        <w:rPr>
          <w:rFonts w:ascii="宋体" w:hAnsi="宋体" w:cs="宋体"/>
          <w:color w:val="auto"/>
          <w:sz w:val="28"/>
          <w:szCs w:val="20"/>
          <w:highlight w:val="none"/>
        </w:rPr>
      </w:pPr>
    </w:p>
    <w:p w14:paraId="02A005F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DC9A469">
      <w:pPr>
        <w:spacing w:line="360" w:lineRule="auto"/>
        <w:jc w:val="center"/>
        <w:rPr>
          <w:rFonts w:ascii="宋体" w:hAnsi="宋体" w:cs="宋体"/>
          <w:b/>
          <w:color w:val="auto"/>
          <w:sz w:val="44"/>
          <w:szCs w:val="44"/>
          <w:highlight w:val="none"/>
        </w:rPr>
      </w:pPr>
    </w:p>
    <w:p w14:paraId="2CA79A62">
      <w:pPr>
        <w:spacing w:line="360" w:lineRule="auto"/>
        <w:jc w:val="center"/>
        <w:rPr>
          <w:rFonts w:ascii="宋体" w:hAnsi="宋体" w:cs="宋体"/>
          <w:color w:val="auto"/>
          <w:sz w:val="24"/>
          <w:highlight w:val="none"/>
        </w:rPr>
      </w:pPr>
    </w:p>
    <w:p w14:paraId="40167B72">
      <w:pPr>
        <w:spacing w:line="360" w:lineRule="auto"/>
        <w:jc w:val="center"/>
        <w:rPr>
          <w:rFonts w:ascii="宋体" w:hAnsi="宋体" w:cs="宋体"/>
          <w:color w:val="auto"/>
          <w:sz w:val="24"/>
          <w:highlight w:val="none"/>
        </w:rPr>
      </w:pPr>
    </w:p>
    <w:p w14:paraId="4D4A5838">
      <w:pPr>
        <w:spacing w:line="360" w:lineRule="auto"/>
        <w:rPr>
          <w:rFonts w:ascii="宋体" w:hAnsi="宋体" w:cs="宋体"/>
          <w:color w:val="auto"/>
          <w:sz w:val="32"/>
          <w:szCs w:val="32"/>
          <w:highlight w:val="none"/>
        </w:rPr>
      </w:pPr>
    </w:p>
    <w:p w14:paraId="609D6484">
      <w:pPr>
        <w:spacing w:line="360" w:lineRule="auto"/>
        <w:rPr>
          <w:rFonts w:cs="宋体" w:asciiTheme="minorEastAsia" w:hAnsiTheme="minorEastAsia"/>
          <w:color w:val="auto"/>
          <w:sz w:val="32"/>
          <w:szCs w:val="32"/>
          <w:highlight w:val="none"/>
        </w:rPr>
      </w:pPr>
    </w:p>
    <w:p w14:paraId="674B5EEE">
      <w:pPr>
        <w:snapToGrid w:val="0"/>
        <w:spacing w:line="360" w:lineRule="auto"/>
        <w:jc w:val="center"/>
        <w:rPr>
          <w:rFonts w:cs="宋体" w:asciiTheme="minorEastAsia" w:hAnsiTheme="minorEastAsia"/>
          <w:bCs/>
          <w:color w:val="auto"/>
          <w:sz w:val="32"/>
          <w:szCs w:val="32"/>
          <w:highlight w:val="none"/>
        </w:rPr>
      </w:pPr>
      <w:r>
        <w:rPr>
          <w:rFonts w:hint="eastAsia" w:cs="宋体" w:asciiTheme="minorEastAsia" w:hAnsiTheme="minorEastAsia"/>
          <w:bCs/>
          <w:color w:val="auto"/>
          <w:sz w:val="32"/>
          <w:szCs w:val="32"/>
          <w:highlight w:val="none"/>
        </w:rPr>
        <w:t>采购人：</w:t>
      </w:r>
      <w:r>
        <w:rPr>
          <w:rFonts w:asciiTheme="minorEastAsia" w:hAnsiTheme="minorEastAsia"/>
          <w:bCs/>
          <w:color w:val="auto"/>
          <w:sz w:val="32"/>
          <w:szCs w:val="32"/>
          <w:highlight w:val="none"/>
        </w:rPr>
        <w:t>杭州市上城区计划生育协会</w:t>
      </w:r>
      <w:r>
        <w:rPr>
          <w:rFonts w:cs="宋体" w:asciiTheme="minorEastAsia" w:hAnsiTheme="minorEastAsia"/>
          <w:bCs/>
          <w:color w:val="auto"/>
          <w:sz w:val="32"/>
          <w:szCs w:val="32"/>
          <w:highlight w:val="none"/>
        </w:rPr>
        <w:t>  </w:t>
      </w:r>
    </w:p>
    <w:p w14:paraId="08F2E72B">
      <w:pPr>
        <w:spacing w:line="360" w:lineRule="auto"/>
        <w:jc w:val="center"/>
        <w:rPr>
          <w:rFonts w:cs="宋体" w:asciiTheme="minorEastAsia" w:hAnsiTheme="minorEastAsia"/>
          <w:bCs/>
          <w:color w:val="auto"/>
          <w:sz w:val="32"/>
          <w:szCs w:val="32"/>
          <w:highlight w:val="none"/>
        </w:rPr>
      </w:pPr>
      <w:r>
        <w:rPr>
          <w:rFonts w:hint="eastAsia" w:cs="宋体" w:asciiTheme="minorEastAsia" w:hAnsiTheme="minorEastAsia"/>
          <w:bCs/>
          <w:color w:val="auto"/>
          <w:sz w:val="32"/>
          <w:szCs w:val="32"/>
          <w:highlight w:val="none"/>
        </w:rPr>
        <w:t>采购代理</w:t>
      </w:r>
      <w:r>
        <w:rPr>
          <w:rFonts w:hint="eastAsia" w:cs="宋体" w:asciiTheme="minorEastAsia" w:hAnsiTheme="minorEastAsia"/>
          <w:bCs/>
          <w:color w:val="auto"/>
          <w:sz w:val="32"/>
          <w:szCs w:val="32"/>
          <w:highlight w:val="none"/>
        </w:rPr>
        <w:t>机构：浙江鑫润工程管理有限公司</w:t>
      </w:r>
    </w:p>
    <w:p w14:paraId="4DBA251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1DC44C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8B1CD8E">
      <w:pPr>
        <w:pStyle w:val="634"/>
        <w:rPr>
          <w:color w:val="auto"/>
          <w:highlight w:val="none"/>
        </w:rPr>
      </w:pPr>
    </w:p>
    <w:p w14:paraId="104F5EB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609149">
      <w:pPr>
        <w:spacing w:line="360" w:lineRule="auto"/>
        <w:rPr>
          <w:rFonts w:ascii="宋体" w:hAnsi="宋体" w:cs="宋体"/>
          <w:color w:val="auto"/>
          <w:sz w:val="32"/>
          <w:szCs w:val="32"/>
          <w:highlight w:val="none"/>
        </w:rPr>
      </w:pPr>
    </w:p>
    <w:p w14:paraId="3D824CDD">
      <w:pPr>
        <w:spacing w:line="360" w:lineRule="auto"/>
        <w:rPr>
          <w:rFonts w:ascii="宋体" w:hAnsi="宋体" w:cs="宋体"/>
          <w:color w:val="auto"/>
          <w:sz w:val="32"/>
          <w:szCs w:val="32"/>
          <w:highlight w:val="none"/>
        </w:rPr>
      </w:pPr>
    </w:p>
    <w:p w14:paraId="617147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18F98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2DEF0C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EEBD72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8DB48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8E0C4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3A209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6E8C8E7">
      <w:pPr>
        <w:spacing w:line="360" w:lineRule="auto"/>
        <w:ind w:firstLine="549" w:firstLineChars="229"/>
        <w:rPr>
          <w:rFonts w:ascii="宋体" w:hAnsi="宋体" w:cs="宋体"/>
          <w:color w:val="auto"/>
          <w:sz w:val="24"/>
          <w:highlight w:val="none"/>
        </w:rPr>
      </w:pPr>
    </w:p>
    <w:p w14:paraId="207452F3">
      <w:pPr>
        <w:spacing w:line="360" w:lineRule="auto"/>
        <w:ind w:firstLine="549" w:firstLineChars="229"/>
        <w:rPr>
          <w:rFonts w:ascii="宋体" w:hAnsi="宋体" w:cs="宋体"/>
          <w:color w:val="auto"/>
          <w:sz w:val="24"/>
          <w:highlight w:val="none"/>
        </w:rPr>
      </w:pPr>
    </w:p>
    <w:p w14:paraId="7CF07E7D">
      <w:pPr>
        <w:spacing w:line="360" w:lineRule="auto"/>
        <w:ind w:firstLine="549" w:firstLineChars="229"/>
        <w:rPr>
          <w:rFonts w:ascii="宋体" w:hAnsi="宋体" w:cs="宋体"/>
          <w:color w:val="auto"/>
          <w:sz w:val="24"/>
          <w:highlight w:val="none"/>
        </w:rPr>
      </w:pPr>
    </w:p>
    <w:p w14:paraId="4968E39C">
      <w:pPr>
        <w:spacing w:line="360" w:lineRule="auto"/>
        <w:ind w:firstLine="549" w:firstLineChars="229"/>
        <w:rPr>
          <w:rFonts w:ascii="宋体" w:hAnsi="宋体" w:cs="宋体"/>
          <w:color w:val="auto"/>
          <w:sz w:val="24"/>
          <w:highlight w:val="none"/>
        </w:rPr>
      </w:pPr>
    </w:p>
    <w:p w14:paraId="7F7A8C62">
      <w:pPr>
        <w:spacing w:line="360" w:lineRule="auto"/>
        <w:ind w:firstLine="549" w:firstLineChars="229"/>
        <w:rPr>
          <w:rFonts w:ascii="宋体" w:hAnsi="宋体" w:cs="宋体"/>
          <w:color w:val="auto"/>
          <w:sz w:val="24"/>
          <w:highlight w:val="none"/>
        </w:rPr>
      </w:pPr>
    </w:p>
    <w:p w14:paraId="6D015944">
      <w:pPr>
        <w:spacing w:line="360" w:lineRule="auto"/>
        <w:ind w:firstLine="549" w:firstLineChars="229"/>
        <w:rPr>
          <w:rFonts w:ascii="宋体" w:hAnsi="宋体" w:cs="宋体"/>
          <w:color w:val="auto"/>
          <w:sz w:val="24"/>
          <w:highlight w:val="none"/>
        </w:rPr>
      </w:pPr>
    </w:p>
    <w:p w14:paraId="7D99328E">
      <w:pPr>
        <w:spacing w:line="360" w:lineRule="auto"/>
        <w:ind w:firstLine="549" w:firstLineChars="229"/>
        <w:rPr>
          <w:rFonts w:ascii="宋体" w:hAnsi="宋体" w:cs="宋体"/>
          <w:color w:val="auto"/>
          <w:sz w:val="24"/>
          <w:highlight w:val="none"/>
        </w:rPr>
      </w:pPr>
    </w:p>
    <w:p w14:paraId="73D877AD">
      <w:pPr>
        <w:spacing w:line="360" w:lineRule="auto"/>
        <w:ind w:firstLine="549" w:firstLineChars="229"/>
        <w:rPr>
          <w:rFonts w:ascii="宋体" w:hAnsi="宋体" w:cs="宋体"/>
          <w:color w:val="auto"/>
          <w:sz w:val="24"/>
          <w:highlight w:val="none"/>
        </w:rPr>
      </w:pPr>
    </w:p>
    <w:p w14:paraId="74FCA4D5">
      <w:pPr>
        <w:spacing w:line="360" w:lineRule="auto"/>
        <w:ind w:firstLine="549" w:firstLineChars="229"/>
        <w:rPr>
          <w:rFonts w:ascii="宋体" w:hAnsi="宋体" w:cs="宋体"/>
          <w:color w:val="auto"/>
          <w:sz w:val="24"/>
          <w:highlight w:val="none"/>
        </w:rPr>
      </w:pPr>
    </w:p>
    <w:p w14:paraId="5537E7FC">
      <w:pPr>
        <w:spacing w:line="360" w:lineRule="auto"/>
        <w:ind w:firstLine="549" w:firstLineChars="229"/>
        <w:rPr>
          <w:rFonts w:ascii="宋体" w:hAnsi="宋体" w:cs="宋体"/>
          <w:color w:val="auto"/>
          <w:sz w:val="24"/>
          <w:highlight w:val="none"/>
        </w:rPr>
      </w:pPr>
    </w:p>
    <w:p w14:paraId="7BF34B1F">
      <w:pPr>
        <w:spacing w:line="360" w:lineRule="auto"/>
        <w:ind w:firstLine="549" w:firstLineChars="229"/>
        <w:rPr>
          <w:rFonts w:ascii="宋体" w:hAnsi="宋体" w:cs="宋体"/>
          <w:color w:val="auto"/>
          <w:sz w:val="24"/>
          <w:highlight w:val="none"/>
        </w:rPr>
      </w:pPr>
    </w:p>
    <w:p w14:paraId="5C34541A">
      <w:pPr>
        <w:spacing w:line="360" w:lineRule="auto"/>
        <w:ind w:firstLine="549" w:firstLineChars="229"/>
        <w:rPr>
          <w:rFonts w:ascii="宋体" w:hAnsi="宋体" w:cs="宋体"/>
          <w:color w:val="auto"/>
          <w:sz w:val="24"/>
          <w:highlight w:val="none"/>
        </w:rPr>
      </w:pPr>
    </w:p>
    <w:p w14:paraId="78091155">
      <w:pPr>
        <w:spacing w:line="360" w:lineRule="auto"/>
        <w:rPr>
          <w:rFonts w:ascii="宋体" w:hAnsi="宋体" w:cs="宋体"/>
          <w:color w:val="auto"/>
          <w:sz w:val="24"/>
          <w:highlight w:val="none"/>
        </w:rPr>
      </w:pPr>
    </w:p>
    <w:p w14:paraId="2776A3D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18E49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5D525B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cs="宋体" w:asciiTheme="minorEastAsia" w:hAnsiTheme="minorEastAsia"/>
          <w:color w:val="auto"/>
          <w:sz w:val="24"/>
          <w:highlight w:val="none"/>
          <w:u w:val="single"/>
          <w:lang w:eastAsia="zh-CN"/>
        </w:rPr>
        <w:t>杭州市上城区计划生育协会2025年计生系列保险项目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9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29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8A889F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3EBC7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cs="宋体" w:asciiTheme="minorEastAsia" w:hAnsiTheme="minorEastAsia"/>
          <w:color w:val="auto"/>
          <w:sz w:val="24"/>
          <w:highlight w:val="none"/>
          <w:u w:val="none"/>
          <w:lang w:val="en-US" w:eastAsia="zh-CN"/>
        </w:rPr>
        <w:t>XRGC-JHSYXH2024-01</w:t>
      </w:r>
    </w:p>
    <w:p w14:paraId="5DA72A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cs="宋体" w:asciiTheme="minorEastAsia" w:hAnsiTheme="minorEastAsia"/>
          <w:color w:val="auto"/>
          <w:sz w:val="24"/>
          <w:highlight w:val="none"/>
          <w:u w:val="none"/>
          <w:lang w:eastAsia="zh-CN"/>
        </w:rPr>
        <w:t>杭州市上城区计划生育协会2025年计生系列保险项目</w:t>
      </w:r>
    </w:p>
    <w:p w14:paraId="0FD6F5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1177000</w:t>
      </w:r>
    </w:p>
    <w:p w14:paraId="61E73972">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1177000</w:t>
      </w:r>
    </w:p>
    <w:p w14:paraId="741E9F2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宋体" w:asciiTheme="minorEastAsia" w:hAnsiTheme="minorEastAsia"/>
          <w:color w:val="auto"/>
          <w:sz w:val="24"/>
          <w:highlight w:val="none"/>
          <w:u w:val="none"/>
          <w:lang w:eastAsia="zh-CN"/>
        </w:rPr>
        <w:t>杭州市上城区计划生育协会2025年计生系列保险项目</w:t>
      </w:r>
      <w:r>
        <w:rPr>
          <w:rFonts w:hint="eastAsia" w:hAnsi="宋体" w:cs="宋体"/>
          <w:bCs/>
          <w:snapToGrid/>
          <w:color w:val="auto"/>
          <w:kern w:val="2"/>
          <w:sz w:val="24"/>
          <w:szCs w:val="24"/>
          <w:highlight w:val="none"/>
        </w:rPr>
        <w:t>主要内容：</w:t>
      </w:r>
      <w:r>
        <w:rPr>
          <w:rFonts w:hint="eastAsia" w:cs="宋体" w:asciiTheme="minorEastAsia" w:hAnsiTheme="minorEastAsia"/>
          <w:color w:val="auto"/>
          <w:sz w:val="24"/>
          <w:highlight w:val="none"/>
          <w:u w:val="none"/>
          <w:lang w:eastAsia="zh-CN"/>
        </w:rPr>
        <w:t>杭州市上城区计划生育协会2025年计生系列保险项目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279591E">
      <w:pPr>
        <w:pStyle w:val="128"/>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12个月</w:t>
      </w:r>
    </w:p>
    <w:p w14:paraId="55DA890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38CFDF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BBD1E8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66E34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79709D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AB8D92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107777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DB64AC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5BA4112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0B9BCC5">
      <w:pPr>
        <w:rPr>
          <w:rFonts w:ascii="宋体" w:hAnsi="宋体" w:cs="宋体"/>
          <w:color w:val="auto"/>
          <w:highlight w:val="none"/>
        </w:rPr>
      </w:pPr>
    </w:p>
    <w:p w14:paraId="0B14C90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E4DA4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B99CA7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cs="宋体" w:asciiTheme="minorEastAsia" w:hAnsiTheme="minorEastAsia"/>
          <w:color w:val="auto"/>
          <w:sz w:val="24"/>
          <w:highlight w:val="none"/>
        </w:rPr>
        <w:t>具有国家保险监督管理机构批准的《中华人民共和国保险许可证》</w:t>
      </w:r>
      <w:r>
        <w:rPr>
          <w:rFonts w:hint="eastAsia" w:ascii="宋体" w:hAnsi="宋体" w:cs="宋体"/>
          <w:color w:val="auto"/>
          <w:sz w:val="24"/>
          <w:highlight w:val="none"/>
        </w:rPr>
        <w:t>；</w:t>
      </w:r>
    </w:p>
    <w:p w14:paraId="6F90E2E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189D6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A2FB2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5D9AA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2876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805D7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538944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F34E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030DBC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928DA1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14:paraId="4186BF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475BC9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5D336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9575C8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6DAC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EDE1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009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D386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803D4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09EDC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72B4F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名    称：</w:t>
      </w:r>
      <w:r>
        <w:rPr>
          <w:rFonts w:hint="eastAsia" w:cs="宋体" w:asciiTheme="minorEastAsia" w:hAnsiTheme="minorEastAsia"/>
          <w:color w:val="auto"/>
          <w:sz w:val="24"/>
          <w:highlight w:val="none"/>
        </w:rPr>
        <w:t>杭州市上城区计划生育协会</w:t>
      </w:r>
      <w:r>
        <w:rPr>
          <w:rFonts w:hint="eastAsia" w:ascii="宋体" w:hAnsi="宋体" w:cs="宋体"/>
          <w:color w:val="auto"/>
          <w:sz w:val="24"/>
          <w:highlight w:val="none"/>
        </w:rPr>
        <w:t xml:space="preserve"> </w:t>
      </w:r>
    </w:p>
    <w:p w14:paraId="5EDC22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s="宋体" w:asciiTheme="minorEastAsia" w:hAnsiTheme="minorEastAsia"/>
          <w:color w:val="auto"/>
          <w:sz w:val="24"/>
          <w:highlight w:val="none"/>
        </w:rPr>
        <w:t xml:space="preserve">杭州市上城区庆春东路1号 </w:t>
      </w:r>
      <w:r>
        <w:rPr>
          <w:rFonts w:hint="eastAsia" w:ascii="宋体" w:hAnsi="宋体" w:cs="宋体"/>
          <w:color w:val="auto"/>
          <w:sz w:val="24"/>
          <w:highlight w:val="none"/>
        </w:rPr>
        <w:t xml:space="preserve">      </w:t>
      </w:r>
    </w:p>
    <w:p w14:paraId="47A1E1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E56457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cs="宋体" w:asciiTheme="minorEastAsia" w:hAnsiTheme="minorEastAsia"/>
          <w:color w:val="auto"/>
          <w:sz w:val="24"/>
          <w:highlight w:val="none"/>
        </w:rPr>
        <w:t>蒋老师</w:t>
      </w:r>
      <w:r>
        <w:rPr>
          <w:rFonts w:hint="eastAsia" w:ascii="宋体" w:hAnsi="宋体" w:cs="宋体"/>
          <w:color w:val="auto"/>
          <w:sz w:val="24"/>
          <w:highlight w:val="none"/>
        </w:rPr>
        <w:t xml:space="preserve">  </w:t>
      </w:r>
    </w:p>
    <w:p w14:paraId="3EE477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cs="宋体" w:asciiTheme="minorEastAsia" w:hAnsiTheme="minorEastAsia"/>
          <w:color w:val="auto"/>
          <w:sz w:val="24"/>
          <w:highlight w:val="none"/>
        </w:rPr>
        <w:t>0571-89500292</w:t>
      </w:r>
      <w:r>
        <w:rPr>
          <w:rFonts w:hint="eastAsia" w:ascii="宋体" w:hAnsi="宋体" w:cs="宋体"/>
          <w:color w:val="auto"/>
          <w:sz w:val="24"/>
          <w:highlight w:val="none"/>
        </w:rPr>
        <w:t xml:space="preserve"> </w:t>
      </w:r>
    </w:p>
    <w:p w14:paraId="102534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cs="宋体" w:asciiTheme="minorEastAsia" w:hAnsiTheme="minorEastAsia"/>
          <w:color w:val="auto"/>
          <w:sz w:val="24"/>
          <w:highlight w:val="none"/>
        </w:rPr>
        <w:t>王老师</w:t>
      </w:r>
    </w:p>
    <w:p w14:paraId="493010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r>
        <w:rPr>
          <w:rFonts w:hint="eastAsia" w:cs="宋体" w:asciiTheme="minorEastAsia" w:hAnsiTheme="minorEastAsia"/>
          <w:color w:val="auto"/>
          <w:sz w:val="24"/>
          <w:highlight w:val="none"/>
        </w:rPr>
        <w:t>0571-89500292</w:t>
      </w:r>
      <w:r>
        <w:rPr>
          <w:rFonts w:hint="eastAsia" w:ascii="宋体" w:hAnsi="宋体" w:cs="宋体"/>
          <w:color w:val="auto"/>
          <w:sz w:val="24"/>
          <w:highlight w:val="none"/>
        </w:rPr>
        <w:t xml:space="preserve"> </w:t>
      </w:r>
    </w:p>
    <w:p w14:paraId="3380B8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27743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asciiTheme="minorEastAsia" w:hAnsiTheme="minorEastAsia"/>
          <w:color w:val="auto"/>
          <w:sz w:val="24"/>
          <w:highlight w:val="none"/>
        </w:rPr>
        <w:t>浙江鑫润工程工程管理有限公司</w:t>
      </w:r>
    </w:p>
    <w:p w14:paraId="4168DE5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cs="宋体" w:asciiTheme="minorEastAsia" w:hAnsiTheme="minorEastAsia"/>
          <w:color w:val="auto"/>
          <w:sz w:val="24"/>
          <w:highlight w:val="none"/>
          <w:lang w:eastAsia="zh-CN"/>
        </w:rPr>
        <w:t>杭州市上城区市民街69号民林金融中心B座5楼</w:t>
      </w:r>
    </w:p>
    <w:p w14:paraId="76799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0571-86432028</w:t>
      </w:r>
      <w:r>
        <w:rPr>
          <w:rFonts w:hint="eastAsia" w:ascii="宋体" w:hAnsi="宋体" w:cs="宋体"/>
          <w:color w:val="auto"/>
          <w:sz w:val="24"/>
          <w:highlight w:val="none"/>
        </w:rPr>
        <w:t xml:space="preserve"> </w:t>
      </w:r>
    </w:p>
    <w:p w14:paraId="14CB8AD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方锐</w:t>
      </w:r>
    </w:p>
    <w:p w14:paraId="37A0C2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18258914900</w:t>
      </w:r>
    </w:p>
    <w:p w14:paraId="04BA838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周小丽</w:t>
      </w:r>
    </w:p>
    <w:p w14:paraId="7165D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13867156431</w:t>
      </w:r>
    </w:p>
    <w:p w14:paraId="2BA879E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 3.同级政府采购监督管理部门</w:t>
      </w:r>
    </w:p>
    <w:p w14:paraId="5616ED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w:t>
      </w:r>
      <w:r>
        <w:rPr>
          <w:rFonts w:hint="eastAsia" w:ascii="宋体" w:hAnsi="宋体" w:eastAsia="宋体" w:cs="宋体"/>
          <w:color w:val="auto"/>
          <w:sz w:val="24"/>
          <w:highlight w:val="none"/>
          <w:lang w:val="en-US" w:eastAsia="zh-CN"/>
        </w:rPr>
        <w:t>上城</w:t>
      </w:r>
      <w:r>
        <w:rPr>
          <w:rFonts w:hint="eastAsia" w:ascii="宋体" w:hAnsi="宋体" w:eastAsia="宋体" w:cs="宋体"/>
          <w:color w:val="auto"/>
          <w:sz w:val="24"/>
          <w:highlight w:val="none"/>
        </w:rPr>
        <w:t>区财政局/浙江省政府采购行政裁决服务中心（杭州）</w:t>
      </w:r>
    </w:p>
    <w:p w14:paraId="6A42A2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址：杭州市上城区四季青街道新业路市民之家G03办公室（快递仅限ems或顺丰）</w:t>
      </w:r>
    </w:p>
    <w:p w14:paraId="73E797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联系人：朱女士/王女士</w:t>
      </w:r>
    </w:p>
    <w:p w14:paraId="4B16ECD4">
      <w:pPr>
        <w:spacing w:line="360" w:lineRule="auto"/>
        <w:ind w:right="-168" w:rightChars="-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监督投诉电话：0571-85252453（仅限投诉事项）</w:t>
      </w:r>
    </w:p>
    <w:p w14:paraId="38FD00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92919B6">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EDC3E9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0B2DF1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D6930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FA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5651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1A56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B69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9FF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8A97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A618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44D7B9">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154F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tcPr>
          <w:p w14:paraId="4FDCF8D1">
            <w:pPr>
              <w:snapToGrid w:val="0"/>
              <w:spacing w:line="360" w:lineRule="auto"/>
              <w:jc w:val="center"/>
              <w:rPr>
                <w:rFonts w:ascii="宋体" w:hAnsi="宋体" w:cs="宋体"/>
                <w:color w:val="auto"/>
                <w:sz w:val="24"/>
                <w:highlight w:val="none"/>
              </w:rPr>
            </w:pPr>
          </w:p>
          <w:p w14:paraId="19E7E1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5663F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8A5A63">
            <w:pPr>
              <w:snapToGrid w:val="0"/>
              <w:spacing w:line="240" w:lineRule="auto"/>
              <w:rPr>
                <w:rFonts w:ascii="宋体" w:hAnsi="宋体" w:eastAsia="宋体" w:cs="宋体"/>
                <w:color w:val="auto"/>
                <w:highlight w:val="none"/>
                <w:lang w:val="en-US"/>
              </w:rPr>
            </w:pPr>
            <w:r>
              <w:rPr>
                <w:rFonts w:hint="eastAsia" w:ascii="宋体" w:hAnsi="宋体" w:cs="宋体"/>
                <w:color w:val="auto"/>
                <w:kern w:val="0"/>
                <w:sz w:val="24"/>
                <w:highlight w:val="none"/>
              </w:rPr>
              <w:t>（1）</w:t>
            </w:r>
            <w:r>
              <w:rPr>
                <w:rFonts w:hint="eastAsia" w:cs="宋体" w:asciiTheme="minorEastAsia" w:hAnsiTheme="minorEastAsia"/>
                <w:color w:val="auto"/>
                <w:kern w:val="0"/>
                <w:sz w:val="24"/>
                <w:highlight w:val="none"/>
              </w:rPr>
              <w:t>标的：</w:t>
            </w:r>
            <w:r>
              <w:rPr>
                <w:rFonts w:hint="eastAsia" w:cs="宋体" w:asciiTheme="minorEastAsia" w:hAnsiTheme="minorEastAsia"/>
                <w:color w:val="auto"/>
                <w:kern w:val="0"/>
                <w:sz w:val="24"/>
                <w:highlight w:val="none"/>
                <w:u w:val="single"/>
              </w:rPr>
              <w:t xml:space="preserve"> </w:t>
            </w:r>
            <w:r>
              <w:rPr>
                <w:rFonts w:hint="eastAsia" w:cs="宋体" w:asciiTheme="minorEastAsia" w:hAnsiTheme="minorEastAsia"/>
                <w:color w:val="auto"/>
                <w:sz w:val="24"/>
                <w:highlight w:val="none"/>
                <w:u w:val="single"/>
              </w:rPr>
              <w:t xml:space="preserve"> 其他</w:t>
            </w:r>
            <w:r>
              <w:rPr>
                <w:rFonts w:cs="宋体" w:asciiTheme="minorEastAsia" w:hAnsiTheme="minorEastAsia"/>
                <w:color w:val="auto"/>
                <w:sz w:val="24"/>
                <w:highlight w:val="none"/>
                <w:u w:val="single"/>
              </w:rPr>
              <w:t>保险</w:t>
            </w:r>
            <w:r>
              <w:rPr>
                <w:rFonts w:hint="eastAsia" w:cs="宋体" w:asciiTheme="minorEastAsia" w:hAnsiTheme="minorEastAsia"/>
                <w:color w:val="auto"/>
                <w:sz w:val="24"/>
                <w:highlight w:val="none"/>
                <w:u w:val="single"/>
              </w:rPr>
              <w:t xml:space="preserve">服务 </w:t>
            </w:r>
            <w:r>
              <w:rPr>
                <w:rFonts w:hint="eastAsia" w:cs="宋体" w:asciiTheme="minorEastAsia" w:hAnsiTheme="minorEastAsia"/>
                <w:color w:val="auto"/>
                <w:kern w:val="0"/>
                <w:sz w:val="24"/>
                <w:highlight w:val="none"/>
                <w:u w:val="single"/>
              </w:rPr>
              <w:t xml:space="preserve"> </w:t>
            </w:r>
            <w:r>
              <w:rPr>
                <w:rFonts w:hint="eastAsia" w:cs="宋体" w:asciiTheme="minorEastAsia" w:hAnsiTheme="minorEastAsia"/>
                <w:color w:val="auto"/>
                <w:kern w:val="0"/>
                <w:sz w:val="24"/>
                <w:highlight w:val="none"/>
              </w:rPr>
              <w:t>，属于</w:t>
            </w:r>
            <w:r>
              <w:rPr>
                <w:rFonts w:hint="eastAsia" w:cs="宋体" w:asciiTheme="minorEastAsia" w:hAnsiTheme="minorEastAsia"/>
                <w:color w:val="auto"/>
                <w:kern w:val="0"/>
                <w:sz w:val="24"/>
                <w:highlight w:val="none"/>
                <w:u w:val="single"/>
              </w:rPr>
              <w:t xml:space="preserve"> </w:t>
            </w:r>
            <w:r>
              <w:rPr>
                <w:rFonts w:hint="eastAsia" w:cs="宋体" w:asciiTheme="minorEastAsia" w:hAnsiTheme="minorEastAsia"/>
                <w:color w:val="auto"/>
                <w:kern w:val="0"/>
                <w:sz w:val="24"/>
                <w:highlight w:val="none"/>
                <w:u w:val="single"/>
                <w:lang w:val="en-US" w:eastAsia="zh-CN"/>
              </w:rPr>
              <w:t>金融</w:t>
            </w:r>
            <w:r>
              <w:rPr>
                <w:rFonts w:hint="eastAsia" w:cs="宋体" w:asciiTheme="minorEastAsia" w:hAnsiTheme="minorEastAsia"/>
                <w:color w:val="auto"/>
                <w:kern w:val="0"/>
                <w:sz w:val="24"/>
                <w:highlight w:val="none"/>
                <w:u w:val="single"/>
              </w:rPr>
              <w:t xml:space="preserve"> </w:t>
            </w:r>
            <w:r>
              <w:rPr>
                <w:rFonts w:hint="eastAsia" w:cs="宋体" w:asciiTheme="minorEastAsia" w:hAnsiTheme="minorEastAsia"/>
                <w:color w:val="auto"/>
                <w:kern w:val="0"/>
                <w:sz w:val="24"/>
                <w:highlight w:val="none"/>
              </w:rPr>
              <w:t>行业；</w:t>
            </w:r>
            <w:r>
              <w:rPr>
                <w:rFonts w:hint="eastAsia" w:ascii="宋体" w:hAnsi="宋体" w:eastAsia="宋体" w:cs="宋体"/>
                <w:color w:val="auto"/>
                <w:sz w:val="24"/>
                <w:highlight w:val="none"/>
                <w:lang w:val="en-US"/>
              </w:rPr>
              <w:t>备注：《金融业企业划型标准规定》（银发〔2015〕309号）中关于工业划型标准如下：</w:t>
            </w:r>
            <w:r>
              <w:rPr>
                <w:rFonts w:hint="eastAsia" w:eastAsia="宋体" w:cs="宋体" w:asciiTheme="minorEastAsia" w:hAnsiTheme="minorEastAsia"/>
                <w:color w:val="auto"/>
                <w:kern w:val="0"/>
                <w:sz w:val="24"/>
                <w:highlight w:val="none"/>
              </w:rPr>
              <w:t>资产总额5000亿元以下的为中小微型企业。其中，资产总额400亿元及以上的为中型企业，资产总额20亿元及以上的为小型企业，资产总额20亿元以下的为微型企业。。</w:t>
            </w:r>
          </w:p>
        </w:tc>
      </w:tr>
      <w:tr w14:paraId="2412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2C6A7D">
            <w:pPr>
              <w:snapToGrid w:val="0"/>
              <w:spacing w:line="360" w:lineRule="auto"/>
              <w:jc w:val="center"/>
              <w:rPr>
                <w:rFonts w:hint="eastAsia" w:ascii="宋体" w:hAnsi="宋体" w:cs="宋体"/>
                <w:color w:val="auto"/>
                <w:sz w:val="24"/>
                <w:highlight w:val="none"/>
              </w:rPr>
            </w:pPr>
          </w:p>
          <w:p w14:paraId="6F9545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354DC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40B737">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A96E14B">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3051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3D44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9FF0E9">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CB3BA">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7E38646">
            <w:pPr>
              <w:spacing w:line="24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C9DA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0D2E6AA">
            <w:pPr>
              <w:snapToGrid w:val="0"/>
              <w:spacing w:line="360" w:lineRule="auto"/>
              <w:jc w:val="center"/>
              <w:rPr>
                <w:rFonts w:ascii="宋体" w:hAnsi="宋体" w:cs="宋体"/>
                <w:color w:val="auto"/>
                <w:sz w:val="24"/>
                <w:highlight w:val="none"/>
              </w:rPr>
            </w:pPr>
          </w:p>
          <w:p w14:paraId="268CF029">
            <w:pPr>
              <w:snapToGrid w:val="0"/>
              <w:spacing w:line="360" w:lineRule="auto"/>
              <w:jc w:val="center"/>
              <w:rPr>
                <w:rFonts w:ascii="宋体" w:hAnsi="宋体" w:cs="宋体"/>
                <w:color w:val="auto"/>
                <w:sz w:val="24"/>
                <w:highlight w:val="none"/>
              </w:rPr>
            </w:pPr>
          </w:p>
          <w:p w14:paraId="4102C7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E8CC0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77389">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A0DDFC">
            <w:pPr>
              <w:spacing w:line="24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C010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8" w:hRule="atLeast"/>
          <w:tblHeader/>
        </w:trPr>
        <w:tc>
          <w:tcPr>
            <w:tcW w:w="629" w:type="dxa"/>
            <w:tcBorders>
              <w:top w:val="single" w:color="auto" w:sz="4" w:space="0"/>
              <w:left w:val="single" w:color="auto" w:sz="4" w:space="0"/>
              <w:bottom w:val="single" w:color="auto" w:sz="4" w:space="0"/>
              <w:right w:val="single" w:color="auto" w:sz="4" w:space="0"/>
            </w:tcBorders>
          </w:tcPr>
          <w:p w14:paraId="4E24F333">
            <w:pPr>
              <w:snapToGrid w:val="0"/>
              <w:spacing w:line="360" w:lineRule="auto"/>
              <w:jc w:val="center"/>
              <w:rPr>
                <w:rFonts w:ascii="宋体" w:hAnsi="宋体" w:cs="宋体"/>
                <w:color w:val="auto"/>
                <w:sz w:val="24"/>
                <w:highlight w:val="none"/>
              </w:rPr>
            </w:pPr>
          </w:p>
          <w:p w14:paraId="34AFABE5">
            <w:pPr>
              <w:snapToGrid w:val="0"/>
              <w:spacing w:line="360" w:lineRule="auto"/>
              <w:jc w:val="center"/>
              <w:rPr>
                <w:rFonts w:ascii="宋体" w:hAnsi="宋体" w:cs="宋体"/>
                <w:color w:val="auto"/>
                <w:sz w:val="24"/>
                <w:highlight w:val="none"/>
              </w:rPr>
            </w:pPr>
          </w:p>
          <w:p w14:paraId="2520CA3D">
            <w:pPr>
              <w:snapToGrid w:val="0"/>
              <w:spacing w:line="360" w:lineRule="auto"/>
              <w:jc w:val="center"/>
              <w:rPr>
                <w:rFonts w:ascii="宋体" w:hAnsi="宋体" w:cs="宋体"/>
                <w:color w:val="auto"/>
                <w:sz w:val="24"/>
                <w:highlight w:val="none"/>
              </w:rPr>
            </w:pPr>
          </w:p>
          <w:p w14:paraId="09A1D855">
            <w:pPr>
              <w:snapToGrid w:val="0"/>
              <w:spacing w:line="360" w:lineRule="auto"/>
              <w:jc w:val="center"/>
              <w:rPr>
                <w:rFonts w:ascii="宋体" w:hAnsi="宋体" w:cs="宋体"/>
                <w:color w:val="auto"/>
                <w:sz w:val="24"/>
                <w:highlight w:val="none"/>
              </w:rPr>
            </w:pPr>
          </w:p>
          <w:p w14:paraId="6F5FB0F6">
            <w:pPr>
              <w:snapToGrid w:val="0"/>
              <w:spacing w:line="360" w:lineRule="auto"/>
              <w:jc w:val="center"/>
              <w:rPr>
                <w:rFonts w:ascii="宋体" w:hAnsi="宋体" w:cs="宋体"/>
                <w:color w:val="auto"/>
                <w:sz w:val="24"/>
                <w:highlight w:val="none"/>
              </w:rPr>
            </w:pPr>
          </w:p>
          <w:p w14:paraId="336D663C">
            <w:pPr>
              <w:snapToGrid w:val="0"/>
              <w:spacing w:line="360" w:lineRule="auto"/>
              <w:jc w:val="center"/>
              <w:rPr>
                <w:rFonts w:ascii="宋体" w:hAnsi="宋体" w:cs="宋体"/>
                <w:color w:val="auto"/>
                <w:sz w:val="24"/>
                <w:highlight w:val="none"/>
              </w:rPr>
            </w:pPr>
          </w:p>
          <w:p w14:paraId="066D8DA7">
            <w:pPr>
              <w:snapToGrid w:val="0"/>
              <w:spacing w:line="360" w:lineRule="auto"/>
              <w:jc w:val="center"/>
              <w:rPr>
                <w:rFonts w:ascii="宋体" w:hAnsi="宋体" w:cs="宋体"/>
                <w:color w:val="auto"/>
                <w:sz w:val="24"/>
                <w:highlight w:val="none"/>
              </w:rPr>
            </w:pPr>
          </w:p>
          <w:p w14:paraId="50CCDE7F">
            <w:pPr>
              <w:snapToGrid w:val="0"/>
              <w:spacing w:line="360" w:lineRule="auto"/>
              <w:jc w:val="center"/>
              <w:rPr>
                <w:rFonts w:ascii="宋体" w:hAnsi="宋体" w:cs="宋体"/>
                <w:color w:val="auto"/>
                <w:sz w:val="24"/>
                <w:highlight w:val="none"/>
              </w:rPr>
            </w:pPr>
          </w:p>
          <w:p w14:paraId="53D3B6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30D6BC">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20849E">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0F0FA9F">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800087C">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0C73B91">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314BB0B">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596E55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B442E9">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3F15E55">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74E764D">
            <w:pPr>
              <w:spacing w:line="24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6FE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3E4483">
            <w:pPr>
              <w:snapToGrid w:val="0"/>
              <w:spacing w:line="360" w:lineRule="auto"/>
              <w:jc w:val="center"/>
              <w:rPr>
                <w:rFonts w:ascii="宋体" w:hAnsi="宋体" w:cs="宋体"/>
                <w:color w:val="auto"/>
                <w:sz w:val="24"/>
                <w:highlight w:val="none"/>
              </w:rPr>
            </w:pPr>
          </w:p>
          <w:p w14:paraId="253BA759">
            <w:pPr>
              <w:snapToGrid w:val="0"/>
              <w:spacing w:line="360" w:lineRule="auto"/>
              <w:jc w:val="center"/>
              <w:rPr>
                <w:rFonts w:ascii="宋体" w:hAnsi="宋体" w:cs="宋体"/>
                <w:color w:val="auto"/>
                <w:sz w:val="24"/>
                <w:highlight w:val="none"/>
              </w:rPr>
            </w:pPr>
          </w:p>
          <w:p w14:paraId="41D92FFB">
            <w:pPr>
              <w:snapToGrid w:val="0"/>
              <w:spacing w:line="360" w:lineRule="auto"/>
              <w:jc w:val="center"/>
              <w:rPr>
                <w:rFonts w:ascii="宋体" w:hAnsi="宋体" w:cs="宋体"/>
                <w:color w:val="auto"/>
                <w:sz w:val="24"/>
                <w:highlight w:val="none"/>
              </w:rPr>
            </w:pPr>
          </w:p>
          <w:p w14:paraId="74296B96">
            <w:pPr>
              <w:snapToGrid w:val="0"/>
              <w:spacing w:line="360" w:lineRule="auto"/>
              <w:jc w:val="center"/>
              <w:rPr>
                <w:rFonts w:ascii="宋体" w:hAnsi="宋体" w:cs="宋体"/>
                <w:color w:val="auto"/>
                <w:sz w:val="24"/>
                <w:highlight w:val="none"/>
              </w:rPr>
            </w:pPr>
          </w:p>
          <w:p w14:paraId="7CE31D26">
            <w:pPr>
              <w:snapToGrid w:val="0"/>
              <w:spacing w:line="360" w:lineRule="auto"/>
              <w:jc w:val="center"/>
              <w:rPr>
                <w:rFonts w:ascii="宋体" w:hAnsi="宋体" w:cs="宋体"/>
                <w:color w:val="auto"/>
                <w:sz w:val="24"/>
                <w:highlight w:val="none"/>
              </w:rPr>
            </w:pPr>
          </w:p>
          <w:p w14:paraId="0C38FDF2">
            <w:pPr>
              <w:snapToGrid w:val="0"/>
              <w:spacing w:line="360" w:lineRule="auto"/>
              <w:jc w:val="center"/>
              <w:rPr>
                <w:rFonts w:ascii="宋体" w:hAnsi="宋体" w:cs="宋体"/>
                <w:color w:val="auto"/>
                <w:sz w:val="24"/>
                <w:highlight w:val="none"/>
              </w:rPr>
            </w:pPr>
          </w:p>
          <w:p w14:paraId="6B65F29E">
            <w:pPr>
              <w:snapToGrid w:val="0"/>
              <w:spacing w:line="360" w:lineRule="auto"/>
              <w:jc w:val="center"/>
              <w:rPr>
                <w:rFonts w:ascii="宋体" w:hAnsi="宋体" w:cs="宋体"/>
                <w:color w:val="auto"/>
                <w:sz w:val="24"/>
                <w:highlight w:val="none"/>
              </w:rPr>
            </w:pPr>
          </w:p>
          <w:p w14:paraId="2E63DE08">
            <w:pPr>
              <w:snapToGrid w:val="0"/>
              <w:spacing w:line="360" w:lineRule="auto"/>
              <w:jc w:val="center"/>
              <w:rPr>
                <w:rFonts w:ascii="宋体" w:hAnsi="宋体" w:cs="宋体"/>
                <w:color w:val="auto"/>
                <w:sz w:val="24"/>
                <w:highlight w:val="none"/>
              </w:rPr>
            </w:pPr>
          </w:p>
          <w:p w14:paraId="0D2B15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064B8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7BC2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CFDA6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CD8F9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1400A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9A24F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7A774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86446B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51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8677E3">
            <w:pPr>
              <w:snapToGrid w:val="0"/>
              <w:spacing w:line="360" w:lineRule="auto"/>
              <w:jc w:val="center"/>
              <w:rPr>
                <w:rFonts w:ascii="宋体" w:hAnsi="宋体" w:cs="宋体"/>
                <w:color w:val="auto"/>
                <w:sz w:val="24"/>
                <w:highlight w:val="none"/>
              </w:rPr>
            </w:pPr>
          </w:p>
          <w:p w14:paraId="59BCF85A">
            <w:pPr>
              <w:snapToGrid w:val="0"/>
              <w:spacing w:line="360" w:lineRule="auto"/>
              <w:jc w:val="center"/>
              <w:rPr>
                <w:rFonts w:ascii="宋体" w:hAnsi="宋体" w:cs="宋体"/>
                <w:color w:val="auto"/>
                <w:sz w:val="24"/>
                <w:highlight w:val="none"/>
              </w:rPr>
            </w:pPr>
          </w:p>
          <w:p w14:paraId="067F2E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F7F2F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B267F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54E133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5F7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7B797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8AC626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A0D0F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D98D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48F8BB">
            <w:pPr>
              <w:snapToGrid w:val="0"/>
              <w:spacing w:line="360" w:lineRule="auto"/>
              <w:jc w:val="center"/>
              <w:rPr>
                <w:rFonts w:ascii="宋体" w:hAnsi="宋体" w:cs="宋体"/>
                <w:color w:val="auto"/>
                <w:sz w:val="24"/>
                <w:highlight w:val="none"/>
              </w:rPr>
            </w:pPr>
          </w:p>
          <w:p w14:paraId="54484A64">
            <w:pPr>
              <w:snapToGrid w:val="0"/>
              <w:spacing w:line="360" w:lineRule="auto"/>
              <w:jc w:val="center"/>
              <w:rPr>
                <w:rFonts w:ascii="宋体" w:hAnsi="宋体" w:cs="宋体"/>
                <w:color w:val="auto"/>
                <w:sz w:val="24"/>
                <w:highlight w:val="none"/>
              </w:rPr>
            </w:pPr>
          </w:p>
          <w:p w14:paraId="3344BB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6A7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FA6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A71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A109CD9">
            <w:pPr>
              <w:snapToGrid w:val="0"/>
              <w:spacing w:line="360" w:lineRule="auto"/>
              <w:jc w:val="center"/>
              <w:rPr>
                <w:rFonts w:ascii="宋体" w:hAnsi="宋体" w:cs="宋体"/>
                <w:color w:val="auto"/>
                <w:sz w:val="24"/>
                <w:highlight w:val="none"/>
              </w:rPr>
            </w:pPr>
          </w:p>
          <w:p w14:paraId="5D5C66AC">
            <w:pPr>
              <w:snapToGrid w:val="0"/>
              <w:spacing w:line="360" w:lineRule="auto"/>
              <w:jc w:val="center"/>
              <w:rPr>
                <w:rFonts w:ascii="宋体" w:hAnsi="宋体" w:cs="宋体"/>
                <w:color w:val="auto"/>
                <w:sz w:val="24"/>
                <w:highlight w:val="none"/>
              </w:rPr>
            </w:pPr>
          </w:p>
          <w:p w14:paraId="7FBAD300">
            <w:pPr>
              <w:snapToGrid w:val="0"/>
              <w:spacing w:line="360" w:lineRule="auto"/>
              <w:jc w:val="center"/>
              <w:rPr>
                <w:rFonts w:ascii="宋体" w:hAnsi="宋体" w:cs="宋体"/>
                <w:color w:val="auto"/>
                <w:sz w:val="24"/>
                <w:highlight w:val="none"/>
              </w:rPr>
            </w:pPr>
          </w:p>
          <w:p w14:paraId="2451C623">
            <w:pPr>
              <w:snapToGrid w:val="0"/>
              <w:spacing w:line="360" w:lineRule="auto"/>
              <w:jc w:val="center"/>
              <w:rPr>
                <w:rFonts w:ascii="宋体" w:hAnsi="宋体" w:cs="宋体"/>
                <w:color w:val="auto"/>
                <w:sz w:val="24"/>
                <w:highlight w:val="none"/>
              </w:rPr>
            </w:pPr>
          </w:p>
          <w:p w14:paraId="1E7E4B56">
            <w:pPr>
              <w:snapToGrid w:val="0"/>
              <w:spacing w:line="360" w:lineRule="auto"/>
              <w:jc w:val="center"/>
              <w:rPr>
                <w:rFonts w:ascii="宋体" w:hAnsi="宋体" w:cs="宋体"/>
                <w:color w:val="auto"/>
                <w:sz w:val="24"/>
                <w:highlight w:val="none"/>
              </w:rPr>
            </w:pPr>
          </w:p>
          <w:p w14:paraId="2B025F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4CF6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D12E3">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507AF5F">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本项目采购代理费由中标人支付，按9000元计取，中标人在领取中标通知书时支付给采购代理机构。</w:t>
            </w:r>
          </w:p>
          <w:p w14:paraId="37F98C7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832EA4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3063E9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949137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50C9F2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542B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025E1F97">
            <w:pPr>
              <w:snapToGrid w:val="0"/>
              <w:spacing w:line="360" w:lineRule="auto"/>
              <w:jc w:val="center"/>
              <w:rPr>
                <w:rFonts w:ascii="宋体" w:hAnsi="宋体" w:cs="宋体"/>
                <w:color w:val="auto"/>
                <w:sz w:val="24"/>
                <w:highlight w:val="none"/>
              </w:rPr>
            </w:pPr>
          </w:p>
          <w:p w14:paraId="590F1E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A24AE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2A4031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22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2E0C5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3DA1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10276">
            <w:pP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Theme="minorEastAsia" w:hAnsiTheme="minorEastAsia" w:eastAsiaTheme="minorEastAsia"/>
                <w:color w:val="auto"/>
                <w:sz w:val="24"/>
                <w:szCs w:val="24"/>
                <w:highlight w:val="none"/>
                <w:u w:val="single"/>
                <w:lang w:eastAsia="zh-CN"/>
              </w:rPr>
              <w:t>杭州市上城区市民街69号民林金融中心B座5楼</w:t>
            </w:r>
            <w:r>
              <w:rPr>
                <w:rFonts w:asciiTheme="minorEastAsia" w:hAnsiTheme="minorEastAsia" w:eastAsiaTheme="minorEastAsia"/>
                <w:color w:val="auto"/>
                <w:sz w:val="24"/>
                <w:szCs w:val="24"/>
                <w:highlight w:val="none"/>
                <w:u w:val="single"/>
              </w:rPr>
              <w:t>（</w:t>
            </w:r>
            <w:r>
              <w:rPr>
                <w:rFonts w:hint="eastAsia" w:asciiTheme="minorEastAsia" w:hAnsiTheme="minorEastAsia" w:eastAsiaTheme="minorEastAsia"/>
                <w:color w:val="auto"/>
                <w:sz w:val="24"/>
                <w:szCs w:val="24"/>
                <w:highlight w:val="none"/>
                <w:u w:val="single"/>
              </w:rPr>
              <w:t>浙江鑫润工程管理有限公司会议室）</w:t>
            </w:r>
            <w:r>
              <w:rPr>
                <w:rFonts w:hint="eastAsia" w:hAnsi="宋体" w:cs="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ascii="宋体" w:hAnsi="宋体" w:cs="宋体"/>
                <w:color w:val="auto"/>
                <w:sz w:val="24"/>
                <w:highlight w:val="none"/>
                <w:u w:val="single"/>
                <w:lang w:val="en-US" w:eastAsia="zh-CN"/>
              </w:rPr>
              <w:t xml:space="preserve">18258914900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BC1F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C5FA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7B4F33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EB1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73F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97F295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AA008F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CAE1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B228D1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3081297A">
      <w:pPr>
        <w:snapToGrid w:val="0"/>
        <w:spacing w:line="360" w:lineRule="auto"/>
        <w:jc w:val="center"/>
        <w:rPr>
          <w:rFonts w:ascii="宋体" w:hAnsi="宋体" w:cs="宋体"/>
          <w:b/>
          <w:color w:val="auto"/>
          <w:sz w:val="32"/>
          <w:szCs w:val="20"/>
          <w:highlight w:val="none"/>
        </w:rPr>
      </w:pPr>
    </w:p>
    <w:bookmarkEnd w:id="10"/>
    <w:p w14:paraId="70DB7F1F">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11D58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5D2B6A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1ED90D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7D839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A755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09875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0CDF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4A19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5487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8DB6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5420DB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62076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2ACCD2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4DA040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AF72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461B5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178CE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0569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4C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E5C9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407C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510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5503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4CC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A4C2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7123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02BEC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CD985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7B1A0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FCE55F4">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AC9293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1D75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15A2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858CF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8B0A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3D8FC8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414054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05D87EE">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473631F">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8B798D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DAE2DF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333826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16FF1E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D72284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62F45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0EA9CE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CE054E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242BA8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D87258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95EB63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20E8619">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0EFBD8E">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C6B901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0DA3EA4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BE92A7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4967D3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28DE76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14:paraId="6B602ED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DD30CE1">
      <w:pPr>
        <w:pStyle w:val="128"/>
        <w:snapToGrid w:val="0"/>
        <w:spacing w:before="0"/>
        <w:ind w:firstLine="360"/>
        <w:rPr>
          <w:rFonts w:ascii="宋体" w:hAnsi="宋体" w:cs="宋体"/>
          <w:color w:val="auto"/>
          <w:sz w:val="18"/>
          <w:szCs w:val="18"/>
          <w:highlight w:val="none"/>
        </w:rPr>
      </w:pPr>
    </w:p>
    <w:p w14:paraId="154EF4F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D0574A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67DD82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04EFB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C17110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81A3E9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17D125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705B64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3A3E8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6925B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A9DBCA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FF702D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38DC7F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FB1C9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73C0ED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1C5301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31749A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B04E69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AC6B1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EA9E3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A796AF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8DFBF8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0EDBD6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021091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A0BB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09182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4F1E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5194B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53B4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2EA16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696F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B316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92CEE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973B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2EAA8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009D9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F8F06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D508FA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CD224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64B25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69CC8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2B16211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0AAA6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5848C5B">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0BE4E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EB7F3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6F5BD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C76AB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E11AC13">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926FD2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2357F2">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896B65E">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7DCCFE4">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B098CD">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E6D3B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6C1457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DB747D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5CA003F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CF7208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C8BE06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727CE65">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E4806B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369F2A2">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E024BD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87FE19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8A1202">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3AD8C08">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E75510C">
      <w:pPr>
        <w:pStyle w:val="128"/>
        <w:spacing w:before="0"/>
        <w:ind w:firstLine="643"/>
        <w:rPr>
          <w:rFonts w:ascii="宋体" w:hAnsi="宋体" w:cs="宋体"/>
          <w:b/>
          <w:color w:val="auto"/>
          <w:sz w:val="32"/>
          <w:highlight w:val="none"/>
        </w:rPr>
      </w:pPr>
    </w:p>
    <w:p w14:paraId="3C3F32DE">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87F7F3F">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55F1364">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12F12451">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1AC8FF0">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B92670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D134A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1DCCEC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0B1AE8D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2A1322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3D4D178">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04687A3B">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510AE27">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2917A7B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46F0154">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BDA097">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0B135BA">
      <w:pPr>
        <w:pStyle w:val="128"/>
        <w:spacing w:before="0"/>
        <w:ind w:firstLine="0" w:firstLineChars="0"/>
        <w:rPr>
          <w:rFonts w:ascii="宋体" w:hAnsi="宋体" w:cs="宋体"/>
          <w:color w:val="auto"/>
          <w:kern w:val="0"/>
          <w:szCs w:val="24"/>
          <w:highlight w:val="none"/>
        </w:rPr>
      </w:pPr>
    </w:p>
    <w:p w14:paraId="0400D16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D1A300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9034A6F">
      <w:pPr>
        <w:spacing w:line="360" w:lineRule="auto"/>
        <w:rPr>
          <w:rFonts w:ascii="宋体" w:hAnsi="宋体" w:cs="宋体"/>
          <w:b/>
          <w:color w:val="auto"/>
          <w:sz w:val="24"/>
          <w:highlight w:val="none"/>
        </w:rPr>
      </w:pPr>
    </w:p>
    <w:p w14:paraId="2A8665B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044DA4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9B7CD61">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D004836">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94BD4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81325F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3383B2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F5808ED">
      <w:pPr>
        <w:snapToGrid w:val="0"/>
        <w:spacing w:line="360" w:lineRule="auto"/>
        <w:ind w:left="120" w:leftChars="57" w:firstLine="482" w:firstLineChars="150"/>
        <w:jc w:val="center"/>
        <w:rPr>
          <w:rFonts w:ascii="宋体" w:hAnsi="宋体" w:cs="宋体"/>
          <w:b/>
          <w:color w:val="auto"/>
          <w:sz w:val="32"/>
          <w:highlight w:val="none"/>
        </w:rPr>
      </w:pPr>
    </w:p>
    <w:p w14:paraId="071125F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4924B2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8F1E633">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030CEA8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608AA9">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DC3914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490064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B0FA461">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EDBF005">
      <w:pPr>
        <w:pStyle w:val="24"/>
        <w:spacing w:line="360" w:lineRule="auto"/>
        <w:ind w:left="479" w:hanging="479" w:hangingChars="199"/>
        <w:rPr>
          <w:rFonts w:hint="default" w:eastAsia="宋体" w:cs="宋体"/>
          <w:b/>
          <w:color w:val="auto"/>
          <w:highlight w:val="none"/>
          <w:lang w:val="en-US"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本项目不缴纳）</w:t>
      </w:r>
    </w:p>
    <w:p w14:paraId="7204564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A4BB6C9">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474F0B">
      <w:pPr>
        <w:snapToGrid w:val="0"/>
        <w:spacing w:line="360" w:lineRule="auto"/>
        <w:ind w:firstLine="3357" w:firstLineChars="1045"/>
        <w:rPr>
          <w:rFonts w:ascii="宋体" w:hAnsi="宋体" w:cs="宋体"/>
          <w:b/>
          <w:color w:val="auto"/>
          <w:sz w:val="32"/>
          <w:highlight w:val="none"/>
        </w:rPr>
      </w:pPr>
    </w:p>
    <w:p w14:paraId="5EDCCA7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17F1A91">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DA8741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05D62D3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F3A918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7331D1A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102F5EA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1730EE84">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61E29AC">
      <w:pPr>
        <w:tabs>
          <w:tab w:val="left" w:pos="0"/>
        </w:tabs>
        <w:spacing w:line="360" w:lineRule="auto"/>
        <w:ind w:firstLine="480"/>
        <w:rPr>
          <w:rFonts w:ascii="宋体" w:hAnsi="宋体" w:cs="宋体"/>
          <w:color w:val="auto"/>
          <w:sz w:val="24"/>
          <w:highlight w:val="none"/>
        </w:rPr>
      </w:pPr>
    </w:p>
    <w:p w14:paraId="6CD90D8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3B6B1B0">
      <w:pPr>
        <w:pStyle w:val="24"/>
        <w:spacing w:line="360" w:lineRule="auto"/>
        <w:ind w:firstLine="0" w:firstLineChars="0"/>
        <w:rPr>
          <w:rFonts w:hint="default" w:eastAsia="宋体" w:cs="宋体"/>
          <w:b/>
          <w:color w:val="auto"/>
          <w:highlight w:val="none"/>
          <w:lang w:val="en-US" w:eastAsia="zh-CN"/>
        </w:rPr>
      </w:pPr>
      <w:r>
        <w:rPr>
          <w:rFonts w:hint="eastAsia" w:cs="宋体"/>
          <w:b/>
          <w:color w:val="auto"/>
          <w:highlight w:val="none"/>
        </w:rPr>
        <w:t>29.验收</w:t>
      </w:r>
      <w:r>
        <w:rPr>
          <w:rFonts w:hint="eastAsia" w:cs="宋体"/>
          <w:b/>
          <w:color w:val="auto"/>
          <w:highlight w:val="none"/>
          <w:lang w:eastAsia="zh-CN"/>
        </w:rPr>
        <w:t>（</w:t>
      </w:r>
      <w:r>
        <w:rPr>
          <w:rFonts w:hint="eastAsia" w:cs="宋体"/>
          <w:b/>
          <w:color w:val="auto"/>
          <w:highlight w:val="none"/>
          <w:lang w:val="en-US" w:eastAsia="zh-CN"/>
        </w:rPr>
        <w:t>本项目不采用）</w:t>
      </w:r>
    </w:p>
    <w:p w14:paraId="76B484C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CA20D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042F1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5D0E7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D3EE2D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011"/>
      <w:bookmarkEnd w:id="16"/>
      <w:bookmarkStart w:id="17" w:name="_Hlt75236290"/>
      <w:bookmarkEnd w:id="17"/>
      <w:bookmarkStart w:id="18" w:name="_Hlt74714665"/>
      <w:bookmarkEnd w:id="18"/>
      <w:bookmarkStart w:id="19" w:name="_Hlt68057669"/>
      <w:bookmarkEnd w:id="19"/>
      <w:bookmarkStart w:id="20" w:name="_Hlt68072998"/>
      <w:bookmarkEnd w:id="20"/>
      <w:bookmarkStart w:id="21" w:name="_Hlt74729768"/>
      <w:bookmarkEnd w:id="21"/>
      <w:bookmarkStart w:id="22" w:name="_Hlt68072990"/>
      <w:bookmarkEnd w:id="22"/>
      <w:bookmarkStart w:id="23" w:name="_Hlt74730295"/>
      <w:bookmarkEnd w:id="23"/>
      <w:bookmarkStart w:id="24" w:name="_Hlt75236101"/>
      <w:bookmarkEnd w:id="24"/>
      <w:bookmarkStart w:id="25" w:name="_Hlt68403820"/>
      <w:bookmarkEnd w:id="25"/>
      <w:bookmarkStart w:id="26" w:name="_Hlt74707468"/>
      <w:bookmarkEnd w:id="26"/>
    </w:p>
    <w:bookmarkEnd w:id="11"/>
    <w:bookmarkEnd w:id="12"/>
    <w:p w14:paraId="681CC78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587F4E9">
      <w:pPr>
        <w:spacing w:before="120" w:beforeLines="50" w:after="120" w:afterLines="50" w:line="460" w:lineRule="exact"/>
        <w:ind w:firstLine="602" w:firstLineChars="200"/>
        <w:outlineLvl w:val="1"/>
        <w:rPr>
          <w:rFonts w:asciiTheme="minorEastAsia" w:hAnsiTheme="minorEastAsia"/>
          <w:b/>
          <w:color w:val="auto"/>
          <w:sz w:val="30"/>
          <w:szCs w:val="30"/>
          <w:highlight w:val="none"/>
        </w:rPr>
      </w:pPr>
      <w:bookmarkStart w:id="28" w:name="_Toc13117"/>
      <w:r>
        <w:rPr>
          <w:rFonts w:hint="eastAsia" w:asciiTheme="minorEastAsia" w:hAnsiTheme="minorEastAsia"/>
          <w:b/>
          <w:color w:val="auto"/>
          <w:sz w:val="30"/>
          <w:szCs w:val="30"/>
          <w:highlight w:val="none"/>
        </w:rPr>
        <w:t>一、保险内容</w:t>
      </w:r>
      <w:bookmarkEnd w:id="28"/>
    </w:p>
    <w:p w14:paraId="731DD91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为进一步完善</w:t>
      </w:r>
      <w:r>
        <w:rPr>
          <w:rFonts w:hint="eastAsia" w:asciiTheme="minorEastAsia" w:hAnsiTheme="minorEastAsia"/>
          <w:color w:val="auto"/>
          <w:sz w:val="24"/>
          <w:highlight w:val="none"/>
        </w:rPr>
        <w:t>上城区</w:t>
      </w:r>
      <w:r>
        <w:rPr>
          <w:rFonts w:hint="eastAsia" w:cs="仿宋_GB2312" w:asciiTheme="minorEastAsia" w:hAnsiTheme="minorEastAsia"/>
          <w:color w:val="auto"/>
          <w:sz w:val="24"/>
          <w:highlight w:val="none"/>
        </w:rPr>
        <w:t>0－14周岁独生子女家庭及计生特殊家庭保险保障体系建设，改善计生家庭人员生存与发展状况，帮助解决计生家庭因意外和疾病带来的问题，</w:t>
      </w:r>
      <w:r>
        <w:rPr>
          <w:rFonts w:hint="eastAsia" w:asciiTheme="minorEastAsia" w:hAnsiTheme="minorEastAsia"/>
          <w:color w:val="auto"/>
          <w:sz w:val="24"/>
          <w:highlight w:val="none"/>
        </w:rPr>
        <w:t>上城区</w:t>
      </w:r>
      <w:r>
        <w:rPr>
          <w:rFonts w:hint="eastAsia" w:cs="仿宋_GB2312" w:asciiTheme="minorEastAsia" w:hAnsiTheme="minorEastAsia"/>
          <w:color w:val="auto"/>
          <w:sz w:val="24"/>
          <w:highlight w:val="none"/>
        </w:rPr>
        <w:t>计划生育协会通过公开招标的采购方式，为</w:t>
      </w:r>
      <w:r>
        <w:rPr>
          <w:rFonts w:hint="eastAsia" w:asciiTheme="minorEastAsia" w:hAnsiTheme="minorEastAsia"/>
          <w:color w:val="auto"/>
          <w:sz w:val="24"/>
          <w:highlight w:val="none"/>
        </w:rPr>
        <w:t>上城区</w:t>
      </w:r>
      <w:r>
        <w:rPr>
          <w:rFonts w:hint="eastAsia" w:cs="仿宋_GB2312" w:asciiTheme="minorEastAsia" w:hAnsiTheme="minorEastAsia"/>
          <w:color w:val="auto"/>
          <w:sz w:val="24"/>
          <w:highlight w:val="none"/>
        </w:rPr>
        <w:t>全区计生家庭提供保险服务。</w:t>
      </w:r>
    </w:p>
    <w:p w14:paraId="43B340FD">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（一）独生子女家庭平安保险</w:t>
      </w:r>
    </w:p>
    <w:p w14:paraId="348A8184">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1.参保对象：</w:t>
      </w:r>
      <w:r>
        <w:rPr>
          <w:rFonts w:hint="eastAsia" w:asciiTheme="minorEastAsia" w:hAnsiTheme="minorEastAsia"/>
          <w:color w:val="auto"/>
          <w:sz w:val="24"/>
          <w:highlight w:val="none"/>
        </w:rPr>
        <w:t>上城区</w:t>
      </w:r>
      <w:r>
        <w:rPr>
          <w:rFonts w:hint="eastAsia" w:cs="仿宋_GB2312" w:asciiTheme="minorEastAsia" w:hAnsiTheme="minorEastAsia"/>
          <w:color w:val="auto"/>
          <w:sz w:val="24"/>
          <w:highlight w:val="none"/>
        </w:rPr>
        <w:t>户籍，独生子女在0－14周岁[含]独生子女家庭。</w:t>
      </w:r>
    </w:p>
    <w:p w14:paraId="5848801C">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2.承保数量：</w:t>
      </w:r>
      <w:r>
        <w:rPr>
          <w:rFonts w:hint="eastAsia" w:cs="仿宋_GB2312" w:asciiTheme="minorEastAsia" w:hAnsiTheme="minorEastAsia"/>
          <w:color w:val="auto"/>
          <w:sz w:val="24"/>
          <w:highlight w:val="none"/>
        </w:rPr>
        <w:t>独生子女家庭数暂定为1.</w:t>
      </w:r>
      <w:r>
        <w:rPr>
          <w:rFonts w:hint="eastAsia" w:cs="仿宋_GB2312" w:asciiTheme="minorEastAsia" w:hAnsiTheme="minorEastAsia"/>
          <w:color w:val="auto"/>
          <w:sz w:val="24"/>
          <w:highlight w:val="none"/>
          <w:lang w:val="en-US" w:eastAsia="zh-CN"/>
        </w:rPr>
        <w:t>4</w:t>
      </w:r>
      <w:r>
        <w:rPr>
          <w:rFonts w:hint="eastAsia" w:cs="仿宋_GB2312" w:asciiTheme="minorEastAsia" w:hAnsiTheme="minorEastAsia"/>
          <w:color w:val="auto"/>
          <w:sz w:val="24"/>
          <w:highlight w:val="none"/>
        </w:rPr>
        <w:t>万户，</w:t>
      </w:r>
      <w:r>
        <w:rPr>
          <w:rFonts w:hint="eastAsia" w:cs="仿宋_GB2312" w:asciiTheme="minorEastAsia" w:hAnsiTheme="minorEastAsia"/>
          <w:color w:val="auto"/>
          <w:sz w:val="24"/>
          <w:highlight w:val="none"/>
        </w:rPr>
        <w:t>具体数量按实际承保户数为准。</w:t>
      </w:r>
    </w:p>
    <w:p w14:paraId="2C99C708">
      <w:pPr>
        <w:spacing w:line="360" w:lineRule="auto"/>
        <w:ind w:firstLine="482" w:firstLineChars="200"/>
        <w:rPr>
          <w:rFonts w:cs="仿宋_GB2312" w:asciiTheme="minorEastAsia" w:hAnsiTheme="minorEastAsia"/>
          <w:color w:val="auto"/>
          <w:sz w:val="24"/>
          <w:highlight w:val="none"/>
        </w:rPr>
      </w:pPr>
      <w:r>
        <w:rPr>
          <w:rFonts w:hint="eastAsia" w:cs="仿宋_GB2312" w:asciiTheme="minorEastAsia" w:hAnsiTheme="minorEastAsia"/>
          <w:b/>
          <w:color w:val="auto"/>
          <w:sz w:val="24"/>
          <w:highlight w:val="none"/>
        </w:rPr>
        <w:t>▲</w:t>
      </w:r>
      <w:r>
        <w:rPr>
          <w:rFonts w:hint="eastAsia" w:cs="仿宋_GB2312" w:asciiTheme="minorEastAsia" w:hAnsiTheme="minorEastAsia"/>
          <w:color w:val="auto"/>
          <w:sz w:val="24"/>
          <w:highlight w:val="none"/>
        </w:rPr>
        <w:t>3.保险费用：最高限价10元/户</w:t>
      </w:r>
      <w:r>
        <w:rPr>
          <w:rFonts w:hint="eastAsia" w:asciiTheme="minorEastAsia" w:hAnsiTheme="minorEastAsia"/>
          <w:color w:val="auto"/>
          <w:highlight w:val="none"/>
        </w:rPr>
        <w:t>/年</w:t>
      </w:r>
    </w:p>
    <w:p w14:paraId="43C11402">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▲4.保险方案：</w:t>
      </w:r>
    </w:p>
    <w:tbl>
      <w:tblPr>
        <w:tblStyle w:val="62"/>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768"/>
        <w:gridCol w:w="2521"/>
        <w:gridCol w:w="2752"/>
      </w:tblGrid>
      <w:tr w14:paraId="07E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24" w:type="dxa"/>
            <w:vAlign w:val="center"/>
          </w:tcPr>
          <w:p w14:paraId="5B34EEC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投保对象</w:t>
            </w:r>
          </w:p>
        </w:tc>
        <w:tc>
          <w:tcPr>
            <w:tcW w:w="1768" w:type="dxa"/>
            <w:vAlign w:val="center"/>
          </w:tcPr>
          <w:p w14:paraId="3091215A">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保障项目</w:t>
            </w:r>
          </w:p>
        </w:tc>
        <w:tc>
          <w:tcPr>
            <w:tcW w:w="2521" w:type="dxa"/>
            <w:vAlign w:val="center"/>
          </w:tcPr>
          <w:p w14:paraId="4CF847DA">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保险金额</w:t>
            </w:r>
          </w:p>
        </w:tc>
        <w:tc>
          <w:tcPr>
            <w:tcW w:w="2752" w:type="dxa"/>
            <w:vAlign w:val="center"/>
          </w:tcPr>
          <w:p w14:paraId="0310DAAE">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保障内容</w:t>
            </w:r>
          </w:p>
        </w:tc>
      </w:tr>
      <w:tr w14:paraId="2CD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24" w:type="dxa"/>
            <w:vMerge w:val="restart"/>
            <w:vAlign w:val="center"/>
          </w:tcPr>
          <w:p w14:paraId="5DCAA30F">
            <w:pPr>
              <w:spacing w:line="360" w:lineRule="auto"/>
              <w:ind w:firstLine="120" w:firstLineChars="5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独生子女</w:t>
            </w:r>
          </w:p>
        </w:tc>
        <w:tc>
          <w:tcPr>
            <w:tcW w:w="1768" w:type="dxa"/>
            <w:vAlign w:val="center"/>
          </w:tcPr>
          <w:p w14:paraId="5C594707">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疾病身故保险金</w:t>
            </w:r>
          </w:p>
        </w:tc>
        <w:tc>
          <w:tcPr>
            <w:tcW w:w="2521" w:type="dxa"/>
            <w:vAlign w:val="center"/>
          </w:tcPr>
          <w:p w14:paraId="57D9E1C2">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不少于30000元/人</w:t>
            </w:r>
          </w:p>
        </w:tc>
        <w:tc>
          <w:tcPr>
            <w:tcW w:w="2752" w:type="dxa"/>
            <w:vAlign w:val="center"/>
          </w:tcPr>
          <w:p w14:paraId="4BA00CEA">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无等待期100%赔付</w:t>
            </w:r>
          </w:p>
        </w:tc>
      </w:tr>
      <w:tr w14:paraId="55E5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24" w:type="dxa"/>
            <w:vMerge w:val="continue"/>
            <w:vAlign w:val="center"/>
          </w:tcPr>
          <w:p w14:paraId="7DAAA5A8">
            <w:pPr>
              <w:spacing w:line="360" w:lineRule="auto"/>
              <w:ind w:firstLine="480" w:firstLineChars="200"/>
              <w:rPr>
                <w:rFonts w:cs="仿宋_GB2312" w:asciiTheme="minorEastAsia" w:hAnsiTheme="minorEastAsia"/>
                <w:color w:val="auto"/>
                <w:sz w:val="24"/>
                <w:highlight w:val="none"/>
              </w:rPr>
            </w:pPr>
          </w:p>
        </w:tc>
        <w:tc>
          <w:tcPr>
            <w:tcW w:w="1768" w:type="dxa"/>
            <w:vAlign w:val="center"/>
          </w:tcPr>
          <w:p w14:paraId="54625EDC">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意外身故保险金</w:t>
            </w:r>
          </w:p>
        </w:tc>
        <w:tc>
          <w:tcPr>
            <w:tcW w:w="2521" w:type="dxa"/>
            <w:vAlign w:val="center"/>
          </w:tcPr>
          <w:p w14:paraId="63219AF5">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不少于30000元/人</w:t>
            </w:r>
          </w:p>
        </w:tc>
        <w:tc>
          <w:tcPr>
            <w:tcW w:w="2752" w:type="dxa"/>
            <w:vAlign w:val="center"/>
          </w:tcPr>
          <w:p w14:paraId="6E7AA146">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100%赔付</w:t>
            </w:r>
          </w:p>
        </w:tc>
      </w:tr>
      <w:tr w14:paraId="2C7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4" w:type="dxa"/>
            <w:vMerge w:val="continue"/>
            <w:vAlign w:val="center"/>
          </w:tcPr>
          <w:p w14:paraId="59B3997D">
            <w:pPr>
              <w:spacing w:line="360" w:lineRule="auto"/>
              <w:ind w:firstLine="480" w:firstLineChars="200"/>
              <w:rPr>
                <w:rFonts w:cs="仿宋_GB2312" w:asciiTheme="minorEastAsia" w:hAnsiTheme="minorEastAsia"/>
                <w:color w:val="auto"/>
                <w:sz w:val="24"/>
                <w:highlight w:val="none"/>
              </w:rPr>
            </w:pPr>
          </w:p>
        </w:tc>
        <w:tc>
          <w:tcPr>
            <w:tcW w:w="1768" w:type="dxa"/>
            <w:vAlign w:val="center"/>
          </w:tcPr>
          <w:p w14:paraId="78D04E46">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意外残疾保险金</w:t>
            </w:r>
          </w:p>
        </w:tc>
        <w:tc>
          <w:tcPr>
            <w:tcW w:w="2521" w:type="dxa"/>
            <w:vAlign w:val="center"/>
          </w:tcPr>
          <w:p w14:paraId="4766A061">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不少于30000元/人</w:t>
            </w:r>
          </w:p>
        </w:tc>
        <w:tc>
          <w:tcPr>
            <w:tcW w:w="2752" w:type="dxa"/>
            <w:vAlign w:val="center"/>
          </w:tcPr>
          <w:p w14:paraId="665C2DC9">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按《人身保险伤残评定标准（行业标准）》赔付</w:t>
            </w:r>
          </w:p>
        </w:tc>
      </w:tr>
      <w:tr w14:paraId="0ACC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24" w:type="dxa"/>
            <w:vMerge w:val="continue"/>
            <w:vAlign w:val="center"/>
          </w:tcPr>
          <w:p w14:paraId="62176744">
            <w:pPr>
              <w:spacing w:line="360" w:lineRule="auto"/>
              <w:ind w:firstLine="480" w:firstLineChars="200"/>
              <w:rPr>
                <w:rFonts w:cs="仿宋_GB2312" w:asciiTheme="minorEastAsia" w:hAnsiTheme="minorEastAsia"/>
                <w:color w:val="auto"/>
                <w:sz w:val="24"/>
                <w:highlight w:val="none"/>
              </w:rPr>
            </w:pPr>
          </w:p>
        </w:tc>
        <w:tc>
          <w:tcPr>
            <w:tcW w:w="1768" w:type="dxa"/>
            <w:vMerge w:val="restart"/>
            <w:vAlign w:val="center"/>
          </w:tcPr>
          <w:p w14:paraId="5CBE51CB">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重大疾病保险金</w:t>
            </w:r>
          </w:p>
        </w:tc>
        <w:tc>
          <w:tcPr>
            <w:tcW w:w="2521" w:type="dxa"/>
            <w:vAlign w:val="center"/>
          </w:tcPr>
          <w:p w14:paraId="3D00BA89">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重症不少于10000元/人</w:t>
            </w:r>
          </w:p>
        </w:tc>
        <w:tc>
          <w:tcPr>
            <w:tcW w:w="2752" w:type="dxa"/>
            <w:vMerge w:val="restart"/>
            <w:vAlign w:val="center"/>
          </w:tcPr>
          <w:p w14:paraId="1BC4298F">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因患条款列明的5</w:t>
            </w:r>
            <w:r>
              <w:rPr>
                <w:rFonts w:cs="仿宋_GB2312" w:asciiTheme="minorEastAsia" w:hAnsiTheme="minorEastAsia"/>
                <w:color w:val="auto"/>
                <w:sz w:val="24"/>
                <w:highlight w:val="none"/>
              </w:rPr>
              <w:t>0</w:t>
            </w:r>
            <w:r>
              <w:rPr>
                <w:rFonts w:hint="eastAsia" w:cs="仿宋_GB2312" w:asciiTheme="minorEastAsia" w:hAnsiTheme="minorEastAsia"/>
                <w:color w:val="auto"/>
                <w:sz w:val="24"/>
                <w:highlight w:val="none"/>
              </w:rPr>
              <w:t>种重大疾病或10种轻症之一，一次性给付对应的重大疾病保险金。（病种详见具体条款）</w:t>
            </w:r>
          </w:p>
        </w:tc>
      </w:tr>
      <w:tr w14:paraId="3702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24" w:type="dxa"/>
            <w:vMerge w:val="continue"/>
            <w:vAlign w:val="center"/>
          </w:tcPr>
          <w:p w14:paraId="5AB75AB2">
            <w:pPr>
              <w:spacing w:line="360" w:lineRule="auto"/>
              <w:ind w:firstLine="480" w:firstLineChars="200"/>
              <w:rPr>
                <w:rFonts w:cs="仿宋_GB2312" w:asciiTheme="minorEastAsia" w:hAnsiTheme="minorEastAsia"/>
                <w:color w:val="auto"/>
                <w:sz w:val="24"/>
                <w:highlight w:val="none"/>
              </w:rPr>
            </w:pPr>
          </w:p>
        </w:tc>
        <w:tc>
          <w:tcPr>
            <w:tcW w:w="1768" w:type="dxa"/>
            <w:vMerge w:val="continue"/>
            <w:vAlign w:val="center"/>
          </w:tcPr>
          <w:p w14:paraId="50746625">
            <w:pPr>
              <w:spacing w:line="360" w:lineRule="auto"/>
              <w:jc w:val="center"/>
              <w:rPr>
                <w:rFonts w:cs="仿宋_GB2312" w:asciiTheme="minorEastAsia" w:hAnsiTheme="minorEastAsia"/>
                <w:color w:val="auto"/>
                <w:sz w:val="24"/>
                <w:highlight w:val="none"/>
              </w:rPr>
            </w:pPr>
          </w:p>
        </w:tc>
        <w:tc>
          <w:tcPr>
            <w:tcW w:w="2521" w:type="dxa"/>
            <w:vAlign w:val="center"/>
          </w:tcPr>
          <w:p w14:paraId="3853161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轻症不少于3000元/人</w:t>
            </w:r>
          </w:p>
        </w:tc>
        <w:tc>
          <w:tcPr>
            <w:tcW w:w="2752" w:type="dxa"/>
            <w:vMerge w:val="continue"/>
            <w:vAlign w:val="center"/>
          </w:tcPr>
          <w:p w14:paraId="7A769492">
            <w:pPr>
              <w:jc w:val="center"/>
              <w:rPr>
                <w:rFonts w:cs="仿宋_GB2312" w:asciiTheme="minorEastAsia" w:hAnsiTheme="minorEastAsia"/>
                <w:color w:val="auto"/>
                <w:sz w:val="24"/>
                <w:highlight w:val="none"/>
              </w:rPr>
            </w:pPr>
          </w:p>
        </w:tc>
      </w:tr>
      <w:tr w14:paraId="3D6A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24" w:type="dxa"/>
            <w:vMerge w:val="restart"/>
            <w:vAlign w:val="center"/>
          </w:tcPr>
          <w:p w14:paraId="66B7778F">
            <w:pPr>
              <w:spacing w:line="360" w:lineRule="auto"/>
              <w:ind w:firstLine="360" w:firstLineChars="15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父母</w:t>
            </w:r>
          </w:p>
        </w:tc>
        <w:tc>
          <w:tcPr>
            <w:tcW w:w="1768" w:type="dxa"/>
            <w:vAlign w:val="center"/>
          </w:tcPr>
          <w:p w14:paraId="74394227">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疾病身故保险金</w:t>
            </w:r>
          </w:p>
        </w:tc>
        <w:tc>
          <w:tcPr>
            <w:tcW w:w="2521" w:type="dxa"/>
            <w:vAlign w:val="center"/>
          </w:tcPr>
          <w:p w14:paraId="59B91CA0">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不少于5000元/人</w:t>
            </w:r>
          </w:p>
        </w:tc>
        <w:tc>
          <w:tcPr>
            <w:tcW w:w="2752" w:type="dxa"/>
            <w:vAlign w:val="center"/>
          </w:tcPr>
          <w:p w14:paraId="4824AABC">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无等待期100%赔付</w:t>
            </w:r>
          </w:p>
        </w:tc>
      </w:tr>
      <w:tr w14:paraId="0FE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24" w:type="dxa"/>
            <w:vMerge w:val="continue"/>
            <w:vAlign w:val="center"/>
          </w:tcPr>
          <w:p w14:paraId="1B1D1577">
            <w:pPr>
              <w:spacing w:line="360" w:lineRule="auto"/>
              <w:ind w:firstLine="480" w:firstLineChars="200"/>
              <w:rPr>
                <w:rFonts w:cs="仿宋_GB2312" w:asciiTheme="minorEastAsia" w:hAnsiTheme="minorEastAsia"/>
                <w:color w:val="auto"/>
                <w:sz w:val="24"/>
                <w:highlight w:val="none"/>
              </w:rPr>
            </w:pPr>
          </w:p>
        </w:tc>
        <w:tc>
          <w:tcPr>
            <w:tcW w:w="1768" w:type="dxa"/>
            <w:vAlign w:val="center"/>
          </w:tcPr>
          <w:p w14:paraId="2A3F2371">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意外身故保险金</w:t>
            </w:r>
          </w:p>
        </w:tc>
        <w:tc>
          <w:tcPr>
            <w:tcW w:w="2521" w:type="dxa"/>
            <w:vAlign w:val="center"/>
          </w:tcPr>
          <w:p w14:paraId="3C6CCDB9">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不少于5000元/人</w:t>
            </w:r>
          </w:p>
        </w:tc>
        <w:tc>
          <w:tcPr>
            <w:tcW w:w="2752" w:type="dxa"/>
            <w:vAlign w:val="center"/>
          </w:tcPr>
          <w:p w14:paraId="3BBDDF64">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100%赔付</w:t>
            </w:r>
          </w:p>
        </w:tc>
      </w:tr>
      <w:tr w14:paraId="6FEA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continue"/>
            <w:vAlign w:val="center"/>
          </w:tcPr>
          <w:p w14:paraId="5FE7CF96">
            <w:pPr>
              <w:spacing w:line="360" w:lineRule="auto"/>
              <w:ind w:firstLine="480" w:firstLineChars="200"/>
              <w:rPr>
                <w:rFonts w:cs="仿宋_GB2312" w:asciiTheme="minorEastAsia" w:hAnsiTheme="minorEastAsia"/>
                <w:color w:val="auto"/>
                <w:sz w:val="24"/>
                <w:highlight w:val="none"/>
              </w:rPr>
            </w:pPr>
          </w:p>
        </w:tc>
        <w:tc>
          <w:tcPr>
            <w:tcW w:w="1768" w:type="dxa"/>
            <w:vAlign w:val="center"/>
          </w:tcPr>
          <w:p w14:paraId="7A20E846">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意外残疾保险金</w:t>
            </w:r>
          </w:p>
        </w:tc>
        <w:tc>
          <w:tcPr>
            <w:tcW w:w="2521" w:type="dxa"/>
            <w:vAlign w:val="center"/>
          </w:tcPr>
          <w:p w14:paraId="7AE08907">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不少于5000元/人</w:t>
            </w:r>
          </w:p>
        </w:tc>
        <w:tc>
          <w:tcPr>
            <w:tcW w:w="2752" w:type="dxa"/>
            <w:vAlign w:val="center"/>
          </w:tcPr>
          <w:p w14:paraId="3A9A41EC">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按《劳动能力鉴定 职工工伤与职业病致残等级》（GB/T 16180-2014）赔付</w:t>
            </w:r>
          </w:p>
        </w:tc>
      </w:tr>
      <w:tr w14:paraId="582E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restart"/>
            <w:vAlign w:val="center"/>
          </w:tcPr>
          <w:p w14:paraId="7AB1CB04">
            <w:pPr>
              <w:spacing w:line="360" w:lineRule="auto"/>
              <w:ind w:firstLine="120" w:firstLineChars="5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单亲父母</w:t>
            </w:r>
          </w:p>
        </w:tc>
        <w:tc>
          <w:tcPr>
            <w:tcW w:w="1768" w:type="dxa"/>
            <w:vAlign w:val="center"/>
          </w:tcPr>
          <w:p w14:paraId="4D6FA3B3">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疾病身故保险金</w:t>
            </w:r>
          </w:p>
        </w:tc>
        <w:tc>
          <w:tcPr>
            <w:tcW w:w="2521" w:type="dxa"/>
            <w:vAlign w:val="center"/>
          </w:tcPr>
          <w:p w14:paraId="7931CA41">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不少于10000元/人</w:t>
            </w:r>
          </w:p>
        </w:tc>
        <w:tc>
          <w:tcPr>
            <w:tcW w:w="2752" w:type="dxa"/>
            <w:vAlign w:val="center"/>
          </w:tcPr>
          <w:p w14:paraId="01A7A93B">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无等待期100%赔付</w:t>
            </w:r>
          </w:p>
        </w:tc>
      </w:tr>
      <w:tr w14:paraId="6440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continue"/>
            <w:vAlign w:val="center"/>
          </w:tcPr>
          <w:p w14:paraId="51636193">
            <w:pPr>
              <w:spacing w:line="360" w:lineRule="auto"/>
              <w:ind w:firstLine="480" w:firstLineChars="200"/>
              <w:jc w:val="center"/>
              <w:rPr>
                <w:rFonts w:cs="仿宋_GB2312" w:asciiTheme="minorEastAsia" w:hAnsiTheme="minorEastAsia"/>
                <w:color w:val="auto"/>
                <w:sz w:val="24"/>
                <w:highlight w:val="none"/>
              </w:rPr>
            </w:pPr>
          </w:p>
        </w:tc>
        <w:tc>
          <w:tcPr>
            <w:tcW w:w="1768" w:type="dxa"/>
            <w:vAlign w:val="center"/>
          </w:tcPr>
          <w:p w14:paraId="638307D2">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意外身故保险金</w:t>
            </w:r>
          </w:p>
        </w:tc>
        <w:tc>
          <w:tcPr>
            <w:tcW w:w="2521" w:type="dxa"/>
            <w:vAlign w:val="center"/>
          </w:tcPr>
          <w:p w14:paraId="1EB6E673">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不少于10000元/人</w:t>
            </w:r>
          </w:p>
        </w:tc>
        <w:tc>
          <w:tcPr>
            <w:tcW w:w="2752" w:type="dxa"/>
            <w:vAlign w:val="center"/>
          </w:tcPr>
          <w:p w14:paraId="5A1E6E0B">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100%赔付</w:t>
            </w:r>
          </w:p>
        </w:tc>
      </w:tr>
      <w:tr w14:paraId="50EA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continue"/>
            <w:vAlign w:val="center"/>
          </w:tcPr>
          <w:p w14:paraId="7E586367">
            <w:pPr>
              <w:spacing w:line="360" w:lineRule="auto"/>
              <w:ind w:firstLine="480" w:firstLineChars="200"/>
              <w:jc w:val="center"/>
              <w:rPr>
                <w:rFonts w:cs="仿宋_GB2312" w:asciiTheme="minorEastAsia" w:hAnsiTheme="minorEastAsia"/>
                <w:color w:val="auto"/>
                <w:sz w:val="24"/>
                <w:highlight w:val="none"/>
              </w:rPr>
            </w:pPr>
          </w:p>
        </w:tc>
        <w:tc>
          <w:tcPr>
            <w:tcW w:w="1768" w:type="dxa"/>
            <w:vAlign w:val="center"/>
          </w:tcPr>
          <w:p w14:paraId="0C825234">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意外残疾保险金</w:t>
            </w:r>
          </w:p>
        </w:tc>
        <w:tc>
          <w:tcPr>
            <w:tcW w:w="2521" w:type="dxa"/>
            <w:vAlign w:val="center"/>
          </w:tcPr>
          <w:p w14:paraId="2495E3A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不少于10000元/人</w:t>
            </w:r>
          </w:p>
        </w:tc>
        <w:tc>
          <w:tcPr>
            <w:tcW w:w="2752" w:type="dxa"/>
            <w:vAlign w:val="center"/>
          </w:tcPr>
          <w:p w14:paraId="09A1A3DB">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按《劳动能力鉴定 职工工伤与职业病致残等级》（GB/T 16180-2014）赔付</w:t>
            </w:r>
          </w:p>
        </w:tc>
      </w:tr>
    </w:tbl>
    <w:p w14:paraId="67CFC913">
      <w:pPr>
        <w:spacing w:before="120" w:beforeLines="50" w:after="120" w:afterLines="50"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（二）计划生育特殊家庭保险：</w:t>
      </w:r>
    </w:p>
    <w:p w14:paraId="418831C8">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1.参保对象：</w:t>
      </w:r>
      <w:r>
        <w:rPr>
          <w:rFonts w:hint="eastAsia" w:asciiTheme="minorEastAsia" w:hAnsiTheme="minorEastAsia"/>
          <w:color w:val="auto"/>
          <w:sz w:val="24"/>
          <w:highlight w:val="none"/>
        </w:rPr>
        <w:t>上城区</w:t>
      </w:r>
      <w:r>
        <w:rPr>
          <w:rFonts w:hint="eastAsia" w:cs="仿宋_GB2312" w:asciiTheme="minorEastAsia" w:hAnsiTheme="minorEastAsia"/>
          <w:color w:val="auto"/>
          <w:sz w:val="24"/>
          <w:highlight w:val="none"/>
        </w:rPr>
        <w:t>户籍的计划生育特殊家庭父母（失独家庭父母及伤残家庭父母）</w:t>
      </w:r>
    </w:p>
    <w:p w14:paraId="6B74C7F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2.承保数量：</w:t>
      </w:r>
      <w:r>
        <w:rPr>
          <w:rFonts w:hint="eastAsia" w:cs="仿宋_GB2312" w:asciiTheme="minorEastAsia" w:hAnsiTheme="minorEastAsia"/>
          <w:color w:val="auto"/>
          <w:sz w:val="24"/>
          <w:highlight w:val="none"/>
        </w:rPr>
        <w:t>计生特殊家庭父母暂定为：2</w:t>
      </w:r>
      <w:r>
        <w:rPr>
          <w:rFonts w:hint="eastAsia" w:cs="仿宋_GB2312" w:asciiTheme="minorEastAsia" w:hAnsiTheme="minorEastAsia"/>
          <w:color w:val="auto"/>
          <w:sz w:val="24"/>
          <w:highlight w:val="none"/>
          <w:lang w:val="en-US" w:eastAsia="zh-CN"/>
        </w:rPr>
        <w:t>7</w:t>
      </w:r>
      <w:r>
        <w:rPr>
          <w:rFonts w:hint="eastAsia" w:cs="仿宋_GB2312" w:asciiTheme="minorEastAsia" w:hAnsiTheme="minorEastAsia"/>
          <w:color w:val="auto"/>
          <w:sz w:val="24"/>
          <w:highlight w:val="none"/>
        </w:rPr>
        <w:t>00人，具体数量按实际承保人</w:t>
      </w:r>
      <w:r>
        <w:rPr>
          <w:rFonts w:hint="eastAsia" w:cs="仿宋_GB2312" w:asciiTheme="minorEastAsia" w:hAnsiTheme="minorEastAsia"/>
          <w:color w:val="auto"/>
          <w:sz w:val="24"/>
          <w:highlight w:val="none"/>
        </w:rPr>
        <w:t>数为准。</w:t>
      </w:r>
    </w:p>
    <w:p w14:paraId="09300E79">
      <w:pPr>
        <w:spacing w:line="360" w:lineRule="auto"/>
        <w:ind w:firstLine="482" w:firstLineChars="200"/>
        <w:rPr>
          <w:rFonts w:cs="仿宋_GB2312" w:asciiTheme="minorEastAsia" w:hAnsiTheme="minorEastAsia"/>
          <w:color w:val="auto"/>
          <w:sz w:val="24"/>
          <w:highlight w:val="none"/>
        </w:rPr>
      </w:pPr>
      <w:r>
        <w:rPr>
          <w:rFonts w:hint="eastAsia" w:cs="仿宋_GB2312" w:asciiTheme="minorEastAsia" w:hAnsiTheme="minorEastAsia"/>
          <w:b/>
          <w:color w:val="auto"/>
          <w:sz w:val="24"/>
          <w:highlight w:val="none"/>
        </w:rPr>
        <w:t>▲</w:t>
      </w:r>
      <w:r>
        <w:rPr>
          <w:rFonts w:hint="eastAsia" w:cs="仿宋_GB2312" w:asciiTheme="minorEastAsia" w:hAnsiTheme="minorEastAsia"/>
          <w:color w:val="auto"/>
          <w:sz w:val="24"/>
          <w:highlight w:val="none"/>
        </w:rPr>
        <w:t>3.保险费</w:t>
      </w:r>
      <w:r>
        <w:rPr>
          <w:rFonts w:hint="eastAsia" w:cs="仿宋_GB2312" w:asciiTheme="minorEastAsia" w:hAnsiTheme="minorEastAsia"/>
          <w:color w:val="auto"/>
          <w:sz w:val="24"/>
          <w:highlight w:val="none"/>
        </w:rPr>
        <w:t>用：最高限价</w:t>
      </w:r>
      <w:r>
        <w:rPr>
          <w:rFonts w:hint="eastAsia" w:cs="仿宋_GB2312" w:asciiTheme="minorEastAsia" w:hAnsiTheme="minorEastAsia"/>
          <w:color w:val="auto"/>
          <w:sz w:val="24"/>
          <w:highlight w:val="none"/>
          <w:lang w:val="en-US" w:eastAsia="zh-CN"/>
        </w:rPr>
        <w:t>39</w:t>
      </w:r>
      <w:r>
        <w:rPr>
          <w:rFonts w:hint="eastAsia" w:cs="仿宋_GB2312" w:asciiTheme="minorEastAsia" w:hAnsiTheme="minorEastAsia"/>
          <w:color w:val="auto"/>
          <w:sz w:val="24"/>
          <w:highlight w:val="none"/>
        </w:rPr>
        <w:t>0元/人</w:t>
      </w:r>
      <w:r>
        <w:rPr>
          <w:rFonts w:hint="eastAsia" w:asciiTheme="minorEastAsia" w:hAnsiTheme="minorEastAsia"/>
          <w:color w:val="auto"/>
          <w:highlight w:val="none"/>
        </w:rPr>
        <w:t>/年</w:t>
      </w:r>
    </w:p>
    <w:p w14:paraId="7047DB14">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▲4.保险方案：</w:t>
      </w:r>
    </w:p>
    <w:tbl>
      <w:tblPr>
        <w:tblStyle w:val="62"/>
        <w:tblpPr w:leftFromText="180" w:rightFromText="180" w:vertAnchor="text" w:horzAnchor="page" w:tblpX="1624" w:tblpY="461"/>
        <w:tblOverlap w:val="never"/>
        <w:tblW w:w="8831" w:type="dxa"/>
        <w:tblInd w:w="0" w:type="dxa"/>
        <w:tblLayout w:type="fixed"/>
        <w:tblCellMar>
          <w:top w:w="0" w:type="dxa"/>
          <w:left w:w="108" w:type="dxa"/>
          <w:bottom w:w="0" w:type="dxa"/>
          <w:right w:w="108" w:type="dxa"/>
        </w:tblCellMar>
      </w:tblPr>
      <w:tblGrid>
        <w:gridCol w:w="1207"/>
        <w:gridCol w:w="1134"/>
        <w:gridCol w:w="2379"/>
        <w:gridCol w:w="4111"/>
      </w:tblGrid>
      <w:tr w14:paraId="73F6BC02">
        <w:tblPrEx>
          <w:tblCellMar>
            <w:top w:w="0" w:type="dxa"/>
            <w:left w:w="108" w:type="dxa"/>
            <w:bottom w:w="0" w:type="dxa"/>
            <w:right w:w="108" w:type="dxa"/>
          </w:tblCellMar>
        </w:tblPrEx>
        <w:trPr>
          <w:trHeight w:val="648" w:hRule="atLeast"/>
        </w:trPr>
        <w:tc>
          <w:tcPr>
            <w:tcW w:w="1207" w:type="dxa"/>
            <w:tcBorders>
              <w:top w:val="single" w:color="auto" w:sz="4" w:space="0"/>
              <w:left w:val="single" w:color="auto" w:sz="4" w:space="0"/>
              <w:bottom w:val="single" w:color="auto" w:sz="4" w:space="0"/>
              <w:right w:val="single" w:color="auto" w:sz="4" w:space="0"/>
            </w:tcBorders>
            <w:vAlign w:val="center"/>
          </w:tcPr>
          <w:p w14:paraId="272325E6">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保障对象</w:t>
            </w:r>
          </w:p>
        </w:tc>
        <w:tc>
          <w:tcPr>
            <w:tcW w:w="1134" w:type="dxa"/>
            <w:tcBorders>
              <w:top w:val="single" w:color="auto" w:sz="4" w:space="0"/>
              <w:left w:val="nil"/>
              <w:bottom w:val="single" w:color="auto" w:sz="4" w:space="0"/>
              <w:right w:val="single" w:color="auto" w:sz="4" w:space="0"/>
            </w:tcBorders>
            <w:vAlign w:val="center"/>
          </w:tcPr>
          <w:p w14:paraId="0A0BB83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保障项目</w:t>
            </w:r>
          </w:p>
        </w:tc>
        <w:tc>
          <w:tcPr>
            <w:tcW w:w="2379" w:type="dxa"/>
            <w:tcBorders>
              <w:top w:val="single" w:color="auto" w:sz="4" w:space="0"/>
              <w:left w:val="nil"/>
              <w:bottom w:val="single" w:color="auto" w:sz="4" w:space="0"/>
              <w:right w:val="single" w:color="auto" w:sz="4" w:space="0"/>
            </w:tcBorders>
            <w:vAlign w:val="center"/>
          </w:tcPr>
          <w:p w14:paraId="7EBDA632">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保险金额</w:t>
            </w:r>
          </w:p>
        </w:tc>
        <w:tc>
          <w:tcPr>
            <w:tcW w:w="4111" w:type="dxa"/>
            <w:tcBorders>
              <w:top w:val="single" w:color="auto" w:sz="4" w:space="0"/>
              <w:left w:val="nil"/>
              <w:bottom w:val="single" w:color="auto" w:sz="4" w:space="0"/>
              <w:right w:val="single" w:color="auto" w:sz="4" w:space="0"/>
            </w:tcBorders>
            <w:vAlign w:val="center"/>
          </w:tcPr>
          <w:p w14:paraId="47F4146B">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保障内容</w:t>
            </w:r>
          </w:p>
        </w:tc>
      </w:tr>
      <w:tr w14:paraId="63C87A6B">
        <w:tblPrEx>
          <w:tblCellMar>
            <w:top w:w="0" w:type="dxa"/>
            <w:left w:w="108" w:type="dxa"/>
            <w:bottom w:w="0" w:type="dxa"/>
            <w:right w:w="108" w:type="dxa"/>
          </w:tblCellMar>
        </w:tblPrEx>
        <w:trPr>
          <w:trHeight w:val="423" w:hRule="atLeast"/>
        </w:trPr>
        <w:tc>
          <w:tcPr>
            <w:tcW w:w="1207" w:type="dxa"/>
            <w:vMerge w:val="restart"/>
            <w:tcBorders>
              <w:top w:val="single" w:color="auto" w:sz="4" w:space="0"/>
              <w:left w:val="single" w:color="auto" w:sz="4" w:space="0"/>
              <w:right w:val="single" w:color="auto" w:sz="4" w:space="0"/>
            </w:tcBorders>
            <w:vAlign w:val="center"/>
          </w:tcPr>
          <w:p w14:paraId="6C4186C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失独父母及计生伤残家庭人员</w:t>
            </w:r>
          </w:p>
        </w:tc>
        <w:tc>
          <w:tcPr>
            <w:tcW w:w="1134" w:type="dxa"/>
            <w:tcBorders>
              <w:top w:val="single" w:color="auto" w:sz="4" w:space="0"/>
              <w:left w:val="nil"/>
              <w:bottom w:val="single" w:color="auto" w:sz="4" w:space="0"/>
              <w:right w:val="single" w:color="auto" w:sz="4" w:space="0"/>
            </w:tcBorders>
            <w:vAlign w:val="center"/>
          </w:tcPr>
          <w:p w14:paraId="46B43CC1">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疾病身故</w:t>
            </w:r>
          </w:p>
        </w:tc>
        <w:tc>
          <w:tcPr>
            <w:tcW w:w="2379" w:type="dxa"/>
            <w:tcBorders>
              <w:top w:val="single" w:color="auto" w:sz="4" w:space="0"/>
              <w:left w:val="nil"/>
              <w:bottom w:val="single" w:color="auto" w:sz="4" w:space="0"/>
              <w:right w:val="single" w:color="auto" w:sz="4" w:space="0"/>
            </w:tcBorders>
            <w:vAlign w:val="center"/>
          </w:tcPr>
          <w:p w14:paraId="0108326D">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w:t>
            </w:r>
            <w:r>
              <w:rPr>
                <w:rFonts w:cs="仿宋_GB2312" w:asciiTheme="minorEastAsia" w:hAnsiTheme="minorEastAsia"/>
                <w:color w:val="auto"/>
                <w:sz w:val="24"/>
                <w:highlight w:val="none"/>
              </w:rPr>
              <w:t>30000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p>
        </w:tc>
        <w:tc>
          <w:tcPr>
            <w:tcW w:w="4111" w:type="dxa"/>
            <w:tcBorders>
              <w:top w:val="single" w:color="auto" w:sz="4" w:space="0"/>
              <w:left w:val="nil"/>
              <w:bottom w:val="single" w:color="auto" w:sz="4" w:space="0"/>
              <w:right w:val="single" w:color="auto" w:sz="4" w:space="0"/>
            </w:tcBorders>
            <w:vAlign w:val="center"/>
          </w:tcPr>
          <w:p w14:paraId="54AC733D">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无等待期100%给付保险金</w:t>
            </w:r>
            <w:r>
              <w:rPr>
                <w:rFonts w:cs="仿宋_GB2312" w:asciiTheme="minorEastAsia" w:hAnsiTheme="minorEastAsia"/>
                <w:color w:val="auto"/>
                <w:sz w:val="24"/>
                <w:highlight w:val="none"/>
              </w:rPr>
              <w:t>。</w:t>
            </w:r>
          </w:p>
        </w:tc>
      </w:tr>
      <w:tr w14:paraId="6EA0085B">
        <w:tblPrEx>
          <w:tblCellMar>
            <w:top w:w="0" w:type="dxa"/>
            <w:left w:w="108" w:type="dxa"/>
            <w:bottom w:w="0" w:type="dxa"/>
            <w:right w:w="108" w:type="dxa"/>
          </w:tblCellMar>
        </w:tblPrEx>
        <w:trPr>
          <w:trHeight w:val="780" w:hRule="atLeast"/>
        </w:trPr>
        <w:tc>
          <w:tcPr>
            <w:tcW w:w="1207" w:type="dxa"/>
            <w:vMerge w:val="continue"/>
            <w:tcBorders>
              <w:left w:val="single" w:color="auto" w:sz="4" w:space="0"/>
              <w:right w:val="single" w:color="auto" w:sz="4" w:space="0"/>
            </w:tcBorders>
            <w:vAlign w:val="center"/>
          </w:tcPr>
          <w:p w14:paraId="04C9A75F">
            <w:pPr>
              <w:spacing w:line="360" w:lineRule="auto"/>
              <w:jc w:val="center"/>
              <w:rPr>
                <w:rFonts w:cs="仿宋_GB2312" w:asciiTheme="minorEastAsia" w:hAnsiTheme="minorEastAsia"/>
                <w:color w:val="auto"/>
                <w:sz w:val="24"/>
                <w:highlight w:val="none"/>
              </w:rPr>
            </w:pPr>
          </w:p>
        </w:tc>
        <w:tc>
          <w:tcPr>
            <w:tcW w:w="1134" w:type="dxa"/>
            <w:tcBorders>
              <w:top w:val="single" w:color="auto" w:sz="4" w:space="0"/>
              <w:left w:val="nil"/>
              <w:bottom w:val="single" w:color="auto" w:sz="4" w:space="0"/>
              <w:right w:val="single" w:color="auto" w:sz="4" w:space="0"/>
            </w:tcBorders>
            <w:vAlign w:val="center"/>
          </w:tcPr>
          <w:p w14:paraId="67D10CCD">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意外身故</w:t>
            </w:r>
          </w:p>
        </w:tc>
        <w:tc>
          <w:tcPr>
            <w:tcW w:w="2379" w:type="dxa"/>
            <w:tcBorders>
              <w:top w:val="single" w:color="auto" w:sz="4" w:space="0"/>
              <w:left w:val="nil"/>
              <w:bottom w:val="single" w:color="auto" w:sz="4" w:space="0"/>
              <w:right w:val="single" w:color="auto" w:sz="4" w:space="0"/>
            </w:tcBorders>
            <w:vAlign w:val="center"/>
          </w:tcPr>
          <w:p w14:paraId="591F10BC">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w:t>
            </w:r>
            <w:r>
              <w:rPr>
                <w:rFonts w:cs="仿宋_GB2312" w:asciiTheme="minorEastAsia" w:hAnsiTheme="minorEastAsia"/>
                <w:color w:val="auto"/>
                <w:sz w:val="24"/>
                <w:highlight w:val="none"/>
              </w:rPr>
              <w:t>30000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p>
        </w:tc>
        <w:tc>
          <w:tcPr>
            <w:tcW w:w="4111" w:type="dxa"/>
            <w:tcBorders>
              <w:top w:val="single" w:color="auto" w:sz="4" w:space="0"/>
              <w:left w:val="nil"/>
              <w:bottom w:val="single" w:color="auto" w:sz="4" w:space="0"/>
              <w:right w:val="single" w:color="auto" w:sz="4" w:space="0"/>
            </w:tcBorders>
            <w:vAlign w:val="center"/>
          </w:tcPr>
          <w:p w14:paraId="2B86BF36">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100%赔付</w:t>
            </w:r>
          </w:p>
        </w:tc>
      </w:tr>
      <w:tr w14:paraId="28A27CC5">
        <w:tblPrEx>
          <w:tblCellMar>
            <w:top w:w="0" w:type="dxa"/>
            <w:left w:w="108" w:type="dxa"/>
            <w:bottom w:w="0" w:type="dxa"/>
            <w:right w:w="108" w:type="dxa"/>
          </w:tblCellMar>
        </w:tblPrEx>
        <w:trPr>
          <w:trHeight w:val="457" w:hRule="atLeast"/>
        </w:trPr>
        <w:tc>
          <w:tcPr>
            <w:tcW w:w="1207" w:type="dxa"/>
            <w:vMerge w:val="continue"/>
            <w:tcBorders>
              <w:left w:val="single" w:color="auto" w:sz="4" w:space="0"/>
              <w:right w:val="single" w:color="auto" w:sz="4" w:space="0"/>
            </w:tcBorders>
            <w:vAlign w:val="center"/>
          </w:tcPr>
          <w:p w14:paraId="73CD69E7">
            <w:pPr>
              <w:spacing w:line="360" w:lineRule="auto"/>
              <w:jc w:val="center"/>
              <w:rPr>
                <w:rFonts w:cs="仿宋_GB2312" w:asciiTheme="minorEastAsia" w:hAnsiTheme="minorEastAsia"/>
                <w:color w:val="auto"/>
                <w:sz w:val="24"/>
                <w:highlight w:val="none"/>
              </w:rPr>
            </w:pPr>
          </w:p>
        </w:tc>
        <w:tc>
          <w:tcPr>
            <w:tcW w:w="1134" w:type="dxa"/>
            <w:tcBorders>
              <w:top w:val="nil"/>
              <w:left w:val="nil"/>
              <w:bottom w:val="single" w:color="auto" w:sz="4" w:space="0"/>
              <w:right w:val="single" w:color="auto" w:sz="4" w:space="0"/>
            </w:tcBorders>
            <w:vAlign w:val="center"/>
          </w:tcPr>
          <w:p w14:paraId="4AE6CBC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意外残疾</w:t>
            </w:r>
          </w:p>
        </w:tc>
        <w:tc>
          <w:tcPr>
            <w:tcW w:w="2379" w:type="dxa"/>
            <w:tcBorders>
              <w:top w:val="nil"/>
              <w:left w:val="nil"/>
              <w:bottom w:val="single" w:color="auto" w:sz="4" w:space="0"/>
              <w:right w:val="single" w:color="auto" w:sz="4" w:space="0"/>
            </w:tcBorders>
            <w:vAlign w:val="center"/>
          </w:tcPr>
          <w:p w14:paraId="2C88CAE2">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w:t>
            </w:r>
            <w:r>
              <w:rPr>
                <w:rFonts w:cs="仿宋_GB2312" w:asciiTheme="minorEastAsia" w:hAnsiTheme="minorEastAsia"/>
                <w:color w:val="auto"/>
                <w:sz w:val="24"/>
                <w:highlight w:val="none"/>
              </w:rPr>
              <w:t>30000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p>
        </w:tc>
        <w:tc>
          <w:tcPr>
            <w:tcW w:w="4111" w:type="dxa"/>
            <w:tcBorders>
              <w:top w:val="nil"/>
              <w:left w:val="single" w:color="auto" w:sz="4" w:space="0"/>
              <w:bottom w:val="single" w:color="auto" w:sz="4" w:space="0"/>
              <w:right w:val="single" w:color="auto" w:sz="4" w:space="0"/>
            </w:tcBorders>
            <w:vAlign w:val="center"/>
          </w:tcPr>
          <w:p w14:paraId="2050B0D8">
            <w:pPr>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按《人身保险伤残评定标准（行业标准）》赔付</w:t>
            </w:r>
          </w:p>
        </w:tc>
      </w:tr>
      <w:tr w14:paraId="5FED4CE5">
        <w:tblPrEx>
          <w:tblCellMar>
            <w:top w:w="0" w:type="dxa"/>
            <w:left w:w="108" w:type="dxa"/>
            <w:bottom w:w="0" w:type="dxa"/>
            <w:right w:w="108" w:type="dxa"/>
          </w:tblCellMar>
        </w:tblPrEx>
        <w:trPr>
          <w:trHeight w:val="605" w:hRule="atLeast"/>
        </w:trPr>
        <w:tc>
          <w:tcPr>
            <w:tcW w:w="1207" w:type="dxa"/>
            <w:vMerge w:val="continue"/>
            <w:tcBorders>
              <w:left w:val="single" w:color="auto" w:sz="4" w:space="0"/>
              <w:right w:val="single" w:color="auto" w:sz="4" w:space="0"/>
            </w:tcBorders>
            <w:vAlign w:val="center"/>
          </w:tcPr>
          <w:p w14:paraId="54647315">
            <w:pPr>
              <w:spacing w:line="360" w:lineRule="auto"/>
              <w:jc w:val="center"/>
              <w:rPr>
                <w:rFonts w:cs="仿宋_GB2312" w:asciiTheme="minorEastAsia" w:hAnsiTheme="minorEastAsia"/>
                <w:color w:val="auto"/>
                <w:sz w:val="24"/>
                <w:highlight w:val="none"/>
              </w:rPr>
            </w:pPr>
          </w:p>
        </w:tc>
        <w:tc>
          <w:tcPr>
            <w:tcW w:w="1134" w:type="dxa"/>
            <w:vMerge w:val="restart"/>
            <w:tcBorders>
              <w:top w:val="single" w:color="auto" w:sz="4" w:space="0"/>
              <w:left w:val="nil"/>
              <w:right w:val="single" w:color="auto" w:sz="4" w:space="0"/>
            </w:tcBorders>
            <w:vAlign w:val="center"/>
          </w:tcPr>
          <w:p w14:paraId="5E92D8BB">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重大疾病</w:t>
            </w:r>
          </w:p>
        </w:tc>
        <w:tc>
          <w:tcPr>
            <w:tcW w:w="2379" w:type="dxa"/>
            <w:tcBorders>
              <w:top w:val="single" w:color="auto" w:sz="4" w:space="0"/>
              <w:left w:val="nil"/>
              <w:bottom w:val="single" w:color="auto" w:sz="4" w:space="0"/>
              <w:right w:val="single" w:color="auto" w:sz="4" w:space="0"/>
            </w:tcBorders>
            <w:vAlign w:val="center"/>
          </w:tcPr>
          <w:p w14:paraId="3FBC73DB">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重症不少于</w:t>
            </w:r>
            <w:r>
              <w:rPr>
                <w:rFonts w:cs="仿宋_GB2312" w:asciiTheme="minorEastAsia" w:hAnsiTheme="minorEastAsia"/>
                <w:color w:val="auto"/>
                <w:sz w:val="24"/>
                <w:highlight w:val="none"/>
              </w:rPr>
              <w:t>10000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p>
        </w:tc>
        <w:tc>
          <w:tcPr>
            <w:tcW w:w="4111" w:type="dxa"/>
            <w:vMerge w:val="restart"/>
            <w:tcBorders>
              <w:top w:val="single" w:color="auto" w:sz="4" w:space="0"/>
              <w:left w:val="single" w:color="auto" w:sz="4" w:space="0"/>
              <w:right w:val="single" w:color="auto" w:sz="4" w:space="0"/>
            </w:tcBorders>
            <w:vAlign w:val="center"/>
          </w:tcPr>
          <w:p w14:paraId="52B8BC8B">
            <w:pPr>
              <w:spacing w:line="400" w:lineRule="exact"/>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因患条款列明的5</w:t>
            </w:r>
            <w:r>
              <w:rPr>
                <w:rFonts w:cs="仿宋_GB2312" w:asciiTheme="minorEastAsia" w:hAnsiTheme="minorEastAsia"/>
                <w:color w:val="auto"/>
                <w:sz w:val="24"/>
                <w:highlight w:val="none"/>
              </w:rPr>
              <w:t>0</w:t>
            </w:r>
            <w:r>
              <w:rPr>
                <w:rFonts w:hint="eastAsia" w:cs="仿宋_GB2312" w:asciiTheme="minorEastAsia" w:hAnsiTheme="minorEastAsia"/>
                <w:color w:val="auto"/>
                <w:sz w:val="24"/>
                <w:highlight w:val="none"/>
              </w:rPr>
              <w:t>种重大疾病或10种轻症之一，一次性给付对应的重大疾病保险金。（病种详见具体条款）</w:t>
            </w:r>
          </w:p>
        </w:tc>
      </w:tr>
      <w:tr w14:paraId="294F7EB6">
        <w:tblPrEx>
          <w:tblCellMar>
            <w:top w:w="0" w:type="dxa"/>
            <w:left w:w="108" w:type="dxa"/>
            <w:bottom w:w="0" w:type="dxa"/>
            <w:right w:w="108" w:type="dxa"/>
          </w:tblCellMar>
        </w:tblPrEx>
        <w:trPr>
          <w:trHeight w:val="604" w:hRule="atLeast"/>
        </w:trPr>
        <w:tc>
          <w:tcPr>
            <w:tcW w:w="1207" w:type="dxa"/>
            <w:vMerge w:val="continue"/>
            <w:tcBorders>
              <w:left w:val="single" w:color="auto" w:sz="4" w:space="0"/>
              <w:right w:val="single" w:color="auto" w:sz="4" w:space="0"/>
            </w:tcBorders>
            <w:vAlign w:val="center"/>
          </w:tcPr>
          <w:p w14:paraId="02B6C3CC">
            <w:pPr>
              <w:spacing w:line="360" w:lineRule="auto"/>
              <w:jc w:val="center"/>
              <w:rPr>
                <w:rFonts w:cs="仿宋_GB2312" w:asciiTheme="minorEastAsia" w:hAnsiTheme="minorEastAsia"/>
                <w:color w:val="auto"/>
                <w:sz w:val="24"/>
                <w:highlight w:val="none"/>
              </w:rPr>
            </w:pPr>
          </w:p>
        </w:tc>
        <w:tc>
          <w:tcPr>
            <w:tcW w:w="1134" w:type="dxa"/>
            <w:vMerge w:val="continue"/>
            <w:tcBorders>
              <w:left w:val="nil"/>
              <w:bottom w:val="single" w:color="auto" w:sz="4" w:space="0"/>
              <w:right w:val="single" w:color="auto" w:sz="4" w:space="0"/>
            </w:tcBorders>
            <w:vAlign w:val="center"/>
          </w:tcPr>
          <w:p w14:paraId="2A093ABA">
            <w:pPr>
              <w:spacing w:line="360" w:lineRule="auto"/>
              <w:jc w:val="center"/>
              <w:rPr>
                <w:rFonts w:cs="仿宋_GB2312" w:asciiTheme="minorEastAsia" w:hAnsiTheme="minorEastAsia"/>
                <w:color w:val="auto"/>
                <w:sz w:val="24"/>
                <w:highlight w:val="none"/>
              </w:rPr>
            </w:pPr>
          </w:p>
        </w:tc>
        <w:tc>
          <w:tcPr>
            <w:tcW w:w="2379" w:type="dxa"/>
            <w:tcBorders>
              <w:top w:val="single" w:color="auto" w:sz="4" w:space="0"/>
              <w:left w:val="nil"/>
              <w:bottom w:val="single" w:color="auto" w:sz="4" w:space="0"/>
              <w:right w:val="single" w:color="auto" w:sz="4" w:space="0"/>
            </w:tcBorders>
            <w:vAlign w:val="center"/>
          </w:tcPr>
          <w:p w14:paraId="7F26E990">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轻症不少于3000元/人</w:t>
            </w:r>
          </w:p>
        </w:tc>
        <w:tc>
          <w:tcPr>
            <w:tcW w:w="4111" w:type="dxa"/>
            <w:vMerge w:val="continue"/>
            <w:tcBorders>
              <w:left w:val="single" w:color="auto" w:sz="4" w:space="0"/>
              <w:bottom w:val="single" w:color="auto" w:sz="4" w:space="0"/>
              <w:right w:val="single" w:color="auto" w:sz="4" w:space="0"/>
            </w:tcBorders>
            <w:vAlign w:val="center"/>
          </w:tcPr>
          <w:p w14:paraId="0930C425">
            <w:pPr>
              <w:spacing w:line="400" w:lineRule="exact"/>
              <w:jc w:val="center"/>
              <w:rPr>
                <w:rFonts w:cs="仿宋_GB2312" w:asciiTheme="minorEastAsia" w:hAnsiTheme="minorEastAsia"/>
                <w:color w:val="auto"/>
                <w:sz w:val="24"/>
                <w:highlight w:val="none"/>
              </w:rPr>
            </w:pPr>
          </w:p>
        </w:tc>
      </w:tr>
      <w:tr w14:paraId="28243CD3">
        <w:tblPrEx>
          <w:tblCellMar>
            <w:top w:w="0" w:type="dxa"/>
            <w:left w:w="108" w:type="dxa"/>
            <w:bottom w:w="0" w:type="dxa"/>
            <w:right w:w="108" w:type="dxa"/>
          </w:tblCellMar>
        </w:tblPrEx>
        <w:trPr>
          <w:trHeight w:val="1329" w:hRule="atLeast"/>
        </w:trPr>
        <w:tc>
          <w:tcPr>
            <w:tcW w:w="1207" w:type="dxa"/>
            <w:vMerge w:val="continue"/>
            <w:tcBorders>
              <w:left w:val="single" w:color="auto" w:sz="4" w:space="0"/>
              <w:right w:val="single" w:color="auto" w:sz="4" w:space="0"/>
            </w:tcBorders>
            <w:vAlign w:val="center"/>
          </w:tcPr>
          <w:p w14:paraId="4B9BE8C1">
            <w:pPr>
              <w:spacing w:line="360" w:lineRule="auto"/>
              <w:jc w:val="center"/>
              <w:rPr>
                <w:rFonts w:cs="仿宋_GB2312" w:asciiTheme="minorEastAsia" w:hAnsiTheme="minorEastAsia"/>
                <w:color w:val="auto"/>
                <w:sz w:val="24"/>
                <w:highlight w:val="none"/>
              </w:rPr>
            </w:pPr>
          </w:p>
        </w:tc>
        <w:tc>
          <w:tcPr>
            <w:tcW w:w="1134" w:type="dxa"/>
            <w:tcBorders>
              <w:top w:val="nil"/>
              <w:left w:val="nil"/>
              <w:bottom w:val="single" w:color="auto" w:sz="4" w:space="0"/>
              <w:right w:val="single" w:color="auto" w:sz="4" w:space="0"/>
            </w:tcBorders>
            <w:vAlign w:val="center"/>
          </w:tcPr>
          <w:p w14:paraId="10C50887">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意外医疗费</w:t>
            </w:r>
          </w:p>
        </w:tc>
        <w:tc>
          <w:tcPr>
            <w:tcW w:w="2379" w:type="dxa"/>
            <w:tcBorders>
              <w:top w:val="nil"/>
              <w:left w:val="nil"/>
              <w:bottom w:val="single" w:color="auto" w:sz="4" w:space="0"/>
              <w:right w:val="single" w:color="auto" w:sz="4" w:space="0"/>
            </w:tcBorders>
            <w:vAlign w:val="center"/>
          </w:tcPr>
          <w:p w14:paraId="119297A9">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不少于1</w:t>
            </w:r>
            <w:r>
              <w:rPr>
                <w:rFonts w:cs="仿宋_GB2312" w:asciiTheme="minorEastAsia" w:hAnsiTheme="minorEastAsia"/>
                <w:color w:val="auto"/>
                <w:sz w:val="24"/>
                <w:highlight w:val="none"/>
              </w:rPr>
              <w:t>0000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p>
        </w:tc>
        <w:tc>
          <w:tcPr>
            <w:tcW w:w="4111" w:type="dxa"/>
            <w:tcBorders>
              <w:top w:val="nil"/>
              <w:left w:val="single" w:color="auto" w:sz="4" w:space="0"/>
              <w:bottom w:val="single" w:color="auto" w:sz="4" w:space="0"/>
              <w:right w:val="single" w:color="auto" w:sz="4" w:space="0"/>
            </w:tcBorders>
            <w:vAlign w:val="center"/>
          </w:tcPr>
          <w:p w14:paraId="7FA87A22">
            <w:pPr>
              <w:spacing w:line="400" w:lineRule="exact"/>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因意外伤害产生的医疗费用，理赔范围以社保内的费用，其中因意外或急性病使用救护车，按实际产生的费用发票金额报销，单次限额</w:t>
            </w:r>
            <w:r>
              <w:rPr>
                <w:rFonts w:cs="仿宋_GB2312" w:asciiTheme="minorEastAsia" w:hAnsiTheme="minorEastAsia"/>
                <w:color w:val="auto"/>
                <w:sz w:val="24"/>
                <w:highlight w:val="none"/>
              </w:rPr>
              <w:t>1000</w:t>
            </w:r>
            <w:r>
              <w:rPr>
                <w:rFonts w:hint="eastAsia" w:cs="仿宋_GB2312" w:asciiTheme="minorEastAsia" w:hAnsiTheme="minorEastAsia"/>
                <w:color w:val="auto"/>
                <w:sz w:val="24"/>
                <w:highlight w:val="none"/>
              </w:rPr>
              <w:t>元，一年限两次。医院为公立的二级或二级以上。</w:t>
            </w:r>
          </w:p>
        </w:tc>
      </w:tr>
      <w:tr w14:paraId="3008B680">
        <w:tblPrEx>
          <w:tblCellMar>
            <w:top w:w="0" w:type="dxa"/>
            <w:left w:w="108" w:type="dxa"/>
            <w:bottom w:w="0" w:type="dxa"/>
            <w:right w:w="108" w:type="dxa"/>
          </w:tblCellMar>
        </w:tblPrEx>
        <w:trPr>
          <w:trHeight w:val="531" w:hRule="atLeast"/>
        </w:trPr>
        <w:tc>
          <w:tcPr>
            <w:tcW w:w="1207" w:type="dxa"/>
            <w:vMerge w:val="continue"/>
            <w:tcBorders>
              <w:left w:val="single" w:color="auto" w:sz="4" w:space="0"/>
              <w:right w:val="single" w:color="auto" w:sz="4" w:space="0"/>
            </w:tcBorders>
            <w:vAlign w:val="center"/>
          </w:tcPr>
          <w:p w14:paraId="6E47A2E4">
            <w:pPr>
              <w:spacing w:line="360" w:lineRule="auto"/>
              <w:jc w:val="center"/>
              <w:rPr>
                <w:rFonts w:cs="仿宋_GB2312" w:asciiTheme="minorEastAsia" w:hAnsiTheme="minorEastAsia"/>
                <w:color w:val="auto"/>
                <w:sz w:val="24"/>
                <w:highlight w:val="none"/>
              </w:rPr>
            </w:pPr>
          </w:p>
        </w:tc>
        <w:tc>
          <w:tcPr>
            <w:tcW w:w="1134" w:type="dxa"/>
            <w:tcBorders>
              <w:top w:val="nil"/>
              <w:left w:val="nil"/>
              <w:bottom w:val="single" w:color="auto" w:sz="4" w:space="0"/>
              <w:right w:val="single" w:color="auto" w:sz="4" w:space="0"/>
            </w:tcBorders>
            <w:vAlign w:val="center"/>
          </w:tcPr>
          <w:p w14:paraId="7C3284BB">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住院医疗费</w:t>
            </w:r>
          </w:p>
        </w:tc>
        <w:tc>
          <w:tcPr>
            <w:tcW w:w="2379" w:type="dxa"/>
            <w:tcBorders>
              <w:top w:val="nil"/>
              <w:left w:val="nil"/>
              <w:bottom w:val="single" w:color="auto" w:sz="4" w:space="0"/>
              <w:right w:val="single" w:color="auto" w:sz="4" w:space="0"/>
            </w:tcBorders>
            <w:vAlign w:val="center"/>
          </w:tcPr>
          <w:p w14:paraId="5BF9972C">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w:t>
            </w:r>
            <w:r>
              <w:rPr>
                <w:rFonts w:cs="仿宋_GB2312" w:asciiTheme="minorEastAsia" w:hAnsiTheme="minorEastAsia"/>
                <w:color w:val="auto"/>
                <w:sz w:val="24"/>
                <w:highlight w:val="none"/>
              </w:rPr>
              <w:t>8000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p>
        </w:tc>
        <w:tc>
          <w:tcPr>
            <w:tcW w:w="4111" w:type="dxa"/>
            <w:tcBorders>
              <w:top w:val="nil"/>
              <w:left w:val="single" w:color="auto" w:sz="4" w:space="0"/>
              <w:bottom w:val="single" w:color="auto" w:sz="4" w:space="0"/>
              <w:right w:val="single" w:color="auto" w:sz="4" w:space="0"/>
            </w:tcBorders>
            <w:vAlign w:val="center"/>
          </w:tcPr>
          <w:p w14:paraId="1859F14A">
            <w:pPr>
              <w:spacing w:line="400" w:lineRule="exact"/>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因疾病产生的住院医疗费用，理赔范围以社保内的费用，指定医院为公立的二级或二级以上医院。</w:t>
            </w:r>
          </w:p>
        </w:tc>
      </w:tr>
      <w:tr w14:paraId="6757773E">
        <w:tblPrEx>
          <w:tblCellMar>
            <w:top w:w="0" w:type="dxa"/>
            <w:left w:w="108" w:type="dxa"/>
            <w:bottom w:w="0" w:type="dxa"/>
            <w:right w:w="108" w:type="dxa"/>
          </w:tblCellMar>
        </w:tblPrEx>
        <w:trPr>
          <w:trHeight w:val="1245" w:hRule="atLeast"/>
        </w:trPr>
        <w:tc>
          <w:tcPr>
            <w:tcW w:w="1207" w:type="dxa"/>
            <w:vMerge w:val="continue"/>
            <w:tcBorders>
              <w:left w:val="single" w:color="auto" w:sz="4" w:space="0"/>
              <w:right w:val="single" w:color="auto" w:sz="4" w:space="0"/>
            </w:tcBorders>
            <w:vAlign w:val="center"/>
          </w:tcPr>
          <w:p w14:paraId="5C1881EF">
            <w:pPr>
              <w:spacing w:line="360" w:lineRule="auto"/>
              <w:jc w:val="center"/>
              <w:rPr>
                <w:rFonts w:cs="仿宋_GB2312" w:asciiTheme="minorEastAsia" w:hAnsiTheme="minorEastAsia"/>
                <w:color w:val="auto"/>
                <w:sz w:val="24"/>
                <w:highlight w:val="none"/>
              </w:rPr>
            </w:pPr>
          </w:p>
        </w:tc>
        <w:tc>
          <w:tcPr>
            <w:tcW w:w="1134" w:type="dxa"/>
            <w:tcBorders>
              <w:top w:val="nil"/>
              <w:left w:val="nil"/>
              <w:bottom w:val="single" w:color="auto" w:sz="4" w:space="0"/>
              <w:right w:val="single" w:color="auto" w:sz="4" w:space="0"/>
            </w:tcBorders>
            <w:vAlign w:val="center"/>
          </w:tcPr>
          <w:p w14:paraId="7E00FC6F">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住院津贴</w:t>
            </w:r>
          </w:p>
        </w:tc>
        <w:tc>
          <w:tcPr>
            <w:tcW w:w="2379" w:type="dxa"/>
            <w:tcBorders>
              <w:top w:val="nil"/>
              <w:left w:val="nil"/>
              <w:bottom w:val="single" w:color="auto" w:sz="4" w:space="0"/>
              <w:right w:val="single" w:color="auto" w:sz="4" w:space="0"/>
            </w:tcBorders>
            <w:vAlign w:val="center"/>
          </w:tcPr>
          <w:p w14:paraId="6ECBFBAA">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w:t>
            </w:r>
            <w:r>
              <w:rPr>
                <w:rFonts w:cs="仿宋_GB2312" w:asciiTheme="minorEastAsia" w:hAnsiTheme="minorEastAsia"/>
                <w:color w:val="auto"/>
                <w:sz w:val="24"/>
                <w:highlight w:val="none"/>
              </w:rPr>
              <w:t>150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天</w:t>
            </w:r>
          </w:p>
        </w:tc>
        <w:tc>
          <w:tcPr>
            <w:tcW w:w="4111" w:type="dxa"/>
            <w:tcBorders>
              <w:top w:val="nil"/>
              <w:left w:val="single" w:color="auto" w:sz="4" w:space="0"/>
              <w:bottom w:val="single" w:color="auto" w:sz="4" w:space="0"/>
              <w:right w:val="single" w:color="auto" w:sz="4" w:space="0"/>
            </w:tcBorders>
            <w:vAlign w:val="center"/>
          </w:tcPr>
          <w:p w14:paraId="06557641">
            <w:pPr>
              <w:spacing w:line="400" w:lineRule="exact"/>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因意外伤害或疾病住院，公立的二级或二级以上医院，按实际住院日数给付，累计给付日数以一百八十日为限。</w:t>
            </w:r>
          </w:p>
        </w:tc>
      </w:tr>
      <w:tr w14:paraId="7D9A74C1">
        <w:tblPrEx>
          <w:tblCellMar>
            <w:top w:w="0" w:type="dxa"/>
            <w:left w:w="108" w:type="dxa"/>
            <w:bottom w:w="0" w:type="dxa"/>
            <w:right w:w="108" w:type="dxa"/>
          </w:tblCellMar>
        </w:tblPrEx>
        <w:trPr>
          <w:trHeight w:val="1697" w:hRule="atLeast"/>
        </w:trPr>
        <w:tc>
          <w:tcPr>
            <w:tcW w:w="1207" w:type="dxa"/>
            <w:vMerge w:val="continue"/>
            <w:tcBorders>
              <w:left w:val="single" w:color="auto" w:sz="4" w:space="0"/>
              <w:bottom w:val="single" w:color="auto" w:sz="4" w:space="0"/>
              <w:right w:val="single" w:color="auto" w:sz="4" w:space="0"/>
            </w:tcBorders>
            <w:vAlign w:val="center"/>
          </w:tcPr>
          <w:p w14:paraId="3B837FB7">
            <w:pPr>
              <w:spacing w:line="360" w:lineRule="auto"/>
              <w:jc w:val="center"/>
              <w:rPr>
                <w:rFonts w:cs="仿宋_GB2312" w:asciiTheme="minorEastAsia" w:hAnsiTheme="minorEastAsia"/>
                <w:color w:val="auto"/>
                <w:sz w:val="24"/>
                <w:highlight w:val="none"/>
              </w:rPr>
            </w:pPr>
          </w:p>
        </w:tc>
        <w:tc>
          <w:tcPr>
            <w:tcW w:w="1134" w:type="dxa"/>
            <w:tcBorders>
              <w:top w:val="nil"/>
              <w:left w:val="nil"/>
              <w:bottom w:val="single" w:color="auto" w:sz="4" w:space="0"/>
              <w:right w:val="single" w:color="auto" w:sz="4" w:space="0"/>
            </w:tcBorders>
            <w:vAlign w:val="center"/>
          </w:tcPr>
          <w:p w14:paraId="71DAE3DE">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重症监护</w:t>
            </w:r>
          </w:p>
        </w:tc>
        <w:tc>
          <w:tcPr>
            <w:tcW w:w="2379" w:type="dxa"/>
            <w:tcBorders>
              <w:top w:val="nil"/>
              <w:left w:val="nil"/>
              <w:bottom w:val="single" w:color="auto" w:sz="4" w:space="0"/>
              <w:right w:val="single" w:color="auto" w:sz="4" w:space="0"/>
            </w:tcBorders>
            <w:vAlign w:val="center"/>
          </w:tcPr>
          <w:p w14:paraId="6FC18496">
            <w:pPr>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不少于</w:t>
            </w:r>
            <w:r>
              <w:rPr>
                <w:rFonts w:cs="仿宋_GB2312" w:asciiTheme="minorEastAsia" w:hAnsiTheme="minorEastAsia"/>
                <w:color w:val="auto"/>
                <w:sz w:val="24"/>
                <w:highlight w:val="none"/>
              </w:rPr>
              <w:t>200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人</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天</w:t>
            </w:r>
          </w:p>
        </w:tc>
        <w:tc>
          <w:tcPr>
            <w:tcW w:w="4111" w:type="dxa"/>
            <w:tcBorders>
              <w:top w:val="nil"/>
              <w:left w:val="single" w:color="auto" w:sz="4" w:space="0"/>
              <w:bottom w:val="single" w:color="auto" w:sz="4" w:space="0"/>
              <w:right w:val="single" w:color="auto" w:sz="4" w:space="0"/>
            </w:tcBorders>
            <w:vAlign w:val="center"/>
          </w:tcPr>
          <w:p w14:paraId="056F4B11">
            <w:pPr>
              <w:spacing w:line="400" w:lineRule="exact"/>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因意外伤害或疾病入住重症监护病房治疗，公立的二级或二级以上医院，按实际入住重症监护病房日数给付，累计给付日数以一百八十日为限。</w:t>
            </w:r>
          </w:p>
        </w:tc>
      </w:tr>
    </w:tbl>
    <w:p w14:paraId="46C8FC07">
      <w:pPr>
        <w:spacing w:before="120" w:beforeLines="50"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（三）方案说明：</w:t>
      </w:r>
    </w:p>
    <w:p w14:paraId="24D0FB4D">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1．被保险人在保险期间内因患疾病死亡或者重疾的，无论是否是由于既往疾病导致的，投标方应给予理赔； </w:t>
      </w:r>
    </w:p>
    <w:p w14:paraId="3171D631">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2．因既往病史引起的住院医疗费、住院津贴等予以报销；</w:t>
      </w:r>
    </w:p>
    <w:p w14:paraId="05BB8879">
      <w:pPr>
        <w:spacing w:line="360" w:lineRule="auto"/>
        <w:ind w:left="-239" w:leftChars="-114" w:firstLine="720" w:firstLineChars="3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3．因意外伤害或疾病引起的住院医疗费、住院津贴、重症监护津贴，如跨保单年度，则理赔至本次治疗结束。</w:t>
      </w:r>
    </w:p>
    <w:p w14:paraId="6430138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highlight w:val="none"/>
        </w:rPr>
        <w:t>4．50种重症病种类型包括：</w:t>
      </w:r>
      <w:r>
        <w:rPr>
          <w:rFonts w:hint="eastAsia" w:cs="仿宋_GB2312" w:asciiTheme="minorEastAsia" w:hAnsiTheme="minorEastAsia"/>
          <w:color w:val="auto"/>
          <w:sz w:val="24"/>
          <w:szCs w:val="24"/>
          <w:highlight w:val="none"/>
        </w:rPr>
        <w:t>（1）恶性肿瘤——重度（2） 较重急性心肌梗死</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（3）严重脑中风后遗症（4）重大器官移植术或造血干细胞移植术（5）冠状动脉搭桥术（或称冠状动脉旁路移植术）（6）严重慢性肾衰竭（7）多个肢体缺失（8）急性重症肝炎或亚急性重症肝炎（9） 严重非恶性颅内肿瘤：指起源于脑、脑神经、脑被膜的非恶性肿瘤（10）严重慢性肝衰竭（11）严重脑炎后遗症或严重脑膜炎后遗症（12）深度昏迷（13）特定年龄双耳失聪（14）特定年龄双目失明</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（15）瘫痪（16）心脏瓣膜手术（17）严重阿尔茨海默病（18）严重脑损伤（19） 严重原发性帕金森病（20）严重Ⅲ度烧伤（21）严重原发性肺动脉高压（22）严重运动神经元病（23）语言能力丧失（24）重型再生障碍性贫血（25）主动脉手术（26）严重慢性呼吸衰竭 （27）严重克罗恩病 （28）严重溃疡性结肠炎（29） 严重原发性心肌病（30）严重多发性硬化症 （31）严重脊髓灰质炎 （32）严重类风湿性关节炎（33）严重系统性红斑狼疮性肾病 （34）植物人状态 （35）严重胰岛素依赖型糖尿病（36）严重冠心病 （37）急性坏死性胰腺炎开腹手术（38）经输血导致的人类免疫缺陷病毒感染 （39）非阿尔茨海默病所致严重痴呆 （40）严重弥漫性系统性硬皮病 （41） 重症急性坏死性筋膜炎 （42）埃博拉出血热 （43）严重感染性心内膜炎 （44） 胰腺移植 （45） 严重自身免疫性肝炎 （46） 原发性硬化性胆管炎 （47） 头臂动脉型多发性大动脉炎旁路移植手术 （48） 溶血性链球菌性坏疽 （49）克-雅氏病（CJD、人类疯牛病）（50）丝虫病所致象皮肿</w:t>
      </w:r>
    </w:p>
    <w:p w14:paraId="20A3776D">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highlight w:val="none"/>
        </w:rPr>
        <w:t>5. 10种轻度疾病病种类型包括：</w:t>
      </w:r>
      <w:r>
        <w:rPr>
          <w:rFonts w:hint="eastAsia" w:cs="仿宋_GB2312" w:asciiTheme="minorEastAsia" w:hAnsiTheme="minorEastAsia"/>
          <w:color w:val="auto"/>
          <w:sz w:val="24"/>
          <w:szCs w:val="24"/>
          <w:highlight w:val="none"/>
        </w:rPr>
        <w:t>（1）恶性肿瘤——轻度（ 2） 较轻急性心肌梗死（ 3 ）轻度脑中风后遗症（ 4）原位癌 （5）冠状动脉介入手术（ 6） 特定面积Ⅲ度烧伤 （7）主动脉介入手术（8 ）严重脑垂体瘤、脑囊肿、颅内血管性疾病（如脑动脉瘤、脑动静脉畸形、海绵状血管瘤、毛细血管扩张症等）（9 ）特定年龄视力受损（ 10）中度原发性帕金森病。</w:t>
      </w:r>
    </w:p>
    <w:p w14:paraId="0701742B">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6.本项目保险均不计免赔额，应全额全部赔偿，请投标方在报价中综合考虑。</w:t>
      </w:r>
    </w:p>
    <w:p w14:paraId="76C0BEE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7.办理保险过程中产生的所有费用(包括但不限于单证审核及公估公司所产生的费用)由投标方承担并已包含在报价中。</w:t>
      </w:r>
    </w:p>
    <w:p w14:paraId="0C019017">
      <w:pPr>
        <w:spacing w:before="120" w:beforeLines="50" w:after="120" w:afterLines="50" w:line="460" w:lineRule="exact"/>
        <w:ind w:firstLine="602" w:firstLineChars="200"/>
        <w:outlineLvl w:val="1"/>
        <w:rPr>
          <w:rFonts w:asciiTheme="minorEastAsia" w:hAnsiTheme="minorEastAsia"/>
          <w:b/>
          <w:color w:val="auto"/>
          <w:sz w:val="30"/>
          <w:szCs w:val="30"/>
          <w:highlight w:val="none"/>
        </w:rPr>
      </w:pPr>
      <w:r>
        <w:rPr>
          <w:rFonts w:hint="eastAsia" w:asciiTheme="minorEastAsia" w:hAnsiTheme="minorEastAsia"/>
          <w:b/>
          <w:color w:val="auto"/>
          <w:sz w:val="30"/>
          <w:szCs w:val="30"/>
          <w:highlight w:val="none"/>
        </w:rPr>
        <w:t>二、</w:t>
      </w:r>
      <w:bookmarkStart w:id="29" w:name="_Toc184806453"/>
      <w:bookmarkStart w:id="30" w:name="_Toc266782278"/>
      <w:bookmarkStart w:id="31" w:name="_Toc330199181"/>
      <w:bookmarkStart w:id="32" w:name="_Toc218001527"/>
      <w:bookmarkStart w:id="33" w:name="_Toc235860968"/>
      <w:bookmarkStart w:id="34" w:name="_Toc152411296"/>
      <w:r>
        <w:rPr>
          <w:rFonts w:hint="eastAsia" w:asciiTheme="minorEastAsia" w:hAnsiTheme="minorEastAsia"/>
          <w:b/>
          <w:color w:val="auto"/>
          <w:sz w:val="30"/>
          <w:szCs w:val="30"/>
          <w:highlight w:val="none"/>
        </w:rPr>
        <w:t>项目内容和服务要求</w:t>
      </w:r>
    </w:p>
    <w:p w14:paraId="453AD935">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（一）采购人提出的要求</w:t>
      </w:r>
    </w:p>
    <w:p w14:paraId="69A7FAF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 保证投保方获得优先服务的权利，根据投保方的通知及时签定保险单。</w:t>
      </w:r>
    </w:p>
    <w:p w14:paraId="490F78A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 保险公司应设有24小时全天报案服务电话，并设专人受理索赔接、报案。</w:t>
      </w:r>
    </w:p>
    <w:p w14:paraId="6A6B8F21">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3．保险公司应对投保方提供出险索赔程序，保险知识等方面的咨询服务。</w:t>
      </w:r>
    </w:p>
    <w:p w14:paraId="2E7E488A">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4．保险公司协助投保方做好对投保经办人的廉政工作，不得以任何形式向投保方提供回扣。</w:t>
      </w:r>
    </w:p>
    <w:p w14:paraId="6B61DD09">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5．保险公司签订合同后，必须按响应明确的保费、保险金额签发保单，若发现成交人不按此规定执行，一经查实立即取消公司保险资格。</w:t>
      </w:r>
    </w:p>
    <w:p w14:paraId="4A0991D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6．本次报价不得高于市场价格以及采购文件中明确的采购预算。</w:t>
      </w:r>
    </w:p>
    <w:p w14:paraId="72CA733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7．保险公司须定期开展并做好相关保险知识培训和宣传工作，如提供保险单或宣传品等,所涉及的费用均由成交人负责。</w:t>
      </w:r>
    </w:p>
    <w:p w14:paraId="66BF1F3C">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8．保险公司提供保险赔偿清单，每月报一份赔偿清算表（反映每个险种的理赔人数、金额、内容等情况）供</w:t>
      </w:r>
      <w:r>
        <w:rPr>
          <w:rFonts w:hint="eastAsia" w:asciiTheme="minorEastAsia" w:hAnsiTheme="minorEastAsia"/>
          <w:b/>
          <w:color w:val="auto"/>
          <w:sz w:val="24"/>
          <w:highlight w:val="none"/>
        </w:rPr>
        <w:t>上城区</w:t>
      </w:r>
      <w:r>
        <w:rPr>
          <w:rFonts w:hint="eastAsia" w:cs="仿宋_GB2312" w:asciiTheme="minorEastAsia" w:hAnsiTheme="minorEastAsia"/>
          <w:b/>
          <w:color w:val="auto"/>
          <w:sz w:val="24"/>
          <w:highlight w:val="none"/>
        </w:rPr>
        <w:t>计生协查询备案。</w:t>
      </w:r>
    </w:p>
    <w:p w14:paraId="4E75D3D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9．服务能力说明：包括主要服务网络及网点分布，专业人员班子配备，提供特色服务，投保过程中可能出现的特殊情况及应对方案等。</w:t>
      </w:r>
    </w:p>
    <w:p w14:paraId="5D540E51">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10．保险公司办理保险投保事项，不得有伪造行为。一经发现造假行为，投保人可以向有关法律及监管部门申请追究保险公司及当事人的法律责任。</w:t>
      </w:r>
    </w:p>
    <w:p w14:paraId="639550F9">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（二）保险服务要求</w:t>
      </w:r>
    </w:p>
    <w:p w14:paraId="76B6BEE5">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lang w:eastAsia="zh-CN"/>
        </w:rPr>
        <w:t>杭州市上城区计划生育协会2025年计生系列保险项目</w:t>
      </w:r>
      <w:r>
        <w:rPr>
          <w:rFonts w:hint="eastAsia" w:cs="仿宋_GB2312" w:asciiTheme="minorEastAsia" w:hAnsiTheme="minorEastAsia"/>
          <w:color w:val="auto"/>
          <w:sz w:val="24"/>
          <w:highlight w:val="none"/>
        </w:rPr>
        <w:t>特点：保险对象是户籍在</w:t>
      </w:r>
      <w:r>
        <w:rPr>
          <w:rFonts w:hint="eastAsia" w:asciiTheme="minorEastAsia" w:hAnsiTheme="minorEastAsia"/>
          <w:color w:val="auto"/>
          <w:sz w:val="24"/>
          <w:highlight w:val="none"/>
        </w:rPr>
        <w:t>上城区</w:t>
      </w:r>
      <w:r>
        <w:rPr>
          <w:rFonts w:hint="eastAsia" w:cs="仿宋_GB2312" w:asciiTheme="minorEastAsia" w:hAnsiTheme="minorEastAsia"/>
          <w:color w:val="auto"/>
          <w:sz w:val="24"/>
          <w:highlight w:val="none"/>
        </w:rPr>
        <w:t>的计划生育家庭，保险人数统计审核分别由14个街道完成并上报，保险赔偿工作需到14个街道驻点办理。设立的具体常驻的理赔服务点在合同执行过程中甲乙双方协商确定。</w:t>
      </w:r>
    </w:p>
    <w:p w14:paraId="5C82ECE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1．保险公司应指定专人办理保险投保事项及其他事务。如更换经办人需要提前告知投保人，经办人要求具备丰富的保险从业经验，有较好的沟通能力、理赔服务意识，有实际处理医疗理赔的经验。</w:t>
      </w:r>
    </w:p>
    <w:p w14:paraId="24AD4BB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2．保险公司确定投保资料，投保资料内容需经投保人认可。</w:t>
      </w:r>
    </w:p>
    <w:p w14:paraId="2F51624D">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3．保险公司指定专人办理保险赔偿事务,经办人员需熟悉保险赔偿工作,如经办人员更换需提前告知投保人。</w:t>
      </w:r>
    </w:p>
    <w:p w14:paraId="59EC25F0">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4．保险公司根据计生保险特点，涉及保险赔偿事项，经办人员要到达基层办理，与14个街道工作人员联系，建立保险赔偿工作机制。提高保险金赔偿的时效，服务基层计生工作人员和计生家庭。</w:t>
      </w:r>
    </w:p>
    <w:p w14:paraId="1E5DEF08">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（三）特殊条款说明</w:t>
      </w:r>
    </w:p>
    <w:p w14:paraId="0E6BC0AF">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关于保险责任免除条款（详见第五章拟签订的合同文本第五项责任免除）。</w:t>
      </w:r>
    </w:p>
    <w:p w14:paraId="20966610">
      <w:pPr>
        <w:spacing w:line="360" w:lineRule="auto"/>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▲（四）其他说明（投标方须在响应文件中承诺，格式自拟）</w:t>
      </w:r>
    </w:p>
    <w:p w14:paraId="6C207BEB">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lang w:val="en-US" w:eastAsia="zh-CN"/>
        </w:rPr>
        <w:t>1</w:t>
      </w:r>
      <w:r>
        <w:rPr>
          <w:rFonts w:hint="eastAsia" w:cs="仿宋_GB2312" w:asciiTheme="minorEastAsia" w:hAnsiTheme="minorEastAsia"/>
          <w:color w:val="auto"/>
          <w:sz w:val="24"/>
          <w:highlight w:val="none"/>
        </w:rPr>
        <w:t>．采购人认为必须说明的其他内容：</w:t>
      </w:r>
    </w:p>
    <w:p w14:paraId="16D75DE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a.投标方应承诺在保险期限内及被保险人出险理赔期限内，必须按照保险方案以及保险法的规定进行理赔，不得无故不赔或少赔，即便是赔付率超过100%，否则将承担法律责任。</w:t>
      </w:r>
    </w:p>
    <w:p w14:paraId="1C5B6BFB">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b.被保险人在保险期间内因患疾病死亡或者重疾的，无论是否是由于既往疾病导致的，投标方应给予理赔；因既往疾病导致采购人的被保险人住院医疗费、住院津贴、重症监护等，投标方应给予理赔；采购人的被保险人因意外伤害或者疾病引起住院医疗费、住院津贴、重症监护等，如跨保单年度的，投标方应理赔至本次治疗结束。</w:t>
      </w:r>
    </w:p>
    <w:p w14:paraId="12BFA2D2">
      <w:pPr>
        <w:spacing w:before="120" w:beforeLines="50" w:after="120" w:afterLines="50" w:line="460" w:lineRule="exact"/>
        <w:ind w:firstLine="602" w:firstLineChars="200"/>
        <w:outlineLvl w:val="1"/>
        <w:rPr>
          <w:rFonts w:asciiTheme="minorEastAsia" w:hAnsiTheme="minorEastAsia"/>
          <w:b/>
          <w:color w:val="auto"/>
          <w:sz w:val="30"/>
          <w:szCs w:val="30"/>
          <w:highlight w:val="none"/>
        </w:rPr>
      </w:pPr>
      <w:bookmarkStart w:id="35" w:name="_Toc25738"/>
      <w:r>
        <w:rPr>
          <w:rFonts w:hint="eastAsia" w:asciiTheme="minorEastAsia" w:hAnsiTheme="minorEastAsia"/>
          <w:b/>
          <w:color w:val="auto"/>
          <w:sz w:val="30"/>
          <w:szCs w:val="30"/>
          <w:highlight w:val="none"/>
        </w:rPr>
        <w:t>三、服务期</w:t>
      </w:r>
      <w:bookmarkEnd w:id="35"/>
    </w:p>
    <w:p w14:paraId="790E5B66">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一年。</w:t>
      </w:r>
    </w:p>
    <w:p w14:paraId="3F5A2B3C">
      <w:pPr>
        <w:spacing w:before="120" w:beforeLines="50" w:after="120" w:afterLines="50" w:line="460" w:lineRule="exact"/>
        <w:ind w:firstLine="602" w:firstLineChars="200"/>
        <w:outlineLvl w:val="1"/>
        <w:rPr>
          <w:rFonts w:asciiTheme="minorEastAsia" w:hAnsiTheme="minorEastAsia"/>
          <w:b/>
          <w:color w:val="auto"/>
          <w:sz w:val="30"/>
          <w:szCs w:val="30"/>
          <w:highlight w:val="none"/>
        </w:rPr>
      </w:pPr>
      <w:bookmarkStart w:id="36" w:name="_Toc886"/>
      <w:r>
        <w:rPr>
          <w:rFonts w:hint="eastAsia" w:asciiTheme="minorEastAsia" w:hAnsiTheme="minorEastAsia"/>
          <w:b/>
          <w:color w:val="auto"/>
          <w:sz w:val="30"/>
          <w:szCs w:val="30"/>
          <w:highlight w:val="none"/>
        </w:rPr>
        <w:t>四、付款方式</w:t>
      </w:r>
      <w:bookmarkEnd w:id="36"/>
    </w:p>
    <w:p w14:paraId="354CCFC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独生子女家庭平安保险</w:t>
      </w:r>
      <w:r>
        <w:rPr>
          <w:rFonts w:hint="eastAsia" w:cs="仿宋_GB2312" w:asciiTheme="minorEastAsia" w:hAnsiTheme="minorEastAsia"/>
          <w:b/>
          <w:color w:val="auto"/>
          <w:sz w:val="24"/>
          <w:highlight w:val="none"/>
        </w:rPr>
        <w:t>最高限价</w:t>
      </w:r>
      <w:r>
        <w:rPr>
          <w:rFonts w:hint="eastAsia" w:cs="仿宋_GB2312" w:asciiTheme="minorEastAsia" w:hAnsiTheme="minorEastAsia"/>
          <w:color w:val="auto"/>
          <w:sz w:val="24"/>
          <w:highlight w:val="none"/>
        </w:rPr>
        <w:t>10元/户/年；计划生育特殊家庭综合保险</w:t>
      </w:r>
      <w:r>
        <w:rPr>
          <w:rFonts w:hint="eastAsia" w:cs="仿宋_GB2312" w:asciiTheme="minorEastAsia" w:hAnsiTheme="minorEastAsia"/>
          <w:b/>
          <w:color w:val="auto"/>
          <w:sz w:val="24"/>
          <w:highlight w:val="none"/>
        </w:rPr>
        <w:t>最高限价</w:t>
      </w:r>
      <w:r>
        <w:rPr>
          <w:rFonts w:hint="eastAsia" w:cs="仿宋_GB2312" w:asciiTheme="minorEastAsia" w:hAnsiTheme="minorEastAsia"/>
          <w:bCs/>
          <w:color w:val="auto"/>
          <w:sz w:val="24"/>
          <w:highlight w:val="none"/>
          <w:lang w:val="en-US" w:eastAsia="zh-CN"/>
        </w:rPr>
        <w:t>390</w:t>
      </w:r>
      <w:r>
        <w:rPr>
          <w:rFonts w:hint="eastAsia" w:cs="仿宋_GB2312" w:asciiTheme="minorEastAsia" w:hAnsiTheme="minorEastAsia"/>
          <w:color w:val="auto"/>
          <w:sz w:val="24"/>
          <w:highlight w:val="none"/>
        </w:rPr>
        <w:t>元/人/年</w:t>
      </w:r>
      <w:r>
        <w:rPr>
          <w:rFonts w:hint="eastAsia" w:cs="仿宋_GB2312" w:asciiTheme="minorEastAsia" w:hAnsiTheme="minorEastAsia"/>
          <w:color w:val="auto"/>
          <w:sz w:val="24"/>
          <w:highlight w:val="none"/>
        </w:rPr>
        <w:t xml:space="preserve">，合同签订后，按实际参保数量结算，采购人在收到保险公司出具的合法发票后20个工作日内一次性支付。 </w:t>
      </w:r>
    </w:p>
    <w:bookmarkEnd w:id="29"/>
    <w:bookmarkEnd w:id="30"/>
    <w:bookmarkEnd w:id="31"/>
    <w:bookmarkEnd w:id="32"/>
    <w:bookmarkEnd w:id="33"/>
    <w:bookmarkEnd w:id="34"/>
    <w:p w14:paraId="0472B733">
      <w:pPr>
        <w:spacing w:before="120" w:beforeLines="50" w:after="120" w:afterLines="50" w:line="460" w:lineRule="exact"/>
        <w:ind w:firstLine="602" w:firstLineChars="200"/>
        <w:outlineLvl w:val="1"/>
        <w:rPr>
          <w:rFonts w:asciiTheme="minorEastAsia" w:hAnsiTheme="minorEastAsia"/>
          <w:b/>
          <w:color w:val="auto"/>
          <w:sz w:val="30"/>
          <w:szCs w:val="30"/>
          <w:highlight w:val="none"/>
        </w:rPr>
      </w:pPr>
      <w:r>
        <w:rPr>
          <w:rFonts w:hint="eastAsia" w:asciiTheme="minorEastAsia" w:hAnsiTheme="minorEastAsia"/>
          <w:b/>
          <w:color w:val="auto"/>
          <w:sz w:val="30"/>
          <w:szCs w:val="30"/>
          <w:highlight w:val="none"/>
        </w:rPr>
        <w:t>五、验收</w:t>
      </w:r>
    </w:p>
    <w:p w14:paraId="66319016">
      <w:pPr>
        <w:pStyle w:val="60"/>
        <w:ind w:firstLine="480" w:firstLineChars="200"/>
        <w:rPr>
          <w:rFonts w:cs="仿宋_GB2312" w:asciiTheme="minorEastAsia" w:hAnsiTheme="minorEastAsia" w:eastAsiaTheme="minorEastAsia"/>
          <w:color w:val="auto"/>
          <w:szCs w:val="24"/>
          <w:highlight w:val="none"/>
          <w:lang w:val="en-US"/>
        </w:rPr>
      </w:pPr>
      <w:r>
        <w:rPr>
          <w:rFonts w:hint="eastAsia" w:cs="仿宋_GB2312" w:asciiTheme="minorEastAsia" w:hAnsiTheme="minorEastAsia" w:eastAsiaTheme="minorEastAsia"/>
          <w:color w:val="auto"/>
          <w:szCs w:val="24"/>
          <w:highlight w:val="none"/>
          <w:lang w:val="en-US"/>
        </w:rPr>
        <w:t>本项目验收根据《杭州市政府采购履约验收暂行办法》（杭财采监[2019]10号）的要求，按照一般程序进行验收，验收方法为一次性验收。</w:t>
      </w:r>
    </w:p>
    <w:p w14:paraId="0B783C02">
      <w:pPr>
        <w:spacing w:line="360" w:lineRule="auto"/>
        <w:ind w:firstLine="181" w:firstLineChars="50"/>
        <w:rPr>
          <w:rFonts w:cs="宋体" w:asciiTheme="minorEastAsia" w:hAnsiTheme="minorEastAsia"/>
          <w:b/>
          <w:color w:val="auto"/>
          <w:sz w:val="36"/>
          <w:szCs w:val="36"/>
          <w:highlight w:val="none"/>
        </w:rPr>
      </w:pPr>
    </w:p>
    <w:p w14:paraId="132BE9C9">
      <w:pPr>
        <w:spacing w:line="360" w:lineRule="auto"/>
        <w:ind w:firstLine="181" w:firstLineChars="50"/>
        <w:rPr>
          <w:rFonts w:ascii="宋体" w:hAnsi="宋体" w:cs="宋体"/>
          <w:b/>
          <w:color w:val="auto"/>
          <w:sz w:val="36"/>
          <w:szCs w:val="36"/>
          <w:highlight w:val="none"/>
        </w:rPr>
      </w:pPr>
    </w:p>
    <w:p w14:paraId="7C6EE26F">
      <w:pPr>
        <w:spacing w:line="360" w:lineRule="auto"/>
        <w:rPr>
          <w:rFonts w:ascii="宋体" w:hAnsi="宋体" w:cs="宋体"/>
          <w:color w:val="auto"/>
          <w:sz w:val="24"/>
          <w:highlight w:val="none"/>
        </w:rPr>
      </w:pPr>
    </w:p>
    <w:p w14:paraId="43D68E30">
      <w:pPr>
        <w:widowControl/>
        <w:ind w:firstLine="720" w:firstLineChars="300"/>
        <w:jc w:val="left"/>
        <w:rPr>
          <w:rFonts w:ascii="宋体" w:hAnsi="宋体" w:cs="宋体"/>
          <w:bCs/>
          <w:color w:val="auto"/>
          <w:sz w:val="24"/>
          <w:highlight w:val="none"/>
        </w:rPr>
      </w:pPr>
    </w:p>
    <w:p w14:paraId="3B616D23">
      <w:pPr>
        <w:rPr>
          <w:rFonts w:ascii="宋体" w:hAnsi="宋体" w:cs="宋体"/>
          <w:snapToGrid w:val="0"/>
          <w:color w:val="auto"/>
          <w:kern w:val="0"/>
          <w:sz w:val="24"/>
          <w:highlight w:val="none"/>
        </w:rPr>
      </w:pPr>
    </w:p>
    <w:p w14:paraId="26C50CB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7" w:name="_Toc184312135"/>
      <w:bookmarkEnd w:id="37"/>
      <w:bookmarkStart w:id="38" w:name="_Toc184308071"/>
      <w:bookmarkEnd w:id="38"/>
      <w:bookmarkStart w:id="39" w:name="_Toc184314463"/>
      <w:bookmarkEnd w:id="39"/>
      <w:bookmarkStart w:id="40" w:name="_Toc184312130"/>
      <w:bookmarkEnd w:id="40"/>
      <w:bookmarkStart w:id="41" w:name="_Toc184314477"/>
      <w:bookmarkEnd w:id="41"/>
      <w:bookmarkStart w:id="42" w:name="_Toc184312127"/>
      <w:bookmarkEnd w:id="42"/>
      <w:bookmarkStart w:id="43" w:name="_Toc184308105"/>
      <w:bookmarkEnd w:id="43"/>
      <w:bookmarkStart w:id="44" w:name="_Toc184310325"/>
      <w:bookmarkEnd w:id="44"/>
      <w:bookmarkStart w:id="45" w:name="_Toc184312113"/>
      <w:bookmarkEnd w:id="45"/>
      <w:bookmarkStart w:id="46" w:name="_Toc184308049"/>
      <w:bookmarkEnd w:id="46"/>
      <w:bookmarkStart w:id="47" w:name="_Toc184308046"/>
      <w:bookmarkEnd w:id="47"/>
      <w:bookmarkStart w:id="48" w:name="_Toc184313298"/>
      <w:bookmarkEnd w:id="48"/>
      <w:bookmarkStart w:id="49" w:name="_Toc184312117"/>
      <w:bookmarkEnd w:id="49"/>
      <w:bookmarkStart w:id="50" w:name="_Toc184312134"/>
      <w:bookmarkEnd w:id="50"/>
      <w:bookmarkStart w:id="51" w:name="_Toc184308085"/>
      <w:bookmarkEnd w:id="51"/>
      <w:bookmarkStart w:id="52" w:name="_Toc184310286"/>
      <w:bookmarkEnd w:id="52"/>
      <w:bookmarkStart w:id="53" w:name="_Toc184314465"/>
      <w:bookmarkEnd w:id="53"/>
      <w:bookmarkStart w:id="54" w:name="_Toc184313241"/>
      <w:bookmarkEnd w:id="54"/>
      <w:bookmarkStart w:id="55" w:name="_Toc184314417"/>
      <w:bookmarkEnd w:id="55"/>
      <w:bookmarkStart w:id="56" w:name="_Toc184314444"/>
      <w:bookmarkEnd w:id="56"/>
      <w:bookmarkStart w:id="57" w:name="_Toc184312109"/>
      <w:bookmarkEnd w:id="57"/>
      <w:bookmarkStart w:id="58" w:name="_Toc184310308"/>
      <w:bookmarkEnd w:id="58"/>
      <w:bookmarkStart w:id="59" w:name="_Toc184313273"/>
      <w:bookmarkEnd w:id="59"/>
      <w:bookmarkStart w:id="60" w:name="_Toc184314450"/>
      <w:bookmarkEnd w:id="60"/>
      <w:bookmarkStart w:id="61" w:name="_Toc184314423"/>
      <w:bookmarkEnd w:id="61"/>
      <w:bookmarkStart w:id="62" w:name="_Toc184312067"/>
      <w:bookmarkEnd w:id="62"/>
      <w:bookmarkStart w:id="63" w:name="_Toc184308083"/>
      <w:bookmarkEnd w:id="63"/>
      <w:bookmarkStart w:id="64" w:name="_Toc184308044"/>
      <w:bookmarkEnd w:id="64"/>
      <w:bookmarkStart w:id="65" w:name="_Toc184308102"/>
      <w:bookmarkEnd w:id="65"/>
      <w:bookmarkStart w:id="66" w:name="_Toc184308106"/>
      <w:bookmarkEnd w:id="66"/>
      <w:bookmarkStart w:id="67" w:name="_Toc184312087"/>
      <w:bookmarkEnd w:id="67"/>
      <w:bookmarkStart w:id="68" w:name="_Toc184310303"/>
      <w:bookmarkEnd w:id="68"/>
      <w:bookmarkStart w:id="69" w:name="_Toc184313287"/>
      <w:bookmarkEnd w:id="69"/>
      <w:bookmarkStart w:id="70" w:name="_Toc184312088"/>
      <w:bookmarkEnd w:id="70"/>
      <w:bookmarkStart w:id="71" w:name="_Toc184314445"/>
      <w:bookmarkEnd w:id="71"/>
      <w:bookmarkStart w:id="72" w:name="_Toc184310272"/>
      <w:bookmarkEnd w:id="72"/>
      <w:bookmarkStart w:id="73" w:name="_Toc184312100"/>
      <w:bookmarkEnd w:id="73"/>
      <w:bookmarkStart w:id="74" w:name="_Toc184312095"/>
      <w:bookmarkEnd w:id="74"/>
      <w:bookmarkStart w:id="75" w:name="_Toc184308068"/>
      <w:bookmarkEnd w:id="75"/>
      <w:bookmarkStart w:id="76" w:name="_Toc184313295"/>
      <w:bookmarkEnd w:id="76"/>
      <w:bookmarkStart w:id="77" w:name="_Toc184314428"/>
      <w:bookmarkEnd w:id="77"/>
      <w:bookmarkStart w:id="78" w:name="_Toc184312116"/>
      <w:bookmarkEnd w:id="78"/>
      <w:bookmarkStart w:id="79" w:name="_Toc184314482"/>
      <w:bookmarkEnd w:id="79"/>
      <w:bookmarkStart w:id="80" w:name="_Toc184314474"/>
      <w:bookmarkEnd w:id="80"/>
      <w:bookmarkStart w:id="81" w:name="_Toc184313267"/>
      <w:bookmarkEnd w:id="81"/>
      <w:bookmarkStart w:id="82" w:name="_Toc184314416"/>
      <w:bookmarkEnd w:id="82"/>
      <w:bookmarkStart w:id="83" w:name="_Toc184310274"/>
      <w:bookmarkEnd w:id="83"/>
      <w:bookmarkStart w:id="84" w:name="_Toc184314449"/>
      <w:bookmarkEnd w:id="84"/>
      <w:bookmarkStart w:id="85" w:name="_Toc184310283"/>
      <w:bookmarkEnd w:id="85"/>
      <w:bookmarkStart w:id="86" w:name="_Toc184313262"/>
      <w:bookmarkEnd w:id="86"/>
      <w:bookmarkStart w:id="87" w:name="_Toc184312094"/>
      <w:bookmarkEnd w:id="87"/>
      <w:bookmarkStart w:id="88" w:name="_Toc184312085"/>
      <w:bookmarkEnd w:id="88"/>
      <w:bookmarkStart w:id="89" w:name="_Toc184313248"/>
      <w:bookmarkEnd w:id="89"/>
      <w:bookmarkStart w:id="90" w:name="_Toc184313242"/>
      <w:bookmarkEnd w:id="90"/>
      <w:bookmarkStart w:id="91" w:name="_Toc184308094"/>
      <w:bookmarkEnd w:id="91"/>
      <w:bookmarkStart w:id="92" w:name="_Toc184312126"/>
      <w:bookmarkEnd w:id="92"/>
      <w:bookmarkStart w:id="93" w:name="_Toc184312104"/>
      <w:bookmarkEnd w:id="93"/>
      <w:bookmarkStart w:id="94" w:name="_Toc184312106"/>
      <w:bookmarkEnd w:id="94"/>
      <w:bookmarkStart w:id="95" w:name="_Toc184310318"/>
      <w:bookmarkEnd w:id="95"/>
      <w:bookmarkStart w:id="96" w:name="_Toc184310289"/>
      <w:bookmarkEnd w:id="96"/>
      <w:bookmarkStart w:id="97" w:name="_Toc184308077"/>
      <w:bookmarkEnd w:id="97"/>
      <w:bookmarkStart w:id="98" w:name="_Toc184314435"/>
      <w:bookmarkEnd w:id="98"/>
      <w:bookmarkStart w:id="99" w:name="_Toc184314415"/>
      <w:bookmarkEnd w:id="99"/>
      <w:bookmarkStart w:id="100" w:name="_Toc184314420"/>
      <w:bookmarkEnd w:id="100"/>
      <w:bookmarkStart w:id="101" w:name="_Toc184308039"/>
      <w:bookmarkEnd w:id="101"/>
      <w:bookmarkStart w:id="102" w:name="_Toc184312075"/>
      <w:bookmarkEnd w:id="102"/>
      <w:bookmarkStart w:id="103" w:name="_Toc184308108"/>
      <w:bookmarkEnd w:id="103"/>
      <w:bookmarkStart w:id="104" w:name="_Toc184312138"/>
      <w:bookmarkEnd w:id="104"/>
      <w:bookmarkStart w:id="105" w:name="_Toc184308086"/>
      <w:bookmarkEnd w:id="105"/>
      <w:bookmarkStart w:id="106" w:name="_Toc184313277"/>
      <w:bookmarkEnd w:id="106"/>
      <w:bookmarkStart w:id="107" w:name="_Toc184313244"/>
      <w:bookmarkEnd w:id="107"/>
      <w:bookmarkStart w:id="108" w:name="_Toc184313239"/>
      <w:bookmarkEnd w:id="108"/>
      <w:bookmarkStart w:id="109" w:name="_Toc184308056"/>
      <w:bookmarkEnd w:id="109"/>
      <w:bookmarkStart w:id="110" w:name="_Toc184313308"/>
      <w:bookmarkEnd w:id="110"/>
      <w:bookmarkStart w:id="111" w:name="_Toc184310326"/>
      <w:bookmarkEnd w:id="111"/>
      <w:bookmarkStart w:id="112" w:name="_Toc184308079"/>
      <w:bookmarkEnd w:id="112"/>
      <w:bookmarkStart w:id="113" w:name="_Toc184310299"/>
      <w:bookmarkEnd w:id="113"/>
      <w:bookmarkStart w:id="114" w:name="_Toc184310323"/>
      <w:bookmarkEnd w:id="114"/>
      <w:bookmarkStart w:id="115" w:name="_Toc184312102"/>
      <w:bookmarkEnd w:id="115"/>
      <w:bookmarkStart w:id="116" w:name="_Toc184313238"/>
      <w:bookmarkEnd w:id="116"/>
      <w:bookmarkStart w:id="117" w:name="_Toc184312079"/>
      <w:bookmarkEnd w:id="117"/>
      <w:bookmarkStart w:id="118" w:name="_Toc184308091"/>
      <w:bookmarkEnd w:id="118"/>
      <w:bookmarkStart w:id="119" w:name="_Toc184314414"/>
      <w:bookmarkEnd w:id="119"/>
      <w:bookmarkStart w:id="120" w:name="_Toc184310330"/>
      <w:bookmarkEnd w:id="120"/>
      <w:bookmarkStart w:id="121" w:name="_Toc184314454"/>
      <w:bookmarkEnd w:id="121"/>
      <w:bookmarkStart w:id="122" w:name="_Toc184313306"/>
      <w:bookmarkEnd w:id="122"/>
      <w:bookmarkStart w:id="123" w:name="_Toc184310319"/>
      <w:bookmarkEnd w:id="123"/>
      <w:bookmarkStart w:id="124" w:name="_Toc184308098"/>
      <w:bookmarkEnd w:id="124"/>
      <w:bookmarkStart w:id="125" w:name="_Toc184313290"/>
      <w:bookmarkEnd w:id="125"/>
      <w:bookmarkStart w:id="126" w:name="_Toc184312118"/>
      <w:bookmarkEnd w:id="126"/>
      <w:bookmarkStart w:id="127" w:name="_Toc184314478"/>
      <w:bookmarkEnd w:id="127"/>
      <w:bookmarkStart w:id="128" w:name="_Toc184310280"/>
      <w:bookmarkEnd w:id="128"/>
      <w:bookmarkStart w:id="129" w:name="_Toc184310296"/>
      <w:bookmarkEnd w:id="129"/>
      <w:bookmarkStart w:id="130" w:name="_Toc184312139"/>
      <w:bookmarkEnd w:id="130"/>
      <w:bookmarkStart w:id="131" w:name="_Toc184310312"/>
      <w:bookmarkEnd w:id="131"/>
      <w:bookmarkStart w:id="132" w:name="_Toc184314460"/>
      <w:bookmarkEnd w:id="132"/>
      <w:bookmarkStart w:id="133" w:name="_Toc184308078"/>
      <w:bookmarkEnd w:id="133"/>
      <w:bookmarkStart w:id="134" w:name="_Toc184313293"/>
      <w:bookmarkEnd w:id="134"/>
      <w:bookmarkStart w:id="135" w:name="_Toc184312099"/>
      <w:bookmarkEnd w:id="135"/>
      <w:bookmarkStart w:id="136" w:name="_Toc184310309"/>
      <w:bookmarkEnd w:id="136"/>
      <w:bookmarkStart w:id="137" w:name="_Toc184310297"/>
      <w:bookmarkEnd w:id="137"/>
      <w:bookmarkStart w:id="138" w:name="_Toc184313286"/>
      <w:bookmarkEnd w:id="138"/>
      <w:bookmarkStart w:id="139" w:name="_Toc184310338"/>
      <w:bookmarkEnd w:id="139"/>
      <w:bookmarkStart w:id="140" w:name="_Toc184314421"/>
      <w:bookmarkEnd w:id="140"/>
      <w:bookmarkStart w:id="141" w:name="_Toc184314441"/>
      <w:bookmarkEnd w:id="141"/>
      <w:bookmarkStart w:id="142" w:name="_Toc184310307"/>
      <w:bookmarkEnd w:id="142"/>
      <w:bookmarkStart w:id="143" w:name="_Toc184314472"/>
      <w:bookmarkEnd w:id="143"/>
      <w:bookmarkStart w:id="144" w:name="_Toc184308041"/>
      <w:bookmarkEnd w:id="144"/>
      <w:bookmarkStart w:id="145" w:name="_Toc184313280"/>
      <w:bookmarkEnd w:id="145"/>
      <w:bookmarkStart w:id="146" w:name="_Toc184308100"/>
      <w:bookmarkEnd w:id="146"/>
      <w:bookmarkStart w:id="147" w:name="_Toc184308073"/>
      <w:bookmarkEnd w:id="147"/>
      <w:bookmarkStart w:id="148" w:name="_Toc184313297"/>
      <w:bookmarkEnd w:id="148"/>
      <w:bookmarkStart w:id="149" w:name="_Toc184312131"/>
      <w:bookmarkEnd w:id="149"/>
      <w:bookmarkStart w:id="150" w:name="_Toc184312074"/>
      <w:bookmarkEnd w:id="150"/>
      <w:bookmarkStart w:id="151" w:name="_Toc184313282"/>
      <w:bookmarkEnd w:id="151"/>
      <w:bookmarkStart w:id="152" w:name="_Toc184310284"/>
      <w:bookmarkEnd w:id="152"/>
      <w:bookmarkStart w:id="153" w:name="_Toc184313278"/>
      <w:bookmarkEnd w:id="153"/>
      <w:bookmarkStart w:id="154" w:name="_Toc184314446"/>
      <w:bookmarkEnd w:id="154"/>
      <w:bookmarkStart w:id="155" w:name="_Toc184310329"/>
      <w:bookmarkEnd w:id="155"/>
      <w:bookmarkStart w:id="156" w:name="_Toc184308074"/>
      <w:bookmarkEnd w:id="156"/>
      <w:bookmarkStart w:id="157" w:name="_Toc184313240"/>
      <w:bookmarkEnd w:id="157"/>
      <w:bookmarkStart w:id="158" w:name="_Toc184308107"/>
      <w:bookmarkEnd w:id="158"/>
      <w:bookmarkStart w:id="159" w:name="_Toc184312133"/>
      <w:bookmarkEnd w:id="159"/>
      <w:bookmarkStart w:id="160" w:name="_Toc184313274"/>
      <w:bookmarkEnd w:id="160"/>
      <w:bookmarkStart w:id="161" w:name="_Toc184308072"/>
      <w:bookmarkEnd w:id="161"/>
      <w:bookmarkStart w:id="162" w:name="_Toc184310302"/>
      <w:bookmarkEnd w:id="162"/>
      <w:bookmarkStart w:id="163" w:name="_Toc184312122"/>
      <w:bookmarkEnd w:id="163"/>
      <w:bookmarkStart w:id="164" w:name="_Toc184313289"/>
      <w:bookmarkEnd w:id="164"/>
      <w:bookmarkStart w:id="165" w:name="_Toc184314437"/>
      <w:bookmarkEnd w:id="165"/>
      <w:bookmarkStart w:id="166" w:name="_Toc184310321"/>
      <w:bookmarkEnd w:id="166"/>
      <w:bookmarkStart w:id="167" w:name="_Toc184310336"/>
      <w:bookmarkEnd w:id="167"/>
      <w:bookmarkStart w:id="168" w:name="_Toc184308060"/>
      <w:bookmarkEnd w:id="168"/>
      <w:bookmarkStart w:id="169" w:name="_Toc184314427"/>
      <w:bookmarkEnd w:id="169"/>
      <w:bookmarkStart w:id="170" w:name="_Toc184313276"/>
      <w:bookmarkEnd w:id="170"/>
      <w:bookmarkStart w:id="171" w:name="_Toc184313279"/>
      <w:bookmarkEnd w:id="171"/>
      <w:bookmarkStart w:id="172" w:name="_Toc184308076"/>
      <w:bookmarkEnd w:id="172"/>
      <w:bookmarkStart w:id="173" w:name="_Toc184313291"/>
      <w:bookmarkEnd w:id="173"/>
      <w:bookmarkStart w:id="174" w:name="_Toc184313296"/>
      <w:bookmarkEnd w:id="174"/>
      <w:bookmarkStart w:id="175" w:name="_Toc184314422"/>
      <w:bookmarkEnd w:id="175"/>
      <w:bookmarkStart w:id="176" w:name="_Toc184312128"/>
      <w:bookmarkEnd w:id="176"/>
      <w:bookmarkStart w:id="177" w:name="_Toc184313249"/>
      <w:bookmarkEnd w:id="177"/>
      <w:bookmarkStart w:id="178" w:name="_Toc184310294"/>
      <w:bookmarkEnd w:id="178"/>
      <w:bookmarkStart w:id="179" w:name="_Toc184310315"/>
      <w:bookmarkEnd w:id="179"/>
      <w:bookmarkStart w:id="180" w:name="_Toc184314481"/>
      <w:bookmarkEnd w:id="180"/>
      <w:bookmarkStart w:id="181" w:name="_Toc184312090"/>
      <w:bookmarkEnd w:id="181"/>
      <w:bookmarkStart w:id="182" w:name="_Toc184308095"/>
      <w:bookmarkEnd w:id="182"/>
      <w:bookmarkStart w:id="183" w:name="_Toc184314413"/>
      <w:bookmarkEnd w:id="183"/>
      <w:bookmarkStart w:id="184" w:name="_Toc184313247"/>
      <w:bookmarkEnd w:id="184"/>
      <w:bookmarkStart w:id="185" w:name="_Toc184312124"/>
      <w:bookmarkEnd w:id="185"/>
      <w:bookmarkStart w:id="186" w:name="_Toc184308070"/>
      <w:bookmarkEnd w:id="186"/>
      <w:bookmarkStart w:id="187" w:name="_Toc184310310"/>
      <w:bookmarkEnd w:id="187"/>
      <w:bookmarkStart w:id="188" w:name="_Toc184312072"/>
      <w:bookmarkEnd w:id="188"/>
      <w:bookmarkStart w:id="189" w:name="_Toc184310288"/>
      <w:bookmarkEnd w:id="189"/>
      <w:bookmarkStart w:id="190" w:name="_Toc184313288"/>
      <w:bookmarkEnd w:id="190"/>
      <w:bookmarkStart w:id="191" w:name="_Toc184310285"/>
      <w:bookmarkEnd w:id="191"/>
      <w:bookmarkStart w:id="192" w:name="_Toc184310324"/>
      <w:bookmarkEnd w:id="192"/>
      <w:bookmarkStart w:id="193" w:name="_Toc184312119"/>
      <w:bookmarkEnd w:id="193"/>
      <w:bookmarkStart w:id="194" w:name="_Toc184308104"/>
      <w:bookmarkEnd w:id="194"/>
      <w:bookmarkStart w:id="195" w:name="_Toc184313285"/>
      <w:bookmarkEnd w:id="195"/>
      <w:bookmarkStart w:id="196" w:name="_Toc184310316"/>
      <w:bookmarkEnd w:id="196"/>
      <w:bookmarkStart w:id="197" w:name="_Toc184310322"/>
      <w:bookmarkEnd w:id="197"/>
      <w:bookmarkStart w:id="198" w:name="_Toc184312136"/>
      <w:bookmarkEnd w:id="198"/>
      <w:bookmarkStart w:id="199" w:name="_Toc184313281"/>
      <w:bookmarkEnd w:id="199"/>
      <w:bookmarkStart w:id="200" w:name="_Toc184310305"/>
      <w:bookmarkEnd w:id="200"/>
      <w:bookmarkStart w:id="201" w:name="_Toc184308097"/>
      <w:bookmarkEnd w:id="201"/>
      <w:bookmarkStart w:id="202" w:name="_Toc184308052"/>
      <w:bookmarkEnd w:id="202"/>
      <w:bookmarkStart w:id="203" w:name="_Toc184308096"/>
      <w:bookmarkEnd w:id="203"/>
      <w:bookmarkStart w:id="204" w:name="_Toc184313253"/>
      <w:bookmarkEnd w:id="204"/>
      <w:bookmarkStart w:id="205" w:name="_Toc184308047"/>
      <w:bookmarkEnd w:id="205"/>
      <w:bookmarkStart w:id="206" w:name="_Toc184308036"/>
      <w:bookmarkEnd w:id="206"/>
      <w:bookmarkStart w:id="207" w:name="_Toc184308058"/>
      <w:bookmarkEnd w:id="207"/>
      <w:bookmarkStart w:id="208" w:name="_Toc184314464"/>
      <w:bookmarkEnd w:id="208"/>
      <w:bookmarkStart w:id="209" w:name="_Toc184313307"/>
      <w:bookmarkEnd w:id="209"/>
      <w:bookmarkStart w:id="210" w:name="_Toc184313250"/>
      <w:bookmarkEnd w:id="210"/>
      <w:bookmarkStart w:id="211" w:name="_Toc184314475"/>
      <w:bookmarkEnd w:id="211"/>
      <w:bookmarkStart w:id="212" w:name="_Toc184313265"/>
      <w:bookmarkEnd w:id="212"/>
      <w:bookmarkStart w:id="213" w:name="_Toc184310306"/>
      <w:bookmarkEnd w:id="213"/>
      <w:bookmarkStart w:id="214" w:name="_Toc184308059"/>
      <w:bookmarkEnd w:id="214"/>
      <w:bookmarkStart w:id="215" w:name="_Toc184312098"/>
      <w:bookmarkEnd w:id="215"/>
      <w:bookmarkStart w:id="216" w:name="_Toc184313303"/>
      <w:bookmarkEnd w:id="216"/>
      <w:bookmarkStart w:id="217" w:name="_Toc184308088"/>
      <w:bookmarkEnd w:id="217"/>
      <w:bookmarkStart w:id="218" w:name="_Toc184308099"/>
      <w:bookmarkEnd w:id="218"/>
      <w:bookmarkStart w:id="219" w:name="_Toc184310340"/>
      <w:bookmarkEnd w:id="219"/>
      <w:bookmarkStart w:id="220" w:name="_Toc184314432"/>
      <w:bookmarkEnd w:id="220"/>
      <w:bookmarkStart w:id="221" w:name="_Toc184308054"/>
      <w:bookmarkEnd w:id="221"/>
      <w:bookmarkStart w:id="222" w:name="_Toc184314461"/>
      <w:bookmarkEnd w:id="222"/>
      <w:bookmarkStart w:id="223" w:name="_Toc184314442"/>
      <w:bookmarkEnd w:id="223"/>
      <w:bookmarkStart w:id="224" w:name="_Toc184312096"/>
      <w:bookmarkEnd w:id="224"/>
      <w:bookmarkStart w:id="225" w:name="_Toc184314456"/>
      <w:bookmarkEnd w:id="225"/>
      <w:bookmarkStart w:id="226" w:name="_Toc184314452"/>
      <w:bookmarkEnd w:id="226"/>
      <w:bookmarkStart w:id="227" w:name="_Toc184314436"/>
      <w:bookmarkEnd w:id="227"/>
      <w:bookmarkStart w:id="228" w:name="_Toc184310279"/>
      <w:bookmarkEnd w:id="228"/>
      <w:bookmarkStart w:id="229" w:name="_Toc184313251"/>
      <w:bookmarkEnd w:id="229"/>
      <w:bookmarkStart w:id="230" w:name="_Toc184312069"/>
      <w:bookmarkEnd w:id="230"/>
      <w:bookmarkStart w:id="231" w:name="_Toc184314476"/>
      <w:bookmarkEnd w:id="231"/>
      <w:bookmarkStart w:id="232" w:name="_Toc184312089"/>
      <w:bookmarkEnd w:id="232"/>
      <w:bookmarkStart w:id="233" w:name="_Toc184310328"/>
      <w:bookmarkEnd w:id="233"/>
      <w:bookmarkStart w:id="234" w:name="_Toc184314424"/>
      <w:bookmarkEnd w:id="234"/>
      <w:bookmarkStart w:id="235" w:name="_Toc184314467"/>
      <w:bookmarkEnd w:id="235"/>
      <w:bookmarkStart w:id="236" w:name="_Toc184308089"/>
      <w:bookmarkEnd w:id="236"/>
      <w:bookmarkStart w:id="237" w:name="_Toc184314411"/>
      <w:bookmarkEnd w:id="237"/>
      <w:bookmarkStart w:id="238" w:name="_Toc184314410"/>
      <w:bookmarkEnd w:id="238"/>
      <w:bookmarkStart w:id="239" w:name="_Toc184312091"/>
      <w:bookmarkEnd w:id="239"/>
      <w:bookmarkStart w:id="240" w:name="_Toc184308051"/>
      <w:bookmarkEnd w:id="240"/>
      <w:bookmarkStart w:id="241" w:name="_Toc184312111"/>
      <w:bookmarkEnd w:id="241"/>
      <w:bookmarkStart w:id="242" w:name="_Toc184313243"/>
      <w:bookmarkEnd w:id="242"/>
      <w:bookmarkStart w:id="243" w:name="_Toc184313259"/>
      <w:bookmarkEnd w:id="243"/>
      <w:bookmarkStart w:id="244" w:name="_Toc184314447"/>
      <w:bookmarkEnd w:id="244"/>
      <w:bookmarkStart w:id="245" w:name="_Toc184308066"/>
      <w:bookmarkEnd w:id="245"/>
      <w:bookmarkStart w:id="246" w:name="_Toc184312129"/>
      <w:bookmarkEnd w:id="246"/>
      <w:bookmarkStart w:id="247" w:name="_Toc184313264"/>
      <w:bookmarkEnd w:id="247"/>
      <w:bookmarkStart w:id="248" w:name="_Toc184314418"/>
      <w:bookmarkEnd w:id="248"/>
      <w:bookmarkStart w:id="249" w:name="_Toc184310334"/>
      <w:bookmarkEnd w:id="249"/>
      <w:bookmarkStart w:id="250" w:name="_Toc184310311"/>
      <w:bookmarkEnd w:id="250"/>
      <w:bookmarkStart w:id="251" w:name="_Toc184312108"/>
      <w:bookmarkEnd w:id="251"/>
      <w:bookmarkStart w:id="252" w:name="_Toc184313245"/>
      <w:bookmarkEnd w:id="252"/>
      <w:bookmarkStart w:id="253" w:name="_Toc184308055"/>
      <w:bookmarkEnd w:id="253"/>
      <w:bookmarkStart w:id="254" w:name="_Toc184313256"/>
      <w:bookmarkEnd w:id="254"/>
      <w:bookmarkStart w:id="255" w:name="_Toc184312121"/>
      <w:bookmarkEnd w:id="255"/>
      <w:bookmarkStart w:id="256" w:name="_Toc184310291"/>
      <w:bookmarkEnd w:id="256"/>
      <w:bookmarkStart w:id="257" w:name="_Toc184310339"/>
      <w:bookmarkEnd w:id="257"/>
      <w:bookmarkStart w:id="258" w:name="_Toc184310337"/>
      <w:bookmarkEnd w:id="258"/>
      <w:bookmarkStart w:id="259" w:name="_Toc184314433"/>
      <w:bookmarkEnd w:id="259"/>
      <w:bookmarkStart w:id="260" w:name="_Toc184313254"/>
      <w:bookmarkEnd w:id="260"/>
      <w:bookmarkStart w:id="261" w:name="_Toc184308042"/>
      <w:bookmarkEnd w:id="261"/>
      <w:bookmarkStart w:id="262" w:name="_Toc184312092"/>
      <w:bookmarkEnd w:id="262"/>
      <w:bookmarkStart w:id="263" w:name="_Toc184312083"/>
      <w:bookmarkEnd w:id="263"/>
      <w:bookmarkStart w:id="264" w:name="_Toc184314480"/>
      <w:bookmarkEnd w:id="264"/>
      <w:bookmarkStart w:id="265" w:name="_Toc184312073"/>
      <w:bookmarkEnd w:id="265"/>
      <w:bookmarkStart w:id="266" w:name="_Toc184313263"/>
      <w:bookmarkEnd w:id="266"/>
      <w:bookmarkStart w:id="267" w:name="_Toc184312078"/>
      <w:bookmarkEnd w:id="267"/>
      <w:bookmarkStart w:id="268" w:name="_Toc184314459"/>
      <w:bookmarkEnd w:id="268"/>
      <w:bookmarkStart w:id="269" w:name="_Toc184314438"/>
      <w:bookmarkEnd w:id="269"/>
      <w:bookmarkStart w:id="270" w:name="_Toc184310344"/>
      <w:bookmarkEnd w:id="270"/>
      <w:bookmarkStart w:id="271" w:name="_Toc184310293"/>
      <w:bookmarkEnd w:id="271"/>
      <w:bookmarkStart w:id="272" w:name="_Toc184310287"/>
      <w:bookmarkEnd w:id="272"/>
      <w:bookmarkStart w:id="273" w:name="_Toc184313272"/>
      <w:bookmarkEnd w:id="273"/>
      <w:bookmarkStart w:id="274" w:name="_Toc184314473"/>
      <w:bookmarkEnd w:id="274"/>
      <w:bookmarkStart w:id="275" w:name="_Toc184314425"/>
      <w:bookmarkEnd w:id="275"/>
      <w:bookmarkStart w:id="276" w:name="_Toc184313301"/>
      <w:bookmarkEnd w:id="276"/>
      <w:bookmarkStart w:id="277" w:name="_Toc184308067"/>
      <w:bookmarkEnd w:id="277"/>
      <w:bookmarkStart w:id="278" w:name="_Toc184310277"/>
      <w:bookmarkEnd w:id="278"/>
      <w:bookmarkStart w:id="279" w:name="_Toc184310290"/>
      <w:bookmarkEnd w:id="279"/>
      <w:bookmarkStart w:id="280" w:name="_Toc184312071"/>
      <w:bookmarkEnd w:id="280"/>
      <w:bookmarkStart w:id="281" w:name="_Toc184314466"/>
      <w:bookmarkEnd w:id="281"/>
      <w:bookmarkStart w:id="282" w:name="_Toc184308048"/>
      <w:bookmarkEnd w:id="282"/>
      <w:bookmarkStart w:id="283" w:name="_Toc184308043"/>
      <w:bookmarkEnd w:id="283"/>
      <w:bookmarkStart w:id="284" w:name="_Toc184313275"/>
      <w:bookmarkEnd w:id="284"/>
      <w:bookmarkStart w:id="285" w:name="_Toc184314470"/>
      <w:bookmarkEnd w:id="285"/>
      <w:bookmarkStart w:id="286" w:name="_Toc184308065"/>
      <w:bookmarkEnd w:id="286"/>
      <w:bookmarkStart w:id="287" w:name="_Toc184314440"/>
      <w:bookmarkEnd w:id="287"/>
      <w:bookmarkStart w:id="288" w:name="_Toc184308038"/>
      <w:bookmarkEnd w:id="288"/>
      <w:bookmarkStart w:id="289" w:name="_Toc184314458"/>
      <w:bookmarkEnd w:id="289"/>
      <w:bookmarkStart w:id="290" w:name="_Toc184310301"/>
      <w:bookmarkEnd w:id="290"/>
      <w:bookmarkStart w:id="291" w:name="_Toc184308087"/>
      <w:bookmarkEnd w:id="291"/>
      <w:bookmarkStart w:id="292" w:name="_Toc184313299"/>
      <w:bookmarkEnd w:id="292"/>
      <w:bookmarkStart w:id="293" w:name="_Toc184312120"/>
      <w:bookmarkEnd w:id="293"/>
      <w:bookmarkStart w:id="294" w:name="_Toc184312082"/>
      <w:bookmarkEnd w:id="294"/>
      <w:bookmarkStart w:id="295" w:name="_Toc184314412"/>
      <w:bookmarkEnd w:id="295"/>
      <w:bookmarkStart w:id="296" w:name="_Toc184308045"/>
      <w:bookmarkEnd w:id="296"/>
      <w:bookmarkStart w:id="297" w:name="_Toc184308037"/>
      <w:bookmarkEnd w:id="297"/>
      <w:bookmarkStart w:id="298" w:name="_Toc184310300"/>
      <w:bookmarkEnd w:id="298"/>
      <w:bookmarkStart w:id="299" w:name="_Toc184314439"/>
      <w:bookmarkEnd w:id="299"/>
      <w:bookmarkStart w:id="300" w:name="_Toc184313257"/>
      <w:bookmarkEnd w:id="300"/>
      <w:bookmarkStart w:id="301" w:name="_Toc184313300"/>
      <w:bookmarkEnd w:id="301"/>
      <w:bookmarkStart w:id="302" w:name="_Toc184308081"/>
      <w:bookmarkEnd w:id="302"/>
      <w:bookmarkStart w:id="303" w:name="_Toc184310331"/>
      <w:bookmarkEnd w:id="303"/>
      <w:bookmarkStart w:id="304" w:name="_Toc184308063"/>
      <w:bookmarkEnd w:id="304"/>
      <w:bookmarkStart w:id="305" w:name="_Toc184312112"/>
      <w:bookmarkEnd w:id="305"/>
      <w:bookmarkStart w:id="306" w:name="_Toc184310273"/>
      <w:bookmarkEnd w:id="306"/>
      <w:bookmarkStart w:id="307" w:name="_Toc184310278"/>
      <w:bookmarkEnd w:id="307"/>
      <w:bookmarkStart w:id="308" w:name="_Toc184313304"/>
      <w:bookmarkEnd w:id="308"/>
      <w:bookmarkStart w:id="309" w:name="_Toc184312077"/>
      <w:bookmarkEnd w:id="309"/>
      <w:bookmarkStart w:id="310" w:name="_Toc184312114"/>
      <w:bookmarkEnd w:id="310"/>
      <w:bookmarkStart w:id="311" w:name="_Toc184314419"/>
      <w:bookmarkEnd w:id="311"/>
      <w:bookmarkStart w:id="312" w:name="_Toc184308084"/>
      <w:bookmarkEnd w:id="312"/>
      <w:bookmarkStart w:id="313" w:name="_Toc184310275"/>
      <w:bookmarkEnd w:id="313"/>
      <w:bookmarkStart w:id="314" w:name="_Toc184308103"/>
      <w:bookmarkEnd w:id="314"/>
      <w:bookmarkStart w:id="315" w:name="_Toc184312084"/>
      <w:bookmarkEnd w:id="315"/>
      <w:bookmarkStart w:id="316" w:name="_Toc184312081"/>
      <w:bookmarkEnd w:id="316"/>
      <w:bookmarkStart w:id="317" w:name="_Toc184308062"/>
      <w:bookmarkEnd w:id="317"/>
      <w:bookmarkStart w:id="318" w:name="_Toc184312070"/>
      <w:bookmarkEnd w:id="318"/>
      <w:bookmarkStart w:id="319" w:name="_Toc184313258"/>
      <w:bookmarkEnd w:id="319"/>
      <w:bookmarkStart w:id="320" w:name="_Toc184313266"/>
      <w:bookmarkEnd w:id="320"/>
      <w:bookmarkStart w:id="321" w:name="_Toc184310341"/>
      <w:bookmarkEnd w:id="321"/>
      <w:bookmarkStart w:id="322" w:name="_Toc184308064"/>
      <w:bookmarkEnd w:id="322"/>
      <w:bookmarkStart w:id="323" w:name="_Toc184308090"/>
      <w:bookmarkEnd w:id="323"/>
      <w:bookmarkStart w:id="324" w:name="_Toc184314462"/>
      <w:bookmarkEnd w:id="324"/>
      <w:bookmarkStart w:id="325" w:name="_Toc184313270"/>
      <w:bookmarkEnd w:id="325"/>
      <w:bookmarkStart w:id="326" w:name="_Toc184314426"/>
      <w:bookmarkEnd w:id="326"/>
      <w:bookmarkStart w:id="327" w:name="_Toc184314430"/>
      <w:bookmarkEnd w:id="327"/>
      <w:bookmarkStart w:id="328" w:name="_Toc184314479"/>
      <w:bookmarkEnd w:id="328"/>
      <w:bookmarkStart w:id="329" w:name="_Toc184312125"/>
      <w:bookmarkEnd w:id="329"/>
      <w:bookmarkStart w:id="330" w:name="_Toc184313246"/>
      <w:bookmarkEnd w:id="330"/>
      <w:bookmarkStart w:id="331" w:name="_Toc184308101"/>
      <w:bookmarkEnd w:id="331"/>
      <w:bookmarkStart w:id="332" w:name="_Toc184312103"/>
      <w:bookmarkEnd w:id="332"/>
      <w:bookmarkStart w:id="333" w:name="_Toc184313268"/>
      <w:bookmarkEnd w:id="333"/>
      <w:bookmarkStart w:id="334" w:name="_Toc184312093"/>
      <w:bookmarkEnd w:id="334"/>
      <w:bookmarkStart w:id="335" w:name="_Toc184313283"/>
      <w:bookmarkEnd w:id="335"/>
      <w:bookmarkStart w:id="336" w:name="_Toc184313260"/>
      <w:bookmarkEnd w:id="336"/>
      <w:bookmarkStart w:id="337" w:name="_Toc184310276"/>
      <w:bookmarkEnd w:id="337"/>
      <w:bookmarkStart w:id="338" w:name="_Toc184314434"/>
      <w:bookmarkEnd w:id="338"/>
      <w:bookmarkStart w:id="339" w:name="_Toc184310304"/>
      <w:bookmarkEnd w:id="339"/>
      <w:bookmarkStart w:id="340" w:name="_Toc184310342"/>
      <w:bookmarkEnd w:id="340"/>
      <w:bookmarkStart w:id="341" w:name="_Toc184314457"/>
      <w:bookmarkEnd w:id="341"/>
      <w:bookmarkStart w:id="342" w:name="_Toc184310333"/>
      <w:bookmarkEnd w:id="342"/>
      <w:bookmarkStart w:id="343" w:name="_Toc184308057"/>
      <w:bookmarkEnd w:id="343"/>
      <w:bookmarkStart w:id="344" w:name="_Toc184310335"/>
      <w:bookmarkEnd w:id="344"/>
      <w:bookmarkStart w:id="345" w:name="_Toc184314431"/>
      <w:bookmarkEnd w:id="345"/>
      <w:bookmarkStart w:id="346" w:name="_Toc184312132"/>
      <w:bookmarkEnd w:id="346"/>
      <w:bookmarkStart w:id="347" w:name="_Toc184314448"/>
      <w:bookmarkEnd w:id="347"/>
      <w:bookmarkStart w:id="348" w:name="_Toc184313255"/>
      <w:bookmarkEnd w:id="348"/>
      <w:bookmarkStart w:id="349" w:name="_Toc184310320"/>
      <w:bookmarkEnd w:id="349"/>
      <w:bookmarkStart w:id="350" w:name="_Toc184310327"/>
      <w:bookmarkEnd w:id="350"/>
      <w:bookmarkStart w:id="351" w:name="_Toc184312097"/>
      <w:bookmarkEnd w:id="351"/>
      <w:bookmarkStart w:id="352" w:name="_Toc184313302"/>
      <w:bookmarkEnd w:id="352"/>
      <w:bookmarkStart w:id="353" w:name="_Toc184312137"/>
      <w:bookmarkEnd w:id="353"/>
      <w:bookmarkStart w:id="354" w:name="_Toc184310313"/>
      <w:bookmarkEnd w:id="354"/>
      <w:bookmarkStart w:id="355" w:name="_Toc184313252"/>
      <w:bookmarkEnd w:id="355"/>
      <w:bookmarkStart w:id="356" w:name="_Toc184308061"/>
      <w:bookmarkEnd w:id="356"/>
      <w:bookmarkStart w:id="357" w:name="_Toc184312080"/>
      <w:bookmarkEnd w:id="357"/>
      <w:bookmarkStart w:id="358" w:name="_Toc184310292"/>
      <w:bookmarkEnd w:id="358"/>
      <w:bookmarkStart w:id="359" w:name="_Toc184312123"/>
      <w:bookmarkEnd w:id="359"/>
      <w:bookmarkStart w:id="360" w:name="_Toc184314451"/>
      <w:bookmarkEnd w:id="360"/>
      <w:bookmarkStart w:id="361" w:name="_Toc184310281"/>
      <w:bookmarkEnd w:id="361"/>
      <w:bookmarkStart w:id="362" w:name="_Toc184314468"/>
      <w:bookmarkEnd w:id="362"/>
      <w:bookmarkStart w:id="363" w:name="_Toc184314443"/>
      <w:bookmarkEnd w:id="363"/>
      <w:bookmarkStart w:id="364" w:name="_Toc184308053"/>
      <w:bookmarkEnd w:id="364"/>
      <w:bookmarkStart w:id="365" w:name="_Toc184312086"/>
      <w:bookmarkEnd w:id="365"/>
      <w:bookmarkStart w:id="366" w:name="_Toc184314471"/>
      <w:bookmarkEnd w:id="366"/>
      <w:bookmarkStart w:id="367" w:name="_Toc184314453"/>
      <w:bookmarkEnd w:id="367"/>
      <w:bookmarkStart w:id="368" w:name="_Toc184313309"/>
      <w:bookmarkEnd w:id="368"/>
      <w:bookmarkStart w:id="369" w:name="_Toc184308080"/>
      <w:bookmarkEnd w:id="369"/>
      <w:bookmarkStart w:id="370" w:name="_Toc184313261"/>
      <w:bookmarkEnd w:id="370"/>
      <w:bookmarkStart w:id="371" w:name="_Toc184313284"/>
      <w:bookmarkEnd w:id="371"/>
      <w:bookmarkStart w:id="372" w:name="_Toc184314469"/>
      <w:bookmarkEnd w:id="372"/>
      <w:bookmarkStart w:id="373" w:name="_Toc184313305"/>
      <w:bookmarkEnd w:id="373"/>
      <w:bookmarkStart w:id="374" w:name="_Toc184312101"/>
      <w:bookmarkEnd w:id="374"/>
      <w:bookmarkStart w:id="375" w:name="_Toc184310314"/>
      <w:bookmarkEnd w:id="375"/>
      <w:bookmarkStart w:id="376" w:name="_Toc184308082"/>
      <w:bookmarkEnd w:id="376"/>
      <w:bookmarkStart w:id="377" w:name="_Toc184310298"/>
      <w:bookmarkEnd w:id="377"/>
      <w:bookmarkStart w:id="378" w:name="_Toc184308092"/>
      <w:bookmarkEnd w:id="378"/>
      <w:bookmarkStart w:id="379" w:name="_Toc184313294"/>
      <w:bookmarkEnd w:id="379"/>
      <w:bookmarkStart w:id="380" w:name="_Toc184312115"/>
      <w:bookmarkEnd w:id="380"/>
      <w:bookmarkStart w:id="381" w:name="_Toc184312107"/>
      <w:bookmarkEnd w:id="381"/>
      <w:bookmarkStart w:id="382" w:name="_Toc184312110"/>
      <w:bookmarkEnd w:id="382"/>
      <w:bookmarkStart w:id="383" w:name="_Toc184312076"/>
      <w:bookmarkEnd w:id="383"/>
      <w:bookmarkStart w:id="384" w:name="_Toc184308075"/>
      <w:bookmarkEnd w:id="384"/>
      <w:bookmarkStart w:id="385" w:name="_Toc184310343"/>
      <w:bookmarkEnd w:id="385"/>
      <w:bookmarkStart w:id="386" w:name="_Toc184308050"/>
      <w:bookmarkEnd w:id="386"/>
      <w:bookmarkStart w:id="387" w:name="_Toc184313292"/>
      <w:bookmarkEnd w:id="387"/>
      <w:bookmarkStart w:id="388" w:name="_Toc184312105"/>
      <w:bookmarkEnd w:id="388"/>
      <w:bookmarkStart w:id="389" w:name="_Toc184310295"/>
      <w:bookmarkEnd w:id="389"/>
      <w:bookmarkStart w:id="390" w:name="_Toc184314455"/>
      <w:bookmarkEnd w:id="390"/>
      <w:bookmarkStart w:id="391" w:name="_Toc184313269"/>
      <w:bookmarkEnd w:id="391"/>
      <w:bookmarkStart w:id="392" w:name="_Toc184310282"/>
      <w:bookmarkEnd w:id="392"/>
      <w:bookmarkStart w:id="393" w:name="_Toc184308093"/>
      <w:bookmarkEnd w:id="393"/>
      <w:bookmarkStart w:id="394" w:name="_Toc184310317"/>
      <w:bookmarkEnd w:id="394"/>
      <w:bookmarkStart w:id="395" w:name="_Toc184308040"/>
      <w:bookmarkEnd w:id="395"/>
      <w:bookmarkStart w:id="396" w:name="_Toc184308069"/>
      <w:bookmarkEnd w:id="396"/>
      <w:bookmarkStart w:id="397" w:name="_Toc184310332"/>
      <w:bookmarkEnd w:id="397"/>
      <w:bookmarkStart w:id="398" w:name="_Toc184314429"/>
      <w:bookmarkEnd w:id="398"/>
      <w:bookmarkStart w:id="399" w:name="_Toc184312068"/>
      <w:bookmarkEnd w:id="399"/>
      <w:bookmarkStart w:id="400" w:name="_Toc184313271"/>
      <w:bookmarkEnd w:id="400"/>
      <w:bookmarkStart w:id="401" w:name="_Toc184313310"/>
      <w:bookmarkEnd w:id="401"/>
      <w:r>
        <w:rPr>
          <w:rFonts w:hint="eastAsia" w:ascii="宋体" w:hAnsi="宋体" w:cs="宋体"/>
          <w:b/>
          <w:color w:val="auto"/>
          <w:sz w:val="36"/>
          <w:szCs w:val="36"/>
          <w:highlight w:val="none"/>
        </w:rPr>
        <w:t>评标办法</w:t>
      </w:r>
    </w:p>
    <w:p w14:paraId="07E60DD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85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043"/>
        <w:gridCol w:w="750"/>
        <w:gridCol w:w="1095"/>
        <w:gridCol w:w="1126"/>
      </w:tblGrid>
      <w:tr w14:paraId="6DEF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13D3D0CB">
            <w:pPr>
              <w:snapToGrid w:val="0"/>
              <w:spacing w:line="360" w:lineRule="auto"/>
              <w:jc w:val="center"/>
              <w:rPr>
                <w:rFonts w:cs="仿宋" w:asciiTheme="minorEastAsia" w:hAnsiTheme="minorEastAsia"/>
                <w:b/>
                <w:color w:val="auto"/>
                <w:sz w:val="24"/>
                <w:szCs w:val="24"/>
                <w:highlight w:val="none"/>
              </w:rPr>
            </w:pPr>
            <w:r>
              <w:rPr>
                <w:rFonts w:hint="eastAsia" w:asciiTheme="minorEastAsia" w:hAnsiTheme="minorEastAsia" w:eastAsiaTheme="minorEastAsia" w:cstheme="minorEastAsia"/>
                <w:color w:val="auto"/>
                <w:sz w:val="24"/>
                <w:highlight w:val="none"/>
              </w:rPr>
              <w:t>序号</w:t>
            </w:r>
          </w:p>
        </w:tc>
        <w:tc>
          <w:tcPr>
            <w:tcW w:w="5043" w:type="dxa"/>
            <w:tcBorders>
              <w:top w:val="single" w:color="auto" w:sz="4" w:space="0"/>
              <w:left w:val="single" w:color="auto" w:sz="4" w:space="0"/>
              <w:bottom w:val="single" w:color="auto" w:sz="4" w:space="0"/>
              <w:right w:val="single" w:color="auto" w:sz="4" w:space="0"/>
            </w:tcBorders>
            <w:vAlign w:val="center"/>
          </w:tcPr>
          <w:p w14:paraId="1A7C7A58">
            <w:pPr>
              <w:snapToGrid w:val="0"/>
              <w:spacing w:line="360" w:lineRule="auto"/>
              <w:jc w:val="center"/>
              <w:rPr>
                <w:rFonts w:cs="仿宋" w:asciiTheme="minorEastAsia" w:hAnsiTheme="minorEastAsia"/>
                <w:b/>
                <w:color w:val="auto"/>
                <w:sz w:val="24"/>
                <w:szCs w:val="24"/>
                <w:highlight w:val="none"/>
              </w:rPr>
            </w:pPr>
            <w:r>
              <w:rPr>
                <w:rFonts w:hint="eastAsia" w:asciiTheme="minorEastAsia" w:hAnsiTheme="minorEastAsia" w:eastAsiaTheme="minorEastAsia" w:cstheme="minorEastAsia"/>
                <w:color w:val="auto"/>
                <w:sz w:val="24"/>
                <w:highlight w:val="none"/>
              </w:rPr>
              <w:t>评标标准</w:t>
            </w:r>
          </w:p>
        </w:tc>
        <w:tc>
          <w:tcPr>
            <w:tcW w:w="750" w:type="dxa"/>
            <w:tcBorders>
              <w:top w:val="single" w:color="auto" w:sz="4" w:space="0"/>
              <w:left w:val="single" w:color="auto" w:sz="4" w:space="0"/>
              <w:bottom w:val="single" w:color="auto" w:sz="4" w:space="0"/>
              <w:right w:val="single" w:color="auto" w:sz="4" w:space="0"/>
            </w:tcBorders>
            <w:vAlign w:val="center"/>
          </w:tcPr>
          <w:p w14:paraId="2AAF41FC">
            <w:pPr>
              <w:snapToGrid w:val="0"/>
              <w:spacing w:line="360" w:lineRule="auto"/>
              <w:jc w:val="center"/>
              <w:rPr>
                <w:rFonts w:cs="仿宋" w:asciiTheme="minorEastAsia" w:hAnsiTheme="minorEastAsia"/>
                <w:b/>
                <w:color w:val="auto"/>
                <w:sz w:val="24"/>
                <w:szCs w:val="24"/>
                <w:highlight w:val="none"/>
              </w:rPr>
            </w:pPr>
            <w:r>
              <w:rPr>
                <w:rFonts w:hint="eastAsia" w:asciiTheme="minorEastAsia" w:hAnsiTheme="minorEastAsia" w:eastAsiaTheme="minorEastAsia" w:cstheme="minorEastAsia"/>
                <w:color w:val="auto"/>
                <w:sz w:val="24"/>
                <w:highlight w:val="none"/>
              </w:rPr>
              <w:t>最高分值</w:t>
            </w:r>
          </w:p>
        </w:tc>
        <w:tc>
          <w:tcPr>
            <w:tcW w:w="1095" w:type="dxa"/>
            <w:tcBorders>
              <w:top w:val="single" w:color="auto" w:sz="4" w:space="0"/>
              <w:left w:val="single" w:color="auto" w:sz="4" w:space="0"/>
              <w:bottom w:val="single" w:color="auto" w:sz="4" w:space="0"/>
              <w:right w:val="single" w:color="auto" w:sz="4" w:space="0"/>
            </w:tcBorders>
            <w:vAlign w:val="center"/>
          </w:tcPr>
          <w:p w14:paraId="4645921C">
            <w:pPr>
              <w:snapToGrid w:val="0"/>
              <w:spacing w:line="360" w:lineRule="auto"/>
              <w:jc w:val="center"/>
              <w:rPr>
                <w:rFonts w:hint="eastAsia" w:cs="仿宋" w:asciiTheme="minorEastAsia" w:hAnsiTheme="minorEastAsia"/>
                <w:b/>
                <w:bCs/>
                <w:color w:val="auto"/>
                <w:kern w:val="0"/>
                <w:sz w:val="24"/>
                <w:szCs w:val="24"/>
                <w:highlight w:val="none"/>
              </w:rPr>
            </w:pPr>
            <w:r>
              <w:rPr>
                <w:rFonts w:hint="eastAsia" w:asciiTheme="minorEastAsia" w:hAnsiTheme="minorEastAsia" w:eastAsiaTheme="minorEastAsia" w:cstheme="minorEastAsia"/>
                <w:bCs/>
                <w:color w:val="auto"/>
                <w:sz w:val="24"/>
                <w:highlight w:val="none"/>
              </w:rPr>
              <w:t>主观分/客观分属性</w:t>
            </w:r>
          </w:p>
        </w:tc>
        <w:tc>
          <w:tcPr>
            <w:tcW w:w="1126" w:type="dxa"/>
            <w:tcBorders>
              <w:top w:val="single" w:color="auto" w:sz="4" w:space="0"/>
              <w:left w:val="single" w:color="auto" w:sz="4" w:space="0"/>
              <w:bottom w:val="single" w:color="auto" w:sz="4" w:space="0"/>
              <w:right w:val="single" w:color="auto" w:sz="4" w:space="0"/>
            </w:tcBorders>
            <w:vAlign w:val="center"/>
          </w:tcPr>
          <w:p w14:paraId="6F35C8A0">
            <w:pPr>
              <w:snapToGrid w:val="0"/>
              <w:spacing w:line="360" w:lineRule="auto"/>
              <w:jc w:val="center"/>
              <w:rPr>
                <w:rFonts w:hint="eastAsia" w:cs="仿宋" w:asciiTheme="minorEastAsia" w:hAnsiTheme="minorEastAsia"/>
                <w:b/>
                <w:bCs/>
                <w:color w:val="auto"/>
                <w:kern w:val="0"/>
                <w:sz w:val="24"/>
                <w:szCs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p>
        </w:tc>
      </w:tr>
      <w:tr w14:paraId="4BA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40" w:type="dxa"/>
            <w:tcBorders>
              <w:top w:val="single" w:color="auto" w:sz="4" w:space="0"/>
              <w:left w:val="single" w:color="auto" w:sz="4" w:space="0"/>
              <w:bottom w:val="single" w:color="auto" w:sz="4" w:space="0"/>
              <w:right w:val="single" w:color="auto" w:sz="4" w:space="0"/>
            </w:tcBorders>
            <w:vAlign w:val="center"/>
          </w:tcPr>
          <w:p w14:paraId="1A1A377A">
            <w:pPr>
              <w:widowControl/>
              <w:spacing w:line="440" w:lineRule="exact"/>
              <w:jc w:val="center"/>
              <w:rPr>
                <w:rFonts w:cs="仿宋" w:asciiTheme="minorEastAsia" w:hAnsiTheme="minorEastAsia"/>
                <w:b/>
                <w:bCs/>
                <w:color w:val="auto"/>
                <w:kern w:val="0"/>
                <w:sz w:val="24"/>
                <w:szCs w:val="24"/>
                <w:highlight w:val="none"/>
              </w:rPr>
            </w:pPr>
            <w:r>
              <w:rPr>
                <w:rFonts w:hint="eastAsia" w:cs="仿宋" w:asciiTheme="minorEastAsia" w:hAnsiTheme="minorEastAsia"/>
                <w:b/>
                <w:bCs/>
                <w:color w:val="auto"/>
                <w:kern w:val="0"/>
                <w:sz w:val="24"/>
                <w:szCs w:val="24"/>
                <w:highlight w:val="none"/>
              </w:rPr>
              <w:t>1</w:t>
            </w:r>
          </w:p>
        </w:tc>
        <w:tc>
          <w:tcPr>
            <w:tcW w:w="5043" w:type="dxa"/>
            <w:tcBorders>
              <w:top w:val="single" w:color="auto" w:sz="4" w:space="0"/>
              <w:left w:val="single" w:color="auto" w:sz="4" w:space="0"/>
              <w:bottom w:val="single" w:color="auto" w:sz="4" w:space="0"/>
              <w:right w:val="single" w:color="auto" w:sz="4" w:space="0"/>
            </w:tcBorders>
            <w:vAlign w:val="center"/>
          </w:tcPr>
          <w:p w14:paraId="4DC6F0CE">
            <w:pPr>
              <w:spacing w:line="260" w:lineRule="atLeast"/>
              <w:rPr>
                <w:rFonts w:hint="eastAsia" w:eastAsia="宋体" w:cs="仿宋" w:asciiTheme="minorEastAsia" w:hAnsiTheme="minorEastAsia"/>
                <w:color w:val="auto"/>
                <w:sz w:val="24"/>
                <w:szCs w:val="24"/>
                <w:highlight w:val="none"/>
              </w:rPr>
            </w:pPr>
            <w:r>
              <w:rPr>
                <w:rFonts w:hint="eastAsia" w:eastAsia="宋体" w:cs="仿宋" w:asciiTheme="minorEastAsia" w:hAnsiTheme="minorEastAsia"/>
                <w:color w:val="auto"/>
                <w:sz w:val="24"/>
                <w:szCs w:val="24"/>
                <w:highlight w:val="none"/>
              </w:rPr>
              <w:t>有效投标报价的最低价作为评标基准价，其最低报价为满分；按［投标报价得分=（评标基准价/投标报价）*</w:t>
            </w:r>
            <w:r>
              <w:rPr>
                <w:rFonts w:hint="eastAsia" w:eastAsia="宋体" w:cs="仿宋" w:asciiTheme="minorEastAsia" w:hAnsiTheme="minorEastAsia"/>
                <w:color w:val="auto"/>
                <w:sz w:val="24"/>
                <w:szCs w:val="24"/>
                <w:highlight w:val="none"/>
                <w:lang w:val="en-US" w:eastAsia="zh-CN"/>
              </w:rPr>
              <w:t>2</w:t>
            </w:r>
            <w:r>
              <w:rPr>
                <w:rFonts w:hint="eastAsia" w:eastAsia="宋体" w:cs="仿宋" w:asciiTheme="minorEastAsia" w:hAnsiTheme="minorEastAsia"/>
                <w:color w:val="auto"/>
                <w:sz w:val="24"/>
                <w:szCs w:val="24"/>
                <w:highlight w:val="none"/>
              </w:rPr>
              <w:t>0］的计算公式计算。</w:t>
            </w:r>
          </w:p>
          <w:p w14:paraId="643F1536">
            <w:pPr>
              <w:spacing w:line="260" w:lineRule="atLeast"/>
              <w:rPr>
                <w:rFonts w:hint="eastAsia" w:eastAsia="宋体" w:cs="仿宋" w:asciiTheme="minorEastAsia" w:hAnsiTheme="minorEastAsia"/>
                <w:color w:val="auto"/>
                <w:sz w:val="24"/>
                <w:szCs w:val="24"/>
                <w:highlight w:val="none"/>
              </w:rPr>
            </w:pPr>
            <w:r>
              <w:rPr>
                <w:rFonts w:hint="eastAsia" w:eastAsia="宋体" w:cs="仿宋" w:asciiTheme="minorEastAsia" w:hAnsiTheme="minorEastAsia"/>
                <w:color w:val="auto"/>
                <w:sz w:val="24"/>
                <w:szCs w:val="24"/>
                <w:highlight w:val="none"/>
              </w:rPr>
              <w:t>评标过程中，不得去掉报价中的最高报价和最低报价。</w:t>
            </w:r>
          </w:p>
          <w:p w14:paraId="32CE2358">
            <w:pPr>
              <w:spacing w:line="260" w:lineRule="atLeast"/>
              <w:rPr>
                <w:rFonts w:hint="eastAsia" w:eastAsia="宋体" w:cs="仿宋" w:asciiTheme="minorEastAsia" w:hAnsiTheme="minorEastAsia"/>
                <w:color w:val="auto"/>
                <w:sz w:val="24"/>
                <w:szCs w:val="24"/>
                <w:highlight w:val="none"/>
              </w:rPr>
            </w:pPr>
            <w:r>
              <w:rPr>
                <w:rFonts w:hint="eastAsia" w:eastAsia="宋体" w:cs="仿宋" w:asciiTheme="minorEastAsia" w:hAnsiTheme="minorEastAsia"/>
                <w:color w:val="auto"/>
                <w:sz w:val="24"/>
                <w:szCs w:val="24"/>
                <w:highlight w:val="none"/>
              </w:rPr>
              <w:t>因落实政府采购政策需要进行价格调整的，以调整后的价格计算评标基准价和投标报价。</w:t>
            </w:r>
          </w:p>
        </w:tc>
        <w:tc>
          <w:tcPr>
            <w:tcW w:w="750" w:type="dxa"/>
            <w:tcBorders>
              <w:top w:val="single" w:color="auto" w:sz="4" w:space="0"/>
              <w:left w:val="single" w:color="auto" w:sz="4" w:space="0"/>
              <w:bottom w:val="single" w:color="auto" w:sz="4" w:space="0"/>
              <w:right w:val="single" w:color="auto" w:sz="4" w:space="0"/>
            </w:tcBorders>
            <w:vAlign w:val="center"/>
          </w:tcPr>
          <w:p w14:paraId="50932D63">
            <w:pPr>
              <w:spacing w:line="260" w:lineRule="atLeast"/>
              <w:jc w:val="center"/>
              <w:rPr>
                <w:rFonts w:hint="default" w:eastAsia="宋体" w:cs="仿宋" w:asciiTheme="minorEastAsia" w:hAnsiTheme="minorEastAsia"/>
                <w:color w:val="auto"/>
                <w:sz w:val="24"/>
                <w:szCs w:val="24"/>
                <w:highlight w:val="none"/>
                <w:lang w:val="en-US" w:eastAsia="zh-CN"/>
              </w:rPr>
            </w:pPr>
            <w:r>
              <w:rPr>
                <w:rFonts w:hint="eastAsia" w:eastAsia="宋体" w:cs="仿宋" w:asciiTheme="minorEastAsia" w:hAnsiTheme="minorEastAsia"/>
                <w:color w:val="auto"/>
                <w:sz w:val="24"/>
                <w:szCs w:val="24"/>
                <w:highlight w:val="none"/>
                <w:lang w:val="en-US" w:eastAsia="zh-CN"/>
              </w:rPr>
              <w:t>20</w:t>
            </w:r>
          </w:p>
        </w:tc>
        <w:tc>
          <w:tcPr>
            <w:tcW w:w="1095" w:type="dxa"/>
            <w:tcBorders>
              <w:top w:val="single" w:color="auto" w:sz="4" w:space="0"/>
              <w:left w:val="single" w:color="auto" w:sz="4" w:space="0"/>
              <w:bottom w:val="single" w:color="auto" w:sz="4" w:space="0"/>
              <w:right w:val="single" w:color="auto" w:sz="4" w:space="0"/>
            </w:tcBorders>
            <w:vAlign w:val="center"/>
          </w:tcPr>
          <w:p w14:paraId="42A8F98E">
            <w:pPr>
              <w:autoSpaceDE w:val="0"/>
              <w:autoSpaceDN w:val="0"/>
              <w:spacing w:line="300" w:lineRule="exact"/>
              <w:rPr>
                <w:rFonts w:hint="default" w:eastAsia="宋体" w:cs="仿宋" w:asciiTheme="minorEastAsia" w:hAnsiTheme="minorEastAsia"/>
                <w:color w:val="auto"/>
                <w:kern w:val="0"/>
                <w:sz w:val="24"/>
                <w:highlight w:val="none"/>
                <w:lang w:val="en-US" w:eastAsia="zh-CN"/>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7396F289">
            <w:pPr>
              <w:widowControl/>
              <w:spacing w:line="440" w:lineRule="exact"/>
              <w:jc w:val="center"/>
              <w:rPr>
                <w:rFonts w:hint="eastAsia" w:cs="仿宋" w:asciiTheme="minorEastAsia" w:hAnsiTheme="minorEastAsia"/>
                <w:b/>
                <w:bCs/>
                <w:color w:val="auto"/>
                <w:kern w:val="0"/>
                <w:sz w:val="24"/>
                <w:szCs w:val="24"/>
                <w:highlight w:val="none"/>
              </w:rPr>
            </w:pPr>
          </w:p>
        </w:tc>
      </w:tr>
      <w:tr w14:paraId="187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right w:val="single" w:color="auto" w:sz="4" w:space="0"/>
            </w:tcBorders>
            <w:vAlign w:val="center"/>
          </w:tcPr>
          <w:p w14:paraId="223BD60F">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2</w:t>
            </w:r>
          </w:p>
        </w:tc>
        <w:tc>
          <w:tcPr>
            <w:tcW w:w="5043" w:type="dxa"/>
            <w:tcBorders>
              <w:top w:val="single" w:color="auto" w:sz="4" w:space="0"/>
              <w:left w:val="single" w:color="auto" w:sz="4" w:space="0"/>
              <w:bottom w:val="single" w:color="auto" w:sz="4" w:space="0"/>
              <w:right w:val="single" w:color="auto" w:sz="4" w:space="0"/>
            </w:tcBorders>
            <w:vAlign w:val="center"/>
          </w:tcPr>
          <w:p w14:paraId="475B1482">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投标人总公司公布的202</w:t>
            </w:r>
            <w:r>
              <w:rPr>
                <w:rFonts w:hint="eastAsia" w:cs="仿宋" w:asciiTheme="minorEastAsia" w:hAnsiTheme="minorEastAsia"/>
                <w:color w:val="auto"/>
                <w:sz w:val="24"/>
                <w:szCs w:val="24"/>
                <w:highlight w:val="none"/>
                <w:lang w:val="en-US" w:eastAsia="zh-CN"/>
              </w:rPr>
              <w:t>3</w:t>
            </w:r>
            <w:r>
              <w:rPr>
                <w:rFonts w:hint="eastAsia" w:cs="仿宋" w:asciiTheme="minorEastAsia" w:hAnsiTheme="minorEastAsia"/>
                <w:color w:val="auto"/>
                <w:sz w:val="24"/>
                <w:szCs w:val="24"/>
                <w:highlight w:val="none"/>
              </w:rPr>
              <w:t>年四个季度的平均综合偿付能力充足率，250%以上得3分；200%-250%的得2分；150%-200%的得1分；低于150%的不得分。</w:t>
            </w:r>
          </w:p>
          <w:p w14:paraId="138A990B">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以投标人总公司官网对外公布的季度报告摘要或相关证明加盖公章为准。</w:t>
            </w:r>
          </w:p>
        </w:tc>
        <w:tc>
          <w:tcPr>
            <w:tcW w:w="750" w:type="dxa"/>
            <w:tcBorders>
              <w:top w:val="single" w:color="auto" w:sz="4" w:space="0"/>
              <w:left w:val="single" w:color="auto" w:sz="4" w:space="0"/>
              <w:bottom w:val="single" w:color="auto" w:sz="4" w:space="0"/>
              <w:right w:val="single" w:color="auto" w:sz="4" w:space="0"/>
            </w:tcBorders>
            <w:vAlign w:val="center"/>
          </w:tcPr>
          <w:p w14:paraId="6A89C21E">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7C7DDBEC">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35591A97">
            <w:pPr>
              <w:spacing w:line="260" w:lineRule="atLeast"/>
              <w:jc w:val="center"/>
              <w:rPr>
                <w:rFonts w:hint="eastAsia" w:cs="仿宋" w:asciiTheme="minorEastAsia" w:hAnsiTheme="minorEastAsia"/>
                <w:color w:val="auto"/>
                <w:sz w:val="24"/>
                <w:szCs w:val="24"/>
                <w:highlight w:val="none"/>
              </w:rPr>
            </w:pPr>
          </w:p>
        </w:tc>
      </w:tr>
      <w:tr w14:paraId="3E88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right w:val="single" w:color="auto" w:sz="4" w:space="0"/>
            </w:tcBorders>
            <w:vAlign w:val="center"/>
          </w:tcPr>
          <w:p w14:paraId="1563547A">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w:t>
            </w:r>
          </w:p>
        </w:tc>
        <w:tc>
          <w:tcPr>
            <w:tcW w:w="5043" w:type="dxa"/>
            <w:tcBorders>
              <w:top w:val="single" w:color="auto" w:sz="4" w:space="0"/>
              <w:left w:val="single" w:color="auto" w:sz="4" w:space="0"/>
              <w:bottom w:val="single" w:color="auto" w:sz="4" w:space="0"/>
              <w:right w:val="single" w:color="auto" w:sz="4" w:space="0"/>
            </w:tcBorders>
            <w:vAlign w:val="center"/>
          </w:tcPr>
          <w:p w14:paraId="7F26083F">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投标人总公司公布的202</w:t>
            </w:r>
            <w:r>
              <w:rPr>
                <w:rFonts w:hint="eastAsia" w:cs="仿宋" w:asciiTheme="minorEastAsia" w:hAnsiTheme="minorEastAsia"/>
                <w:color w:val="auto"/>
                <w:sz w:val="24"/>
                <w:szCs w:val="24"/>
                <w:highlight w:val="none"/>
                <w:lang w:val="en-US" w:eastAsia="zh-CN"/>
              </w:rPr>
              <w:t>3</w:t>
            </w:r>
            <w:r>
              <w:rPr>
                <w:rFonts w:hint="eastAsia" w:cs="仿宋" w:asciiTheme="minorEastAsia" w:hAnsiTheme="minorEastAsia"/>
                <w:color w:val="auto"/>
                <w:sz w:val="24"/>
                <w:szCs w:val="24"/>
                <w:highlight w:val="none"/>
              </w:rPr>
              <w:t>年四个季度的平均核心偿付能力充足率，250%以上得3分；200%-250%的得2分；150%-200%的得1分；低于150%的不得分。</w:t>
            </w:r>
          </w:p>
          <w:p w14:paraId="0436C540">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以投标人总公司官网对外公布的季度报告摘要或相关证明加盖公章为准。</w:t>
            </w:r>
          </w:p>
        </w:tc>
        <w:tc>
          <w:tcPr>
            <w:tcW w:w="750" w:type="dxa"/>
            <w:tcBorders>
              <w:top w:val="single" w:color="auto" w:sz="4" w:space="0"/>
              <w:left w:val="single" w:color="auto" w:sz="4" w:space="0"/>
              <w:bottom w:val="single" w:color="auto" w:sz="4" w:space="0"/>
              <w:right w:val="single" w:color="auto" w:sz="4" w:space="0"/>
            </w:tcBorders>
            <w:vAlign w:val="center"/>
          </w:tcPr>
          <w:p w14:paraId="3CF9E4FA">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4115DD4C">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221C42A6">
            <w:pPr>
              <w:spacing w:line="260" w:lineRule="atLeast"/>
              <w:jc w:val="center"/>
              <w:rPr>
                <w:rFonts w:hint="eastAsia" w:cs="仿宋" w:asciiTheme="minorEastAsia" w:hAnsiTheme="minorEastAsia"/>
                <w:color w:val="auto"/>
                <w:sz w:val="24"/>
                <w:szCs w:val="24"/>
                <w:highlight w:val="none"/>
              </w:rPr>
            </w:pPr>
          </w:p>
        </w:tc>
      </w:tr>
      <w:tr w14:paraId="5572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right w:val="single" w:color="auto" w:sz="4" w:space="0"/>
            </w:tcBorders>
            <w:vAlign w:val="center"/>
          </w:tcPr>
          <w:p w14:paraId="096B7D8E">
            <w:pPr>
              <w:pStyle w:val="23"/>
              <w:jc w:val="center"/>
              <w:rPr>
                <w:rFonts w:cs="仿宋" w:asciiTheme="minorEastAsia" w:hAnsiTheme="minorEastAsia" w:eastAsiaTheme="minorEastAsia"/>
                <w:color w:val="auto"/>
                <w:szCs w:val="24"/>
                <w:highlight w:val="none"/>
                <w:lang w:val="en-US"/>
              </w:rPr>
            </w:pPr>
            <w:r>
              <w:rPr>
                <w:rFonts w:hint="eastAsia" w:cs="仿宋" w:asciiTheme="minorEastAsia" w:hAnsiTheme="minorEastAsia" w:eastAsiaTheme="minorEastAsia"/>
                <w:color w:val="auto"/>
                <w:szCs w:val="24"/>
                <w:highlight w:val="none"/>
                <w:lang w:val="en-US"/>
              </w:rPr>
              <w:t>4</w:t>
            </w:r>
          </w:p>
        </w:tc>
        <w:tc>
          <w:tcPr>
            <w:tcW w:w="5043" w:type="dxa"/>
            <w:tcBorders>
              <w:top w:val="single" w:color="auto" w:sz="4" w:space="0"/>
              <w:left w:val="single" w:color="auto" w:sz="4" w:space="0"/>
              <w:bottom w:val="single" w:color="auto" w:sz="4" w:space="0"/>
              <w:right w:val="single" w:color="auto" w:sz="4" w:space="0"/>
            </w:tcBorders>
            <w:vAlign w:val="center"/>
          </w:tcPr>
          <w:p w14:paraId="12F6F9F6">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投标人总公司202</w:t>
            </w:r>
            <w:r>
              <w:rPr>
                <w:rFonts w:hint="eastAsia" w:cs="仿宋" w:asciiTheme="minorEastAsia" w:hAnsiTheme="minorEastAsia"/>
                <w:color w:val="auto"/>
                <w:sz w:val="24"/>
                <w:szCs w:val="24"/>
                <w:highlight w:val="none"/>
                <w:lang w:val="en-US" w:eastAsia="zh-CN"/>
              </w:rPr>
              <w:t>3</w:t>
            </w:r>
            <w:r>
              <w:rPr>
                <w:rFonts w:hint="eastAsia" w:cs="仿宋" w:asciiTheme="minorEastAsia" w:hAnsiTheme="minorEastAsia"/>
                <w:color w:val="auto"/>
                <w:sz w:val="24"/>
                <w:szCs w:val="24"/>
                <w:highlight w:val="none"/>
              </w:rPr>
              <w:t>年四个</w:t>
            </w:r>
            <w:r>
              <w:rPr>
                <w:rFonts w:hint="eastAsia" w:cs="仿宋" w:asciiTheme="minorEastAsia" w:hAnsiTheme="minorEastAsia"/>
                <w:color w:val="auto"/>
                <w:sz w:val="24"/>
                <w:szCs w:val="24"/>
                <w:highlight w:val="none"/>
                <w:lang w:val="en-US" w:eastAsia="zh-CN"/>
              </w:rPr>
              <w:t>季</w:t>
            </w:r>
            <w:r>
              <w:rPr>
                <w:rFonts w:hint="eastAsia" w:cs="仿宋" w:asciiTheme="minorEastAsia" w:hAnsiTheme="minorEastAsia"/>
                <w:color w:val="auto"/>
                <w:sz w:val="24"/>
                <w:szCs w:val="24"/>
                <w:highlight w:val="none"/>
              </w:rPr>
              <w:t>度风险综合评定结果，均为A类得3分，有B类得2分，有C类得1分。</w:t>
            </w:r>
          </w:p>
          <w:p w14:paraId="60939E16">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以投保人总公司官网对外公布的季度报告摘要或相关证明加盖公章为准。</w:t>
            </w:r>
          </w:p>
        </w:tc>
        <w:tc>
          <w:tcPr>
            <w:tcW w:w="750" w:type="dxa"/>
            <w:tcBorders>
              <w:top w:val="single" w:color="auto" w:sz="4" w:space="0"/>
              <w:left w:val="single" w:color="auto" w:sz="4" w:space="0"/>
              <w:bottom w:val="single" w:color="auto" w:sz="4" w:space="0"/>
              <w:right w:val="single" w:color="auto" w:sz="4" w:space="0"/>
            </w:tcBorders>
            <w:vAlign w:val="center"/>
          </w:tcPr>
          <w:p w14:paraId="3673B486">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1749DEEC">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6A7F434A">
            <w:pPr>
              <w:spacing w:line="260" w:lineRule="atLeast"/>
              <w:jc w:val="center"/>
              <w:rPr>
                <w:rFonts w:hint="eastAsia" w:cs="仿宋" w:asciiTheme="minorEastAsia" w:hAnsiTheme="minorEastAsia"/>
                <w:color w:val="auto"/>
                <w:sz w:val="24"/>
                <w:szCs w:val="24"/>
                <w:highlight w:val="none"/>
              </w:rPr>
            </w:pPr>
          </w:p>
        </w:tc>
      </w:tr>
      <w:tr w14:paraId="33E5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bottom w:val="single" w:color="auto" w:sz="4" w:space="0"/>
              <w:right w:val="single" w:color="auto" w:sz="4" w:space="0"/>
            </w:tcBorders>
            <w:vAlign w:val="center"/>
          </w:tcPr>
          <w:p w14:paraId="459840C2">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w:t>
            </w:r>
          </w:p>
        </w:tc>
        <w:tc>
          <w:tcPr>
            <w:tcW w:w="5043" w:type="dxa"/>
            <w:tcBorders>
              <w:top w:val="single" w:color="auto" w:sz="4" w:space="0"/>
              <w:left w:val="single" w:color="auto" w:sz="4" w:space="0"/>
              <w:bottom w:val="single" w:color="auto" w:sz="4" w:space="0"/>
              <w:right w:val="single" w:color="auto" w:sz="4" w:space="0"/>
            </w:tcBorders>
            <w:vAlign w:val="center"/>
          </w:tcPr>
          <w:p w14:paraId="3EEDB018">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投标人总公司最近一个季度的“亿元保费投诉量”，亿元保费投诉量4件（含）以下的得5分，4件以上-8件以下的得3分，8件以上-10件以下的得1分，10件以上的不得分。</w:t>
            </w:r>
          </w:p>
          <w:p w14:paraId="2EBE385E">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以中国银保监会消费者权益保护局官网发布的最近季度保险消费投诉情况的通报为准。</w:t>
            </w:r>
          </w:p>
        </w:tc>
        <w:tc>
          <w:tcPr>
            <w:tcW w:w="750" w:type="dxa"/>
            <w:tcBorders>
              <w:top w:val="single" w:color="auto" w:sz="4" w:space="0"/>
              <w:left w:val="single" w:color="auto" w:sz="4" w:space="0"/>
              <w:bottom w:val="single" w:color="auto" w:sz="4" w:space="0"/>
              <w:right w:val="single" w:color="auto" w:sz="4" w:space="0"/>
            </w:tcBorders>
            <w:vAlign w:val="center"/>
          </w:tcPr>
          <w:p w14:paraId="3937B7D6">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4B14276E">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1E4AF40D">
            <w:pPr>
              <w:spacing w:line="260" w:lineRule="atLeast"/>
              <w:jc w:val="center"/>
              <w:rPr>
                <w:rFonts w:hint="eastAsia" w:cs="仿宋" w:asciiTheme="minorEastAsia" w:hAnsiTheme="minorEastAsia"/>
                <w:color w:val="auto"/>
                <w:sz w:val="24"/>
                <w:szCs w:val="24"/>
                <w:highlight w:val="none"/>
              </w:rPr>
            </w:pPr>
          </w:p>
        </w:tc>
      </w:tr>
      <w:tr w14:paraId="1448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bottom w:val="single" w:color="auto" w:sz="4" w:space="0"/>
              <w:right w:val="single" w:color="auto" w:sz="4" w:space="0"/>
            </w:tcBorders>
            <w:shd w:val="clear" w:color="auto" w:fill="auto"/>
            <w:vAlign w:val="center"/>
          </w:tcPr>
          <w:p w14:paraId="12BC75A5">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6</w:t>
            </w:r>
          </w:p>
        </w:tc>
        <w:tc>
          <w:tcPr>
            <w:tcW w:w="5043" w:type="dxa"/>
            <w:tcBorders>
              <w:top w:val="single" w:color="auto" w:sz="4" w:space="0"/>
              <w:left w:val="single" w:color="auto" w:sz="4" w:space="0"/>
              <w:bottom w:val="single" w:color="auto" w:sz="4" w:space="0"/>
              <w:right w:val="single" w:color="auto" w:sz="4" w:space="0"/>
            </w:tcBorders>
            <w:shd w:val="clear" w:color="auto" w:fill="auto"/>
            <w:vAlign w:val="center"/>
          </w:tcPr>
          <w:p w14:paraId="10A8706E">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投标人获得过各级政府部门颁发的各类称号，1个得1分，最高3分。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66BEC8F">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148D81C">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2B104172">
            <w:pPr>
              <w:spacing w:line="260" w:lineRule="atLeast"/>
              <w:rPr>
                <w:rFonts w:hint="eastAsia" w:cs="仿宋" w:asciiTheme="minorEastAsia" w:hAnsiTheme="minorEastAsia"/>
                <w:color w:val="auto"/>
                <w:sz w:val="24"/>
                <w:szCs w:val="24"/>
                <w:highlight w:val="none"/>
              </w:rPr>
            </w:pPr>
          </w:p>
        </w:tc>
      </w:tr>
      <w:tr w14:paraId="203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6F1052">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7</w:t>
            </w:r>
          </w:p>
        </w:tc>
        <w:tc>
          <w:tcPr>
            <w:tcW w:w="5043" w:type="dxa"/>
            <w:tcBorders>
              <w:top w:val="single" w:color="auto" w:sz="4" w:space="0"/>
              <w:left w:val="single" w:color="auto" w:sz="4" w:space="0"/>
              <w:bottom w:val="single" w:color="auto" w:sz="4" w:space="0"/>
              <w:right w:val="single" w:color="auto" w:sz="4" w:space="0"/>
            </w:tcBorders>
            <w:shd w:val="clear" w:color="auto" w:fill="auto"/>
            <w:vAlign w:val="center"/>
          </w:tcPr>
          <w:p w14:paraId="407EFA00">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投标人自202</w:t>
            </w:r>
            <w:r>
              <w:rPr>
                <w:rFonts w:hint="eastAsia" w:cs="仿宋" w:asciiTheme="minorEastAsia" w:hAnsiTheme="minorEastAsia"/>
                <w:color w:val="auto"/>
                <w:sz w:val="24"/>
                <w:szCs w:val="24"/>
                <w:highlight w:val="none"/>
                <w:lang w:val="en-US" w:eastAsia="zh-CN"/>
              </w:rPr>
              <w:t>1</w:t>
            </w:r>
            <w:r>
              <w:rPr>
                <w:rFonts w:hint="eastAsia" w:cs="仿宋" w:asciiTheme="minorEastAsia" w:hAnsiTheme="minorEastAsia"/>
                <w:color w:val="auto"/>
                <w:sz w:val="24"/>
                <w:szCs w:val="24"/>
                <w:highlight w:val="none"/>
              </w:rPr>
              <w:t>年以来有类似承保经验的，每个项目得1分，最多得</w:t>
            </w:r>
            <w:r>
              <w:rPr>
                <w:rFonts w:hint="eastAsia" w:cs="仿宋" w:asciiTheme="minorEastAsia" w:hAnsiTheme="minorEastAsia"/>
                <w:color w:val="auto"/>
                <w:sz w:val="24"/>
                <w:szCs w:val="24"/>
                <w:highlight w:val="none"/>
                <w:lang w:val="en-US" w:eastAsia="zh-CN"/>
              </w:rPr>
              <w:t>2</w:t>
            </w:r>
            <w:r>
              <w:rPr>
                <w:rFonts w:hint="eastAsia" w:cs="仿宋" w:asciiTheme="minorEastAsia" w:hAnsiTheme="minorEastAsia"/>
                <w:color w:val="auto"/>
                <w:sz w:val="24"/>
                <w:szCs w:val="24"/>
                <w:highlight w:val="none"/>
              </w:rPr>
              <w:t>分。</w:t>
            </w:r>
          </w:p>
          <w:p w14:paraId="49A682EC">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需提供标明项目名称的协议或合同或保单或中标通知书，不提供不得分。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E4F5AAE">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5F89B44">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6A8AEA5D">
            <w:pPr>
              <w:spacing w:line="260" w:lineRule="atLeast"/>
              <w:rPr>
                <w:rFonts w:hint="eastAsia" w:cs="仿宋" w:asciiTheme="minorEastAsia" w:hAnsiTheme="minorEastAsia"/>
                <w:color w:val="auto"/>
                <w:sz w:val="24"/>
                <w:szCs w:val="24"/>
                <w:highlight w:val="none"/>
              </w:rPr>
            </w:pPr>
          </w:p>
        </w:tc>
      </w:tr>
      <w:tr w14:paraId="7402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tcBorders>
              <w:top w:val="single" w:color="auto" w:sz="4" w:space="0"/>
              <w:left w:val="single" w:color="auto" w:sz="4" w:space="0"/>
              <w:right w:val="single" w:color="auto" w:sz="4" w:space="0"/>
            </w:tcBorders>
            <w:vAlign w:val="center"/>
          </w:tcPr>
          <w:p w14:paraId="294ADFBD">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8</w:t>
            </w:r>
          </w:p>
        </w:tc>
        <w:tc>
          <w:tcPr>
            <w:tcW w:w="5043" w:type="dxa"/>
            <w:tcBorders>
              <w:top w:val="single" w:color="auto" w:sz="4" w:space="0"/>
              <w:left w:val="single" w:color="auto" w:sz="4" w:space="0"/>
              <w:bottom w:val="single" w:color="auto" w:sz="4" w:space="0"/>
              <w:right w:val="single" w:color="auto" w:sz="4" w:space="0"/>
            </w:tcBorders>
            <w:vAlign w:val="center"/>
          </w:tcPr>
          <w:p w14:paraId="0344DC31">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保险方案响应招标文件的要求，完善及具体情况、合理可行性</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评委在评审时根据投标人提交的方案内容的完整程度、具体程度、明确程度、合理程度、有效程度进行评价给分（5分、4分、3分、2分、1分、0分）。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370F7AEF">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668AEBA6">
            <w:pPr>
              <w:autoSpaceDE w:val="0"/>
              <w:autoSpaceDN w:val="0"/>
              <w:spacing w:line="300" w:lineRule="exact"/>
              <w:rPr>
                <w:rFonts w:hint="eastAsia" w:eastAsia="宋体" w:cs="仿宋" w:asciiTheme="minorEastAsia" w:hAnsiTheme="minorEastAsia"/>
                <w:color w:val="auto"/>
                <w:kern w:val="0"/>
                <w:sz w:val="24"/>
                <w:highlight w:val="none"/>
                <w:lang w:val="en-US" w:eastAsia="zh-CN"/>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13F76C45">
            <w:pPr>
              <w:spacing w:line="260" w:lineRule="atLeast"/>
              <w:jc w:val="center"/>
              <w:rPr>
                <w:rFonts w:hint="eastAsia" w:cs="仿宋" w:asciiTheme="minorEastAsia" w:hAnsiTheme="minorEastAsia"/>
                <w:color w:val="auto"/>
                <w:sz w:val="24"/>
                <w:szCs w:val="24"/>
                <w:highlight w:val="none"/>
              </w:rPr>
            </w:pPr>
          </w:p>
        </w:tc>
      </w:tr>
      <w:tr w14:paraId="6B25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bottom w:val="single" w:color="auto" w:sz="4" w:space="0"/>
              <w:right w:val="single" w:color="auto" w:sz="4" w:space="0"/>
            </w:tcBorders>
            <w:vAlign w:val="center"/>
          </w:tcPr>
          <w:p w14:paraId="49993F5E">
            <w:pPr>
              <w:spacing w:line="260" w:lineRule="atLeast"/>
              <w:jc w:val="center"/>
              <w:rPr>
                <w:rFonts w:cs="仿宋" w:asciiTheme="minorEastAsia" w:hAnsiTheme="minorEastAsia"/>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064C50D">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保险方案制定的科学性、可行性、合理性</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w:t>
            </w:r>
            <w:r>
              <w:rPr>
                <w:rFonts w:hint="eastAsia" w:cs="仿宋" w:asciiTheme="minorEastAsia" w:hAnsiTheme="minorEastAsia"/>
                <w:color w:val="auto"/>
                <w:sz w:val="24"/>
                <w:szCs w:val="24"/>
                <w:highlight w:val="none"/>
              </w:rPr>
              <w:t>科学性、可行性、合理性</w:t>
            </w:r>
            <w:r>
              <w:rPr>
                <w:rFonts w:hint="eastAsia" w:asciiTheme="minorEastAsia" w:hAnsiTheme="minorEastAsia" w:eastAsiaTheme="minorEastAsia" w:cstheme="minorEastAsia"/>
                <w:color w:val="auto"/>
                <w:sz w:val="24"/>
                <w:highlight w:val="none"/>
                <w:lang w:val="en-US" w:eastAsia="zh-CN"/>
              </w:rPr>
              <w:t>进行评价给分（5分、4分、3分、2分、1分、0分）。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4DD60DA1">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73339223">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10DF3740">
            <w:pPr>
              <w:spacing w:line="260" w:lineRule="atLeast"/>
              <w:jc w:val="center"/>
              <w:rPr>
                <w:rFonts w:hint="eastAsia" w:cs="仿宋" w:asciiTheme="minorEastAsia" w:hAnsiTheme="minorEastAsia"/>
                <w:color w:val="auto"/>
                <w:sz w:val="24"/>
                <w:szCs w:val="24"/>
                <w:highlight w:val="none"/>
              </w:rPr>
            </w:pPr>
          </w:p>
        </w:tc>
      </w:tr>
      <w:tr w14:paraId="009A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tcBorders>
              <w:top w:val="single" w:color="auto" w:sz="4" w:space="0"/>
              <w:left w:val="single" w:color="auto" w:sz="4" w:space="0"/>
              <w:right w:val="single" w:color="auto" w:sz="4" w:space="0"/>
            </w:tcBorders>
            <w:vAlign w:val="center"/>
          </w:tcPr>
          <w:p w14:paraId="248FDCEA">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9</w:t>
            </w:r>
          </w:p>
        </w:tc>
        <w:tc>
          <w:tcPr>
            <w:tcW w:w="5043" w:type="dxa"/>
            <w:tcBorders>
              <w:top w:val="single" w:color="auto" w:sz="4" w:space="0"/>
              <w:left w:val="single" w:color="auto" w:sz="4" w:space="0"/>
              <w:bottom w:val="single" w:color="auto" w:sz="4" w:space="0"/>
              <w:right w:val="single" w:color="auto" w:sz="4" w:space="0"/>
            </w:tcBorders>
            <w:vAlign w:val="center"/>
          </w:tcPr>
          <w:p w14:paraId="5D048AD1">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理赔服务规范的可行性，根据投标人理赔服务需求响应速度</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评委在评审时根据投标人提交的内容可行性、响应速度进行评价给分（4分、3分、2分、1分、0分）。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01BEA9E9">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331B19F6">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7DAFD5A8">
            <w:pPr>
              <w:spacing w:line="260" w:lineRule="atLeast"/>
              <w:jc w:val="center"/>
              <w:rPr>
                <w:rFonts w:hint="eastAsia" w:cs="仿宋" w:asciiTheme="minorEastAsia" w:hAnsiTheme="minorEastAsia"/>
                <w:color w:val="auto"/>
                <w:sz w:val="24"/>
                <w:szCs w:val="24"/>
                <w:highlight w:val="none"/>
              </w:rPr>
            </w:pPr>
          </w:p>
        </w:tc>
      </w:tr>
      <w:tr w14:paraId="4D5C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right w:val="single" w:color="auto" w:sz="4" w:space="0"/>
            </w:tcBorders>
            <w:vAlign w:val="center"/>
          </w:tcPr>
          <w:p w14:paraId="2BFBE616">
            <w:pPr>
              <w:spacing w:line="260" w:lineRule="atLeast"/>
              <w:jc w:val="center"/>
              <w:rPr>
                <w:rFonts w:cs="仿宋" w:asciiTheme="minorEastAsia" w:hAnsiTheme="minorEastAsia"/>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C112D1A">
            <w:pPr>
              <w:jc w:val="lef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理赔应急预案，投标供应商提供应急突发事件的响应和处理方案</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7076B666">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262416DA">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7623EEFD">
            <w:pPr>
              <w:spacing w:line="260" w:lineRule="atLeast"/>
              <w:jc w:val="center"/>
              <w:rPr>
                <w:rFonts w:hint="eastAsia" w:cs="仿宋" w:asciiTheme="minorEastAsia" w:hAnsiTheme="minorEastAsia"/>
                <w:color w:val="auto"/>
                <w:sz w:val="24"/>
                <w:szCs w:val="24"/>
                <w:highlight w:val="none"/>
              </w:rPr>
            </w:pPr>
          </w:p>
        </w:tc>
      </w:tr>
      <w:tr w14:paraId="3AF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right w:val="single" w:color="auto" w:sz="4" w:space="0"/>
            </w:tcBorders>
            <w:vAlign w:val="center"/>
          </w:tcPr>
          <w:p w14:paraId="3966E1F3">
            <w:pPr>
              <w:spacing w:line="260" w:lineRule="atLeast"/>
              <w:jc w:val="center"/>
              <w:rPr>
                <w:rFonts w:cs="仿宋" w:asciiTheme="minorEastAsia" w:hAnsiTheme="minorEastAsia"/>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A24CB65">
            <w:pPr>
              <w:jc w:val="lef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理赔时效程度</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评委在评审时根据投标人提交的理赔时效速度进行评价给分（4分、3分、2分、1分、0分）。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40B2AC05">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46FEBB05">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543940C2">
            <w:pPr>
              <w:spacing w:line="260" w:lineRule="atLeast"/>
              <w:jc w:val="center"/>
              <w:rPr>
                <w:rFonts w:hint="eastAsia" w:cs="仿宋" w:asciiTheme="minorEastAsia" w:hAnsiTheme="minorEastAsia"/>
                <w:color w:val="auto"/>
                <w:sz w:val="24"/>
                <w:szCs w:val="24"/>
                <w:highlight w:val="none"/>
              </w:rPr>
            </w:pPr>
          </w:p>
        </w:tc>
      </w:tr>
      <w:tr w14:paraId="60A9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0" w:type="dxa"/>
            <w:vMerge w:val="continue"/>
            <w:tcBorders>
              <w:left w:val="single" w:color="auto" w:sz="4" w:space="0"/>
              <w:right w:val="single" w:color="auto" w:sz="4" w:space="0"/>
            </w:tcBorders>
            <w:vAlign w:val="center"/>
          </w:tcPr>
          <w:p w14:paraId="075DD230">
            <w:pPr>
              <w:spacing w:line="260" w:lineRule="atLeast"/>
              <w:jc w:val="center"/>
              <w:rPr>
                <w:rFonts w:cs="仿宋" w:asciiTheme="minorEastAsia" w:hAnsiTheme="minorEastAsia"/>
                <w:color w:val="auto"/>
                <w:sz w:val="24"/>
                <w:szCs w:val="24"/>
                <w:highlight w:val="none"/>
              </w:rPr>
            </w:pPr>
          </w:p>
        </w:tc>
        <w:tc>
          <w:tcPr>
            <w:tcW w:w="5043" w:type="dxa"/>
            <w:tcBorders>
              <w:top w:val="single" w:color="auto" w:sz="4" w:space="0"/>
              <w:left w:val="single" w:color="auto" w:sz="4" w:space="0"/>
              <w:right w:val="single" w:color="auto" w:sz="4" w:space="0"/>
            </w:tcBorders>
            <w:vAlign w:val="center"/>
          </w:tcPr>
          <w:p w14:paraId="53D7B4ED">
            <w:pPr>
              <w:spacing w:line="260" w:lineRule="atLeas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理赔流程方式的方便性及清晰程度</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评委在评审时根据投标人提交的方案内容的完整程度、具体程度、方便性进行评价给分（4分、3分、2分、1分、0分）。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11ACEA1E">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52A16800">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5701ED25">
            <w:pPr>
              <w:spacing w:line="260" w:lineRule="atLeast"/>
              <w:jc w:val="center"/>
              <w:rPr>
                <w:rFonts w:hint="eastAsia" w:cs="仿宋" w:asciiTheme="minorEastAsia" w:hAnsiTheme="minorEastAsia"/>
                <w:color w:val="auto"/>
                <w:sz w:val="24"/>
                <w:szCs w:val="24"/>
                <w:highlight w:val="none"/>
              </w:rPr>
            </w:pPr>
          </w:p>
        </w:tc>
      </w:tr>
      <w:tr w14:paraId="167F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vAlign w:val="center"/>
          </w:tcPr>
          <w:p w14:paraId="22A06A6D">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10</w:t>
            </w:r>
          </w:p>
        </w:tc>
        <w:tc>
          <w:tcPr>
            <w:tcW w:w="5043" w:type="dxa"/>
            <w:tcBorders>
              <w:top w:val="single" w:color="auto" w:sz="4" w:space="0"/>
              <w:left w:val="single" w:color="auto" w:sz="4" w:space="0"/>
              <w:bottom w:val="single" w:color="auto" w:sz="4" w:space="0"/>
              <w:right w:val="single" w:color="auto" w:sz="4" w:space="0"/>
            </w:tcBorders>
            <w:vAlign w:val="center"/>
          </w:tcPr>
          <w:p w14:paraId="488BD433">
            <w:pPr>
              <w:spacing w:line="260" w:lineRule="atLeast"/>
              <w:jc w:val="lef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做好项目的宣传，宣传方案详尽细致，针对本项目情况,对做好保险知识宣传的实施计划、落实人员、时间安排等，确保群众对政策的知晓度</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5A046B98">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01E8DEB3">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5802CF43">
            <w:pPr>
              <w:spacing w:line="260" w:lineRule="atLeast"/>
              <w:jc w:val="center"/>
              <w:rPr>
                <w:rFonts w:hint="eastAsia" w:cs="仿宋" w:asciiTheme="minorEastAsia" w:hAnsiTheme="minorEastAsia"/>
                <w:color w:val="auto"/>
                <w:sz w:val="24"/>
                <w:szCs w:val="24"/>
                <w:highlight w:val="none"/>
              </w:rPr>
            </w:pPr>
          </w:p>
        </w:tc>
      </w:tr>
      <w:tr w14:paraId="3DFC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4C6F9963">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11</w:t>
            </w:r>
          </w:p>
        </w:tc>
        <w:tc>
          <w:tcPr>
            <w:tcW w:w="5043" w:type="dxa"/>
            <w:tcBorders>
              <w:top w:val="single" w:color="auto" w:sz="4" w:space="0"/>
              <w:left w:val="single" w:color="auto" w:sz="4" w:space="0"/>
              <w:bottom w:val="single" w:color="auto" w:sz="4" w:space="0"/>
              <w:right w:val="single" w:color="auto" w:sz="4" w:space="0"/>
            </w:tcBorders>
            <w:vAlign w:val="center"/>
          </w:tcPr>
          <w:p w14:paraId="6859EA7E">
            <w:pPr>
              <w:spacing w:line="260" w:lineRule="atLeast"/>
              <w:jc w:val="lef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投标人提供的保险专业培训服务方案的可行性、合理性及详细程度</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36D3A289">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3FC60A78">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6AC1046C">
            <w:pPr>
              <w:spacing w:line="260" w:lineRule="atLeast"/>
              <w:jc w:val="left"/>
              <w:rPr>
                <w:rFonts w:hint="eastAsia" w:cs="仿宋" w:asciiTheme="minorEastAsia" w:hAnsiTheme="minorEastAsia"/>
                <w:color w:val="auto"/>
                <w:sz w:val="24"/>
                <w:szCs w:val="24"/>
                <w:highlight w:val="none"/>
              </w:rPr>
            </w:pPr>
          </w:p>
        </w:tc>
      </w:tr>
      <w:tr w14:paraId="5D3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585430D9">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12</w:t>
            </w:r>
          </w:p>
        </w:tc>
        <w:tc>
          <w:tcPr>
            <w:tcW w:w="5043" w:type="dxa"/>
            <w:tcBorders>
              <w:top w:val="single" w:color="auto" w:sz="4" w:space="0"/>
              <w:left w:val="single" w:color="auto" w:sz="4" w:space="0"/>
              <w:bottom w:val="single" w:color="auto" w:sz="4" w:space="0"/>
              <w:right w:val="single" w:color="auto" w:sz="4" w:space="0"/>
            </w:tcBorders>
            <w:vAlign w:val="center"/>
          </w:tcPr>
          <w:p w14:paraId="6A027CCB">
            <w:pPr>
              <w:spacing w:line="260" w:lineRule="atLeast"/>
              <w:jc w:val="lef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根据供应商是否有具体保密措施，使被投保人信息资料不被泄露等情况进行打分。（须提供相关承诺函，加盖投标人公章，不提供的或提供不全的不得分）</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评委在评审时根据投标人提交的承诺函内容的完整程度、具体程度、明确程度、合理程度、有效程度进行评价给分（3分、2分、1分、0分）。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49BA8CFC">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7BE58C36">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275E2F4D">
            <w:pPr>
              <w:spacing w:line="260" w:lineRule="atLeast"/>
              <w:jc w:val="left"/>
              <w:rPr>
                <w:rFonts w:hint="eastAsia" w:cs="仿宋" w:asciiTheme="minorEastAsia" w:hAnsiTheme="minorEastAsia"/>
                <w:color w:val="auto"/>
                <w:sz w:val="24"/>
                <w:szCs w:val="24"/>
                <w:highlight w:val="none"/>
              </w:rPr>
            </w:pPr>
          </w:p>
        </w:tc>
      </w:tr>
      <w:tr w14:paraId="7541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right w:val="single" w:color="auto" w:sz="4" w:space="0"/>
            </w:tcBorders>
            <w:vAlign w:val="center"/>
          </w:tcPr>
          <w:p w14:paraId="1C240C1F">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13</w:t>
            </w:r>
          </w:p>
        </w:tc>
        <w:tc>
          <w:tcPr>
            <w:tcW w:w="5043" w:type="dxa"/>
            <w:tcBorders>
              <w:top w:val="single" w:color="auto" w:sz="4" w:space="0"/>
              <w:left w:val="single" w:color="auto" w:sz="4" w:space="0"/>
              <w:bottom w:val="single" w:color="auto" w:sz="4" w:space="0"/>
              <w:right w:val="single" w:color="auto" w:sz="4" w:space="0"/>
            </w:tcBorders>
            <w:vAlign w:val="center"/>
          </w:tcPr>
          <w:p w14:paraId="62DCBB67">
            <w:pPr>
              <w:spacing w:line="260" w:lineRule="atLeas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投标人在本项目服务范围内的服务网点配备情况，每一网点得1分，最高得5分（需提供网点营业执照，不提供不得分）。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2B2F6CB6">
            <w:pPr>
              <w:spacing w:line="260" w:lineRule="atLeas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3D5C5FEE">
            <w:pPr>
              <w:autoSpaceDE w:val="0"/>
              <w:autoSpaceDN w:val="0"/>
              <w:spacing w:line="300" w:lineRule="exact"/>
              <w:rPr>
                <w:rFonts w:hint="eastAsia" w:eastAsia="宋体" w:cs="仿宋" w:asciiTheme="minorEastAsia" w:hAnsiTheme="minorEastAsia"/>
                <w:color w:val="auto"/>
                <w:kern w:val="0"/>
                <w:sz w:val="24"/>
                <w:highlight w:val="none"/>
                <w:lang w:val="en-US" w:eastAsia="zh-CN"/>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662FE1D7">
            <w:pPr>
              <w:spacing w:line="260" w:lineRule="atLeast"/>
              <w:jc w:val="center"/>
              <w:rPr>
                <w:rFonts w:hint="eastAsia" w:cs="仿宋" w:asciiTheme="minorEastAsia" w:hAnsiTheme="minorEastAsia"/>
                <w:color w:val="auto"/>
                <w:sz w:val="24"/>
                <w:szCs w:val="24"/>
                <w:highlight w:val="none"/>
              </w:rPr>
            </w:pPr>
          </w:p>
        </w:tc>
      </w:tr>
      <w:tr w14:paraId="4877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bottom w:val="single" w:color="auto" w:sz="4" w:space="0"/>
              <w:right w:val="single" w:color="auto" w:sz="4" w:space="0"/>
            </w:tcBorders>
            <w:vAlign w:val="center"/>
          </w:tcPr>
          <w:p w14:paraId="1BC6991E">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14</w:t>
            </w:r>
          </w:p>
        </w:tc>
        <w:tc>
          <w:tcPr>
            <w:tcW w:w="5043" w:type="dxa"/>
            <w:tcBorders>
              <w:top w:val="single" w:color="auto" w:sz="4" w:space="0"/>
              <w:left w:val="single" w:color="auto" w:sz="4" w:space="0"/>
              <w:bottom w:val="single" w:color="auto" w:sz="4" w:space="0"/>
              <w:right w:val="single" w:color="auto" w:sz="4" w:space="0"/>
            </w:tcBorders>
            <w:vAlign w:val="center"/>
          </w:tcPr>
          <w:p w14:paraId="79E59ABE">
            <w:pPr>
              <w:spacing w:line="260" w:lineRule="atLeas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针对本项目有充足的技术力量和人力资源安排的配备充足程度</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评委在评审时根据投标人提交的内容的完整程度、具体程度、明确程度、合理程度、有效程度进行评价给分（3分、2分、1分、0分）。</w:t>
            </w:r>
          </w:p>
          <w:p w14:paraId="528DBFAC">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上述人员需在本单位缴纳社保，并提供其社保缴纳证明</w:t>
            </w:r>
            <w:r>
              <w:rPr>
                <w:rFonts w:hint="eastAsia" w:cs="仿宋" w:asciiTheme="minorEastAsia" w:hAnsiTheme="minorEastAsia"/>
                <w:color w:val="auto"/>
                <w:sz w:val="24"/>
                <w:szCs w:val="24"/>
                <w:highlight w:val="none"/>
                <w:lang w:eastAsia="zh-CN"/>
              </w:rPr>
              <w:t>，</w:t>
            </w:r>
            <w:r>
              <w:rPr>
                <w:rFonts w:hint="eastAsia" w:cs="仿宋" w:asciiTheme="minorEastAsia" w:hAnsiTheme="minorEastAsia"/>
                <w:color w:val="auto"/>
                <w:sz w:val="24"/>
                <w:szCs w:val="24"/>
                <w:highlight w:val="none"/>
                <w:lang w:val="en-US" w:eastAsia="zh-CN"/>
              </w:rPr>
              <w:t>未提供社保材料不得分</w:t>
            </w:r>
            <w:r>
              <w:rPr>
                <w:rFonts w:hint="eastAsia" w:cs="仿宋" w:asciiTheme="minorEastAsia" w:hAnsiTheme="minorEastAsia"/>
                <w:color w:val="auto"/>
                <w:sz w:val="24"/>
                <w:szCs w:val="24"/>
                <w:highlight w:val="none"/>
              </w:rPr>
              <w:t>。</w:t>
            </w:r>
          </w:p>
        </w:tc>
        <w:tc>
          <w:tcPr>
            <w:tcW w:w="750" w:type="dxa"/>
            <w:tcBorders>
              <w:top w:val="single" w:color="auto" w:sz="4" w:space="0"/>
              <w:left w:val="single" w:color="auto" w:sz="4" w:space="0"/>
              <w:bottom w:val="single" w:color="auto" w:sz="4" w:space="0"/>
              <w:right w:val="single" w:color="auto" w:sz="4" w:space="0"/>
            </w:tcBorders>
            <w:vAlign w:val="center"/>
          </w:tcPr>
          <w:p w14:paraId="6F7FBE65">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5CF29ED8">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48857CAF">
            <w:pPr>
              <w:spacing w:line="260" w:lineRule="atLeast"/>
              <w:jc w:val="center"/>
              <w:rPr>
                <w:rFonts w:hint="eastAsia" w:cs="仿宋" w:asciiTheme="minorEastAsia" w:hAnsiTheme="minorEastAsia"/>
                <w:color w:val="auto"/>
                <w:sz w:val="24"/>
                <w:szCs w:val="24"/>
                <w:highlight w:val="none"/>
              </w:rPr>
            </w:pPr>
          </w:p>
        </w:tc>
      </w:tr>
      <w:tr w14:paraId="35BF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561F80EC">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15</w:t>
            </w:r>
          </w:p>
        </w:tc>
        <w:tc>
          <w:tcPr>
            <w:tcW w:w="5043" w:type="dxa"/>
            <w:tcBorders>
              <w:top w:val="single" w:color="auto" w:sz="4" w:space="0"/>
              <w:left w:val="single" w:color="auto" w:sz="4" w:space="0"/>
              <w:bottom w:val="single" w:color="auto" w:sz="4" w:space="0"/>
              <w:right w:val="single" w:color="auto" w:sz="4" w:space="0"/>
            </w:tcBorders>
            <w:vAlign w:val="center"/>
          </w:tcPr>
          <w:p w14:paraId="692D0A80">
            <w:pPr>
              <w:spacing w:line="260" w:lineRule="atLeas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投标人提供的投诉监管方案，对投标人在服务期内的发生的问题、提供投诉、监督的有效途径和机制</w:t>
            </w:r>
            <w:r>
              <w:rPr>
                <w:rFonts w:hint="eastAsia" w:cs="仿宋" w:asciiTheme="minorEastAsia" w:hAnsi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08A64D7F">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1F9C5560">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79587F6D">
            <w:pPr>
              <w:spacing w:line="260" w:lineRule="atLeast"/>
              <w:jc w:val="center"/>
              <w:rPr>
                <w:rFonts w:hint="eastAsia" w:cs="仿宋" w:asciiTheme="minorEastAsia" w:hAnsiTheme="minorEastAsia"/>
                <w:color w:val="auto"/>
                <w:sz w:val="24"/>
                <w:szCs w:val="24"/>
                <w:highlight w:val="none"/>
              </w:rPr>
            </w:pPr>
          </w:p>
        </w:tc>
      </w:tr>
      <w:tr w14:paraId="2B7C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02B64CDB">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16</w:t>
            </w:r>
          </w:p>
        </w:tc>
        <w:tc>
          <w:tcPr>
            <w:tcW w:w="5043" w:type="dxa"/>
            <w:tcBorders>
              <w:top w:val="single" w:color="auto" w:sz="4" w:space="0"/>
              <w:left w:val="single" w:color="auto" w:sz="4" w:space="0"/>
              <w:bottom w:val="single" w:color="auto" w:sz="4" w:space="0"/>
              <w:right w:val="single" w:color="auto" w:sz="4" w:space="0"/>
            </w:tcBorders>
            <w:vAlign w:val="center"/>
          </w:tcPr>
          <w:p w14:paraId="0FD68F6E">
            <w:pPr>
              <w:spacing w:line="260" w:lineRule="atLeas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202</w:t>
            </w:r>
            <w:r>
              <w:rPr>
                <w:rFonts w:hint="eastAsia" w:cs="仿宋" w:asciiTheme="minorEastAsia" w:hAnsiTheme="minorEastAsia"/>
                <w:color w:val="auto"/>
                <w:sz w:val="24"/>
                <w:szCs w:val="24"/>
                <w:highlight w:val="none"/>
                <w:lang w:val="en-US" w:eastAsia="zh-CN"/>
              </w:rPr>
              <w:t>1</w:t>
            </w:r>
            <w:r>
              <w:rPr>
                <w:rFonts w:hint="eastAsia" w:cs="仿宋" w:asciiTheme="minorEastAsia" w:hAnsiTheme="minorEastAsia"/>
                <w:color w:val="auto"/>
                <w:sz w:val="24"/>
                <w:szCs w:val="24"/>
                <w:highlight w:val="none"/>
              </w:rPr>
              <w:t>年1月以来，投标人在当地的市场信誉、参与社会公益事业及慈善捐助活动、开展社会捐赠情况及发挥社会责任，有一项得1分，最高5分。（需提供捐赠金额凭证和相关照片）</w:t>
            </w:r>
          </w:p>
        </w:tc>
        <w:tc>
          <w:tcPr>
            <w:tcW w:w="750" w:type="dxa"/>
            <w:tcBorders>
              <w:top w:val="single" w:color="auto" w:sz="4" w:space="0"/>
              <w:left w:val="single" w:color="auto" w:sz="4" w:space="0"/>
              <w:bottom w:val="single" w:color="auto" w:sz="4" w:space="0"/>
              <w:right w:val="single" w:color="auto" w:sz="4" w:space="0"/>
            </w:tcBorders>
            <w:vAlign w:val="center"/>
          </w:tcPr>
          <w:p w14:paraId="54420010">
            <w:pPr>
              <w:spacing w:line="260" w:lineRule="atLeast"/>
              <w:jc w:val="center"/>
              <w:rPr>
                <w:rFonts w:hint="default" w:eastAsia="宋体"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222117E4">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0830D5FD">
            <w:pPr>
              <w:spacing w:line="260" w:lineRule="atLeast"/>
              <w:jc w:val="center"/>
              <w:rPr>
                <w:rFonts w:hint="eastAsia" w:cs="仿宋" w:asciiTheme="minorEastAsia" w:hAnsiTheme="minorEastAsia"/>
                <w:color w:val="auto"/>
                <w:sz w:val="24"/>
                <w:szCs w:val="24"/>
                <w:highlight w:val="none"/>
              </w:rPr>
            </w:pPr>
          </w:p>
        </w:tc>
      </w:tr>
      <w:tr w14:paraId="1E5F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345A736F">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17</w:t>
            </w:r>
          </w:p>
        </w:tc>
        <w:tc>
          <w:tcPr>
            <w:tcW w:w="5043" w:type="dxa"/>
            <w:tcBorders>
              <w:top w:val="single" w:color="auto" w:sz="4" w:space="0"/>
              <w:left w:val="single" w:color="auto" w:sz="4" w:space="0"/>
              <w:bottom w:val="single" w:color="auto" w:sz="4" w:space="0"/>
              <w:right w:val="single" w:color="auto" w:sz="4" w:space="0"/>
            </w:tcBorders>
            <w:vAlign w:val="center"/>
          </w:tcPr>
          <w:p w14:paraId="393E42F4">
            <w:pPr>
              <w:spacing w:line="260" w:lineRule="atLeast"/>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具有较多优惠条款、特色服务及增值服务（比如理赔绿色通道、多渠道理赔通知服务等其他服务项目），每提供一项得1分，最高4分</w:t>
            </w:r>
            <w:r>
              <w:rPr>
                <w:rFonts w:hint="eastAsia" w:cs="仿宋" w:asciiTheme="minorEastAsia" w:hAnsiTheme="minorEastAsia"/>
                <w:color w:val="auto"/>
                <w:sz w:val="24"/>
                <w:szCs w:val="24"/>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83D1DAF">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6CEAA716">
            <w:pPr>
              <w:autoSpaceDE w:val="0"/>
              <w:autoSpaceDN w:val="0"/>
              <w:spacing w:line="300" w:lineRule="exact"/>
              <w:rPr>
                <w:rFonts w:hint="eastAsia" w:eastAsia="宋体" w:cs="仿宋" w:asciiTheme="minorEastAsia" w:hAnsiTheme="minorEastAsia"/>
                <w:color w:val="auto"/>
                <w:kern w:val="0"/>
                <w:sz w:val="24"/>
                <w:highlight w:val="none"/>
                <w:lang w:val="en-US" w:eastAsia="zh-CN"/>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50DD55B7">
            <w:pPr>
              <w:spacing w:line="260" w:lineRule="atLeast"/>
              <w:jc w:val="center"/>
              <w:rPr>
                <w:rFonts w:hint="eastAsia" w:cs="仿宋" w:asciiTheme="minorEastAsia" w:hAnsiTheme="minorEastAsia"/>
                <w:color w:val="auto"/>
                <w:sz w:val="24"/>
                <w:szCs w:val="24"/>
                <w:highlight w:val="none"/>
              </w:rPr>
            </w:pPr>
          </w:p>
        </w:tc>
      </w:tr>
      <w:tr w14:paraId="0084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0" w:type="dxa"/>
            <w:vMerge w:val="restart"/>
            <w:tcBorders>
              <w:top w:val="single" w:color="auto" w:sz="4" w:space="0"/>
              <w:left w:val="single" w:color="auto" w:sz="4" w:space="0"/>
              <w:right w:val="single" w:color="auto" w:sz="4" w:space="0"/>
            </w:tcBorders>
            <w:vAlign w:val="center"/>
          </w:tcPr>
          <w:p w14:paraId="6E89AAC7">
            <w:pPr>
              <w:spacing w:line="260" w:lineRule="atLeast"/>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18</w:t>
            </w:r>
          </w:p>
        </w:tc>
        <w:tc>
          <w:tcPr>
            <w:tcW w:w="5043" w:type="dxa"/>
            <w:tcBorders>
              <w:top w:val="single" w:color="auto" w:sz="4" w:space="0"/>
              <w:left w:val="single" w:color="auto" w:sz="4" w:space="0"/>
              <w:bottom w:val="single" w:color="auto" w:sz="4" w:space="0"/>
              <w:right w:val="single" w:color="auto" w:sz="4" w:space="0"/>
            </w:tcBorders>
            <w:vAlign w:val="center"/>
          </w:tcPr>
          <w:p w14:paraId="769624C9">
            <w:pPr>
              <w:spacing w:line="260" w:lineRule="atLeast"/>
              <w:rPr>
                <w:rFonts w:hint="default" w:cs="仿宋" w:asciiTheme="minorEastAsia" w:hAnsiTheme="minorEastAsia"/>
                <w:color w:val="auto"/>
                <w:sz w:val="24"/>
                <w:szCs w:val="24"/>
                <w:highlight w:val="none"/>
                <w:lang w:val="en-US"/>
              </w:rPr>
            </w:pPr>
            <w:r>
              <w:rPr>
                <w:rFonts w:hint="eastAsia" w:cs="仿宋" w:asciiTheme="minorEastAsia" w:hAnsiTheme="minorEastAsia"/>
                <w:color w:val="auto"/>
                <w:sz w:val="24"/>
                <w:szCs w:val="24"/>
                <w:highlight w:val="none"/>
              </w:rPr>
              <w:t>投标文件编制完整，格式规范、内容齐全、表达准确、条理清晰、内容无前后矛盾，符合招标文件要求</w:t>
            </w:r>
            <w:r>
              <w:rPr>
                <w:rFonts w:hint="eastAsia" w:cs="仿宋" w:asciiTheme="minorEastAsia" w:hAnsiTheme="minorEastAsia"/>
                <w:color w:val="auto"/>
                <w:sz w:val="24"/>
                <w:szCs w:val="24"/>
                <w:highlight w:val="none"/>
                <w:lang w:val="en-US" w:eastAsia="zh-CN"/>
              </w:rPr>
              <w:t>的得0-2分。</w:t>
            </w:r>
          </w:p>
        </w:tc>
        <w:tc>
          <w:tcPr>
            <w:tcW w:w="750" w:type="dxa"/>
            <w:tcBorders>
              <w:top w:val="single" w:color="auto" w:sz="4" w:space="0"/>
              <w:left w:val="single" w:color="auto" w:sz="4" w:space="0"/>
              <w:bottom w:val="single" w:color="auto" w:sz="4" w:space="0"/>
              <w:right w:val="single" w:color="auto" w:sz="4" w:space="0"/>
            </w:tcBorders>
            <w:vAlign w:val="center"/>
          </w:tcPr>
          <w:p w14:paraId="66148FE4">
            <w:pPr>
              <w:spacing w:line="260" w:lineRule="atLeast"/>
              <w:jc w:val="center"/>
              <w:rPr>
                <w:rFonts w:hint="eastAsia" w:eastAsia="宋体"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14:paraId="3E4446EB">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6607C911">
            <w:pPr>
              <w:spacing w:line="260" w:lineRule="atLeast"/>
              <w:jc w:val="center"/>
              <w:rPr>
                <w:rFonts w:hint="eastAsia" w:cs="仿宋" w:asciiTheme="minorEastAsia" w:hAnsiTheme="minorEastAsia"/>
                <w:color w:val="auto"/>
                <w:sz w:val="24"/>
                <w:szCs w:val="24"/>
                <w:highlight w:val="none"/>
              </w:rPr>
            </w:pPr>
          </w:p>
        </w:tc>
      </w:tr>
      <w:tr w14:paraId="013A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bottom w:val="single" w:color="auto" w:sz="4" w:space="0"/>
              <w:right w:val="single" w:color="auto" w:sz="4" w:space="0"/>
            </w:tcBorders>
            <w:vAlign w:val="center"/>
          </w:tcPr>
          <w:p w14:paraId="542A131C">
            <w:pPr>
              <w:spacing w:line="260" w:lineRule="atLeast"/>
              <w:jc w:val="center"/>
              <w:rPr>
                <w:rFonts w:cs="仿宋" w:asciiTheme="minorEastAsia" w:hAnsiTheme="minorEastAsia"/>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EFB80EE">
            <w:pPr>
              <w:spacing w:line="260" w:lineRule="atLeast"/>
              <w:rPr>
                <w:rFonts w:cs="仿宋" w:asciiTheme="minorEastAsia" w:hAnsiTheme="minorEastAsia"/>
                <w:color w:val="auto"/>
                <w:sz w:val="24"/>
                <w:szCs w:val="24"/>
                <w:highlight w:val="none"/>
              </w:rPr>
            </w:pPr>
            <w:bookmarkStart w:id="420" w:name="_GoBack"/>
            <w:r>
              <w:rPr>
                <w:rFonts w:hint="eastAsia" w:cs="仿宋" w:asciiTheme="minorEastAsia" w:hAnsiTheme="minorEastAsia"/>
                <w:color w:val="auto"/>
                <w:sz w:val="24"/>
                <w:szCs w:val="24"/>
                <w:highlight w:val="none"/>
              </w:rPr>
              <w:t>电子化投标文件与招标文件的评分标准一一对应，关联定位明晰，准确。定位不明晰，准确的，一处扣0.5分，扣完为止。（0-2分）</w:t>
            </w:r>
            <w:bookmarkEnd w:id="420"/>
          </w:p>
        </w:tc>
        <w:tc>
          <w:tcPr>
            <w:tcW w:w="750" w:type="dxa"/>
            <w:tcBorders>
              <w:top w:val="single" w:color="auto" w:sz="4" w:space="0"/>
              <w:left w:val="single" w:color="auto" w:sz="4" w:space="0"/>
              <w:bottom w:val="single" w:color="auto" w:sz="4" w:space="0"/>
              <w:right w:val="single" w:color="auto" w:sz="4" w:space="0"/>
            </w:tcBorders>
            <w:vAlign w:val="center"/>
          </w:tcPr>
          <w:p w14:paraId="636E3CE8">
            <w:pPr>
              <w:spacing w:line="260" w:lineRule="atLeast"/>
              <w:jc w:val="center"/>
              <w:rPr>
                <w:rFonts w:hint="default" w:eastAsia="宋体"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14:paraId="46C6029C">
            <w:pPr>
              <w:autoSpaceDE w:val="0"/>
              <w:autoSpaceDN w:val="0"/>
              <w:spacing w:line="300" w:lineRule="exact"/>
              <w:rPr>
                <w:rFonts w:hint="eastAsia" w:eastAsia="宋体" w:cs="仿宋" w:asciiTheme="minorEastAsia" w:hAnsiTheme="minorEastAsia"/>
                <w:color w:val="auto"/>
                <w:kern w:val="0"/>
                <w:sz w:val="24"/>
                <w:highlight w:val="none"/>
              </w:rPr>
            </w:pPr>
            <w:r>
              <w:rPr>
                <w:rFonts w:hint="eastAsia" w:eastAsia="宋体" w:cs="仿宋" w:asciiTheme="minorEastAsia" w:hAnsiTheme="minorEastAsia"/>
                <w:color w:val="auto"/>
                <w:kern w:val="0"/>
                <w:sz w:val="24"/>
                <w:highlight w:val="none"/>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030A06CB">
            <w:pPr>
              <w:spacing w:line="260" w:lineRule="atLeast"/>
              <w:jc w:val="center"/>
              <w:rPr>
                <w:rFonts w:hint="eastAsia" w:cs="仿宋" w:asciiTheme="minorEastAsia" w:hAnsiTheme="minorEastAsia"/>
                <w:color w:val="auto"/>
                <w:sz w:val="24"/>
                <w:szCs w:val="24"/>
                <w:highlight w:val="none"/>
              </w:rPr>
            </w:pPr>
          </w:p>
        </w:tc>
      </w:tr>
    </w:tbl>
    <w:p w14:paraId="21875354">
      <w:pPr>
        <w:rPr>
          <w:color w:val="auto"/>
          <w:highlight w:val="none"/>
        </w:rPr>
      </w:pPr>
    </w:p>
    <w:p w14:paraId="6FB7197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88C20A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A073A5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361F3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B814C2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65A26B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080588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3027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495CA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F4359E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73D35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2F0977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8E835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DEDEC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0D752F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CE288D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BF54B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973DA1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5F66F3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44161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63873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8E526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2E501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D2068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07B3704">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C4251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36E71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3A941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B876C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6EE35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7EE9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D6FE6B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C0A2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C3C41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E627F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E727D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8D9163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AC2FE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3451EB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6DDAD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4DD3FC8">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4B023DC">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5329FFB">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F1BA46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D819E2E">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C914D01">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18B4484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87E3C4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579E8D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40D605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0370336">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FE2D8B2">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EC57086">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5E7216D">
      <w:pPr>
        <w:pStyle w:val="24"/>
        <w:snapToGrid w:val="0"/>
        <w:spacing w:line="360" w:lineRule="auto"/>
        <w:ind w:firstLine="0" w:firstLineChars="0"/>
        <w:rPr>
          <w:rFonts w:cs="宋体"/>
          <w:color w:val="auto"/>
          <w:highlight w:val="none"/>
        </w:rPr>
      </w:pPr>
    </w:p>
    <w:bookmarkEnd w:id="27"/>
    <w:p w14:paraId="50D009FF">
      <w:pPr>
        <w:spacing w:line="360" w:lineRule="auto"/>
        <w:ind w:left="720" w:leftChars="343" w:firstLine="1084" w:firstLineChars="300"/>
        <w:outlineLvl w:val="0"/>
        <w:rPr>
          <w:rFonts w:ascii="宋体" w:hAnsi="宋体" w:cs="宋体"/>
          <w:b/>
          <w:color w:val="auto"/>
          <w:sz w:val="36"/>
          <w:szCs w:val="36"/>
          <w:highlight w:val="none"/>
        </w:rPr>
      </w:pPr>
      <w:bookmarkStart w:id="402" w:name="第五部分"/>
      <w:bookmarkStart w:id="403" w:name="_Toc86217003"/>
    </w:p>
    <w:p w14:paraId="54A55B6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38C37A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16EB93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06D29F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8C55B00">
      <w:pPr>
        <w:spacing w:line="480" w:lineRule="auto"/>
        <w:jc w:val="center"/>
        <w:rPr>
          <w:rFonts w:ascii="宋体" w:hAnsi="宋体" w:cs="宋体"/>
          <w:b/>
          <w:color w:val="auto"/>
          <w:sz w:val="28"/>
          <w:szCs w:val="28"/>
          <w:highlight w:val="none"/>
        </w:rPr>
      </w:pPr>
    </w:p>
    <w:p w14:paraId="62F89BA1">
      <w:pPr>
        <w:spacing w:line="480" w:lineRule="auto"/>
        <w:jc w:val="center"/>
        <w:rPr>
          <w:rFonts w:ascii="宋体" w:hAnsi="宋体" w:cs="宋体"/>
          <w:b/>
          <w:color w:val="auto"/>
          <w:sz w:val="24"/>
          <w:highlight w:val="none"/>
        </w:rPr>
      </w:pPr>
    </w:p>
    <w:p w14:paraId="3CD14184">
      <w:pPr>
        <w:spacing w:line="480" w:lineRule="auto"/>
        <w:jc w:val="center"/>
        <w:rPr>
          <w:rFonts w:ascii="宋体" w:hAnsi="宋体" w:cs="宋体"/>
          <w:b/>
          <w:color w:val="auto"/>
          <w:sz w:val="24"/>
          <w:highlight w:val="none"/>
        </w:rPr>
      </w:pPr>
    </w:p>
    <w:p w14:paraId="7E82EDE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C28AD8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043A599">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04D1CFF">
      <w:pPr>
        <w:spacing w:before="120" w:line="22" w:lineRule="atLeast"/>
        <w:rPr>
          <w:rFonts w:ascii="宋体" w:hAnsi="宋体" w:cs="宋体"/>
          <w:color w:val="auto"/>
          <w:sz w:val="24"/>
          <w:highlight w:val="none"/>
        </w:rPr>
      </w:pPr>
    </w:p>
    <w:p w14:paraId="68D62B9F">
      <w:pPr>
        <w:pStyle w:val="2"/>
        <w:rPr>
          <w:color w:val="auto"/>
          <w:highlight w:val="none"/>
        </w:rPr>
      </w:pPr>
    </w:p>
    <w:p w14:paraId="2889588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Theme="minorEastAsia" w:hAnsiTheme="minorEastAsia"/>
          <w:color w:val="auto"/>
          <w:sz w:val="24"/>
          <w:highlight w:val="none"/>
          <w:u w:val="single"/>
          <w:lang w:eastAsia="zh-CN"/>
        </w:rPr>
        <w:t>杭州市上城区计划生育协会2025年计生系列保险项目</w:t>
      </w:r>
      <w:r>
        <w:rPr>
          <w:rFonts w:hint="eastAsia" w:ascii="宋体" w:hAnsi="宋体" w:cs="宋体"/>
          <w:color w:val="auto"/>
          <w:sz w:val="24"/>
          <w:highlight w:val="none"/>
          <w:u w:val="single"/>
        </w:rPr>
        <w:t xml:space="preserve">          </w:t>
      </w:r>
    </w:p>
    <w:p w14:paraId="45DB7CED">
      <w:pPr>
        <w:pStyle w:val="596"/>
        <w:spacing w:before="120" w:line="22" w:lineRule="atLeast"/>
        <w:rPr>
          <w:rFonts w:ascii="宋体" w:hAnsi="宋体" w:eastAsia="宋体" w:cs="宋体"/>
          <w:color w:val="auto"/>
          <w:szCs w:val="24"/>
          <w:highlight w:val="none"/>
        </w:rPr>
      </w:pPr>
    </w:p>
    <w:p w14:paraId="75DE6D73">
      <w:pPr>
        <w:pStyle w:val="596"/>
        <w:spacing w:before="120" w:line="22" w:lineRule="atLeast"/>
        <w:rPr>
          <w:rFonts w:ascii="宋体" w:hAnsi="宋体" w:eastAsia="宋体" w:cs="宋体"/>
          <w:color w:val="auto"/>
          <w:szCs w:val="24"/>
          <w:highlight w:val="none"/>
        </w:rPr>
      </w:pPr>
    </w:p>
    <w:p w14:paraId="62C1CFC4">
      <w:pPr>
        <w:rPr>
          <w:rFonts w:ascii="宋体" w:hAnsi="宋体" w:cs="宋体"/>
          <w:color w:val="auto"/>
          <w:sz w:val="24"/>
          <w:highlight w:val="none"/>
        </w:rPr>
      </w:pPr>
    </w:p>
    <w:p w14:paraId="21B3278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asciiTheme="minorEastAsia" w:hAnsiTheme="minorEastAsia"/>
          <w:color w:val="auto"/>
          <w:sz w:val="24"/>
          <w:highlight w:val="none"/>
          <w:u w:val="single"/>
        </w:rPr>
        <w:t>杭州市上城区计划生育协会</w:t>
      </w:r>
      <w:r>
        <w:rPr>
          <w:rFonts w:hint="eastAsia" w:ascii="宋体" w:hAnsi="宋体" w:cs="宋体"/>
          <w:color w:val="auto"/>
          <w:sz w:val="24"/>
          <w:highlight w:val="none"/>
          <w:u w:val="single"/>
        </w:rPr>
        <w:t xml:space="preserve">            </w:t>
      </w:r>
    </w:p>
    <w:p w14:paraId="79F0DC76">
      <w:pPr>
        <w:spacing w:before="120" w:line="22" w:lineRule="atLeast"/>
        <w:rPr>
          <w:rFonts w:ascii="宋体" w:hAnsi="宋体" w:cs="宋体"/>
          <w:color w:val="auto"/>
          <w:sz w:val="24"/>
          <w:highlight w:val="none"/>
        </w:rPr>
      </w:pPr>
    </w:p>
    <w:p w14:paraId="6190DF6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5683614">
      <w:pPr>
        <w:spacing w:before="120" w:line="22" w:lineRule="atLeast"/>
        <w:rPr>
          <w:rFonts w:ascii="宋体" w:hAnsi="宋体" w:cs="宋体"/>
          <w:color w:val="auto"/>
          <w:sz w:val="24"/>
          <w:highlight w:val="none"/>
        </w:rPr>
      </w:pPr>
    </w:p>
    <w:p w14:paraId="70BEEAA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9D6D2E1">
      <w:pPr>
        <w:spacing w:before="120" w:line="22" w:lineRule="atLeast"/>
        <w:rPr>
          <w:rFonts w:ascii="宋体" w:hAnsi="宋体" w:cs="宋体"/>
          <w:color w:val="auto"/>
          <w:sz w:val="24"/>
          <w:highlight w:val="none"/>
        </w:rPr>
      </w:pPr>
    </w:p>
    <w:p w14:paraId="16A8397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2696D3">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C7AEFEA">
      <w:pPr>
        <w:spacing w:line="560" w:lineRule="exact"/>
        <w:ind w:firstLine="480" w:firstLineChars="200"/>
        <w:rPr>
          <w:rFonts w:cs="Times New Roman" w:asciiTheme="minorEastAsia" w:hAnsiTheme="minorEastAsia"/>
          <w:color w:val="auto"/>
          <w:sz w:val="24"/>
          <w:highlight w:val="none"/>
        </w:rPr>
      </w:pPr>
      <w:bookmarkStart w:id="404" w:name="_Toc331685784"/>
      <w:r>
        <w:rPr>
          <w:rFonts w:hint="eastAsia" w:asciiTheme="minorEastAsia" w:hAnsiTheme="minorEastAsia"/>
          <w:color w:val="auto"/>
          <w:sz w:val="24"/>
          <w:highlight w:val="none"/>
          <w:u w:val="single"/>
          <w:lang w:val="zh-CN"/>
        </w:rPr>
        <w:t xml:space="preserve">        </w:t>
      </w:r>
      <w:r>
        <w:rPr>
          <w:rFonts w:hint="eastAsia" w:asciiTheme="minorEastAsia" w:hAnsiTheme="minorEastAsia"/>
          <w:color w:val="auto"/>
          <w:sz w:val="24"/>
          <w:highlight w:val="none"/>
          <w:lang w:val="zh-CN"/>
        </w:rPr>
        <w:t>年</w:t>
      </w:r>
      <w:r>
        <w:rPr>
          <w:rFonts w:hint="eastAsia" w:asciiTheme="minorEastAsia" w:hAnsiTheme="minorEastAsia"/>
          <w:color w:val="auto"/>
          <w:sz w:val="24"/>
          <w:highlight w:val="none"/>
          <w:u w:val="single"/>
          <w:lang w:val="zh-CN"/>
        </w:rPr>
        <w:t xml:space="preserve">    </w:t>
      </w:r>
      <w:r>
        <w:rPr>
          <w:rFonts w:hint="eastAsia" w:asciiTheme="minorEastAsia" w:hAnsiTheme="minorEastAsia"/>
          <w:color w:val="auto"/>
          <w:sz w:val="24"/>
          <w:highlight w:val="none"/>
          <w:lang w:val="zh-CN"/>
        </w:rPr>
        <w:t>月</w:t>
      </w:r>
      <w:r>
        <w:rPr>
          <w:rFonts w:hint="eastAsia" w:asciiTheme="minorEastAsia" w:hAnsiTheme="minorEastAsia"/>
          <w:color w:val="auto"/>
          <w:sz w:val="24"/>
          <w:highlight w:val="none"/>
          <w:u w:val="single"/>
          <w:lang w:val="zh-CN"/>
        </w:rPr>
        <w:t xml:space="preserve">    </w:t>
      </w:r>
      <w:r>
        <w:rPr>
          <w:rFonts w:hint="eastAsia" w:asciiTheme="minorEastAsia" w:hAnsiTheme="minorEastAsia"/>
          <w:color w:val="auto"/>
          <w:sz w:val="24"/>
          <w:highlight w:val="none"/>
          <w:lang w:val="zh-CN"/>
        </w:rPr>
        <w:t>日</w:t>
      </w:r>
      <w:r>
        <w:rPr>
          <w:rFonts w:hint="eastAsia" w:asciiTheme="minorEastAsia" w:hAnsiTheme="minorEastAsia"/>
          <w:color w:val="auto"/>
          <w:sz w:val="24"/>
          <w:highlight w:val="none"/>
        </w:rPr>
        <w:t>，</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杭州市上城区计划生育协会</w:t>
      </w:r>
      <w:r>
        <w:rPr>
          <w:rFonts w:asciiTheme="minorEastAsia" w:hAnsiTheme="minorEastAsia"/>
          <w:color w:val="auto"/>
          <w:sz w:val="27"/>
          <w:szCs w:val="27"/>
          <w:highlight w:val="none"/>
        </w:rPr>
        <w:t>  </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以</w:t>
      </w:r>
      <w:r>
        <w:rPr>
          <w:rFonts w:hint="eastAsia" w:asciiTheme="minorEastAsia" w:hAnsiTheme="minorEastAsia"/>
          <w:color w:val="auto"/>
          <w:sz w:val="24"/>
          <w:highlight w:val="none"/>
          <w:u w:val="single"/>
        </w:rPr>
        <w:t xml:space="preserve">   （政府采购方式）  </w:t>
      </w:r>
      <w:r>
        <w:rPr>
          <w:rFonts w:hint="eastAsia" w:asciiTheme="minorEastAsia" w:hAnsiTheme="minorEastAsia"/>
          <w:color w:val="auto"/>
          <w:sz w:val="24"/>
          <w:highlight w:val="none"/>
        </w:rPr>
        <w:t>对</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lang w:val="en-US" w:eastAsia="zh-CN"/>
        </w:rPr>
        <w:t xml:space="preserve"> </w:t>
      </w:r>
      <w:r>
        <w:rPr>
          <w:rFonts w:hint="eastAsia" w:asciiTheme="minorEastAsia" w:hAnsiTheme="minorEastAsia"/>
          <w:color w:val="auto"/>
          <w:sz w:val="24"/>
          <w:highlight w:val="none"/>
          <w:u w:val="single"/>
          <w:lang w:eastAsia="zh-CN"/>
        </w:rPr>
        <w:t>杭州市上城区计划生育协会2025年计生系列保险项目</w:t>
      </w:r>
      <w:r>
        <w:rPr>
          <w:rFonts w:hint="eastAsia"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项目进行了采购。经</w:t>
      </w:r>
      <w:r>
        <w:rPr>
          <w:rFonts w:hint="eastAsia" w:asciiTheme="minorEastAsia" w:hAnsiTheme="minorEastAsia"/>
          <w:color w:val="auto"/>
          <w:sz w:val="24"/>
          <w:highlight w:val="none"/>
          <w:u w:val="single"/>
        </w:rPr>
        <w:t xml:space="preserve">   （相关评定主体名称）   </w:t>
      </w:r>
      <w:r>
        <w:rPr>
          <w:rFonts w:hint="eastAsia" w:asciiTheme="minorEastAsia" w:hAnsiTheme="minorEastAsia"/>
          <w:color w:val="auto"/>
          <w:sz w:val="24"/>
          <w:highlight w:val="none"/>
        </w:rPr>
        <w:t>评定，</w:t>
      </w:r>
      <w:r>
        <w:rPr>
          <w:rFonts w:hint="eastAsia" w:asciiTheme="minorEastAsia" w:hAnsiTheme="minorEastAsia"/>
          <w:color w:val="auto"/>
          <w:sz w:val="24"/>
          <w:highlight w:val="none"/>
          <w:u w:val="single"/>
        </w:rPr>
        <w:t xml:space="preserve">   （中标或者成交供应商名称） </w:t>
      </w:r>
      <w:r>
        <w:rPr>
          <w:rFonts w:hint="eastAsia" w:asciiTheme="minorEastAsia" w:hAnsiTheme="minorEastAsia"/>
          <w:color w:val="auto"/>
          <w:sz w:val="24"/>
          <w:highlight w:val="none"/>
        </w:rPr>
        <w:t>为该项目</w:t>
      </w:r>
      <w:r>
        <w:rPr>
          <w:rFonts w:hint="eastAsia" w:cs="宋体" w:asciiTheme="minorEastAsia" w:hAnsiTheme="minorEastAsia"/>
          <w:color w:val="auto"/>
          <w:sz w:val="24"/>
          <w:highlight w:val="none"/>
        </w:rPr>
        <w:t>中标或者成交供应商</w:t>
      </w:r>
      <w:r>
        <w:rPr>
          <w:rFonts w:hint="eastAsia" w:asciiTheme="minorEastAsia" w:hAnsiTheme="minorEastAsia"/>
          <w:color w:val="auto"/>
          <w:sz w:val="24"/>
          <w:highlight w:val="none"/>
        </w:rPr>
        <w:t>。现于</w:t>
      </w:r>
      <w:r>
        <w:rPr>
          <w:rFonts w:hint="eastAsia" w:cs="宋体" w:asciiTheme="minorEastAsia" w:hAnsiTheme="minorEastAsia"/>
          <w:color w:val="auto"/>
          <w:sz w:val="24"/>
          <w:highlight w:val="none"/>
        </w:rPr>
        <w:t>中标或者成交通知书</w:t>
      </w:r>
      <w:r>
        <w:rPr>
          <w:rFonts w:hint="eastAsia" w:asciiTheme="minorEastAsia" w:hAnsiTheme="minorEastAsia"/>
          <w:color w:val="auto"/>
          <w:sz w:val="24"/>
          <w:highlight w:val="none"/>
        </w:rPr>
        <w:t>发出之日起20个工作日内，按照采购文件确定的事项签订本合同。</w:t>
      </w:r>
    </w:p>
    <w:p w14:paraId="4E09D92B">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杭州市上城区计划生育协会</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lang w:val="zh-CN"/>
        </w:rPr>
        <w:t>(以下简称：甲方)和</w:t>
      </w:r>
      <w:r>
        <w:rPr>
          <w:rFonts w:hint="eastAsia" w:asciiTheme="minorEastAsia" w:hAnsiTheme="minorEastAsia"/>
          <w:color w:val="auto"/>
          <w:sz w:val="24"/>
          <w:highlight w:val="none"/>
          <w:u w:val="single"/>
        </w:rPr>
        <w:t xml:space="preserve">   （中或者成交标供应商名称）   </w:t>
      </w:r>
      <w:r>
        <w:rPr>
          <w:rFonts w:hint="eastAsia" w:asciiTheme="minorEastAsia" w:hAnsiTheme="minorEastAsia"/>
          <w:color w:val="auto"/>
          <w:sz w:val="24"/>
          <w:highlight w:val="none"/>
          <w:lang w:val="zh-CN"/>
        </w:rPr>
        <w:t>(以下简称：乙方)协商一致，约定以下合同</w:t>
      </w:r>
      <w:r>
        <w:rPr>
          <w:rFonts w:hint="eastAsia" w:asciiTheme="minorEastAsia" w:hAnsiTheme="minorEastAsia"/>
          <w:color w:val="auto"/>
          <w:sz w:val="24"/>
          <w:highlight w:val="none"/>
        </w:rPr>
        <w:t>条款，以兹共同遵守、全面履行。</w:t>
      </w:r>
    </w:p>
    <w:p w14:paraId="4561121C">
      <w:pPr>
        <w:spacing w:line="560" w:lineRule="exact"/>
        <w:ind w:firstLine="482" w:firstLineChars="200"/>
        <w:outlineLvl w:val="0"/>
        <w:rPr>
          <w:rFonts w:asciiTheme="minorEastAsia" w:hAnsiTheme="minorEastAsia"/>
          <w:color w:val="auto"/>
          <w:sz w:val="24"/>
          <w:highlight w:val="none"/>
        </w:rPr>
      </w:pPr>
      <w:bookmarkStart w:id="405" w:name="_Toc20421"/>
      <w:bookmarkStart w:id="406" w:name="_Toc28855"/>
      <w:bookmarkStart w:id="407" w:name="_Toc15367"/>
      <w:bookmarkStart w:id="408" w:name="_Toc19273"/>
      <w:bookmarkStart w:id="409" w:name="_Toc22967"/>
      <w:r>
        <w:rPr>
          <w:rFonts w:hint="eastAsia" w:asciiTheme="minorEastAsia" w:hAnsiTheme="minorEastAsia"/>
          <w:b/>
          <w:color w:val="auto"/>
          <w:sz w:val="24"/>
          <w:highlight w:val="none"/>
        </w:rPr>
        <w:t>一．合同组成部分</w:t>
      </w:r>
      <w:bookmarkEnd w:id="405"/>
      <w:bookmarkEnd w:id="406"/>
      <w:bookmarkEnd w:id="407"/>
      <w:bookmarkEnd w:id="408"/>
      <w:bookmarkEnd w:id="409"/>
    </w:p>
    <w:p w14:paraId="0735A508">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DA4790">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1.1.1 本合同及其补充合同、变更协议；</w:t>
      </w:r>
    </w:p>
    <w:p w14:paraId="78E4E30E">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1.1.2 中标或者成交通知书；</w:t>
      </w:r>
    </w:p>
    <w:p w14:paraId="037C93FC">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1.1.3 投标或者响应文件（含澄清或者说明文件）；</w:t>
      </w:r>
    </w:p>
    <w:p w14:paraId="6B521021">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1.1.4 采购文件（含澄清或者修改文件）；</w:t>
      </w:r>
    </w:p>
    <w:p w14:paraId="70F57BA0">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1.1.5 其他相关采购文件。</w:t>
      </w:r>
    </w:p>
    <w:p w14:paraId="166D0019">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 xml:space="preserve">定义 </w:t>
      </w:r>
    </w:p>
    <w:p w14:paraId="48E21D9A">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本合同中的下列术语应解释为：</w:t>
      </w:r>
    </w:p>
    <w:p w14:paraId="7E58C54C">
      <w:pPr>
        <w:spacing w:line="360" w:lineRule="auto"/>
        <w:ind w:firstLine="484" w:firstLineChars="202"/>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1.“合同”系指甲方与乙方签署的合同条款及格式中载明的甲方与乙方所达成的协议，包括所有的附件、附录和构成合同的所有文件。</w:t>
      </w:r>
    </w:p>
    <w:p w14:paraId="3B1853F5">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2.“服务”系指根据合同规定乙方应承担的义务及相关的后续服务，如限时理赔和其他类似的乙方应承担的义务。</w:t>
      </w:r>
    </w:p>
    <w:p w14:paraId="62632365">
      <w:pPr>
        <w:spacing w:line="360" w:lineRule="auto"/>
        <w:ind w:firstLine="484" w:firstLineChars="202"/>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3.“甲方”即“采购人”，系指杭州市上城区计划生育协会。</w:t>
      </w:r>
    </w:p>
    <w:p w14:paraId="3BC3E60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4.“乙方”即“投标方”，系指为杭州市上城区计划生育协会的独生子女家庭、计划生育特殊家庭保险提供承保服务的保险机构。</w:t>
      </w:r>
    </w:p>
    <w:p w14:paraId="245F37D5">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5.“被保险人”系指杭州市</w:t>
      </w:r>
      <w:r>
        <w:rPr>
          <w:rFonts w:hint="eastAsia" w:asciiTheme="minorEastAsia" w:hAnsiTheme="minorEastAsia"/>
          <w:color w:val="auto"/>
          <w:sz w:val="24"/>
          <w:szCs w:val="24"/>
          <w:highlight w:val="none"/>
        </w:rPr>
        <w:t>上城区</w:t>
      </w:r>
      <w:r>
        <w:rPr>
          <w:rFonts w:hint="eastAsia" w:cs="仿宋_GB2312" w:asciiTheme="minorEastAsia" w:hAnsiTheme="minorEastAsia"/>
          <w:color w:val="auto"/>
          <w:sz w:val="24"/>
          <w:szCs w:val="24"/>
          <w:highlight w:val="none"/>
        </w:rPr>
        <w:t>辖区的独生子女家庭、计划生育特殊家庭。</w:t>
      </w:r>
    </w:p>
    <w:p w14:paraId="5F33BF7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6.“保险费”系指乙方收取甲方支付本项目的保险服务费。</w:t>
      </w:r>
    </w:p>
    <w:p w14:paraId="36D32BF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7.“赔偿金”系指乙方根据被保险人按规定的保险待遇支付的赔偿费用。 </w:t>
      </w:r>
    </w:p>
    <w:p w14:paraId="523BE7B7">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 xml:space="preserve">服务范围、承接保险期限 </w:t>
      </w:r>
    </w:p>
    <w:p w14:paraId="18F922A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1.本合同服务范围为杭州市</w:t>
      </w:r>
      <w:r>
        <w:rPr>
          <w:rFonts w:hint="eastAsia" w:asciiTheme="minorEastAsia" w:hAnsiTheme="minorEastAsia"/>
          <w:color w:val="auto"/>
          <w:sz w:val="24"/>
          <w:szCs w:val="24"/>
          <w:highlight w:val="none"/>
        </w:rPr>
        <w:t>上城区</w:t>
      </w:r>
      <w:r>
        <w:rPr>
          <w:rFonts w:hint="eastAsia" w:cs="仿宋_GB2312" w:asciiTheme="minorEastAsia" w:hAnsiTheme="minorEastAsia"/>
          <w:color w:val="auto"/>
          <w:sz w:val="24"/>
          <w:szCs w:val="24"/>
          <w:highlight w:val="none"/>
        </w:rPr>
        <w:t>独生子女家庭、计划生育特殊家庭保险承保服务。乙方的服务范围包括但不限于以下内容：</w:t>
      </w:r>
    </w:p>
    <w:p w14:paraId="3D18840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（1）保证投保方获得优先服务的权利，根据投保方的通知及时签定保险单。</w:t>
      </w:r>
    </w:p>
    <w:p w14:paraId="2E0466D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（2）保险公司应设有24小时全天报案服务电话，并设专人受理索赔接、报案。</w:t>
      </w:r>
    </w:p>
    <w:p w14:paraId="103FBC74">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（3）保险公司应对投保方提供出险索赔程序，保险知识等方面的咨询服务。</w:t>
      </w:r>
    </w:p>
    <w:p w14:paraId="733D054D">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（4）保险公司协助投保方做好对投保经办人的廉政工作，不得以任何形式向投保方提供回扣。</w:t>
      </w:r>
    </w:p>
    <w:p w14:paraId="4BED923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（5）保险公司签订合同后，必须按响应明确的保费、保险金额签发保单，若发现乙方不按此规定执行，一经查实立即取消公司保险资格。</w:t>
      </w:r>
    </w:p>
    <w:p w14:paraId="3CA6D0D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（6）保险公司须定期开展并做好相关保险知识培训和宣传工作，如提供保险单或宣传品等,所涉及的费用均由乙方负责。</w:t>
      </w:r>
    </w:p>
    <w:p w14:paraId="151B2A77">
      <w:pPr>
        <w:spacing w:line="360" w:lineRule="auto"/>
        <w:ind w:firstLine="482" w:firstLineChars="200"/>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（7）保险公司提供保险赔偿清单，每月报一份赔偿清算表（反映每个险种的理赔人数、金额、内容等情况）供</w:t>
      </w:r>
      <w:r>
        <w:rPr>
          <w:rFonts w:hint="eastAsia" w:asciiTheme="minorEastAsia" w:hAnsiTheme="minorEastAsia"/>
          <w:b/>
          <w:color w:val="auto"/>
          <w:sz w:val="24"/>
          <w:szCs w:val="24"/>
          <w:highlight w:val="none"/>
        </w:rPr>
        <w:t>上城区</w:t>
      </w:r>
      <w:r>
        <w:rPr>
          <w:rFonts w:hint="eastAsia" w:cs="仿宋_GB2312" w:asciiTheme="minorEastAsia" w:hAnsiTheme="minorEastAsia"/>
          <w:b/>
          <w:color w:val="auto"/>
          <w:sz w:val="24"/>
          <w:szCs w:val="24"/>
          <w:highlight w:val="none"/>
        </w:rPr>
        <w:t>计生协查询备案。</w:t>
      </w:r>
    </w:p>
    <w:p w14:paraId="73923EB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（8）保险公司办理保险投保事项，不得有伪造行为。一经发现造假行为，投保人可以向有关法律及监管部门申请追究保险公司及当事人的法律责任。</w:t>
      </w:r>
    </w:p>
    <w:p w14:paraId="63DDB48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（9）杭州市上城区计划生育协会202</w:t>
      </w:r>
      <w:r>
        <w:rPr>
          <w:rFonts w:hint="eastAsia" w:cs="仿宋_GB2312" w:asciiTheme="minorEastAsia" w:hAnsiTheme="minorEastAsia"/>
          <w:color w:val="auto"/>
          <w:sz w:val="24"/>
          <w:szCs w:val="24"/>
          <w:highlight w:val="none"/>
          <w:lang w:val="en-US" w:eastAsia="zh-CN"/>
        </w:rPr>
        <w:t>5</w:t>
      </w:r>
      <w:r>
        <w:rPr>
          <w:rFonts w:hint="eastAsia" w:cs="仿宋_GB2312" w:asciiTheme="minorEastAsia" w:hAnsiTheme="minorEastAsia"/>
          <w:color w:val="auto"/>
          <w:sz w:val="24"/>
          <w:szCs w:val="24"/>
          <w:highlight w:val="none"/>
        </w:rPr>
        <w:t>年计生系列保险项目特点：保险对象是户籍在上城区的计划生育家庭，保险人数统计审核分别由14个街道完成并上报，保险赔偿工作乙方需到14个街道驻点办理。设立的具体常驻的理赔服务点在合同执行过程中甲乙双方协商确定。</w:t>
      </w:r>
    </w:p>
    <w:p w14:paraId="154D4AAC">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（10）保险公司应指定专人办理保险投保事项及其他事务。如更换经办人需要提前告知投保人，经办人要求具备丰富的保险从业经验，有较好的沟通能力、理赔服务意识，有实际处理医疗理赔的经验。</w:t>
      </w:r>
    </w:p>
    <w:p w14:paraId="40FDDA7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（11）保险公司确定投保资料，投保资料内容需经投保人认可。</w:t>
      </w:r>
    </w:p>
    <w:p w14:paraId="25B4A68B">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（12）保险公司指定专人办理保险赔偿事务。如经办人员更换需提前告知投保人。经办人员需熟悉保险赔偿工作。</w:t>
      </w:r>
    </w:p>
    <w:p w14:paraId="40ADD13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（13）保险公司根据计生保险特点，涉及保险赔偿事项，经办人员要到达基层办理，与14个街道工作人员联系，建立保险赔偿工作机制。提高保险金赔偿的时效，服务基层计生工作人员和计生家庭。</w:t>
      </w:r>
    </w:p>
    <w:p w14:paraId="69204D7C">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（14）保险合同订立时，在合同书上和投保单或保险单等其他保险凭证上有明确说明和标志提示。</w:t>
      </w:r>
    </w:p>
    <w:p w14:paraId="524E070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w:t>
      </w:r>
      <w:r>
        <w:rPr>
          <w:rFonts w:hint="eastAsia" w:cs="仿宋_GB2312" w:asciiTheme="minorEastAsia" w:hAnsiTheme="minorEastAsia"/>
          <w:color w:val="auto"/>
          <w:sz w:val="24"/>
          <w:szCs w:val="24"/>
          <w:highlight w:val="none"/>
          <w:lang w:val="en-US" w:eastAsia="zh-CN"/>
        </w:rPr>
        <w:t>5</w:t>
      </w:r>
      <w:r>
        <w:rPr>
          <w:rFonts w:hint="eastAsia" w:cs="仿宋_GB2312" w:asciiTheme="minorEastAsia" w:hAnsiTheme="minorEastAsia"/>
          <w:color w:val="auto"/>
          <w:sz w:val="24"/>
          <w:szCs w:val="24"/>
          <w:highlight w:val="none"/>
        </w:rPr>
        <w:t>）乙方承诺在保险期限内及被保险人出险理赔期限内，必须按照保险方案以及保险法的规定进行理赔，不得无故不赔或少赔，即便是赔付率超过100%，否则将承担法律责任。</w:t>
      </w:r>
    </w:p>
    <w:p w14:paraId="7D64715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w:t>
      </w:r>
      <w:r>
        <w:rPr>
          <w:rFonts w:hint="eastAsia" w:cs="仿宋_GB2312" w:asciiTheme="minorEastAsia" w:hAnsiTheme="minorEastAsia"/>
          <w:color w:val="auto"/>
          <w:sz w:val="24"/>
          <w:szCs w:val="24"/>
          <w:highlight w:val="none"/>
          <w:lang w:val="en-US" w:eastAsia="zh-CN"/>
        </w:rPr>
        <w:t>6</w:t>
      </w:r>
      <w:r>
        <w:rPr>
          <w:rFonts w:hint="eastAsia" w:cs="仿宋_GB2312" w:asciiTheme="minorEastAsia" w:hAnsiTheme="minorEastAsia"/>
          <w:color w:val="auto"/>
          <w:sz w:val="24"/>
          <w:szCs w:val="24"/>
          <w:highlight w:val="none"/>
        </w:rPr>
        <w:t>）被保险人在保险期间内因患疾病死亡或者重疾的，无论是否是由于既往疾病导致的，乙方应给予理赔；因既往疾病导致采购人的被保险人住院医疗费、住院津贴、重症监护等，乙方应给予理赔；甲方的被保险人因意外伤害或者疾病引起住院医疗费、住院津贴、重症监护等，如跨保单年度的，乙方应理赔至本次治疗结束。</w:t>
      </w:r>
    </w:p>
    <w:p w14:paraId="26E2565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2.本合同承接保险期限：202 年  月 日零时起至 202 年  月  日二十四时止。</w:t>
      </w:r>
    </w:p>
    <w:p w14:paraId="7CAE1F3C">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保险方案：</w:t>
      </w:r>
    </w:p>
    <w:p w14:paraId="0456BC6E">
      <w:pPr>
        <w:pStyle w:val="255"/>
        <w:tabs>
          <w:tab w:val="left" w:pos="312"/>
        </w:tabs>
        <w:ind w:left="420" w:firstLine="361" w:firstLineChars="15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1、独生子女家庭方案</w:t>
      </w:r>
    </w:p>
    <w:tbl>
      <w:tblPr>
        <w:tblStyle w:val="6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268"/>
        <w:gridCol w:w="1985"/>
        <w:gridCol w:w="4110"/>
      </w:tblGrid>
      <w:tr w14:paraId="1BE4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37" w:type="dxa"/>
            <w:vAlign w:val="center"/>
          </w:tcPr>
          <w:p w14:paraId="48CB183D">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投保</w:t>
            </w:r>
          </w:p>
          <w:p w14:paraId="0CC0DF2B">
            <w:pPr>
              <w:tabs>
                <w:tab w:val="center" w:pos="4153"/>
                <w:tab w:val="right" w:pos="8306"/>
              </w:tabs>
              <w:snapToGrid w:val="0"/>
              <w:spacing w:line="360" w:lineRule="auto"/>
              <w:ind w:firstLine="240" w:firstLineChars="1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对象</w:t>
            </w:r>
          </w:p>
        </w:tc>
        <w:tc>
          <w:tcPr>
            <w:tcW w:w="2268" w:type="dxa"/>
            <w:vAlign w:val="center"/>
          </w:tcPr>
          <w:p w14:paraId="15F63DF4">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保障项目</w:t>
            </w:r>
          </w:p>
        </w:tc>
        <w:tc>
          <w:tcPr>
            <w:tcW w:w="1985" w:type="dxa"/>
            <w:vAlign w:val="center"/>
          </w:tcPr>
          <w:p w14:paraId="7A59797A">
            <w:pPr>
              <w:tabs>
                <w:tab w:val="center" w:pos="4153"/>
                <w:tab w:val="right" w:pos="8306"/>
              </w:tabs>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保险金额</w:t>
            </w:r>
          </w:p>
        </w:tc>
        <w:tc>
          <w:tcPr>
            <w:tcW w:w="4110" w:type="dxa"/>
            <w:vAlign w:val="center"/>
          </w:tcPr>
          <w:p w14:paraId="7F1EE88B">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保障内容</w:t>
            </w:r>
          </w:p>
        </w:tc>
      </w:tr>
      <w:tr w14:paraId="5318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7" w:type="dxa"/>
            <w:vMerge w:val="restart"/>
            <w:vAlign w:val="center"/>
          </w:tcPr>
          <w:p w14:paraId="27142009">
            <w:pPr>
              <w:tabs>
                <w:tab w:val="center" w:pos="4153"/>
                <w:tab w:val="right" w:pos="8306"/>
              </w:tabs>
              <w:snapToGrid w:val="0"/>
              <w:spacing w:line="360" w:lineRule="auto"/>
              <w:ind w:firstLine="120" w:firstLineChars="5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独生</w:t>
            </w:r>
          </w:p>
          <w:p w14:paraId="61FE8ECA">
            <w:pPr>
              <w:tabs>
                <w:tab w:val="center" w:pos="4153"/>
                <w:tab w:val="right" w:pos="8306"/>
              </w:tabs>
              <w:snapToGrid w:val="0"/>
              <w:spacing w:line="360" w:lineRule="auto"/>
              <w:ind w:firstLine="120" w:firstLineChars="5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子女</w:t>
            </w:r>
          </w:p>
        </w:tc>
        <w:tc>
          <w:tcPr>
            <w:tcW w:w="2268" w:type="dxa"/>
            <w:vAlign w:val="center"/>
          </w:tcPr>
          <w:p w14:paraId="1FEC98E2">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疾病身故保险金</w:t>
            </w:r>
          </w:p>
        </w:tc>
        <w:tc>
          <w:tcPr>
            <w:tcW w:w="1985" w:type="dxa"/>
            <w:vAlign w:val="center"/>
          </w:tcPr>
          <w:p w14:paraId="460BC9B5">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30000元/人</w:t>
            </w:r>
          </w:p>
        </w:tc>
        <w:tc>
          <w:tcPr>
            <w:tcW w:w="4110" w:type="dxa"/>
            <w:vAlign w:val="center"/>
          </w:tcPr>
          <w:p w14:paraId="4C5D7321">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无等待期100%赔付</w:t>
            </w:r>
          </w:p>
        </w:tc>
      </w:tr>
      <w:tr w14:paraId="6814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7" w:type="dxa"/>
            <w:vMerge w:val="continue"/>
            <w:vAlign w:val="center"/>
          </w:tcPr>
          <w:p w14:paraId="1398EA01">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Align w:val="center"/>
          </w:tcPr>
          <w:p w14:paraId="4A0B3EE3">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意外身故保险金</w:t>
            </w:r>
          </w:p>
        </w:tc>
        <w:tc>
          <w:tcPr>
            <w:tcW w:w="1985" w:type="dxa"/>
            <w:vAlign w:val="center"/>
          </w:tcPr>
          <w:p w14:paraId="54CF7939">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30000元/人</w:t>
            </w:r>
          </w:p>
        </w:tc>
        <w:tc>
          <w:tcPr>
            <w:tcW w:w="4110" w:type="dxa"/>
            <w:vAlign w:val="center"/>
          </w:tcPr>
          <w:p w14:paraId="09807AE1">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100%赔付</w:t>
            </w:r>
          </w:p>
        </w:tc>
      </w:tr>
      <w:tr w14:paraId="6AF1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37" w:type="dxa"/>
            <w:vMerge w:val="continue"/>
            <w:vAlign w:val="center"/>
          </w:tcPr>
          <w:p w14:paraId="4E0A8389">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Align w:val="center"/>
          </w:tcPr>
          <w:p w14:paraId="205A3ECD">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意外残疾保险金</w:t>
            </w:r>
          </w:p>
        </w:tc>
        <w:tc>
          <w:tcPr>
            <w:tcW w:w="1985" w:type="dxa"/>
            <w:vAlign w:val="center"/>
          </w:tcPr>
          <w:p w14:paraId="5EAD31AD">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30000元/人</w:t>
            </w:r>
          </w:p>
        </w:tc>
        <w:tc>
          <w:tcPr>
            <w:tcW w:w="4110" w:type="dxa"/>
            <w:vAlign w:val="center"/>
          </w:tcPr>
          <w:p w14:paraId="22DB183F">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按《人身保险伤残评定标准（行业标准）》赔付</w:t>
            </w:r>
          </w:p>
        </w:tc>
      </w:tr>
      <w:tr w14:paraId="04A0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7" w:type="dxa"/>
            <w:vMerge w:val="continue"/>
            <w:vAlign w:val="center"/>
          </w:tcPr>
          <w:p w14:paraId="310F215A">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Merge w:val="restart"/>
            <w:vAlign w:val="center"/>
          </w:tcPr>
          <w:p w14:paraId="5A8C4442">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重大疾病保险金</w:t>
            </w:r>
          </w:p>
        </w:tc>
        <w:tc>
          <w:tcPr>
            <w:tcW w:w="1985" w:type="dxa"/>
            <w:vAlign w:val="center"/>
          </w:tcPr>
          <w:p w14:paraId="227A960E">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重疾10000元/人</w:t>
            </w:r>
          </w:p>
        </w:tc>
        <w:tc>
          <w:tcPr>
            <w:tcW w:w="4110" w:type="dxa"/>
            <w:vMerge w:val="restart"/>
            <w:vAlign w:val="center"/>
          </w:tcPr>
          <w:p w14:paraId="4D5D25EC">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因患条款列明的50种重症和10种轻症疾病之一，一次性给付对应程度的重大疾病保险金。（病种详见具体条款）</w:t>
            </w:r>
          </w:p>
        </w:tc>
      </w:tr>
      <w:tr w14:paraId="306B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7" w:type="dxa"/>
            <w:vMerge w:val="continue"/>
            <w:vAlign w:val="center"/>
          </w:tcPr>
          <w:p w14:paraId="197E3983">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Merge w:val="continue"/>
            <w:vAlign w:val="center"/>
          </w:tcPr>
          <w:p w14:paraId="1938AC95">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p>
        </w:tc>
        <w:tc>
          <w:tcPr>
            <w:tcW w:w="1985" w:type="dxa"/>
            <w:vAlign w:val="center"/>
          </w:tcPr>
          <w:p w14:paraId="3A579D9C">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轻症3000元/人</w:t>
            </w:r>
          </w:p>
        </w:tc>
        <w:tc>
          <w:tcPr>
            <w:tcW w:w="4110" w:type="dxa"/>
            <w:vMerge w:val="continue"/>
            <w:vAlign w:val="center"/>
          </w:tcPr>
          <w:p w14:paraId="7383EBCD">
            <w:pPr>
              <w:tabs>
                <w:tab w:val="center" w:pos="4153"/>
                <w:tab w:val="right" w:pos="8306"/>
              </w:tabs>
              <w:snapToGrid w:val="0"/>
              <w:jc w:val="center"/>
              <w:rPr>
                <w:rFonts w:cs="仿宋_GB2312" w:asciiTheme="minorEastAsia" w:hAnsiTheme="minorEastAsia"/>
                <w:color w:val="auto"/>
                <w:sz w:val="24"/>
                <w:szCs w:val="24"/>
                <w:highlight w:val="none"/>
              </w:rPr>
            </w:pPr>
          </w:p>
        </w:tc>
      </w:tr>
      <w:tr w14:paraId="5652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7" w:type="dxa"/>
            <w:vMerge w:val="restart"/>
            <w:vAlign w:val="center"/>
          </w:tcPr>
          <w:p w14:paraId="2C516826">
            <w:pPr>
              <w:tabs>
                <w:tab w:val="center" w:pos="4153"/>
                <w:tab w:val="right" w:pos="8306"/>
              </w:tabs>
              <w:snapToGrid w:val="0"/>
              <w:spacing w:line="360" w:lineRule="auto"/>
              <w:ind w:firstLine="240" w:firstLineChars="1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父母</w:t>
            </w:r>
          </w:p>
        </w:tc>
        <w:tc>
          <w:tcPr>
            <w:tcW w:w="2268" w:type="dxa"/>
            <w:vAlign w:val="center"/>
          </w:tcPr>
          <w:p w14:paraId="3085BCBF">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疾病身故保险金</w:t>
            </w:r>
          </w:p>
        </w:tc>
        <w:tc>
          <w:tcPr>
            <w:tcW w:w="1985" w:type="dxa"/>
            <w:vAlign w:val="center"/>
          </w:tcPr>
          <w:p w14:paraId="1D9EB2B3">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5000元/人</w:t>
            </w:r>
          </w:p>
        </w:tc>
        <w:tc>
          <w:tcPr>
            <w:tcW w:w="4110" w:type="dxa"/>
            <w:vAlign w:val="center"/>
          </w:tcPr>
          <w:p w14:paraId="5D0EFA1B">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无等待期100%赔付</w:t>
            </w:r>
          </w:p>
        </w:tc>
      </w:tr>
      <w:tr w14:paraId="0E04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7" w:type="dxa"/>
            <w:vMerge w:val="continue"/>
            <w:vAlign w:val="center"/>
          </w:tcPr>
          <w:p w14:paraId="55471440">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Align w:val="center"/>
          </w:tcPr>
          <w:p w14:paraId="1BF77996">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意外身故保险金</w:t>
            </w:r>
          </w:p>
        </w:tc>
        <w:tc>
          <w:tcPr>
            <w:tcW w:w="1985" w:type="dxa"/>
            <w:vAlign w:val="center"/>
          </w:tcPr>
          <w:p w14:paraId="485D6D1B">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5000元/人</w:t>
            </w:r>
          </w:p>
        </w:tc>
        <w:tc>
          <w:tcPr>
            <w:tcW w:w="4110" w:type="dxa"/>
            <w:vAlign w:val="center"/>
          </w:tcPr>
          <w:p w14:paraId="32C8CC3D">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100%赔付</w:t>
            </w:r>
          </w:p>
        </w:tc>
      </w:tr>
      <w:tr w14:paraId="73AE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continue"/>
            <w:vAlign w:val="center"/>
          </w:tcPr>
          <w:p w14:paraId="5531FE47">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Align w:val="center"/>
          </w:tcPr>
          <w:p w14:paraId="4D864EE7">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意外残疾保险金</w:t>
            </w:r>
          </w:p>
        </w:tc>
        <w:tc>
          <w:tcPr>
            <w:tcW w:w="1985" w:type="dxa"/>
            <w:vAlign w:val="center"/>
          </w:tcPr>
          <w:p w14:paraId="48830568">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5000元/人</w:t>
            </w:r>
          </w:p>
        </w:tc>
        <w:tc>
          <w:tcPr>
            <w:tcW w:w="4110" w:type="dxa"/>
            <w:vAlign w:val="center"/>
          </w:tcPr>
          <w:p w14:paraId="01F7B597">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按《劳动能力鉴定 职工工伤与职业病致残等级》（GB/T 16180-2014）赔付</w:t>
            </w:r>
          </w:p>
        </w:tc>
      </w:tr>
      <w:tr w14:paraId="4F7C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restart"/>
            <w:vAlign w:val="center"/>
          </w:tcPr>
          <w:p w14:paraId="428C0CC4">
            <w:pPr>
              <w:tabs>
                <w:tab w:val="center" w:pos="4153"/>
                <w:tab w:val="right" w:pos="8306"/>
              </w:tabs>
              <w:snapToGrid w:val="0"/>
              <w:spacing w:line="360" w:lineRule="auto"/>
              <w:ind w:firstLine="120" w:firstLineChars="5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单亲</w:t>
            </w:r>
          </w:p>
          <w:p w14:paraId="4D7A9BF2">
            <w:pPr>
              <w:tabs>
                <w:tab w:val="center" w:pos="4153"/>
                <w:tab w:val="right" w:pos="8306"/>
              </w:tabs>
              <w:snapToGrid w:val="0"/>
              <w:spacing w:line="360" w:lineRule="auto"/>
              <w:ind w:firstLine="120" w:firstLineChars="5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父母</w:t>
            </w:r>
          </w:p>
        </w:tc>
        <w:tc>
          <w:tcPr>
            <w:tcW w:w="2268" w:type="dxa"/>
            <w:vAlign w:val="center"/>
          </w:tcPr>
          <w:p w14:paraId="21B98E8A">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疾病身故保险金</w:t>
            </w:r>
          </w:p>
        </w:tc>
        <w:tc>
          <w:tcPr>
            <w:tcW w:w="1985" w:type="dxa"/>
            <w:vAlign w:val="center"/>
          </w:tcPr>
          <w:p w14:paraId="5EE5B8B4">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10000元/人</w:t>
            </w:r>
          </w:p>
        </w:tc>
        <w:tc>
          <w:tcPr>
            <w:tcW w:w="4110" w:type="dxa"/>
            <w:vAlign w:val="center"/>
          </w:tcPr>
          <w:p w14:paraId="178F6C12">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无等待期100%赔付</w:t>
            </w:r>
          </w:p>
        </w:tc>
      </w:tr>
      <w:tr w14:paraId="485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continue"/>
            <w:vAlign w:val="center"/>
          </w:tcPr>
          <w:p w14:paraId="0AF4F319">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Align w:val="center"/>
          </w:tcPr>
          <w:p w14:paraId="1F1123AE">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意外身故保险金</w:t>
            </w:r>
          </w:p>
        </w:tc>
        <w:tc>
          <w:tcPr>
            <w:tcW w:w="1985" w:type="dxa"/>
            <w:vAlign w:val="center"/>
          </w:tcPr>
          <w:p w14:paraId="0085773C">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10000元/人</w:t>
            </w:r>
          </w:p>
        </w:tc>
        <w:tc>
          <w:tcPr>
            <w:tcW w:w="4110" w:type="dxa"/>
            <w:vAlign w:val="center"/>
          </w:tcPr>
          <w:p w14:paraId="3559FFAB">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100%赔付</w:t>
            </w:r>
          </w:p>
        </w:tc>
      </w:tr>
      <w:tr w14:paraId="2CA6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continue"/>
            <w:vAlign w:val="center"/>
          </w:tcPr>
          <w:p w14:paraId="3026E048">
            <w:pPr>
              <w:tabs>
                <w:tab w:val="center" w:pos="4153"/>
                <w:tab w:val="right" w:pos="8306"/>
              </w:tabs>
              <w:snapToGrid w:val="0"/>
              <w:spacing w:line="360" w:lineRule="auto"/>
              <w:ind w:firstLine="480" w:firstLineChars="200"/>
              <w:jc w:val="center"/>
              <w:rPr>
                <w:rFonts w:cs="仿宋_GB2312" w:asciiTheme="minorEastAsia" w:hAnsiTheme="minorEastAsia"/>
                <w:color w:val="auto"/>
                <w:sz w:val="24"/>
                <w:szCs w:val="24"/>
                <w:highlight w:val="none"/>
              </w:rPr>
            </w:pPr>
          </w:p>
        </w:tc>
        <w:tc>
          <w:tcPr>
            <w:tcW w:w="2268" w:type="dxa"/>
            <w:vAlign w:val="center"/>
          </w:tcPr>
          <w:p w14:paraId="6C36E6A6">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意外残疾保险金</w:t>
            </w:r>
          </w:p>
        </w:tc>
        <w:tc>
          <w:tcPr>
            <w:tcW w:w="1985" w:type="dxa"/>
            <w:vAlign w:val="center"/>
          </w:tcPr>
          <w:p w14:paraId="6F89D20E">
            <w:pPr>
              <w:tabs>
                <w:tab w:val="center" w:pos="4153"/>
                <w:tab w:val="right" w:pos="8306"/>
              </w:tabs>
              <w:snapToGrid w:val="0"/>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10000元/人</w:t>
            </w:r>
          </w:p>
        </w:tc>
        <w:tc>
          <w:tcPr>
            <w:tcW w:w="4110" w:type="dxa"/>
            <w:vAlign w:val="center"/>
          </w:tcPr>
          <w:p w14:paraId="5E43E65B">
            <w:pPr>
              <w:tabs>
                <w:tab w:val="center" w:pos="4153"/>
                <w:tab w:val="right" w:pos="8306"/>
              </w:tabs>
              <w:snapToGrid w:val="0"/>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按《劳动能力鉴定 职工工伤与职业病致残等级》（GB/T 16180-2014）赔付</w:t>
            </w:r>
          </w:p>
        </w:tc>
      </w:tr>
    </w:tbl>
    <w:p w14:paraId="19D9B75A">
      <w:pPr>
        <w:pStyle w:val="255"/>
        <w:tabs>
          <w:tab w:val="left" w:pos="312"/>
        </w:tabs>
        <w:ind w:left="420" w:firstLine="361" w:firstLineChars="15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2、失独及伤残家庭方案</w:t>
      </w:r>
    </w:p>
    <w:tbl>
      <w:tblPr>
        <w:tblStyle w:val="62"/>
        <w:tblW w:w="9426" w:type="dxa"/>
        <w:jc w:val="center"/>
        <w:tblLayout w:type="fixed"/>
        <w:tblCellMar>
          <w:top w:w="0" w:type="dxa"/>
          <w:left w:w="108" w:type="dxa"/>
          <w:bottom w:w="0" w:type="dxa"/>
          <w:right w:w="108" w:type="dxa"/>
        </w:tblCellMar>
      </w:tblPr>
      <w:tblGrid>
        <w:gridCol w:w="1062"/>
        <w:gridCol w:w="2268"/>
        <w:gridCol w:w="1985"/>
        <w:gridCol w:w="4111"/>
      </w:tblGrid>
      <w:tr w14:paraId="7237AD66">
        <w:tblPrEx>
          <w:tblCellMar>
            <w:top w:w="0" w:type="dxa"/>
            <w:left w:w="108" w:type="dxa"/>
            <w:bottom w:w="0" w:type="dxa"/>
            <w:right w:w="108" w:type="dxa"/>
          </w:tblCellMar>
        </w:tblPrEx>
        <w:trPr>
          <w:trHeight w:val="648"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14:paraId="1E367AC2">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保障对象</w:t>
            </w:r>
          </w:p>
        </w:tc>
        <w:tc>
          <w:tcPr>
            <w:tcW w:w="2268" w:type="dxa"/>
            <w:tcBorders>
              <w:top w:val="single" w:color="auto" w:sz="4" w:space="0"/>
              <w:left w:val="nil"/>
              <w:bottom w:val="single" w:color="auto" w:sz="4" w:space="0"/>
              <w:right w:val="single" w:color="auto" w:sz="4" w:space="0"/>
            </w:tcBorders>
            <w:vAlign w:val="center"/>
          </w:tcPr>
          <w:p w14:paraId="5DA7B671">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保障项目</w:t>
            </w:r>
          </w:p>
        </w:tc>
        <w:tc>
          <w:tcPr>
            <w:tcW w:w="1985" w:type="dxa"/>
            <w:tcBorders>
              <w:top w:val="single" w:color="auto" w:sz="4" w:space="0"/>
              <w:left w:val="nil"/>
              <w:bottom w:val="single" w:color="auto" w:sz="4" w:space="0"/>
              <w:right w:val="single" w:color="auto" w:sz="4" w:space="0"/>
            </w:tcBorders>
            <w:vAlign w:val="center"/>
          </w:tcPr>
          <w:p w14:paraId="71FC3053">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保险金额</w:t>
            </w:r>
          </w:p>
        </w:tc>
        <w:tc>
          <w:tcPr>
            <w:tcW w:w="4111" w:type="dxa"/>
            <w:tcBorders>
              <w:top w:val="single" w:color="auto" w:sz="4" w:space="0"/>
              <w:left w:val="nil"/>
              <w:bottom w:val="single" w:color="auto" w:sz="4" w:space="0"/>
              <w:right w:val="single" w:color="auto" w:sz="4" w:space="0"/>
            </w:tcBorders>
            <w:vAlign w:val="center"/>
          </w:tcPr>
          <w:p w14:paraId="16029A6B">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保障内容</w:t>
            </w:r>
          </w:p>
        </w:tc>
      </w:tr>
      <w:tr w14:paraId="6D30FF17">
        <w:tblPrEx>
          <w:tblCellMar>
            <w:top w:w="0" w:type="dxa"/>
            <w:left w:w="108" w:type="dxa"/>
            <w:bottom w:w="0" w:type="dxa"/>
            <w:right w:w="108" w:type="dxa"/>
          </w:tblCellMar>
        </w:tblPrEx>
        <w:trPr>
          <w:trHeight w:val="423" w:hRule="atLeast"/>
          <w:jc w:val="center"/>
        </w:trPr>
        <w:tc>
          <w:tcPr>
            <w:tcW w:w="1062" w:type="dxa"/>
            <w:vMerge w:val="restart"/>
            <w:tcBorders>
              <w:top w:val="single" w:color="auto" w:sz="4" w:space="0"/>
              <w:left w:val="single" w:color="auto" w:sz="4" w:space="0"/>
              <w:right w:val="single" w:color="auto" w:sz="4" w:space="0"/>
            </w:tcBorders>
            <w:vAlign w:val="center"/>
          </w:tcPr>
          <w:p w14:paraId="16E39CC8">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失独父母及计生伤残家庭人员</w:t>
            </w:r>
          </w:p>
        </w:tc>
        <w:tc>
          <w:tcPr>
            <w:tcW w:w="2268" w:type="dxa"/>
            <w:tcBorders>
              <w:top w:val="single" w:color="auto" w:sz="4" w:space="0"/>
              <w:left w:val="nil"/>
              <w:bottom w:val="single" w:color="auto" w:sz="4" w:space="0"/>
              <w:right w:val="single" w:color="auto" w:sz="4" w:space="0"/>
            </w:tcBorders>
            <w:vAlign w:val="center"/>
          </w:tcPr>
          <w:p w14:paraId="78724916">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疾病身故</w:t>
            </w:r>
          </w:p>
        </w:tc>
        <w:tc>
          <w:tcPr>
            <w:tcW w:w="1985" w:type="dxa"/>
            <w:tcBorders>
              <w:top w:val="single" w:color="auto" w:sz="4" w:space="0"/>
              <w:left w:val="nil"/>
              <w:bottom w:val="single" w:color="auto" w:sz="4" w:space="0"/>
              <w:right w:val="single" w:color="auto" w:sz="4" w:space="0"/>
            </w:tcBorders>
            <w:vAlign w:val="center"/>
          </w:tcPr>
          <w:p w14:paraId="7ECD99AA">
            <w:pPr>
              <w:spacing w:line="360" w:lineRule="auto"/>
              <w:jc w:val="center"/>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30000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tcBorders>
              <w:top w:val="single" w:color="auto" w:sz="4" w:space="0"/>
              <w:left w:val="nil"/>
              <w:bottom w:val="single" w:color="auto" w:sz="4" w:space="0"/>
              <w:right w:val="single" w:color="auto" w:sz="4" w:space="0"/>
            </w:tcBorders>
            <w:vAlign w:val="center"/>
          </w:tcPr>
          <w:p w14:paraId="18BD2CBA">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无等待期100%给付保险金</w:t>
            </w:r>
            <w:r>
              <w:rPr>
                <w:rFonts w:cs="仿宋_GB2312" w:asciiTheme="minorEastAsia" w:hAnsiTheme="minorEastAsia"/>
                <w:color w:val="auto"/>
                <w:sz w:val="24"/>
                <w:szCs w:val="24"/>
                <w:highlight w:val="none"/>
              </w:rPr>
              <w:t>。</w:t>
            </w:r>
          </w:p>
        </w:tc>
      </w:tr>
      <w:tr w14:paraId="3D4F5804">
        <w:tblPrEx>
          <w:tblCellMar>
            <w:top w:w="0" w:type="dxa"/>
            <w:left w:w="108" w:type="dxa"/>
            <w:bottom w:w="0" w:type="dxa"/>
            <w:right w:w="108" w:type="dxa"/>
          </w:tblCellMar>
        </w:tblPrEx>
        <w:trPr>
          <w:trHeight w:val="443" w:hRule="atLeast"/>
          <w:jc w:val="center"/>
        </w:trPr>
        <w:tc>
          <w:tcPr>
            <w:tcW w:w="1062" w:type="dxa"/>
            <w:vMerge w:val="continue"/>
            <w:tcBorders>
              <w:left w:val="single" w:color="auto" w:sz="4" w:space="0"/>
              <w:right w:val="single" w:color="auto" w:sz="4" w:space="0"/>
            </w:tcBorders>
            <w:vAlign w:val="center"/>
          </w:tcPr>
          <w:p w14:paraId="3F4AB602">
            <w:pPr>
              <w:spacing w:line="360" w:lineRule="auto"/>
              <w:jc w:val="center"/>
              <w:rPr>
                <w:rFonts w:cs="仿宋_GB2312" w:asciiTheme="minorEastAsia" w:hAnsiTheme="minorEastAsia"/>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14:paraId="4D625174">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意外身故</w:t>
            </w:r>
          </w:p>
        </w:tc>
        <w:tc>
          <w:tcPr>
            <w:tcW w:w="1985" w:type="dxa"/>
            <w:tcBorders>
              <w:top w:val="single" w:color="auto" w:sz="4" w:space="0"/>
              <w:left w:val="nil"/>
              <w:bottom w:val="single" w:color="auto" w:sz="4" w:space="0"/>
              <w:right w:val="single" w:color="auto" w:sz="4" w:space="0"/>
            </w:tcBorders>
            <w:vAlign w:val="center"/>
          </w:tcPr>
          <w:p w14:paraId="02499B76">
            <w:pPr>
              <w:spacing w:line="360" w:lineRule="auto"/>
              <w:jc w:val="center"/>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30000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tcBorders>
              <w:top w:val="single" w:color="auto" w:sz="4" w:space="0"/>
              <w:left w:val="nil"/>
              <w:bottom w:val="single" w:color="auto" w:sz="4" w:space="0"/>
              <w:right w:val="single" w:color="auto" w:sz="4" w:space="0"/>
            </w:tcBorders>
            <w:vAlign w:val="center"/>
          </w:tcPr>
          <w:p w14:paraId="263CF90D">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100%赔付</w:t>
            </w:r>
          </w:p>
        </w:tc>
      </w:tr>
      <w:tr w14:paraId="784DDD5E">
        <w:tblPrEx>
          <w:tblCellMar>
            <w:top w:w="0" w:type="dxa"/>
            <w:left w:w="108" w:type="dxa"/>
            <w:bottom w:w="0" w:type="dxa"/>
            <w:right w:w="108" w:type="dxa"/>
          </w:tblCellMar>
        </w:tblPrEx>
        <w:trPr>
          <w:trHeight w:val="457" w:hRule="atLeast"/>
          <w:jc w:val="center"/>
        </w:trPr>
        <w:tc>
          <w:tcPr>
            <w:tcW w:w="1062" w:type="dxa"/>
            <w:vMerge w:val="continue"/>
            <w:tcBorders>
              <w:left w:val="single" w:color="auto" w:sz="4" w:space="0"/>
              <w:right w:val="single" w:color="auto" w:sz="4" w:space="0"/>
            </w:tcBorders>
            <w:vAlign w:val="center"/>
          </w:tcPr>
          <w:p w14:paraId="7C5249F0">
            <w:pPr>
              <w:spacing w:line="360" w:lineRule="auto"/>
              <w:jc w:val="center"/>
              <w:rPr>
                <w:rFonts w:cs="仿宋_GB2312" w:asciiTheme="minorEastAsia" w:hAnsiTheme="minorEastAsia"/>
                <w:color w:val="auto"/>
                <w:sz w:val="24"/>
                <w:szCs w:val="24"/>
                <w:highlight w:val="none"/>
              </w:rPr>
            </w:pPr>
          </w:p>
        </w:tc>
        <w:tc>
          <w:tcPr>
            <w:tcW w:w="2268" w:type="dxa"/>
            <w:tcBorders>
              <w:top w:val="nil"/>
              <w:left w:val="nil"/>
              <w:bottom w:val="single" w:color="auto" w:sz="4" w:space="0"/>
              <w:right w:val="single" w:color="auto" w:sz="4" w:space="0"/>
            </w:tcBorders>
            <w:vAlign w:val="center"/>
          </w:tcPr>
          <w:p w14:paraId="2F6137A1">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意外残疾</w:t>
            </w:r>
          </w:p>
        </w:tc>
        <w:tc>
          <w:tcPr>
            <w:tcW w:w="1985" w:type="dxa"/>
            <w:tcBorders>
              <w:top w:val="nil"/>
              <w:left w:val="nil"/>
              <w:bottom w:val="single" w:color="auto" w:sz="4" w:space="0"/>
              <w:right w:val="single" w:color="auto" w:sz="4" w:space="0"/>
            </w:tcBorders>
            <w:vAlign w:val="center"/>
          </w:tcPr>
          <w:p w14:paraId="70D31A91">
            <w:pPr>
              <w:spacing w:line="360" w:lineRule="auto"/>
              <w:jc w:val="center"/>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30000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tcBorders>
              <w:top w:val="nil"/>
              <w:left w:val="single" w:color="auto" w:sz="4" w:space="0"/>
              <w:bottom w:val="single" w:color="auto" w:sz="4" w:space="0"/>
              <w:right w:val="single" w:color="auto" w:sz="4" w:space="0"/>
            </w:tcBorders>
            <w:vAlign w:val="center"/>
          </w:tcPr>
          <w:p w14:paraId="1749FB97">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按《人身保险伤残评定标准（行业标准）》赔付</w:t>
            </w:r>
          </w:p>
        </w:tc>
      </w:tr>
      <w:tr w14:paraId="7E9BA9C0">
        <w:tblPrEx>
          <w:tblCellMar>
            <w:top w:w="0" w:type="dxa"/>
            <w:left w:w="108" w:type="dxa"/>
            <w:bottom w:w="0" w:type="dxa"/>
            <w:right w:w="108" w:type="dxa"/>
          </w:tblCellMar>
        </w:tblPrEx>
        <w:trPr>
          <w:trHeight w:val="803" w:hRule="atLeast"/>
          <w:jc w:val="center"/>
        </w:trPr>
        <w:tc>
          <w:tcPr>
            <w:tcW w:w="1062" w:type="dxa"/>
            <w:vMerge w:val="continue"/>
            <w:tcBorders>
              <w:left w:val="single" w:color="auto" w:sz="4" w:space="0"/>
              <w:right w:val="single" w:color="auto" w:sz="4" w:space="0"/>
            </w:tcBorders>
            <w:vAlign w:val="center"/>
          </w:tcPr>
          <w:p w14:paraId="36642175">
            <w:pPr>
              <w:spacing w:line="360" w:lineRule="auto"/>
              <w:jc w:val="center"/>
              <w:rPr>
                <w:rFonts w:cs="仿宋_GB2312" w:asciiTheme="minorEastAsia" w:hAnsiTheme="minorEastAsia"/>
                <w:color w:val="auto"/>
                <w:sz w:val="24"/>
                <w:szCs w:val="24"/>
                <w:highlight w:val="none"/>
              </w:rPr>
            </w:pPr>
          </w:p>
        </w:tc>
        <w:tc>
          <w:tcPr>
            <w:tcW w:w="2268" w:type="dxa"/>
            <w:vMerge w:val="restart"/>
            <w:tcBorders>
              <w:top w:val="single" w:color="auto" w:sz="4" w:space="0"/>
              <w:left w:val="nil"/>
              <w:right w:val="single" w:color="auto" w:sz="4" w:space="0"/>
            </w:tcBorders>
            <w:vAlign w:val="center"/>
          </w:tcPr>
          <w:p w14:paraId="76AE0BE2">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重大疾病</w:t>
            </w:r>
          </w:p>
        </w:tc>
        <w:tc>
          <w:tcPr>
            <w:tcW w:w="1985" w:type="dxa"/>
            <w:tcBorders>
              <w:top w:val="single" w:color="auto" w:sz="4" w:space="0"/>
              <w:left w:val="nil"/>
              <w:bottom w:val="single" w:color="auto" w:sz="4" w:space="0"/>
              <w:right w:val="single" w:color="auto" w:sz="4" w:space="0"/>
            </w:tcBorders>
            <w:vAlign w:val="center"/>
          </w:tcPr>
          <w:p w14:paraId="458DA3F6">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重症</w:t>
            </w:r>
            <w:r>
              <w:rPr>
                <w:rFonts w:cs="仿宋_GB2312" w:asciiTheme="minorEastAsia" w:hAnsiTheme="minorEastAsia"/>
                <w:color w:val="auto"/>
                <w:sz w:val="24"/>
                <w:szCs w:val="24"/>
                <w:highlight w:val="none"/>
              </w:rPr>
              <w:t>10000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vMerge w:val="restart"/>
            <w:tcBorders>
              <w:top w:val="single" w:color="auto" w:sz="4" w:space="0"/>
              <w:left w:val="single" w:color="auto" w:sz="4" w:space="0"/>
              <w:right w:val="single" w:color="auto" w:sz="4" w:space="0"/>
            </w:tcBorders>
            <w:vAlign w:val="center"/>
          </w:tcPr>
          <w:p w14:paraId="6F10BD4E">
            <w:pPr>
              <w:spacing w:line="400" w:lineRule="exact"/>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因患条款列明的5</w:t>
            </w:r>
            <w:r>
              <w:rPr>
                <w:rFonts w:cs="仿宋_GB2312" w:asciiTheme="minorEastAsia" w:hAnsiTheme="minorEastAsia"/>
                <w:color w:val="auto"/>
                <w:sz w:val="24"/>
                <w:szCs w:val="24"/>
                <w:highlight w:val="none"/>
              </w:rPr>
              <w:t>0</w:t>
            </w:r>
            <w:r>
              <w:rPr>
                <w:rFonts w:hint="eastAsia" w:cs="仿宋_GB2312" w:asciiTheme="minorEastAsia" w:hAnsiTheme="minorEastAsia"/>
                <w:color w:val="auto"/>
                <w:sz w:val="24"/>
                <w:szCs w:val="24"/>
                <w:highlight w:val="none"/>
              </w:rPr>
              <w:t>种重大疾病或10种轻症之一，一次性给付对应的重大疾病保险金。（病种详见具体条款）</w:t>
            </w:r>
          </w:p>
        </w:tc>
      </w:tr>
      <w:tr w14:paraId="28A934E8">
        <w:tblPrEx>
          <w:tblCellMar>
            <w:top w:w="0" w:type="dxa"/>
            <w:left w:w="108" w:type="dxa"/>
            <w:bottom w:w="0" w:type="dxa"/>
            <w:right w:w="108" w:type="dxa"/>
          </w:tblCellMar>
        </w:tblPrEx>
        <w:trPr>
          <w:trHeight w:val="802" w:hRule="atLeast"/>
          <w:jc w:val="center"/>
        </w:trPr>
        <w:tc>
          <w:tcPr>
            <w:tcW w:w="1062" w:type="dxa"/>
            <w:vMerge w:val="continue"/>
            <w:tcBorders>
              <w:left w:val="single" w:color="auto" w:sz="4" w:space="0"/>
              <w:right w:val="single" w:color="auto" w:sz="4" w:space="0"/>
            </w:tcBorders>
            <w:vAlign w:val="center"/>
          </w:tcPr>
          <w:p w14:paraId="4A623DE5">
            <w:pPr>
              <w:spacing w:line="360" w:lineRule="auto"/>
              <w:jc w:val="center"/>
              <w:rPr>
                <w:rFonts w:cs="仿宋_GB2312" w:asciiTheme="minorEastAsia" w:hAnsiTheme="minorEastAsia"/>
                <w:color w:val="auto"/>
                <w:sz w:val="24"/>
                <w:szCs w:val="24"/>
                <w:highlight w:val="none"/>
              </w:rPr>
            </w:pPr>
          </w:p>
        </w:tc>
        <w:tc>
          <w:tcPr>
            <w:tcW w:w="2268" w:type="dxa"/>
            <w:vMerge w:val="continue"/>
            <w:tcBorders>
              <w:left w:val="nil"/>
              <w:bottom w:val="single" w:color="auto" w:sz="4" w:space="0"/>
              <w:right w:val="single" w:color="auto" w:sz="4" w:space="0"/>
            </w:tcBorders>
            <w:vAlign w:val="center"/>
          </w:tcPr>
          <w:p w14:paraId="65CE2B49">
            <w:pPr>
              <w:spacing w:line="360" w:lineRule="auto"/>
              <w:jc w:val="center"/>
              <w:rPr>
                <w:rFonts w:cs="仿宋_GB2312" w:asciiTheme="minorEastAsia" w:hAnsiTheme="minorEastAsia"/>
                <w:color w:val="auto"/>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78671F8F">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轻症3</w:t>
            </w:r>
            <w:r>
              <w:rPr>
                <w:rFonts w:cs="仿宋_GB2312" w:asciiTheme="minorEastAsia" w:hAnsiTheme="minorEastAsia"/>
                <w:color w:val="auto"/>
                <w:sz w:val="24"/>
                <w:szCs w:val="24"/>
                <w:highlight w:val="none"/>
              </w:rPr>
              <w:t>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vMerge w:val="continue"/>
            <w:tcBorders>
              <w:left w:val="single" w:color="auto" w:sz="4" w:space="0"/>
              <w:bottom w:val="single" w:color="auto" w:sz="4" w:space="0"/>
              <w:right w:val="single" w:color="auto" w:sz="4" w:space="0"/>
            </w:tcBorders>
            <w:vAlign w:val="center"/>
          </w:tcPr>
          <w:p w14:paraId="0FF852A3">
            <w:pPr>
              <w:spacing w:line="400" w:lineRule="exact"/>
              <w:jc w:val="center"/>
              <w:rPr>
                <w:rFonts w:cs="仿宋_GB2312" w:asciiTheme="minorEastAsia" w:hAnsiTheme="minorEastAsia"/>
                <w:color w:val="auto"/>
                <w:sz w:val="24"/>
                <w:szCs w:val="24"/>
                <w:highlight w:val="none"/>
              </w:rPr>
            </w:pPr>
          </w:p>
        </w:tc>
      </w:tr>
      <w:tr w14:paraId="0DE5EFF9">
        <w:tblPrEx>
          <w:tblCellMar>
            <w:top w:w="0" w:type="dxa"/>
            <w:left w:w="108" w:type="dxa"/>
            <w:bottom w:w="0" w:type="dxa"/>
            <w:right w:w="108" w:type="dxa"/>
          </w:tblCellMar>
        </w:tblPrEx>
        <w:trPr>
          <w:trHeight w:val="1329" w:hRule="atLeast"/>
          <w:jc w:val="center"/>
        </w:trPr>
        <w:tc>
          <w:tcPr>
            <w:tcW w:w="1062" w:type="dxa"/>
            <w:vMerge w:val="continue"/>
            <w:tcBorders>
              <w:left w:val="single" w:color="auto" w:sz="4" w:space="0"/>
              <w:right w:val="single" w:color="auto" w:sz="4" w:space="0"/>
            </w:tcBorders>
            <w:vAlign w:val="center"/>
          </w:tcPr>
          <w:p w14:paraId="29893C1A">
            <w:pPr>
              <w:spacing w:line="360" w:lineRule="auto"/>
              <w:jc w:val="center"/>
              <w:rPr>
                <w:rFonts w:cs="仿宋_GB2312" w:asciiTheme="minorEastAsia" w:hAnsiTheme="minorEastAsia"/>
                <w:color w:val="auto"/>
                <w:sz w:val="24"/>
                <w:szCs w:val="24"/>
                <w:highlight w:val="none"/>
              </w:rPr>
            </w:pPr>
          </w:p>
        </w:tc>
        <w:tc>
          <w:tcPr>
            <w:tcW w:w="2268" w:type="dxa"/>
            <w:tcBorders>
              <w:top w:val="nil"/>
              <w:left w:val="nil"/>
              <w:bottom w:val="single" w:color="auto" w:sz="4" w:space="0"/>
              <w:right w:val="single" w:color="auto" w:sz="4" w:space="0"/>
            </w:tcBorders>
            <w:vAlign w:val="center"/>
          </w:tcPr>
          <w:p w14:paraId="19E3A75E">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意外医疗费</w:t>
            </w:r>
          </w:p>
        </w:tc>
        <w:tc>
          <w:tcPr>
            <w:tcW w:w="1985" w:type="dxa"/>
            <w:tcBorders>
              <w:top w:val="nil"/>
              <w:left w:val="nil"/>
              <w:bottom w:val="single" w:color="auto" w:sz="4" w:space="0"/>
              <w:right w:val="single" w:color="auto" w:sz="4" w:space="0"/>
            </w:tcBorders>
            <w:vAlign w:val="center"/>
          </w:tcPr>
          <w:p w14:paraId="33D82012">
            <w:pPr>
              <w:spacing w:line="360" w:lineRule="auto"/>
              <w:ind w:firstLine="240" w:firstLineChars="1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w:t>
            </w:r>
            <w:r>
              <w:rPr>
                <w:rFonts w:cs="仿宋_GB2312" w:asciiTheme="minorEastAsia" w:hAnsiTheme="minorEastAsia"/>
                <w:color w:val="auto"/>
                <w:sz w:val="24"/>
                <w:szCs w:val="24"/>
                <w:highlight w:val="none"/>
              </w:rPr>
              <w:t>0000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tcBorders>
              <w:top w:val="nil"/>
              <w:left w:val="single" w:color="auto" w:sz="4" w:space="0"/>
              <w:bottom w:val="single" w:color="auto" w:sz="4" w:space="0"/>
              <w:right w:val="single" w:color="auto" w:sz="4" w:space="0"/>
            </w:tcBorders>
            <w:vAlign w:val="center"/>
          </w:tcPr>
          <w:p w14:paraId="39EA7C4F">
            <w:pPr>
              <w:spacing w:line="400" w:lineRule="exact"/>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因意外伤害产生的医疗费用，理赔范围以社保内的费用，其中因意外或急性病使用救护车，按实际产生的费用发票金额报销，单次限额</w:t>
            </w:r>
            <w:r>
              <w:rPr>
                <w:rFonts w:cs="仿宋_GB2312" w:asciiTheme="minorEastAsia" w:hAnsiTheme="minorEastAsia"/>
                <w:color w:val="auto"/>
                <w:sz w:val="24"/>
                <w:szCs w:val="24"/>
                <w:highlight w:val="none"/>
              </w:rPr>
              <w:t>1000</w:t>
            </w:r>
            <w:r>
              <w:rPr>
                <w:rFonts w:hint="eastAsia" w:cs="仿宋_GB2312" w:asciiTheme="minorEastAsia" w:hAnsiTheme="minorEastAsia"/>
                <w:color w:val="auto"/>
                <w:sz w:val="24"/>
                <w:szCs w:val="24"/>
                <w:highlight w:val="none"/>
              </w:rPr>
              <w:t>元，一年限两次。医院为公立的二级或二级以上。</w:t>
            </w:r>
          </w:p>
        </w:tc>
      </w:tr>
      <w:tr w14:paraId="51232CE8">
        <w:tblPrEx>
          <w:tblCellMar>
            <w:top w:w="0" w:type="dxa"/>
            <w:left w:w="108" w:type="dxa"/>
            <w:bottom w:w="0" w:type="dxa"/>
            <w:right w:w="108" w:type="dxa"/>
          </w:tblCellMar>
        </w:tblPrEx>
        <w:trPr>
          <w:trHeight w:val="531" w:hRule="atLeast"/>
          <w:jc w:val="center"/>
        </w:trPr>
        <w:tc>
          <w:tcPr>
            <w:tcW w:w="1062" w:type="dxa"/>
            <w:vMerge w:val="continue"/>
            <w:tcBorders>
              <w:left w:val="single" w:color="auto" w:sz="4" w:space="0"/>
              <w:right w:val="single" w:color="auto" w:sz="4" w:space="0"/>
            </w:tcBorders>
            <w:vAlign w:val="center"/>
          </w:tcPr>
          <w:p w14:paraId="290C6F8D">
            <w:pPr>
              <w:spacing w:line="360" w:lineRule="auto"/>
              <w:jc w:val="center"/>
              <w:rPr>
                <w:rFonts w:cs="仿宋_GB2312" w:asciiTheme="minorEastAsia" w:hAnsiTheme="minorEastAsia"/>
                <w:color w:val="auto"/>
                <w:sz w:val="24"/>
                <w:szCs w:val="24"/>
                <w:highlight w:val="none"/>
              </w:rPr>
            </w:pPr>
          </w:p>
        </w:tc>
        <w:tc>
          <w:tcPr>
            <w:tcW w:w="2268" w:type="dxa"/>
            <w:tcBorders>
              <w:top w:val="nil"/>
              <w:left w:val="nil"/>
              <w:bottom w:val="single" w:color="auto" w:sz="4" w:space="0"/>
              <w:right w:val="single" w:color="auto" w:sz="4" w:space="0"/>
            </w:tcBorders>
            <w:vAlign w:val="center"/>
          </w:tcPr>
          <w:p w14:paraId="0BFA6A17">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住院医疗费</w:t>
            </w:r>
          </w:p>
        </w:tc>
        <w:tc>
          <w:tcPr>
            <w:tcW w:w="1985" w:type="dxa"/>
            <w:tcBorders>
              <w:top w:val="nil"/>
              <w:left w:val="nil"/>
              <w:bottom w:val="single" w:color="auto" w:sz="4" w:space="0"/>
              <w:right w:val="single" w:color="auto" w:sz="4" w:space="0"/>
            </w:tcBorders>
            <w:vAlign w:val="center"/>
          </w:tcPr>
          <w:p w14:paraId="5CFDF711">
            <w:pPr>
              <w:spacing w:line="360" w:lineRule="auto"/>
              <w:ind w:firstLine="240" w:firstLineChars="100"/>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8000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p>
        </w:tc>
        <w:tc>
          <w:tcPr>
            <w:tcW w:w="4111" w:type="dxa"/>
            <w:tcBorders>
              <w:top w:val="nil"/>
              <w:left w:val="single" w:color="auto" w:sz="4" w:space="0"/>
              <w:bottom w:val="single" w:color="auto" w:sz="4" w:space="0"/>
              <w:right w:val="single" w:color="auto" w:sz="4" w:space="0"/>
            </w:tcBorders>
            <w:vAlign w:val="center"/>
          </w:tcPr>
          <w:p w14:paraId="1FCD3838">
            <w:pPr>
              <w:spacing w:line="400" w:lineRule="exact"/>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因疾病产生的住院医疗费用，理赔范围以社保内的费用，指定医院为公立的二级或二级以上医院。</w:t>
            </w:r>
          </w:p>
        </w:tc>
      </w:tr>
      <w:tr w14:paraId="6188111E">
        <w:tblPrEx>
          <w:tblCellMar>
            <w:top w:w="0" w:type="dxa"/>
            <w:left w:w="108" w:type="dxa"/>
            <w:bottom w:w="0" w:type="dxa"/>
            <w:right w:w="108" w:type="dxa"/>
          </w:tblCellMar>
        </w:tblPrEx>
        <w:trPr>
          <w:trHeight w:val="1245" w:hRule="atLeast"/>
          <w:jc w:val="center"/>
        </w:trPr>
        <w:tc>
          <w:tcPr>
            <w:tcW w:w="1062" w:type="dxa"/>
            <w:vMerge w:val="continue"/>
            <w:tcBorders>
              <w:left w:val="single" w:color="auto" w:sz="4" w:space="0"/>
              <w:right w:val="single" w:color="auto" w:sz="4" w:space="0"/>
            </w:tcBorders>
            <w:vAlign w:val="center"/>
          </w:tcPr>
          <w:p w14:paraId="18C9C856">
            <w:pPr>
              <w:spacing w:line="360" w:lineRule="auto"/>
              <w:jc w:val="center"/>
              <w:rPr>
                <w:rFonts w:cs="仿宋_GB2312" w:asciiTheme="minorEastAsia" w:hAnsiTheme="minorEastAsia"/>
                <w:color w:val="auto"/>
                <w:sz w:val="24"/>
                <w:szCs w:val="24"/>
                <w:highlight w:val="none"/>
              </w:rPr>
            </w:pPr>
          </w:p>
        </w:tc>
        <w:tc>
          <w:tcPr>
            <w:tcW w:w="2268" w:type="dxa"/>
            <w:tcBorders>
              <w:top w:val="nil"/>
              <w:left w:val="nil"/>
              <w:bottom w:val="single" w:color="auto" w:sz="4" w:space="0"/>
              <w:right w:val="single" w:color="auto" w:sz="4" w:space="0"/>
            </w:tcBorders>
            <w:vAlign w:val="center"/>
          </w:tcPr>
          <w:p w14:paraId="32DC1198">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住院津贴</w:t>
            </w:r>
          </w:p>
        </w:tc>
        <w:tc>
          <w:tcPr>
            <w:tcW w:w="1985" w:type="dxa"/>
            <w:tcBorders>
              <w:top w:val="nil"/>
              <w:left w:val="nil"/>
              <w:bottom w:val="single" w:color="auto" w:sz="4" w:space="0"/>
              <w:right w:val="single" w:color="auto" w:sz="4" w:space="0"/>
            </w:tcBorders>
            <w:vAlign w:val="center"/>
          </w:tcPr>
          <w:p w14:paraId="153E34CC">
            <w:pPr>
              <w:spacing w:line="360" w:lineRule="auto"/>
              <w:jc w:val="center"/>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150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天</w:t>
            </w:r>
          </w:p>
        </w:tc>
        <w:tc>
          <w:tcPr>
            <w:tcW w:w="4111" w:type="dxa"/>
            <w:tcBorders>
              <w:top w:val="nil"/>
              <w:left w:val="single" w:color="auto" w:sz="4" w:space="0"/>
              <w:bottom w:val="single" w:color="auto" w:sz="4" w:space="0"/>
              <w:right w:val="single" w:color="auto" w:sz="4" w:space="0"/>
            </w:tcBorders>
            <w:vAlign w:val="center"/>
          </w:tcPr>
          <w:p w14:paraId="19DB4C72">
            <w:pPr>
              <w:spacing w:line="400" w:lineRule="exact"/>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因意外伤害或疾病住院，公立的二级或二级以上医院，按实际住院日数给付，累计给付日数以一百八十日为限。</w:t>
            </w:r>
          </w:p>
        </w:tc>
      </w:tr>
      <w:tr w14:paraId="29F08C3C">
        <w:tblPrEx>
          <w:tblCellMar>
            <w:top w:w="0" w:type="dxa"/>
            <w:left w:w="108" w:type="dxa"/>
            <w:bottom w:w="0" w:type="dxa"/>
            <w:right w:w="108" w:type="dxa"/>
          </w:tblCellMar>
        </w:tblPrEx>
        <w:trPr>
          <w:trHeight w:val="1697" w:hRule="atLeast"/>
          <w:jc w:val="center"/>
        </w:trPr>
        <w:tc>
          <w:tcPr>
            <w:tcW w:w="1062" w:type="dxa"/>
            <w:vMerge w:val="continue"/>
            <w:tcBorders>
              <w:left w:val="single" w:color="auto" w:sz="4" w:space="0"/>
              <w:bottom w:val="single" w:color="auto" w:sz="4" w:space="0"/>
              <w:right w:val="single" w:color="auto" w:sz="4" w:space="0"/>
            </w:tcBorders>
            <w:vAlign w:val="center"/>
          </w:tcPr>
          <w:p w14:paraId="67E8833F">
            <w:pPr>
              <w:spacing w:line="360" w:lineRule="auto"/>
              <w:jc w:val="center"/>
              <w:rPr>
                <w:rFonts w:cs="仿宋_GB2312" w:asciiTheme="minorEastAsia" w:hAnsiTheme="minorEastAsia"/>
                <w:color w:val="auto"/>
                <w:sz w:val="24"/>
                <w:szCs w:val="24"/>
                <w:highlight w:val="none"/>
              </w:rPr>
            </w:pPr>
          </w:p>
        </w:tc>
        <w:tc>
          <w:tcPr>
            <w:tcW w:w="2268" w:type="dxa"/>
            <w:tcBorders>
              <w:top w:val="nil"/>
              <w:left w:val="nil"/>
              <w:bottom w:val="single" w:color="auto" w:sz="4" w:space="0"/>
              <w:right w:val="single" w:color="auto" w:sz="4" w:space="0"/>
            </w:tcBorders>
            <w:vAlign w:val="center"/>
          </w:tcPr>
          <w:p w14:paraId="7563DBB3">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重症监护</w:t>
            </w:r>
          </w:p>
        </w:tc>
        <w:tc>
          <w:tcPr>
            <w:tcW w:w="1985" w:type="dxa"/>
            <w:tcBorders>
              <w:top w:val="nil"/>
              <w:left w:val="nil"/>
              <w:bottom w:val="single" w:color="auto" w:sz="4" w:space="0"/>
              <w:right w:val="single" w:color="auto" w:sz="4" w:space="0"/>
            </w:tcBorders>
            <w:vAlign w:val="center"/>
          </w:tcPr>
          <w:p w14:paraId="7DC6E27B">
            <w:pPr>
              <w:spacing w:line="360" w:lineRule="auto"/>
              <w:jc w:val="center"/>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200</w:t>
            </w:r>
            <w:r>
              <w:rPr>
                <w:rFonts w:hint="eastAsia" w:cs="仿宋_GB2312" w:asciiTheme="minorEastAsia" w:hAnsiTheme="minorEastAsia"/>
                <w:color w:val="auto"/>
                <w:sz w:val="24"/>
                <w:szCs w:val="24"/>
                <w:highlight w:val="none"/>
              </w:rPr>
              <w:t>元</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人</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天</w:t>
            </w:r>
          </w:p>
        </w:tc>
        <w:tc>
          <w:tcPr>
            <w:tcW w:w="4111" w:type="dxa"/>
            <w:tcBorders>
              <w:top w:val="nil"/>
              <w:left w:val="single" w:color="auto" w:sz="4" w:space="0"/>
              <w:bottom w:val="single" w:color="auto" w:sz="4" w:space="0"/>
              <w:right w:val="single" w:color="auto" w:sz="4" w:space="0"/>
            </w:tcBorders>
            <w:vAlign w:val="center"/>
          </w:tcPr>
          <w:p w14:paraId="29CE951E">
            <w:pPr>
              <w:spacing w:line="400" w:lineRule="exact"/>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因意外伤害或疾病入住重症监护病房治疗，公立的二级或二级以上医院，按实际入住重症监护病房日数给付，累计给付日数以一百八十日为限。</w:t>
            </w:r>
          </w:p>
        </w:tc>
      </w:tr>
    </w:tbl>
    <w:p w14:paraId="49ED4412">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保险责任</w:t>
      </w:r>
    </w:p>
    <w:p w14:paraId="0DB34705">
      <w:pPr>
        <w:pStyle w:val="232"/>
        <w:numPr>
          <w:ilvl w:val="0"/>
          <w:numId w:val="2"/>
        </w:num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独生子女家庭</w:t>
      </w:r>
    </w:p>
    <w:p w14:paraId="5CC204FB">
      <w:pPr>
        <w:pStyle w:val="962"/>
        <w:rPr>
          <w:rFonts w:asciiTheme="minorEastAsia" w:hAnsiTheme="minorEastAsia" w:eastAsiaTheme="minorEastAsia"/>
          <w:color w:val="auto"/>
          <w:sz w:val="24"/>
          <w:szCs w:val="24"/>
          <w:highlight w:val="none"/>
        </w:rPr>
      </w:pPr>
    </w:p>
    <w:p w14:paraId="66547A2F">
      <w:pPr>
        <w:pStyle w:val="255"/>
        <w:numPr>
          <w:ilvl w:val="0"/>
          <w:numId w:val="3"/>
        </w:numPr>
        <w:adjustRightInd/>
        <w:ind w:left="42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独生子女群体</w:t>
      </w:r>
    </w:p>
    <w:p w14:paraId="32B95BC6">
      <w:pPr>
        <w:spacing w:line="360" w:lineRule="auto"/>
        <w:ind w:firstLine="600" w:firstLineChars="25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在本合同保险期内，乙方须承担以下保险责任：</w:t>
      </w:r>
    </w:p>
    <w:p w14:paraId="7A8450A0">
      <w:pPr>
        <w:pStyle w:val="232"/>
        <w:spacing w:line="360"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意外身故、伤残责任</w:t>
      </w:r>
    </w:p>
    <w:p w14:paraId="56D442A2">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被保险人遭受意外伤害，并自该意外伤害发生之日起一百八十日内因该意外伤害导致身故的，乙方按该被保险人的保险金额扣除已给付伤残保险金后的余额给付身故保险金，本合同对该被保险人的责任终止。</w:t>
      </w:r>
    </w:p>
    <w:p w14:paraId="17136A1F">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被保险人遭受意外伤害，并自该意外伤害发生之日起一百八十日内因该意外伤害导致身体伤残的，乙方根据《人身保险伤残评定标准（行业标准）》（以下简称《标准》）的规定，按本合同约定的该被保险人的保险金额乘以该处伤残的伤残等级所对应的保险金给付比例给付伤残保险金。</w:t>
      </w:r>
    </w:p>
    <w:p w14:paraId="65A274B9">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当同一保险事故导致两处或两处以上伤残时，乙方仅按其中一处的伤残等级给付伤残保险金：如果各处的伤残等级不完全相同且最重的伤残等级所对应的伤残只有一处，乙方按最重的伤残等级所对应的保险金给付比例给付伤残保险金；如果各处的伤残等级完全相同或最重的伤残等级所对应的伤残有两处或两处以上，乙方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2EB0DB94">
      <w:pPr>
        <w:adjustRightInd w:val="0"/>
        <w:snapToGrid w:val="0"/>
        <w:spacing w:line="360" w:lineRule="auto"/>
        <w:ind w:firstLine="42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（3）乙方对每一被保险人给付的保险金以该被保险人的保险金额为限，一次或累计给付的保险金达到该被保险人的保险金额时，本合同对该被保险人的保险责任终止。</w:t>
      </w:r>
    </w:p>
    <w:p w14:paraId="2A9FE349">
      <w:pPr>
        <w:pStyle w:val="232"/>
        <w:spacing w:line="360"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疾病身故责任</w:t>
      </w:r>
    </w:p>
    <w:p w14:paraId="555CF023">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被保险人在本合同约定的等待期后因疾病身故，本合同对该被保险人的保险责任终止，</w:t>
      </w:r>
      <w:r>
        <w:rPr>
          <w:rFonts w:hint="eastAsia" w:cs="仿宋_GB2312" w:asciiTheme="minorEastAsia" w:hAnsiTheme="minorEastAsia"/>
          <w:color w:val="auto"/>
          <w:sz w:val="24"/>
          <w:szCs w:val="24"/>
          <w:highlight w:val="none"/>
        </w:rPr>
        <w:t>乙方</w:t>
      </w:r>
      <w:r>
        <w:rPr>
          <w:rFonts w:cs="仿宋_GB2312" w:asciiTheme="minorEastAsia" w:hAnsiTheme="minorEastAsia"/>
          <w:color w:val="auto"/>
          <w:sz w:val="24"/>
          <w:szCs w:val="24"/>
          <w:highlight w:val="none"/>
        </w:rPr>
        <w:t>按保险单载明的该被保险人的保险金额给付保险金</w:t>
      </w:r>
      <w:r>
        <w:rPr>
          <w:rFonts w:hint="eastAsia" w:cs="仿宋_GB2312" w:asciiTheme="minorEastAsia" w:hAnsiTheme="minorEastAsia"/>
          <w:color w:val="auto"/>
          <w:sz w:val="24"/>
          <w:szCs w:val="24"/>
          <w:highlight w:val="none"/>
        </w:rPr>
        <w:t>。</w:t>
      </w:r>
    </w:p>
    <w:p w14:paraId="18216E17">
      <w:pPr>
        <w:autoSpaceDE w:val="0"/>
        <w:autoSpaceDN w:val="0"/>
        <w:adjustRightInd w:val="0"/>
        <w:spacing w:line="360" w:lineRule="auto"/>
        <w:ind w:firstLine="570"/>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重大疾病责任</w:t>
      </w:r>
    </w:p>
    <w:p w14:paraId="7D276D3C">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被保险人发生符合以下定义所述条件的疾病、疾病状态或手术，共50种重症和10种轻症。</w:t>
      </w:r>
    </w:p>
    <w:p w14:paraId="09CDB7EE">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50种重症病种类型包括：（1）恶性肿瘤——重度（2） 较重急性心肌梗死</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（3）严重脑中风后遗症（4）重大器官移植术或造血干细胞移植术（5）冠状动脉搭桥术（或称冠状动脉旁路移植术）（6）严重慢性肾衰竭（7）多个肢体缺失（8）急性重症肝炎或亚急性重症肝炎（9） 严重非恶性颅内肿瘤：指起源于脑、脑神经、脑被膜的非恶性肿瘤（10）严重慢性肝衰竭（11）严重脑炎后遗症或严重脑膜炎后遗症（12）深度昏迷（13）特定年龄双耳失聪（14）特定年龄双目失明</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（15）瘫痪（16）心脏瓣膜手术（17）严重阿尔茨海默病（18）严重脑损伤（19） 严重原发性帕金森病（20）严重Ⅲ度烧伤（21）严重原发性肺动脉高压（22）严重运动神经元病（23）语言能力丧失（24）重型再生障碍性贫血（25）主动脉手术（26）严重慢性呼吸衰竭 （27）严重克罗恩病 （28）严重溃疡性结肠炎（29） 严重原发性心肌病（30）严重多发性硬化症 （31）严重脊髓灰质炎 （32）严重类风湿性关节炎（33）严重系统性红斑狼疮性肾病 （34）植物人状态 （35）严重胰岛素依赖型糖尿病（36）严重冠心病 （37）急性坏死性胰腺炎开腹手术（38）经输血导致的人类免疫缺陷病毒感染 （39）非阿尔茨海默病所致严重痴呆 （40）严重弥漫性系统性硬皮病 （41） 重症急性坏死性筋膜炎 （42）埃博拉出血热 （43）严重感染性心内膜炎 （44） 胰腺移植 （45） 严重自身免疫性肝炎 （46） 原发性硬化性胆管炎 （47） 头臂动脉型多发性大动脉炎旁路移植手术 （48） 溶血性链球菌性坏疽 （49）克-雅氏病（CJD、人类疯牛病）（50）丝虫病所致象皮肿</w:t>
      </w:r>
    </w:p>
    <w:p w14:paraId="78F704FA">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10种轻度疾病病种类型包括：</w:t>
      </w:r>
    </w:p>
    <w:p w14:paraId="762396DB">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（1）恶性肿瘤——轻度（ 2） 较轻急性心肌梗死（ 3 ）轻度脑中风后遗症（ 4）原位癌 （5）冠状动脉介入手术（ 6） 特定面积Ⅲ度烧伤 （7）主动脉介入手术（8 ）严重脑垂体瘤、脑囊肿、颅内血管性疾病（如脑动脉瘤、脑动静脉畸形、海绵状血管瘤、毛细血管扩张症等）（9 ）特定年龄视力受损（ 10）中度原发性帕金森病（病种解释详见具体条款）</w:t>
      </w:r>
    </w:p>
    <w:p w14:paraId="4F83FDBC">
      <w:pPr>
        <w:spacing w:line="360" w:lineRule="auto"/>
        <w:ind w:firstLine="602" w:firstLineChars="250"/>
        <w:rPr>
          <w:rFonts w:cs="仿宋_GB2312" w:asciiTheme="minorEastAsia" w:hAnsiTheme="minorEastAsia"/>
          <w:color w:val="auto"/>
          <w:sz w:val="24"/>
          <w:szCs w:val="24"/>
          <w:highlight w:val="none"/>
        </w:rPr>
      </w:pPr>
      <w:r>
        <w:rPr>
          <w:rFonts w:hint="eastAsia" w:cs="仿宋_GB2312" w:asciiTheme="minorEastAsia" w:hAnsiTheme="minorEastAsia"/>
          <w:b/>
          <w:color w:val="auto"/>
          <w:sz w:val="24"/>
          <w:szCs w:val="24"/>
          <w:highlight w:val="none"/>
        </w:rPr>
        <w:t>2</w:t>
      </w:r>
      <w:r>
        <w:rPr>
          <w:rFonts w:hint="eastAsia" w:cs="仿宋_GB2312" w:asciiTheme="minorEastAsia" w:hAnsiTheme="minorEastAsia"/>
          <w:color w:val="auto"/>
          <w:sz w:val="24"/>
          <w:szCs w:val="24"/>
          <w:highlight w:val="none"/>
        </w:rPr>
        <w:t>、父母（双亲、单亲）群体</w:t>
      </w:r>
    </w:p>
    <w:p w14:paraId="7F08A0E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在本合同保险期内，乙方须承担以下保险责任：</w:t>
      </w:r>
    </w:p>
    <w:p w14:paraId="7F7281BB">
      <w:pPr>
        <w:pStyle w:val="232"/>
        <w:spacing w:line="360"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意外身故、伤残责任</w:t>
      </w:r>
    </w:p>
    <w:p w14:paraId="73753BCB">
      <w:pPr>
        <w:pStyle w:val="232"/>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被保险人遭受意外伤害，并自该意外伤害发生之日起一百八十日内因该意外伤害导致身故的，乙方按该被保险人的保险金额扣除已给付伤残保险金后的余额给付身故保险金，本合同对该被保险人的责任终止。</w:t>
      </w:r>
    </w:p>
    <w:p w14:paraId="18462E49">
      <w:pPr>
        <w:pStyle w:val="232"/>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（2）被保险人遭受意外伤害，并自该意外伤害发生之日起一百八十日内因该意外伤害导致身体伤残的，乙方根据《劳动能力鉴定 职工工伤与职业病致残等级》（GB/T 16180-2014）（国家质量监督检验检疫总局、国家标准化管理委员会发布，《中华人民共和国国家标准批准发布公告2014年第10号（总第97号）》）确定的伤残程度和《工伤伤残程度与保险金给付比例表》的规定，按该被保险人的保险金额乘以该项伤残所对应的给付比例给付伤残保险金。不同伤残等级给付比例为：第一级按基本保额的100%给付，第二级按基本保额的75%给付，第三级按基本保额的50%给付，第四级按基本保额的30%给付，第五级按基本保额的20%给付，第六级按基本保额的15%给付，第七级按基本保额的10%给付，第八级按基本保额的7%给付，第九级按基本保额的5%给付，第十级按基本保额的3%给付。本公司按本合同约定的意外伤害保险金额乘以该项残疾所对应的给付比例给付残疾保险金。被保险人因同一意外伤害造成一项以上身体伤残时，乙方给付对应项伤残保险金之和。但不同伤残项目属于同一肢时，乙方仅给付其中一项伤残保险金。如伤残项目所对应的给付比例不同，乙方仅给付其中比例较高一项的伤残保险金。</w:t>
      </w:r>
    </w:p>
    <w:p w14:paraId="35F0067D">
      <w:pPr>
        <w:pStyle w:val="232"/>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（3）乙方对每一被保险人给付的保险金以该被保险人的保险金额为限，一次或累计给付的保险金达到该被保险人的保险金额时，本合同对该被保险人的保险责任终止。</w:t>
      </w:r>
    </w:p>
    <w:p w14:paraId="7618A0DD">
      <w:pPr>
        <w:pStyle w:val="232"/>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（二）计划生育特殊及伤残家庭群体</w:t>
      </w:r>
    </w:p>
    <w:p w14:paraId="280F08C9">
      <w:pPr>
        <w:pStyle w:val="232"/>
        <w:spacing w:line="360" w:lineRule="auto"/>
        <w:ind w:firstLine="723" w:firstLineChars="3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失独父母及计生伤残家庭人员</w:t>
      </w:r>
    </w:p>
    <w:p w14:paraId="67A10CF3">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在本合同保险期内，乙方须承担以下保险责任：</w:t>
      </w:r>
    </w:p>
    <w:p w14:paraId="2AE41B92">
      <w:pPr>
        <w:pStyle w:val="232"/>
        <w:spacing w:line="360" w:lineRule="auto"/>
        <w:ind w:firstLine="723" w:firstLineChars="3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意外身故、伤残责任</w:t>
      </w:r>
    </w:p>
    <w:p w14:paraId="12E02329">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被保险人遭受意外伤害，并自该意外伤害发生之日起一百八十日内因该意外伤害导致身故的，乙方按该被保险人的保险金额扣除已给付伤残保险金后的余额给付身故保险金，本合同对该被保险人的责任终止。</w:t>
      </w:r>
    </w:p>
    <w:p w14:paraId="2B1A5302">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被保险人遭受意外伤害，并自该意外伤害发生之日起一百八十日内因该意外伤害导致身体伤残的，乙方根据《人身保险伤残评定标准（行业标准）》（以下简称《标准》）的规定，按本合同约定的该被保险人的保险金额乘以该处伤残的伤残等级所对应的保险金给付比例给付伤残保险金。</w:t>
      </w:r>
    </w:p>
    <w:p w14:paraId="78A4BFCE">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当同一保险事故导致两处或两处以上伤残时，乙方仅按其中一处的伤残等级给付伤残保险金：如果各处的伤残等级不完全相同且最重的伤残等级所对应的伤残只有一处，乙方按最重的伤残等级所对应的保险金给付比例给付伤残保险金；如果各处的伤残等级完全相同或最重的伤残等级所对应的伤残有两处或两处以上，乙方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00012BFC">
      <w:pPr>
        <w:adjustRightInd w:val="0"/>
        <w:snapToGrid w:val="0"/>
        <w:spacing w:line="360" w:lineRule="auto"/>
        <w:ind w:firstLine="42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（3）乙方对每一被保险人给付的保险金以该被保险人的保险金额为限，一次或累计给付的保险金达到该被保险人的保险金额时，本合同对该被保险人的保险责任终止。</w:t>
      </w:r>
    </w:p>
    <w:p w14:paraId="1CEE7738">
      <w:pPr>
        <w:pStyle w:val="232"/>
        <w:spacing w:line="360"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疾病身故责任</w:t>
      </w:r>
    </w:p>
    <w:p w14:paraId="6A288F52">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rPr>
        <w:t>被保险人在本合同约定的等待期后因疾病身故，本合同对该被保险人的保险责任终止，</w:t>
      </w:r>
      <w:r>
        <w:rPr>
          <w:rFonts w:hint="eastAsia" w:cs="仿宋_GB2312" w:asciiTheme="minorEastAsia" w:hAnsiTheme="minorEastAsia"/>
          <w:color w:val="auto"/>
          <w:sz w:val="24"/>
          <w:szCs w:val="24"/>
          <w:highlight w:val="none"/>
        </w:rPr>
        <w:t>乙方</w:t>
      </w:r>
      <w:r>
        <w:rPr>
          <w:rFonts w:cs="仿宋_GB2312" w:asciiTheme="minorEastAsia" w:hAnsiTheme="minorEastAsia"/>
          <w:color w:val="auto"/>
          <w:sz w:val="24"/>
          <w:szCs w:val="24"/>
          <w:highlight w:val="none"/>
        </w:rPr>
        <w:t>按保险单载明的该被保险人的保险金额给付保险金</w:t>
      </w:r>
      <w:r>
        <w:rPr>
          <w:rFonts w:hint="eastAsia" w:cs="仿宋_GB2312" w:asciiTheme="minorEastAsia" w:hAnsiTheme="minorEastAsia"/>
          <w:color w:val="auto"/>
          <w:sz w:val="24"/>
          <w:szCs w:val="24"/>
          <w:highlight w:val="none"/>
        </w:rPr>
        <w:t>。</w:t>
      </w:r>
    </w:p>
    <w:p w14:paraId="44C36830">
      <w:pPr>
        <w:autoSpaceDE w:val="0"/>
        <w:autoSpaceDN w:val="0"/>
        <w:adjustRightInd w:val="0"/>
        <w:spacing w:line="360" w:lineRule="auto"/>
        <w:ind w:firstLine="570"/>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重大疾病责任</w:t>
      </w:r>
    </w:p>
    <w:p w14:paraId="106FEA2A">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被保险人发生符合以下定义所述条件的疾病、疾病状态或手术，共50种重症和10种轻症。（病种内容参照独生子女重大疾病项）</w:t>
      </w:r>
    </w:p>
    <w:p w14:paraId="679074F2">
      <w:pPr>
        <w:autoSpaceDE w:val="0"/>
        <w:autoSpaceDN w:val="0"/>
        <w:adjustRightInd w:val="0"/>
        <w:spacing w:line="360" w:lineRule="auto"/>
        <w:ind w:firstLine="570"/>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意外医疗费用补偿</w:t>
      </w:r>
    </w:p>
    <w:p w14:paraId="19F00022">
      <w:pPr>
        <w:autoSpaceDE w:val="0"/>
        <w:autoSpaceDN w:val="0"/>
        <w:adjustRightInd w:val="0"/>
        <w:spacing w:line="360" w:lineRule="auto"/>
        <w:ind w:firstLine="57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被保险人遭受意外伤害，并因该意外伤害在二级以上（含二级）公立医院或乙方认可的其他医疗机构诊疗，对被保险人实际支出的符合当地社会基本医疗保险支付范围的医疗费用，乙方每次扣除免赔额后，对其余额按本附加合同约定的给付比例给付保险金。其中，免赔额和给付比例由投保人在投保时与乙方协商确定并在保险单上载明。若被保险人已从当地社会基本医疗保险、公费医疗或其他途径获得补偿或给付，乙方对剩余未获补偿或给付的部分按上述规定给付保险金。保险期间届满被保险人治疗仍未结束的，乙方承担给付保险金责任的期限，自保险期间届满次日起，门（急）诊治疗最长为连续十五日；住院治疗至被保险人出院之日止，但最长为连续九十日。乙方对每一被保险人给付的保险金以该被保险人的保险金额为限，一次或累计给付的保险金达到该被保险人的保险金额时，本附加合同对该被保险人的保险责任终止。</w:t>
      </w:r>
    </w:p>
    <w:p w14:paraId="618D7504">
      <w:pPr>
        <w:autoSpaceDE w:val="0"/>
        <w:autoSpaceDN w:val="0"/>
        <w:adjustRightInd w:val="0"/>
        <w:spacing w:line="360" w:lineRule="auto"/>
        <w:ind w:firstLine="570"/>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疾病住院医疗费用</w:t>
      </w:r>
    </w:p>
    <w:p w14:paraId="78628A68">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被保险人在等待期（连续投保的，不受等待期的限制）后因疾病在二级以上（含二级）公立医院或乙方认可的其他医疗机构住院诊疗，对被保险人实际支出的、符合当地社会基本医疗保险支付范围的住院医疗费用，乙方按本附加合同约定的给付比例给付保险金。其中，等待期和给付比例由投保人在投保时与乙方协商确定并在保险单上载明。若被保险人已从当地社会基本医疗保险、公费医疗或其他途径获得补偿或给付，乙方对剩余未获补偿或给付的部分按上述规定给付保险金。保险期间届满被保险人治疗仍未结束的，乙方承担给付保险金责任的期限，自保险期间届满次日起至出院之日止，但最长为连续九十日。乙方对每一被保险人给付的保险金以该被保险人的保险金额为限，一次或累计给付的保险金达到该被保险人的保险金额时，本附加合同对该被保险人的保险责任终止。</w:t>
      </w:r>
    </w:p>
    <w:p w14:paraId="1513A8C6">
      <w:pPr>
        <w:autoSpaceDE w:val="0"/>
        <w:autoSpaceDN w:val="0"/>
        <w:adjustRightInd w:val="0"/>
        <w:spacing w:line="360" w:lineRule="auto"/>
        <w:ind w:firstLine="570"/>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住院津贴</w:t>
      </w:r>
    </w:p>
    <w:p w14:paraId="3934A364">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被保险人遭受意外伤害或在等待期（连续投保的，不受等待期的限制）后因疾病在二级以上（含二级）公立医院或乙方认可的其他医疗机构住院诊疗，乙方按本附加合同约定的住院日定额给付金额乘以实际住院日数给付保险金，但对该每次住院的给付日数以九十日为限。其中，等待期由投保人在投保时与乙方协商确定并在保险单上载明。该被保险人多次住院的，累计给付日数以一百八十日为限。若该被保险人本次住院治疗与前次住院原因相同，并且前次出院与本次入院间隔不超过三十日，则本次住院与前次住院视为同一次住院。</w:t>
      </w:r>
    </w:p>
    <w:p w14:paraId="3CF6AAD2">
      <w:pPr>
        <w:autoSpaceDE w:val="0"/>
        <w:autoSpaceDN w:val="0"/>
        <w:adjustRightInd w:val="0"/>
        <w:spacing w:line="360" w:lineRule="auto"/>
        <w:ind w:firstLine="482" w:firstLineChars="200"/>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重症监护津贴</w:t>
      </w:r>
    </w:p>
    <w:p w14:paraId="5781AEDE">
      <w:pPr>
        <w:autoSpaceDE w:val="0"/>
        <w:autoSpaceDN w:val="0"/>
        <w:adjustRightInd w:val="0"/>
        <w:spacing w:line="360" w:lineRule="auto"/>
        <w:ind w:firstLine="480" w:firstLineChars="200"/>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被保险人遭受意外伤害或在等待期（连续投保的，不受等待期的限制）后因疾病在二级以上（含二级）公立医院或乙方认可的其他医疗机构入住重症监护病房治疗，乙方按本附加合同约定的重症监护日定额给付金额乘以实际入住重症监护病房日数给付保险金，但对每次入住重症监护病房的给付日数以九十日为限。其中，等待期由投保人在投保时与乙方协商确定并在保险单上载明。该被保险人多次入住重症监护病房的，累计给付日数以一百八十日为限。若该被保险人本次入住重症监护病房治疗与前次入住原因相同，并且前次离开与本次入住间隔不超过三十日，则本次入住与前次入住视为同一次入住重症监护病房。</w:t>
      </w:r>
    </w:p>
    <w:p w14:paraId="5499FBA3">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其它责任</w:t>
      </w:r>
    </w:p>
    <w:p w14:paraId="143C4B87">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1.乙方应当围绕保险方案的实施，实现信息化管理，建立内部管理机制，与甲方协调工作，互联服务管理信息平台，为被保险人建立平安保险咨询绿色服务通道。</w:t>
      </w:r>
    </w:p>
    <w:p w14:paraId="4FE99EF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2.乙方应当建立信访投诉调解制度，配备有法律知识背景的专业接待人员负责调解解释工作，经办场所设专门的调解室，并建立信访投诉台账资料。</w:t>
      </w:r>
    </w:p>
    <w:p w14:paraId="030F1785">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3.甲方每年对乙方在招标时承诺的服务项目进行考核，乙方应积极配合甲方考核工作。</w:t>
      </w:r>
    </w:p>
    <w:p w14:paraId="71FB467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4.乙方应加强服务能力建设，建立平安保险专业队伍，定期进行专业培训和服务质量考评，提升平安保险服务人员的综合素质。</w:t>
      </w:r>
    </w:p>
    <w:p w14:paraId="55A7050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 计生家庭系列保险要求：</w:t>
      </w:r>
    </w:p>
    <w:p w14:paraId="0EB6601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w:t>
      </w:r>
      <w:r>
        <w:rPr>
          <w:rFonts w:cs="仿宋_GB2312" w:asciiTheme="minorEastAsia" w:hAnsiTheme="minorEastAsia"/>
          <w:color w:val="auto"/>
          <w:sz w:val="24"/>
          <w:szCs w:val="24"/>
          <w:highlight w:val="none"/>
        </w:rPr>
        <w:t>1</w:t>
      </w:r>
      <w:r>
        <w:rPr>
          <w:rFonts w:hint="eastAsia" w:cs="仿宋_GB2312" w:asciiTheme="minorEastAsia" w:hAnsiTheme="minorEastAsia"/>
          <w:color w:val="auto"/>
          <w:sz w:val="24"/>
          <w:szCs w:val="24"/>
          <w:highlight w:val="none"/>
        </w:rPr>
        <w:t xml:space="preserve">）被保险人在保险期间内因患疾病死亡或者重疾的，无论是否是由于既往疾病导致的，投标方应给予理赔； </w:t>
      </w:r>
    </w:p>
    <w:p w14:paraId="124552CA">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w:t>
      </w:r>
      <w:r>
        <w:rPr>
          <w:rFonts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rPr>
        <w:t>）因既往病史引起的住院医疗费、住院津贴、重症监护津贴、疾病身故等保险公司给予赔付；</w:t>
      </w:r>
    </w:p>
    <w:p w14:paraId="49D8114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w:t>
      </w:r>
      <w:r>
        <w:rPr>
          <w:rFonts w:cs="仿宋_GB2312"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rPr>
        <w:t>）因意外伤害或疾病引起的住院医疗费、住院津贴、重症监护津贴，如跨保单年度，则理赔至本次治疗结束。</w:t>
      </w:r>
    </w:p>
    <w:p w14:paraId="321FEBA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（4-1） 50种重大疾病病种类型包括：</w:t>
      </w:r>
    </w:p>
    <w:p w14:paraId="72DC4C81">
      <w:pPr>
        <w:spacing w:line="360"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     1、恶性肿瘤</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重度</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2、 较重急性心肌梗死</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3、严重脑中风后遗症4、重大器官移植术或造血干细胞移植术5、冠状动脉搭桥术（或称冠状动脉旁路移植术）6、严重慢性肾衰竭7、多个肢体缺失</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8、急性重症肝炎或亚急性重症肝炎</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9、</w:t>
      </w:r>
      <w:r>
        <w:rPr>
          <w:rFonts w:cs="仿宋_GB2312" w:asciiTheme="minorEastAsia" w:hAnsiTheme="minorEastAsia"/>
          <w:color w:val="auto"/>
          <w:sz w:val="24"/>
          <w:szCs w:val="24"/>
          <w:highlight w:val="none"/>
        </w:rPr>
        <w:t xml:space="preserve"> 严重非恶性颅内肿瘤：指起源于脑、脑神经、脑被膜的非恶性肿瘤</w:t>
      </w:r>
      <w:r>
        <w:rPr>
          <w:rFonts w:hint="eastAsia" w:cs="仿宋_GB2312" w:asciiTheme="minorEastAsia" w:hAnsiTheme="minorEastAsia"/>
          <w:color w:val="auto"/>
          <w:sz w:val="24"/>
          <w:szCs w:val="24"/>
          <w:highlight w:val="none"/>
        </w:rPr>
        <w:t>10、</w:t>
      </w:r>
      <w:r>
        <w:rPr>
          <w:rFonts w:cs="仿宋_GB2312" w:asciiTheme="minorEastAsia" w:hAnsiTheme="minorEastAsia"/>
          <w:color w:val="auto"/>
          <w:sz w:val="24"/>
          <w:szCs w:val="24"/>
          <w:highlight w:val="none"/>
        </w:rPr>
        <w:t>严重慢性肝衰竭</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11、</w:t>
      </w:r>
      <w:r>
        <w:rPr>
          <w:rFonts w:cs="仿宋_GB2312" w:asciiTheme="minorEastAsia" w:hAnsiTheme="minorEastAsia"/>
          <w:color w:val="auto"/>
          <w:sz w:val="24"/>
          <w:szCs w:val="24"/>
          <w:highlight w:val="none"/>
        </w:rPr>
        <w:t>严重脑炎后遗症或严重</w:t>
      </w:r>
      <w:r>
        <w:rPr>
          <w:rFonts w:hint="eastAsia" w:cs="仿宋_GB2312" w:asciiTheme="minorEastAsia" w:hAnsiTheme="minorEastAsia"/>
          <w:color w:val="auto"/>
          <w:sz w:val="24"/>
          <w:szCs w:val="24"/>
          <w:highlight w:val="none"/>
        </w:rPr>
        <w:t>脑膜炎后遗症 12、深度昏迷13、</w:t>
      </w:r>
      <w:r>
        <w:rPr>
          <w:rFonts w:cs="仿宋_GB2312" w:asciiTheme="minorEastAsia" w:hAnsiTheme="minorEastAsia"/>
          <w:color w:val="auto"/>
          <w:sz w:val="24"/>
          <w:szCs w:val="24"/>
          <w:highlight w:val="none"/>
        </w:rPr>
        <w:t>特定年龄双耳失聪</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14、</w:t>
      </w:r>
      <w:r>
        <w:rPr>
          <w:rFonts w:cs="仿宋_GB2312" w:asciiTheme="minorEastAsia" w:hAnsiTheme="minorEastAsia"/>
          <w:color w:val="auto"/>
          <w:sz w:val="24"/>
          <w:szCs w:val="24"/>
          <w:highlight w:val="none"/>
        </w:rPr>
        <w:t xml:space="preserve"> 特定年龄双目失明</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15、瘫痪16、心脏瓣膜手术</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17、严重阿尔茨海默病</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18、严重脑损伤19、</w:t>
      </w:r>
      <w:r>
        <w:rPr>
          <w:rFonts w:cs="仿宋_GB2312" w:asciiTheme="minorEastAsia" w:hAnsiTheme="minorEastAsia"/>
          <w:color w:val="auto"/>
          <w:sz w:val="24"/>
          <w:szCs w:val="24"/>
          <w:highlight w:val="none"/>
        </w:rPr>
        <w:t xml:space="preserve"> 严重原发性帕金森病</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20、严重Ⅲ度烧伤</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21、严重原发性肺动脉高压22、严重运动神经元病23、语言能力丧失</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24、重型再生障碍性贫血25、主动脉手术</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26、</w:t>
      </w:r>
      <w:r>
        <w:rPr>
          <w:rFonts w:cs="仿宋_GB2312" w:asciiTheme="minorEastAsia" w:hAnsiTheme="minorEastAsia"/>
          <w:color w:val="auto"/>
          <w:sz w:val="24"/>
          <w:szCs w:val="24"/>
          <w:highlight w:val="none"/>
        </w:rPr>
        <w:t xml:space="preserve"> 严重慢性呼吸衰竭</w:t>
      </w:r>
      <w:r>
        <w:rPr>
          <w:rFonts w:hint="eastAsia" w:cs="仿宋_GB2312" w:asciiTheme="minorEastAsia" w:hAnsiTheme="minorEastAsia"/>
          <w:color w:val="auto"/>
          <w:sz w:val="24"/>
          <w:szCs w:val="24"/>
          <w:highlight w:val="none"/>
        </w:rPr>
        <w:t xml:space="preserve"> 27、</w:t>
      </w:r>
      <w:r>
        <w:rPr>
          <w:rFonts w:cs="仿宋_GB2312" w:asciiTheme="minorEastAsia" w:hAnsiTheme="minorEastAsia"/>
          <w:color w:val="auto"/>
          <w:sz w:val="24"/>
          <w:szCs w:val="24"/>
          <w:highlight w:val="none"/>
        </w:rPr>
        <w:t>严重克罗恩病</w:t>
      </w:r>
      <w:r>
        <w:rPr>
          <w:rFonts w:hint="eastAsia" w:cs="仿宋_GB2312" w:asciiTheme="minorEastAsia" w:hAnsiTheme="minorEastAsia"/>
          <w:color w:val="auto"/>
          <w:sz w:val="24"/>
          <w:szCs w:val="24"/>
          <w:highlight w:val="none"/>
        </w:rPr>
        <w:t xml:space="preserve"> 28、</w:t>
      </w:r>
      <w:r>
        <w:rPr>
          <w:rFonts w:cs="仿宋_GB2312" w:asciiTheme="minorEastAsia" w:hAnsiTheme="minorEastAsia"/>
          <w:color w:val="auto"/>
          <w:sz w:val="24"/>
          <w:szCs w:val="24"/>
          <w:highlight w:val="none"/>
        </w:rPr>
        <w:t xml:space="preserve"> 严重溃疡性结肠炎</w:t>
      </w:r>
      <w:r>
        <w:rPr>
          <w:rFonts w:hint="eastAsia" w:cs="仿宋_GB2312" w:asciiTheme="minorEastAsia" w:hAnsiTheme="minorEastAsia"/>
          <w:color w:val="auto"/>
          <w:sz w:val="24"/>
          <w:szCs w:val="24"/>
          <w:highlight w:val="none"/>
        </w:rPr>
        <w:t>29、</w:t>
      </w:r>
      <w:r>
        <w:rPr>
          <w:rFonts w:cs="仿宋_GB2312" w:asciiTheme="minorEastAsia" w:hAnsiTheme="minorEastAsia"/>
          <w:color w:val="auto"/>
          <w:sz w:val="24"/>
          <w:szCs w:val="24"/>
          <w:highlight w:val="none"/>
        </w:rPr>
        <w:t xml:space="preserve"> 严重原发性心肌病</w:t>
      </w:r>
      <w:r>
        <w:rPr>
          <w:rFonts w:hint="eastAsia" w:cs="仿宋_GB2312" w:asciiTheme="minorEastAsia" w:hAnsiTheme="minorEastAsia"/>
          <w:color w:val="auto"/>
          <w:sz w:val="24"/>
          <w:szCs w:val="24"/>
          <w:highlight w:val="none"/>
        </w:rPr>
        <w:t>30、</w:t>
      </w:r>
      <w:r>
        <w:rPr>
          <w:rFonts w:cs="仿宋_GB2312" w:asciiTheme="minorEastAsia" w:hAnsiTheme="minorEastAsia"/>
          <w:color w:val="auto"/>
          <w:sz w:val="24"/>
          <w:szCs w:val="24"/>
          <w:highlight w:val="none"/>
        </w:rPr>
        <w:t xml:space="preserve"> 严重多发性硬化症</w:t>
      </w:r>
      <w:r>
        <w:rPr>
          <w:rFonts w:hint="eastAsia" w:cs="仿宋_GB2312" w:asciiTheme="minorEastAsia" w:hAnsiTheme="minorEastAsia"/>
          <w:color w:val="auto"/>
          <w:sz w:val="24"/>
          <w:szCs w:val="24"/>
          <w:highlight w:val="none"/>
        </w:rPr>
        <w:t xml:space="preserve"> 31、严重脊髓灰质炎 32</w:t>
      </w:r>
      <w:r>
        <w:rPr>
          <w:rFonts w:cs="仿宋_GB2312" w:asciiTheme="minorEastAsia" w:hAnsiTheme="minorEastAsia"/>
          <w:color w:val="auto"/>
          <w:sz w:val="24"/>
          <w:szCs w:val="24"/>
          <w:highlight w:val="none"/>
        </w:rPr>
        <w:t>、严重类风湿性关节炎</w:t>
      </w:r>
      <w:r>
        <w:rPr>
          <w:rFonts w:hint="eastAsia" w:cs="仿宋_GB2312" w:asciiTheme="minorEastAsia" w:hAnsiTheme="minorEastAsia"/>
          <w:color w:val="auto"/>
          <w:sz w:val="24"/>
          <w:szCs w:val="24"/>
          <w:highlight w:val="none"/>
        </w:rPr>
        <w:t xml:space="preserve"> 33</w:t>
      </w:r>
      <w:r>
        <w:rPr>
          <w:rFonts w:cs="仿宋_GB2312" w:asciiTheme="minorEastAsia" w:hAnsiTheme="minorEastAsia"/>
          <w:color w:val="auto"/>
          <w:sz w:val="24"/>
          <w:szCs w:val="24"/>
          <w:highlight w:val="none"/>
        </w:rPr>
        <w:t>、严重系统性红斑狼疮性肾病</w:t>
      </w:r>
      <w:r>
        <w:rPr>
          <w:rFonts w:hint="eastAsia" w:cs="仿宋_GB2312" w:asciiTheme="minorEastAsia" w:hAnsiTheme="minorEastAsia"/>
          <w:color w:val="auto"/>
          <w:sz w:val="24"/>
          <w:szCs w:val="24"/>
          <w:highlight w:val="none"/>
        </w:rPr>
        <w:t xml:space="preserve"> 34</w:t>
      </w:r>
      <w:r>
        <w:rPr>
          <w:rFonts w:cs="仿宋_GB2312" w:asciiTheme="minorEastAsia" w:hAnsiTheme="minorEastAsia"/>
          <w:color w:val="auto"/>
          <w:sz w:val="24"/>
          <w:szCs w:val="24"/>
          <w:highlight w:val="none"/>
        </w:rPr>
        <w:t>、植物人状态</w:t>
      </w:r>
      <w:r>
        <w:rPr>
          <w:rFonts w:hint="eastAsia" w:cs="仿宋_GB2312" w:asciiTheme="minorEastAsia" w:hAnsiTheme="minorEastAsia"/>
          <w:color w:val="auto"/>
          <w:sz w:val="24"/>
          <w:szCs w:val="24"/>
          <w:highlight w:val="none"/>
        </w:rPr>
        <w:t xml:space="preserve"> 35、</w:t>
      </w:r>
      <w:r>
        <w:rPr>
          <w:rFonts w:cs="仿宋_GB2312" w:asciiTheme="minorEastAsia" w:hAnsiTheme="minorEastAsia"/>
          <w:color w:val="auto"/>
          <w:sz w:val="24"/>
          <w:szCs w:val="24"/>
          <w:highlight w:val="none"/>
        </w:rPr>
        <w:t>严重胰岛素依赖型糖尿病</w:t>
      </w:r>
      <w:r>
        <w:rPr>
          <w:rFonts w:hint="eastAsia" w:cs="仿宋_GB2312" w:asciiTheme="minorEastAsia" w:hAnsiTheme="minorEastAsia"/>
          <w:color w:val="auto"/>
          <w:sz w:val="24"/>
          <w:szCs w:val="24"/>
          <w:highlight w:val="none"/>
        </w:rPr>
        <w:t xml:space="preserve"> 36、 </w:t>
      </w:r>
      <w:r>
        <w:rPr>
          <w:rFonts w:cs="仿宋_GB2312" w:asciiTheme="minorEastAsia" w:hAnsiTheme="minorEastAsia"/>
          <w:color w:val="auto"/>
          <w:sz w:val="24"/>
          <w:szCs w:val="24"/>
          <w:highlight w:val="none"/>
        </w:rPr>
        <w:t>严重冠心病</w:t>
      </w:r>
      <w:r>
        <w:rPr>
          <w:rFonts w:hint="eastAsia" w:cs="仿宋_GB2312" w:asciiTheme="minorEastAsia" w:hAnsiTheme="minorEastAsia"/>
          <w:color w:val="auto"/>
          <w:sz w:val="24"/>
          <w:szCs w:val="24"/>
          <w:highlight w:val="none"/>
        </w:rPr>
        <w:t xml:space="preserve">  37、</w:t>
      </w:r>
      <w:r>
        <w:rPr>
          <w:rFonts w:cs="仿宋_GB2312" w:asciiTheme="minorEastAsia" w:hAnsiTheme="minorEastAsia"/>
          <w:color w:val="auto"/>
          <w:sz w:val="24"/>
          <w:szCs w:val="24"/>
          <w:highlight w:val="none"/>
        </w:rPr>
        <w:t>急性坏死性胰腺炎开腹手术</w:t>
      </w:r>
      <w:r>
        <w:rPr>
          <w:rFonts w:hint="eastAsia" w:cs="仿宋_GB2312" w:asciiTheme="minorEastAsia" w:hAnsiTheme="minorEastAsia"/>
          <w:color w:val="auto"/>
          <w:sz w:val="24"/>
          <w:szCs w:val="24"/>
          <w:highlight w:val="none"/>
        </w:rPr>
        <w:t xml:space="preserve"> 38、</w:t>
      </w:r>
      <w:r>
        <w:rPr>
          <w:rFonts w:cs="仿宋_GB2312" w:asciiTheme="minorEastAsia" w:hAnsiTheme="minorEastAsia"/>
          <w:color w:val="auto"/>
          <w:sz w:val="24"/>
          <w:szCs w:val="24"/>
          <w:highlight w:val="none"/>
        </w:rPr>
        <w:t>经输血导致的人类免疫缺陷病毒感染</w:t>
      </w:r>
      <w:r>
        <w:rPr>
          <w:rFonts w:hint="eastAsia" w:cs="仿宋_GB2312" w:asciiTheme="minorEastAsia" w:hAnsiTheme="minorEastAsia"/>
          <w:color w:val="auto"/>
          <w:sz w:val="24"/>
          <w:szCs w:val="24"/>
          <w:highlight w:val="none"/>
        </w:rPr>
        <w:t xml:space="preserve"> 39、 </w:t>
      </w:r>
      <w:r>
        <w:rPr>
          <w:rFonts w:cs="仿宋_GB2312" w:asciiTheme="minorEastAsia" w:hAnsiTheme="minorEastAsia"/>
          <w:color w:val="auto"/>
          <w:sz w:val="24"/>
          <w:szCs w:val="24"/>
          <w:highlight w:val="none"/>
        </w:rPr>
        <w:t>非阿尔茨海默病所致严重痴呆</w:t>
      </w:r>
      <w:r>
        <w:rPr>
          <w:rFonts w:hint="eastAsia" w:cs="仿宋_GB2312" w:asciiTheme="minorEastAsia" w:hAnsiTheme="minorEastAsia"/>
          <w:color w:val="auto"/>
          <w:sz w:val="24"/>
          <w:szCs w:val="24"/>
          <w:highlight w:val="none"/>
        </w:rPr>
        <w:t xml:space="preserve"> 40、 严重弥漫性系统性硬皮病 41、 重症急性坏死性筋膜炎 42、埃博拉出血热 43、 严重感染性心内膜炎 44、 胰腺移植 45、 严重自身免疫性肝炎 46、 原发性硬化性胆管炎 47、 </w:t>
      </w:r>
      <w:r>
        <w:rPr>
          <w:rFonts w:cs="仿宋_GB2312" w:asciiTheme="minorEastAsia" w:hAnsiTheme="minorEastAsia"/>
          <w:color w:val="auto"/>
          <w:sz w:val="24"/>
          <w:szCs w:val="24"/>
          <w:highlight w:val="none"/>
        </w:rPr>
        <w:t>头臂动脉型多发性大动脉炎旁路移植手术</w:t>
      </w:r>
      <w:r>
        <w:rPr>
          <w:rFonts w:hint="eastAsia" w:cs="仿宋_GB2312" w:asciiTheme="minorEastAsia" w:hAnsiTheme="minorEastAsia"/>
          <w:color w:val="auto"/>
          <w:sz w:val="24"/>
          <w:szCs w:val="24"/>
          <w:highlight w:val="none"/>
        </w:rPr>
        <w:t xml:space="preserve"> 48、 </w:t>
      </w:r>
      <w:r>
        <w:rPr>
          <w:rFonts w:cs="仿宋_GB2312" w:asciiTheme="minorEastAsia" w:hAnsiTheme="minorEastAsia"/>
          <w:color w:val="auto"/>
          <w:sz w:val="24"/>
          <w:szCs w:val="24"/>
          <w:highlight w:val="none"/>
        </w:rPr>
        <w:t>溶血性链球菌性坏疽</w:t>
      </w:r>
      <w:r>
        <w:rPr>
          <w:rFonts w:hint="eastAsia" w:cs="仿宋_GB2312" w:asciiTheme="minorEastAsia" w:hAnsiTheme="minorEastAsia"/>
          <w:color w:val="auto"/>
          <w:sz w:val="24"/>
          <w:szCs w:val="24"/>
          <w:highlight w:val="none"/>
        </w:rPr>
        <w:t xml:space="preserve"> 49</w:t>
      </w:r>
      <w:r>
        <w:rPr>
          <w:rFonts w:cs="仿宋_GB2312" w:asciiTheme="minorEastAsia" w:hAnsiTheme="minorEastAsia"/>
          <w:color w:val="auto"/>
          <w:sz w:val="24"/>
          <w:szCs w:val="24"/>
          <w:highlight w:val="none"/>
        </w:rPr>
        <w:t>、克-雅氏病（CJD、人类疯牛病）</w:t>
      </w:r>
      <w:r>
        <w:rPr>
          <w:rFonts w:hint="eastAsia" w:cs="仿宋_GB2312" w:asciiTheme="minorEastAsia" w:hAnsiTheme="minorEastAsia"/>
          <w:color w:val="auto"/>
          <w:sz w:val="24"/>
          <w:szCs w:val="24"/>
          <w:highlight w:val="none"/>
        </w:rPr>
        <w:t xml:space="preserve"> 50、 </w:t>
      </w:r>
      <w:r>
        <w:rPr>
          <w:rFonts w:cs="仿宋_GB2312" w:asciiTheme="minorEastAsia" w:hAnsiTheme="minorEastAsia"/>
          <w:color w:val="auto"/>
          <w:sz w:val="24"/>
          <w:szCs w:val="24"/>
          <w:highlight w:val="none"/>
        </w:rPr>
        <w:t>丝虫病所致象皮肿</w:t>
      </w:r>
    </w:p>
    <w:p w14:paraId="6D284C2D">
      <w:pPr>
        <w:spacing w:line="360"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（4-2）10种轻度疾病病种类型包括：</w:t>
      </w:r>
    </w:p>
    <w:p w14:paraId="72E8F14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1、恶性肿瘤</w:t>
      </w:r>
      <w:r>
        <w:rPr>
          <w:rFonts w:cs="仿宋_GB2312" w:asciiTheme="minorEastAsia" w:hAnsiTheme="minorEastAsia"/>
          <w:color w:val="auto"/>
          <w:sz w:val="24"/>
          <w:szCs w:val="24"/>
          <w:highlight w:val="none"/>
        </w:rPr>
        <w:t>——</w:t>
      </w:r>
      <w:r>
        <w:rPr>
          <w:rFonts w:hint="eastAsia" w:cs="仿宋_GB2312" w:asciiTheme="minorEastAsia" w:hAnsiTheme="minorEastAsia"/>
          <w:color w:val="auto"/>
          <w:sz w:val="24"/>
          <w:szCs w:val="24"/>
          <w:highlight w:val="none"/>
        </w:rPr>
        <w:t>轻度 2、 较轻急性心肌梗死 3 、轻度脑中风后遗症 4、原位癌 5、冠状动脉介入手术 6、 特定面积Ⅲ度烧伤 7 、主动脉介入手术8 、严重脑垂体瘤、脑囊肿、颅内血管性疾病（如脑动脉瘤、脑动静脉畸形、海绵状血管瘤、毛细血管扩张症等）9 、特定年龄视力受损 10、 中度原发性帕金森病（病种解释详见具体条款）</w:t>
      </w:r>
    </w:p>
    <w:p w14:paraId="2136112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6.本项目保险均不计免赔额，应全额全部赔偿，乙方已在报价中综合考虑。</w:t>
      </w:r>
    </w:p>
    <w:p w14:paraId="2831D8F9">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7.办理保险过程中产生的所有费用(包括但不限于单证审核及公估公司所产生的费用)由乙方承担并已包含在报价中。</w:t>
      </w:r>
    </w:p>
    <w:p w14:paraId="4AF445E1">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 xml:space="preserve">责任免除 </w:t>
      </w:r>
    </w:p>
    <w:p w14:paraId="692650A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因下列情形之一，导致被保险人身故、残疾或烧伤的，乙方不承担给付保险金的责任：</w:t>
      </w:r>
    </w:p>
    <w:p w14:paraId="2294689F">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1.投保人对被保险人的故意杀害、故意伤害；</w:t>
      </w:r>
    </w:p>
    <w:p w14:paraId="23C02EEA">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2.被保险人故意犯罪或抗拒依法采取的刑事强制措施；</w:t>
      </w:r>
    </w:p>
    <w:p w14:paraId="4E4748EB">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3.被保险人自杀或故意自伤，但被保险人自杀或故意自伤时为无民事行为能力人的除外；</w:t>
      </w:r>
    </w:p>
    <w:p w14:paraId="18A53A8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4.被保险人醉酒、服用、吸食或注射毒品；</w:t>
      </w:r>
    </w:p>
    <w:p w14:paraId="6433EC6C">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5.被保险人酒后驾驶、无合法有效驾驶证驾驶或驾驶无效行驶证的机动车；</w:t>
      </w:r>
    </w:p>
    <w:p w14:paraId="7A8C16F4">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6.被保险人未遵医嘱私自使用或服用药物，但按使用说明的规定使用非处方药不在此限；</w:t>
      </w:r>
    </w:p>
    <w:p w14:paraId="0B3A1D7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7.被保险人参加潜水、跳伞、攀岩、驾乘滑翔伞、探险、摔跤、武术比赛、特技表演、赛马、赛车等高风险运动；</w:t>
      </w:r>
    </w:p>
    <w:p w14:paraId="3FC4FA6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8.被保险人的产前产后检查、妊娠（含宫外孕）、流产（含人工流产）、分娩（含剖腹产）、避孕、绝育手术、治疗不孕不育症以及上述原因引发的并发症；</w:t>
      </w:r>
    </w:p>
    <w:p w14:paraId="166F790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9.被保险人的精神和行为障碍；</w:t>
      </w:r>
    </w:p>
    <w:p w14:paraId="3112D98C">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10.战争、军事冲突、暴乱或武装叛乱；</w:t>
      </w:r>
    </w:p>
    <w:p w14:paraId="0754BC1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11．核爆炸、核幅射或核污染。 </w:t>
      </w:r>
    </w:p>
    <w:p w14:paraId="6436B695">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保费结算方式</w:t>
      </w:r>
    </w:p>
    <w:p w14:paraId="3D0B1976">
      <w:pPr>
        <w:spacing w:line="360" w:lineRule="auto"/>
        <w:ind w:firstLine="480" w:firstLineChars="200"/>
        <w:rPr>
          <w:rFonts w:cs="仿宋_GB2312" w:asciiTheme="minorEastAsia" w:hAnsiTheme="minorEastAsia"/>
          <w:color w:val="auto"/>
          <w:sz w:val="24"/>
          <w:szCs w:val="24"/>
          <w:highlight w:val="none"/>
        </w:rPr>
      </w:pPr>
      <w:r>
        <w:rPr>
          <w:rFonts w:hint="eastAsia" w:ascii="宋体" w:hAnsi="宋体" w:eastAsia="宋体" w:cs="宋体"/>
          <w:color w:val="auto"/>
          <w:sz w:val="24"/>
          <w:szCs w:val="24"/>
          <w:highlight w:val="none"/>
        </w:rPr>
        <w:t>按年并按成交单价结合实际响应数量进行结算，双方完成结算</w:t>
      </w:r>
      <w:r>
        <w:rPr>
          <w:rFonts w:hint="eastAsia" w:ascii="宋体" w:hAnsi="宋体" w:cs="宋体"/>
          <w:color w:val="auto"/>
          <w:sz w:val="24"/>
          <w:szCs w:val="24"/>
          <w:highlight w:val="none"/>
          <w:lang w:val="en-US" w:eastAsia="zh-CN"/>
        </w:rPr>
        <w:t>并采购人在收到乙方出具的合法发票后</w:t>
      </w:r>
      <w:r>
        <w:rPr>
          <w:rFonts w:hint="eastAsia" w:ascii="宋体" w:hAnsi="宋体" w:eastAsia="宋体" w:cs="宋体"/>
          <w:color w:val="auto"/>
          <w:sz w:val="24"/>
          <w:szCs w:val="24"/>
          <w:highlight w:val="none"/>
        </w:rPr>
        <w:t xml:space="preserve"> 20 个工作日内支付。</w:t>
      </w:r>
    </w:p>
    <w:p w14:paraId="0A2A4124">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保费结算</w:t>
      </w:r>
    </w:p>
    <w:p w14:paraId="71CCAAE9">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1.独生子女家庭平安保险：甲方以    元/户/年的服务费为标准确定服务费。</w:t>
      </w:r>
    </w:p>
    <w:p w14:paraId="2B8CEEA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 计划生育特殊家庭保险：甲方以    元/人/年的服务费为标准确定服务费。</w:t>
      </w:r>
    </w:p>
    <w:p w14:paraId="41A52ED7">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理赔审核</w:t>
      </w:r>
    </w:p>
    <w:p w14:paraId="6FC033DE">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乙方的赔付案件，甲方相关人员有权进行抽查审核，审核结果列入甲方对乙方的考核。</w:t>
      </w:r>
    </w:p>
    <w:p w14:paraId="6273156D">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待遇结付和理赔时效</w:t>
      </w:r>
    </w:p>
    <w:p w14:paraId="55F23F18">
      <w:pPr>
        <w:tabs>
          <w:tab w:val="left" w:pos="312"/>
          <w:tab w:val="left" w:pos="420"/>
        </w:tabs>
        <w:spacing w:line="360" w:lineRule="auto"/>
        <w:ind w:firstLine="354" w:firstLineChars="147"/>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（一）待遇结付</w:t>
      </w:r>
    </w:p>
    <w:p w14:paraId="3D04300C">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1.乙方在收到齐全的索赔材料后，对于资料齐全、责任明确、无需调查的案件应在10个工作日内作出理赔决定。在双方对赔款金额达成一致意见后，乙方应该在5个工作日内将赔款划至被保险人或受益人的帐户。</w:t>
      </w:r>
    </w:p>
    <w:p w14:paraId="2DB53659">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保险人认为需要调查的案件，应在收到索赔申请后的20个工作日内完成调查并作出核定。属于保险责任的，在作出核定之日5个工作日内将理赔款划入指定帐号；对不属于保险责任的，保险人应在作出核定之日3个工作日内向被保险人提供《拒付通知书》，并列明拒赔原因。</w:t>
      </w:r>
    </w:p>
    <w:p w14:paraId="253D047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3.如乙方因承保范围内的保险项目出险而出现拒绝赔偿或者延期赔偿行为的，对每起拒绝赔偿案件或延期赔偿达30日案件，甲方均有权按照本招标项目保费总金额的百分之五向乙方收取违约金。</w:t>
      </w:r>
    </w:p>
    <w:p w14:paraId="56F9374A">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4.如因非特殊原因，乙方未按照规定时限支付被保险人赔偿金待遇的，对每起逾期案件甲方均有权按照招标项目保费总金额的百分之五向乙方收取违约金。</w:t>
      </w:r>
    </w:p>
    <w:p w14:paraId="767EF187">
      <w:pPr>
        <w:spacing w:line="360" w:lineRule="auto"/>
        <w:ind w:firstLine="482" w:firstLineChars="200"/>
        <w:rPr>
          <w:rFonts w:cs="仿宋_GB2312" w:asciiTheme="minorEastAsia" w:hAnsiTheme="minorEastAsia"/>
          <w:color w:val="auto"/>
          <w:sz w:val="24"/>
          <w:szCs w:val="24"/>
          <w:highlight w:val="none"/>
        </w:rPr>
      </w:pPr>
      <w:r>
        <w:rPr>
          <w:rFonts w:hint="eastAsia" w:cs="仿宋_GB2312" w:asciiTheme="minorEastAsia" w:hAnsiTheme="minorEastAsia"/>
          <w:b/>
          <w:color w:val="auto"/>
          <w:sz w:val="24"/>
          <w:szCs w:val="24"/>
          <w:highlight w:val="none"/>
        </w:rPr>
        <w:t>（二）理赔时效速度</w:t>
      </w:r>
    </w:p>
    <w:p w14:paraId="54883775">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为了确保优质服务，乙方将通过公开工作程序、限定理赔时限、重大案件上门等，为计生群众提供快速便捷的服务，本着“快速、到位”的原则及时做好理 赔服务，让群众满意。快速理赔制度如下：</w:t>
      </w:r>
    </w:p>
    <w:p w14:paraId="25FEA6C6">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1.对于材料齐全、事实清楚、无需调查且赔款 10000 元以下的理赔案件，在立案后 10个工作日内结案；</w:t>
      </w:r>
    </w:p>
    <w:p w14:paraId="5360E3DD">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2.对于材料齐全、事实清楚、无需调查且赔款 10000 元以上的理赔案件，在立案后 15 个工作日内结案；</w:t>
      </w:r>
    </w:p>
    <w:p w14:paraId="07B90AC9">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3.对于需要调查的案件，原则上需要20 个工作日内结案。</w:t>
      </w:r>
    </w:p>
    <w:p w14:paraId="33C69DEE">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保密条款</w:t>
      </w:r>
    </w:p>
    <w:p w14:paraId="6ED53895">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乙方应当妥善保管甲方提供的资料，保守甲方的各项秘密，不得私自利用甲方的信息为自己谋利或提供给第三方。</w:t>
      </w:r>
    </w:p>
    <w:p w14:paraId="4728A532">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违约责任及违约终止合同</w:t>
      </w:r>
    </w:p>
    <w:p w14:paraId="2FF9C68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1.在本合同执行过程中，甲方在接到投诉或主动不定期对乙方执行合同的情况进行监督检查，乙方有下列行为之一的，将根据考核办法进行处理，情节严重的甲方有权解除合同：</w:t>
      </w:r>
    </w:p>
    <w:p w14:paraId="37FA6DF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（1）乙方在被保险人在责任明确、资料齐全、无需调查的情况下，无故拖延赔偿案件数量超过上年度总赔案数量的20%的；</w:t>
      </w:r>
    </w:p>
    <w:p w14:paraId="22ED296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（2）在理赔过程中擅自调提高起付标准、降低赔付比例和缩小支付范围的；</w:t>
      </w:r>
    </w:p>
    <w:p w14:paraId="63089E4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（3）未按投标响应承诺履行服务承诺的；</w:t>
      </w:r>
    </w:p>
    <w:p w14:paraId="73E1241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（4）违反规定泄露被保险人信息；</w:t>
      </w:r>
    </w:p>
    <w:p w14:paraId="5AE2358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（5）不能主动化解矛盾，使大量信访、投诉涌向甲方或政府的；</w:t>
      </w:r>
    </w:p>
    <w:p w14:paraId="10DC8C92">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（6）编制或者提供虚假的业务数据和财务报表；</w:t>
      </w:r>
    </w:p>
    <w:p w14:paraId="00D406F3">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（7）其他严重违反本合同条款的情况。</w:t>
      </w:r>
    </w:p>
    <w:p w14:paraId="2BC75E62">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纠纷解决办法</w:t>
      </w:r>
    </w:p>
    <w:p w14:paraId="482906C9">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1.在执行本合同中所发生的争端，甲、乙双方应通过友好协商的办法进行解决。如协商仍不能解决，则依法向甲方所在地人民法院起诉。</w:t>
      </w:r>
    </w:p>
    <w:p w14:paraId="2EBCF9AF">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2.在诉讼期间，本合同应继续执行。</w:t>
      </w:r>
    </w:p>
    <w:p w14:paraId="782006F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3.本合同签订后所发生的具体保险方面的合同纠纷，由甲方与乙方进行处理。</w:t>
      </w:r>
    </w:p>
    <w:p w14:paraId="143AE65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4.本合同履行期间，发生被保险人与乙方之间的矛盾纠纷，原则上应由乙方自行调处，案件严重的，可通过甲方与乙方共同处理。</w:t>
      </w:r>
    </w:p>
    <w:p w14:paraId="02E50AE9">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不可抗力</w:t>
      </w:r>
    </w:p>
    <w:p w14:paraId="546EDD0A">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1.如果双方中任何一方由于不能预见、不能避免的，且不能克服的不可抗力事件影响合同履行时，受事件影响的一方可部分或全部免除责任。</w:t>
      </w:r>
    </w:p>
    <w:p w14:paraId="7E3904E7">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2.本条所述的不可抗力系指那些无法控制、不可预见的事件，但不包括乙方的违约或疏忽。这些事件包括：战争、严重火灾、洪水、台风、地震以及其它甲方和乙方商定的事件。</w:t>
      </w:r>
    </w:p>
    <w:p w14:paraId="6C9EA88A">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 xml:space="preserve">转让和分包 </w:t>
      </w:r>
    </w:p>
    <w:p w14:paraId="5BAE397A">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本合同不得转让和分包。</w:t>
      </w:r>
    </w:p>
    <w:p w14:paraId="7D60CB87">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合同有效期</w:t>
      </w:r>
    </w:p>
    <w:p w14:paraId="18B62D0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1.本合同的有效期为 202 年   月  日零时起至 202 年   月   日二十四时止。</w:t>
      </w:r>
    </w:p>
    <w:p w14:paraId="4D2C7E89">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2.在合同有效期内，如果乙方颁布并执行其报经中国保监会核准备案的新的保险条款或因国家有关法律、法规发生重大变化，乙方必须及时书面通知甲方,并征得甲方书面同意。</w:t>
      </w:r>
    </w:p>
    <w:p w14:paraId="14DD30A3">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3.甲方有权选择是否根据乙方最新条款或就国家相关新的法律、法规与乙方调整本合同的具体内容或签订补充合同条款。</w:t>
      </w:r>
    </w:p>
    <w:p w14:paraId="27C2DCA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4.合同期满后甲、乙双方有权根据实际情况终止、续签合同，或甲方重新组织采购。如果乙方不再继续承办该保险项目，需提早2个月通知甲方并配合甲方妥善做好衔接过渡工作。 </w:t>
      </w:r>
    </w:p>
    <w:p w14:paraId="0FE39D53">
      <w:pPr>
        <w:pStyle w:val="255"/>
        <w:numPr>
          <w:ilvl w:val="0"/>
          <w:numId w:val="1"/>
        </w:numPr>
        <w:tabs>
          <w:tab w:val="left" w:pos="420"/>
          <w:tab w:val="left" w:pos="840"/>
        </w:tabs>
        <w:adjustRightInd/>
        <w:ind w:left="1061" w:hanging="635" w:firstLineChars="0"/>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合同生效及其它</w:t>
      </w:r>
    </w:p>
    <w:p w14:paraId="214FC86F">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1.本合同经甲、乙双方盖章签字后生效。</w:t>
      </w:r>
    </w:p>
    <w:p w14:paraId="43FBE858">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2.本合同一式五份，以中文书写，甲乙双方各执二份，鉴证方执一份。</w:t>
      </w:r>
    </w:p>
    <w:p w14:paraId="26C49357">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3．采购文件、采购补充文件、成交通知书、询标纪要及承诺、响应文件等均是本合同不可分割的部分。</w:t>
      </w:r>
    </w:p>
    <w:p w14:paraId="0C4DBC01">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4.考核办法由甲方根据乙方响应承诺以及保险业务经办的具体情况另行制定。</w:t>
      </w:r>
    </w:p>
    <w:p w14:paraId="7D86857D">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5.本项目验收根据《杭州市政府采购履约验收暂行办法》（杭财采监[2019]10号）的要求，按照一般程序进行验收，验收方法为一次性验收。</w:t>
      </w:r>
    </w:p>
    <w:p w14:paraId="05167270">
      <w:pPr>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6.本合同未尽之事宜，可以签订补充合同或协议加以补充。补充合同或协议与本合同具有同样的法律效力。</w:t>
      </w:r>
    </w:p>
    <w:p w14:paraId="7EF21DC5">
      <w:pPr>
        <w:rPr>
          <w:rFonts w:cs="仿宋_GB2312" w:asciiTheme="minorEastAsia" w:hAnsiTheme="minorEastAsia"/>
          <w:color w:val="auto"/>
          <w:sz w:val="24"/>
          <w:szCs w:val="24"/>
          <w:highlight w:val="none"/>
        </w:rPr>
      </w:pPr>
    </w:p>
    <w:p w14:paraId="20B1B531">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甲方（盖章）： </w:t>
      </w:r>
    </w:p>
    <w:p w14:paraId="69CA24CB">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地址： </w:t>
      </w:r>
    </w:p>
    <w:p w14:paraId="57F09A44">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法定（授权）代表人：</w:t>
      </w:r>
    </w:p>
    <w:p w14:paraId="0502DA80">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签名日期：</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年</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月</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日</w:t>
      </w:r>
    </w:p>
    <w:p w14:paraId="42F1CC4C">
      <w:pPr>
        <w:rPr>
          <w:rFonts w:cs="仿宋_GB2312" w:asciiTheme="minorEastAsia" w:hAnsiTheme="minorEastAsia"/>
          <w:color w:val="auto"/>
          <w:sz w:val="24"/>
          <w:szCs w:val="24"/>
          <w:highlight w:val="none"/>
        </w:rPr>
      </w:pPr>
    </w:p>
    <w:p w14:paraId="2561AB7F">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乙方（盖章）： </w:t>
      </w:r>
    </w:p>
    <w:p w14:paraId="3DF5761A">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地址： </w:t>
      </w:r>
    </w:p>
    <w:p w14:paraId="2B47C035">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开户行： </w:t>
      </w:r>
    </w:p>
    <w:p w14:paraId="4572587A">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开户帐号：</w:t>
      </w:r>
    </w:p>
    <w:p w14:paraId="05C62826">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 xml:space="preserve">法定（授权）代表人： </w:t>
      </w:r>
    </w:p>
    <w:p w14:paraId="1C1F6D27">
      <w:pP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签名日期：</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年</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月</w:t>
      </w:r>
      <w:r>
        <w:rPr>
          <w:rFonts w:hint="eastAsia"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日</w:t>
      </w:r>
    </w:p>
    <w:p w14:paraId="7399C41F">
      <w:pPr>
        <w:spacing w:line="360" w:lineRule="auto"/>
        <w:ind w:left="-420" w:leftChars="-200" w:right="-420" w:rightChars="-200"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 </w:t>
      </w:r>
      <w:bookmarkEnd w:id="404"/>
    </w:p>
    <w:p w14:paraId="0DEC0AF1">
      <w:pPr>
        <w:spacing w:line="360" w:lineRule="auto"/>
        <w:ind w:left="-420" w:leftChars="-200" w:right="-420" w:rightChars="-200"/>
        <w:rPr>
          <w:rFonts w:ascii="宋体" w:hAnsi="宋体" w:cs="宋体"/>
          <w:color w:val="auto"/>
          <w:sz w:val="24"/>
          <w:highlight w:val="none"/>
        </w:rPr>
      </w:pPr>
    </w:p>
    <w:p w14:paraId="3841564B">
      <w:pPr>
        <w:spacing w:line="360" w:lineRule="auto"/>
        <w:ind w:left="-420" w:leftChars="-200" w:right="-420" w:rightChars="-200" w:firstLine="480" w:firstLineChars="200"/>
        <w:jc w:val="center"/>
        <w:outlineLvl w:val="0"/>
        <w:rPr>
          <w:rFonts w:ascii="宋体" w:hAnsi="宋体" w:cs="宋体"/>
          <w:color w:val="auto"/>
          <w:sz w:val="24"/>
          <w:highlight w:val="none"/>
        </w:rPr>
      </w:pPr>
    </w:p>
    <w:p w14:paraId="7E64E669">
      <w:pPr>
        <w:spacing w:line="360" w:lineRule="auto"/>
        <w:ind w:left="-420" w:leftChars="-200" w:right="-420" w:rightChars="-200" w:firstLine="480" w:firstLineChars="200"/>
        <w:jc w:val="center"/>
        <w:outlineLvl w:val="0"/>
        <w:rPr>
          <w:rFonts w:ascii="宋体" w:hAnsi="宋体" w:cs="宋体"/>
          <w:color w:val="auto"/>
          <w:sz w:val="24"/>
          <w:highlight w:val="none"/>
        </w:rPr>
      </w:pPr>
    </w:p>
    <w:p w14:paraId="35516A69">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4112BD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66945A86">
      <w:pPr>
        <w:spacing w:line="360" w:lineRule="auto"/>
        <w:jc w:val="center"/>
        <w:outlineLvl w:val="0"/>
        <w:rPr>
          <w:rFonts w:ascii="宋体" w:hAnsi="宋体" w:cs="宋体"/>
          <w:b/>
          <w:color w:val="auto"/>
          <w:kern w:val="0"/>
          <w:sz w:val="36"/>
          <w:szCs w:val="36"/>
          <w:highlight w:val="none"/>
        </w:rPr>
      </w:pPr>
    </w:p>
    <w:p w14:paraId="28BE7E0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953C69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9CAE40">
      <w:pPr>
        <w:spacing w:line="360" w:lineRule="auto"/>
        <w:jc w:val="center"/>
        <w:outlineLvl w:val="0"/>
        <w:rPr>
          <w:rFonts w:ascii="宋体" w:hAnsi="宋体" w:cs="宋体"/>
          <w:b/>
          <w:color w:val="auto"/>
          <w:kern w:val="0"/>
          <w:sz w:val="36"/>
          <w:szCs w:val="36"/>
          <w:highlight w:val="none"/>
        </w:rPr>
      </w:pPr>
    </w:p>
    <w:p w14:paraId="32D3C7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106CE4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94A37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1B5E5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5F64586">
      <w:pPr>
        <w:snapToGrid w:val="0"/>
        <w:spacing w:line="360" w:lineRule="auto"/>
        <w:ind w:firstLine="480" w:firstLineChars="200"/>
        <w:rPr>
          <w:rFonts w:ascii="宋体" w:hAnsi="宋体" w:cs="宋体"/>
          <w:color w:val="auto"/>
          <w:sz w:val="24"/>
          <w:highlight w:val="none"/>
        </w:rPr>
      </w:pPr>
    </w:p>
    <w:p w14:paraId="476A0419">
      <w:pPr>
        <w:spacing w:line="360" w:lineRule="auto"/>
        <w:ind w:firstLine="480" w:firstLineChars="200"/>
        <w:rPr>
          <w:rFonts w:ascii="宋体" w:hAnsi="宋体" w:cs="宋体"/>
          <w:color w:val="auto"/>
          <w:sz w:val="24"/>
          <w:highlight w:val="none"/>
        </w:rPr>
      </w:pPr>
    </w:p>
    <w:p w14:paraId="5000953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521AF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560327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0F58F56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535FE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305F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5BB29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E8B11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FFF4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64EC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63A3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3BBA3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A0178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E8A6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894AA8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2667F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CEFDD9">
      <w:pPr>
        <w:snapToGrid w:val="0"/>
        <w:spacing w:line="360" w:lineRule="auto"/>
        <w:ind w:right="480"/>
        <w:jc w:val="center"/>
        <w:rPr>
          <w:rFonts w:ascii="宋体" w:hAnsi="宋体" w:cs="宋体"/>
          <w:b/>
          <w:color w:val="auto"/>
          <w:kern w:val="0"/>
          <w:sz w:val="32"/>
          <w:szCs w:val="32"/>
          <w:highlight w:val="none"/>
        </w:rPr>
      </w:pPr>
    </w:p>
    <w:p w14:paraId="77B6B25B">
      <w:pPr>
        <w:snapToGrid w:val="0"/>
        <w:spacing w:line="360" w:lineRule="auto"/>
        <w:ind w:right="480"/>
        <w:jc w:val="center"/>
        <w:rPr>
          <w:rFonts w:ascii="宋体" w:hAnsi="宋体" w:cs="宋体"/>
          <w:b/>
          <w:color w:val="auto"/>
          <w:kern w:val="0"/>
          <w:sz w:val="32"/>
          <w:szCs w:val="32"/>
          <w:highlight w:val="none"/>
        </w:rPr>
      </w:pPr>
    </w:p>
    <w:p w14:paraId="6A18A5A1">
      <w:pPr>
        <w:snapToGrid w:val="0"/>
        <w:spacing w:line="360" w:lineRule="auto"/>
        <w:ind w:right="480"/>
        <w:jc w:val="center"/>
        <w:rPr>
          <w:rFonts w:ascii="宋体" w:hAnsi="宋体" w:cs="宋体"/>
          <w:b/>
          <w:color w:val="auto"/>
          <w:kern w:val="0"/>
          <w:sz w:val="32"/>
          <w:szCs w:val="32"/>
          <w:highlight w:val="none"/>
        </w:rPr>
      </w:pPr>
    </w:p>
    <w:p w14:paraId="15FB1862">
      <w:pPr>
        <w:rPr>
          <w:rFonts w:ascii="宋体" w:hAnsi="宋体" w:cs="宋体"/>
          <w:color w:val="auto"/>
          <w:highlight w:val="none"/>
        </w:rPr>
      </w:pPr>
    </w:p>
    <w:p w14:paraId="2C28FBA3">
      <w:pPr>
        <w:snapToGrid w:val="0"/>
        <w:spacing w:line="360" w:lineRule="auto"/>
        <w:ind w:right="480"/>
        <w:jc w:val="center"/>
        <w:rPr>
          <w:rFonts w:ascii="宋体" w:hAnsi="宋体" w:cs="宋体"/>
          <w:b/>
          <w:color w:val="auto"/>
          <w:kern w:val="0"/>
          <w:sz w:val="32"/>
          <w:szCs w:val="32"/>
          <w:highlight w:val="none"/>
        </w:rPr>
      </w:pPr>
    </w:p>
    <w:p w14:paraId="7AF6F1BA">
      <w:pPr>
        <w:snapToGrid w:val="0"/>
        <w:spacing w:line="360" w:lineRule="auto"/>
        <w:ind w:right="480"/>
        <w:jc w:val="center"/>
        <w:rPr>
          <w:rFonts w:ascii="宋体" w:hAnsi="宋体" w:cs="宋体"/>
          <w:b/>
          <w:color w:val="auto"/>
          <w:kern w:val="0"/>
          <w:sz w:val="32"/>
          <w:szCs w:val="32"/>
          <w:highlight w:val="none"/>
        </w:rPr>
      </w:pPr>
    </w:p>
    <w:p w14:paraId="4F1AFCDD">
      <w:pPr>
        <w:snapToGrid w:val="0"/>
        <w:spacing w:line="360" w:lineRule="auto"/>
        <w:ind w:right="480"/>
        <w:jc w:val="center"/>
        <w:rPr>
          <w:rFonts w:ascii="宋体" w:hAnsi="宋体" w:cs="宋体"/>
          <w:b/>
          <w:color w:val="auto"/>
          <w:kern w:val="0"/>
          <w:sz w:val="32"/>
          <w:szCs w:val="32"/>
          <w:highlight w:val="none"/>
        </w:rPr>
      </w:pPr>
    </w:p>
    <w:p w14:paraId="2F0DB83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1ADCE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3CC04B7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7972033">
      <w:pPr>
        <w:snapToGrid w:val="0"/>
        <w:spacing w:line="360" w:lineRule="auto"/>
        <w:ind w:right="480"/>
        <w:jc w:val="center"/>
        <w:rPr>
          <w:rFonts w:ascii="宋体" w:hAnsi="宋体" w:cs="宋体"/>
          <w:b/>
          <w:color w:val="auto"/>
          <w:kern w:val="0"/>
          <w:sz w:val="32"/>
          <w:szCs w:val="32"/>
          <w:highlight w:val="none"/>
        </w:rPr>
      </w:pPr>
    </w:p>
    <w:p w14:paraId="5AC2631B">
      <w:pPr>
        <w:snapToGrid w:val="0"/>
        <w:spacing w:line="360" w:lineRule="auto"/>
        <w:ind w:right="480"/>
        <w:jc w:val="center"/>
        <w:rPr>
          <w:rFonts w:ascii="宋体" w:hAnsi="宋体" w:cs="宋体"/>
          <w:b/>
          <w:color w:val="auto"/>
          <w:kern w:val="0"/>
          <w:sz w:val="32"/>
          <w:szCs w:val="32"/>
          <w:highlight w:val="none"/>
        </w:rPr>
      </w:pPr>
    </w:p>
    <w:p w14:paraId="61617F9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2BB470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74F2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6B2C3A8">
      <w:pPr>
        <w:widowControl/>
        <w:spacing w:line="360" w:lineRule="auto"/>
        <w:ind w:firstLine="480"/>
        <w:jc w:val="left"/>
        <w:rPr>
          <w:rFonts w:ascii="宋体" w:hAnsi="宋体" w:cs="宋体"/>
          <w:color w:val="auto"/>
          <w:sz w:val="24"/>
          <w:highlight w:val="none"/>
        </w:rPr>
      </w:pPr>
    </w:p>
    <w:p w14:paraId="05C4410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173B4F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6802D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36866D6">
      <w:pPr>
        <w:widowControl/>
        <w:spacing w:line="360" w:lineRule="auto"/>
        <w:ind w:left="150"/>
        <w:jc w:val="center"/>
        <w:rPr>
          <w:rFonts w:ascii="宋体" w:hAnsi="宋体" w:cs="宋体"/>
          <w:b/>
          <w:color w:val="auto"/>
          <w:kern w:val="0"/>
          <w:sz w:val="32"/>
          <w:szCs w:val="32"/>
          <w:highlight w:val="none"/>
        </w:rPr>
      </w:pPr>
    </w:p>
    <w:p w14:paraId="34AD3E0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6BD5F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7F92B56">
      <w:pPr>
        <w:rPr>
          <w:rFonts w:ascii="宋体" w:hAnsi="宋体" w:cs="宋体"/>
          <w:color w:val="auto"/>
          <w:highlight w:val="none"/>
        </w:rPr>
      </w:pPr>
    </w:p>
    <w:p w14:paraId="2244117F">
      <w:pPr>
        <w:snapToGrid w:val="0"/>
        <w:spacing w:line="360" w:lineRule="auto"/>
        <w:ind w:right="480"/>
        <w:jc w:val="center"/>
        <w:rPr>
          <w:rFonts w:ascii="宋体" w:hAnsi="宋体" w:cs="宋体"/>
          <w:b/>
          <w:color w:val="auto"/>
          <w:kern w:val="0"/>
          <w:sz w:val="32"/>
          <w:szCs w:val="32"/>
          <w:highlight w:val="none"/>
        </w:rPr>
      </w:pPr>
    </w:p>
    <w:p w14:paraId="03E780D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B749DA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BE1CF92">
      <w:pPr>
        <w:spacing w:line="360" w:lineRule="auto"/>
        <w:jc w:val="center"/>
        <w:outlineLvl w:val="0"/>
        <w:rPr>
          <w:rFonts w:ascii="宋体" w:hAnsi="宋体" w:cs="宋体"/>
          <w:b/>
          <w:color w:val="auto"/>
          <w:kern w:val="0"/>
          <w:sz w:val="24"/>
          <w:highlight w:val="none"/>
        </w:rPr>
      </w:pPr>
    </w:p>
    <w:p w14:paraId="1254C3F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B6630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8ACA8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F45DAD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5BF307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DEE25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CB241BE">
      <w:pPr>
        <w:snapToGrid w:val="0"/>
        <w:spacing w:line="360" w:lineRule="auto"/>
        <w:jc w:val="center"/>
        <w:rPr>
          <w:rFonts w:ascii="宋体" w:hAnsi="宋体" w:cs="宋体"/>
          <w:b/>
          <w:color w:val="auto"/>
          <w:kern w:val="0"/>
          <w:sz w:val="32"/>
          <w:szCs w:val="32"/>
          <w:highlight w:val="none"/>
          <w:lang w:val="zh-CN"/>
        </w:rPr>
      </w:pPr>
    </w:p>
    <w:p w14:paraId="0AEB8D34">
      <w:pPr>
        <w:snapToGrid w:val="0"/>
        <w:spacing w:line="360" w:lineRule="auto"/>
        <w:jc w:val="center"/>
        <w:rPr>
          <w:rFonts w:ascii="宋体" w:hAnsi="宋体" w:cs="宋体"/>
          <w:b/>
          <w:color w:val="auto"/>
          <w:kern w:val="0"/>
          <w:sz w:val="32"/>
          <w:szCs w:val="32"/>
          <w:highlight w:val="none"/>
          <w:lang w:val="zh-CN"/>
        </w:rPr>
      </w:pPr>
    </w:p>
    <w:p w14:paraId="225C5F5A">
      <w:pPr>
        <w:snapToGrid w:val="0"/>
        <w:spacing w:line="360" w:lineRule="auto"/>
        <w:jc w:val="center"/>
        <w:rPr>
          <w:rFonts w:ascii="宋体" w:hAnsi="宋体" w:cs="宋体"/>
          <w:b/>
          <w:color w:val="auto"/>
          <w:kern w:val="0"/>
          <w:sz w:val="32"/>
          <w:szCs w:val="32"/>
          <w:highlight w:val="none"/>
          <w:lang w:val="zh-CN"/>
        </w:rPr>
      </w:pPr>
    </w:p>
    <w:p w14:paraId="40197371">
      <w:pPr>
        <w:snapToGrid w:val="0"/>
        <w:spacing w:line="360" w:lineRule="auto"/>
        <w:jc w:val="center"/>
        <w:rPr>
          <w:rFonts w:ascii="宋体" w:hAnsi="宋体" w:cs="宋体"/>
          <w:b/>
          <w:color w:val="auto"/>
          <w:kern w:val="0"/>
          <w:sz w:val="32"/>
          <w:szCs w:val="32"/>
          <w:highlight w:val="none"/>
          <w:lang w:val="zh-CN"/>
        </w:rPr>
      </w:pPr>
    </w:p>
    <w:p w14:paraId="647E337D">
      <w:pPr>
        <w:snapToGrid w:val="0"/>
        <w:spacing w:line="360" w:lineRule="auto"/>
        <w:jc w:val="center"/>
        <w:rPr>
          <w:rFonts w:ascii="宋体" w:hAnsi="宋体" w:cs="宋体"/>
          <w:b/>
          <w:color w:val="auto"/>
          <w:kern w:val="0"/>
          <w:sz w:val="32"/>
          <w:szCs w:val="32"/>
          <w:highlight w:val="none"/>
          <w:lang w:val="zh-CN"/>
        </w:rPr>
      </w:pPr>
    </w:p>
    <w:p w14:paraId="1061A4AD">
      <w:pPr>
        <w:snapToGrid w:val="0"/>
        <w:spacing w:line="360" w:lineRule="auto"/>
        <w:jc w:val="center"/>
        <w:rPr>
          <w:rFonts w:ascii="宋体" w:hAnsi="宋体" w:cs="宋体"/>
          <w:b/>
          <w:color w:val="auto"/>
          <w:kern w:val="0"/>
          <w:sz w:val="32"/>
          <w:szCs w:val="32"/>
          <w:highlight w:val="none"/>
          <w:lang w:val="zh-CN"/>
        </w:rPr>
      </w:pPr>
    </w:p>
    <w:p w14:paraId="4529E8B7">
      <w:pPr>
        <w:snapToGrid w:val="0"/>
        <w:spacing w:line="360" w:lineRule="auto"/>
        <w:jc w:val="center"/>
        <w:rPr>
          <w:rFonts w:ascii="宋体" w:hAnsi="宋体" w:cs="宋体"/>
          <w:b/>
          <w:color w:val="auto"/>
          <w:kern w:val="0"/>
          <w:sz w:val="32"/>
          <w:szCs w:val="32"/>
          <w:highlight w:val="none"/>
          <w:lang w:val="zh-CN"/>
        </w:rPr>
      </w:pPr>
    </w:p>
    <w:p w14:paraId="7720A8C8">
      <w:pPr>
        <w:snapToGrid w:val="0"/>
        <w:spacing w:line="360" w:lineRule="auto"/>
        <w:jc w:val="center"/>
        <w:rPr>
          <w:rFonts w:ascii="宋体" w:hAnsi="宋体" w:cs="宋体"/>
          <w:b/>
          <w:color w:val="auto"/>
          <w:kern w:val="0"/>
          <w:sz w:val="32"/>
          <w:szCs w:val="32"/>
          <w:highlight w:val="none"/>
          <w:lang w:val="zh-CN"/>
        </w:rPr>
      </w:pPr>
    </w:p>
    <w:p w14:paraId="553FAA9F">
      <w:pPr>
        <w:snapToGrid w:val="0"/>
        <w:spacing w:line="360" w:lineRule="auto"/>
        <w:jc w:val="center"/>
        <w:rPr>
          <w:rFonts w:ascii="宋体" w:hAnsi="宋体" w:cs="宋体"/>
          <w:b/>
          <w:color w:val="auto"/>
          <w:kern w:val="0"/>
          <w:sz w:val="32"/>
          <w:szCs w:val="32"/>
          <w:highlight w:val="none"/>
          <w:lang w:val="zh-CN"/>
        </w:rPr>
      </w:pPr>
    </w:p>
    <w:p w14:paraId="39E4B00B">
      <w:pPr>
        <w:snapToGrid w:val="0"/>
        <w:spacing w:line="360" w:lineRule="auto"/>
        <w:jc w:val="center"/>
        <w:rPr>
          <w:rFonts w:ascii="宋体" w:hAnsi="宋体" w:cs="宋体"/>
          <w:b/>
          <w:color w:val="auto"/>
          <w:kern w:val="0"/>
          <w:sz w:val="32"/>
          <w:szCs w:val="32"/>
          <w:highlight w:val="none"/>
          <w:lang w:val="zh-CN"/>
        </w:rPr>
      </w:pPr>
    </w:p>
    <w:p w14:paraId="4A3742E7">
      <w:pPr>
        <w:snapToGrid w:val="0"/>
        <w:spacing w:line="360" w:lineRule="auto"/>
        <w:jc w:val="center"/>
        <w:rPr>
          <w:rFonts w:ascii="宋体" w:hAnsi="宋体" w:cs="宋体"/>
          <w:b/>
          <w:color w:val="auto"/>
          <w:kern w:val="0"/>
          <w:sz w:val="32"/>
          <w:szCs w:val="32"/>
          <w:highlight w:val="none"/>
          <w:lang w:val="zh-CN"/>
        </w:rPr>
      </w:pPr>
    </w:p>
    <w:p w14:paraId="3D9B844B">
      <w:pPr>
        <w:snapToGrid w:val="0"/>
        <w:spacing w:line="360" w:lineRule="auto"/>
        <w:jc w:val="center"/>
        <w:rPr>
          <w:rFonts w:ascii="宋体" w:hAnsi="宋体" w:cs="宋体"/>
          <w:b/>
          <w:color w:val="auto"/>
          <w:kern w:val="0"/>
          <w:sz w:val="32"/>
          <w:szCs w:val="32"/>
          <w:highlight w:val="none"/>
          <w:lang w:val="zh-CN"/>
        </w:rPr>
      </w:pPr>
    </w:p>
    <w:p w14:paraId="705500E5">
      <w:pPr>
        <w:rPr>
          <w:rFonts w:ascii="宋体" w:hAnsi="宋体" w:cs="宋体"/>
          <w:b/>
          <w:color w:val="auto"/>
          <w:kern w:val="0"/>
          <w:sz w:val="32"/>
          <w:szCs w:val="32"/>
          <w:highlight w:val="none"/>
          <w:lang w:val="zh-CN"/>
        </w:rPr>
      </w:pPr>
    </w:p>
    <w:p w14:paraId="57B64F4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E4C508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68339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093E88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044B25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CEBD8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2903D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0C27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86233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0" w:name="_Hlk101257010"/>
      <w:r>
        <w:rPr>
          <w:rFonts w:hint="eastAsia" w:ascii="宋体" w:hAnsi="宋体" w:cs="宋体"/>
          <w:color w:val="auto"/>
          <w:sz w:val="24"/>
          <w:highlight w:val="none"/>
        </w:rPr>
        <w:t>（如果有)</w:t>
      </w:r>
      <w:bookmarkEnd w:id="410"/>
      <w:r>
        <w:rPr>
          <w:rFonts w:hint="eastAsia" w:ascii="宋体" w:hAnsi="宋体" w:cs="宋体"/>
          <w:snapToGrid w:val="0"/>
          <w:color w:val="auto"/>
          <w:kern w:val="28"/>
          <w:sz w:val="24"/>
          <w:szCs w:val="20"/>
          <w:highlight w:val="none"/>
        </w:rPr>
        <w:t>；</w:t>
      </w:r>
    </w:p>
    <w:p w14:paraId="5C1102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40ED99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6CD91A9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1708D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0EF9E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CBC25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293B43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4536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C1AD8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21FD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933289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58EE1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6FB6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2096D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904FB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38876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3CFC5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9C4DE9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1773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F2E8D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971BFA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10D21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D37D7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844144">
      <w:pPr>
        <w:snapToGrid w:val="0"/>
        <w:spacing w:line="360" w:lineRule="auto"/>
        <w:ind w:left="420" w:leftChars="200" w:firstLine="4200" w:firstLineChars="1750"/>
        <w:rPr>
          <w:rFonts w:ascii="宋体" w:hAnsi="宋体" w:cs="宋体"/>
          <w:color w:val="auto"/>
          <w:kern w:val="0"/>
          <w:sz w:val="24"/>
          <w:highlight w:val="none"/>
          <w:u w:val="single"/>
        </w:rPr>
      </w:pPr>
    </w:p>
    <w:p w14:paraId="21F709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87C4C2">
      <w:pPr>
        <w:snapToGrid w:val="0"/>
        <w:spacing w:line="360" w:lineRule="auto"/>
        <w:jc w:val="center"/>
        <w:rPr>
          <w:rFonts w:ascii="宋体" w:hAnsi="宋体" w:cs="宋体"/>
          <w:b/>
          <w:color w:val="auto"/>
          <w:kern w:val="0"/>
          <w:sz w:val="32"/>
          <w:szCs w:val="32"/>
          <w:highlight w:val="none"/>
        </w:rPr>
      </w:pPr>
    </w:p>
    <w:p w14:paraId="0482C5D8">
      <w:pPr>
        <w:snapToGrid w:val="0"/>
        <w:spacing w:line="360" w:lineRule="auto"/>
        <w:rPr>
          <w:rFonts w:ascii="宋体" w:hAnsi="宋体" w:cs="宋体"/>
          <w:color w:val="auto"/>
          <w:sz w:val="24"/>
          <w:highlight w:val="none"/>
        </w:rPr>
      </w:pPr>
    </w:p>
    <w:p w14:paraId="3C842FD6">
      <w:pPr>
        <w:jc w:val="center"/>
        <w:rPr>
          <w:rFonts w:ascii="宋体" w:hAnsi="宋体" w:cs="宋体"/>
          <w:b/>
          <w:color w:val="auto"/>
          <w:kern w:val="0"/>
          <w:sz w:val="32"/>
          <w:szCs w:val="32"/>
          <w:highlight w:val="none"/>
        </w:rPr>
      </w:pPr>
    </w:p>
    <w:p w14:paraId="42278EEE">
      <w:pPr>
        <w:jc w:val="center"/>
        <w:rPr>
          <w:rFonts w:ascii="宋体" w:hAnsi="宋体" w:cs="宋体"/>
          <w:b/>
          <w:color w:val="auto"/>
          <w:kern w:val="0"/>
          <w:sz w:val="32"/>
          <w:szCs w:val="32"/>
          <w:highlight w:val="none"/>
        </w:rPr>
      </w:pPr>
    </w:p>
    <w:p w14:paraId="78E7A899">
      <w:pPr>
        <w:jc w:val="center"/>
        <w:rPr>
          <w:rFonts w:ascii="宋体" w:hAnsi="宋体" w:cs="宋体"/>
          <w:b/>
          <w:color w:val="auto"/>
          <w:kern w:val="0"/>
          <w:sz w:val="32"/>
          <w:szCs w:val="32"/>
          <w:highlight w:val="none"/>
        </w:rPr>
      </w:pPr>
    </w:p>
    <w:p w14:paraId="4A92CFB4">
      <w:pPr>
        <w:jc w:val="center"/>
        <w:rPr>
          <w:rFonts w:ascii="宋体" w:hAnsi="宋体" w:cs="宋体"/>
          <w:b/>
          <w:color w:val="auto"/>
          <w:kern w:val="0"/>
          <w:sz w:val="32"/>
          <w:szCs w:val="32"/>
          <w:highlight w:val="none"/>
        </w:rPr>
      </w:pPr>
    </w:p>
    <w:p w14:paraId="5D968DF2">
      <w:pPr>
        <w:jc w:val="center"/>
        <w:rPr>
          <w:rFonts w:ascii="宋体" w:hAnsi="宋体" w:cs="宋体"/>
          <w:b/>
          <w:color w:val="auto"/>
          <w:kern w:val="0"/>
          <w:sz w:val="32"/>
          <w:szCs w:val="32"/>
          <w:highlight w:val="none"/>
        </w:rPr>
      </w:pPr>
    </w:p>
    <w:p w14:paraId="1475ED2C">
      <w:pPr>
        <w:jc w:val="center"/>
        <w:rPr>
          <w:rFonts w:ascii="宋体" w:hAnsi="宋体" w:cs="宋体"/>
          <w:b/>
          <w:color w:val="auto"/>
          <w:kern w:val="0"/>
          <w:sz w:val="32"/>
          <w:szCs w:val="32"/>
          <w:highlight w:val="none"/>
        </w:rPr>
      </w:pPr>
    </w:p>
    <w:p w14:paraId="1D5DEC39">
      <w:pPr>
        <w:jc w:val="center"/>
        <w:rPr>
          <w:rFonts w:ascii="宋体" w:hAnsi="宋体" w:cs="宋体"/>
          <w:b/>
          <w:color w:val="auto"/>
          <w:kern w:val="0"/>
          <w:sz w:val="32"/>
          <w:szCs w:val="32"/>
          <w:highlight w:val="none"/>
        </w:rPr>
      </w:pPr>
    </w:p>
    <w:p w14:paraId="344F577E">
      <w:pPr>
        <w:jc w:val="center"/>
        <w:rPr>
          <w:rFonts w:ascii="宋体" w:hAnsi="宋体" w:cs="宋体"/>
          <w:b/>
          <w:color w:val="auto"/>
          <w:kern w:val="0"/>
          <w:sz w:val="32"/>
          <w:szCs w:val="32"/>
          <w:highlight w:val="none"/>
        </w:rPr>
      </w:pPr>
    </w:p>
    <w:p w14:paraId="600B6897">
      <w:pPr>
        <w:jc w:val="center"/>
        <w:rPr>
          <w:rFonts w:ascii="宋体" w:hAnsi="宋体" w:cs="宋体"/>
          <w:b/>
          <w:color w:val="auto"/>
          <w:kern w:val="0"/>
          <w:sz w:val="32"/>
          <w:szCs w:val="32"/>
          <w:highlight w:val="none"/>
        </w:rPr>
      </w:pPr>
    </w:p>
    <w:p w14:paraId="057D5076">
      <w:pPr>
        <w:jc w:val="center"/>
        <w:rPr>
          <w:rFonts w:ascii="宋体" w:hAnsi="宋体" w:cs="宋体"/>
          <w:b/>
          <w:color w:val="auto"/>
          <w:kern w:val="0"/>
          <w:sz w:val="32"/>
          <w:szCs w:val="32"/>
          <w:highlight w:val="none"/>
        </w:rPr>
      </w:pPr>
    </w:p>
    <w:p w14:paraId="3144ECB5">
      <w:pPr>
        <w:jc w:val="center"/>
        <w:rPr>
          <w:rFonts w:ascii="宋体" w:hAnsi="宋体" w:cs="宋体"/>
          <w:b/>
          <w:color w:val="auto"/>
          <w:kern w:val="0"/>
          <w:sz w:val="32"/>
          <w:szCs w:val="32"/>
          <w:highlight w:val="none"/>
        </w:rPr>
      </w:pPr>
    </w:p>
    <w:p w14:paraId="3BAF711E">
      <w:pPr>
        <w:jc w:val="center"/>
        <w:rPr>
          <w:rFonts w:ascii="宋体" w:hAnsi="宋体" w:cs="宋体"/>
          <w:b/>
          <w:color w:val="auto"/>
          <w:kern w:val="0"/>
          <w:sz w:val="32"/>
          <w:szCs w:val="32"/>
          <w:highlight w:val="none"/>
        </w:rPr>
      </w:pPr>
    </w:p>
    <w:p w14:paraId="1AA48050">
      <w:pPr>
        <w:jc w:val="center"/>
        <w:rPr>
          <w:rFonts w:ascii="宋体" w:hAnsi="宋体" w:cs="宋体"/>
          <w:b/>
          <w:color w:val="auto"/>
          <w:kern w:val="0"/>
          <w:sz w:val="32"/>
          <w:szCs w:val="32"/>
          <w:highlight w:val="none"/>
        </w:rPr>
      </w:pPr>
    </w:p>
    <w:p w14:paraId="36585DAB">
      <w:pPr>
        <w:jc w:val="center"/>
        <w:rPr>
          <w:rFonts w:ascii="宋体" w:hAnsi="宋体" w:cs="宋体"/>
          <w:b/>
          <w:color w:val="auto"/>
          <w:kern w:val="0"/>
          <w:sz w:val="32"/>
          <w:szCs w:val="32"/>
          <w:highlight w:val="none"/>
        </w:rPr>
      </w:pPr>
    </w:p>
    <w:p w14:paraId="0B4E6952">
      <w:pPr>
        <w:jc w:val="center"/>
        <w:rPr>
          <w:rFonts w:ascii="宋体" w:hAnsi="宋体" w:cs="宋体"/>
          <w:b/>
          <w:color w:val="auto"/>
          <w:kern w:val="0"/>
          <w:sz w:val="32"/>
          <w:szCs w:val="32"/>
          <w:highlight w:val="none"/>
        </w:rPr>
      </w:pPr>
    </w:p>
    <w:p w14:paraId="1FB17D84">
      <w:pPr>
        <w:jc w:val="center"/>
        <w:rPr>
          <w:rFonts w:ascii="宋体" w:hAnsi="宋体" w:cs="宋体"/>
          <w:b/>
          <w:color w:val="auto"/>
          <w:kern w:val="0"/>
          <w:sz w:val="32"/>
          <w:szCs w:val="32"/>
          <w:highlight w:val="none"/>
        </w:rPr>
      </w:pPr>
    </w:p>
    <w:p w14:paraId="5D8A901E">
      <w:pPr>
        <w:jc w:val="center"/>
        <w:rPr>
          <w:rFonts w:ascii="宋体" w:hAnsi="宋体" w:cs="宋体"/>
          <w:b/>
          <w:color w:val="auto"/>
          <w:kern w:val="0"/>
          <w:sz w:val="32"/>
          <w:szCs w:val="32"/>
          <w:highlight w:val="none"/>
        </w:rPr>
      </w:pPr>
    </w:p>
    <w:p w14:paraId="363D1B6C">
      <w:pPr>
        <w:jc w:val="center"/>
        <w:rPr>
          <w:rFonts w:ascii="宋体" w:hAnsi="宋体" w:cs="宋体"/>
          <w:b/>
          <w:color w:val="auto"/>
          <w:kern w:val="0"/>
          <w:sz w:val="32"/>
          <w:szCs w:val="32"/>
          <w:highlight w:val="none"/>
        </w:rPr>
      </w:pPr>
    </w:p>
    <w:p w14:paraId="28FD4781">
      <w:pPr>
        <w:jc w:val="center"/>
        <w:rPr>
          <w:rFonts w:ascii="宋体" w:hAnsi="宋体" w:cs="宋体"/>
          <w:b/>
          <w:color w:val="auto"/>
          <w:kern w:val="0"/>
          <w:sz w:val="32"/>
          <w:szCs w:val="32"/>
          <w:highlight w:val="none"/>
        </w:rPr>
      </w:pPr>
    </w:p>
    <w:p w14:paraId="701D22D1">
      <w:pPr>
        <w:jc w:val="center"/>
        <w:rPr>
          <w:rFonts w:ascii="宋体" w:hAnsi="宋体" w:cs="宋体"/>
          <w:b/>
          <w:color w:val="auto"/>
          <w:kern w:val="0"/>
          <w:sz w:val="32"/>
          <w:szCs w:val="32"/>
          <w:highlight w:val="none"/>
        </w:rPr>
      </w:pPr>
    </w:p>
    <w:p w14:paraId="673B49C2">
      <w:pPr>
        <w:pStyle w:val="2"/>
        <w:rPr>
          <w:color w:val="auto"/>
          <w:highlight w:val="none"/>
          <w:lang w:val="en-US"/>
        </w:rPr>
      </w:pPr>
    </w:p>
    <w:p w14:paraId="23ADB24D">
      <w:pPr>
        <w:jc w:val="center"/>
        <w:rPr>
          <w:rFonts w:ascii="宋体" w:hAnsi="宋体" w:cs="宋体"/>
          <w:b/>
          <w:color w:val="auto"/>
          <w:kern w:val="0"/>
          <w:sz w:val="32"/>
          <w:szCs w:val="32"/>
          <w:highlight w:val="none"/>
        </w:rPr>
      </w:pPr>
    </w:p>
    <w:p w14:paraId="0EBA018D">
      <w:pPr>
        <w:jc w:val="center"/>
        <w:rPr>
          <w:rFonts w:ascii="宋体" w:hAnsi="宋体" w:cs="宋体"/>
          <w:b/>
          <w:color w:val="auto"/>
          <w:kern w:val="0"/>
          <w:sz w:val="32"/>
          <w:szCs w:val="32"/>
          <w:highlight w:val="none"/>
        </w:rPr>
      </w:pPr>
    </w:p>
    <w:p w14:paraId="1461C85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AF77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86A48E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61AE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640DE86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806F0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E23A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79B00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88A7AB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9DC36C4">
      <w:pPr>
        <w:snapToGrid w:val="0"/>
        <w:spacing w:line="360" w:lineRule="auto"/>
        <w:rPr>
          <w:rFonts w:ascii="宋体" w:hAnsi="宋体" w:cs="宋体"/>
          <w:color w:val="auto"/>
          <w:sz w:val="24"/>
          <w:highlight w:val="none"/>
        </w:rPr>
      </w:pPr>
    </w:p>
    <w:p w14:paraId="23A90A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709EE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12660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7C2B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7F200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59F00C">
      <w:pPr>
        <w:jc w:val="center"/>
        <w:rPr>
          <w:rFonts w:ascii="宋体" w:hAnsi="宋体" w:cs="宋体"/>
          <w:b/>
          <w:color w:val="auto"/>
          <w:kern w:val="0"/>
          <w:sz w:val="32"/>
          <w:szCs w:val="32"/>
          <w:highlight w:val="none"/>
        </w:rPr>
      </w:pPr>
    </w:p>
    <w:p w14:paraId="08B92AB2">
      <w:pPr>
        <w:rPr>
          <w:rFonts w:ascii="宋体" w:hAnsi="宋体" w:cs="宋体"/>
          <w:color w:val="auto"/>
          <w:highlight w:val="none"/>
        </w:rPr>
      </w:pPr>
    </w:p>
    <w:p w14:paraId="1773F2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48BC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F6B8B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AF6F87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28114B">
      <w:pPr>
        <w:autoSpaceDE w:val="0"/>
        <w:autoSpaceDN w:val="0"/>
        <w:spacing w:line="360" w:lineRule="auto"/>
        <w:jc w:val="center"/>
        <w:rPr>
          <w:rFonts w:ascii="宋体" w:hAnsi="宋体" w:cs="宋体"/>
          <w:b/>
          <w:color w:val="auto"/>
          <w:kern w:val="0"/>
          <w:sz w:val="32"/>
          <w:szCs w:val="32"/>
          <w:highlight w:val="none"/>
          <w:lang w:val="zh-CN"/>
        </w:rPr>
      </w:pPr>
    </w:p>
    <w:p w14:paraId="7857BFE5">
      <w:pPr>
        <w:autoSpaceDE w:val="0"/>
        <w:autoSpaceDN w:val="0"/>
        <w:spacing w:line="360" w:lineRule="auto"/>
        <w:jc w:val="center"/>
        <w:rPr>
          <w:rFonts w:ascii="宋体" w:hAnsi="宋体" w:cs="宋体"/>
          <w:b/>
          <w:color w:val="auto"/>
          <w:kern w:val="0"/>
          <w:sz w:val="32"/>
          <w:szCs w:val="32"/>
          <w:highlight w:val="none"/>
          <w:lang w:val="zh-CN"/>
        </w:rPr>
      </w:pPr>
    </w:p>
    <w:p w14:paraId="0A549E61">
      <w:pPr>
        <w:autoSpaceDE w:val="0"/>
        <w:autoSpaceDN w:val="0"/>
        <w:spacing w:line="360" w:lineRule="auto"/>
        <w:jc w:val="center"/>
        <w:rPr>
          <w:rFonts w:ascii="宋体" w:hAnsi="宋体" w:cs="宋体"/>
          <w:b/>
          <w:color w:val="auto"/>
          <w:kern w:val="0"/>
          <w:sz w:val="32"/>
          <w:szCs w:val="32"/>
          <w:highlight w:val="none"/>
          <w:lang w:val="zh-CN"/>
        </w:rPr>
      </w:pPr>
    </w:p>
    <w:p w14:paraId="09D7A61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0E46CF6">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59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52CC52">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2440004">
            <w:pPr>
              <w:pStyle w:val="146"/>
              <w:adjustRightInd w:val="0"/>
              <w:spacing w:line="360" w:lineRule="auto"/>
              <w:rPr>
                <w:rFonts w:hAnsi="宋体" w:cs="宋体"/>
                <w:bCs/>
                <w:color w:val="auto"/>
                <w:sz w:val="24"/>
                <w:highlight w:val="none"/>
              </w:rPr>
            </w:pPr>
          </w:p>
        </w:tc>
      </w:tr>
    </w:tbl>
    <w:p w14:paraId="765A65E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57204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B9DAD1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E1CE0A">
      <w:pPr>
        <w:jc w:val="center"/>
        <w:rPr>
          <w:rFonts w:ascii="宋体" w:hAnsi="宋体" w:cs="宋体"/>
          <w:b/>
          <w:color w:val="auto"/>
          <w:kern w:val="0"/>
          <w:sz w:val="32"/>
          <w:szCs w:val="32"/>
          <w:highlight w:val="none"/>
        </w:rPr>
      </w:pPr>
    </w:p>
    <w:p w14:paraId="387BF06B">
      <w:pPr>
        <w:jc w:val="center"/>
        <w:rPr>
          <w:rFonts w:ascii="宋体" w:hAnsi="宋体" w:cs="宋体"/>
          <w:b/>
          <w:color w:val="auto"/>
          <w:kern w:val="0"/>
          <w:sz w:val="32"/>
          <w:szCs w:val="32"/>
          <w:highlight w:val="none"/>
        </w:rPr>
      </w:pPr>
    </w:p>
    <w:p w14:paraId="38D54DA7">
      <w:pPr>
        <w:jc w:val="center"/>
        <w:rPr>
          <w:rFonts w:ascii="宋体" w:hAnsi="宋体" w:cs="宋体"/>
          <w:b/>
          <w:color w:val="auto"/>
          <w:kern w:val="0"/>
          <w:sz w:val="32"/>
          <w:szCs w:val="32"/>
          <w:highlight w:val="none"/>
        </w:rPr>
      </w:pPr>
    </w:p>
    <w:p w14:paraId="38859E53">
      <w:pPr>
        <w:jc w:val="center"/>
        <w:rPr>
          <w:rFonts w:ascii="宋体" w:hAnsi="宋体" w:cs="宋体"/>
          <w:b/>
          <w:color w:val="auto"/>
          <w:kern w:val="0"/>
          <w:sz w:val="32"/>
          <w:szCs w:val="32"/>
          <w:highlight w:val="none"/>
        </w:rPr>
      </w:pPr>
    </w:p>
    <w:p w14:paraId="4EC4E5AD">
      <w:pPr>
        <w:jc w:val="center"/>
        <w:rPr>
          <w:rFonts w:ascii="宋体" w:hAnsi="宋体" w:cs="宋体"/>
          <w:b/>
          <w:color w:val="auto"/>
          <w:kern w:val="0"/>
          <w:sz w:val="32"/>
          <w:szCs w:val="32"/>
          <w:highlight w:val="none"/>
        </w:rPr>
      </w:pPr>
    </w:p>
    <w:p w14:paraId="27D5138E">
      <w:pPr>
        <w:jc w:val="center"/>
        <w:rPr>
          <w:rFonts w:ascii="宋体" w:hAnsi="宋体" w:cs="宋体"/>
          <w:b/>
          <w:color w:val="auto"/>
          <w:kern w:val="0"/>
          <w:sz w:val="32"/>
          <w:szCs w:val="32"/>
          <w:highlight w:val="none"/>
        </w:rPr>
      </w:pPr>
    </w:p>
    <w:p w14:paraId="2B04E10E">
      <w:pPr>
        <w:jc w:val="center"/>
        <w:rPr>
          <w:rFonts w:ascii="宋体" w:hAnsi="宋体" w:cs="宋体"/>
          <w:b/>
          <w:color w:val="auto"/>
          <w:kern w:val="0"/>
          <w:sz w:val="32"/>
          <w:szCs w:val="32"/>
          <w:highlight w:val="none"/>
        </w:rPr>
      </w:pPr>
    </w:p>
    <w:p w14:paraId="7A199998">
      <w:pPr>
        <w:jc w:val="center"/>
        <w:rPr>
          <w:rFonts w:ascii="宋体" w:hAnsi="宋体" w:cs="宋体"/>
          <w:b/>
          <w:color w:val="auto"/>
          <w:kern w:val="0"/>
          <w:sz w:val="32"/>
          <w:szCs w:val="32"/>
          <w:highlight w:val="none"/>
        </w:rPr>
      </w:pPr>
    </w:p>
    <w:p w14:paraId="4A31354F">
      <w:pPr>
        <w:jc w:val="center"/>
        <w:rPr>
          <w:rFonts w:ascii="宋体" w:hAnsi="宋体" w:cs="宋体"/>
          <w:b/>
          <w:color w:val="auto"/>
          <w:kern w:val="0"/>
          <w:sz w:val="32"/>
          <w:szCs w:val="32"/>
          <w:highlight w:val="none"/>
        </w:rPr>
      </w:pPr>
    </w:p>
    <w:p w14:paraId="3B5522C4">
      <w:pPr>
        <w:jc w:val="center"/>
        <w:rPr>
          <w:rFonts w:ascii="宋体" w:hAnsi="宋体" w:cs="宋体"/>
          <w:b/>
          <w:color w:val="auto"/>
          <w:kern w:val="0"/>
          <w:sz w:val="32"/>
          <w:szCs w:val="32"/>
          <w:highlight w:val="none"/>
        </w:rPr>
      </w:pPr>
    </w:p>
    <w:p w14:paraId="4CD0E1E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50482A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16A5C11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0A0C253">
      <w:pPr>
        <w:snapToGrid w:val="0"/>
        <w:spacing w:line="360" w:lineRule="auto"/>
        <w:rPr>
          <w:rFonts w:ascii="宋体" w:hAnsi="宋体" w:cs="宋体"/>
          <w:color w:val="auto"/>
          <w:kern w:val="0"/>
          <w:sz w:val="24"/>
          <w:highlight w:val="none"/>
        </w:rPr>
      </w:pPr>
    </w:p>
    <w:p w14:paraId="0EB98B5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DF04A5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86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6D96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8F76F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016A6B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BD4E1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6B10E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522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11CB5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17F65B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EC7EE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3BF7BF1">
            <w:pPr>
              <w:rPr>
                <w:rFonts w:ascii="宋体" w:hAnsi="宋体" w:cs="宋体"/>
                <w:color w:val="auto"/>
                <w:sz w:val="24"/>
                <w:highlight w:val="none"/>
              </w:rPr>
            </w:pPr>
          </w:p>
          <w:p w14:paraId="13012033">
            <w:pPr>
              <w:rPr>
                <w:rFonts w:ascii="宋体" w:hAnsi="宋体" w:cs="宋体"/>
                <w:color w:val="auto"/>
                <w:sz w:val="24"/>
                <w:highlight w:val="none"/>
              </w:rPr>
            </w:pPr>
            <w:r>
              <w:rPr>
                <w:rFonts w:hint="eastAsia" w:ascii="宋体" w:hAnsi="宋体" w:cs="宋体"/>
                <w:color w:val="auto"/>
                <w:sz w:val="24"/>
                <w:highlight w:val="none"/>
              </w:rPr>
              <w:t>见投标文件</w:t>
            </w:r>
          </w:p>
          <w:p w14:paraId="14B2905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77B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31A6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F3C2A1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0CA388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B2909E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7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4231A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54F691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0F055D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8FD915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C893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2D3059">
      <w:pPr>
        <w:jc w:val="center"/>
        <w:rPr>
          <w:rFonts w:ascii="宋体" w:hAnsi="宋体" w:cs="宋体"/>
          <w:b/>
          <w:color w:val="auto"/>
          <w:kern w:val="0"/>
          <w:sz w:val="32"/>
          <w:szCs w:val="32"/>
          <w:highlight w:val="none"/>
        </w:rPr>
      </w:pPr>
    </w:p>
    <w:p w14:paraId="3ACD2C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F1BA5C">
      <w:pPr>
        <w:jc w:val="center"/>
        <w:rPr>
          <w:rFonts w:ascii="宋体" w:hAnsi="宋体" w:cs="宋体"/>
          <w:b/>
          <w:color w:val="auto"/>
          <w:kern w:val="0"/>
          <w:sz w:val="32"/>
          <w:szCs w:val="32"/>
          <w:highlight w:val="none"/>
        </w:rPr>
      </w:pPr>
    </w:p>
    <w:p w14:paraId="647F8B93">
      <w:pPr>
        <w:jc w:val="center"/>
        <w:rPr>
          <w:rFonts w:ascii="宋体" w:hAnsi="宋体" w:cs="宋体"/>
          <w:b/>
          <w:color w:val="auto"/>
          <w:kern w:val="0"/>
          <w:sz w:val="32"/>
          <w:szCs w:val="32"/>
          <w:highlight w:val="none"/>
        </w:rPr>
      </w:pPr>
    </w:p>
    <w:p w14:paraId="521386F4">
      <w:pPr>
        <w:jc w:val="center"/>
        <w:rPr>
          <w:rFonts w:ascii="宋体" w:hAnsi="宋体" w:cs="宋体"/>
          <w:b/>
          <w:color w:val="auto"/>
          <w:kern w:val="0"/>
          <w:sz w:val="32"/>
          <w:szCs w:val="32"/>
          <w:highlight w:val="none"/>
        </w:rPr>
      </w:pPr>
    </w:p>
    <w:p w14:paraId="1F4285E8">
      <w:pPr>
        <w:jc w:val="center"/>
        <w:rPr>
          <w:rFonts w:ascii="宋体" w:hAnsi="宋体" w:cs="宋体"/>
          <w:b/>
          <w:color w:val="auto"/>
          <w:kern w:val="0"/>
          <w:sz w:val="32"/>
          <w:szCs w:val="32"/>
          <w:highlight w:val="none"/>
        </w:rPr>
      </w:pPr>
    </w:p>
    <w:p w14:paraId="53803FC8">
      <w:pPr>
        <w:jc w:val="center"/>
        <w:rPr>
          <w:rFonts w:ascii="宋体" w:hAnsi="宋体" w:cs="宋体"/>
          <w:b/>
          <w:color w:val="auto"/>
          <w:kern w:val="0"/>
          <w:sz w:val="32"/>
          <w:szCs w:val="32"/>
          <w:highlight w:val="none"/>
        </w:rPr>
      </w:pPr>
    </w:p>
    <w:p w14:paraId="76DBA731">
      <w:pPr>
        <w:jc w:val="center"/>
        <w:rPr>
          <w:rFonts w:ascii="宋体" w:hAnsi="宋体" w:cs="宋体"/>
          <w:b/>
          <w:color w:val="auto"/>
          <w:kern w:val="0"/>
          <w:sz w:val="32"/>
          <w:szCs w:val="32"/>
          <w:highlight w:val="none"/>
        </w:rPr>
      </w:pPr>
    </w:p>
    <w:p w14:paraId="5A12BCAA">
      <w:pPr>
        <w:jc w:val="center"/>
        <w:rPr>
          <w:rFonts w:ascii="宋体" w:hAnsi="宋体" w:cs="宋体"/>
          <w:b/>
          <w:color w:val="auto"/>
          <w:kern w:val="0"/>
          <w:sz w:val="32"/>
          <w:szCs w:val="32"/>
          <w:highlight w:val="none"/>
        </w:rPr>
      </w:pPr>
    </w:p>
    <w:p w14:paraId="6C2F51DA">
      <w:pPr>
        <w:jc w:val="center"/>
        <w:rPr>
          <w:rFonts w:ascii="宋体" w:hAnsi="宋体" w:cs="宋体"/>
          <w:b/>
          <w:color w:val="auto"/>
          <w:kern w:val="0"/>
          <w:sz w:val="32"/>
          <w:szCs w:val="32"/>
          <w:highlight w:val="none"/>
        </w:rPr>
      </w:pPr>
    </w:p>
    <w:p w14:paraId="218BD11C">
      <w:pPr>
        <w:jc w:val="center"/>
        <w:rPr>
          <w:rFonts w:ascii="宋体" w:hAnsi="宋体" w:cs="宋体"/>
          <w:b/>
          <w:color w:val="auto"/>
          <w:kern w:val="0"/>
          <w:sz w:val="32"/>
          <w:szCs w:val="32"/>
          <w:highlight w:val="none"/>
        </w:rPr>
      </w:pPr>
    </w:p>
    <w:p w14:paraId="1E5BF8A9">
      <w:pPr>
        <w:jc w:val="center"/>
        <w:rPr>
          <w:rFonts w:ascii="宋体" w:hAnsi="宋体" w:cs="宋体"/>
          <w:b/>
          <w:color w:val="auto"/>
          <w:kern w:val="0"/>
          <w:sz w:val="32"/>
          <w:szCs w:val="32"/>
          <w:highlight w:val="none"/>
        </w:rPr>
      </w:pPr>
    </w:p>
    <w:p w14:paraId="795441B5">
      <w:pPr>
        <w:jc w:val="center"/>
        <w:rPr>
          <w:rFonts w:ascii="宋体" w:hAnsi="宋体" w:cs="宋体"/>
          <w:b/>
          <w:color w:val="auto"/>
          <w:kern w:val="0"/>
          <w:sz w:val="32"/>
          <w:szCs w:val="32"/>
          <w:highlight w:val="none"/>
        </w:rPr>
      </w:pPr>
    </w:p>
    <w:p w14:paraId="5821604E">
      <w:pPr>
        <w:jc w:val="center"/>
        <w:rPr>
          <w:rFonts w:ascii="宋体" w:hAnsi="宋体" w:cs="宋体"/>
          <w:b/>
          <w:color w:val="auto"/>
          <w:kern w:val="0"/>
          <w:sz w:val="32"/>
          <w:szCs w:val="32"/>
          <w:highlight w:val="none"/>
        </w:rPr>
      </w:pPr>
    </w:p>
    <w:p w14:paraId="4060C1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C0D391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7E9D18B">
      <w:pPr>
        <w:jc w:val="center"/>
        <w:rPr>
          <w:rFonts w:ascii="宋体" w:hAnsi="宋体" w:cs="宋体"/>
          <w:b/>
          <w:color w:val="auto"/>
          <w:kern w:val="0"/>
          <w:sz w:val="32"/>
          <w:szCs w:val="32"/>
          <w:highlight w:val="none"/>
        </w:rPr>
      </w:pPr>
    </w:p>
    <w:p w14:paraId="6A34A6FA">
      <w:pPr>
        <w:jc w:val="center"/>
        <w:rPr>
          <w:rFonts w:ascii="宋体" w:hAnsi="宋体" w:cs="宋体"/>
          <w:b/>
          <w:color w:val="auto"/>
          <w:kern w:val="0"/>
          <w:sz w:val="32"/>
          <w:szCs w:val="32"/>
          <w:highlight w:val="none"/>
        </w:rPr>
      </w:pPr>
    </w:p>
    <w:p w14:paraId="0A4FE144">
      <w:pPr>
        <w:jc w:val="center"/>
        <w:rPr>
          <w:rFonts w:ascii="宋体" w:hAnsi="宋体" w:cs="宋体"/>
          <w:b/>
          <w:color w:val="auto"/>
          <w:kern w:val="0"/>
          <w:sz w:val="32"/>
          <w:szCs w:val="32"/>
          <w:highlight w:val="none"/>
        </w:rPr>
      </w:pPr>
    </w:p>
    <w:p w14:paraId="1923C61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7B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139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9DEA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63817BA">
            <w:pPr>
              <w:spacing w:line="360" w:lineRule="auto"/>
              <w:jc w:val="center"/>
              <w:rPr>
                <w:rFonts w:ascii="宋体" w:hAnsi="宋体" w:cs="宋体"/>
                <w:b/>
                <w:color w:val="auto"/>
                <w:sz w:val="24"/>
                <w:highlight w:val="none"/>
              </w:rPr>
            </w:pPr>
          </w:p>
          <w:p w14:paraId="0E2B17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DF99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7E57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316B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0ED295">
            <w:pPr>
              <w:spacing w:line="360" w:lineRule="auto"/>
              <w:jc w:val="center"/>
              <w:rPr>
                <w:rFonts w:ascii="宋体" w:hAnsi="宋体" w:cs="宋体"/>
                <w:b/>
                <w:color w:val="auto"/>
                <w:sz w:val="24"/>
                <w:highlight w:val="none"/>
              </w:rPr>
            </w:pPr>
          </w:p>
          <w:p w14:paraId="29824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B8DF40E">
            <w:pPr>
              <w:spacing w:line="360" w:lineRule="auto"/>
              <w:jc w:val="center"/>
              <w:rPr>
                <w:rFonts w:ascii="宋体" w:hAnsi="宋体" w:cs="宋体"/>
                <w:b/>
                <w:color w:val="auto"/>
                <w:sz w:val="24"/>
                <w:highlight w:val="none"/>
              </w:rPr>
            </w:pPr>
          </w:p>
        </w:tc>
      </w:tr>
      <w:tr w14:paraId="797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3084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91A34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D3199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412CD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8BAD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7B14D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4C0156">
            <w:pPr>
              <w:spacing w:line="360" w:lineRule="auto"/>
              <w:jc w:val="center"/>
              <w:rPr>
                <w:rFonts w:ascii="宋体" w:hAnsi="宋体" w:cs="宋体"/>
                <w:color w:val="auto"/>
                <w:sz w:val="24"/>
                <w:highlight w:val="none"/>
              </w:rPr>
            </w:pPr>
          </w:p>
        </w:tc>
      </w:tr>
      <w:tr w14:paraId="09DC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750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06E53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FCCA0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9FC26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A9110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3992C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068B0E0">
            <w:pPr>
              <w:spacing w:line="360" w:lineRule="auto"/>
              <w:jc w:val="center"/>
              <w:rPr>
                <w:rFonts w:ascii="宋体" w:hAnsi="宋体" w:cs="宋体"/>
                <w:color w:val="auto"/>
                <w:sz w:val="24"/>
                <w:highlight w:val="none"/>
              </w:rPr>
            </w:pPr>
          </w:p>
        </w:tc>
      </w:tr>
      <w:tr w14:paraId="3BD8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6D4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40621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1820D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82F6D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9B7F1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82CA3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ECCBE9">
            <w:pPr>
              <w:spacing w:line="360" w:lineRule="auto"/>
              <w:jc w:val="center"/>
              <w:rPr>
                <w:rFonts w:ascii="宋体" w:hAnsi="宋体" w:cs="宋体"/>
                <w:color w:val="auto"/>
                <w:sz w:val="24"/>
                <w:highlight w:val="none"/>
              </w:rPr>
            </w:pPr>
          </w:p>
        </w:tc>
      </w:tr>
    </w:tbl>
    <w:p w14:paraId="07A3CC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1813DF">
      <w:pPr>
        <w:jc w:val="center"/>
        <w:rPr>
          <w:rFonts w:ascii="宋体" w:hAnsi="宋体" w:cs="宋体"/>
          <w:b/>
          <w:color w:val="auto"/>
          <w:kern w:val="0"/>
          <w:sz w:val="32"/>
          <w:szCs w:val="32"/>
          <w:highlight w:val="none"/>
        </w:rPr>
      </w:pPr>
    </w:p>
    <w:p w14:paraId="3D5AA90D">
      <w:pPr>
        <w:jc w:val="center"/>
        <w:rPr>
          <w:rFonts w:ascii="宋体" w:hAnsi="宋体" w:cs="宋体"/>
          <w:b/>
          <w:color w:val="auto"/>
          <w:kern w:val="0"/>
          <w:sz w:val="32"/>
          <w:szCs w:val="32"/>
          <w:highlight w:val="none"/>
        </w:rPr>
      </w:pPr>
    </w:p>
    <w:p w14:paraId="5D4437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AEF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1D62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F7523C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12CE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23AD8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2E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FA39E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AE445A9">
            <w:pPr>
              <w:jc w:val="center"/>
              <w:rPr>
                <w:rFonts w:ascii="宋体" w:hAnsi="宋体" w:cs="宋体"/>
                <w:b/>
                <w:color w:val="auto"/>
                <w:kern w:val="0"/>
                <w:sz w:val="32"/>
                <w:szCs w:val="32"/>
                <w:highlight w:val="none"/>
              </w:rPr>
            </w:pPr>
          </w:p>
        </w:tc>
        <w:tc>
          <w:tcPr>
            <w:tcW w:w="3546" w:type="dxa"/>
          </w:tcPr>
          <w:p w14:paraId="350257A2">
            <w:pPr>
              <w:jc w:val="center"/>
              <w:rPr>
                <w:rFonts w:ascii="宋体" w:hAnsi="宋体" w:cs="宋体"/>
                <w:b/>
                <w:color w:val="auto"/>
                <w:kern w:val="0"/>
                <w:sz w:val="32"/>
                <w:szCs w:val="32"/>
                <w:highlight w:val="none"/>
              </w:rPr>
            </w:pPr>
          </w:p>
        </w:tc>
        <w:tc>
          <w:tcPr>
            <w:tcW w:w="1276" w:type="dxa"/>
          </w:tcPr>
          <w:p w14:paraId="618861A9">
            <w:pPr>
              <w:jc w:val="center"/>
              <w:rPr>
                <w:rFonts w:ascii="宋体" w:hAnsi="宋体" w:cs="宋体"/>
                <w:b/>
                <w:color w:val="auto"/>
                <w:kern w:val="0"/>
                <w:sz w:val="32"/>
                <w:szCs w:val="32"/>
                <w:highlight w:val="none"/>
              </w:rPr>
            </w:pPr>
          </w:p>
        </w:tc>
      </w:tr>
      <w:tr w14:paraId="70F6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77DD6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E65C348">
            <w:pPr>
              <w:jc w:val="center"/>
              <w:rPr>
                <w:rFonts w:ascii="宋体" w:hAnsi="宋体" w:cs="宋体"/>
                <w:b/>
                <w:color w:val="auto"/>
                <w:kern w:val="0"/>
                <w:sz w:val="32"/>
                <w:szCs w:val="32"/>
                <w:highlight w:val="none"/>
              </w:rPr>
            </w:pPr>
          </w:p>
        </w:tc>
        <w:tc>
          <w:tcPr>
            <w:tcW w:w="3546" w:type="dxa"/>
          </w:tcPr>
          <w:p w14:paraId="41B3D709">
            <w:pPr>
              <w:jc w:val="center"/>
              <w:rPr>
                <w:rFonts w:ascii="宋体" w:hAnsi="宋体" w:cs="宋体"/>
                <w:b/>
                <w:color w:val="auto"/>
                <w:kern w:val="0"/>
                <w:sz w:val="32"/>
                <w:szCs w:val="32"/>
                <w:highlight w:val="none"/>
              </w:rPr>
            </w:pPr>
          </w:p>
        </w:tc>
        <w:tc>
          <w:tcPr>
            <w:tcW w:w="1276" w:type="dxa"/>
          </w:tcPr>
          <w:p w14:paraId="4251072B">
            <w:pPr>
              <w:jc w:val="center"/>
              <w:rPr>
                <w:rFonts w:ascii="宋体" w:hAnsi="宋体" w:cs="宋体"/>
                <w:b/>
                <w:color w:val="auto"/>
                <w:kern w:val="0"/>
                <w:sz w:val="32"/>
                <w:szCs w:val="32"/>
                <w:highlight w:val="none"/>
              </w:rPr>
            </w:pPr>
          </w:p>
        </w:tc>
      </w:tr>
      <w:tr w14:paraId="19EA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9A9E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DA0B53F">
            <w:pPr>
              <w:jc w:val="center"/>
              <w:rPr>
                <w:rFonts w:ascii="宋体" w:hAnsi="宋体" w:cs="宋体"/>
                <w:b/>
                <w:color w:val="auto"/>
                <w:kern w:val="0"/>
                <w:sz w:val="32"/>
                <w:szCs w:val="32"/>
                <w:highlight w:val="none"/>
              </w:rPr>
            </w:pPr>
          </w:p>
        </w:tc>
        <w:tc>
          <w:tcPr>
            <w:tcW w:w="3546" w:type="dxa"/>
          </w:tcPr>
          <w:p w14:paraId="1ABDFC97">
            <w:pPr>
              <w:jc w:val="center"/>
              <w:rPr>
                <w:rFonts w:ascii="宋体" w:hAnsi="宋体" w:cs="宋体"/>
                <w:b/>
                <w:color w:val="auto"/>
                <w:kern w:val="0"/>
                <w:sz w:val="32"/>
                <w:szCs w:val="32"/>
                <w:highlight w:val="none"/>
              </w:rPr>
            </w:pPr>
          </w:p>
        </w:tc>
        <w:tc>
          <w:tcPr>
            <w:tcW w:w="1276" w:type="dxa"/>
          </w:tcPr>
          <w:p w14:paraId="06133B9A">
            <w:pPr>
              <w:jc w:val="center"/>
              <w:rPr>
                <w:rFonts w:ascii="宋体" w:hAnsi="宋体" w:cs="宋体"/>
                <w:b/>
                <w:color w:val="auto"/>
                <w:kern w:val="0"/>
                <w:sz w:val="32"/>
                <w:szCs w:val="32"/>
                <w:highlight w:val="none"/>
              </w:rPr>
            </w:pPr>
          </w:p>
        </w:tc>
      </w:tr>
    </w:tbl>
    <w:p w14:paraId="7515BC9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43A3FD6">
      <w:pPr>
        <w:jc w:val="center"/>
        <w:rPr>
          <w:rFonts w:ascii="宋体" w:hAnsi="宋体" w:cs="宋体"/>
          <w:b/>
          <w:color w:val="auto"/>
          <w:kern w:val="0"/>
          <w:sz w:val="32"/>
          <w:szCs w:val="32"/>
          <w:highlight w:val="none"/>
        </w:rPr>
      </w:pPr>
    </w:p>
    <w:p w14:paraId="324DF4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C70315">
      <w:pPr>
        <w:ind w:firstLine="1911" w:firstLineChars="595"/>
        <w:rPr>
          <w:rFonts w:ascii="宋体" w:hAnsi="宋体" w:cs="宋体"/>
          <w:b/>
          <w:bCs/>
          <w:color w:val="auto"/>
          <w:sz w:val="32"/>
          <w:szCs w:val="32"/>
          <w:highlight w:val="none"/>
        </w:rPr>
      </w:pPr>
    </w:p>
    <w:p w14:paraId="17084332">
      <w:pPr>
        <w:ind w:firstLine="1911" w:firstLineChars="595"/>
        <w:rPr>
          <w:rFonts w:ascii="宋体" w:hAnsi="宋体" w:cs="宋体"/>
          <w:b/>
          <w:bCs/>
          <w:color w:val="auto"/>
          <w:sz w:val="32"/>
          <w:szCs w:val="32"/>
          <w:highlight w:val="none"/>
        </w:rPr>
      </w:pPr>
    </w:p>
    <w:p w14:paraId="1D290F16">
      <w:pPr>
        <w:ind w:firstLine="1911" w:firstLineChars="595"/>
        <w:rPr>
          <w:rFonts w:ascii="宋体" w:hAnsi="宋体" w:cs="宋体"/>
          <w:b/>
          <w:bCs/>
          <w:color w:val="auto"/>
          <w:sz w:val="32"/>
          <w:szCs w:val="32"/>
          <w:highlight w:val="none"/>
        </w:rPr>
      </w:pPr>
    </w:p>
    <w:p w14:paraId="6CBC069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BE1561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4A05D09">
      <w:pPr>
        <w:snapToGrid w:val="0"/>
        <w:spacing w:line="360" w:lineRule="auto"/>
        <w:rPr>
          <w:rFonts w:ascii="宋体" w:hAnsi="宋体" w:cs="宋体"/>
          <w:color w:val="auto"/>
          <w:sz w:val="24"/>
          <w:highlight w:val="none"/>
        </w:rPr>
      </w:pPr>
    </w:p>
    <w:p w14:paraId="58A9EAD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7626D0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E7F9B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3FFF1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5C491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4B39D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C0897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12B087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D809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B0BB53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E319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604C2A">
      <w:pPr>
        <w:autoSpaceDE w:val="0"/>
        <w:autoSpaceDN w:val="0"/>
        <w:spacing w:line="360" w:lineRule="auto"/>
        <w:ind w:left="2"/>
        <w:jc w:val="left"/>
        <w:rPr>
          <w:rFonts w:ascii="宋体" w:hAnsi="宋体" w:cs="宋体"/>
          <w:color w:val="auto"/>
          <w:kern w:val="0"/>
          <w:sz w:val="24"/>
          <w:highlight w:val="none"/>
          <w:lang w:val="zh-CN"/>
        </w:rPr>
      </w:pPr>
    </w:p>
    <w:p w14:paraId="4D645FF2">
      <w:pPr>
        <w:autoSpaceDE w:val="0"/>
        <w:autoSpaceDN w:val="0"/>
        <w:spacing w:line="360" w:lineRule="auto"/>
        <w:ind w:left="2"/>
        <w:jc w:val="left"/>
        <w:rPr>
          <w:rFonts w:ascii="宋体" w:hAnsi="宋体" w:cs="宋体"/>
          <w:color w:val="auto"/>
          <w:kern w:val="0"/>
          <w:sz w:val="24"/>
          <w:highlight w:val="none"/>
          <w:lang w:val="zh-CN"/>
        </w:rPr>
      </w:pPr>
    </w:p>
    <w:p w14:paraId="286EE0BE">
      <w:pPr>
        <w:autoSpaceDE w:val="0"/>
        <w:autoSpaceDN w:val="0"/>
        <w:spacing w:line="360" w:lineRule="auto"/>
        <w:ind w:left="2"/>
        <w:jc w:val="left"/>
        <w:rPr>
          <w:rFonts w:ascii="宋体" w:hAnsi="宋体" w:cs="宋体"/>
          <w:color w:val="auto"/>
          <w:kern w:val="0"/>
          <w:sz w:val="24"/>
          <w:highlight w:val="none"/>
          <w:lang w:val="zh-CN"/>
        </w:rPr>
      </w:pPr>
    </w:p>
    <w:p w14:paraId="2B0CD06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96DB59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FA435F4">
      <w:pPr>
        <w:spacing w:line="360" w:lineRule="auto"/>
        <w:jc w:val="center"/>
        <w:rPr>
          <w:rFonts w:ascii="宋体" w:hAnsi="宋体" w:cs="宋体"/>
          <w:b/>
          <w:bCs/>
          <w:color w:val="auto"/>
          <w:sz w:val="24"/>
          <w:highlight w:val="none"/>
        </w:rPr>
      </w:pPr>
    </w:p>
    <w:p w14:paraId="2F4EF4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A1438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DA6E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7329A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80BB97">
      <w:pPr>
        <w:spacing w:line="360" w:lineRule="auto"/>
        <w:jc w:val="center"/>
        <w:outlineLvl w:val="0"/>
        <w:rPr>
          <w:rFonts w:ascii="宋体" w:hAnsi="宋体" w:cs="宋体"/>
          <w:b/>
          <w:color w:val="auto"/>
          <w:kern w:val="0"/>
          <w:sz w:val="36"/>
          <w:szCs w:val="36"/>
          <w:highlight w:val="none"/>
        </w:rPr>
      </w:pPr>
    </w:p>
    <w:p w14:paraId="451E23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BE4FC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3B1F617">
      <w:pPr>
        <w:snapToGrid w:val="0"/>
        <w:spacing w:line="360" w:lineRule="auto"/>
        <w:ind w:right="480"/>
        <w:jc w:val="center"/>
        <w:rPr>
          <w:rFonts w:ascii="宋体" w:hAnsi="宋体" w:cs="宋体"/>
          <w:b/>
          <w:color w:val="auto"/>
          <w:kern w:val="0"/>
          <w:sz w:val="32"/>
          <w:szCs w:val="32"/>
          <w:highlight w:val="none"/>
        </w:rPr>
      </w:pPr>
    </w:p>
    <w:p w14:paraId="2275FE7B">
      <w:pPr>
        <w:snapToGrid w:val="0"/>
        <w:spacing w:line="360" w:lineRule="auto"/>
        <w:ind w:right="480"/>
        <w:jc w:val="center"/>
        <w:rPr>
          <w:rFonts w:ascii="宋体" w:hAnsi="宋体" w:cs="宋体"/>
          <w:b/>
          <w:color w:val="auto"/>
          <w:kern w:val="0"/>
          <w:sz w:val="32"/>
          <w:szCs w:val="32"/>
          <w:highlight w:val="none"/>
        </w:rPr>
      </w:pPr>
    </w:p>
    <w:p w14:paraId="0C2912B1">
      <w:pPr>
        <w:snapToGrid w:val="0"/>
        <w:spacing w:line="360" w:lineRule="auto"/>
        <w:ind w:right="480"/>
        <w:jc w:val="center"/>
        <w:rPr>
          <w:rFonts w:ascii="宋体" w:hAnsi="宋体" w:cs="宋体"/>
          <w:b/>
          <w:color w:val="auto"/>
          <w:kern w:val="0"/>
          <w:sz w:val="32"/>
          <w:szCs w:val="32"/>
          <w:highlight w:val="none"/>
        </w:rPr>
      </w:pPr>
    </w:p>
    <w:p w14:paraId="385386A8">
      <w:pPr>
        <w:snapToGrid w:val="0"/>
        <w:spacing w:line="360" w:lineRule="auto"/>
        <w:ind w:right="480"/>
        <w:jc w:val="center"/>
        <w:rPr>
          <w:rFonts w:ascii="宋体" w:hAnsi="宋体" w:cs="宋体"/>
          <w:b/>
          <w:color w:val="auto"/>
          <w:kern w:val="0"/>
          <w:sz w:val="32"/>
          <w:szCs w:val="32"/>
          <w:highlight w:val="none"/>
        </w:rPr>
      </w:pPr>
    </w:p>
    <w:p w14:paraId="5AEAA5E7">
      <w:pPr>
        <w:snapToGrid w:val="0"/>
        <w:spacing w:line="360" w:lineRule="auto"/>
        <w:ind w:right="480"/>
        <w:jc w:val="center"/>
        <w:rPr>
          <w:rFonts w:ascii="宋体" w:hAnsi="宋体" w:cs="宋体"/>
          <w:b/>
          <w:color w:val="auto"/>
          <w:kern w:val="0"/>
          <w:sz w:val="32"/>
          <w:szCs w:val="32"/>
          <w:highlight w:val="none"/>
        </w:rPr>
      </w:pPr>
    </w:p>
    <w:p w14:paraId="48F34EFD">
      <w:pPr>
        <w:snapToGrid w:val="0"/>
        <w:spacing w:line="360" w:lineRule="auto"/>
        <w:ind w:right="480"/>
        <w:jc w:val="center"/>
        <w:rPr>
          <w:rFonts w:ascii="宋体" w:hAnsi="宋体" w:cs="宋体"/>
          <w:b/>
          <w:color w:val="auto"/>
          <w:kern w:val="0"/>
          <w:sz w:val="32"/>
          <w:szCs w:val="32"/>
          <w:highlight w:val="none"/>
        </w:rPr>
      </w:pPr>
    </w:p>
    <w:p w14:paraId="31666BBA">
      <w:pPr>
        <w:snapToGrid w:val="0"/>
        <w:spacing w:line="360" w:lineRule="auto"/>
        <w:ind w:right="480"/>
        <w:jc w:val="center"/>
        <w:rPr>
          <w:rFonts w:ascii="宋体" w:hAnsi="宋体" w:cs="宋体"/>
          <w:b/>
          <w:color w:val="auto"/>
          <w:kern w:val="0"/>
          <w:sz w:val="32"/>
          <w:szCs w:val="32"/>
          <w:highlight w:val="none"/>
        </w:rPr>
      </w:pPr>
    </w:p>
    <w:p w14:paraId="6D633ABD">
      <w:pPr>
        <w:snapToGrid w:val="0"/>
        <w:spacing w:line="360" w:lineRule="auto"/>
        <w:ind w:right="480"/>
        <w:jc w:val="center"/>
        <w:rPr>
          <w:rFonts w:ascii="宋体" w:hAnsi="宋体" w:cs="宋体"/>
          <w:b/>
          <w:color w:val="auto"/>
          <w:kern w:val="0"/>
          <w:sz w:val="32"/>
          <w:szCs w:val="32"/>
          <w:highlight w:val="none"/>
        </w:rPr>
      </w:pPr>
    </w:p>
    <w:p w14:paraId="5F7B4B0B">
      <w:pPr>
        <w:snapToGrid w:val="0"/>
        <w:spacing w:line="360" w:lineRule="auto"/>
        <w:ind w:right="480"/>
        <w:jc w:val="center"/>
        <w:rPr>
          <w:rFonts w:ascii="宋体" w:hAnsi="宋体" w:cs="宋体"/>
          <w:b/>
          <w:color w:val="auto"/>
          <w:kern w:val="0"/>
          <w:sz w:val="32"/>
          <w:szCs w:val="32"/>
          <w:highlight w:val="none"/>
        </w:rPr>
      </w:pPr>
    </w:p>
    <w:p w14:paraId="472C9055">
      <w:pPr>
        <w:snapToGrid w:val="0"/>
        <w:spacing w:line="360" w:lineRule="auto"/>
        <w:ind w:right="480"/>
        <w:jc w:val="center"/>
        <w:rPr>
          <w:rFonts w:ascii="宋体" w:hAnsi="宋体" w:cs="宋体"/>
          <w:b/>
          <w:color w:val="auto"/>
          <w:kern w:val="0"/>
          <w:sz w:val="32"/>
          <w:szCs w:val="32"/>
          <w:highlight w:val="none"/>
        </w:rPr>
      </w:pPr>
    </w:p>
    <w:p w14:paraId="13528D45">
      <w:pPr>
        <w:snapToGrid w:val="0"/>
        <w:spacing w:line="360" w:lineRule="auto"/>
        <w:ind w:right="480"/>
        <w:jc w:val="center"/>
        <w:rPr>
          <w:rFonts w:ascii="宋体" w:hAnsi="宋体" w:cs="宋体"/>
          <w:b/>
          <w:color w:val="auto"/>
          <w:kern w:val="0"/>
          <w:sz w:val="32"/>
          <w:szCs w:val="32"/>
          <w:highlight w:val="none"/>
        </w:rPr>
      </w:pPr>
    </w:p>
    <w:p w14:paraId="09E06BEE">
      <w:pPr>
        <w:snapToGrid w:val="0"/>
        <w:spacing w:line="360" w:lineRule="auto"/>
        <w:ind w:right="480"/>
        <w:jc w:val="center"/>
        <w:rPr>
          <w:rFonts w:ascii="宋体" w:hAnsi="宋体" w:cs="宋体"/>
          <w:b/>
          <w:color w:val="auto"/>
          <w:kern w:val="0"/>
          <w:sz w:val="32"/>
          <w:szCs w:val="32"/>
          <w:highlight w:val="none"/>
        </w:rPr>
      </w:pPr>
    </w:p>
    <w:p w14:paraId="33A70C06">
      <w:pPr>
        <w:snapToGrid w:val="0"/>
        <w:spacing w:line="360" w:lineRule="auto"/>
        <w:ind w:right="480"/>
        <w:jc w:val="center"/>
        <w:rPr>
          <w:rFonts w:ascii="宋体" w:hAnsi="宋体" w:cs="宋体"/>
          <w:b/>
          <w:color w:val="auto"/>
          <w:kern w:val="0"/>
          <w:sz w:val="32"/>
          <w:szCs w:val="32"/>
          <w:highlight w:val="none"/>
        </w:rPr>
      </w:pPr>
    </w:p>
    <w:p w14:paraId="7042F2FE">
      <w:pPr>
        <w:snapToGrid w:val="0"/>
        <w:spacing w:line="360" w:lineRule="auto"/>
        <w:ind w:right="480"/>
        <w:jc w:val="center"/>
        <w:rPr>
          <w:rFonts w:ascii="宋体" w:hAnsi="宋体" w:cs="宋体"/>
          <w:b/>
          <w:color w:val="auto"/>
          <w:kern w:val="0"/>
          <w:sz w:val="32"/>
          <w:szCs w:val="32"/>
          <w:highlight w:val="none"/>
        </w:rPr>
      </w:pPr>
    </w:p>
    <w:p w14:paraId="2BA3FA6A">
      <w:pPr>
        <w:snapToGrid w:val="0"/>
        <w:spacing w:line="360" w:lineRule="auto"/>
        <w:ind w:right="480"/>
        <w:jc w:val="center"/>
        <w:rPr>
          <w:rFonts w:ascii="宋体" w:hAnsi="宋体" w:cs="宋体"/>
          <w:b/>
          <w:color w:val="auto"/>
          <w:kern w:val="0"/>
          <w:sz w:val="32"/>
          <w:szCs w:val="32"/>
          <w:highlight w:val="none"/>
        </w:rPr>
      </w:pPr>
    </w:p>
    <w:p w14:paraId="0937F6C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079AA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A60D74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416366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8392F2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A12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EE9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A2F88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052D434">
            <w:pPr>
              <w:spacing w:line="360" w:lineRule="auto"/>
              <w:jc w:val="center"/>
              <w:rPr>
                <w:rFonts w:ascii="宋体" w:hAnsi="宋体" w:cs="宋体"/>
                <w:b/>
                <w:color w:val="auto"/>
                <w:sz w:val="24"/>
                <w:highlight w:val="none"/>
              </w:rPr>
            </w:pPr>
          </w:p>
          <w:p w14:paraId="343848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2E2DA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262B7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7B41B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C9CAAB9">
            <w:pPr>
              <w:spacing w:line="360" w:lineRule="auto"/>
              <w:jc w:val="center"/>
              <w:rPr>
                <w:rFonts w:ascii="宋体" w:hAnsi="宋体" w:cs="宋体"/>
                <w:b/>
                <w:color w:val="auto"/>
                <w:sz w:val="24"/>
                <w:highlight w:val="none"/>
              </w:rPr>
            </w:pPr>
          </w:p>
          <w:p w14:paraId="567C49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7D7172B">
            <w:pPr>
              <w:spacing w:line="360" w:lineRule="auto"/>
              <w:jc w:val="center"/>
              <w:rPr>
                <w:rFonts w:ascii="宋体" w:hAnsi="宋体" w:cs="宋体"/>
                <w:b/>
                <w:color w:val="auto"/>
                <w:sz w:val="24"/>
                <w:highlight w:val="none"/>
              </w:rPr>
            </w:pPr>
          </w:p>
          <w:p w14:paraId="31494F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7D7485A">
            <w:pPr>
              <w:spacing w:line="360" w:lineRule="auto"/>
              <w:jc w:val="center"/>
              <w:rPr>
                <w:rFonts w:ascii="宋体" w:hAnsi="宋体" w:cs="宋体"/>
                <w:b/>
                <w:color w:val="auto"/>
                <w:sz w:val="24"/>
                <w:highlight w:val="none"/>
              </w:rPr>
            </w:pPr>
          </w:p>
        </w:tc>
      </w:tr>
      <w:tr w14:paraId="050A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7795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51279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6C4BD14">
            <w:pPr>
              <w:snapToGrid w:val="0"/>
              <w:spacing w:line="360" w:lineRule="auto"/>
              <w:jc w:val="center"/>
              <w:rPr>
                <w:rFonts w:ascii="宋体" w:hAnsi="宋体" w:cs="宋体"/>
                <w:color w:val="auto"/>
                <w:sz w:val="24"/>
                <w:highlight w:val="none"/>
              </w:rPr>
            </w:pPr>
          </w:p>
        </w:tc>
        <w:tc>
          <w:tcPr>
            <w:tcW w:w="2410" w:type="dxa"/>
            <w:vAlign w:val="center"/>
          </w:tcPr>
          <w:p w14:paraId="40759AB8">
            <w:pPr>
              <w:snapToGrid w:val="0"/>
              <w:spacing w:line="360" w:lineRule="auto"/>
              <w:jc w:val="center"/>
              <w:rPr>
                <w:rFonts w:ascii="宋体" w:hAnsi="宋体" w:cs="宋体"/>
                <w:color w:val="auto"/>
                <w:sz w:val="24"/>
                <w:highlight w:val="none"/>
              </w:rPr>
            </w:pPr>
          </w:p>
        </w:tc>
        <w:tc>
          <w:tcPr>
            <w:tcW w:w="2268" w:type="dxa"/>
            <w:vAlign w:val="center"/>
          </w:tcPr>
          <w:p w14:paraId="6FBCC43E">
            <w:pPr>
              <w:snapToGrid w:val="0"/>
              <w:spacing w:line="360" w:lineRule="auto"/>
              <w:jc w:val="center"/>
              <w:rPr>
                <w:rFonts w:ascii="宋体" w:hAnsi="宋体" w:cs="宋体"/>
                <w:color w:val="auto"/>
                <w:sz w:val="24"/>
                <w:highlight w:val="none"/>
              </w:rPr>
            </w:pPr>
          </w:p>
        </w:tc>
        <w:tc>
          <w:tcPr>
            <w:tcW w:w="2126" w:type="dxa"/>
            <w:vAlign w:val="center"/>
          </w:tcPr>
          <w:p w14:paraId="45756079">
            <w:pPr>
              <w:spacing w:line="360" w:lineRule="auto"/>
              <w:jc w:val="center"/>
              <w:rPr>
                <w:rFonts w:ascii="宋体" w:hAnsi="宋体" w:cs="宋体"/>
                <w:color w:val="auto"/>
                <w:sz w:val="24"/>
                <w:highlight w:val="none"/>
              </w:rPr>
            </w:pPr>
          </w:p>
        </w:tc>
        <w:tc>
          <w:tcPr>
            <w:tcW w:w="2127" w:type="dxa"/>
          </w:tcPr>
          <w:p w14:paraId="7F17B9D6">
            <w:pPr>
              <w:spacing w:line="360" w:lineRule="auto"/>
              <w:jc w:val="center"/>
              <w:rPr>
                <w:rFonts w:ascii="宋体" w:hAnsi="宋体" w:cs="宋体"/>
                <w:color w:val="auto"/>
                <w:sz w:val="24"/>
                <w:highlight w:val="none"/>
              </w:rPr>
            </w:pPr>
          </w:p>
        </w:tc>
        <w:tc>
          <w:tcPr>
            <w:tcW w:w="2126" w:type="dxa"/>
            <w:vAlign w:val="center"/>
          </w:tcPr>
          <w:p w14:paraId="0F63831A">
            <w:pPr>
              <w:spacing w:line="360" w:lineRule="auto"/>
              <w:jc w:val="center"/>
              <w:rPr>
                <w:rFonts w:ascii="宋体" w:hAnsi="宋体" w:cs="宋体"/>
                <w:color w:val="auto"/>
                <w:sz w:val="24"/>
                <w:highlight w:val="none"/>
              </w:rPr>
            </w:pPr>
          </w:p>
        </w:tc>
      </w:tr>
      <w:tr w14:paraId="4167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75E1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66927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579DA2E">
            <w:pPr>
              <w:snapToGrid w:val="0"/>
              <w:spacing w:line="360" w:lineRule="auto"/>
              <w:jc w:val="center"/>
              <w:rPr>
                <w:rFonts w:ascii="宋体" w:hAnsi="宋体" w:cs="宋体"/>
                <w:color w:val="auto"/>
                <w:sz w:val="24"/>
                <w:highlight w:val="none"/>
              </w:rPr>
            </w:pPr>
          </w:p>
        </w:tc>
        <w:tc>
          <w:tcPr>
            <w:tcW w:w="2410" w:type="dxa"/>
            <w:vAlign w:val="center"/>
          </w:tcPr>
          <w:p w14:paraId="1DC22AF8">
            <w:pPr>
              <w:snapToGrid w:val="0"/>
              <w:spacing w:line="360" w:lineRule="auto"/>
              <w:jc w:val="center"/>
              <w:rPr>
                <w:rFonts w:ascii="宋体" w:hAnsi="宋体" w:cs="宋体"/>
                <w:color w:val="auto"/>
                <w:sz w:val="24"/>
                <w:highlight w:val="none"/>
              </w:rPr>
            </w:pPr>
          </w:p>
        </w:tc>
        <w:tc>
          <w:tcPr>
            <w:tcW w:w="2268" w:type="dxa"/>
            <w:vAlign w:val="center"/>
          </w:tcPr>
          <w:p w14:paraId="12CFEE88">
            <w:pPr>
              <w:snapToGrid w:val="0"/>
              <w:spacing w:line="360" w:lineRule="auto"/>
              <w:jc w:val="center"/>
              <w:rPr>
                <w:rFonts w:ascii="宋体" w:hAnsi="宋体" w:cs="宋体"/>
                <w:color w:val="auto"/>
                <w:sz w:val="24"/>
                <w:highlight w:val="none"/>
              </w:rPr>
            </w:pPr>
          </w:p>
        </w:tc>
        <w:tc>
          <w:tcPr>
            <w:tcW w:w="2126" w:type="dxa"/>
            <w:vAlign w:val="center"/>
          </w:tcPr>
          <w:p w14:paraId="1F6E3548">
            <w:pPr>
              <w:spacing w:line="360" w:lineRule="auto"/>
              <w:jc w:val="center"/>
              <w:rPr>
                <w:rFonts w:ascii="宋体" w:hAnsi="宋体" w:cs="宋体"/>
                <w:color w:val="auto"/>
                <w:sz w:val="24"/>
                <w:highlight w:val="none"/>
              </w:rPr>
            </w:pPr>
          </w:p>
        </w:tc>
        <w:tc>
          <w:tcPr>
            <w:tcW w:w="2127" w:type="dxa"/>
          </w:tcPr>
          <w:p w14:paraId="0C8852E6">
            <w:pPr>
              <w:spacing w:line="360" w:lineRule="auto"/>
              <w:jc w:val="center"/>
              <w:rPr>
                <w:rFonts w:ascii="宋体" w:hAnsi="宋体" w:cs="宋体"/>
                <w:color w:val="auto"/>
                <w:sz w:val="24"/>
                <w:highlight w:val="none"/>
              </w:rPr>
            </w:pPr>
          </w:p>
        </w:tc>
        <w:tc>
          <w:tcPr>
            <w:tcW w:w="2126" w:type="dxa"/>
            <w:vAlign w:val="center"/>
          </w:tcPr>
          <w:p w14:paraId="52845E73">
            <w:pPr>
              <w:spacing w:line="360" w:lineRule="auto"/>
              <w:jc w:val="center"/>
              <w:rPr>
                <w:rFonts w:ascii="宋体" w:hAnsi="宋体" w:cs="宋体"/>
                <w:color w:val="auto"/>
                <w:sz w:val="24"/>
                <w:highlight w:val="none"/>
              </w:rPr>
            </w:pPr>
          </w:p>
        </w:tc>
      </w:tr>
      <w:tr w14:paraId="4CE6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A75D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AE98DBB">
            <w:pPr>
              <w:snapToGrid w:val="0"/>
              <w:spacing w:line="360" w:lineRule="auto"/>
              <w:jc w:val="center"/>
              <w:rPr>
                <w:rFonts w:ascii="宋体" w:hAnsi="宋体" w:cs="宋体"/>
                <w:color w:val="auto"/>
                <w:sz w:val="24"/>
                <w:highlight w:val="none"/>
              </w:rPr>
            </w:pPr>
          </w:p>
        </w:tc>
        <w:tc>
          <w:tcPr>
            <w:tcW w:w="2268" w:type="dxa"/>
            <w:vAlign w:val="center"/>
          </w:tcPr>
          <w:p w14:paraId="326C52FD">
            <w:pPr>
              <w:snapToGrid w:val="0"/>
              <w:spacing w:line="360" w:lineRule="auto"/>
              <w:jc w:val="center"/>
              <w:rPr>
                <w:rFonts w:ascii="宋体" w:hAnsi="宋体" w:cs="宋体"/>
                <w:color w:val="auto"/>
                <w:sz w:val="24"/>
                <w:highlight w:val="none"/>
              </w:rPr>
            </w:pPr>
          </w:p>
        </w:tc>
        <w:tc>
          <w:tcPr>
            <w:tcW w:w="2410" w:type="dxa"/>
            <w:vAlign w:val="center"/>
          </w:tcPr>
          <w:p w14:paraId="4E082C49">
            <w:pPr>
              <w:snapToGrid w:val="0"/>
              <w:spacing w:line="360" w:lineRule="auto"/>
              <w:jc w:val="center"/>
              <w:rPr>
                <w:rFonts w:ascii="宋体" w:hAnsi="宋体" w:cs="宋体"/>
                <w:color w:val="auto"/>
                <w:sz w:val="24"/>
                <w:highlight w:val="none"/>
              </w:rPr>
            </w:pPr>
          </w:p>
        </w:tc>
        <w:tc>
          <w:tcPr>
            <w:tcW w:w="2268" w:type="dxa"/>
            <w:vAlign w:val="center"/>
          </w:tcPr>
          <w:p w14:paraId="77697CFE">
            <w:pPr>
              <w:snapToGrid w:val="0"/>
              <w:spacing w:line="360" w:lineRule="auto"/>
              <w:jc w:val="center"/>
              <w:rPr>
                <w:rFonts w:ascii="宋体" w:hAnsi="宋体" w:cs="宋体"/>
                <w:color w:val="auto"/>
                <w:sz w:val="24"/>
                <w:highlight w:val="none"/>
              </w:rPr>
            </w:pPr>
          </w:p>
        </w:tc>
        <w:tc>
          <w:tcPr>
            <w:tcW w:w="2126" w:type="dxa"/>
            <w:vAlign w:val="center"/>
          </w:tcPr>
          <w:p w14:paraId="463EF082">
            <w:pPr>
              <w:spacing w:line="360" w:lineRule="auto"/>
              <w:jc w:val="center"/>
              <w:rPr>
                <w:rFonts w:ascii="宋体" w:hAnsi="宋体" w:cs="宋体"/>
                <w:color w:val="auto"/>
                <w:sz w:val="24"/>
                <w:highlight w:val="none"/>
              </w:rPr>
            </w:pPr>
          </w:p>
        </w:tc>
        <w:tc>
          <w:tcPr>
            <w:tcW w:w="2127" w:type="dxa"/>
          </w:tcPr>
          <w:p w14:paraId="03D76204">
            <w:pPr>
              <w:spacing w:line="360" w:lineRule="auto"/>
              <w:jc w:val="center"/>
              <w:rPr>
                <w:rFonts w:ascii="宋体" w:hAnsi="宋体" w:cs="宋体"/>
                <w:color w:val="auto"/>
                <w:sz w:val="24"/>
                <w:highlight w:val="none"/>
              </w:rPr>
            </w:pPr>
          </w:p>
        </w:tc>
        <w:tc>
          <w:tcPr>
            <w:tcW w:w="2126" w:type="dxa"/>
            <w:vAlign w:val="center"/>
          </w:tcPr>
          <w:p w14:paraId="1E1E4812">
            <w:pPr>
              <w:spacing w:line="360" w:lineRule="auto"/>
              <w:jc w:val="center"/>
              <w:rPr>
                <w:rFonts w:ascii="宋体" w:hAnsi="宋体" w:cs="宋体"/>
                <w:color w:val="auto"/>
                <w:sz w:val="24"/>
                <w:highlight w:val="none"/>
              </w:rPr>
            </w:pPr>
          </w:p>
        </w:tc>
      </w:tr>
      <w:tr w14:paraId="6CA4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0D6D9">
            <w:pPr>
              <w:spacing w:line="360" w:lineRule="auto"/>
              <w:jc w:val="center"/>
              <w:rPr>
                <w:rFonts w:ascii="宋体" w:hAnsi="宋体" w:cs="宋体"/>
                <w:color w:val="auto"/>
                <w:sz w:val="24"/>
                <w:highlight w:val="none"/>
              </w:rPr>
            </w:pPr>
          </w:p>
        </w:tc>
        <w:tc>
          <w:tcPr>
            <w:tcW w:w="992" w:type="dxa"/>
            <w:vAlign w:val="center"/>
          </w:tcPr>
          <w:p w14:paraId="474C6C3B">
            <w:pPr>
              <w:snapToGrid w:val="0"/>
              <w:spacing w:line="360" w:lineRule="auto"/>
              <w:jc w:val="center"/>
              <w:rPr>
                <w:rFonts w:ascii="宋体" w:hAnsi="宋体" w:cs="宋体"/>
                <w:color w:val="auto"/>
                <w:sz w:val="24"/>
                <w:highlight w:val="none"/>
              </w:rPr>
            </w:pPr>
          </w:p>
        </w:tc>
        <w:tc>
          <w:tcPr>
            <w:tcW w:w="2268" w:type="dxa"/>
            <w:vAlign w:val="center"/>
          </w:tcPr>
          <w:p w14:paraId="5CBC9F85">
            <w:pPr>
              <w:snapToGrid w:val="0"/>
              <w:spacing w:line="360" w:lineRule="auto"/>
              <w:jc w:val="center"/>
              <w:rPr>
                <w:rFonts w:ascii="宋体" w:hAnsi="宋体" w:cs="宋体"/>
                <w:color w:val="auto"/>
                <w:sz w:val="24"/>
                <w:highlight w:val="none"/>
              </w:rPr>
            </w:pPr>
          </w:p>
        </w:tc>
        <w:tc>
          <w:tcPr>
            <w:tcW w:w="2410" w:type="dxa"/>
            <w:vAlign w:val="center"/>
          </w:tcPr>
          <w:p w14:paraId="1754F2A7">
            <w:pPr>
              <w:snapToGrid w:val="0"/>
              <w:spacing w:line="360" w:lineRule="auto"/>
              <w:jc w:val="center"/>
              <w:rPr>
                <w:rFonts w:ascii="宋体" w:hAnsi="宋体" w:cs="宋体"/>
                <w:color w:val="auto"/>
                <w:sz w:val="24"/>
                <w:highlight w:val="none"/>
              </w:rPr>
            </w:pPr>
          </w:p>
        </w:tc>
        <w:tc>
          <w:tcPr>
            <w:tcW w:w="2268" w:type="dxa"/>
            <w:vAlign w:val="center"/>
          </w:tcPr>
          <w:p w14:paraId="291CCACC">
            <w:pPr>
              <w:snapToGrid w:val="0"/>
              <w:spacing w:line="360" w:lineRule="auto"/>
              <w:jc w:val="center"/>
              <w:rPr>
                <w:rFonts w:ascii="宋体" w:hAnsi="宋体" w:cs="宋体"/>
                <w:color w:val="auto"/>
                <w:sz w:val="24"/>
                <w:highlight w:val="none"/>
              </w:rPr>
            </w:pPr>
          </w:p>
        </w:tc>
        <w:tc>
          <w:tcPr>
            <w:tcW w:w="2126" w:type="dxa"/>
            <w:vAlign w:val="center"/>
          </w:tcPr>
          <w:p w14:paraId="0561979A">
            <w:pPr>
              <w:spacing w:line="360" w:lineRule="auto"/>
              <w:jc w:val="center"/>
              <w:rPr>
                <w:rFonts w:ascii="宋体" w:hAnsi="宋体" w:cs="宋体"/>
                <w:color w:val="auto"/>
                <w:sz w:val="24"/>
                <w:highlight w:val="none"/>
              </w:rPr>
            </w:pPr>
          </w:p>
        </w:tc>
        <w:tc>
          <w:tcPr>
            <w:tcW w:w="2127" w:type="dxa"/>
          </w:tcPr>
          <w:p w14:paraId="5B8AB58C">
            <w:pPr>
              <w:spacing w:line="360" w:lineRule="auto"/>
              <w:jc w:val="center"/>
              <w:rPr>
                <w:rFonts w:ascii="宋体" w:hAnsi="宋体" w:cs="宋体"/>
                <w:color w:val="auto"/>
                <w:sz w:val="24"/>
                <w:highlight w:val="none"/>
              </w:rPr>
            </w:pPr>
          </w:p>
        </w:tc>
        <w:tc>
          <w:tcPr>
            <w:tcW w:w="2126" w:type="dxa"/>
            <w:vAlign w:val="center"/>
          </w:tcPr>
          <w:p w14:paraId="12594EFB">
            <w:pPr>
              <w:spacing w:line="360" w:lineRule="auto"/>
              <w:jc w:val="center"/>
              <w:rPr>
                <w:rFonts w:ascii="宋体" w:hAnsi="宋体" w:cs="宋体"/>
                <w:color w:val="auto"/>
                <w:sz w:val="24"/>
                <w:highlight w:val="none"/>
              </w:rPr>
            </w:pPr>
          </w:p>
        </w:tc>
      </w:tr>
      <w:tr w14:paraId="72ED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6743FC">
            <w:pPr>
              <w:spacing w:line="360" w:lineRule="auto"/>
              <w:jc w:val="center"/>
              <w:rPr>
                <w:rFonts w:ascii="宋体" w:hAnsi="宋体" w:cs="宋体"/>
                <w:color w:val="auto"/>
                <w:sz w:val="24"/>
                <w:highlight w:val="none"/>
              </w:rPr>
            </w:pPr>
          </w:p>
        </w:tc>
        <w:tc>
          <w:tcPr>
            <w:tcW w:w="992" w:type="dxa"/>
            <w:vAlign w:val="center"/>
          </w:tcPr>
          <w:p w14:paraId="141CD2ED">
            <w:pPr>
              <w:snapToGrid w:val="0"/>
              <w:spacing w:line="360" w:lineRule="auto"/>
              <w:jc w:val="center"/>
              <w:rPr>
                <w:rFonts w:ascii="宋体" w:hAnsi="宋体" w:cs="宋体"/>
                <w:color w:val="auto"/>
                <w:sz w:val="24"/>
                <w:highlight w:val="none"/>
              </w:rPr>
            </w:pPr>
          </w:p>
        </w:tc>
        <w:tc>
          <w:tcPr>
            <w:tcW w:w="2268" w:type="dxa"/>
            <w:vAlign w:val="center"/>
          </w:tcPr>
          <w:p w14:paraId="73EFDA7A">
            <w:pPr>
              <w:snapToGrid w:val="0"/>
              <w:spacing w:line="360" w:lineRule="auto"/>
              <w:jc w:val="center"/>
              <w:rPr>
                <w:rFonts w:ascii="宋体" w:hAnsi="宋体" w:cs="宋体"/>
                <w:color w:val="auto"/>
                <w:sz w:val="24"/>
                <w:highlight w:val="none"/>
              </w:rPr>
            </w:pPr>
          </w:p>
        </w:tc>
        <w:tc>
          <w:tcPr>
            <w:tcW w:w="2410" w:type="dxa"/>
            <w:vAlign w:val="center"/>
          </w:tcPr>
          <w:p w14:paraId="39F9154F">
            <w:pPr>
              <w:snapToGrid w:val="0"/>
              <w:spacing w:line="360" w:lineRule="auto"/>
              <w:jc w:val="center"/>
              <w:rPr>
                <w:rFonts w:ascii="宋体" w:hAnsi="宋体" w:cs="宋体"/>
                <w:color w:val="auto"/>
                <w:sz w:val="24"/>
                <w:highlight w:val="none"/>
              </w:rPr>
            </w:pPr>
          </w:p>
        </w:tc>
        <w:tc>
          <w:tcPr>
            <w:tcW w:w="2268" w:type="dxa"/>
            <w:vAlign w:val="center"/>
          </w:tcPr>
          <w:p w14:paraId="1206AC6F">
            <w:pPr>
              <w:snapToGrid w:val="0"/>
              <w:spacing w:line="360" w:lineRule="auto"/>
              <w:jc w:val="center"/>
              <w:rPr>
                <w:rFonts w:ascii="宋体" w:hAnsi="宋体" w:cs="宋体"/>
                <w:color w:val="auto"/>
                <w:sz w:val="24"/>
                <w:highlight w:val="none"/>
              </w:rPr>
            </w:pPr>
          </w:p>
        </w:tc>
        <w:tc>
          <w:tcPr>
            <w:tcW w:w="2126" w:type="dxa"/>
            <w:vAlign w:val="center"/>
          </w:tcPr>
          <w:p w14:paraId="7A8E3203">
            <w:pPr>
              <w:spacing w:line="360" w:lineRule="auto"/>
              <w:jc w:val="center"/>
              <w:rPr>
                <w:rFonts w:ascii="宋体" w:hAnsi="宋体" w:cs="宋体"/>
                <w:color w:val="auto"/>
                <w:sz w:val="24"/>
                <w:highlight w:val="none"/>
              </w:rPr>
            </w:pPr>
          </w:p>
        </w:tc>
        <w:tc>
          <w:tcPr>
            <w:tcW w:w="2127" w:type="dxa"/>
          </w:tcPr>
          <w:p w14:paraId="79817BE8">
            <w:pPr>
              <w:spacing w:line="360" w:lineRule="auto"/>
              <w:jc w:val="center"/>
              <w:rPr>
                <w:rFonts w:ascii="宋体" w:hAnsi="宋体" w:cs="宋体"/>
                <w:color w:val="auto"/>
                <w:sz w:val="24"/>
                <w:highlight w:val="none"/>
              </w:rPr>
            </w:pPr>
          </w:p>
        </w:tc>
        <w:tc>
          <w:tcPr>
            <w:tcW w:w="2126" w:type="dxa"/>
            <w:vAlign w:val="center"/>
          </w:tcPr>
          <w:p w14:paraId="592023F8">
            <w:pPr>
              <w:spacing w:line="360" w:lineRule="auto"/>
              <w:jc w:val="center"/>
              <w:rPr>
                <w:rFonts w:ascii="宋体" w:hAnsi="宋体" w:cs="宋体"/>
                <w:color w:val="auto"/>
                <w:sz w:val="24"/>
                <w:highlight w:val="none"/>
              </w:rPr>
            </w:pPr>
          </w:p>
        </w:tc>
      </w:tr>
      <w:tr w14:paraId="0C0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6AF1C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3E379DD">
            <w:pPr>
              <w:spacing w:line="360" w:lineRule="auto"/>
              <w:jc w:val="center"/>
              <w:rPr>
                <w:rFonts w:ascii="宋体" w:hAnsi="宋体" w:cs="宋体"/>
                <w:color w:val="auto"/>
                <w:sz w:val="24"/>
                <w:highlight w:val="none"/>
              </w:rPr>
            </w:pPr>
          </w:p>
        </w:tc>
      </w:tr>
      <w:tr w14:paraId="1AA6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C521C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7EFCBF3">
            <w:pPr>
              <w:spacing w:line="360" w:lineRule="auto"/>
              <w:jc w:val="center"/>
              <w:rPr>
                <w:rFonts w:ascii="宋体" w:hAnsi="宋体" w:cs="宋体"/>
                <w:color w:val="auto"/>
                <w:sz w:val="24"/>
                <w:highlight w:val="none"/>
              </w:rPr>
            </w:pPr>
          </w:p>
        </w:tc>
      </w:tr>
    </w:tbl>
    <w:p w14:paraId="437B55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A9FD96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A207C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6868F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61A082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567301">
      <w:pPr>
        <w:spacing w:line="360" w:lineRule="auto"/>
        <w:ind w:firstLine="482" w:firstLineChars="200"/>
        <w:rPr>
          <w:rFonts w:ascii="宋体" w:hAnsi="宋体" w:cs="宋体"/>
          <w:b/>
          <w:color w:val="auto"/>
          <w:kern w:val="0"/>
          <w:sz w:val="24"/>
          <w:highlight w:val="none"/>
        </w:rPr>
      </w:pPr>
    </w:p>
    <w:p w14:paraId="7AEE494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21A758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DE2DB48">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27D14F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1AB9FDD">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6630A45">
      <w:pPr>
        <w:spacing w:line="360" w:lineRule="auto"/>
        <w:ind w:right="420" w:firstLine="3614" w:firstLineChars="1000"/>
        <w:rPr>
          <w:rFonts w:ascii="宋体" w:hAnsi="宋体" w:cs="宋体"/>
          <w:b/>
          <w:color w:val="auto"/>
          <w:kern w:val="0"/>
          <w:sz w:val="36"/>
          <w:szCs w:val="36"/>
          <w:highlight w:val="none"/>
        </w:rPr>
      </w:pPr>
    </w:p>
    <w:p w14:paraId="34A76CD9">
      <w:pPr>
        <w:spacing w:line="360" w:lineRule="auto"/>
        <w:ind w:right="420" w:firstLine="3614" w:firstLineChars="1000"/>
        <w:rPr>
          <w:rFonts w:ascii="宋体" w:hAnsi="宋体" w:cs="宋体"/>
          <w:b/>
          <w:color w:val="auto"/>
          <w:kern w:val="0"/>
          <w:sz w:val="36"/>
          <w:szCs w:val="36"/>
          <w:highlight w:val="none"/>
        </w:rPr>
      </w:pPr>
    </w:p>
    <w:p w14:paraId="008C43B6">
      <w:pPr>
        <w:spacing w:line="360" w:lineRule="auto"/>
        <w:ind w:right="420" w:firstLine="3614" w:firstLineChars="1000"/>
        <w:rPr>
          <w:rFonts w:ascii="宋体" w:hAnsi="宋体" w:cs="宋体"/>
          <w:b/>
          <w:color w:val="auto"/>
          <w:kern w:val="0"/>
          <w:sz w:val="36"/>
          <w:szCs w:val="36"/>
          <w:highlight w:val="none"/>
        </w:rPr>
      </w:pPr>
    </w:p>
    <w:p w14:paraId="69CE1335">
      <w:pPr>
        <w:spacing w:line="360" w:lineRule="auto"/>
        <w:ind w:right="420" w:firstLine="3614" w:firstLineChars="1000"/>
        <w:rPr>
          <w:rFonts w:ascii="宋体" w:hAnsi="宋体" w:cs="宋体"/>
          <w:b/>
          <w:color w:val="auto"/>
          <w:kern w:val="0"/>
          <w:sz w:val="36"/>
          <w:szCs w:val="36"/>
          <w:highlight w:val="none"/>
        </w:rPr>
      </w:pPr>
    </w:p>
    <w:p w14:paraId="152B998F">
      <w:pPr>
        <w:spacing w:line="360" w:lineRule="auto"/>
        <w:ind w:right="420" w:firstLine="3614" w:firstLineChars="1000"/>
        <w:rPr>
          <w:rFonts w:ascii="宋体" w:hAnsi="宋体" w:cs="宋体"/>
          <w:b/>
          <w:color w:val="auto"/>
          <w:kern w:val="0"/>
          <w:sz w:val="36"/>
          <w:szCs w:val="36"/>
          <w:highlight w:val="none"/>
        </w:rPr>
      </w:pPr>
    </w:p>
    <w:p w14:paraId="2AAA688F">
      <w:pPr>
        <w:spacing w:line="360" w:lineRule="auto"/>
        <w:ind w:right="420" w:firstLine="3614" w:firstLineChars="1000"/>
        <w:rPr>
          <w:rFonts w:ascii="宋体" w:hAnsi="宋体" w:cs="宋体"/>
          <w:b/>
          <w:color w:val="auto"/>
          <w:kern w:val="0"/>
          <w:sz w:val="36"/>
          <w:szCs w:val="36"/>
          <w:highlight w:val="none"/>
        </w:rPr>
      </w:pPr>
    </w:p>
    <w:p w14:paraId="05A707A9">
      <w:pPr>
        <w:spacing w:line="360" w:lineRule="auto"/>
        <w:ind w:right="420" w:firstLine="3614" w:firstLineChars="1000"/>
        <w:rPr>
          <w:rFonts w:ascii="宋体" w:hAnsi="宋体" w:cs="宋体"/>
          <w:b/>
          <w:color w:val="auto"/>
          <w:kern w:val="0"/>
          <w:sz w:val="36"/>
          <w:szCs w:val="36"/>
          <w:highlight w:val="none"/>
        </w:rPr>
      </w:pPr>
    </w:p>
    <w:p w14:paraId="13463095">
      <w:pPr>
        <w:spacing w:line="360" w:lineRule="auto"/>
        <w:ind w:right="420" w:firstLine="3614" w:firstLineChars="1000"/>
        <w:rPr>
          <w:rFonts w:ascii="宋体" w:hAnsi="宋体" w:cs="宋体"/>
          <w:b/>
          <w:color w:val="auto"/>
          <w:kern w:val="0"/>
          <w:sz w:val="36"/>
          <w:szCs w:val="36"/>
          <w:highlight w:val="none"/>
        </w:rPr>
      </w:pPr>
    </w:p>
    <w:p w14:paraId="052D441A">
      <w:pPr>
        <w:spacing w:line="360" w:lineRule="auto"/>
        <w:ind w:right="420" w:firstLine="3614" w:firstLineChars="1000"/>
        <w:rPr>
          <w:rFonts w:ascii="宋体" w:hAnsi="宋体" w:cs="宋体"/>
          <w:b/>
          <w:color w:val="auto"/>
          <w:kern w:val="0"/>
          <w:sz w:val="36"/>
          <w:szCs w:val="36"/>
          <w:highlight w:val="none"/>
        </w:rPr>
      </w:pPr>
    </w:p>
    <w:p w14:paraId="0363C879">
      <w:pPr>
        <w:spacing w:line="360" w:lineRule="auto"/>
        <w:ind w:right="420" w:firstLine="3614" w:firstLineChars="1000"/>
        <w:rPr>
          <w:rFonts w:ascii="宋体" w:hAnsi="宋体" w:cs="宋体"/>
          <w:b/>
          <w:color w:val="auto"/>
          <w:kern w:val="0"/>
          <w:sz w:val="36"/>
          <w:szCs w:val="36"/>
          <w:highlight w:val="none"/>
        </w:rPr>
      </w:pPr>
    </w:p>
    <w:p w14:paraId="3C2C943E">
      <w:pPr>
        <w:spacing w:line="360" w:lineRule="auto"/>
        <w:ind w:right="420" w:firstLine="3614" w:firstLineChars="1000"/>
        <w:rPr>
          <w:rFonts w:ascii="宋体" w:hAnsi="宋体" w:cs="宋体"/>
          <w:b/>
          <w:color w:val="auto"/>
          <w:kern w:val="0"/>
          <w:sz w:val="36"/>
          <w:szCs w:val="36"/>
          <w:highlight w:val="none"/>
        </w:rPr>
      </w:pPr>
    </w:p>
    <w:p w14:paraId="457B4B53">
      <w:pPr>
        <w:spacing w:line="360" w:lineRule="auto"/>
        <w:ind w:right="420" w:firstLine="3614" w:firstLineChars="1000"/>
        <w:rPr>
          <w:rFonts w:ascii="宋体" w:hAnsi="宋体" w:cs="宋体"/>
          <w:b/>
          <w:color w:val="auto"/>
          <w:kern w:val="0"/>
          <w:sz w:val="36"/>
          <w:szCs w:val="36"/>
          <w:highlight w:val="none"/>
        </w:rPr>
      </w:pPr>
    </w:p>
    <w:p w14:paraId="7D5F1A0F">
      <w:pPr>
        <w:spacing w:line="360" w:lineRule="auto"/>
        <w:ind w:right="420" w:firstLine="3614" w:firstLineChars="1000"/>
        <w:rPr>
          <w:rFonts w:ascii="宋体" w:hAnsi="宋体" w:cs="宋体"/>
          <w:b/>
          <w:color w:val="auto"/>
          <w:kern w:val="0"/>
          <w:sz w:val="36"/>
          <w:szCs w:val="36"/>
          <w:highlight w:val="none"/>
        </w:rPr>
      </w:pPr>
    </w:p>
    <w:p w14:paraId="7546AA61">
      <w:pPr>
        <w:spacing w:line="360" w:lineRule="auto"/>
        <w:ind w:right="420" w:firstLine="3614" w:firstLineChars="1000"/>
        <w:rPr>
          <w:rFonts w:ascii="宋体" w:hAnsi="宋体" w:cs="宋体"/>
          <w:b/>
          <w:color w:val="auto"/>
          <w:kern w:val="0"/>
          <w:sz w:val="36"/>
          <w:szCs w:val="36"/>
          <w:highlight w:val="none"/>
        </w:rPr>
      </w:pPr>
    </w:p>
    <w:p w14:paraId="71D1795D">
      <w:pPr>
        <w:spacing w:line="360" w:lineRule="auto"/>
        <w:ind w:right="420" w:firstLine="3614" w:firstLineChars="1000"/>
        <w:rPr>
          <w:rFonts w:ascii="宋体" w:hAnsi="宋体" w:cs="宋体"/>
          <w:b/>
          <w:color w:val="auto"/>
          <w:kern w:val="0"/>
          <w:sz w:val="36"/>
          <w:szCs w:val="36"/>
          <w:highlight w:val="none"/>
        </w:rPr>
      </w:pPr>
    </w:p>
    <w:p w14:paraId="71FB5EB0">
      <w:pPr>
        <w:spacing w:line="360" w:lineRule="auto"/>
        <w:ind w:right="420" w:firstLine="3614" w:firstLineChars="1000"/>
        <w:rPr>
          <w:rFonts w:ascii="宋体" w:hAnsi="宋体" w:cs="宋体"/>
          <w:b/>
          <w:color w:val="auto"/>
          <w:kern w:val="0"/>
          <w:sz w:val="36"/>
          <w:szCs w:val="36"/>
          <w:highlight w:val="none"/>
        </w:rPr>
      </w:pPr>
    </w:p>
    <w:p w14:paraId="080769BF">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3ACCA9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45743A">
      <w:pPr>
        <w:spacing w:line="360" w:lineRule="auto"/>
        <w:jc w:val="center"/>
        <w:rPr>
          <w:rFonts w:ascii="宋体" w:hAnsi="宋体" w:cs="宋体"/>
          <w:b/>
          <w:color w:val="auto"/>
          <w:spacing w:val="6"/>
          <w:sz w:val="32"/>
          <w:szCs w:val="32"/>
          <w:highlight w:val="none"/>
        </w:rPr>
      </w:pPr>
      <w:bookmarkStart w:id="411" w:name="OLE_LINK13"/>
      <w:bookmarkStart w:id="412" w:name="OLE_LINK14"/>
      <w:r>
        <w:rPr>
          <w:rFonts w:hint="eastAsia" w:ascii="宋体" w:hAnsi="宋体" w:cs="宋体"/>
          <w:b/>
          <w:color w:val="auto"/>
          <w:spacing w:val="6"/>
          <w:sz w:val="32"/>
          <w:szCs w:val="32"/>
          <w:highlight w:val="none"/>
        </w:rPr>
        <w:t>残疾人福利性单位声明函</w:t>
      </w:r>
    </w:p>
    <w:bookmarkEnd w:id="411"/>
    <w:bookmarkEnd w:id="412"/>
    <w:p w14:paraId="6471F2C9">
      <w:pPr>
        <w:spacing w:line="360" w:lineRule="auto"/>
        <w:rPr>
          <w:rFonts w:ascii="宋体" w:hAnsi="宋体" w:cs="宋体"/>
          <w:b/>
          <w:color w:val="auto"/>
          <w:spacing w:val="6"/>
          <w:sz w:val="30"/>
          <w:szCs w:val="30"/>
          <w:highlight w:val="none"/>
        </w:rPr>
      </w:pPr>
    </w:p>
    <w:p w14:paraId="5807D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06AB78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C356D9">
      <w:pPr>
        <w:spacing w:line="360" w:lineRule="auto"/>
        <w:ind w:firstLine="480" w:firstLineChars="200"/>
        <w:rPr>
          <w:rFonts w:ascii="宋体" w:hAnsi="宋体" w:cs="宋体"/>
          <w:color w:val="auto"/>
          <w:sz w:val="24"/>
          <w:highlight w:val="none"/>
        </w:rPr>
      </w:pPr>
    </w:p>
    <w:p w14:paraId="761844AF">
      <w:pPr>
        <w:spacing w:line="360" w:lineRule="auto"/>
        <w:ind w:firstLine="480" w:firstLineChars="200"/>
        <w:rPr>
          <w:rFonts w:ascii="宋体" w:hAnsi="宋体" w:cs="宋体"/>
          <w:color w:val="auto"/>
          <w:sz w:val="24"/>
          <w:highlight w:val="none"/>
        </w:rPr>
      </w:pPr>
    </w:p>
    <w:p w14:paraId="77C6CC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74AD19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D1BD31E">
      <w:pPr>
        <w:spacing w:line="360" w:lineRule="auto"/>
        <w:ind w:firstLine="480" w:firstLineChars="200"/>
        <w:rPr>
          <w:rFonts w:ascii="宋体" w:hAnsi="宋体" w:cs="宋体"/>
          <w:color w:val="auto"/>
          <w:sz w:val="24"/>
          <w:highlight w:val="none"/>
        </w:rPr>
      </w:pPr>
    </w:p>
    <w:p w14:paraId="3BB9D882">
      <w:pPr>
        <w:spacing w:line="360" w:lineRule="auto"/>
        <w:ind w:firstLine="420" w:firstLineChars="200"/>
        <w:rPr>
          <w:rFonts w:ascii="宋体" w:hAnsi="宋体" w:cs="宋体"/>
          <w:color w:val="auto"/>
          <w:highlight w:val="none"/>
        </w:rPr>
      </w:pPr>
    </w:p>
    <w:p w14:paraId="32C72173">
      <w:pPr>
        <w:spacing w:line="360" w:lineRule="auto"/>
        <w:ind w:firstLine="420" w:firstLineChars="200"/>
        <w:rPr>
          <w:rFonts w:ascii="宋体" w:hAnsi="宋体" w:cs="宋体"/>
          <w:color w:val="auto"/>
          <w:highlight w:val="none"/>
        </w:rPr>
      </w:pPr>
    </w:p>
    <w:p w14:paraId="6B1D43F8">
      <w:pPr>
        <w:spacing w:line="360" w:lineRule="auto"/>
        <w:ind w:firstLine="420" w:firstLineChars="200"/>
        <w:rPr>
          <w:rFonts w:ascii="宋体" w:hAnsi="宋体" w:cs="宋体"/>
          <w:color w:val="auto"/>
          <w:highlight w:val="none"/>
        </w:rPr>
      </w:pPr>
    </w:p>
    <w:p w14:paraId="4EF8D1FE">
      <w:pPr>
        <w:spacing w:line="360" w:lineRule="auto"/>
        <w:ind w:firstLine="420" w:firstLineChars="200"/>
        <w:rPr>
          <w:rFonts w:ascii="宋体" w:hAnsi="宋体" w:cs="宋体"/>
          <w:color w:val="auto"/>
          <w:highlight w:val="none"/>
        </w:rPr>
      </w:pPr>
    </w:p>
    <w:p w14:paraId="729E3FB5">
      <w:pPr>
        <w:spacing w:line="360" w:lineRule="auto"/>
        <w:rPr>
          <w:rFonts w:ascii="宋体" w:hAnsi="宋体" w:cs="宋体"/>
          <w:b/>
          <w:color w:val="auto"/>
          <w:sz w:val="24"/>
          <w:highlight w:val="none"/>
        </w:rPr>
      </w:pPr>
    </w:p>
    <w:p w14:paraId="66EC2B5A">
      <w:pPr>
        <w:spacing w:line="360" w:lineRule="auto"/>
        <w:rPr>
          <w:rFonts w:ascii="宋体" w:hAnsi="宋体" w:cs="宋体"/>
          <w:b/>
          <w:color w:val="auto"/>
          <w:sz w:val="24"/>
          <w:highlight w:val="none"/>
        </w:rPr>
      </w:pPr>
    </w:p>
    <w:p w14:paraId="384C4435">
      <w:pPr>
        <w:spacing w:line="360" w:lineRule="auto"/>
        <w:rPr>
          <w:rFonts w:ascii="宋体" w:hAnsi="宋体" w:cs="宋体"/>
          <w:b/>
          <w:color w:val="auto"/>
          <w:sz w:val="24"/>
          <w:highlight w:val="none"/>
        </w:rPr>
      </w:pPr>
    </w:p>
    <w:p w14:paraId="45D0AA07">
      <w:pPr>
        <w:spacing w:line="360" w:lineRule="auto"/>
        <w:rPr>
          <w:rFonts w:ascii="宋体" w:hAnsi="宋体" w:cs="宋体"/>
          <w:b/>
          <w:color w:val="auto"/>
          <w:sz w:val="24"/>
          <w:highlight w:val="none"/>
        </w:rPr>
      </w:pPr>
    </w:p>
    <w:p w14:paraId="31193C5A">
      <w:pPr>
        <w:spacing w:line="360" w:lineRule="auto"/>
        <w:rPr>
          <w:rFonts w:ascii="宋体" w:hAnsi="宋体" w:cs="宋体"/>
          <w:b/>
          <w:color w:val="auto"/>
          <w:sz w:val="24"/>
          <w:highlight w:val="none"/>
        </w:rPr>
      </w:pPr>
    </w:p>
    <w:p w14:paraId="729F0493">
      <w:pPr>
        <w:spacing w:line="360" w:lineRule="auto"/>
        <w:rPr>
          <w:rFonts w:ascii="宋体" w:hAnsi="宋体" w:cs="宋体"/>
          <w:b/>
          <w:color w:val="auto"/>
          <w:sz w:val="24"/>
          <w:highlight w:val="none"/>
        </w:rPr>
      </w:pPr>
    </w:p>
    <w:p w14:paraId="53294300">
      <w:pPr>
        <w:spacing w:line="360" w:lineRule="auto"/>
        <w:rPr>
          <w:rFonts w:ascii="宋体" w:hAnsi="宋体" w:cs="宋体"/>
          <w:b/>
          <w:color w:val="auto"/>
          <w:sz w:val="24"/>
          <w:highlight w:val="none"/>
        </w:rPr>
      </w:pPr>
    </w:p>
    <w:p w14:paraId="48662D87">
      <w:pPr>
        <w:spacing w:line="360" w:lineRule="auto"/>
        <w:rPr>
          <w:rFonts w:ascii="宋体" w:hAnsi="宋体" w:cs="宋体"/>
          <w:b/>
          <w:color w:val="auto"/>
          <w:sz w:val="24"/>
          <w:highlight w:val="none"/>
        </w:rPr>
      </w:pPr>
    </w:p>
    <w:p w14:paraId="0749F208">
      <w:pPr>
        <w:spacing w:line="360" w:lineRule="auto"/>
        <w:rPr>
          <w:rFonts w:ascii="宋体" w:hAnsi="宋体" w:cs="宋体"/>
          <w:b/>
          <w:color w:val="auto"/>
          <w:sz w:val="24"/>
          <w:highlight w:val="none"/>
        </w:rPr>
      </w:pPr>
    </w:p>
    <w:p w14:paraId="253F96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95BD3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0C059D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75C58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112F8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30C5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105F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7B82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FFA1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07FF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67052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5343D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DF9D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9E00B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798A6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9F776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734DB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C1648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332CA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4057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A7215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72AAB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1EF482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CAAD4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80EC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4D5E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1500166">
      <w:pPr>
        <w:spacing w:line="360" w:lineRule="auto"/>
        <w:jc w:val="center"/>
        <w:rPr>
          <w:rFonts w:ascii="宋体" w:hAnsi="宋体" w:cs="宋体"/>
          <w:b/>
          <w:bCs/>
          <w:color w:val="auto"/>
          <w:sz w:val="24"/>
          <w:highlight w:val="none"/>
        </w:rPr>
      </w:pPr>
    </w:p>
    <w:p w14:paraId="5CE53BC3">
      <w:pPr>
        <w:spacing w:line="360" w:lineRule="auto"/>
        <w:rPr>
          <w:rFonts w:ascii="宋体" w:hAnsi="宋体" w:cs="宋体"/>
          <w:b/>
          <w:color w:val="auto"/>
          <w:sz w:val="24"/>
          <w:highlight w:val="none"/>
        </w:rPr>
      </w:pPr>
    </w:p>
    <w:p w14:paraId="222841DC">
      <w:pPr>
        <w:spacing w:line="360" w:lineRule="auto"/>
        <w:rPr>
          <w:rFonts w:ascii="宋体" w:hAnsi="宋体" w:cs="宋体"/>
          <w:b/>
          <w:color w:val="auto"/>
          <w:sz w:val="24"/>
          <w:highlight w:val="none"/>
        </w:rPr>
      </w:pPr>
    </w:p>
    <w:p w14:paraId="0E50E74D">
      <w:pPr>
        <w:spacing w:line="360" w:lineRule="auto"/>
        <w:rPr>
          <w:rFonts w:ascii="宋体" w:hAnsi="宋体" w:cs="宋体"/>
          <w:b/>
          <w:color w:val="auto"/>
          <w:sz w:val="24"/>
          <w:highlight w:val="none"/>
        </w:rPr>
      </w:pPr>
    </w:p>
    <w:p w14:paraId="72511D7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16A59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2FCB8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572F1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F35D4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96FE1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1CE84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5AC807">
      <w:pPr>
        <w:widowControl/>
        <w:spacing w:line="360" w:lineRule="auto"/>
        <w:ind w:firstLine="600" w:firstLineChars="200"/>
        <w:jc w:val="left"/>
        <w:rPr>
          <w:rFonts w:ascii="宋体" w:hAnsi="宋体" w:cs="宋体"/>
          <w:color w:val="auto"/>
          <w:sz w:val="30"/>
          <w:szCs w:val="30"/>
          <w:highlight w:val="none"/>
        </w:rPr>
      </w:pPr>
    </w:p>
    <w:p w14:paraId="4C445EB1">
      <w:pPr>
        <w:spacing w:line="360" w:lineRule="auto"/>
        <w:jc w:val="center"/>
        <w:rPr>
          <w:rFonts w:ascii="宋体" w:hAnsi="宋体" w:cs="宋体"/>
          <w:b/>
          <w:color w:val="auto"/>
          <w:spacing w:val="6"/>
          <w:sz w:val="32"/>
          <w:szCs w:val="32"/>
          <w:highlight w:val="none"/>
        </w:rPr>
      </w:pPr>
    </w:p>
    <w:p w14:paraId="56271564">
      <w:pPr>
        <w:spacing w:line="360" w:lineRule="auto"/>
        <w:jc w:val="center"/>
        <w:rPr>
          <w:rFonts w:ascii="宋体" w:hAnsi="宋体" w:cs="宋体"/>
          <w:b/>
          <w:color w:val="auto"/>
          <w:spacing w:val="6"/>
          <w:sz w:val="32"/>
          <w:szCs w:val="32"/>
          <w:highlight w:val="none"/>
        </w:rPr>
      </w:pPr>
    </w:p>
    <w:p w14:paraId="44FA2B43">
      <w:pPr>
        <w:spacing w:line="360" w:lineRule="auto"/>
        <w:jc w:val="center"/>
        <w:rPr>
          <w:rFonts w:ascii="宋体" w:hAnsi="宋体" w:cs="宋体"/>
          <w:b/>
          <w:color w:val="auto"/>
          <w:spacing w:val="6"/>
          <w:sz w:val="32"/>
          <w:szCs w:val="32"/>
          <w:highlight w:val="none"/>
        </w:rPr>
      </w:pPr>
    </w:p>
    <w:p w14:paraId="5595FB90">
      <w:pPr>
        <w:spacing w:line="360" w:lineRule="auto"/>
        <w:jc w:val="center"/>
        <w:rPr>
          <w:rFonts w:ascii="宋体" w:hAnsi="宋体" w:cs="宋体"/>
          <w:b/>
          <w:color w:val="auto"/>
          <w:spacing w:val="6"/>
          <w:sz w:val="32"/>
          <w:szCs w:val="32"/>
          <w:highlight w:val="none"/>
        </w:rPr>
      </w:pPr>
    </w:p>
    <w:p w14:paraId="71F31B1C">
      <w:pPr>
        <w:spacing w:line="360" w:lineRule="auto"/>
        <w:jc w:val="center"/>
        <w:rPr>
          <w:rFonts w:ascii="宋体" w:hAnsi="宋体" w:cs="宋体"/>
          <w:b/>
          <w:color w:val="auto"/>
          <w:spacing w:val="6"/>
          <w:sz w:val="32"/>
          <w:szCs w:val="32"/>
          <w:highlight w:val="none"/>
        </w:rPr>
      </w:pPr>
    </w:p>
    <w:p w14:paraId="2B043E71">
      <w:pPr>
        <w:spacing w:line="360" w:lineRule="auto"/>
        <w:jc w:val="center"/>
        <w:rPr>
          <w:rFonts w:ascii="宋体" w:hAnsi="宋体" w:cs="宋体"/>
          <w:b/>
          <w:color w:val="auto"/>
          <w:spacing w:val="6"/>
          <w:sz w:val="32"/>
          <w:szCs w:val="32"/>
          <w:highlight w:val="none"/>
        </w:rPr>
      </w:pPr>
    </w:p>
    <w:p w14:paraId="4627A36C">
      <w:pPr>
        <w:spacing w:line="360" w:lineRule="auto"/>
        <w:jc w:val="center"/>
        <w:rPr>
          <w:rFonts w:ascii="宋体" w:hAnsi="宋体" w:cs="宋体"/>
          <w:b/>
          <w:color w:val="auto"/>
          <w:spacing w:val="6"/>
          <w:sz w:val="32"/>
          <w:szCs w:val="32"/>
          <w:highlight w:val="none"/>
        </w:rPr>
      </w:pPr>
    </w:p>
    <w:p w14:paraId="5576E48B">
      <w:pPr>
        <w:spacing w:line="360" w:lineRule="auto"/>
        <w:jc w:val="center"/>
        <w:rPr>
          <w:rFonts w:ascii="宋体" w:hAnsi="宋体" w:cs="宋体"/>
          <w:b/>
          <w:color w:val="auto"/>
          <w:spacing w:val="6"/>
          <w:sz w:val="32"/>
          <w:szCs w:val="32"/>
          <w:highlight w:val="none"/>
        </w:rPr>
      </w:pPr>
    </w:p>
    <w:p w14:paraId="402D5D32">
      <w:pPr>
        <w:spacing w:line="360" w:lineRule="auto"/>
        <w:jc w:val="center"/>
        <w:rPr>
          <w:rFonts w:ascii="宋体" w:hAnsi="宋体" w:cs="宋体"/>
          <w:b/>
          <w:color w:val="auto"/>
          <w:spacing w:val="6"/>
          <w:sz w:val="32"/>
          <w:szCs w:val="32"/>
          <w:highlight w:val="none"/>
        </w:rPr>
      </w:pPr>
    </w:p>
    <w:p w14:paraId="63F17304">
      <w:pPr>
        <w:spacing w:line="360" w:lineRule="auto"/>
        <w:jc w:val="center"/>
        <w:rPr>
          <w:rFonts w:ascii="宋体" w:hAnsi="宋体" w:cs="宋体"/>
          <w:b/>
          <w:color w:val="auto"/>
          <w:spacing w:val="6"/>
          <w:sz w:val="32"/>
          <w:szCs w:val="32"/>
          <w:highlight w:val="none"/>
        </w:rPr>
      </w:pPr>
    </w:p>
    <w:p w14:paraId="3EA62946">
      <w:pPr>
        <w:spacing w:line="360" w:lineRule="auto"/>
        <w:jc w:val="center"/>
        <w:rPr>
          <w:rFonts w:ascii="宋体" w:hAnsi="宋体" w:cs="宋体"/>
          <w:b/>
          <w:color w:val="auto"/>
          <w:spacing w:val="6"/>
          <w:sz w:val="32"/>
          <w:szCs w:val="32"/>
          <w:highlight w:val="none"/>
        </w:rPr>
      </w:pPr>
    </w:p>
    <w:p w14:paraId="2CCF2F10">
      <w:pPr>
        <w:spacing w:line="360" w:lineRule="auto"/>
        <w:jc w:val="center"/>
        <w:rPr>
          <w:rFonts w:ascii="宋体" w:hAnsi="宋体" w:cs="宋体"/>
          <w:b/>
          <w:color w:val="auto"/>
          <w:spacing w:val="6"/>
          <w:sz w:val="32"/>
          <w:szCs w:val="32"/>
          <w:highlight w:val="none"/>
        </w:rPr>
      </w:pPr>
    </w:p>
    <w:p w14:paraId="049F317F">
      <w:pPr>
        <w:spacing w:line="360" w:lineRule="auto"/>
        <w:jc w:val="left"/>
        <w:rPr>
          <w:rFonts w:ascii="宋体" w:hAnsi="宋体" w:cs="宋体"/>
          <w:b/>
          <w:color w:val="auto"/>
          <w:spacing w:val="6"/>
          <w:sz w:val="32"/>
          <w:szCs w:val="32"/>
          <w:highlight w:val="none"/>
        </w:rPr>
      </w:pPr>
    </w:p>
    <w:p w14:paraId="38AD3CF0">
      <w:pPr>
        <w:spacing w:line="360" w:lineRule="auto"/>
        <w:jc w:val="left"/>
        <w:rPr>
          <w:rFonts w:ascii="宋体" w:hAnsi="宋体" w:cs="宋体"/>
          <w:b/>
          <w:color w:val="auto"/>
          <w:spacing w:val="6"/>
          <w:sz w:val="32"/>
          <w:szCs w:val="32"/>
          <w:highlight w:val="none"/>
        </w:rPr>
      </w:pPr>
    </w:p>
    <w:p w14:paraId="77AB2AA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2FA4D3">
      <w:pPr>
        <w:spacing w:line="360" w:lineRule="auto"/>
        <w:jc w:val="center"/>
        <w:rPr>
          <w:rFonts w:ascii="宋体" w:hAnsi="宋体" w:cs="宋体"/>
          <w:b/>
          <w:color w:val="auto"/>
          <w:sz w:val="24"/>
          <w:highlight w:val="none"/>
        </w:rPr>
      </w:pPr>
    </w:p>
    <w:p w14:paraId="3350AA5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BBCE4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448CB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62AD0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D6FB6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0703E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E8B2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8136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AFF5E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E447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78F0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A7C72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7D666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94D0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7F98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A76E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EEE39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56F72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5A2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B69E5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E393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74F3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FFB4B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54BACA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EB2C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5A4564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CD3E4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0BA7BF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3A957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F7F001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89493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09B8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5BE153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8DE67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3BE5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8742EA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5698B9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360A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21CF5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0F4E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51495D">
      <w:pPr>
        <w:spacing w:line="360" w:lineRule="auto"/>
        <w:rPr>
          <w:rFonts w:ascii="宋体" w:hAnsi="宋体" w:cs="宋体"/>
          <w:b/>
          <w:color w:val="auto"/>
          <w:sz w:val="24"/>
          <w:highlight w:val="none"/>
        </w:rPr>
      </w:pPr>
    </w:p>
    <w:p w14:paraId="0FE3BDDA">
      <w:pPr>
        <w:spacing w:line="360" w:lineRule="auto"/>
        <w:rPr>
          <w:rFonts w:ascii="宋体" w:hAnsi="宋体" w:cs="宋体"/>
          <w:b/>
          <w:color w:val="auto"/>
          <w:sz w:val="24"/>
          <w:highlight w:val="none"/>
        </w:rPr>
      </w:pPr>
    </w:p>
    <w:p w14:paraId="7C90341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669B37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6FFEE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A4D8C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757D5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4E67C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5C47B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D50EB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C818A6">
      <w:pPr>
        <w:spacing w:line="360" w:lineRule="auto"/>
        <w:rPr>
          <w:rFonts w:ascii="宋体" w:hAnsi="宋体" w:cs="宋体"/>
          <w:b/>
          <w:color w:val="auto"/>
          <w:sz w:val="24"/>
          <w:highlight w:val="none"/>
        </w:rPr>
      </w:pPr>
    </w:p>
    <w:p w14:paraId="186BF16D">
      <w:pPr>
        <w:autoSpaceDE w:val="0"/>
        <w:autoSpaceDN w:val="0"/>
        <w:jc w:val="center"/>
        <w:rPr>
          <w:rFonts w:ascii="宋体" w:hAnsi="宋体" w:cs="宋体"/>
          <w:b/>
          <w:color w:val="auto"/>
          <w:spacing w:val="6"/>
          <w:sz w:val="32"/>
          <w:szCs w:val="32"/>
          <w:highlight w:val="none"/>
        </w:rPr>
      </w:pPr>
    </w:p>
    <w:p w14:paraId="184081F3">
      <w:pPr>
        <w:autoSpaceDE w:val="0"/>
        <w:autoSpaceDN w:val="0"/>
        <w:jc w:val="center"/>
        <w:rPr>
          <w:rFonts w:ascii="宋体" w:hAnsi="宋体" w:cs="宋体"/>
          <w:b/>
          <w:color w:val="auto"/>
          <w:spacing w:val="6"/>
          <w:sz w:val="32"/>
          <w:szCs w:val="32"/>
          <w:highlight w:val="none"/>
        </w:rPr>
      </w:pPr>
    </w:p>
    <w:p w14:paraId="0AB916E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BDDA5A">
      <w:pPr>
        <w:spacing w:line="360" w:lineRule="auto"/>
        <w:rPr>
          <w:rFonts w:ascii="宋体" w:hAnsi="宋体" w:cs="宋体"/>
          <w:color w:val="auto"/>
          <w:sz w:val="24"/>
          <w:highlight w:val="none"/>
          <w:u w:val="single"/>
        </w:rPr>
      </w:pPr>
    </w:p>
    <w:p w14:paraId="6181DB0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791451C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9E8F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652A4F1">
      <w:pPr>
        <w:spacing w:line="360" w:lineRule="auto"/>
        <w:ind w:firstLine="494"/>
        <w:rPr>
          <w:rFonts w:ascii="宋体" w:hAnsi="宋体" w:cs="宋体"/>
          <w:color w:val="auto"/>
          <w:sz w:val="24"/>
          <w:highlight w:val="none"/>
        </w:rPr>
      </w:pPr>
    </w:p>
    <w:p w14:paraId="44206A34">
      <w:pPr>
        <w:spacing w:line="360" w:lineRule="auto"/>
        <w:ind w:firstLine="494"/>
        <w:rPr>
          <w:rFonts w:ascii="宋体" w:hAnsi="宋体" w:cs="宋体"/>
          <w:color w:val="auto"/>
          <w:sz w:val="24"/>
          <w:highlight w:val="none"/>
        </w:rPr>
      </w:pPr>
    </w:p>
    <w:p w14:paraId="57BDC288">
      <w:pPr>
        <w:spacing w:line="360" w:lineRule="auto"/>
        <w:ind w:firstLine="494"/>
        <w:rPr>
          <w:rFonts w:ascii="宋体" w:hAnsi="宋体" w:cs="宋体"/>
          <w:color w:val="auto"/>
          <w:sz w:val="24"/>
          <w:highlight w:val="none"/>
        </w:rPr>
      </w:pPr>
    </w:p>
    <w:p w14:paraId="58600437">
      <w:pPr>
        <w:spacing w:line="360" w:lineRule="auto"/>
        <w:ind w:firstLine="494"/>
        <w:rPr>
          <w:rFonts w:ascii="宋体" w:hAnsi="宋体" w:cs="宋体"/>
          <w:color w:val="auto"/>
          <w:sz w:val="24"/>
          <w:highlight w:val="none"/>
        </w:rPr>
      </w:pPr>
    </w:p>
    <w:p w14:paraId="3CCF9B5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B7A511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C2C4D5">
      <w:pPr>
        <w:rPr>
          <w:rFonts w:ascii="宋体" w:hAnsi="宋体" w:cs="宋体"/>
          <w:color w:val="auto"/>
          <w:sz w:val="24"/>
          <w:highlight w:val="none"/>
        </w:rPr>
      </w:pPr>
      <w:r>
        <w:rPr>
          <w:rFonts w:hint="eastAsia" w:ascii="宋体" w:hAnsi="宋体" w:cs="宋体"/>
          <w:b/>
          <w:bCs/>
          <w:color w:val="auto"/>
          <w:sz w:val="24"/>
          <w:highlight w:val="none"/>
        </w:rPr>
        <w:t>附：</w:t>
      </w:r>
    </w:p>
    <w:p w14:paraId="6298E6E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3038E94">
      <w:pPr>
        <w:autoSpaceDE w:val="0"/>
        <w:autoSpaceDN w:val="0"/>
        <w:jc w:val="center"/>
        <w:rPr>
          <w:rFonts w:ascii="宋体" w:hAnsi="宋体" w:cs="宋体"/>
          <w:b/>
          <w:color w:val="auto"/>
          <w:spacing w:val="6"/>
          <w:sz w:val="32"/>
          <w:szCs w:val="32"/>
          <w:highlight w:val="none"/>
        </w:rPr>
      </w:pPr>
    </w:p>
    <w:p w14:paraId="7B44FFFD">
      <w:pPr>
        <w:autoSpaceDE w:val="0"/>
        <w:autoSpaceDN w:val="0"/>
        <w:jc w:val="center"/>
        <w:rPr>
          <w:rFonts w:ascii="宋体" w:hAnsi="宋体" w:cs="宋体"/>
          <w:b/>
          <w:color w:val="auto"/>
          <w:spacing w:val="6"/>
          <w:sz w:val="32"/>
          <w:szCs w:val="32"/>
          <w:highlight w:val="none"/>
        </w:rPr>
      </w:pPr>
    </w:p>
    <w:p w14:paraId="07CA10FF">
      <w:pPr>
        <w:autoSpaceDE w:val="0"/>
        <w:autoSpaceDN w:val="0"/>
        <w:jc w:val="center"/>
        <w:rPr>
          <w:rFonts w:ascii="宋体" w:hAnsi="宋体" w:cs="宋体"/>
          <w:b/>
          <w:color w:val="auto"/>
          <w:spacing w:val="6"/>
          <w:sz w:val="32"/>
          <w:szCs w:val="32"/>
          <w:highlight w:val="none"/>
        </w:rPr>
      </w:pPr>
    </w:p>
    <w:p w14:paraId="13618C0F">
      <w:pPr>
        <w:autoSpaceDE w:val="0"/>
        <w:autoSpaceDN w:val="0"/>
        <w:jc w:val="center"/>
        <w:rPr>
          <w:rFonts w:ascii="宋体" w:hAnsi="宋体" w:cs="宋体"/>
          <w:b/>
          <w:color w:val="auto"/>
          <w:spacing w:val="6"/>
          <w:sz w:val="32"/>
          <w:szCs w:val="32"/>
          <w:highlight w:val="none"/>
        </w:rPr>
      </w:pPr>
    </w:p>
    <w:p w14:paraId="27A6A78F">
      <w:pPr>
        <w:autoSpaceDE w:val="0"/>
        <w:autoSpaceDN w:val="0"/>
        <w:jc w:val="center"/>
        <w:rPr>
          <w:rFonts w:ascii="宋体" w:hAnsi="宋体" w:cs="宋体"/>
          <w:b/>
          <w:color w:val="auto"/>
          <w:spacing w:val="6"/>
          <w:sz w:val="32"/>
          <w:szCs w:val="32"/>
          <w:highlight w:val="none"/>
        </w:rPr>
      </w:pPr>
    </w:p>
    <w:p w14:paraId="489CAEF6">
      <w:pPr>
        <w:autoSpaceDE w:val="0"/>
        <w:autoSpaceDN w:val="0"/>
        <w:jc w:val="center"/>
        <w:rPr>
          <w:rFonts w:ascii="宋体" w:hAnsi="宋体" w:cs="宋体"/>
          <w:b/>
          <w:color w:val="auto"/>
          <w:spacing w:val="6"/>
          <w:sz w:val="32"/>
          <w:szCs w:val="32"/>
          <w:highlight w:val="none"/>
        </w:rPr>
      </w:pPr>
    </w:p>
    <w:p w14:paraId="2782EF0C">
      <w:pPr>
        <w:autoSpaceDE w:val="0"/>
        <w:autoSpaceDN w:val="0"/>
        <w:jc w:val="center"/>
        <w:rPr>
          <w:rFonts w:ascii="宋体" w:hAnsi="宋体" w:cs="宋体"/>
          <w:b/>
          <w:color w:val="auto"/>
          <w:spacing w:val="6"/>
          <w:sz w:val="32"/>
          <w:szCs w:val="32"/>
          <w:highlight w:val="none"/>
        </w:rPr>
      </w:pPr>
    </w:p>
    <w:p w14:paraId="418292C0">
      <w:pPr>
        <w:autoSpaceDE w:val="0"/>
        <w:autoSpaceDN w:val="0"/>
        <w:jc w:val="center"/>
        <w:rPr>
          <w:rFonts w:ascii="宋体" w:hAnsi="宋体" w:cs="宋体"/>
          <w:b/>
          <w:color w:val="auto"/>
          <w:spacing w:val="6"/>
          <w:sz w:val="32"/>
          <w:szCs w:val="32"/>
          <w:highlight w:val="none"/>
        </w:rPr>
      </w:pPr>
    </w:p>
    <w:p w14:paraId="3619F764">
      <w:pPr>
        <w:autoSpaceDE w:val="0"/>
        <w:autoSpaceDN w:val="0"/>
        <w:jc w:val="center"/>
        <w:rPr>
          <w:rFonts w:ascii="宋体" w:hAnsi="宋体" w:cs="宋体"/>
          <w:b/>
          <w:color w:val="auto"/>
          <w:spacing w:val="6"/>
          <w:sz w:val="32"/>
          <w:szCs w:val="32"/>
          <w:highlight w:val="none"/>
        </w:rPr>
      </w:pPr>
    </w:p>
    <w:p w14:paraId="026FD556">
      <w:pPr>
        <w:autoSpaceDE w:val="0"/>
        <w:autoSpaceDN w:val="0"/>
        <w:jc w:val="center"/>
        <w:rPr>
          <w:rFonts w:ascii="宋体" w:hAnsi="宋体" w:cs="宋体"/>
          <w:b/>
          <w:color w:val="auto"/>
          <w:spacing w:val="6"/>
          <w:sz w:val="32"/>
          <w:szCs w:val="32"/>
          <w:highlight w:val="none"/>
        </w:rPr>
      </w:pPr>
    </w:p>
    <w:p w14:paraId="0050E5A8">
      <w:pPr>
        <w:autoSpaceDE w:val="0"/>
        <w:autoSpaceDN w:val="0"/>
        <w:jc w:val="center"/>
        <w:rPr>
          <w:rFonts w:ascii="宋体" w:hAnsi="宋体" w:cs="宋体"/>
          <w:b/>
          <w:color w:val="auto"/>
          <w:spacing w:val="6"/>
          <w:sz w:val="32"/>
          <w:szCs w:val="32"/>
          <w:highlight w:val="none"/>
        </w:rPr>
      </w:pPr>
    </w:p>
    <w:p w14:paraId="60C473AA">
      <w:pPr>
        <w:autoSpaceDE w:val="0"/>
        <w:autoSpaceDN w:val="0"/>
        <w:jc w:val="center"/>
        <w:rPr>
          <w:rFonts w:ascii="宋体" w:hAnsi="宋体" w:cs="宋体"/>
          <w:b/>
          <w:color w:val="auto"/>
          <w:spacing w:val="6"/>
          <w:sz w:val="32"/>
          <w:szCs w:val="32"/>
          <w:highlight w:val="none"/>
        </w:rPr>
      </w:pPr>
    </w:p>
    <w:p w14:paraId="74D042B2">
      <w:pPr>
        <w:autoSpaceDE w:val="0"/>
        <w:autoSpaceDN w:val="0"/>
        <w:jc w:val="center"/>
        <w:rPr>
          <w:rFonts w:ascii="宋体" w:hAnsi="宋体" w:cs="宋体"/>
          <w:b/>
          <w:color w:val="auto"/>
          <w:spacing w:val="6"/>
          <w:sz w:val="32"/>
          <w:szCs w:val="32"/>
          <w:highlight w:val="none"/>
        </w:rPr>
      </w:pPr>
    </w:p>
    <w:p w14:paraId="08564F7A">
      <w:pPr>
        <w:autoSpaceDE w:val="0"/>
        <w:autoSpaceDN w:val="0"/>
        <w:jc w:val="center"/>
        <w:rPr>
          <w:rFonts w:ascii="宋体" w:hAnsi="宋体" w:cs="宋体"/>
          <w:b/>
          <w:color w:val="auto"/>
          <w:spacing w:val="6"/>
          <w:sz w:val="32"/>
          <w:szCs w:val="32"/>
          <w:highlight w:val="none"/>
        </w:rPr>
      </w:pPr>
    </w:p>
    <w:p w14:paraId="388CF3E9">
      <w:pPr>
        <w:autoSpaceDE w:val="0"/>
        <w:autoSpaceDN w:val="0"/>
        <w:jc w:val="center"/>
        <w:rPr>
          <w:rFonts w:ascii="宋体" w:hAnsi="宋体" w:cs="宋体"/>
          <w:b/>
          <w:color w:val="auto"/>
          <w:spacing w:val="6"/>
          <w:sz w:val="32"/>
          <w:szCs w:val="32"/>
          <w:highlight w:val="none"/>
        </w:rPr>
      </w:pPr>
    </w:p>
    <w:p w14:paraId="663F69F2">
      <w:pPr>
        <w:autoSpaceDE w:val="0"/>
        <w:autoSpaceDN w:val="0"/>
        <w:jc w:val="center"/>
        <w:rPr>
          <w:rFonts w:ascii="宋体" w:hAnsi="宋体" w:cs="宋体"/>
          <w:b/>
          <w:color w:val="auto"/>
          <w:spacing w:val="6"/>
          <w:sz w:val="32"/>
          <w:szCs w:val="32"/>
          <w:highlight w:val="none"/>
        </w:rPr>
      </w:pPr>
    </w:p>
    <w:p w14:paraId="523E6250">
      <w:pPr>
        <w:autoSpaceDE w:val="0"/>
        <w:autoSpaceDN w:val="0"/>
        <w:jc w:val="center"/>
        <w:rPr>
          <w:rFonts w:ascii="宋体" w:hAnsi="宋体" w:cs="宋体"/>
          <w:b/>
          <w:color w:val="auto"/>
          <w:spacing w:val="6"/>
          <w:sz w:val="32"/>
          <w:szCs w:val="32"/>
          <w:highlight w:val="none"/>
        </w:rPr>
      </w:pPr>
    </w:p>
    <w:p w14:paraId="0F30C6E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49BB9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1E2EA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8FE0A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BC2C2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7D61D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BE679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1F85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BAD2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7DAFC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DC44B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4"/>
      <w:r>
        <w:rPr>
          <w:rFonts w:hint="eastAsia" w:ascii="宋体" w:hAnsi="宋体" w:cs="宋体"/>
          <w:b/>
          <w:color w:val="auto"/>
          <w:kern w:val="0"/>
          <w:sz w:val="24"/>
          <w:highlight w:val="none"/>
          <w:lang w:val="zh-CN"/>
        </w:rPr>
        <w:t>）</w:t>
      </w:r>
    </w:p>
    <w:p w14:paraId="02E1541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5"/>
    </w:p>
    <w:p w14:paraId="5025D7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D9E0D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05143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D30C3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E7D11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D5965C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D52C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09C89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AD712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86CF5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92C543">
      <w:pPr>
        <w:autoSpaceDE w:val="0"/>
        <w:autoSpaceDN w:val="0"/>
        <w:jc w:val="center"/>
        <w:rPr>
          <w:rFonts w:ascii="宋体" w:hAnsi="宋体" w:cs="宋体"/>
          <w:b/>
          <w:color w:val="auto"/>
          <w:spacing w:val="6"/>
          <w:sz w:val="32"/>
          <w:szCs w:val="32"/>
          <w:highlight w:val="none"/>
        </w:rPr>
      </w:pPr>
    </w:p>
    <w:p w14:paraId="1B75181D">
      <w:pPr>
        <w:autoSpaceDE w:val="0"/>
        <w:autoSpaceDN w:val="0"/>
        <w:jc w:val="center"/>
        <w:rPr>
          <w:rFonts w:ascii="宋体" w:hAnsi="宋体" w:cs="宋体"/>
          <w:b/>
          <w:color w:val="auto"/>
          <w:spacing w:val="6"/>
          <w:sz w:val="32"/>
          <w:szCs w:val="32"/>
          <w:highlight w:val="none"/>
        </w:rPr>
      </w:pPr>
    </w:p>
    <w:p w14:paraId="2030C5F7">
      <w:pPr>
        <w:autoSpaceDE w:val="0"/>
        <w:autoSpaceDN w:val="0"/>
        <w:jc w:val="center"/>
        <w:rPr>
          <w:rFonts w:ascii="宋体" w:hAnsi="宋体" w:cs="宋体"/>
          <w:b/>
          <w:color w:val="auto"/>
          <w:spacing w:val="6"/>
          <w:sz w:val="32"/>
          <w:szCs w:val="32"/>
          <w:highlight w:val="none"/>
        </w:rPr>
      </w:pPr>
    </w:p>
    <w:p w14:paraId="6B9699A1">
      <w:pPr>
        <w:autoSpaceDE w:val="0"/>
        <w:autoSpaceDN w:val="0"/>
        <w:jc w:val="center"/>
        <w:rPr>
          <w:rFonts w:ascii="宋体" w:hAnsi="宋体" w:cs="宋体"/>
          <w:b/>
          <w:color w:val="auto"/>
          <w:spacing w:val="6"/>
          <w:sz w:val="32"/>
          <w:szCs w:val="32"/>
          <w:highlight w:val="none"/>
        </w:rPr>
      </w:pPr>
    </w:p>
    <w:p w14:paraId="59CC97D2">
      <w:pPr>
        <w:autoSpaceDE w:val="0"/>
        <w:autoSpaceDN w:val="0"/>
        <w:jc w:val="center"/>
        <w:rPr>
          <w:rFonts w:ascii="宋体" w:hAnsi="宋体" w:cs="宋体"/>
          <w:b/>
          <w:color w:val="auto"/>
          <w:spacing w:val="6"/>
          <w:sz w:val="32"/>
          <w:szCs w:val="32"/>
          <w:highlight w:val="none"/>
        </w:rPr>
      </w:pPr>
    </w:p>
    <w:p w14:paraId="335D17CD">
      <w:pPr>
        <w:autoSpaceDE w:val="0"/>
        <w:autoSpaceDN w:val="0"/>
        <w:jc w:val="center"/>
        <w:rPr>
          <w:rFonts w:ascii="宋体" w:hAnsi="宋体" w:cs="宋体"/>
          <w:b/>
          <w:color w:val="auto"/>
          <w:spacing w:val="6"/>
          <w:sz w:val="32"/>
          <w:szCs w:val="32"/>
          <w:highlight w:val="none"/>
        </w:rPr>
      </w:pPr>
    </w:p>
    <w:p w14:paraId="08E4C45D">
      <w:pPr>
        <w:autoSpaceDE w:val="0"/>
        <w:autoSpaceDN w:val="0"/>
        <w:jc w:val="center"/>
        <w:rPr>
          <w:rFonts w:ascii="宋体" w:hAnsi="宋体" w:cs="宋体"/>
          <w:b/>
          <w:color w:val="auto"/>
          <w:spacing w:val="6"/>
          <w:sz w:val="32"/>
          <w:szCs w:val="32"/>
          <w:highlight w:val="none"/>
        </w:rPr>
      </w:pPr>
    </w:p>
    <w:p w14:paraId="3158A9F2">
      <w:pPr>
        <w:autoSpaceDE w:val="0"/>
        <w:autoSpaceDN w:val="0"/>
        <w:jc w:val="center"/>
        <w:rPr>
          <w:rFonts w:ascii="宋体" w:hAnsi="宋体" w:cs="宋体"/>
          <w:b/>
          <w:color w:val="auto"/>
          <w:spacing w:val="6"/>
          <w:sz w:val="32"/>
          <w:szCs w:val="32"/>
          <w:highlight w:val="none"/>
        </w:rPr>
      </w:pPr>
    </w:p>
    <w:p w14:paraId="2FB10E07">
      <w:pPr>
        <w:autoSpaceDE w:val="0"/>
        <w:autoSpaceDN w:val="0"/>
        <w:jc w:val="center"/>
        <w:rPr>
          <w:rFonts w:ascii="宋体" w:hAnsi="宋体" w:cs="宋体"/>
          <w:b/>
          <w:color w:val="auto"/>
          <w:spacing w:val="6"/>
          <w:sz w:val="32"/>
          <w:szCs w:val="32"/>
          <w:highlight w:val="none"/>
        </w:rPr>
      </w:pPr>
    </w:p>
    <w:p w14:paraId="7746BED3">
      <w:pPr>
        <w:autoSpaceDE w:val="0"/>
        <w:autoSpaceDN w:val="0"/>
        <w:jc w:val="center"/>
        <w:rPr>
          <w:rFonts w:ascii="宋体" w:hAnsi="宋体" w:cs="宋体"/>
          <w:b/>
          <w:color w:val="auto"/>
          <w:spacing w:val="6"/>
          <w:sz w:val="32"/>
          <w:szCs w:val="32"/>
          <w:highlight w:val="none"/>
        </w:rPr>
      </w:pPr>
    </w:p>
    <w:p w14:paraId="405CF975">
      <w:pPr>
        <w:autoSpaceDE w:val="0"/>
        <w:autoSpaceDN w:val="0"/>
        <w:jc w:val="center"/>
        <w:rPr>
          <w:rFonts w:ascii="宋体" w:hAnsi="宋体" w:cs="宋体"/>
          <w:b/>
          <w:color w:val="auto"/>
          <w:spacing w:val="6"/>
          <w:sz w:val="32"/>
          <w:szCs w:val="32"/>
          <w:highlight w:val="none"/>
        </w:rPr>
      </w:pPr>
    </w:p>
    <w:p w14:paraId="20494311">
      <w:pPr>
        <w:autoSpaceDE w:val="0"/>
        <w:autoSpaceDN w:val="0"/>
        <w:jc w:val="center"/>
        <w:rPr>
          <w:rFonts w:ascii="宋体" w:hAnsi="宋体" w:cs="宋体"/>
          <w:b/>
          <w:color w:val="auto"/>
          <w:spacing w:val="6"/>
          <w:sz w:val="32"/>
          <w:szCs w:val="32"/>
          <w:highlight w:val="none"/>
        </w:rPr>
      </w:pPr>
    </w:p>
    <w:p w14:paraId="6112FB5E">
      <w:pPr>
        <w:autoSpaceDE w:val="0"/>
        <w:autoSpaceDN w:val="0"/>
        <w:jc w:val="center"/>
        <w:rPr>
          <w:rFonts w:ascii="宋体" w:hAnsi="宋体" w:cs="宋体"/>
          <w:b/>
          <w:color w:val="auto"/>
          <w:spacing w:val="6"/>
          <w:sz w:val="32"/>
          <w:szCs w:val="32"/>
          <w:highlight w:val="none"/>
        </w:rPr>
      </w:pPr>
    </w:p>
    <w:p w14:paraId="2F956461">
      <w:pPr>
        <w:autoSpaceDE w:val="0"/>
        <w:autoSpaceDN w:val="0"/>
        <w:jc w:val="center"/>
        <w:rPr>
          <w:rFonts w:ascii="宋体" w:hAnsi="宋体" w:cs="宋体"/>
          <w:b/>
          <w:color w:val="auto"/>
          <w:spacing w:val="6"/>
          <w:sz w:val="32"/>
          <w:szCs w:val="32"/>
          <w:highlight w:val="none"/>
        </w:rPr>
      </w:pPr>
    </w:p>
    <w:p w14:paraId="1A0789C0">
      <w:pPr>
        <w:autoSpaceDE w:val="0"/>
        <w:autoSpaceDN w:val="0"/>
        <w:jc w:val="center"/>
        <w:rPr>
          <w:rFonts w:ascii="宋体" w:hAnsi="宋体" w:cs="宋体"/>
          <w:b/>
          <w:color w:val="auto"/>
          <w:spacing w:val="6"/>
          <w:sz w:val="32"/>
          <w:szCs w:val="32"/>
          <w:highlight w:val="none"/>
        </w:rPr>
      </w:pPr>
    </w:p>
    <w:p w14:paraId="22ED1847">
      <w:pPr>
        <w:autoSpaceDE w:val="0"/>
        <w:autoSpaceDN w:val="0"/>
        <w:jc w:val="center"/>
        <w:rPr>
          <w:rFonts w:ascii="宋体" w:hAnsi="宋体" w:cs="宋体"/>
          <w:b/>
          <w:color w:val="auto"/>
          <w:spacing w:val="6"/>
          <w:sz w:val="32"/>
          <w:szCs w:val="32"/>
          <w:highlight w:val="none"/>
        </w:rPr>
      </w:pPr>
    </w:p>
    <w:p w14:paraId="470A3846">
      <w:pPr>
        <w:autoSpaceDE w:val="0"/>
        <w:autoSpaceDN w:val="0"/>
        <w:jc w:val="center"/>
        <w:rPr>
          <w:rFonts w:ascii="宋体" w:hAnsi="宋体" w:cs="宋体"/>
          <w:b/>
          <w:color w:val="auto"/>
          <w:spacing w:val="6"/>
          <w:sz w:val="32"/>
          <w:szCs w:val="32"/>
          <w:highlight w:val="none"/>
        </w:rPr>
      </w:pPr>
    </w:p>
    <w:p w14:paraId="30027CC8">
      <w:pPr>
        <w:autoSpaceDE w:val="0"/>
        <w:autoSpaceDN w:val="0"/>
        <w:jc w:val="center"/>
        <w:rPr>
          <w:rFonts w:ascii="宋体" w:hAnsi="宋体" w:cs="宋体"/>
          <w:b/>
          <w:color w:val="auto"/>
          <w:spacing w:val="6"/>
          <w:sz w:val="32"/>
          <w:szCs w:val="32"/>
          <w:highlight w:val="none"/>
        </w:rPr>
      </w:pPr>
    </w:p>
    <w:p w14:paraId="44B3E512">
      <w:pPr>
        <w:autoSpaceDE w:val="0"/>
        <w:autoSpaceDN w:val="0"/>
        <w:jc w:val="center"/>
        <w:rPr>
          <w:rFonts w:ascii="宋体" w:hAnsi="宋体" w:cs="宋体"/>
          <w:b/>
          <w:color w:val="auto"/>
          <w:spacing w:val="6"/>
          <w:sz w:val="32"/>
          <w:szCs w:val="32"/>
          <w:highlight w:val="none"/>
        </w:rPr>
      </w:pPr>
    </w:p>
    <w:p w14:paraId="51C03CAF">
      <w:pPr>
        <w:autoSpaceDE w:val="0"/>
        <w:autoSpaceDN w:val="0"/>
        <w:jc w:val="center"/>
        <w:rPr>
          <w:rFonts w:ascii="宋体" w:hAnsi="宋体" w:cs="宋体"/>
          <w:b/>
          <w:color w:val="auto"/>
          <w:spacing w:val="6"/>
          <w:sz w:val="32"/>
          <w:szCs w:val="32"/>
          <w:highlight w:val="none"/>
        </w:rPr>
      </w:pPr>
    </w:p>
    <w:p w14:paraId="1AEF39B9">
      <w:pPr>
        <w:autoSpaceDE w:val="0"/>
        <w:autoSpaceDN w:val="0"/>
        <w:jc w:val="center"/>
        <w:rPr>
          <w:rFonts w:ascii="宋体" w:hAnsi="宋体" w:cs="宋体"/>
          <w:b/>
          <w:color w:val="auto"/>
          <w:spacing w:val="6"/>
          <w:sz w:val="32"/>
          <w:szCs w:val="32"/>
          <w:highlight w:val="none"/>
        </w:rPr>
      </w:pPr>
    </w:p>
    <w:p w14:paraId="57164335">
      <w:pPr>
        <w:autoSpaceDE w:val="0"/>
        <w:autoSpaceDN w:val="0"/>
        <w:jc w:val="center"/>
        <w:rPr>
          <w:rFonts w:ascii="宋体" w:hAnsi="宋体" w:cs="宋体"/>
          <w:b/>
          <w:color w:val="auto"/>
          <w:spacing w:val="6"/>
          <w:sz w:val="32"/>
          <w:szCs w:val="32"/>
          <w:highlight w:val="none"/>
        </w:rPr>
      </w:pPr>
    </w:p>
    <w:p w14:paraId="524B1452">
      <w:pPr>
        <w:autoSpaceDE w:val="0"/>
        <w:autoSpaceDN w:val="0"/>
        <w:jc w:val="center"/>
        <w:rPr>
          <w:rFonts w:ascii="宋体" w:hAnsi="宋体" w:cs="宋体"/>
          <w:b/>
          <w:color w:val="auto"/>
          <w:spacing w:val="6"/>
          <w:sz w:val="32"/>
          <w:szCs w:val="32"/>
          <w:highlight w:val="none"/>
        </w:rPr>
      </w:pPr>
    </w:p>
    <w:p w14:paraId="0F08F634">
      <w:pPr>
        <w:snapToGrid w:val="0"/>
        <w:spacing w:line="360" w:lineRule="auto"/>
        <w:ind w:firstLine="3666" w:firstLineChars="1100"/>
        <w:rPr>
          <w:rFonts w:ascii="宋体" w:hAnsi="宋体" w:cs="宋体"/>
          <w:b/>
          <w:color w:val="auto"/>
          <w:spacing w:val="6"/>
          <w:sz w:val="32"/>
          <w:szCs w:val="32"/>
          <w:highlight w:val="none"/>
        </w:rPr>
      </w:pPr>
    </w:p>
    <w:p w14:paraId="5D03C6D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FB4662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EA782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4D37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B2225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1CE9F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9DC209">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615D4C6">
      <w:pPr>
        <w:rPr>
          <w:color w:val="auto"/>
          <w:highlight w:val="none"/>
        </w:rPr>
      </w:pPr>
      <w:r>
        <w:rPr>
          <w:rFonts w:hint="eastAsia"/>
          <w:color w:val="auto"/>
          <w:highlight w:val="none"/>
          <w:lang w:val="zh-CN"/>
        </w:rPr>
        <w:t xml:space="preserve"> </w:t>
      </w:r>
    </w:p>
    <w:p w14:paraId="004FEB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FA6A8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E78A0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A8791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7CD4A3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E86F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E90F4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2A4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650DB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37D9E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9F35D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3AB4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0FDB9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8647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711790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7DBD2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18611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09463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49D02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394479">
      <w:pPr>
        <w:autoSpaceDE w:val="0"/>
        <w:autoSpaceDN w:val="0"/>
        <w:jc w:val="center"/>
        <w:rPr>
          <w:rFonts w:ascii="宋体" w:hAnsi="宋体" w:cs="宋体"/>
          <w:b/>
          <w:color w:val="auto"/>
          <w:spacing w:val="6"/>
          <w:sz w:val="32"/>
          <w:szCs w:val="32"/>
          <w:highlight w:val="none"/>
        </w:rPr>
      </w:pPr>
    </w:p>
    <w:p w14:paraId="51B4CDC9">
      <w:pPr>
        <w:autoSpaceDE w:val="0"/>
        <w:autoSpaceDN w:val="0"/>
        <w:jc w:val="center"/>
        <w:rPr>
          <w:rFonts w:ascii="宋体" w:hAnsi="宋体" w:cs="宋体"/>
          <w:b/>
          <w:color w:val="auto"/>
          <w:spacing w:val="6"/>
          <w:sz w:val="32"/>
          <w:szCs w:val="32"/>
          <w:highlight w:val="none"/>
        </w:rPr>
      </w:pPr>
    </w:p>
    <w:p w14:paraId="254E93E5">
      <w:pPr>
        <w:autoSpaceDE w:val="0"/>
        <w:autoSpaceDN w:val="0"/>
        <w:jc w:val="center"/>
        <w:rPr>
          <w:rFonts w:ascii="宋体" w:hAnsi="宋体" w:cs="宋体"/>
          <w:b/>
          <w:color w:val="auto"/>
          <w:spacing w:val="6"/>
          <w:sz w:val="32"/>
          <w:szCs w:val="32"/>
          <w:highlight w:val="none"/>
        </w:rPr>
      </w:pPr>
    </w:p>
    <w:p w14:paraId="2C0D12EF">
      <w:pPr>
        <w:autoSpaceDE w:val="0"/>
        <w:autoSpaceDN w:val="0"/>
        <w:jc w:val="center"/>
        <w:rPr>
          <w:rFonts w:ascii="宋体" w:hAnsi="宋体" w:cs="宋体"/>
          <w:b/>
          <w:color w:val="auto"/>
          <w:spacing w:val="6"/>
          <w:sz w:val="32"/>
          <w:szCs w:val="32"/>
          <w:highlight w:val="none"/>
        </w:rPr>
      </w:pPr>
    </w:p>
    <w:p w14:paraId="24785E37">
      <w:pPr>
        <w:autoSpaceDE w:val="0"/>
        <w:autoSpaceDN w:val="0"/>
        <w:jc w:val="center"/>
        <w:rPr>
          <w:rFonts w:ascii="宋体" w:hAnsi="宋体" w:cs="宋体"/>
          <w:b/>
          <w:color w:val="auto"/>
          <w:spacing w:val="6"/>
          <w:sz w:val="32"/>
          <w:szCs w:val="32"/>
          <w:highlight w:val="none"/>
        </w:rPr>
      </w:pPr>
    </w:p>
    <w:p w14:paraId="4D37144A">
      <w:pPr>
        <w:autoSpaceDE w:val="0"/>
        <w:autoSpaceDN w:val="0"/>
        <w:jc w:val="center"/>
        <w:rPr>
          <w:rFonts w:ascii="宋体" w:hAnsi="宋体" w:cs="宋体"/>
          <w:b/>
          <w:color w:val="auto"/>
          <w:spacing w:val="6"/>
          <w:sz w:val="32"/>
          <w:szCs w:val="32"/>
          <w:highlight w:val="none"/>
        </w:rPr>
      </w:pPr>
    </w:p>
    <w:p w14:paraId="1B25FBD2">
      <w:pPr>
        <w:autoSpaceDE w:val="0"/>
        <w:autoSpaceDN w:val="0"/>
        <w:jc w:val="center"/>
        <w:rPr>
          <w:rFonts w:ascii="宋体" w:hAnsi="宋体" w:cs="宋体"/>
          <w:b/>
          <w:color w:val="auto"/>
          <w:spacing w:val="6"/>
          <w:sz w:val="32"/>
          <w:szCs w:val="32"/>
          <w:highlight w:val="none"/>
        </w:rPr>
      </w:pPr>
    </w:p>
    <w:p w14:paraId="2BC992DF">
      <w:pPr>
        <w:autoSpaceDE w:val="0"/>
        <w:autoSpaceDN w:val="0"/>
        <w:jc w:val="center"/>
        <w:rPr>
          <w:rFonts w:ascii="宋体" w:hAnsi="宋体" w:cs="宋体"/>
          <w:b/>
          <w:color w:val="auto"/>
          <w:spacing w:val="6"/>
          <w:sz w:val="32"/>
          <w:szCs w:val="32"/>
          <w:highlight w:val="none"/>
        </w:rPr>
      </w:pPr>
    </w:p>
    <w:p w14:paraId="3402B1E9">
      <w:pPr>
        <w:autoSpaceDE w:val="0"/>
        <w:autoSpaceDN w:val="0"/>
        <w:jc w:val="center"/>
        <w:rPr>
          <w:rFonts w:ascii="宋体" w:hAnsi="宋体" w:cs="宋体"/>
          <w:b/>
          <w:color w:val="auto"/>
          <w:spacing w:val="6"/>
          <w:sz w:val="32"/>
          <w:szCs w:val="32"/>
          <w:highlight w:val="none"/>
        </w:rPr>
      </w:pPr>
    </w:p>
    <w:p w14:paraId="430B306D">
      <w:pPr>
        <w:autoSpaceDE w:val="0"/>
        <w:autoSpaceDN w:val="0"/>
        <w:jc w:val="center"/>
        <w:rPr>
          <w:rFonts w:ascii="宋体" w:hAnsi="宋体" w:cs="宋体"/>
          <w:b/>
          <w:color w:val="auto"/>
          <w:spacing w:val="6"/>
          <w:sz w:val="32"/>
          <w:szCs w:val="32"/>
          <w:highlight w:val="none"/>
        </w:rPr>
      </w:pPr>
    </w:p>
    <w:p w14:paraId="0873092B">
      <w:pPr>
        <w:autoSpaceDE w:val="0"/>
        <w:autoSpaceDN w:val="0"/>
        <w:jc w:val="center"/>
        <w:rPr>
          <w:rFonts w:ascii="宋体" w:hAnsi="宋体" w:cs="宋体"/>
          <w:b/>
          <w:color w:val="auto"/>
          <w:spacing w:val="6"/>
          <w:sz w:val="32"/>
          <w:szCs w:val="32"/>
          <w:highlight w:val="none"/>
        </w:rPr>
      </w:pPr>
    </w:p>
    <w:p w14:paraId="0D62B7E9">
      <w:pPr>
        <w:autoSpaceDE w:val="0"/>
        <w:autoSpaceDN w:val="0"/>
        <w:jc w:val="center"/>
        <w:rPr>
          <w:rFonts w:ascii="宋体" w:hAnsi="宋体" w:cs="宋体"/>
          <w:b/>
          <w:color w:val="auto"/>
          <w:spacing w:val="6"/>
          <w:sz w:val="32"/>
          <w:szCs w:val="32"/>
          <w:highlight w:val="none"/>
        </w:rPr>
      </w:pPr>
    </w:p>
    <w:p w14:paraId="0A0B1AE4">
      <w:pPr>
        <w:autoSpaceDE w:val="0"/>
        <w:autoSpaceDN w:val="0"/>
        <w:jc w:val="center"/>
        <w:rPr>
          <w:rFonts w:ascii="宋体" w:hAnsi="宋体" w:cs="宋体"/>
          <w:b/>
          <w:color w:val="auto"/>
          <w:spacing w:val="6"/>
          <w:sz w:val="32"/>
          <w:szCs w:val="32"/>
          <w:highlight w:val="none"/>
        </w:rPr>
      </w:pPr>
    </w:p>
    <w:p w14:paraId="67DCDC83">
      <w:pPr>
        <w:autoSpaceDE w:val="0"/>
        <w:autoSpaceDN w:val="0"/>
        <w:jc w:val="center"/>
        <w:rPr>
          <w:rFonts w:ascii="宋体" w:hAnsi="宋体" w:cs="宋体"/>
          <w:b/>
          <w:color w:val="auto"/>
          <w:spacing w:val="6"/>
          <w:sz w:val="32"/>
          <w:szCs w:val="32"/>
          <w:highlight w:val="none"/>
        </w:rPr>
      </w:pPr>
    </w:p>
    <w:p w14:paraId="1F03125B">
      <w:pPr>
        <w:autoSpaceDE w:val="0"/>
        <w:autoSpaceDN w:val="0"/>
        <w:jc w:val="center"/>
        <w:rPr>
          <w:rFonts w:ascii="宋体" w:hAnsi="宋体" w:cs="宋体"/>
          <w:b/>
          <w:color w:val="auto"/>
          <w:spacing w:val="6"/>
          <w:sz w:val="32"/>
          <w:szCs w:val="32"/>
          <w:highlight w:val="none"/>
        </w:rPr>
      </w:pPr>
    </w:p>
    <w:p w14:paraId="1B19523E">
      <w:pPr>
        <w:autoSpaceDE w:val="0"/>
        <w:autoSpaceDN w:val="0"/>
        <w:jc w:val="center"/>
        <w:rPr>
          <w:rFonts w:ascii="宋体" w:hAnsi="宋体" w:cs="宋体"/>
          <w:b/>
          <w:color w:val="auto"/>
          <w:spacing w:val="6"/>
          <w:sz w:val="32"/>
          <w:szCs w:val="32"/>
          <w:highlight w:val="none"/>
        </w:rPr>
      </w:pPr>
    </w:p>
    <w:p w14:paraId="40338167">
      <w:pPr>
        <w:autoSpaceDE w:val="0"/>
        <w:autoSpaceDN w:val="0"/>
        <w:jc w:val="center"/>
        <w:rPr>
          <w:rFonts w:ascii="宋体" w:hAnsi="宋体" w:cs="宋体"/>
          <w:b/>
          <w:color w:val="auto"/>
          <w:spacing w:val="6"/>
          <w:sz w:val="32"/>
          <w:szCs w:val="32"/>
          <w:highlight w:val="none"/>
        </w:rPr>
      </w:pPr>
    </w:p>
    <w:p w14:paraId="7BFB15A0">
      <w:pPr>
        <w:autoSpaceDE w:val="0"/>
        <w:autoSpaceDN w:val="0"/>
        <w:jc w:val="center"/>
        <w:rPr>
          <w:rFonts w:ascii="宋体" w:hAnsi="宋体" w:cs="宋体"/>
          <w:b/>
          <w:color w:val="auto"/>
          <w:spacing w:val="6"/>
          <w:sz w:val="32"/>
          <w:szCs w:val="32"/>
          <w:highlight w:val="none"/>
        </w:rPr>
      </w:pPr>
    </w:p>
    <w:p w14:paraId="15F41859">
      <w:pPr>
        <w:autoSpaceDE w:val="0"/>
        <w:autoSpaceDN w:val="0"/>
        <w:jc w:val="center"/>
        <w:rPr>
          <w:rFonts w:ascii="宋体" w:hAnsi="宋体" w:cs="宋体"/>
          <w:b/>
          <w:color w:val="auto"/>
          <w:spacing w:val="6"/>
          <w:sz w:val="32"/>
          <w:szCs w:val="32"/>
          <w:highlight w:val="none"/>
        </w:rPr>
      </w:pPr>
    </w:p>
    <w:p w14:paraId="63938042">
      <w:pPr>
        <w:autoSpaceDE w:val="0"/>
        <w:autoSpaceDN w:val="0"/>
        <w:jc w:val="center"/>
        <w:rPr>
          <w:rFonts w:ascii="宋体" w:hAnsi="宋体" w:cs="宋体"/>
          <w:b/>
          <w:color w:val="auto"/>
          <w:spacing w:val="6"/>
          <w:sz w:val="32"/>
          <w:szCs w:val="32"/>
          <w:highlight w:val="none"/>
        </w:rPr>
      </w:pPr>
    </w:p>
    <w:p w14:paraId="3B96F321">
      <w:pPr>
        <w:autoSpaceDE w:val="0"/>
        <w:autoSpaceDN w:val="0"/>
        <w:jc w:val="center"/>
        <w:rPr>
          <w:rFonts w:ascii="宋体" w:hAnsi="宋体" w:cs="宋体"/>
          <w:b/>
          <w:color w:val="auto"/>
          <w:spacing w:val="6"/>
          <w:sz w:val="32"/>
          <w:szCs w:val="32"/>
          <w:highlight w:val="none"/>
        </w:rPr>
      </w:pPr>
    </w:p>
    <w:p w14:paraId="67320F8C">
      <w:pPr>
        <w:autoSpaceDE w:val="0"/>
        <w:autoSpaceDN w:val="0"/>
        <w:jc w:val="center"/>
        <w:rPr>
          <w:rFonts w:ascii="宋体" w:hAnsi="宋体" w:cs="宋体"/>
          <w:b/>
          <w:color w:val="auto"/>
          <w:spacing w:val="6"/>
          <w:sz w:val="32"/>
          <w:szCs w:val="32"/>
          <w:highlight w:val="none"/>
        </w:rPr>
      </w:pPr>
    </w:p>
    <w:p w14:paraId="10D407F8">
      <w:pPr>
        <w:autoSpaceDE w:val="0"/>
        <w:autoSpaceDN w:val="0"/>
        <w:jc w:val="center"/>
        <w:rPr>
          <w:rFonts w:ascii="宋体" w:hAnsi="宋体" w:cs="宋体"/>
          <w:b/>
          <w:color w:val="auto"/>
          <w:spacing w:val="6"/>
          <w:sz w:val="32"/>
          <w:szCs w:val="32"/>
          <w:highlight w:val="none"/>
        </w:rPr>
      </w:pPr>
    </w:p>
    <w:p w14:paraId="07B07E45">
      <w:pPr>
        <w:autoSpaceDE w:val="0"/>
        <w:autoSpaceDN w:val="0"/>
        <w:jc w:val="center"/>
        <w:rPr>
          <w:rFonts w:ascii="宋体" w:hAnsi="宋体" w:cs="宋体"/>
          <w:b/>
          <w:color w:val="auto"/>
          <w:spacing w:val="6"/>
          <w:sz w:val="32"/>
          <w:szCs w:val="32"/>
          <w:highlight w:val="none"/>
        </w:rPr>
      </w:pPr>
    </w:p>
    <w:p w14:paraId="7D855ED4">
      <w:pPr>
        <w:autoSpaceDE w:val="0"/>
        <w:autoSpaceDN w:val="0"/>
        <w:jc w:val="center"/>
        <w:rPr>
          <w:rFonts w:ascii="宋体" w:hAnsi="宋体" w:cs="宋体"/>
          <w:b/>
          <w:color w:val="auto"/>
          <w:spacing w:val="6"/>
          <w:sz w:val="32"/>
          <w:szCs w:val="32"/>
          <w:highlight w:val="none"/>
        </w:rPr>
      </w:pPr>
    </w:p>
    <w:p w14:paraId="6E314992">
      <w:pPr>
        <w:autoSpaceDE w:val="0"/>
        <w:autoSpaceDN w:val="0"/>
        <w:jc w:val="center"/>
        <w:rPr>
          <w:rFonts w:ascii="宋体" w:hAnsi="宋体" w:cs="宋体"/>
          <w:b/>
          <w:color w:val="auto"/>
          <w:spacing w:val="6"/>
          <w:sz w:val="32"/>
          <w:szCs w:val="32"/>
          <w:highlight w:val="none"/>
        </w:rPr>
      </w:pPr>
    </w:p>
    <w:p w14:paraId="197543CC">
      <w:pPr>
        <w:autoSpaceDE w:val="0"/>
        <w:autoSpaceDN w:val="0"/>
        <w:jc w:val="center"/>
        <w:rPr>
          <w:rFonts w:ascii="宋体" w:hAnsi="宋体" w:cs="宋体"/>
          <w:b/>
          <w:color w:val="auto"/>
          <w:spacing w:val="6"/>
          <w:sz w:val="32"/>
          <w:szCs w:val="32"/>
          <w:highlight w:val="none"/>
        </w:rPr>
      </w:pPr>
    </w:p>
    <w:p w14:paraId="558BF81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AE05FFD">
      <w:pPr>
        <w:spacing w:line="360" w:lineRule="auto"/>
        <w:jc w:val="center"/>
        <w:rPr>
          <w:rFonts w:ascii="宋体" w:hAnsi="宋体" w:cs="宋体"/>
          <w:color w:val="auto"/>
          <w:sz w:val="24"/>
          <w:highlight w:val="none"/>
          <w:u w:val="single"/>
        </w:rPr>
      </w:pPr>
    </w:p>
    <w:p w14:paraId="18238E3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4BE270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0ADA6E7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7E9B2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235DA7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E628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DF56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30B025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4226D9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EDDD41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8214583">
      <w:pPr>
        <w:spacing w:line="360" w:lineRule="auto"/>
        <w:ind w:right="420"/>
        <w:rPr>
          <w:rFonts w:ascii="宋体" w:hAnsi="宋体" w:cs="宋体"/>
          <w:color w:val="auto"/>
          <w:sz w:val="24"/>
          <w:highlight w:val="none"/>
        </w:rPr>
      </w:pPr>
    </w:p>
    <w:p w14:paraId="283351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F9985C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E5686CA">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938E55">
      <w:pPr>
        <w:pStyle w:val="2"/>
        <w:rPr>
          <w:rFonts w:ascii="宋体" w:hAnsi="宋体" w:eastAsia="宋体" w:cs="宋体"/>
          <w:color w:val="auto"/>
          <w:highlight w:val="none"/>
          <w:lang w:val="en-US"/>
        </w:rPr>
      </w:pPr>
    </w:p>
    <w:p w14:paraId="5A630FAD">
      <w:pPr>
        <w:spacing w:line="360" w:lineRule="auto"/>
        <w:ind w:right="420"/>
        <w:rPr>
          <w:rFonts w:ascii="宋体" w:hAnsi="宋体" w:cs="宋体"/>
          <w:color w:val="auto"/>
          <w:highlight w:val="none"/>
        </w:rPr>
      </w:pPr>
    </w:p>
    <w:p w14:paraId="61803555">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41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C72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02B1">
    <w:pPr>
      <w:pStyle w:val="39"/>
      <w:framePr w:wrap="around" w:vAnchor="text" w:hAnchor="margin" w:xAlign="right" w:y="1"/>
      <w:rPr>
        <w:rStyle w:val="72"/>
      </w:rPr>
    </w:pPr>
    <w:r>
      <w:fldChar w:fldCharType="begin"/>
    </w:r>
    <w:r>
      <w:rPr>
        <w:rStyle w:val="72"/>
      </w:rPr>
      <w:instrText xml:space="preserve">PAGE  </w:instrText>
    </w:r>
    <w:r>
      <w:fldChar w:fldCharType="end"/>
    </w:r>
  </w:p>
  <w:p w14:paraId="2B45ACE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FCA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16" w:name="_Toc91899912"/>
    <w:bookmarkStart w:id="417" w:name="_Toc36110187"/>
    <w:bookmarkStart w:id="418" w:name="_Toc131845147"/>
    <w:bookmarkStart w:id="419" w:name="_Toc164085800"/>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25F2">
    <w:pPr>
      <w:pStyle w:val="39"/>
      <w:framePr w:wrap="around" w:vAnchor="text" w:hAnchor="margin" w:xAlign="right" w:y="1"/>
      <w:rPr>
        <w:rStyle w:val="72"/>
      </w:rPr>
    </w:pPr>
    <w:r>
      <w:fldChar w:fldCharType="begin"/>
    </w:r>
    <w:r>
      <w:rPr>
        <w:rStyle w:val="72"/>
      </w:rPr>
      <w:instrText xml:space="preserve">PAGE  </w:instrText>
    </w:r>
    <w:r>
      <w:fldChar w:fldCharType="end"/>
    </w:r>
  </w:p>
  <w:p w14:paraId="0625BFA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AA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C0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1D5DE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06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53F151F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3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D66C1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B2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B60291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14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852D2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10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98D026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4EEF">
    <w:pPr>
      <w:pStyle w:val="40"/>
      <w:pBdr>
        <w:bottom w:val="single" w:color="auto" w:sz="6" w:space="4"/>
      </w:pBdr>
      <w:jc w:val="right"/>
    </w:pPr>
    <w:r>
      <w:t></w:t>
    </w:r>
    <w:r>
      <w:rPr>
        <w:rFonts w:hint="eastAsia"/>
      </w:rPr>
      <w:t xml:space="preserve">             </w:t>
    </w:r>
    <w:r>
      <w:t>杭州市政府采购公开招标文件</w:t>
    </w:r>
  </w:p>
  <w:p w14:paraId="1F722F4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B15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EA9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5107">
    <w:pPr>
      <w:pStyle w:val="40"/>
      <w:rPr>
        <w:rFonts w:ascii="仿宋_GB2312" w:eastAsia="仿宋_GB2312"/>
        <w:b/>
        <w:i/>
        <w:u w:val="single"/>
      </w:rPr>
    </w:pPr>
    <w:r>
      <w:t></w:t>
    </w:r>
    <w:r>
      <w:rPr>
        <w:rFonts w:hint="eastAsia"/>
      </w:rPr>
      <w:t xml:space="preserve">                                                  </w:t>
    </w:r>
    <w:r>
      <w:t xml:space="preserve">             杭州市政府采购公开招标文件</w:t>
    </w:r>
  </w:p>
  <w:p w14:paraId="1998B7A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CBB9">
    <w:pPr>
      <w:pStyle w:val="40"/>
    </w:pPr>
    <w:r>
      <w:t></w:t>
    </w:r>
    <w:r>
      <w:rPr>
        <w:rFonts w:hint="eastAsia"/>
      </w:rPr>
      <w:t xml:space="preserve">         </w:t>
    </w:r>
  </w:p>
  <w:p w14:paraId="7063C9C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1869">
    <w:pPr>
      <w:pStyle w:val="40"/>
      <w:rPr>
        <w:rFonts w:ascii="仿宋_GB2312" w:eastAsia="仿宋_GB2312"/>
        <w:b/>
        <w:i/>
        <w:u w:val="single"/>
      </w:rPr>
    </w:pPr>
    <w:r>
      <w:t></w:t>
    </w:r>
    <w:r>
      <w:rPr>
        <w:rFonts w:hint="eastAsia"/>
      </w:rPr>
      <w:t xml:space="preserve">                                                  </w:t>
    </w:r>
    <w:r>
      <w:t>杭州市政府采购公开招标文件</w:t>
    </w:r>
  </w:p>
  <w:p w14:paraId="1834B9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204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888B">
    <w:pPr>
      <w:pStyle w:val="40"/>
      <w:jc w:val="right"/>
      <w:rPr>
        <w:rFonts w:ascii="仿宋_GB2312" w:eastAsia="仿宋_GB2312"/>
        <w:b/>
        <w:i/>
        <w:u w:val="single"/>
      </w:rPr>
    </w:pPr>
    <w:r>
      <w:rPr>
        <w:rFonts w:hint="eastAsia"/>
      </w:rPr>
      <w:t xml:space="preserve">                                  </w:t>
    </w:r>
    <w:r>
      <w:t>杭州市政府采购公开招标文件</w:t>
    </w:r>
  </w:p>
  <w:p w14:paraId="504A276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0901">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1085">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3115A"/>
    <w:multiLevelType w:val="multilevel"/>
    <w:tmpl w:val="3373115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7F1272"/>
    <w:multiLevelType w:val="multilevel"/>
    <w:tmpl w:val="407F1272"/>
    <w:lvl w:ilvl="0" w:tentative="0">
      <w:start w:val="2"/>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79F1187"/>
    <w:multiLevelType w:val="multilevel"/>
    <w:tmpl w:val="679F1187"/>
    <w:lvl w:ilvl="0" w:tentative="0">
      <w:start w:val="1"/>
      <w:numFmt w:val="decimal"/>
      <w:lvlText w:val="%1、"/>
      <w:lvlJc w:val="left"/>
      <w:pPr>
        <w:ind w:left="885" w:hanging="360"/>
      </w:pPr>
      <w:rPr>
        <w:rFonts w:hint="default"/>
        <w:b/>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GQ5YTEwMmY0NjgwMDVlNDJlMDZkZDhiNTE4Y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73FCB"/>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E38D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66812"/>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65789"/>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C3CB7"/>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8178A1"/>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444C9"/>
    <w:rsid w:val="36EC0CC9"/>
    <w:rsid w:val="373F410B"/>
    <w:rsid w:val="37EE7094"/>
    <w:rsid w:val="38296C89"/>
    <w:rsid w:val="383002EB"/>
    <w:rsid w:val="383E029A"/>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6D05C3"/>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04D1A"/>
    <w:rsid w:val="3F060E16"/>
    <w:rsid w:val="3F1D1096"/>
    <w:rsid w:val="3F2F0234"/>
    <w:rsid w:val="3F4260D2"/>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C00C0"/>
    <w:rsid w:val="43977AB6"/>
    <w:rsid w:val="43A3342B"/>
    <w:rsid w:val="43C77C27"/>
    <w:rsid w:val="43DE09EE"/>
    <w:rsid w:val="44002FAD"/>
    <w:rsid w:val="449101DD"/>
    <w:rsid w:val="44C24001"/>
    <w:rsid w:val="44DE1391"/>
    <w:rsid w:val="451B225C"/>
    <w:rsid w:val="452410C9"/>
    <w:rsid w:val="45317DFB"/>
    <w:rsid w:val="456D3CE4"/>
    <w:rsid w:val="4579042C"/>
    <w:rsid w:val="457F0571"/>
    <w:rsid w:val="45851176"/>
    <w:rsid w:val="459B6130"/>
    <w:rsid w:val="45C63B94"/>
    <w:rsid w:val="460E7DA5"/>
    <w:rsid w:val="46422483"/>
    <w:rsid w:val="4659254A"/>
    <w:rsid w:val="465B0637"/>
    <w:rsid w:val="465E3F0D"/>
    <w:rsid w:val="466A16E6"/>
    <w:rsid w:val="46893F2B"/>
    <w:rsid w:val="46C4686E"/>
    <w:rsid w:val="477B778F"/>
    <w:rsid w:val="478203EC"/>
    <w:rsid w:val="47B025FA"/>
    <w:rsid w:val="47FD193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861E8"/>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1525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E7230"/>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C7568"/>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D051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B756E"/>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907B6"/>
    <w:rsid w:val="76C87133"/>
    <w:rsid w:val="76CD08D5"/>
    <w:rsid w:val="76DB4B92"/>
    <w:rsid w:val="77052AA4"/>
    <w:rsid w:val="77136511"/>
    <w:rsid w:val="77340A39"/>
    <w:rsid w:val="77351FD0"/>
    <w:rsid w:val="77472422"/>
    <w:rsid w:val="777F31F2"/>
    <w:rsid w:val="77D1700D"/>
    <w:rsid w:val="77DE0B7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442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40829</Words>
  <Characters>42916</Characters>
  <Lines>274</Lines>
  <Paragraphs>77</Paragraphs>
  <TotalTime>26</TotalTime>
  <ScaleCrop>false</ScaleCrop>
  <LinksUpToDate>false</LinksUpToDate>
  <CharactersWithSpaces>47483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粥小粒</cp:lastModifiedBy>
  <cp:lastPrinted>2021-12-27T03:06:00Z</cp:lastPrinted>
  <dcterms:modified xsi:type="dcterms:W3CDTF">2024-09-06T12:02:13Z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D1EB456A1F304077B04526B1B05F0C29_13</vt:lpwstr>
  </property>
</Properties>
</file>