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p>
    <w:p>
      <w:pPr>
        <w:adjustRightInd/>
        <w:spacing w:line="360" w:lineRule="auto"/>
        <w:jc w:val="center"/>
        <w:rPr>
          <w:rFonts w:hint="eastAsia" w:ascii="仿宋" w:hAnsi="仿宋" w:eastAsia="仿宋" w:cs="仿宋"/>
          <w:b/>
          <w:sz w:val="48"/>
          <w:szCs w:val="48"/>
        </w:rPr>
      </w:pPr>
    </w:p>
    <w:p>
      <w:pPr>
        <w:adjustRightInd/>
        <w:spacing w:line="360" w:lineRule="auto"/>
        <w:jc w:val="center"/>
        <w:rPr>
          <w:rFonts w:hint="default" w:ascii="仿宋" w:hAnsi="仿宋" w:eastAsia="仿宋" w:cs="仿宋"/>
          <w:sz w:val="48"/>
          <w:szCs w:val="48"/>
          <w:lang w:val="en-US" w:eastAsia="zh-CN"/>
        </w:rPr>
      </w:pPr>
      <w:r>
        <w:rPr>
          <w:rFonts w:hint="eastAsia" w:ascii="仿宋" w:hAnsi="仿宋" w:eastAsia="仿宋" w:cs="仿宋"/>
          <w:sz w:val="48"/>
          <w:szCs w:val="48"/>
          <w:lang w:val="en-US" w:eastAsia="zh-CN"/>
        </w:rPr>
        <w:t>2024年萧山钱塘江·竞潮半程马拉松赛采购项目</w:t>
      </w:r>
    </w:p>
    <w:p>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招标文件</w:t>
      </w:r>
    </w:p>
    <w:p>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（电子招投标）</w:t>
      </w:r>
    </w:p>
    <w:p>
      <w:pPr>
        <w:snapToGrid w:val="0"/>
        <w:spacing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rPr>
        <w:t>编号:</w:t>
      </w:r>
      <w:r>
        <w:rPr>
          <w:rFonts w:hint="eastAsia" w:ascii="仿宋" w:hAnsi="仿宋" w:eastAsia="仿宋" w:cs="仿宋"/>
          <w:sz w:val="30"/>
          <w:szCs w:val="30"/>
          <w:lang w:eastAsia="zh-CN"/>
        </w:rPr>
        <w:t>ny20240928</w:t>
      </w:r>
    </w:p>
    <w:p>
      <w:pPr>
        <w:adjustRightInd/>
        <w:spacing w:line="360" w:lineRule="auto"/>
        <w:rPr>
          <w:rFonts w:hint="eastAsia" w:ascii="仿宋" w:hAnsi="仿宋" w:eastAsia="仿宋" w:cs="仿宋"/>
          <w:sz w:val="28"/>
          <w:szCs w:val="20"/>
        </w:rPr>
      </w:pPr>
    </w:p>
    <w:p>
      <w:pPr>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sz w:val="24"/>
        </w:rPr>
      </w:pPr>
    </w:p>
    <w:p>
      <w:pPr>
        <w:spacing w:line="360" w:lineRule="auto"/>
        <w:rPr>
          <w:rFonts w:hint="eastAsia" w:ascii="仿宋" w:hAnsi="仿宋" w:eastAsia="仿宋" w:cs="仿宋"/>
          <w:sz w:val="32"/>
          <w:szCs w:val="32"/>
        </w:rPr>
      </w:pPr>
    </w:p>
    <w:p>
      <w:pPr>
        <w:spacing w:line="360" w:lineRule="auto"/>
        <w:jc w:val="center"/>
        <w:rPr>
          <w:rFonts w:hint="eastAsia" w:ascii="仿宋" w:hAnsi="仿宋" w:eastAsia="仿宋" w:cs="仿宋"/>
          <w:sz w:val="32"/>
          <w:szCs w:val="32"/>
          <w:lang w:eastAsia="zh-CN"/>
        </w:rPr>
      </w:pPr>
    </w:p>
    <w:p>
      <w:pPr>
        <w:snapToGrid w:val="0"/>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杭州市萧山区人民政府南阳街道办事处</w:t>
      </w:r>
    </w:p>
    <w:p>
      <w:pPr>
        <w:snapToGrid w:val="0"/>
        <w:spacing w:line="360" w:lineRule="auto"/>
        <w:jc w:val="center"/>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浙江省房地产管理咨询有限公司</w:t>
      </w:r>
    </w:p>
    <w:p>
      <w:pPr>
        <w:snapToGrid w:val="0"/>
        <w:spacing w:line="360" w:lineRule="auto"/>
        <w:jc w:val="center"/>
        <w:rPr>
          <w:rFonts w:hint="eastAsia" w:ascii="仿宋" w:hAnsi="仿宋" w:eastAsia="仿宋" w:cs="仿宋"/>
          <w:bCs/>
          <w:color w:val="FF0000"/>
          <w:sz w:val="32"/>
          <w:szCs w:val="32"/>
          <w:highlight w:val="none"/>
        </w:rPr>
      </w:pPr>
      <w:r>
        <w:rPr>
          <w:rFonts w:hint="eastAsia" w:ascii="仿宋" w:hAnsi="仿宋" w:eastAsia="仿宋" w:cs="仿宋"/>
          <w:bCs/>
          <w:color w:val="000000" w:themeColor="text1"/>
          <w:sz w:val="32"/>
          <w:szCs w:val="32"/>
          <w:highlight w:val="none"/>
          <w14:textFill>
            <w14:solidFill>
              <w14:schemeClr w14:val="tx1"/>
            </w14:solidFill>
          </w14:textFill>
        </w:rPr>
        <w:t>202</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4</w:t>
      </w:r>
      <w:r>
        <w:rPr>
          <w:rFonts w:hint="eastAsia" w:ascii="仿宋" w:hAnsi="仿宋" w:eastAsia="仿宋" w:cs="仿宋"/>
          <w:bCs/>
          <w:color w:val="000000" w:themeColor="text1"/>
          <w:sz w:val="32"/>
          <w:szCs w:val="32"/>
          <w:highlight w:val="none"/>
          <w14:textFill>
            <w14:solidFill>
              <w14:schemeClr w14:val="tx1"/>
            </w14:solidFill>
          </w14:textFill>
        </w:rPr>
        <w:t>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09</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28</w:t>
      </w:r>
      <w:r>
        <w:rPr>
          <w:rFonts w:hint="eastAsia" w:ascii="仿宋" w:hAnsi="仿宋" w:eastAsia="仿宋" w:cs="仿宋"/>
          <w:bCs/>
          <w:color w:val="000000" w:themeColor="text1"/>
          <w:sz w:val="32"/>
          <w:szCs w:val="32"/>
          <w:highlight w:val="none"/>
          <w14:textFill>
            <w14:solidFill>
              <w14:schemeClr w14:val="tx1"/>
            </w14:solidFill>
          </w14:textFill>
        </w:rPr>
        <w:t>日</w:t>
      </w:r>
    </w:p>
    <w:p>
      <w:pPr>
        <w:jc w:val="center"/>
        <w:rPr>
          <w:rFonts w:hint="eastAsia" w:ascii="仿宋" w:hAnsi="仿宋" w:eastAsia="仿宋" w:cs="仿宋"/>
        </w:rPr>
      </w:pPr>
    </w:p>
    <w:p>
      <w:pPr>
        <w:spacing w:line="360" w:lineRule="auto"/>
        <w:jc w:val="center"/>
        <w:rPr>
          <w:rFonts w:hint="eastAsia" w:ascii="仿宋" w:hAnsi="仿宋" w:eastAsia="仿宋" w:cs="仿宋"/>
          <w:b/>
          <w:sz w:val="48"/>
          <w:szCs w:val="48"/>
        </w:rPr>
      </w:pPr>
      <w:r>
        <w:rPr>
          <w:rFonts w:hint="eastAsia" w:ascii="仿宋" w:hAnsi="仿宋" w:eastAsia="仿宋" w:cs="仿宋"/>
          <w:sz w:val="24"/>
        </w:rPr>
        <w:br w:type="page"/>
      </w:r>
      <w:bookmarkStart w:id="0" w:name="_Hlt67893495"/>
      <w:bookmarkEnd w:id="0"/>
      <w:r>
        <w:rPr>
          <w:rFonts w:hint="eastAsia" w:ascii="仿宋" w:hAnsi="仿宋" w:eastAsia="仿宋" w:cs="仿宋"/>
          <w:b/>
          <w:sz w:val="48"/>
          <w:szCs w:val="48"/>
        </w:rPr>
        <w:t>目  录</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hint="eastAsia" w:ascii="仿宋" w:hAnsi="仿宋" w:eastAsia="仿宋" w:cs="仿宋"/>
          <w:sz w:val="24"/>
        </w:rPr>
      </w:pPr>
      <w:bookmarkStart w:id="1" w:name="_Hlt91233176"/>
      <w:bookmarkEnd w:id="1"/>
      <w:bookmarkStart w:id="2" w:name="_Toc91899869"/>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rPr>
          <w:rFonts w:hint="eastAsia" w:ascii="仿宋" w:hAnsi="仿宋" w:eastAsia="仿宋" w:cs="仿宋"/>
          <w:sz w:val="24"/>
        </w:rPr>
      </w:pPr>
    </w:p>
    <w:p>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lang w:eastAsia="zh-CN"/>
        </w:rPr>
        <w:t>（2024年萧山钱塘江·竞潮半程马拉松赛采购项目）</w:t>
      </w:r>
      <w:r>
        <w:rPr>
          <w:rFonts w:hint="eastAsia" w:ascii="仿宋" w:hAnsi="仿宋" w:eastAsia="仿宋" w:cs="仿宋"/>
          <w:sz w:val="24"/>
        </w:rPr>
        <w:t>招标项目的潜在投标人应在政采云平台（</w:t>
      </w:r>
      <w:r>
        <w:rPr>
          <w:rFonts w:hint="eastAsia" w:ascii="仿宋" w:hAnsi="仿宋" w:eastAsia="仿宋" w:cs="仿宋"/>
        </w:rPr>
        <w:fldChar w:fldCharType="begin"/>
      </w:r>
      <w:r>
        <w:rPr>
          <w:rFonts w:hint="eastAsia" w:ascii="仿宋" w:hAnsi="仿宋" w:eastAsia="仿宋" w:cs="仿宋"/>
        </w:rPr>
        <w:instrText xml:space="preserve"> HYPERLINK "https://www.zcygov.cn/）获取（下载）招标文件，并于202%20年%20月%20日%20点%20分00秒" </w:instrText>
      </w:r>
      <w:r>
        <w:rPr>
          <w:rFonts w:hint="eastAsia" w:ascii="仿宋" w:hAnsi="仿宋" w:eastAsia="仿宋" w:cs="仿宋"/>
        </w:rPr>
        <w:fldChar w:fldCharType="separate"/>
      </w:r>
      <w:r>
        <w:rPr>
          <w:rStyle w:val="78"/>
          <w:rFonts w:hint="eastAsia" w:ascii="仿宋" w:hAnsi="仿宋" w:eastAsia="仿宋" w:cs="仿宋"/>
          <w:snapToGrid/>
          <w:kern w:val="2"/>
          <w:sz w:val="24"/>
          <w:szCs w:val="24"/>
        </w:rPr>
        <w:t>https://www.zcygov.cn/）获取（下载）招标文件，并于202</w:t>
      </w:r>
      <w:r>
        <w:rPr>
          <w:rStyle w:val="78"/>
          <w:rFonts w:hint="eastAsia" w:ascii="仿宋" w:hAnsi="仿宋" w:eastAsia="仿宋" w:cs="仿宋"/>
          <w:snapToGrid/>
          <w:kern w:val="2"/>
          <w:sz w:val="24"/>
          <w:szCs w:val="24"/>
          <w:lang w:val="en-US" w:eastAsia="zh-CN"/>
        </w:rPr>
        <w:t>4</w:t>
      </w:r>
      <w:r>
        <w:rPr>
          <w:rStyle w:val="78"/>
          <w:rFonts w:hint="eastAsia" w:ascii="仿宋" w:hAnsi="仿宋" w:eastAsia="仿宋" w:cs="仿宋"/>
          <w:snapToGrid/>
          <w:kern w:val="2"/>
          <w:sz w:val="24"/>
          <w:szCs w:val="24"/>
        </w:rPr>
        <w:t>年</w:t>
      </w:r>
      <w:r>
        <w:rPr>
          <w:rStyle w:val="78"/>
          <w:rFonts w:hint="eastAsia" w:ascii="仿宋" w:hAnsi="仿宋" w:eastAsia="仿宋" w:cs="仿宋"/>
          <w:snapToGrid/>
          <w:kern w:val="2"/>
          <w:sz w:val="24"/>
          <w:szCs w:val="24"/>
          <w:lang w:val="en-US" w:eastAsia="zh-CN"/>
        </w:rPr>
        <w:t>10</w:t>
      </w:r>
      <w:r>
        <w:rPr>
          <w:rStyle w:val="78"/>
          <w:rFonts w:hint="eastAsia" w:ascii="仿宋" w:hAnsi="仿宋" w:eastAsia="仿宋" w:cs="仿宋"/>
          <w:snapToGrid/>
          <w:kern w:val="2"/>
          <w:sz w:val="24"/>
          <w:szCs w:val="24"/>
        </w:rPr>
        <w:t>月</w:t>
      </w:r>
      <w:r>
        <w:rPr>
          <w:rStyle w:val="78"/>
          <w:rFonts w:hint="eastAsia" w:ascii="仿宋" w:hAnsi="仿宋" w:eastAsia="仿宋" w:cs="仿宋"/>
          <w:snapToGrid/>
          <w:kern w:val="2"/>
          <w:sz w:val="24"/>
          <w:szCs w:val="24"/>
          <w:lang w:val="en-US" w:eastAsia="zh-CN"/>
        </w:rPr>
        <w:t>18</w:t>
      </w:r>
      <w:r>
        <w:rPr>
          <w:rStyle w:val="78"/>
          <w:rFonts w:hint="eastAsia" w:ascii="仿宋" w:hAnsi="仿宋" w:eastAsia="仿宋" w:cs="仿宋"/>
          <w:snapToGrid/>
          <w:kern w:val="2"/>
          <w:sz w:val="24"/>
          <w:szCs w:val="24"/>
        </w:rPr>
        <w:t>日</w:t>
      </w:r>
      <w:r>
        <w:rPr>
          <w:rStyle w:val="78"/>
          <w:rFonts w:hint="eastAsia" w:ascii="仿宋" w:hAnsi="仿宋" w:eastAsia="仿宋" w:cs="仿宋"/>
          <w:snapToGrid/>
          <w:kern w:val="2"/>
          <w:sz w:val="24"/>
          <w:szCs w:val="24"/>
          <w:lang w:val="en-US" w:eastAsia="zh-CN"/>
        </w:rPr>
        <w:t>10</w:t>
      </w:r>
      <w:r>
        <w:rPr>
          <w:rStyle w:val="78"/>
          <w:rFonts w:hint="eastAsia" w:ascii="仿宋" w:hAnsi="仿宋" w:eastAsia="仿宋" w:cs="仿宋"/>
          <w:snapToGrid/>
          <w:kern w:val="2"/>
          <w:sz w:val="24"/>
          <w:szCs w:val="24"/>
        </w:rPr>
        <w:t>点</w:t>
      </w:r>
      <w:r>
        <w:rPr>
          <w:rStyle w:val="78"/>
          <w:rFonts w:hint="eastAsia" w:ascii="仿宋" w:hAnsi="仿宋" w:eastAsia="仿宋" w:cs="仿宋"/>
          <w:snapToGrid/>
          <w:kern w:val="2"/>
          <w:sz w:val="24"/>
          <w:szCs w:val="24"/>
          <w:lang w:val="en-US" w:eastAsia="zh-CN"/>
        </w:rPr>
        <w:t>00</w:t>
      </w:r>
      <w:r>
        <w:rPr>
          <w:rStyle w:val="78"/>
          <w:rFonts w:hint="eastAsia" w:ascii="仿宋" w:hAnsi="仿宋" w:eastAsia="仿宋" w:cs="仿宋"/>
          <w:snapToGrid/>
          <w:kern w:val="2"/>
          <w:sz w:val="24"/>
          <w:szCs w:val="24"/>
        </w:rPr>
        <w:t>分</w:t>
      </w:r>
      <w:r>
        <w:rPr>
          <w:rStyle w:val="78"/>
          <w:rFonts w:hint="eastAsia" w:ascii="仿宋" w:hAnsi="仿宋" w:eastAsia="仿宋" w:cs="仿宋"/>
          <w:bCs/>
          <w:snapToGrid/>
          <w:kern w:val="2"/>
          <w:sz w:val="24"/>
          <w:szCs w:val="24"/>
        </w:rPr>
        <w:t>00秒</w:t>
      </w:r>
      <w:r>
        <w:rPr>
          <w:rStyle w:val="78"/>
          <w:rFonts w:hint="eastAsia" w:ascii="仿宋" w:hAnsi="仿宋" w:eastAsia="仿宋" w:cs="仿宋"/>
          <w:bCs/>
          <w:snapToGrid/>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spacing w:line="360" w:lineRule="auto"/>
        <w:rPr>
          <w:rFonts w:hint="eastAsia" w:ascii="仿宋" w:hAnsi="仿宋" w:eastAsia="仿宋" w:cs="仿宋"/>
          <w:b/>
          <w:sz w:val="24"/>
        </w:rPr>
      </w:pPr>
      <w:r>
        <w:rPr>
          <w:rFonts w:hint="eastAsia" w:ascii="仿宋" w:hAnsi="仿宋" w:eastAsia="仿宋" w:cs="仿宋"/>
          <w:b/>
          <w:sz w:val="24"/>
        </w:rPr>
        <w:t xml:space="preserve">一、项目基本情况                                            </w:t>
      </w:r>
    </w:p>
    <w:p>
      <w:pPr>
        <w:spacing w:line="360" w:lineRule="auto"/>
        <w:rPr>
          <w:rFonts w:hint="eastAsia" w:ascii="仿宋" w:hAnsi="仿宋" w:eastAsia="仿宋" w:cs="仿宋"/>
          <w:sz w:val="24"/>
          <w:lang w:val="en-US" w:eastAsia="zh-CN"/>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b/>
          <w:sz w:val="24"/>
          <w:lang w:eastAsia="zh-CN"/>
        </w:rPr>
        <w:t>：</w:t>
      </w:r>
      <w:r>
        <w:rPr>
          <w:rFonts w:hint="eastAsia" w:ascii="仿宋" w:hAnsi="仿宋" w:eastAsia="仿宋" w:cs="仿宋"/>
          <w:b w:val="0"/>
          <w:bCs/>
          <w:sz w:val="24"/>
          <w:lang w:eastAsia="zh-CN"/>
        </w:rPr>
        <w:t>ny20240928</w:t>
      </w:r>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w:t>
      </w:r>
      <w:r>
        <w:rPr>
          <w:rFonts w:hint="eastAsia" w:ascii="仿宋" w:hAnsi="仿宋" w:eastAsia="仿宋" w:cs="仿宋"/>
          <w:b/>
          <w:sz w:val="24"/>
        </w:rPr>
        <w:t xml:space="preserve"> 项目名称：</w:t>
      </w:r>
      <w:r>
        <w:rPr>
          <w:rFonts w:hint="eastAsia" w:ascii="仿宋" w:hAnsi="仿宋" w:eastAsia="仿宋" w:cs="仿宋"/>
          <w:b w:val="0"/>
          <w:bCs/>
          <w:sz w:val="24"/>
          <w:lang w:eastAsia="zh-CN"/>
        </w:rPr>
        <w:t>2024年萧山钱塘江·竞潮半程马拉松赛采购项目</w:t>
      </w:r>
    </w:p>
    <w:p>
      <w:pPr>
        <w:spacing w:line="360" w:lineRule="auto"/>
        <w:rPr>
          <w:rFonts w:hint="default" w:ascii="仿宋" w:hAnsi="仿宋" w:eastAsia="仿宋" w:cs="仿宋"/>
          <w:b/>
          <w:bCs/>
          <w:color w:val="auto"/>
          <w:sz w:val="24"/>
          <w:lang w:val="en-US" w:eastAsia="zh-CN"/>
        </w:rPr>
      </w:pPr>
      <w:r>
        <w:rPr>
          <w:rFonts w:hint="eastAsia" w:ascii="仿宋" w:hAnsi="仿宋" w:eastAsia="仿宋" w:cs="仿宋"/>
          <w:sz w:val="24"/>
        </w:rPr>
        <w:t xml:space="preserve">   </w:t>
      </w:r>
      <w:r>
        <w:rPr>
          <w:rFonts w:hint="eastAsia" w:ascii="仿宋" w:hAnsi="仿宋" w:eastAsia="仿宋" w:cs="仿宋"/>
          <w:b/>
          <w:sz w:val="24"/>
        </w:rPr>
        <w:t xml:space="preserve"> </w:t>
      </w:r>
      <w:r>
        <w:rPr>
          <w:rFonts w:hint="eastAsia" w:ascii="仿宋" w:hAnsi="仿宋" w:eastAsia="仿宋" w:cs="仿宋"/>
          <w:b/>
          <w:bCs/>
          <w:color w:val="auto"/>
          <w:sz w:val="24"/>
        </w:rPr>
        <w:t>预算金额（元）：</w:t>
      </w:r>
      <w:r>
        <w:rPr>
          <w:rFonts w:hint="eastAsia" w:ascii="仿宋" w:hAnsi="仿宋" w:eastAsia="仿宋" w:cs="仿宋"/>
          <w:b/>
          <w:bCs/>
          <w:color w:val="auto"/>
          <w:sz w:val="24"/>
          <w:lang w:val="en-US" w:eastAsia="zh-CN"/>
        </w:rPr>
        <w:t>980000.00</w:t>
      </w:r>
    </w:p>
    <w:p>
      <w:pPr>
        <w:spacing w:line="360" w:lineRule="auto"/>
        <w:ind w:firstLine="480"/>
        <w:rPr>
          <w:rFonts w:hint="default" w:ascii="仿宋" w:hAnsi="仿宋" w:eastAsia="仿宋" w:cs="仿宋"/>
          <w:sz w:val="24"/>
          <w:lang w:val="en-US" w:eastAsia="zh-CN"/>
        </w:rPr>
      </w:pPr>
      <w:r>
        <w:rPr>
          <w:rFonts w:hint="eastAsia" w:ascii="仿宋" w:hAnsi="仿宋" w:eastAsia="仿宋" w:cs="仿宋"/>
          <w:b/>
          <w:bCs/>
          <w:color w:val="auto"/>
          <w:sz w:val="24"/>
        </w:rPr>
        <w:t>最高限价（元）：</w:t>
      </w:r>
      <w:r>
        <w:rPr>
          <w:rFonts w:hint="eastAsia" w:ascii="仿宋" w:hAnsi="仿宋" w:eastAsia="仿宋" w:cs="仿宋"/>
          <w:b/>
          <w:bCs/>
          <w:color w:val="auto"/>
          <w:sz w:val="24"/>
          <w:lang w:val="en-US" w:eastAsia="zh-CN"/>
        </w:rPr>
        <w:t>980000.00</w:t>
      </w:r>
    </w:p>
    <w:p>
      <w:pPr>
        <w:pStyle w:val="15"/>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 w:val="0"/>
          <w:bCs/>
          <w:sz w:val="24"/>
          <w:lang w:eastAsia="zh-CN"/>
        </w:rPr>
        <w:t>2024年萧山钱塘江·竞潮半程马拉松赛采购项目</w:t>
      </w:r>
      <w:r>
        <w:rPr>
          <w:rFonts w:hint="eastAsia" w:ascii="仿宋" w:hAnsi="仿宋" w:eastAsia="仿宋" w:cs="仿宋"/>
          <w:bCs/>
          <w:snapToGrid/>
          <w:color w:val="auto"/>
          <w:kern w:val="2"/>
          <w:sz w:val="24"/>
          <w:szCs w:val="24"/>
        </w:rPr>
        <w:t>主要内容：</w:t>
      </w:r>
      <w:r>
        <w:rPr>
          <w:rFonts w:hint="eastAsia" w:ascii="仿宋" w:hAnsi="仿宋" w:eastAsia="仿宋" w:cs="仿宋"/>
          <w:b w:val="0"/>
          <w:bCs/>
          <w:sz w:val="24"/>
          <w:lang w:eastAsia="zh-CN"/>
        </w:rPr>
        <w:t>马拉松</w:t>
      </w:r>
      <w:r>
        <w:rPr>
          <w:rFonts w:hint="eastAsia" w:ascii="仿宋" w:hAnsi="仿宋" w:eastAsia="仿宋" w:cs="仿宋"/>
          <w:b w:val="0"/>
          <w:bCs/>
          <w:sz w:val="24"/>
          <w:lang w:val="en-US" w:eastAsia="zh-CN"/>
        </w:rPr>
        <w:t>赛事服务</w:t>
      </w:r>
      <w:r>
        <w:rPr>
          <w:rFonts w:hint="eastAsia" w:ascii="仿宋" w:hAnsi="仿宋" w:eastAsia="仿宋" w:cs="仿宋"/>
          <w:bCs/>
          <w:sz w:val="24"/>
          <w:lang w:eastAsia="zh-CN"/>
        </w:rPr>
        <w:t>。</w:t>
      </w:r>
      <w:r>
        <w:rPr>
          <w:rFonts w:hint="eastAsia" w:ascii="仿宋" w:hAnsi="仿宋" w:eastAsia="仿宋" w:cs="仿宋"/>
          <w:snapToGrid/>
          <w:color w:val="auto"/>
          <w:kern w:val="2"/>
          <w:sz w:val="24"/>
          <w:szCs w:val="24"/>
        </w:rPr>
        <w:t>具体以招标文件第三部分采购需求为准，供应商可点击本公告下方“浏览采购文件”查看采购需求。</w:t>
      </w:r>
    </w:p>
    <w:p>
      <w:pPr>
        <w:pStyle w:val="131"/>
        <w:ind w:firstLine="482"/>
        <w:outlineLvl w:val="2"/>
        <w:rPr>
          <w:rFonts w:hint="eastAsia" w:ascii="仿宋" w:hAnsi="仿宋" w:eastAsia="仿宋" w:cs="仿宋"/>
          <w:lang w:eastAsia="zh-CN"/>
        </w:rPr>
      </w:pPr>
      <w:r>
        <w:rPr>
          <w:rFonts w:hint="eastAsia" w:ascii="仿宋" w:hAnsi="仿宋" w:eastAsia="仿宋" w:cs="仿宋"/>
          <w:b/>
        </w:rPr>
        <w:t>合同履约期限</w:t>
      </w:r>
      <w:r>
        <w:rPr>
          <w:rFonts w:hint="eastAsia" w:ascii="仿宋" w:hAnsi="仿宋" w:eastAsia="仿宋" w:cs="仿宋"/>
          <w:b/>
          <w:lang w:eastAsia="zh-CN"/>
        </w:rPr>
        <w:t>：</w:t>
      </w:r>
      <w:r>
        <w:rPr>
          <w:rFonts w:hint="eastAsia" w:ascii="仿宋" w:hAnsi="仿宋" w:eastAsia="仿宋" w:cs="仿宋"/>
          <w:snapToGrid/>
          <w:color w:val="auto"/>
          <w:kern w:val="2"/>
          <w:sz w:val="24"/>
          <w:szCs w:val="24"/>
        </w:rPr>
        <w:t>具体以招标文件第三部分采购需求为准</w:t>
      </w:r>
      <w:r>
        <w:rPr>
          <w:rFonts w:hint="eastAsia" w:ascii="仿宋" w:hAnsi="仿宋" w:eastAsia="仿宋" w:cs="仿宋"/>
          <w:snapToGrid/>
          <w:color w:val="auto"/>
          <w:kern w:val="2"/>
          <w:sz w:val="24"/>
          <w:szCs w:val="24"/>
          <w:lang w:eastAsia="zh-CN"/>
        </w:rPr>
        <w:t>。</w:t>
      </w:r>
    </w:p>
    <w:p>
      <w:pPr>
        <w:pStyle w:val="15"/>
        <w:spacing w:line="360" w:lineRule="auto"/>
        <w:ind w:firstLine="480"/>
        <w:rPr>
          <w:rFonts w:hint="eastAsia" w:ascii="仿宋" w:hAnsi="仿宋" w:eastAsia="仿宋" w:cs="仿宋"/>
          <w:b/>
          <w:color w:val="auto"/>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t xml:space="preserve"> </w:t>
      </w:r>
      <w:sdt>
        <w:sdtPr>
          <w:rPr>
            <w:rFonts w:hint="eastAsia" w:ascii="仿宋" w:hAnsi="仿宋" w:eastAsia="仿宋" w:cs="仿宋"/>
            <w:color w:val="auto"/>
            <w:kern w:val="0"/>
            <w:sz w:val="24"/>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2"/>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3.落实政府采购政策需满足的资格要求：</w:t>
      </w:r>
    </w:p>
    <w:p>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sz w:val="24"/>
        </w:rPr>
        <w:t>无</w:t>
      </w:r>
      <w:r>
        <w:rPr>
          <w:rFonts w:hint="eastAsia" w:ascii="仿宋" w:hAnsi="仿宋" w:eastAsia="仿宋" w:cs="仿宋"/>
          <w:snapToGrid w:val="0"/>
          <w:color w:val="auto"/>
          <w:kern w:val="28"/>
          <w:sz w:val="24"/>
          <w:szCs w:val="20"/>
        </w:rPr>
        <w:t>（注：不得限制大中型企业与小微企业组成联合体参与投标）；</w:t>
      </w:r>
    </w:p>
    <w:p>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4"/>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pPr>
        <w:spacing w:line="360" w:lineRule="auto"/>
        <w:ind w:firstLine="897" w:firstLineChars="374"/>
        <w:rPr>
          <w:rFonts w:hint="eastAsia" w:ascii="仿宋" w:hAnsi="仿宋" w:eastAsia="仿宋" w:cs="仿宋"/>
          <w:color w:val="auto"/>
          <w:sz w:val="24"/>
        </w:rPr>
      </w:pPr>
      <w:sdt>
        <w:sdtPr>
          <w:rPr>
            <w:rFonts w:hint="eastAsia" w:ascii="仿宋" w:hAnsi="仿宋" w:eastAsia="仿宋" w:cs="仿宋"/>
            <w:color w:val="auto"/>
            <w:kern w:val="0"/>
            <w:sz w:val="24"/>
          </w:rPr>
          <w:id w:val="5"/>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服务全部由符合政策要求的中小企业承接，提供中小企业声明函；</w:t>
      </w:r>
    </w:p>
    <w:p>
      <w:pPr>
        <w:spacing w:line="360" w:lineRule="auto"/>
        <w:ind w:firstLine="897" w:firstLineChars="374"/>
        <w:rPr>
          <w:rFonts w:hint="eastAsia" w:ascii="仿宋" w:hAnsi="仿宋" w:eastAsia="仿宋" w:cs="仿宋"/>
          <w:color w:val="auto"/>
          <w:sz w:val="24"/>
        </w:rPr>
      </w:pPr>
      <w:sdt>
        <w:sdtPr>
          <w:rPr>
            <w:rFonts w:hint="eastAsia" w:ascii="仿宋" w:hAnsi="仿宋" w:eastAsia="仿宋" w:cs="仿宋"/>
            <w:color w:val="auto"/>
            <w:kern w:val="0"/>
            <w:sz w:val="24"/>
          </w:rPr>
          <w:id w:val="6"/>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服务全部由符合政策要求的小微企业承接，提供中小企业声明函；</w:t>
      </w:r>
    </w:p>
    <w:p>
      <w:pPr>
        <w:rPr>
          <w:rFonts w:hint="eastAsia" w:ascii="仿宋" w:hAnsi="仿宋" w:eastAsia="仿宋" w:cs="仿宋"/>
          <w:color w:val="auto"/>
        </w:rPr>
      </w:pPr>
    </w:p>
    <w:p>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7"/>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要求以联合体形式参加，提供联合协议和中小企业声明函，联合协议中中小企业合同金额应当达到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要求合同分包，提供分包意向协议和中小企业声明函，分包意向协议中中小企业合同金额应当达到达到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rPr>
        <w:t>；</w:t>
      </w:r>
    </w:p>
    <w:p>
      <w:pPr>
        <w:snapToGrid w:val="0"/>
        <w:spacing w:line="360" w:lineRule="auto"/>
        <w:ind w:firstLine="480" w:firstLineChars="200"/>
        <w:rPr>
          <w:rFonts w:hint="eastAsia" w:ascii="仿宋" w:hAnsi="仿宋" w:eastAsia="仿宋" w:cs="仿宋"/>
          <w:color w:val="0000FF"/>
          <w:sz w:val="24"/>
          <w:highlight w:val="none"/>
          <w:u w:val="single"/>
          <w:lang w:val="en-US" w:eastAsia="zh-CN"/>
        </w:rPr>
      </w:pPr>
      <w:r>
        <w:rPr>
          <w:rFonts w:hint="eastAsia" w:ascii="仿宋" w:hAnsi="仿宋" w:eastAsia="仿宋" w:cs="仿宋"/>
          <w:sz w:val="24"/>
          <w:highlight w:val="none"/>
        </w:rPr>
        <w:t>4.本项目的特定资格要求：</w:t>
      </w:r>
      <w:r>
        <w:rPr>
          <w:rFonts w:hint="eastAsia" w:ascii="仿宋" w:hAnsi="仿宋" w:eastAsia="仿宋" w:cs="仿宋"/>
          <w:sz w:val="24"/>
          <w:highlight w:val="none"/>
          <w:lang w:val="en-US" w:eastAsia="zh-CN"/>
        </w:rPr>
        <w:t>无；</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sz w:val="24"/>
        </w:rPr>
      </w:pPr>
      <w:r>
        <w:rPr>
          <w:rFonts w:hint="eastAsia" w:ascii="仿宋" w:hAnsi="仿宋" w:eastAsia="仿宋" w:cs="仿宋"/>
          <w:b/>
          <w:sz w:val="24"/>
        </w:rPr>
        <w:t xml:space="preserve">三、获取招标文件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sz w:val="24"/>
        </w:rPr>
        <w:t>时间：</w:t>
      </w:r>
      <w:r>
        <w:rPr>
          <w:rFonts w:hint="eastAsia" w:ascii="仿宋" w:hAnsi="仿宋" w:eastAsia="仿宋" w:cs="仿宋"/>
          <w:sz w:val="24"/>
        </w:rPr>
        <w:t>/</w:t>
      </w:r>
      <w:r>
        <w:rPr>
          <w:rFonts w:hint="eastAsia" w:ascii="仿宋" w:hAnsi="仿宋" w:eastAsia="仿宋" w:cs="仿宋"/>
          <w:color w:val="auto"/>
          <w:sz w:val="24"/>
        </w:rPr>
        <w:t>至</w:t>
      </w:r>
      <w:r>
        <w:rPr>
          <w:rFonts w:hint="eastAsia" w:ascii="仿宋" w:hAnsi="仿宋" w:eastAsia="仿宋" w:cs="仿宋"/>
          <w:color w:val="auto"/>
          <w:sz w:val="24"/>
          <w:u w:val="single"/>
          <w:lang w:val="en-US" w:eastAsia="zh-CN"/>
        </w:rPr>
        <w:t>2024</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10</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18</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lang w:val="en-US" w:eastAsia="zh-CN"/>
        </w:rPr>
        <w:t>2024</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10</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18</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10</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分00秒</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lang w:val="en-US" w:eastAsia="zh-CN"/>
        </w:rPr>
        <w:t>2024</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10</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18</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10</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分00秒</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spacing w:line="360" w:lineRule="auto"/>
        <w:rPr>
          <w:rFonts w:hint="eastAsia"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pPr>
        <w:spacing w:line="360" w:lineRule="auto"/>
        <w:rPr>
          <w:rFonts w:hint="eastAsia"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sz w:val="24"/>
          <w:lang w:eastAsia="zh-CN"/>
        </w:rPr>
        <w:t>采购代理机构</w:t>
      </w:r>
      <w:r>
        <w:rPr>
          <w:rFonts w:hint="eastAsia" w:ascii="仿宋" w:hAnsi="仿宋" w:eastAsia="仿宋" w:cs="仿宋"/>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
          <w:sz w:val="24"/>
          <w:highlight w:val="none"/>
          <w:lang w:val="en-US" w:eastAsia="zh-CN"/>
        </w:rPr>
        <w:t>项目是否接收备份文件，以前附表说明为准。</w:t>
      </w:r>
      <w:r>
        <w:rPr>
          <w:rFonts w:hint="eastAsia" w:ascii="仿宋" w:hAnsi="仿宋" w:eastAsia="仿宋" w:cs="仿宋"/>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szCs w:val="28"/>
          <w:highlight w:val="none"/>
          <w:lang w:val="en-US" w:eastAsia="zh-CN"/>
        </w:rPr>
        <w:t>杭州市萧山区人民政府南阳街道办事处</w:t>
      </w:r>
    </w:p>
    <w:p>
      <w:pPr>
        <w:spacing w:line="360" w:lineRule="auto"/>
        <w:ind w:left="237" w:leftChars="113" w:firstLine="180" w:firstLineChars="75"/>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地址：</w:t>
      </w:r>
      <w:r>
        <w:rPr>
          <w:rFonts w:hint="eastAsia" w:ascii="仿宋" w:hAnsi="仿宋" w:eastAsia="仿宋" w:cs="仿宋"/>
          <w:color w:val="auto"/>
          <w:sz w:val="24"/>
          <w:szCs w:val="28"/>
          <w:highlight w:val="none"/>
          <w:lang w:val="en-US" w:eastAsia="zh-CN"/>
        </w:rPr>
        <w:t>杭州市萧山区南阳街道南虹路528号</w:t>
      </w:r>
    </w:p>
    <w:p>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p>
      <w:pPr>
        <w:spacing w:line="360" w:lineRule="auto"/>
        <w:ind w:left="237" w:leftChars="113" w:firstLine="180" w:firstLineChars="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谢小娟</w:t>
      </w:r>
    </w:p>
    <w:p>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项目联系方式（询问）：0571-82159067</w:t>
      </w:r>
    </w:p>
    <w:p>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质疑联系人：孙毅玮</w:t>
      </w:r>
    </w:p>
    <w:p>
      <w:pPr>
        <w:spacing w:line="360" w:lineRule="auto"/>
        <w:ind w:left="237" w:leftChars="113" w:firstLine="180" w:firstLineChars="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质疑联系方式：0571-82159023</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2.采购代理机构信息</w:t>
      </w:r>
    </w:p>
    <w:p>
      <w:pPr>
        <w:spacing w:line="360" w:lineRule="auto"/>
        <w:ind w:left="0" w:leftChars="0" w:firstLine="420" w:firstLineChars="175"/>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名称：</w:t>
      </w:r>
      <w:r>
        <w:rPr>
          <w:rFonts w:hint="eastAsia" w:ascii="仿宋" w:hAnsi="仿宋" w:eastAsia="仿宋" w:cs="仿宋"/>
          <w:color w:val="000000" w:themeColor="text1"/>
          <w:sz w:val="24"/>
          <w:highlight w:val="none"/>
          <w:lang w:eastAsia="zh-CN"/>
          <w14:textFill>
            <w14:solidFill>
              <w14:schemeClr w14:val="tx1"/>
            </w14:solidFill>
          </w14:textFill>
        </w:rPr>
        <w:t>浙江省房地产管理咨询有限公司</w:t>
      </w:r>
    </w:p>
    <w:p>
      <w:pPr>
        <w:spacing w:line="360" w:lineRule="auto"/>
        <w:ind w:left="0" w:leftChars="0" w:firstLine="420" w:firstLineChars="1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sz w:val="24"/>
          <w:szCs w:val="28"/>
        </w:rPr>
        <w:t>萧山区蜀山街道柳桥南和城4幢1单元1003室</w:t>
      </w:r>
    </w:p>
    <w:p>
      <w:pPr>
        <w:spacing w:line="360" w:lineRule="auto"/>
        <w:ind w:left="0" w:leftChars="0" w:firstLine="420" w:firstLineChars="175"/>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传真：</w:t>
      </w:r>
      <w:r>
        <w:rPr>
          <w:rFonts w:hint="eastAsia" w:ascii="仿宋" w:hAnsi="仿宋" w:eastAsia="仿宋" w:cs="仿宋"/>
          <w:color w:val="000000" w:themeColor="text1"/>
          <w:sz w:val="24"/>
          <w:highlight w:val="none"/>
          <w:lang w:val="en-US" w:eastAsia="zh-CN"/>
          <w14:textFill>
            <w14:solidFill>
              <w14:schemeClr w14:val="tx1"/>
            </w14:solidFill>
          </w14:textFill>
        </w:rPr>
        <w:t>/</w:t>
      </w:r>
    </w:p>
    <w:p>
      <w:pPr>
        <w:spacing w:line="360" w:lineRule="auto"/>
        <w:ind w:left="0" w:leftChars="0" w:firstLine="420" w:firstLineChars="175"/>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w:t>
      </w:r>
      <w:r>
        <w:rPr>
          <w:rFonts w:hint="eastAsia" w:ascii="仿宋" w:hAnsi="仿宋" w:eastAsia="仿宋" w:cs="仿宋"/>
          <w:sz w:val="24"/>
          <w:szCs w:val="28"/>
          <w:lang w:val="en-US" w:eastAsia="zh-CN"/>
        </w:rPr>
        <w:t>沈煜飞</w:t>
      </w:r>
    </w:p>
    <w:p>
      <w:pPr>
        <w:spacing w:line="360" w:lineRule="auto"/>
        <w:ind w:left="0" w:leftChars="0" w:firstLine="420" w:firstLineChars="175"/>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项目联系方式（询问）：</w:t>
      </w:r>
      <w:r>
        <w:rPr>
          <w:rFonts w:hint="eastAsia" w:ascii="仿宋" w:hAnsi="仿宋" w:eastAsia="仿宋" w:cs="仿宋"/>
          <w:sz w:val="24"/>
          <w:szCs w:val="28"/>
          <w:lang w:val="en-US" w:eastAsia="zh-CN"/>
        </w:rPr>
        <w:t>17348894601</w:t>
      </w:r>
    </w:p>
    <w:p>
      <w:pPr>
        <w:spacing w:line="360" w:lineRule="auto"/>
        <w:ind w:left="0" w:leftChars="0" w:firstLine="420" w:firstLineChars="175"/>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质疑联系人：</w:t>
      </w:r>
      <w:r>
        <w:rPr>
          <w:rFonts w:hint="eastAsia" w:ascii="仿宋" w:hAnsi="仿宋" w:eastAsia="仿宋" w:cs="仿宋"/>
          <w:sz w:val="24"/>
          <w:szCs w:val="28"/>
          <w:lang w:val="en-US" w:eastAsia="zh-CN"/>
        </w:rPr>
        <w:t>田岳</w:t>
      </w:r>
    </w:p>
    <w:p>
      <w:pPr>
        <w:spacing w:line="360" w:lineRule="auto"/>
        <w:ind w:left="0" w:leftChars="0" w:firstLine="420" w:firstLineChars="1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质疑联系方式：</w:t>
      </w:r>
      <w:r>
        <w:rPr>
          <w:rFonts w:hint="eastAsia" w:ascii="仿宋" w:hAnsi="仿宋" w:eastAsia="仿宋" w:cs="仿宋"/>
          <w:kern w:val="0"/>
          <w:sz w:val="24"/>
        </w:rPr>
        <w:t>0571-83731873</w:t>
      </w:r>
    </w:p>
    <w:p>
      <w:pPr>
        <w:spacing w:line="360" w:lineRule="auto"/>
        <w:rPr>
          <w:rFonts w:hint="eastAsia" w:ascii="仿宋" w:hAnsi="仿宋" w:eastAsia="仿宋" w:cs="仿宋"/>
          <w:sz w:val="24"/>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sz w:val="24"/>
        </w:rPr>
        <w:t xml:space="preserve">3.同级政府采购监督管理部门            </w:t>
      </w:r>
    </w:p>
    <w:p>
      <w:pPr>
        <w:spacing w:line="360" w:lineRule="auto"/>
        <w:rPr>
          <w:rFonts w:hint="eastAsia" w:ascii="仿宋" w:hAnsi="仿宋" w:eastAsia="仿宋" w:cs="仿宋"/>
          <w:sz w:val="24"/>
        </w:rPr>
      </w:pPr>
      <w:r>
        <w:rPr>
          <w:rFonts w:hint="eastAsia" w:ascii="仿宋" w:hAnsi="仿宋" w:eastAsia="仿宋" w:cs="仿宋"/>
          <w:sz w:val="24"/>
        </w:rPr>
        <w:t xml:space="preserve">   名称：萧山区财政局</w:t>
      </w:r>
      <w:r>
        <w:rPr>
          <w:rFonts w:hint="eastAsia" w:ascii="仿宋" w:hAnsi="仿宋" w:eastAsia="仿宋" w:cs="仿宋"/>
          <w:sz w:val="24"/>
          <w:lang w:eastAsia="zh-CN"/>
        </w:rPr>
        <w:t>、</w:t>
      </w:r>
      <w:r>
        <w:rPr>
          <w:rFonts w:hint="eastAsia" w:ascii="仿宋" w:hAnsi="仿宋" w:eastAsia="仿宋" w:cs="仿宋"/>
          <w:sz w:val="24"/>
          <w:lang w:val="en-US" w:eastAsia="zh-CN"/>
        </w:rPr>
        <w:t>浙江省政府采购行政裁决服务中心（杭州）</w:t>
      </w:r>
    </w:p>
    <w:p>
      <w:pPr>
        <w:spacing w:line="360" w:lineRule="auto"/>
        <w:ind w:left="237" w:leftChars="113" w:firstLine="180" w:firstLineChars="75"/>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lang w:val="en-US" w:eastAsia="zh-CN"/>
        </w:rPr>
        <w:t>杭州市上城区四季青街道新业路市民之家G03办公室（快递仅限ems或顺丰）</w:t>
      </w:r>
    </w:p>
    <w:p>
      <w:pPr>
        <w:spacing w:line="360" w:lineRule="auto"/>
        <w:ind w:left="237" w:leftChars="113" w:firstLine="180" w:firstLineChars="75"/>
        <w:rPr>
          <w:rFonts w:hint="eastAsia" w:ascii="仿宋" w:hAnsi="仿宋" w:eastAsia="仿宋" w:cs="仿宋"/>
          <w:sz w:val="24"/>
          <w:lang w:eastAsia="zh-CN"/>
        </w:rPr>
      </w:pPr>
      <w:r>
        <w:rPr>
          <w:rFonts w:hint="eastAsia" w:ascii="仿宋" w:hAnsi="仿宋" w:eastAsia="仿宋" w:cs="仿宋"/>
          <w:sz w:val="24"/>
        </w:rPr>
        <w:t>传真：</w:t>
      </w:r>
      <w:r>
        <w:rPr>
          <w:rFonts w:hint="eastAsia" w:ascii="仿宋" w:hAnsi="仿宋" w:eastAsia="仿宋" w:cs="仿宋"/>
          <w:sz w:val="24"/>
          <w:lang w:val="en-US" w:eastAsia="zh-CN"/>
        </w:rPr>
        <w:t>/</w:t>
      </w:r>
    </w:p>
    <w:p>
      <w:pPr>
        <w:spacing w:line="360" w:lineRule="auto"/>
        <w:ind w:left="237" w:leftChars="113" w:firstLine="180" w:firstLineChars="75"/>
        <w:rPr>
          <w:rFonts w:hint="eastAsia" w:ascii="仿宋" w:hAnsi="仿宋" w:eastAsia="仿宋" w:cs="仿宋"/>
          <w:sz w:val="24"/>
        </w:rPr>
      </w:pPr>
      <w:r>
        <w:rPr>
          <w:rFonts w:hint="eastAsia" w:ascii="仿宋" w:hAnsi="仿宋" w:eastAsia="仿宋" w:cs="仿宋"/>
          <w:sz w:val="24"/>
        </w:rPr>
        <w:t>联系人 ：</w:t>
      </w:r>
      <w:r>
        <w:rPr>
          <w:rFonts w:hint="eastAsia" w:ascii="仿宋" w:hAnsi="仿宋" w:eastAsia="仿宋" w:cs="仿宋"/>
          <w:sz w:val="24"/>
          <w:lang w:val="en-US" w:eastAsia="zh-CN"/>
        </w:rPr>
        <w:t>朱女士/王女士</w:t>
      </w:r>
    </w:p>
    <w:p>
      <w:pPr>
        <w:spacing w:line="360" w:lineRule="auto"/>
        <w:ind w:left="237" w:leftChars="113" w:firstLine="180" w:firstLineChars="75"/>
        <w:rPr>
          <w:rFonts w:hint="eastAsia" w:ascii="仿宋" w:hAnsi="仿宋" w:eastAsia="仿宋" w:cs="仿宋"/>
          <w:sz w:val="24"/>
          <w:lang w:val="en-US" w:eastAsia="zh-CN"/>
        </w:rPr>
      </w:pPr>
      <w:r>
        <w:rPr>
          <w:rFonts w:hint="eastAsia" w:ascii="仿宋" w:hAnsi="仿宋" w:eastAsia="仿宋" w:cs="仿宋"/>
          <w:sz w:val="24"/>
        </w:rPr>
        <w:t>监督投诉电话：</w:t>
      </w:r>
      <w:r>
        <w:rPr>
          <w:rFonts w:hint="eastAsia" w:ascii="仿宋" w:hAnsi="仿宋" w:eastAsia="仿宋" w:cs="仿宋"/>
          <w:sz w:val="24"/>
          <w:lang w:val="en-US" w:eastAsia="zh-CN"/>
        </w:rPr>
        <w:t>0571-85252453</w:t>
      </w:r>
    </w:p>
    <w:p>
      <w:pPr>
        <w:spacing w:line="360" w:lineRule="auto"/>
        <w:ind w:left="237" w:leftChars="113" w:firstLine="180" w:firstLineChars="75"/>
        <w:rPr>
          <w:rFonts w:hint="eastAsia" w:ascii="仿宋" w:hAnsi="仿宋" w:eastAsia="仿宋" w:cs="仿宋"/>
          <w:sz w:val="24"/>
          <w:lang w:val="en-US" w:eastAsia="zh-CN"/>
        </w:rPr>
      </w:pPr>
      <w:r>
        <w:rPr>
          <w:rFonts w:hint="eastAsia" w:ascii="仿宋" w:hAnsi="仿宋" w:eastAsia="仿宋" w:cs="仿宋"/>
          <w:sz w:val="24"/>
          <w:lang w:eastAsia="zh-CN"/>
        </w:rPr>
        <w:t>政策咨询电话：</w:t>
      </w:r>
      <w:r>
        <w:rPr>
          <w:rFonts w:hint="eastAsia" w:ascii="仿宋" w:hAnsi="仿宋" w:eastAsia="仿宋" w:cs="仿宋"/>
          <w:sz w:val="24"/>
        </w:rPr>
        <w:t>0571-82756122</w:t>
      </w:r>
      <w:r>
        <w:rPr>
          <w:rFonts w:hint="eastAsia" w:ascii="仿宋" w:hAnsi="仿宋" w:eastAsia="仿宋" w:cs="仿宋"/>
          <w:sz w:val="24"/>
          <w:lang w:eastAsia="zh-CN"/>
        </w:rPr>
        <w:t>（汤先生）</w:t>
      </w:r>
    </w:p>
    <w:p>
      <w:pPr>
        <w:spacing w:line="360" w:lineRule="auto"/>
        <w:ind w:firstLine="480"/>
        <w:jc w:val="left"/>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CA问题联系电话（人工）：汇信CA 400-888-4636；天谷CA 400-087-8198。</w:t>
      </w:r>
    </w:p>
    <w:p>
      <w:pPr>
        <w:spacing w:line="360" w:lineRule="auto"/>
        <w:ind w:firstLine="480" w:firstLineChars="200"/>
        <w:jc w:val="left"/>
        <w:rPr>
          <w:rFonts w:hint="eastAsia" w:ascii="仿宋" w:hAnsi="仿宋" w:eastAsia="仿宋" w:cs="仿宋"/>
          <w:sz w:val="24"/>
        </w:rPr>
      </w:pPr>
    </w:p>
    <w:p>
      <w:pPr>
        <w:widowControl/>
        <w:adjustRightInd/>
        <w:jc w:val="left"/>
        <w:rPr>
          <w:rFonts w:hint="eastAsia" w:ascii="仿宋" w:hAnsi="仿宋" w:eastAsia="仿宋" w:cs="仿宋"/>
          <w:b/>
          <w:sz w:val="36"/>
          <w:szCs w:val="20"/>
        </w:rPr>
      </w:pPr>
      <w:r>
        <w:rPr>
          <w:rFonts w:hint="eastAsia" w:ascii="仿宋" w:hAnsi="仿宋" w:eastAsia="仿宋" w:cs="仿宋"/>
          <w:b/>
          <w:sz w:val="36"/>
          <w:szCs w:val="20"/>
        </w:rPr>
        <w:br w:type="page"/>
      </w:r>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本项目的特别规定</w:t>
            </w:r>
          </w:p>
        </w:tc>
      </w:tr>
      <w:tr>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服务类。</w:t>
            </w:r>
          </w:p>
        </w:tc>
      </w:tr>
      <w:tr>
        <w:trPr>
          <w:trHeight w:val="19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（1）标的：</w:t>
            </w:r>
            <w:r>
              <w:rPr>
                <w:rFonts w:hint="eastAsia" w:ascii="仿宋" w:hAnsi="仿宋" w:eastAsia="仿宋" w:cs="仿宋"/>
                <w:sz w:val="24"/>
                <w:highlight w:val="none"/>
                <w:u w:val="single"/>
                <w:lang w:eastAsia="zh-CN"/>
              </w:rPr>
              <w:t>2024年萧山钱塘江·竞潮半程马拉松赛采购项目</w:t>
            </w:r>
            <w:r>
              <w:rPr>
                <w:rFonts w:hint="eastAsia" w:ascii="仿宋" w:hAnsi="仿宋" w:eastAsia="仿宋" w:cs="仿宋"/>
                <w:sz w:val="24"/>
                <w:highlight w:val="none"/>
              </w:rPr>
              <w:t>，属于</w:t>
            </w:r>
            <w:r>
              <w:rPr>
                <w:rFonts w:hint="eastAsia" w:ascii="仿宋" w:hAnsi="仿宋" w:eastAsia="仿宋" w:cs="仿宋"/>
                <w:sz w:val="24"/>
                <w:highlight w:val="none"/>
                <w:u w:val="single"/>
                <w:lang w:val="en-US" w:eastAsia="zh-CN"/>
              </w:rPr>
              <w:t>其他未列明</w:t>
            </w:r>
            <w:r>
              <w:rPr>
                <w:rFonts w:hint="eastAsia" w:ascii="仿宋" w:hAnsi="仿宋" w:eastAsia="仿宋" w:cs="仿宋"/>
                <w:sz w:val="24"/>
                <w:highlight w:val="none"/>
              </w:rPr>
              <w:t>行业；</w:t>
            </w:r>
          </w:p>
          <w:p>
            <w:pPr>
              <w:pStyle w:val="2"/>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w:t>
            </w:r>
          </w:p>
          <w:p>
            <w:pPr>
              <w:rPr>
                <w:rFonts w:hint="eastAsia" w:ascii="仿宋" w:hAnsi="仿宋" w:eastAsia="仿宋" w:cs="仿宋"/>
                <w:sz w:val="24"/>
                <w:szCs w:val="24"/>
                <w:highlight w:val="none"/>
                <w:lang w:val="en-US"/>
              </w:rPr>
            </w:pPr>
            <w:r>
              <w:rPr>
                <w:rFonts w:hint="eastAsia" w:ascii="仿宋" w:hAnsi="仿宋" w:eastAsia="仿宋" w:cs="仿宋"/>
                <w:sz w:val="24"/>
                <w:highlight w:val="none"/>
              </w:rPr>
              <w:t>《关于印发中小企业划型标准规定的通知》工信部联企业〔2011〕300号</w:t>
            </w:r>
          </w:p>
        </w:tc>
      </w:tr>
      <w:tr>
        <w:trPr>
          <w:trHeight w:val="17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kern w:val="0"/>
                <w:sz w:val="24"/>
                <w:szCs w:val="24"/>
                <w:highlight w:val="none"/>
              </w:rPr>
            </w:pPr>
            <w:sdt>
              <w:sdtPr>
                <w:rPr>
                  <w:rFonts w:hint="eastAsia" w:ascii="仿宋" w:hAnsi="仿宋" w:eastAsia="仿宋" w:cs="仿宋"/>
                  <w:kern w:val="0"/>
                  <w:sz w:val="24"/>
                  <w:szCs w:val="24"/>
                  <w:highlight w:val="none"/>
                </w:rPr>
                <w:id w:val="11"/>
                <w14:checkbox>
                  <w14:checked w14:val="1"/>
                  <w14:checkedState w14:val="00FE" w14:font="Wingdings"/>
                  <w14:uncheckedState w14:val="2610" w14:font="MS Gothic"/>
                </w14:checkbox>
              </w:sdtPr>
              <w:sdtEndPr>
                <w:rPr>
                  <w:rFonts w:hint="eastAsia" w:ascii="仿宋" w:hAnsi="仿宋" w:eastAsia="仿宋" w:cs="仿宋"/>
                  <w:kern w:val="0"/>
                  <w:sz w:val="24"/>
                  <w:szCs w:val="24"/>
                  <w:highlight w:val="none"/>
                </w:rPr>
              </w:sdtEndPr>
              <w:sdtContent>
                <w:r>
                  <w:rPr>
                    <w:rFonts w:hint="eastAsia" w:ascii="仿宋" w:hAnsi="仿宋" w:eastAsia="仿宋" w:cs="仿宋"/>
                    <w:kern w:val="0"/>
                    <w:sz w:val="24"/>
                    <w:szCs w:val="24"/>
                    <w:highlight w:val="none"/>
                  </w:rPr>
                  <w:sym w:font="Wingdings" w:char="F0FE"/>
                </w:r>
              </w:sdtContent>
            </w:sdt>
            <w:r>
              <w:rPr>
                <w:rFonts w:hint="eastAsia" w:ascii="仿宋" w:hAnsi="仿宋" w:eastAsia="仿宋" w:cs="仿宋"/>
                <w:kern w:val="0"/>
                <w:sz w:val="24"/>
                <w:szCs w:val="24"/>
                <w:highlight w:val="none"/>
              </w:rPr>
              <w:t>本项目不允许采购进口产品。</w:t>
            </w:r>
          </w:p>
          <w:p>
            <w:pPr>
              <w:spacing w:line="360" w:lineRule="auto"/>
              <w:rPr>
                <w:rFonts w:hint="eastAsia" w:ascii="仿宋" w:hAnsi="仿宋" w:eastAsia="仿宋" w:cs="仿宋"/>
                <w:sz w:val="24"/>
                <w:szCs w:val="24"/>
                <w:highlight w:val="none"/>
              </w:rPr>
            </w:pPr>
            <w:sdt>
              <w:sdtPr>
                <w:rPr>
                  <w:rFonts w:hint="eastAsia" w:ascii="仿宋" w:hAnsi="仿宋" w:eastAsia="仿宋" w:cs="仿宋"/>
                  <w:kern w:val="0"/>
                  <w:sz w:val="24"/>
                  <w:szCs w:val="24"/>
                  <w:highlight w:val="none"/>
                </w:rPr>
                <w:id w:val="12"/>
                <w14:checkbox>
                  <w14:checked w14:val="0"/>
                  <w14:checkedState w14:val="00FE" w14:font="Wingdings"/>
                  <w14:uncheckedState w14:val="2610" w14:font="MS Gothic"/>
                </w14:checkbox>
              </w:sdtPr>
              <w:sdtEndPr>
                <w:rPr>
                  <w:rFonts w:hint="eastAsia" w:ascii="仿宋" w:hAnsi="仿宋" w:eastAsia="仿宋" w:cs="仿宋"/>
                  <w:kern w:val="0"/>
                  <w:sz w:val="24"/>
                  <w:szCs w:val="24"/>
                  <w:highlight w:val="none"/>
                </w:rPr>
              </w:sdtEndPr>
              <w:sdtContent>
                <w:r>
                  <w:rPr>
                    <w:rFonts w:hint="eastAsia" w:ascii="仿宋" w:hAnsi="仿宋" w:eastAsia="仿宋" w:cs="仿宋"/>
                    <w:kern w:val="0"/>
                    <w:sz w:val="24"/>
                    <w:szCs w:val="24"/>
                    <w:highlight w:val="none"/>
                  </w:rPr>
                  <w:t>☐</w:t>
                </w:r>
              </w:sdtContent>
            </w:sdt>
            <w:r>
              <w:rPr>
                <w:rFonts w:hint="eastAsia" w:ascii="仿宋" w:hAnsi="仿宋" w:eastAsia="仿宋" w:cs="仿宋"/>
                <w:kern w:val="0"/>
                <w:sz w:val="24"/>
                <w:szCs w:val="24"/>
                <w:highlight w:val="none"/>
              </w:rPr>
              <w:t>可以就</w:t>
            </w:r>
            <w:r>
              <w:rPr>
                <w:rFonts w:hint="eastAsia" w:ascii="仿宋" w:hAnsi="仿宋" w:eastAsia="仿宋" w:cs="仿宋"/>
                <w:sz w:val="24"/>
                <w:szCs w:val="24"/>
                <w:highlight w:val="none"/>
                <w:u w:val="single"/>
              </w:rPr>
              <w:t xml:space="preserve">    </w:t>
            </w:r>
            <w:r>
              <w:rPr>
                <w:rFonts w:hint="eastAsia" w:ascii="仿宋" w:hAnsi="仿宋" w:eastAsia="仿宋" w:cs="仿宋"/>
                <w:kern w:val="0"/>
                <w:sz w:val="24"/>
                <w:szCs w:val="24"/>
                <w:highlight w:val="none"/>
              </w:rPr>
              <w:t>采购进口产品。</w:t>
            </w:r>
            <w:r>
              <w:rPr>
                <w:rFonts w:hint="eastAsia" w:ascii="仿宋" w:hAnsi="仿宋" w:eastAsia="仿宋" w:cs="仿宋"/>
                <w:kern w:val="0"/>
                <w:sz w:val="24"/>
                <w:szCs w:val="24"/>
                <w:highlight w:val="none"/>
              </w:rPr>
              <w:br w:type="textWrapping"/>
            </w:r>
            <w:r>
              <w:rPr>
                <w:rFonts w:hint="eastAsia" w:ascii="仿宋" w:hAnsi="仿宋" w:eastAsia="仿宋" w:cs="仿宋"/>
                <w:color w:val="auto"/>
                <w:kern w:val="0"/>
                <w:sz w:val="24"/>
                <w:szCs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szCs w:val="24"/>
                <w:highlight w:val="none"/>
                <w:u w:val="single"/>
              </w:rPr>
              <w:t>评分标准</w:t>
            </w:r>
            <w:r>
              <w:rPr>
                <w:rFonts w:hint="eastAsia" w:ascii="仿宋" w:hAnsi="仿宋" w:eastAsia="仿宋" w:cs="仿宋"/>
                <w:color w:val="auto"/>
                <w:kern w:val="0"/>
                <w:sz w:val="24"/>
                <w:szCs w:val="24"/>
                <w:highlight w:val="none"/>
              </w:rPr>
              <w:t>。</w:t>
            </w:r>
          </w:p>
        </w:tc>
      </w:tr>
      <w:tr>
        <w:trPr>
          <w:trHeight w:val="13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jc w:val="center"/>
              <w:rPr>
                <w:rFonts w:hint="eastAsia" w:ascii="仿宋" w:hAnsi="仿宋" w:eastAsia="仿宋" w:cs="仿宋"/>
                <w:b/>
                <w:sz w:val="24"/>
                <w:szCs w:val="24"/>
              </w:rPr>
            </w:pPr>
            <w:r>
              <w:rPr>
                <w:rFonts w:hint="eastAsia" w:ascii="仿宋" w:hAnsi="仿宋" w:eastAsia="仿宋" w:cs="仿宋"/>
                <w:b/>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rPr>
            </w:pPr>
            <w:sdt>
              <w:sdtPr>
                <w:rPr>
                  <w:rFonts w:hint="eastAsia" w:ascii="仿宋" w:hAnsi="仿宋" w:eastAsia="仿宋" w:cs="仿宋"/>
                  <w:kern w:val="0"/>
                  <w:sz w:val="24"/>
                  <w:szCs w:val="24"/>
                </w:rPr>
                <w:id w:val="13"/>
                <w14:checkbox>
                  <w14:checked w14:val="1"/>
                  <w14:checkedState w14:val="00FE" w14:font="Wingdings"/>
                  <w14:uncheckedState w14:val="2610" w14:font="MS Gothic"/>
                </w14:checkbox>
              </w:sdtPr>
              <w:sdtEndPr>
                <w:rPr>
                  <w:rFonts w:hint="eastAsia" w:ascii="仿宋" w:hAnsi="仿宋" w:eastAsia="仿宋" w:cs="仿宋"/>
                  <w:kern w:val="0"/>
                  <w:sz w:val="24"/>
                  <w:szCs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szCs w:val="24"/>
              </w:rPr>
              <w:t xml:space="preserve"> A</w:t>
            </w:r>
            <w:r>
              <w:rPr>
                <w:rFonts w:hint="eastAsia" w:ascii="仿宋" w:hAnsi="仿宋" w:eastAsia="仿宋" w:cs="仿宋"/>
                <w:sz w:val="24"/>
                <w:szCs w:val="24"/>
              </w:rPr>
              <w:t>同意将非</w:t>
            </w:r>
            <w:r>
              <w:rPr>
                <w:rFonts w:hint="eastAsia" w:ascii="仿宋" w:hAnsi="仿宋" w:eastAsia="仿宋" w:cs="仿宋"/>
                <w:color w:val="auto"/>
                <w:sz w:val="24"/>
                <w:szCs w:val="24"/>
              </w:rPr>
              <w:t>主体、非关键性的工作分包。</w:t>
            </w:r>
          </w:p>
          <w:p>
            <w:pPr>
              <w:spacing w:line="360" w:lineRule="auto"/>
              <w:rPr>
                <w:rFonts w:hint="eastAsia" w:ascii="仿宋" w:hAnsi="仿宋" w:eastAsia="仿宋" w:cs="仿宋"/>
                <w:sz w:val="24"/>
                <w:szCs w:val="24"/>
              </w:rPr>
            </w:pPr>
            <w:sdt>
              <w:sdtPr>
                <w:rPr>
                  <w:rFonts w:hint="eastAsia" w:ascii="仿宋" w:hAnsi="仿宋" w:eastAsia="仿宋" w:cs="仿宋"/>
                  <w:kern w:val="0"/>
                  <w:sz w:val="24"/>
                  <w:szCs w:val="24"/>
                </w:rPr>
                <w:id w:val="14"/>
                <w14:checkbox>
                  <w14:checked w14:val="0"/>
                  <w14:checkedState w14:val="00FE" w14:font="Wingdings"/>
                  <w14:uncheckedState w14:val="2610" w14:font="MS Gothic"/>
                </w14:checkbox>
              </w:sdtPr>
              <w:sdtEndPr>
                <w:rPr>
                  <w:rFonts w:hint="eastAsia" w:ascii="仿宋" w:hAnsi="仿宋" w:eastAsia="仿宋" w:cs="仿宋"/>
                  <w:kern w:val="0"/>
                  <w:sz w:val="24"/>
                  <w:szCs w:val="24"/>
                </w:rPr>
              </w:sdtEndPr>
              <w:sdtContent>
                <w:r>
                  <w:rPr>
                    <w:rFonts w:hint="eastAsia" w:ascii="仿宋" w:hAnsi="仿宋" w:eastAsia="仿宋" w:cs="仿宋"/>
                    <w:kern w:val="0"/>
                    <w:sz w:val="24"/>
                    <w:szCs w:val="24"/>
                  </w:rPr>
                  <w:t>☐</w:t>
                </w:r>
              </w:sdtContent>
            </w:sdt>
            <w:r>
              <w:rPr>
                <w:rFonts w:hint="eastAsia" w:ascii="仿宋" w:hAnsi="仿宋" w:eastAsia="仿宋" w:cs="仿宋"/>
                <w:kern w:val="0"/>
                <w:sz w:val="24"/>
                <w:szCs w:val="24"/>
              </w:rPr>
              <w:t xml:space="preserve"> B</w:t>
            </w:r>
            <w:r>
              <w:rPr>
                <w:rFonts w:hint="eastAsia" w:ascii="仿宋" w:hAnsi="仿宋" w:eastAsia="仿宋" w:cs="仿宋"/>
                <w:sz w:val="24"/>
                <w:szCs w:val="24"/>
              </w:rPr>
              <w:t>不同意分包。</w:t>
            </w:r>
          </w:p>
          <w:p>
            <w:pPr>
              <w:spacing w:line="360" w:lineRule="auto"/>
              <w:rPr>
                <w:rFonts w:hint="eastAsia" w:ascii="仿宋" w:hAnsi="仿宋" w:eastAsia="仿宋" w:cs="仿宋"/>
                <w:sz w:val="24"/>
                <w:szCs w:val="24"/>
              </w:rPr>
            </w:pPr>
            <w:r>
              <w:rPr>
                <w:rFonts w:hint="eastAsia" w:ascii="仿宋" w:hAnsi="仿宋" w:eastAsia="仿宋" w:cs="仿宋"/>
                <w:sz w:val="24"/>
                <w:szCs w:val="24"/>
              </w:rPr>
              <w:t>注：不得限制大中型企业向小微企业合理分包。</w:t>
            </w:r>
          </w:p>
        </w:tc>
      </w:tr>
      <w:tr>
        <w:trPr>
          <w:trHeight w:val="12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szCs w:val="24"/>
              </w:rPr>
            </w:pPr>
            <w:sdt>
              <w:sdtPr>
                <w:rPr>
                  <w:rFonts w:hint="eastAsia" w:ascii="仿宋" w:hAnsi="仿宋" w:eastAsia="仿宋" w:cs="仿宋"/>
                  <w:kern w:val="0"/>
                  <w:sz w:val="24"/>
                  <w:szCs w:val="24"/>
                </w:rPr>
                <w:id w:val="15"/>
                <w14:checkbox>
                  <w14:checked w14:val="1"/>
                  <w14:checkedState w14:val="00FE" w14:font="Wingdings"/>
                  <w14:uncheckedState w14:val="2610" w14:font="MS Gothic"/>
                </w14:checkbox>
              </w:sdtPr>
              <w:sdtEndPr>
                <w:rPr>
                  <w:rFonts w:hint="eastAsia" w:ascii="仿宋" w:hAnsi="仿宋" w:eastAsia="仿宋" w:cs="仿宋"/>
                  <w:kern w:val="0"/>
                  <w:sz w:val="24"/>
                  <w:szCs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szCs w:val="24"/>
              </w:rPr>
              <w:t>A</w:t>
            </w:r>
            <w:r>
              <w:rPr>
                <w:rFonts w:hint="eastAsia" w:ascii="仿宋" w:hAnsi="仿宋" w:eastAsia="仿宋" w:cs="仿宋"/>
                <w:sz w:val="24"/>
                <w:szCs w:val="24"/>
              </w:rPr>
              <w:t>不组织。</w:t>
            </w:r>
          </w:p>
        </w:tc>
      </w:tr>
      <w:tr>
        <w:trPr>
          <w:trHeight w:val="60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rPr>
                <w:rFonts w:hint="eastAsia" w:ascii="仿宋" w:hAnsi="仿宋" w:eastAsia="仿宋" w:cs="仿宋"/>
                <w:sz w:val="24"/>
                <w:szCs w:val="24"/>
              </w:rPr>
            </w:pPr>
            <w:sdt>
              <w:sdtPr>
                <w:rPr>
                  <w:rFonts w:hint="eastAsia" w:ascii="仿宋" w:hAnsi="仿宋" w:eastAsia="仿宋" w:cs="仿宋"/>
                  <w:kern w:val="0"/>
                  <w:sz w:val="24"/>
                  <w:szCs w:val="24"/>
                </w:rPr>
                <w:id w:val="17"/>
                <w14:checkbox>
                  <w14:checked w14:val="1"/>
                  <w14:checkedState w14:val="00FE" w14:font="Wingdings"/>
                  <w14:uncheckedState w14:val="2610" w14:font="MS Gothic"/>
                </w14:checkbox>
              </w:sdtPr>
              <w:sdtEndPr>
                <w:rPr>
                  <w:rFonts w:hint="eastAsia" w:ascii="仿宋" w:hAnsi="仿宋" w:eastAsia="仿宋" w:cs="仿宋"/>
                  <w:b w:val="0"/>
                  <w:bCs w:val="0"/>
                  <w:kern w:val="0"/>
                  <w:sz w:val="24"/>
                  <w:szCs w:val="24"/>
                </w:rPr>
              </w:sdtEndPr>
              <w:sdtContent>
                <w:r>
                  <w:rPr>
                    <w:rFonts w:hint="eastAsia" w:ascii="Wingdings" w:hAnsi="Wingdings" w:eastAsia="仿宋" w:cs="仿宋"/>
                    <w:b w:val="0"/>
                    <w:bCs w:val="0"/>
                    <w:kern w:val="0"/>
                    <w:sz w:val="24"/>
                    <w:szCs w:val="24"/>
                    <w:lang w:val="en-US" w:eastAsia="zh-CN" w:bidi="ar-SA"/>
                  </w:rPr>
                  <w:t>þ</w:t>
                </w:r>
              </w:sdtContent>
            </w:sdt>
            <w:r>
              <w:rPr>
                <w:rFonts w:hint="eastAsia" w:ascii="仿宋" w:hAnsi="仿宋" w:eastAsia="仿宋" w:cs="仿宋"/>
                <w:b w:val="0"/>
                <w:bCs w:val="0"/>
                <w:kern w:val="0"/>
                <w:sz w:val="24"/>
                <w:szCs w:val="24"/>
              </w:rPr>
              <w:t>A</w:t>
            </w:r>
            <w:r>
              <w:rPr>
                <w:rFonts w:hint="eastAsia" w:ascii="仿宋" w:hAnsi="仿宋" w:eastAsia="仿宋" w:cs="仿宋"/>
                <w:b w:val="0"/>
                <w:bCs w:val="0"/>
                <w:sz w:val="24"/>
                <w:szCs w:val="24"/>
              </w:rPr>
              <w:t>不要求提供。</w:t>
            </w:r>
          </w:p>
        </w:tc>
      </w:tr>
      <w:tr>
        <w:trPr>
          <w:trHeight w:val="5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sz w:val="24"/>
                <w:szCs w:val="24"/>
              </w:rPr>
            </w:pPr>
            <w:r>
              <w:rPr>
                <w:rFonts w:hint="eastAsia" w:ascii="仿宋" w:hAnsi="仿宋" w:eastAsia="仿宋" w:cs="仿宋"/>
                <w:b/>
                <w:sz w:val="24"/>
                <w:szCs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lang w:val="zh-CN"/>
              </w:rPr>
            </w:pPr>
            <w:sdt>
              <w:sdtPr>
                <w:rPr>
                  <w:rFonts w:hint="eastAsia" w:ascii="仿宋" w:hAnsi="仿宋" w:eastAsia="仿宋" w:cs="仿宋"/>
                  <w:color w:val="auto"/>
                  <w:kern w:val="0"/>
                  <w:sz w:val="24"/>
                  <w:szCs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tc>
      </w:tr>
      <w:tr>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（1）资格证明文件：见招标文件第二部分11.1。</w:t>
            </w:r>
          </w:p>
          <w:p>
            <w:pPr>
              <w:spacing w:line="360" w:lineRule="auto"/>
              <w:rPr>
                <w:rFonts w:hint="eastAsia" w:ascii="仿宋" w:hAnsi="仿宋" w:eastAsia="仿宋" w:cs="仿宋"/>
                <w:snapToGrid w:val="0"/>
                <w:kern w:val="0"/>
                <w:sz w:val="24"/>
                <w:szCs w:val="24"/>
              </w:rPr>
            </w:pPr>
            <w:r>
              <w:rPr>
                <w:rFonts w:hint="eastAsia" w:ascii="仿宋" w:hAnsi="仿宋" w:eastAsia="仿宋" w:cs="仿宋"/>
                <w:kern w:val="0"/>
                <w:sz w:val="24"/>
                <w:szCs w:val="24"/>
                <w:lang w:val="zh-CN"/>
              </w:rPr>
              <w:t>投标人未提供有效的资格证明文件的，视为投标人不具备招标文件中规定的资格要求，投标无效。</w:t>
            </w:r>
          </w:p>
        </w:tc>
      </w:tr>
      <w:tr>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（2）资信证明文件：根据招标文件第四部分评标标准提供。</w:t>
            </w:r>
          </w:p>
        </w:tc>
      </w:tr>
      <w:tr>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szCs w:val="24"/>
              </w:rPr>
            </w:pPr>
          </w:p>
          <w:p>
            <w:pPr>
              <w:snapToGrid w:val="0"/>
              <w:spacing w:line="360" w:lineRule="auto"/>
              <w:jc w:val="center"/>
              <w:rPr>
                <w:rFonts w:hint="eastAsia" w:ascii="仿宋" w:hAnsi="仿宋" w:eastAsia="仿宋" w:cs="仿宋"/>
                <w:sz w:val="24"/>
                <w:szCs w:val="24"/>
              </w:rPr>
            </w:pPr>
          </w:p>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sz w:val="24"/>
                <w:szCs w:val="24"/>
              </w:rPr>
            </w:pPr>
            <w:r>
              <w:rPr>
                <w:rFonts w:hint="eastAsia" w:ascii="仿宋" w:hAnsi="仿宋" w:eastAsia="仿宋" w:cs="仿宋"/>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szCs w:val="24"/>
              </w:rPr>
            </w:pPr>
          </w:p>
          <w:p>
            <w:pPr>
              <w:snapToGrid w:val="0"/>
              <w:spacing w:line="360" w:lineRule="auto"/>
              <w:jc w:val="center"/>
              <w:rPr>
                <w:rFonts w:hint="eastAsia" w:ascii="仿宋" w:hAnsi="仿宋" w:eastAsia="仿宋" w:cs="仿宋"/>
                <w:sz w:val="24"/>
                <w:szCs w:val="24"/>
              </w:rPr>
            </w:pPr>
          </w:p>
          <w:p>
            <w:pPr>
              <w:snapToGrid w:val="0"/>
              <w:spacing w:line="360" w:lineRule="auto"/>
              <w:jc w:val="center"/>
              <w:rPr>
                <w:rFonts w:hint="eastAsia" w:ascii="仿宋" w:hAnsi="仿宋" w:eastAsia="仿宋" w:cs="仿宋"/>
                <w:sz w:val="24"/>
                <w:szCs w:val="24"/>
              </w:rPr>
            </w:pPr>
          </w:p>
          <w:p>
            <w:pPr>
              <w:snapToGrid w:val="0"/>
              <w:spacing w:line="360" w:lineRule="auto"/>
              <w:jc w:val="center"/>
              <w:rPr>
                <w:rFonts w:hint="eastAsia" w:ascii="仿宋" w:hAnsi="仿宋" w:eastAsia="仿宋" w:cs="仿宋"/>
                <w:sz w:val="24"/>
                <w:szCs w:val="24"/>
              </w:rPr>
            </w:pPr>
          </w:p>
          <w:p>
            <w:pPr>
              <w:snapToGrid w:val="0"/>
              <w:spacing w:line="360" w:lineRule="auto"/>
              <w:jc w:val="center"/>
              <w:rPr>
                <w:rFonts w:hint="eastAsia" w:ascii="仿宋" w:hAnsi="仿宋" w:eastAsia="仿宋" w:cs="仿宋"/>
                <w:sz w:val="24"/>
                <w:szCs w:val="24"/>
              </w:rPr>
            </w:pPr>
          </w:p>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kern w:val="0"/>
                <w:sz w:val="24"/>
                <w:szCs w:val="24"/>
                <w:lang w:val="zh-CN"/>
              </w:rPr>
            </w:pPr>
            <w:r>
              <w:rPr>
                <w:rFonts w:hint="eastAsia" w:ascii="仿宋" w:hAnsi="仿宋" w:eastAsia="仿宋" w:cs="仿宋"/>
                <w:kern w:val="0"/>
                <w:sz w:val="24"/>
                <w:szCs w:val="24"/>
                <w:lang w:val="zh-CN"/>
              </w:rPr>
              <w:t>有关本项目实施所需的所有费用（含税费）均计入报价。</w:t>
            </w:r>
            <w:r>
              <w:rPr>
                <w:rFonts w:hint="eastAsia" w:ascii="仿宋" w:hAnsi="仿宋" w:eastAsia="仿宋" w:cs="仿宋"/>
                <w:b/>
                <w:bCs/>
                <w:kern w:val="0"/>
                <w:sz w:val="24"/>
                <w:szCs w:val="24"/>
                <w:lang w:val="zh-CN"/>
              </w:rPr>
              <w:t>投标文件</w:t>
            </w:r>
            <w:r>
              <w:rPr>
                <w:rFonts w:hint="eastAsia" w:ascii="仿宋" w:hAnsi="仿宋" w:eastAsia="仿宋" w:cs="仿宋"/>
                <w:b/>
                <w:bCs/>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szCs w:val="24"/>
                <w:lang w:val="zh-CN"/>
              </w:rPr>
              <w:t>投标文件中价格全部采用人民币报价。招标文件未列明，而投标人认为必需的费用也需列入报价。</w:t>
            </w:r>
            <w:r>
              <w:rPr>
                <w:rFonts w:hint="eastAsia" w:ascii="仿宋" w:hAnsi="仿宋" w:eastAsia="仿宋" w:cs="仿宋"/>
                <w:b/>
                <w:kern w:val="0"/>
                <w:sz w:val="24"/>
                <w:szCs w:val="24"/>
                <w:lang w:val="zh-CN"/>
              </w:rPr>
              <w:t>提醒：验收时检测费用由采购人承担，不包含在投标总价中。</w:t>
            </w:r>
          </w:p>
          <w:p>
            <w:pPr>
              <w:snapToGrid w:val="0"/>
              <w:spacing w:line="360" w:lineRule="auto"/>
              <w:jc w:val="left"/>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投标报价出现下列情形的，投标无效：</w:t>
            </w:r>
          </w:p>
          <w:p>
            <w:pPr>
              <w:snapToGrid w:val="0"/>
              <w:spacing w:line="360" w:lineRule="auto"/>
              <w:ind w:firstLine="241" w:firstLineChars="100"/>
              <w:jc w:val="left"/>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kern w:val="0"/>
                <w:sz w:val="24"/>
                <w:szCs w:val="24"/>
                <w:lang w:val="zh-CN"/>
              </w:rPr>
            </w:pPr>
            <w:r>
              <w:rPr>
                <w:rFonts w:hint="eastAsia" w:ascii="仿宋" w:hAnsi="仿宋" w:eastAsia="仿宋" w:cs="仿宋"/>
                <w:b/>
                <w:kern w:val="0"/>
                <w:sz w:val="24"/>
                <w:szCs w:val="24"/>
                <w:lang w:val="zh-CN"/>
              </w:rPr>
              <w:t>投标报价超过招标文件中规定的预算金额或者最高限价的;</w:t>
            </w:r>
          </w:p>
          <w:p>
            <w:pPr>
              <w:spacing w:line="360" w:lineRule="auto"/>
              <w:ind w:firstLine="241" w:firstLineChars="100"/>
              <w:rPr>
                <w:rFonts w:hint="eastAsia" w:ascii="仿宋" w:hAnsi="仿宋" w:eastAsia="仿宋" w:cs="仿宋"/>
                <w:b/>
                <w:sz w:val="24"/>
                <w:szCs w:val="24"/>
              </w:rPr>
            </w:pPr>
            <w:r>
              <w:rPr>
                <w:rFonts w:hint="eastAsia" w:ascii="仿宋" w:hAnsi="仿宋" w:eastAsia="仿宋" w:cs="仿宋"/>
                <w:b/>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4"/>
              </w:rPr>
              <w:t>;</w:t>
            </w:r>
          </w:p>
          <w:p>
            <w:pPr>
              <w:spacing w:line="360" w:lineRule="auto"/>
              <w:ind w:firstLine="241" w:firstLineChars="100"/>
              <w:rPr>
                <w:rFonts w:hint="eastAsia" w:ascii="仿宋" w:hAnsi="仿宋" w:eastAsia="仿宋" w:cs="仿宋"/>
                <w:sz w:val="24"/>
                <w:szCs w:val="24"/>
              </w:rPr>
            </w:pPr>
            <w:r>
              <w:rPr>
                <w:rFonts w:hint="eastAsia" w:ascii="仿宋" w:hAnsi="仿宋" w:eastAsia="仿宋" w:cs="仿宋"/>
                <w:b/>
                <w:kern w:val="0"/>
                <w:sz w:val="24"/>
                <w:szCs w:val="24"/>
              </w:rPr>
              <w:t>投标人对根据修正原则修正后的报价不确认的</w:t>
            </w:r>
            <w:r>
              <w:rPr>
                <w:rFonts w:hint="eastAsia" w:ascii="仿宋" w:hAnsi="仿宋" w:eastAsia="仿宋" w:cs="仿宋"/>
                <w:b/>
                <w:sz w:val="24"/>
                <w:szCs w:val="24"/>
              </w:rPr>
              <w:t>。</w:t>
            </w:r>
          </w:p>
        </w:tc>
      </w:tr>
      <w:tr>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sz w:val="24"/>
                <w:szCs w:val="24"/>
              </w:rPr>
            </w:pPr>
          </w:p>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仿宋" w:hAnsi="仿宋" w:eastAsia="仿宋" w:cs="仿宋"/>
                <w:snapToGrid w:val="0"/>
                <w:kern w:val="28"/>
                <w:sz w:val="24"/>
                <w:szCs w:val="24"/>
              </w:rPr>
            </w:pPr>
            <w:r>
              <w:rPr>
                <w:rFonts w:hint="eastAsia" w:ascii="仿宋" w:hAnsi="仿宋" w:eastAsia="仿宋" w:cs="仿宋"/>
                <w:snapToGrid w:val="0"/>
                <w:kern w:val="28"/>
                <w:sz w:val="24"/>
                <w:szCs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360" w:lineRule="auto"/>
              <w:ind w:firstLine="480" w:firstLineChars="200"/>
              <w:rPr>
                <w:rFonts w:hint="eastAsia" w:ascii="仿宋" w:hAnsi="仿宋" w:eastAsia="仿宋" w:cs="仿宋"/>
                <w:snapToGrid w:val="0"/>
                <w:kern w:val="28"/>
                <w:sz w:val="24"/>
                <w:szCs w:val="24"/>
              </w:rPr>
            </w:pPr>
            <w:r>
              <w:rPr>
                <w:rFonts w:hint="eastAsia" w:ascii="仿宋" w:hAnsi="仿宋" w:eastAsia="仿宋" w:cs="仿宋"/>
                <w:snapToGrid w:val="0"/>
                <w:kern w:val="28"/>
                <w:sz w:val="24"/>
                <w:szCs w:val="24"/>
              </w:rPr>
              <w:t>本项目支持《杭州市萧山区政府采购支持中小企业信用融资暂行办法》。</w:t>
            </w:r>
          </w:p>
          <w:p>
            <w:pPr>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napToGrid w:val="0"/>
                <w:kern w:val="28"/>
                <w:sz w:val="24"/>
                <w:szCs w:val="24"/>
              </w:rPr>
              <w:t>有融资需求的中标供应商可参照相关规定及银行方案凭政府采购合同向相关合作银行提出信用融资（贷款）申请。详见http://www.xiaoshan.gov.cn/art/2018/12/20/art_1229293109_1559514.html</w:t>
            </w:r>
            <w:r>
              <w:rPr>
                <w:rFonts w:hint="eastAsia" w:ascii="仿宋" w:hAnsi="仿宋" w:eastAsia="仿宋" w:cs="仿宋"/>
                <w:snapToGrid w:val="0"/>
                <w:kern w:val="28"/>
                <w:sz w:val="24"/>
                <w:szCs w:val="24"/>
                <w:lang w:eastAsia="zh-CN"/>
              </w:rPr>
              <w:t>。</w:t>
            </w:r>
          </w:p>
        </w:tc>
      </w:tr>
      <w:tr>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仿宋" w:hAnsi="仿宋" w:eastAsia="仿宋" w:cs="仿宋"/>
                <w:kern w:val="28"/>
                <w:sz w:val="24"/>
                <w:szCs w:val="24"/>
                <w:lang w:eastAsia="zh-CN"/>
              </w:rPr>
            </w:pPr>
            <w:r>
              <w:rPr>
                <w:rFonts w:hint="eastAsia" w:ascii="仿宋" w:hAnsi="仿宋" w:eastAsia="仿宋" w:cs="仿宋"/>
                <w:kern w:val="28"/>
                <w:sz w:val="24"/>
                <w:szCs w:val="24"/>
                <w:highlight w:val="none"/>
                <w:lang w:val="en-US" w:eastAsia="zh-CN"/>
              </w:rPr>
              <w:t>本项目</w:t>
            </w:r>
            <w:r>
              <w:rPr>
                <w:rFonts w:hint="eastAsia" w:ascii="仿宋" w:hAnsi="仿宋" w:eastAsia="仿宋" w:cs="仿宋"/>
                <w:kern w:val="28"/>
                <w:sz w:val="24"/>
                <w:szCs w:val="24"/>
                <w:highlight w:val="none"/>
              </w:rPr>
              <w:t>备份文件是否收取：不收取</w:t>
            </w:r>
            <w:r>
              <w:rPr>
                <w:rFonts w:hint="eastAsia" w:ascii="仿宋" w:hAnsi="仿宋" w:eastAsia="仿宋" w:cs="仿宋"/>
                <w:kern w:val="28"/>
                <w:sz w:val="24"/>
                <w:szCs w:val="24"/>
                <w:highlight w:val="none"/>
                <w:lang w:eastAsia="zh-CN"/>
              </w:rPr>
              <w:t>。</w:t>
            </w:r>
          </w:p>
        </w:tc>
      </w:tr>
      <w:tr>
        <w:trPr>
          <w:trHeight w:val="91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仿宋" w:hAnsi="仿宋" w:eastAsia="仿宋" w:cs="仿宋"/>
                <w:kern w:val="28"/>
                <w:sz w:val="24"/>
                <w:szCs w:val="24"/>
                <w:highlight w:val="none"/>
              </w:rPr>
            </w:pPr>
            <w:r>
              <w:rPr>
                <w:rFonts w:hint="eastAsia" w:ascii="仿宋" w:hAnsi="仿宋" w:eastAsia="仿宋" w:cs="仿宋"/>
                <w:kern w:val="2"/>
                <w:sz w:val="24"/>
                <w:szCs w:val="24"/>
                <w:lang w:val="en-US" w:eastAsia="zh-CN" w:bidi="ar-SA"/>
              </w:rPr>
              <w:t>本项目采购代理费由采购人支付。</w:t>
            </w:r>
          </w:p>
        </w:tc>
      </w:tr>
      <w:tr>
        <w:trPr>
          <w:trHeight w:val="11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jc w:val="center"/>
              <w:rPr>
                <w:rFonts w:hint="eastAsia" w:ascii="仿宋" w:hAnsi="仿宋" w:eastAsia="仿宋" w:cs="仿宋"/>
                <w:kern w:val="2"/>
                <w:sz w:val="24"/>
                <w:szCs w:val="24"/>
                <w:lang w:val="en-US" w:eastAsia="zh-CN" w:bidi="ar-SA"/>
              </w:rPr>
            </w:pPr>
            <w:r>
              <w:rPr>
                <w:rFonts w:hint="eastAsia" w:ascii="仿宋" w:hAnsi="仿宋" w:eastAsia="仿宋" w:cs="仿宋"/>
                <w:b/>
                <w:sz w:val="24"/>
                <w:szCs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after="0"/>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本项目</w:t>
            </w:r>
            <w:r>
              <w:rPr>
                <w:rFonts w:hint="eastAsia" w:ascii="仿宋" w:hAnsi="仿宋" w:eastAsia="仿宋" w:cs="仿宋"/>
                <w:color w:val="auto"/>
                <w:sz w:val="24"/>
                <w:szCs w:val="24"/>
              </w:rPr>
              <w:t>由采购人进行资格文件及信用信息查询。</w:t>
            </w:r>
          </w:p>
        </w:tc>
      </w:tr>
      <w:tr>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jc w:val="center"/>
              <w:rPr>
                <w:rFonts w:hint="eastAsia" w:ascii="仿宋" w:hAnsi="仿宋" w:eastAsia="仿宋" w:cs="仿宋"/>
                <w:b/>
                <w:sz w:val="24"/>
                <w:szCs w:val="24"/>
              </w:rPr>
            </w:pPr>
            <w:r>
              <w:rPr>
                <w:rFonts w:hint="eastAsia" w:ascii="仿宋" w:hAnsi="仿宋" w:eastAsia="仿宋" w:cs="仿宋"/>
                <w:b/>
                <w:sz w:val="24"/>
                <w:szCs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after="0"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采购人、采购机构质疑接收人、联系方式：详见公告</w:t>
            </w:r>
          </w:p>
          <w:p>
            <w:pPr>
              <w:snapToGrid w:val="0"/>
              <w:spacing w:after="0"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rPr>
              <w:t>线上提交质疑方式：政采云线上质疑路径：项目采购-询问质疑投诉-质疑列表。请使用ca签章在每一页质疑文件中加盖电子公章，上传完整附件。</w:t>
            </w:r>
          </w:p>
          <w:p>
            <w:pPr>
              <w:snapToGrid w:val="0"/>
              <w:spacing w:after="0" w:line="360" w:lineRule="auto"/>
              <w:rPr>
                <w:rFonts w:hint="eastAsia" w:ascii="仿宋" w:hAnsi="仿宋" w:eastAsia="仿宋" w:cs="仿宋"/>
                <w:sz w:val="24"/>
                <w:szCs w:val="24"/>
              </w:rPr>
            </w:pPr>
            <w:r>
              <w:rPr>
                <w:rFonts w:hint="eastAsia" w:ascii="仿宋" w:hAnsi="仿宋" w:eastAsia="仿宋" w:cs="仿宋"/>
                <w:color w:val="000000"/>
                <w:sz w:val="24"/>
                <w:szCs w:val="24"/>
              </w:rPr>
              <w:t>本项目涉及</w:t>
            </w:r>
            <w:r>
              <w:rPr>
                <w:rFonts w:hint="eastAsia" w:ascii="仿宋" w:hAnsi="仿宋" w:eastAsia="仿宋" w:cs="仿宋"/>
                <w:sz w:val="24"/>
                <w:szCs w:val="24"/>
              </w:rPr>
              <w:t>资格条件、采购需求、评分办法及采购过程中有关现场考察或开标前答疑会等事项由采购人进行答复。</w:t>
            </w:r>
          </w:p>
          <w:p>
            <w:pPr>
              <w:spacing w:after="0"/>
              <w:rPr>
                <w:rFonts w:hint="eastAsia" w:ascii="仿宋" w:hAnsi="仿宋" w:eastAsia="仿宋" w:cs="仿宋"/>
                <w:sz w:val="24"/>
                <w:szCs w:val="24"/>
              </w:rPr>
            </w:pPr>
            <w:r>
              <w:rPr>
                <w:rFonts w:hint="eastAsia" w:ascii="仿宋" w:hAnsi="仿宋" w:eastAsia="仿宋" w:cs="仿宋"/>
                <w:sz w:val="24"/>
                <w:szCs w:val="24"/>
              </w:rPr>
              <w:t>涉及流程规范性、组织程序等相关事项，由采购机构进行答复。</w:t>
            </w:r>
          </w:p>
        </w:tc>
      </w:tr>
      <w:tr>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仿宋" w:hAnsi="仿宋" w:eastAsia="仿宋" w:cs="仿宋"/>
                <w:sz w:val="24"/>
                <w:szCs w:val="24"/>
                <w:highlight w:val="none"/>
                <w:lang w:val="en-US" w:eastAsia="zh-CN"/>
              </w:rPr>
              <w:t>后</w:t>
            </w:r>
            <w:r>
              <w:rPr>
                <w:rFonts w:hint="eastAsia" w:ascii="仿宋" w:hAnsi="仿宋" w:eastAsia="仿宋" w:cs="仿宋"/>
                <w:sz w:val="24"/>
                <w:szCs w:val="24"/>
                <w:highlight w:val="none"/>
              </w:rPr>
              <w:t>已有新文件</w:t>
            </w:r>
            <w:r>
              <w:rPr>
                <w:rFonts w:hint="eastAsia" w:ascii="仿宋" w:hAnsi="仿宋" w:eastAsia="仿宋" w:cs="仿宋"/>
                <w:sz w:val="24"/>
                <w:szCs w:val="24"/>
                <w:highlight w:val="none"/>
                <w:lang w:val="en-US" w:eastAsia="zh-CN"/>
              </w:rPr>
              <w:t>规定</w:t>
            </w:r>
            <w:r>
              <w:rPr>
                <w:rFonts w:hint="eastAsia" w:ascii="仿宋" w:hAnsi="仿宋" w:eastAsia="仿宋" w:cs="仿宋"/>
                <w:sz w:val="24"/>
                <w:szCs w:val="24"/>
                <w:highlight w:val="none"/>
              </w:rPr>
              <w:t>，按照最新文件执行）。存在隐蔽工程的项目，采购单位及供应商应在货物到货并将实施安装前，申请进行初验收。</w:t>
            </w:r>
          </w:p>
          <w:p>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联系电话: 0571-83587785/0571-82816012  联系地址: 萧山区通惠北路2-1号302室</w:t>
            </w:r>
            <w:r>
              <w:rPr>
                <w:rFonts w:hint="eastAsia" w:ascii="仿宋" w:hAnsi="仿宋" w:eastAsia="仿宋" w:cs="仿宋"/>
                <w:sz w:val="24"/>
                <w:szCs w:val="24"/>
                <w:highlight w:val="none"/>
                <w:lang w:eastAsia="zh-CN"/>
              </w:rPr>
              <w:t>。</w:t>
            </w:r>
          </w:p>
        </w:tc>
      </w:tr>
      <w:tr>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kern w:val="28"/>
                <w:sz w:val="24"/>
                <w:szCs w:val="24"/>
              </w:rPr>
            </w:pPr>
            <w:r>
              <w:rPr>
                <w:rFonts w:hint="eastAsia" w:ascii="仿宋" w:hAnsi="仿宋" w:eastAsia="仿宋" w:cs="仿宋"/>
                <w:snapToGrid w:val="0"/>
                <w:kern w:val="28"/>
                <w:sz w:val="24"/>
                <w:szCs w:val="24"/>
              </w:rPr>
              <w:t>联合体投标的，联合体各方分别提供与联合体协议中规定的分工内容相应的业绩证明材料，业绩数量以提供材料较少的一方为准。</w:t>
            </w:r>
          </w:p>
        </w:tc>
      </w:tr>
      <w:tr>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szCs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hint="eastAsia" w:ascii="仿宋" w:hAnsi="仿宋" w:eastAsia="仿宋" w:cs="仿宋"/>
                <w:b/>
                <w:sz w:val="24"/>
                <w:szCs w:val="24"/>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sz w:val="24"/>
                <w:szCs w:val="24"/>
              </w:rPr>
            </w:pPr>
            <w:sdt>
              <w:sdtPr>
                <w:rPr>
                  <w:rFonts w:hint="eastAsia" w:ascii="仿宋" w:hAnsi="仿宋" w:eastAsia="仿宋" w:cs="仿宋"/>
                  <w:sz w:val="24"/>
                  <w:szCs w:val="24"/>
                </w:rPr>
                <w:id w:val="23"/>
                <w14:checkbox>
                  <w14:checked w14:val="0"/>
                  <w14:checkedState w14:val="00FE" w14:font="Wingdings"/>
                  <w14:uncheckedState w14:val="2610" w14:font="MS Gothic"/>
                </w14:checkbox>
              </w:sdtPr>
              <w:sdtEndPr>
                <w:rPr>
                  <w:rFonts w:hint="eastAsia" w:ascii="仿宋" w:hAnsi="仿宋" w:eastAsia="仿宋" w:cs="仿宋"/>
                  <w:sz w:val="24"/>
                  <w:szCs w:val="24"/>
                </w:rPr>
              </w:sdtEndPr>
              <w:sdtContent>
                <w:r>
                  <w:rPr>
                    <w:rFonts w:hint="eastAsia" w:ascii="仿宋" w:hAnsi="仿宋" w:eastAsia="仿宋" w:cs="仿宋"/>
                    <w:sz w:val="24"/>
                    <w:szCs w:val="24"/>
                  </w:rPr>
                  <w:t>☐</w:t>
                </w:r>
              </w:sdtContent>
            </w:sdt>
            <w:r>
              <w:rPr>
                <w:rFonts w:hint="eastAsia" w:ascii="仿宋" w:hAnsi="仿宋" w:eastAsia="仿宋" w:cs="仿宋"/>
                <w:sz w:val="24"/>
                <w:szCs w:val="24"/>
              </w:rPr>
              <w:t>联合体投标的，联合体各方均需按招标文件第四部分评标标准要求提供资信证明文件，否则视为不符合相关要求。</w:t>
            </w:r>
          </w:p>
          <w:p>
            <w:pPr>
              <w:spacing w:line="360" w:lineRule="auto"/>
              <w:rPr>
                <w:rFonts w:hint="eastAsia" w:ascii="仿宋" w:hAnsi="仿宋" w:eastAsia="仿宋" w:cs="仿宋"/>
                <w:sz w:val="24"/>
                <w:szCs w:val="24"/>
              </w:rPr>
            </w:pPr>
            <w:sdt>
              <w:sdtPr>
                <w:rPr>
                  <w:rFonts w:hint="eastAsia" w:ascii="仿宋" w:hAnsi="仿宋" w:eastAsia="仿宋" w:cs="仿宋"/>
                  <w:sz w:val="24"/>
                  <w:szCs w:val="24"/>
                </w:rPr>
                <w:id w:val="1052570136"/>
                <w14:checkbox>
                  <w14:checked w14:val="1"/>
                  <w14:checkedState w14:val="00FE" w14:font="Wingdings"/>
                  <w14:uncheckedState w14:val="2610" w14:font="MS Gothic"/>
                </w14:checkbox>
              </w:sdtPr>
              <w:sdtEndPr>
                <w:rPr>
                  <w:rFonts w:hint="eastAsia" w:ascii="仿宋" w:hAnsi="仿宋" w:eastAsia="仿宋" w:cs="仿宋"/>
                  <w:sz w:val="24"/>
                  <w:szCs w:val="24"/>
                </w:rPr>
              </w:sdtEndPr>
              <w:sdtContent>
                <w:r>
                  <w:rPr>
                    <w:rFonts w:hint="eastAsia" w:ascii="仿宋" w:hAnsi="仿宋" w:eastAsia="仿宋" w:cs="仿宋"/>
                    <w:sz w:val="24"/>
                    <w:szCs w:val="24"/>
                  </w:rPr>
                  <w:sym w:font="Wingdings" w:char="F0FE"/>
                </w:r>
              </w:sdtContent>
            </w:sdt>
            <w:r>
              <w:rPr>
                <w:rFonts w:hint="eastAsia" w:ascii="仿宋" w:hAnsi="仿宋" w:eastAsia="仿宋" w:cs="仿宋"/>
                <w:sz w:val="24"/>
                <w:szCs w:val="24"/>
              </w:rPr>
              <w:t>联合体投标的，联合体中有一方或者联合体成员根据分工按招标文件第四部分评标标准要求提供资信证明文件的，视为符合了相关要求。</w:t>
            </w:r>
            <w:r>
              <w:rPr>
                <w:rFonts w:hint="eastAsia" w:ascii="仿宋" w:hAnsi="仿宋" w:eastAsia="仿宋" w:cs="仿宋"/>
                <w:sz w:val="24"/>
                <w:szCs w:val="24"/>
              </w:rPr>
              <w:br w:type="textWrapping"/>
            </w:r>
            <w:r>
              <w:rPr>
                <w:rFonts w:hint="eastAsia" w:ascii="仿宋" w:hAnsi="仿宋" w:eastAsia="仿宋" w:cs="仿宋"/>
                <w:kern w:val="0"/>
                <w:sz w:val="24"/>
                <w:szCs w:val="24"/>
                <w:highlight w:val="none"/>
              </w:rPr>
              <w:t>评审因素对应的要求视为采购需求的一部分。</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严格执行预算限价，项目如涉及办公用房装修、通用办公设备家具的不得超限额标准。（萧财国资【2019】389号）</w:t>
            </w:r>
          </w:p>
          <w:p>
            <w:pPr>
              <w:spacing w:line="360" w:lineRule="auto"/>
              <w:rPr>
                <w:rFonts w:hint="eastAsia" w:ascii="仿宋" w:hAnsi="仿宋" w:eastAsia="仿宋" w:cs="仿宋"/>
                <w:sz w:val="24"/>
                <w:szCs w:val="24"/>
                <w:lang w:eastAsia="zh-CN"/>
              </w:rPr>
            </w:pPr>
            <w:r>
              <w:rPr>
                <w:rFonts w:hint="eastAsia" w:ascii="仿宋" w:hAnsi="仿宋" w:eastAsia="仿宋" w:cs="仿宋"/>
                <w:b/>
                <w:bCs/>
                <w:sz w:val="24"/>
                <w:szCs w:val="24"/>
              </w:rPr>
              <w:t>本项目通用总则条款与前附表等专用特别规定有冲突之处，以专用条款（特别规定）为准</w:t>
            </w:r>
            <w:r>
              <w:rPr>
                <w:rFonts w:hint="eastAsia" w:ascii="仿宋" w:hAnsi="仿宋" w:eastAsia="仿宋" w:cs="仿宋"/>
                <w:b/>
                <w:bCs/>
                <w:sz w:val="24"/>
                <w:szCs w:val="24"/>
                <w:lang w:eastAsia="zh-CN"/>
              </w:rPr>
              <w:t>。</w:t>
            </w:r>
          </w:p>
        </w:tc>
      </w:tr>
      <w:tr>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bCs/>
                <w:sz w:val="24"/>
                <w:szCs w:val="24"/>
                <w:lang w:eastAsia="zh-CN"/>
              </w:rPr>
              <w:t>中标候选人数量</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eastAsia="zh-CN"/>
              </w:rPr>
              <w:t>本项目每个标项推荐中标候选人数量：</w:t>
            </w:r>
            <w:r>
              <w:rPr>
                <w:rFonts w:hint="eastAsia" w:ascii="仿宋" w:hAnsi="仿宋" w:eastAsia="仿宋" w:cs="仿宋"/>
                <w:b w:val="0"/>
                <w:bCs w:val="0"/>
                <w:sz w:val="24"/>
                <w:szCs w:val="24"/>
                <w:lang w:val="en-US" w:eastAsia="zh-CN"/>
              </w:rPr>
              <w:t>1。</w:t>
            </w:r>
          </w:p>
        </w:tc>
      </w:tr>
      <w:tr>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19</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bCs/>
                <w:sz w:val="24"/>
                <w:szCs w:val="24"/>
                <w:lang w:eastAsia="zh-CN"/>
              </w:rPr>
            </w:pPr>
            <w:r>
              <w:rPr>
                <w:rFonts w:hint="eastAsia" w:ascii="仿宋" w:hAnsi="仿宋" w:eastAsia="仿宋" w:cs="仿宋"/>
                <w:b/>
                <w:color w:val="auto"/>
                <w:sz w:val="24"/>
                <w:szCs w:val="24"/>
                <w:highlight w:val="none"/>
              </w:rPr>
              <w:t>投标文件份数</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b/>
                <w:bCs/>
                <w:sz w:val="24"/>
                <w:szCs w:val="24"/>
                <w:lang w:eastAsia="zh-CN"/>
              </w:rPr>
            </w:pPr>
            <w:r>
              <w:rPr>
                <w:rFonts w:hint="eastAsia" w:ascii="仿宋" w:hAnsi="仿宋" w:eastAsia="仿宋" w:cs="仿宋"/>
                <w:b w:val="0"/>
                <w:bCs/>
                <w:color w:val="auto"/>
                <w:sz w:val="24"/>
                <w:szCs w:val="24"/>
                <w:highlight w:val="none"/>
              </w:rPr>
              <w:t>中标单位应在中标后向采购人提供纸质投标文件一正</w:t>
            </w:r>
            <w:r>
              <w:rPr>
                <w:rFonts w:hint="eastAsia" w:ascii="仿宋" w:hAnsi="仿宋" w:eastAsia="仿宋" w:cs="仿宋"/>
                <w:b w:val="0"/>
                <w:bCs/>
                <w:color w:val="auto"/>
                <w:sz w:val="24"/>
                <w:szCs w:val="24"/>
                <w:highlight w:val="none"/>
                <w:lang w:val="en-US" w:eastAsia="zh-CN"/>
              </w:rPr>
              <w:t>二</w:t>
            </w:r>
            <w:r>
              <w:rPr>
                <w:rFonts w:hint="eastAsia" w:ascii="仿宋" w:hAnsi="仿宋" w:eastAsia="仿宋" w:cs="仿宋"/>
                <w:b w:val="0"/>
                <w:bCs/>
                <w:color w:val="auto"/>
                <w:sz w:val="24"/>
                <w:szCs w:val="24"/>
                <w:highlight w:val="none"/>
              </w:rPr>
              <w:t>副</w:t>
            </w:r>
            <w:r>
              <w:rPr>
                <w:rFonts w:hint="eastAsia" w:ascii="仿宋" w:hAnsi="仿宋" w:eastAsia="仿宋" w:cs="仿宋"/>
                <w:b w:val="0"/>
                <w:bCs/>
                <w:color w:val="auto"/>
                <w:sz w:val="24"/>
                <w:szCs w:val="24"/>
                <w:highlight w:val="none"/>
                <w:lang w:eastAsia="zh-CN"/>
              </w:rPr>
              <w:t>。</w:t>
            </w:r>
          </w:p>
        </w:tc>
      </w:tr>
      <w:tr>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b/>
                <w:color w:val="auto"/>
                <w:sz w:val="24"/>
                <w:szCs w:val="24"/>
                <w:highlight w:val="none"/>
              </w:rPr>
            </w:pPr>
            <w:r>
              <w:rPr>
                <w:rFonts w:hint="eastAsia" w:ascii="仿宋" w:hAnsi="仿宋" w:eastAsia="仿宋" w:cs="仿宋"/>
                <w:b/>
                <w:sz w:val="24"/>
              </w:rPr>
              <w:t>履约保证金</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12" w:lineRule="auto"/>
              <w:rPr>
                <w:rFonts w:hint="eastAsia" w:ascii="仿宋" w:hAnsi="仿宋" w:eastAsia="仿宋" w:cs="仿宋"/>
                <w:b w:val="0"/>
                <w:bCs/>
                <w:color w:val="auto"/>
                <w:sz w:val="24"/>
                <w:szCs w:val="24"/>
                <w:highlight w:val="none"/>
                <w:lang w:eastAsia="zh-CN"/>
              </w:rPr>
            </w:pPr>
            <w:r>
              <w:rPr>
                <w:rFonts w:hint="eastAsia" w:ascii="仿宋" w:hAnsi="仿宋" w:eastAsia="仿宋" w:cs="仿宋"/>
                <w:color w:val="auto"/>
                <w:sz w:val="24"/>
                <w:szCs w:val="24"/>
                <w:highlight w:val="none"/>
                <w:lang w:val="en-US" w:eastAsia="zh-CN"/>
              </w:rPr>
              <w:t>不收取。</w:t>
            </w:r>
          </w:p>
        </w:tc>
      </w:tr>
    </w:tbl>
    <w:p>
      <w:pPr>
        <w:snapToGrid w:val="0"/>
        <w:spacing w:line="360" w:lineRule="auto"/>
        <w:jc w:val="center"/>
        <w:rPr>
          <w:rFonts w:hint="eastAsia" w:ascii="仿宋" w:hAnsi="仿宋" w:eastAsia="仿宋" w:cs="仿宋"/>
          <w:b/>
          <w:sz w:val="32"/>
          <w:szCs w:val="20"/>
        </w:rPr>
      </w:pPr>
    </w:p>
    <w:bookmarkEnd w:id="10"/>
    <w:p>
      <w:pPr>
        <w:rPr>
          <w:rFonts w:hint="eastAsia" w:ascii="仿宋" w:hAnsi="仿宋" w:eastAsia="仿宋" w:cs="仿宋"/>
          <w:b/>
          <w:sz w:val="32"/>
          <w:szCs w:val="20"/>
        </w:rPr>
      </w:pPr>
      <w:bookmarkStart w:id="11" w:name="第三部分"/>
      <w:bookmarkStart w:id="12" w:name="_Toc164416483"/>
      <w:r>
        <w:rPr>
          <w:rFonts w:hint="eastAsia" w:ascii="仿宋" w:hAnsi="仿宋" w:eastAsia="仿宋" w:cs="仿宋"/>
          <w:b/>
          <w:sz w:val="32"/>
          <w:szCs w:val="20"/>
        </w:rPr>
        <w:br w:type="page"/>
      </w:r>
    </w:p>
    <w:p>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一、总则</w:t>
      </w:r>
    </w:p>
    <w:p>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w:t>
      </w:r>
      <w:r>
        <w:rPr>
          <w:rFonts w:hint="eastAsia" w:ascii="仿宋" w:hAnsi="仿宋" w:eastAsia="仿宋" w:cs="仿宋"/>
          <w:sz w:val="24"/>
          <w:lang w:eastAsia="zh-CN"/>
        </w:rPr>
        <w:t>采购代理机构</w:t>
      </w:r>
      <w:r>
        <w:rPr>
          <w:rFonts w:hint="eastAsia" w:ascii="仿宋" w:hAnsi="仿宋" w:eastAsia="仿宋" w:cs="仿宋"/>
          <w:sz w:val="24"/>
        </w:rPr>
        <w:t>”系指招标公告中载明的本项目的</w:t>
      </w:r>
      <w:r>
        <w:rPr>
          <w:rFonts w:hint="eastAsia" w:ascii="仿宋" w:hAnsi="仿宋" w:eastAsia="仿宋" w:cs="仿宋"/>
          <w:sz w:val="24"/>
          <w:lang w:eastAsia="zh-CN"/>
        </w:rPr>
        <w:t>采购代理机构</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w:t>
      </w:r>
      <w:r>
        <w:rPr>
          <w:rFonts w:hint="eastAsia" w:ascii="仿宋" w:hAnsi="仿宋" w:eastAsia="仿宋" w:cs="仿宋"/>
          <w:sz w:val="24"/>
          <w:lang w:val="en-US" w:eastAsia="zh-CN"/>
        </w:rPr>
        <w:t>系</w:t>
      </w:r>
      <w:r>
        <w:rPr>
          <w:rFonts w:hint="eastAsia" w:ascii="仿宋" w:hAnsi="仿宋" w:eastAsia="仿宋" w:cs="仿宋"/>
          <w:sz w:val="24"/>
        </w:rPr>
        <w:t>指本项目政府采购活动所依托的政府采购云平台（https://www.zcygov.cn/）。</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sz w:val="24"/>
          <w:lang w:eastAsia="zh-CN"/>
        </w:rPr>
        <w:t>采购代理机构</w:t>
      </w:r>
      <w:r>
        <w:rPr>
          <w:rFonts w:hint="eastAsia" w:ascii="仿宋" w:hAnsi="仿宋" w:eastAsia="仿宋" w:cs="仿宋"/>
          <w:sz w:val="24"/>
        </w:rPr>
        <w:t>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仿宋" w:hAnsi="仿宋" w:eastAsia="仿宋" w:cs="仿宋"/>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3.3.3对于未预留份额专门面向中小企业的政府采购服务项目，以及预留份额政府采</w:t>
      </w:r>
      <w:r>
        <w:rPr>
          <w:rFonts w:hint="eastAsia" w:ascii="仿宋" w:hAnsi="仿宋" w:eastAsia="仿宋" w:cs="仿宋"/>
          <w:sz w:val="24"/>
          <w:highlight w:val="none"/>
        </w:rPr>
        <w:t>购服务项目中的非预留部分标项，对小型和微型企业的投标报价给予10%-20%的扣除（</w:t>
      </w:r>
      <w:r>
        <w:rPr>
          <w:rFonts w:hint="eastAsia" w:ascii="仿宋" w:hAnsi="仿宋" w:eastAsia="仿宋" w:cs="仿宋"/>
          <w:snapToGrid w:val="0"/>
          <w:kern w:val="28"/>
          <w:sz w:val="24"/>
          <w:highlight w:val="none"/>
        </w:rPr>
        <w:t>招标文件第四部分</w:t>
      </w:r>
      <w:r>
        <w:rPr>
          <w:rFonts w:hint="eastAsia" w:ascii="仿宋" w:hAnsi="仿宋" w:eastAsia="仿宋" w:cs="仿宋"/>
          <w:sz w:val="24"/>
          <w:highlight w:val="none"/>
          <w:u w:val="single"/>
        </w:rPr>
        <w:t>评标办分法明确具体的扣除比例，未明确的，</w:t>
      </w:r>
      <w:r>
        <w:rPr>
          <w:rFonts w:hint="eastAsia" w:ascii="仿宋" w:hAnsi="仿宋" w:eastAsia="仿宋" w:cs="仿宋"/>
          <w:sz w:val="24"/>
          <w:highlight w:val="none"/>
        </w:rPr>
        <w:t>给予</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仿宋" w:hAnsi="仿宋" w:eastAsia="仿宋" w:cs="仿宋"/>
          <w:snapToGrid w:val="0"/>
          <w:kern w:val="28"/>
          <w:sz w:val="24"/>
          <w:highlight w:val="none"/>
        </w:rPr>
        <w:t>招标文件第四部分</w:t>
      </w:r>
      <w:r>
        <w:rPr>
          <w:rFonts w:hint="eastAsia" w:ascii="仿宋" w:hAnsi="仿宋" w:eastAsia="仿宋" w:cs="仿宋"/>
          <w:sz w:val="24"/>
          <w:highlight w:val="none"/>
          <w:u w:val="single"/>
        </w:rPr>
        <w:t>评标办分法明确具体的扣除比例，未明确的，</w:t>
      </w:r>
      <w:r>
        <w:rPr>
          <w:rFonts w:hint="eastAsia" w:ascii="仿宋" w:hAnsi="仿宋" w:eastAsia="仿宋" w:cs="仿宋"/>
          <w:sz w:val="24"/>
          <w:highlight w:val="none"/>
        </w:rPr>
        <w:t>给予6%的扣除），用扣除后的价格参加评审。组成联合体或者接受分包的小微企业与联合体内其他企业、分包企业之间存在直接控</w:t>
      </w:r>
      <w:r>
        <w:rPr>
          <w:rFonts w:hint="eastAsia" w:ascii="仿宋" w:hAnsi="仿宋" w:eastAsia="仿宋" w:cs="仿宋"/>
          <w:sz w:val="24"/>
        </w:rPr>
        <w:t>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sz w:val="24"/>
        </w:rPr>
      </w:pPr>
      <w:r>
        <w:rPr>
          <w:rFonts w:hint="eastAsia" w:ascii="仿宋" w:hAnsi="仿宋" w:eastAsia="仿宋" w:cs="仿宋"/>
          <w:sz w:val="24"/>
        </w:rPr>
        <w:t>3.5平等对待内外资企业和符合条件的破产重整企业</w:t>
      </w:r>
    </w:p>
    <w:p>
      <w:pPr>
        <w:spacing w:line="360" w:lineRule="auto"/>
        <w:ind w:firstLine="240" w:firstLineChars="100"/>
        <w:rPr>
          <w:rFonts w:hint="eastAsia"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4.2供应商询问</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4.3供应商质疑</w:t>
      </w:r>
    </w:p>
    <w:p>
      <w:pPr>
        <w:pStyle w:val="33"/>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sz w:val="24"/>
          <w:lang w:eastAsia="zh-CN"/>
        </w:rPr>
        <w:t>采购代理机构</w:t>
      </w:r>
      <w:r>
        <w:rPr>
          <w:rFonts w:hint="eastAsia" w:ascii="仿宋" w:hAnsi="仿宋" w:eastAsia="仿宋" w:cs="仿宋"/>
          <w:sz w:val="24"/>
        </w:rPr>
        <w:t>提出质疑，否则，采购人或者</w:t>
      </w:r>
      <w:r>
        <w:rPr>
          <w:rFonts w:hint="eastAsia" w:ascii="仿宋" w:hAnsi="仿宋" w:eastAsia="仿宋" w:cs="仿宋"/>
          <w:sz w:val="24"/>
          <w:lang w:eastAsia="zh-CN"/>
        </w:rPr>
        <w:t>采购代理机构</w:t>
      </w:r>
      <w:r>
        <w:rPr>
          <w:rFonts w:hint="eastAsia" w:ascii="仿宋" w:hAnsi="仿宋" w:eastAsia="仿宋" w:cs="仿宋"/>
          <w:sz w:val="24"/>
        </w:rPr>
        <w:t>不予受理：</w:t>
      </w:r>
    </w:p>
    <w:p>
      <w:pPr>
        <w:pStyle w:val="15"/>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pPr>
        <w:pStyle w:val="33"/>
        <w:spacing w:line="360" w:lineRule="auto"/>
        <w:ind w:left="479" w:leftChars="228"/>
        <w:rPr>
          <w:rFonts w:hint="eastAsia"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4.3.3.2质疑项目的名称、编号；</w:t>
      </w:r>
    </w:p>
    <w:p>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4.3.3.4事实依据；</w:t>
      </w:r>
    </w:p>
    <w:p>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4.3.3.5必要的法律依据；</w:t>
      </w:r>
    </w:p>
    <w:p>
      <w:pPr>
        <w:pStyle w:val="33"/>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4.3.3.6提出质疑的日期。</w:t>
      </w:r>
    </w:p>
    <w:p>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w:t>
      </w:r>
      <w:r>
        <w:rPr>
          <w:rFonts w:hint="eastAsia" w:ascii="仿宋" w:hAnsi="仿宋" w:eastAsia="仿宋" w:cs="仿宋"/>
          <w:lang w:eastAsia="zh-CN"/>
        </w:rPr>
        <w:t>采购代理机构</w:t>
      </w:r>
      <w:r>
        <w:rPr>
          <w:rFonts w:hint="eastAsia" w:ascii="仿宋" w:hAnsi="仿宋" w:eastAsia="仿宋" w:cs="仿宋"/>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lang w:eastAsia="zh-CN"/>
        </w:rPr>
        <w:t>采购代理机构</w:t>
      </w:r>
      <w:r>
        <w:rPr>
          <w:rFonts w:hint="eastAsia" w:ascii="仿宋" w:hAnsi="仿宋" w:eastAsia="仿宋" w:cs="仿宋"/>
        </w:rPr>
        <w:t>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4.4供应商投诉</w:t>
      </w:r>
    </w:p>
    <w:p>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4.4.1质疑供应商对采购人、</w:t>
      </w:r>
      <w:r>
        <w:rPr>
          <w:rFonts w:hint="eastAsia" w:ascii="仿宋" w:hAnsi="仿宋" w:eastAsia="仿宋" w:cs="仿宋"/>
          <w:lang w:eastAsia="zh-CN"/>
        </w:rPr>
        <w:t>采购代理机构</w:t>
      </w:r>
      <w:r>
        <w:rPr>
          <w:rFonts w:hint="eastAsia" w:ascii="仿宋" w:hAnsi="仿宋" w:eastAsia="仿宋" w:cs="仿宋"/>
        </w:rPr>
        <w:t>的答复不满意或者采购人、</w:t>
      </w:r>
      <w:r>
        <w:rPr>
          <w:rFonts w:hint="eastAsia" w:ascii="仿宋" w:hAnsi="仿宋" w:eastAsia="仿宋" w:cs="仿宋"/>
          <w:lang w:eastAsia="zh-CN"/>
        </w:rPr>
        <w:t>采购代理机构</w:t>
      </w:r>
      <w:r>
        <w:rPr>
          <w:rFonts w:hint="eastAsia" w:ascii="仿宋" w:hAnsi="仿宋" w:eastAsia="仿宋" w:cs="仿宋"/>
        </w:rPr>
        <w:t>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4.4.3供应商投诉应当有明确的请求和必要的证明材料。</w:t>
      </w:r>
    </w:p>
    <w:p>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rFonts w:hint="eastAsia" w:ascii="仿宋" w:hAnsi="仿宋" w:eastAsia="仿宋" w:cs="仿宋"/>
          <w:sz w:val="18"/>
          <w:szCs w:val="18"/>
        </w:rPr>
      </w:pPr>
      <w:r>
        <w:rPr>
          <w:rFonts w:hint="eastAsia" w:ascii="仿宋" w:hAnsi="仿宋" w:eastAsia="仿宋" w:cs="仿宋"/>
        </w:rPr>
        <w:t>投诉书范本及制作说明详见附件3。</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pPr>
        <w:pStyle w:val="3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3"/>
        <w:spacing w:line="360" w:lineRule="auto"/>
        <w:rPr>
          <w:rFonts w:hint="eastAsia" w:ascii="仿宋" w:hAnsi="仿宋" w:eastAsia="仿宋" w:cs="仿宋"/>
          <w:b/>
          <w:sz w:val="24"/>
          <w:szCs w:val="24"/>
          <w:lang w:val="en-US" w:eastAsia="zh-CN"/>
        </w:rPr>
      </w:pPr>
      <w:r>
        <w:rPr>
          <w:rFonts w:hint="eastAsia" w:ascii="仿宋" w:hAnsi="仿宋" w:eastAsia="仿宋" w:cs="仿宋"/>
          <w:b/>
          <w:sz w:val="24"/>
          <w:szCs w:val="24"/>
        </w:rPr>
        <w:t>6. 招标文件的澄清、修改</w:t>
      </w:r>
    </w:p>
    <w:p>
      <w:pPr>
        <w:pStyle w:val="131"/>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w:t>
      </w:r>
      <w:r>
        <w:rPr>
          <w:rFonts w:hint="eastAsia" w:ascii="仿宋" w:hAnsi="仿宋" w:eastAsia="仿宋" w:cs="仿宋"/>
          <w:lang w:eastAsia="zh-CN"/>
        </w:rPr>
        <w:t>采购代理机构</w:t>
      </w:r>
      <w:r>
        <w:rPr>
          <w:rFonts w:hint="eastAsia" w:ascii="仿宋" w:hAnsi="仿宋" w:eastAsia="仿宋" w:cs="仿宋"/>
        </w:rPr>
        <w:t>提出。</w:t>
      </w:r>
    </w:p>
    <w:p>
      <w:pPr>
        <w:pStyle w:val="131"/>
        <w:snapToGrid w:val="0"/>
        <w:spacing w:before="0"/>
        <w:ind w:firstLine="480"/>
        <w:rPr>
          <w:rFonts w:hint="eastAsia" w:ascii="仿宋" w:hAnsi="仿宋" w:eastAsia="仿宋" w:cs="仿宋"/>
        </w:rPr>
      </w:pPr>
      <w:r>
        <w:rPr>
          <w:rFonts w:hint="eastAsia" w:ascii="仿宋" w:hAnsi="仿宋" w:eastAsia="仿宋" w:cs="仿宋"/>
        </w:rPr>
        <w:t xml:space="preserve">6.2 </w:t>
      </w:r>
      <w:r>
        <w:rPr>
          <w:rFonts w:hint="eastAsia" w:ascii="仿宋" w:hAnsi="仿宋" w:eastAsia="仿宋" w:cs="仿宋"/>
          <w:lang w:eastAsia="zh-CN"/>
        </w:rPr>
        <w:t>采购代理机构</w:t>
      </w:r>
      <w:r>
        <w:rPr>
          <w:rFonts w:hint="eastAsia" w:ascii="仿宋" w:hAnsi="仿宋" w:eastAsia="仿宋" w:cs="仿宋"/>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pPr>
        <w:pStyle w:val="3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pPr>
        <w:pStyle w:val="1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11.1.2</w:t>
      </w:r>
      <w:r>
        <w:rPr>
          <w:rFonts w:hint="eastAsia" w:ascii="仿宋" w:hAnsi="仿宋" w:eastAsia="仿宋" w:cs="仿宋"/>
          <w:snapToGrid w:val="0"/>
          <w:kern w:val="28"/>
          <w:sz w:val="24"/>
          <w:szCs w:val="20"/>
        </w:rPr>
        <w:t>联合协议</w:t>
      </w:r>
      <w:r>
        <w:rPr>
          <w:rFonts w:hint="eastAsia" w:ascii="仿宋" w:hAnsi="仿宋" w:eastAsia="仿宋" w:cs="仿宋"/>
          <w:snapToGrid w:val="0"/>
          <w:color w:val="FF0000"/>
          <w:kern w:val="28"/>
          <w:sz w:val="24"/>
          <w:szCs w:val="20"/>
        </w:rPr>
        <w:t>（如果有)</w:t>
      </w:r>
      <w:r>
        <w:rPr>
          <w:rFonts w:hint="eastAsia" w:ascii="仿宋" w:hAnsi="仿宋" w:eastAsia="仿宋" w:cs="仿宋"/>
          <w:snapToGrid w:val="0"/>
          <w:kern w:val="28"/>
          <w:sz w:val="24"/>
          <w:szCs w:val="20"/>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11.2.4符合性审查资料；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11.2.5评标标准相应的商务技术资料；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11.2.6投标标的清单；</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color w:val="FF0000"/>
          <w:sz w:val="24"/>
        </w:rPr>
        <w:t>11.3.2中小企业声明函。</w:t>
      </w:r>
    </w:p>
    <w:p>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pPr>
        <w:pStyle w:val="131"/>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pPr>
        <w:pStyle w:val="131"/>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1"/>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pPr>
        <w:pStyle w:val="131"/>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pPr>
        <w:pStyle w:val="131"/>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w:t>
      </w:r>
      <w:r>
        <w:rPr>
          <w:rFonts w:hint="eastAsia" w:ascii="仿宋" w:hAnsi="仿宋" w:eastAsia="仿宋" w:cs="仿宋"/>
          <w:szCs w:val="24"/>
          <w:highlight w:val="none"/>
        </w:rPr>
        <w:t>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w:t>
      </w:r>
      <w:r>
        <w:rPr>
          <w:rFonts w:hint="eastAsia" w:ascii="仿宋" w:hAnsi="仿宋" w:eastAsia="仿宋" w:cs="仿宋"/>
          <w:szCs w:val="24"/>
        </w:rPr>
        <w:t>台将拒收。</w:t>
      </w:r>
    </w:p>
    <w:p>
      <w:pPr>
        <w:pStyle w:val="131"/>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hint="eastAsia" w:ascii="仿宋" w:hAnsi="仿宋" w:eastAsia="仿宋" w:cs="仿宋"/>
          <w:szCs w:val="24"/>
        </w:rPr>
      </w:pPr>
      <w:r>
        <w:rPr>
          <w:rFonts w:hint="eastAsia" w:ascii="仿宋" w:hAnsi="仿宋" w:eastAsia="仿宋" w:cs="仿宋"/>
          <w:szCs w:val="24"/>
        </w:rPr>
        <w:t>14.3采购人、</w:t>
      </w:r>
      <w:r>
        <w:rPr>
          <w:rFonts w:hint="eastAsia" w:ascii="仿宋" w:hAnsi="仿宋" w:eastAsia="仿宋" w:cs="仿宋"/>
          <w:szCs w:val="24"/>
          <w:lang w:eastAsia="zh-CN"/>
        </w:rPr>
        <w:t>采购代理机构</w:t>
      </w:r>
      <w:r>
        <w:rPr>
          <w:rFonts w:hint="eastAsia" w:ascii="仿宋" w:hAnsi="仿宋" w:eastAsia="仿宋" w:cs="仿宋"/>
          <w:szCs w:val="24"/>
        </w:rPr>
        <w:t>可以视情况延长投标文件提交的截止时间。在上述情况下，</w:t>
      </w:r>
      <w:r>
        <w:rPr>
          <w:rFonts w:hint="eastAsia" w:ascii="仿宋" w:hAnsi="仿宋" w:eastAsia="仿宋" w:cs="仿宋"/>
          <w:szCs w:val="24"/>
          <w:lang w:eastAsia="zh-CN"/>
        </w:rPr>
        <w:t>采购代理机构</w:t>
      </w:r>
      <w:r>
        <w:rPr>
          <w:rFonts w:hint="eastAsia" w:ascii="仿宋" w:hAnsi="仿宋" w:eastAsia="仿宋" w:cs="仿宋"/>
          <w:szCs w:val="24"/>
        </w:rPr>
        <w:t>与投标人以前在投标截止期方面的全部权利、责任和义务，将适用于延长至新的投标截止期。</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pPr>
        <w:pStyle w:val="33"/>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w:t>
      </w:r>
      <w:r>
        <w:rPr>
          <w:rFonts w:hint="eastAsia" w:ascii="仿宋" w:hAnsi="仿宋" w:eastAsia="仿宋" w:cs="仿宋"/>
          <w:b/>
          <w:sz w:val="24"/>
          <w:szCs w:val="24"/>
          <w:lang w:eastAsia="zh-CN"/>
        </w:rPr>
        <w:t>采购代理机构</w:t>
      </w:r>
      <w:r>
        <w:rPr>
          <w:rFonts w:hint="eastAsia" w:ascii="仿宋" w:hAnsi="仿宋" w:eastAsia="仿宋" w:cs="仿宋"/>
          <w:b/>
          <w:sz w:val="24"/>
          <w:szCs w:val="24"/>
        </w:rPr>
        <w:t>不强制或变相强制投标人提交备份投标文件。</w:t>
      </w:r>
    </w:p>
    <w:p>
      <w:pPr>
        <w:pStyle w:val="33"/>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w:t>
      </w:r>
      <w:r>
        <w:rPr>
          <w:rFonts w:hint="eastAsia" w:ascii="仿宋" w:hAnsi="仿宋" w:eastAsia="仿宋" w:cs="仿宋"/>
          <w:sz w:val="24"/>
          <w:lang w:val="en-US" w:eastAsia="zh-CN"/>
        </w:rPr>
        <w:t>等存储介质</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w:t>
      </w:r>
      <w:r>
        <w:rPr>
          <w:rFonts w:hint="eastAsia" w:ascii="仿宋" w:hAnsi="仿宋" w:eastAsia="仿宋" w:cs="仿宋"/>
          <w:sz w:val="24"/>
          <w:szCs w:val="24"/>
          <w:lang w:eastAsia="zh-CN"/>
        </w:rPr>
        <w:t>采购代理机构</w:t>
      </w:r>
      <w:r>
        <w:rPr>
          <w:rFonts w:hint="eastAsia" w:ascii="仿宋" w:hAnsi="仿宋" w:eastAsia="仿宋" w:cs="仿宋"/>
          <w:sz w:val="24"/>
          <w:szCs w:val="24"/>
        </w:rPr>
        <w:t>，</w:t>
      </w:r>
      <w:r>
        <w:rPr>
          <w:rFonts w:hint="eastAsia" w:ascii="仿宋" w:hAnsi="仿宋" w:eastAsia="仿宋" w:cs="仿宋"/>
          <w:sz w:val="24"/>
          <w:szCs w:val="24"/>
          <w:lang w:eastAsia="zh-CN"/>
        </w:rPr>
        <w:t>采购代理机构</w:t>
      </w:r>
      <w:r>
        <w:rPr>
          <w:rFonts w:hint="eastAsia" w:ascii="仿宋" w:hAnsi="仿宋" w:eastAsia="仿宋" w:cs="仿宋"/>
          <w:sz w:val="24"/>
          <w:szCs w:val="24"/>
        </w:rPr>
        <w:t>将拒绝接受逾期送达的备份投标文件。</w:t>
      </w:r>
    </w:p>
    <w:p>
      <w:pPr>
        <w:pStyle w:val="3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w:t>
      </w:r>
      <w:r>
        <w:rPr>
          <w:rFonts w:hint="eastAsia" w:ascii="仿宋" w:hAnsi="仿宋" w:eastAsia="仿宋" w:cs="仿宋"/>
          <w:sz w:val="24"/>
          <w:szCs w:val="24"/>
          <w:lang w:eastAsia="zh-CN"/>
        </w:rPr>
        <w:t>采购代理机构</w:t>
      </w:r>
      <w:r>
        <w:rPr>
          <w:rFonts w:hint="eastAsia" w:ascii="仿宋" w:hAnsi="仿宋" w:eastAsia="仿宋" w:cs="仿宋"/>
          <w:sz w:val="24"/>
          <w:szCs w:val="24"/>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pPr>
        <w:pStyle w:val="131"/>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pPr>
        <w:pStyle w:val="25"/>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有招标文件第四部分4.2规定的情形之一的，投标无效：</w:t>
      </w:r>
    </w:p>
    <w:p>
      <w:pPr>
        <w:pStyle w:val="131"/>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31"/>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pPr>
        <w:pStyle w:val="131"/>
        <w:spacing w:before="0"/>
        <w:ind w:firstLine="480"/>
        <w:jc w:val="left"/>
        <w:rPr>
          <w:rFonts w:hint="eastAsia" w:ascii="仿宋" w:hAnsi="仿宋" w:eastAsia="仿宋" w:cs="仿宋"/>
          <w:b/>
          <w:sz w:val="32"/>
        </w:rPr>
      </w:pPr>
      <w:r>
        <w:rPr>
          <w:rFonts w:hint="eastAsia" w:ascii="仿宋" w:hAnsi="仿宋" w:eastAsia="仿宋" w:cs="仿宋"/>
        </w:rPr>
        <w:t>17.3在原定投标有效期满之前，如果出现特殊情况，</w:t>
      </w:r>
      <w:r>
        <w:rPr>
          <w:rFonts w:hint="eastAsia" w:ascii="仿宋" w:hAnsi="仿宋" w:eastAsia="仿宋" w:cs="仿宋"/>
          <w:lang w:eastAsia="zh-CN"/>
        </w:rPr>
        <w:t>采购代理机构</w:t>
      </w:r>
      <w:r>
        <w:rPr>
          <w:rFonts w:hint="eastAsia" w:ascii="仿宋" w:hAnsi="仿宋" w:eastAsia="仿宋" w:cs="仿宋"/>
        </w:rPr>
        <w:t>可以以书面形式通知投标人延长投标有效期。投标人同意延长的，不得要求或被允许修改其投标文件，投标人拒绝延长的，其投标无效。</w:t>
      </w:r>
      <w:r>
        <w:rPr>
          <w:rFonts w:hint="eastAsia" w:ascii="仿宋" w:hAnsi="仿宋" w:eastAsia="仿宋" w:cs="仿宋"/>
        </w:rPr>
        <w:br w:type="textWrapping"/>
      </w:r>
      <w:r>
        <w:rPr>
          <w:rFonts w:hint="eastAsia" w:ascii="仿宋" w:hAnsi="仿宋" w:eastAsia="仿宋" w:cs="仿宋"/>
          <w:lang w:val="en-US" w:eastAsia="zh-CN"/>
        </w:rPr>
        <w:t xml:space="preserve">  </w:t>
      </w:r>
      <w:r>
        <w:rPr>
          <w:rFonts w:hint="eastAsia" w:ascii="仿宋" w:hAnsi="仿宋" w:eastAsia="仿宋" w:cs="仿宋"/>
          <w:highlight w:val="none"/>
          <w:lang w:val="en-US" w:eastAsia="zh-CN"/>
        </w:rPr>
        <w:t xml:space="preserve">  </w:t>
      </w:r>
      <w:r>
        <w:rPr>
          <w:rFonts w:hint="eastAsia" w:ascii="仿宋" w:hAnsi="仿宋" w:eastAsia="仿宋" w:cs="仿宋"/>
          <w:highlight w:val="none"/>
        </w:rPr>
        <w:t>17.4在投标截止时间起至投标有效期届满，供应商投标文件不可撤销。</w:t>
      </w:r>
    </w:p>
    <w:p>
      <w:pPr>
        <w:pStyle w:val="131"/>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pPr>
        <w:pStyle w:val="557"/>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557"/>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w:t>
      </w:r>
      <w:r>
        <w:rPr>
          <w:rFonts w:hint="eastAsia" w:ascii="仿宋" w:hAnsi="仿宋" w:eastAsia="仿宋" w:cs="仿宋"/>
          <w:sz w:val="24"/>
          <w:lang w:eastAsia="zh-CN"/>
        </w:rPr>
        <w:t>采购代理机构</w:t>
      </w:r>
      <w:r>
        <w:rPr>
          <w:rFonts w:hint="eastAsia" w:ascii="仿宋" w:hAnsi="仿宋" w:eastAsia="仿宋" w:cs="仿宋"/>
          <w:sz w:val="24"/>
        </w:rPr>
        <w:t>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w:t>
      </w:r>
      <w:r>
        <w:rPr>
          <w:rFonts w:hint="eastAsia" w:ascii="仿宋" w:hAnsi="仿宋" w:eastAsia="仿宋" w:cs="仿宋"/>
          <w:sz w:val="24"/>
          <w:lang w:eastAsia="zh-CN"/>
        </w:rPr>
        <w:t>采购代理机构</w:t>
      </w:r>
      <w:r>
        <w:rPr>
          <w:rFonts w:hint="eastAsia" w:ascii="仿宋" w:hAnsi="仿宋" w:eastAsia="仿宋" w:cs="仿宋"/>
          <w:sz w:val="24"/>
        </w:rPr>
        <w:t>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sz w:val="24"/>
          <w:szCs w:val="20"/>
          <w:highlight w:val="none"/>
        </w:rPr>
      </w:pPr>
      <w:r>
        <w:rPr>
          <w:rFonts w:hint="eastAsia" w:ascii="仿宋" w:hAnsi="仿宋" w:eastAsia="仿宋" w:cs="仿宋"/>
          <w:b/>
          <w:sz w:val="24"/>
          <w:szCs w:val="20"/>
        </w:rPr>
        <w:t>　19</w:t>
      </w:r>
      <w:r>
        <w:rPr>
          <w:rFonts w:hint="eastAsia" w:ascii="仿宋" w:hAnsi="仿宋" w:eastAsia="仿宋" w:cs="仿宋"/>
          <w:b/>
          <w:sz w:val="24"/>
          <w:szCs w:val="20"/>
          <w:highlight w:val="none"/>
        </w:rPr>
        <w:t>、资格审查</w:t>
      </w:r>
    </w:p>
    <w:p>
      <w:pPr>
        <w:pStyle w:val="131"/>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19.1开标后，采购人将依据法律法规和招标文件的规定，对投标人的资格进行审查。</w:t>
      </w:r>
    </w:p>
    <w:p>
      <w:pPr>
        <w:pStyle w:val="131"/>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19.2投标人未按照招标文件要求提供与</w:t>
      </w:r>
      <w:r>
        <w:rPr>
          <w:rFonts w:hint="eastAsia" w:ascii="仿宋" w:hAnsi="仿宋" w:eastAsia="仿宋" w:cs="仿宋"/>
          <w:highlight w:val="none"/>
        </w:rPr>
        <w:t>资格条件相应的</w:t>
      </w:r>
      <w:r>
        <w:rPr>
          <w:rFonts w:hint="eastAsia" w:ascii="仿宋" w:hAnsi="仿宋" w:eastAsia="仿宋" w:cs="仿宋"/>
          <w:kern w:val="0"/>
          <w:szCs w:val="24"/>
          <w:highlight w:val="none"/>
        </w:rPr>
        <w:t>有效资格证明材料的，视为</w:t>
      </w:r>
      <w:r>
        <w:rPr>
          <w:rFonts w:hint="eastAsia" w:ascii="仿宋" w:hAnsi="仿宋" w:eastAsia="仿宋" w:cs="仿宋"/>
          <w:highlight w:val="none"/>
        </w:rPr>
        <w:t>投标人不具备招标文件中规定的资格要求，其投标无效。</w:t>
      </w:r>
    </w:p>
    <w:p>
      <w:pPr>
        <w:pStyle w:val="131"/>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3对未通过资格审查的投标人，告知其未通过的原因。</w:t>
      </w:r>
    </w:p>
    <w:p>
      <w:pPr>
        <w:pStyle w:val="131"/>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4合格投标人不足3家的，不再评标。</w:t>
      </w:r>
    </w:p>
    <w:p>
      <w:pPr>
        <w:pStyle w:val="131"/>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pPr>
        <w:pStyle w:val="131"/>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w:t>
      </w:r>
      <w:r>
        <w:rPr>
          <w:rFonts w:hint="eastAsia" w:ascii="仿宋" w:hAnsi="仿宋" w:eastAsia="仿宋" w:cs="仿宋"/>
          <w:kern w:val="0"/>
          <w:szCs w:val="24"/>
          <w:lang w:val="en-US" w:eastAsia="zh-CN"/>
        </w:rPr>
        <w:t>采购人</w:t>
      </w:r>
      <w:r>
        <w:rPr>
          <w:rFonts w:hint="eastAsia" w:ascii="仿宋" w:hAnsi="仿宋" w:eastAsia="仿宋" w:cs="仿宋"/>
          <w:kern w:val="0"/>
          <w:szCs w:val="24"/>
        </w:rPr>
        <w:t>将在资格审查时通过“信用中国”网站(www.creditchina.gov.cn)、中国政府采购网(www.ccgp.gov.cn)渠道查询投标人接受资格时的信用记录。</w:t>
      </w:r>
    </w:p>
    <w:p>
      <w:pPr>
        <w:pStyle w:val="131"/>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31"/>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hint="eastAsia" w:ascii="仿宋" w:hAnsi="仿宋" w:eastAsia="仿宋" w:cs="仿宋"/>
          <w:kern w:val="0"/>
          <w:szCs w:val="24"/>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pPr>
        <w:spacing w:line="360" w:lineRule="auto"/>
        <w:rPr>
          <w:rFonts w:hint="eastAsia"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pPr>
        <w:pStyle w:val="131"/>
        <w:snapToGrid w:val="0"/>
        <w:spacing w:before="0"/>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w:t>
      </w:r>
      <w:r>
        <w:rPr>
          <w:rFonts w:hint="eastAsia" w:ascii="仿宋" w:hAnsi="仿宋" w:eastAsia="仿宋" w:cs="仿宋"/>
          <w:szCs w:val="24"/>
          <w:highlight w:val="none"/>
        </w:rPr>
        <w:t>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pPr>
        <w:pStyle w:val="131"/>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w:t>
      </w:r>
      <w:r>
        <w:rPr>
          <w:rFonts w:hint="eastAsia" w:ascii="仿宋" w:hAnsi="仿宋" w:eastAsia="仿宋" w:cs="仿宋"/>
          <w:sz w:val="24"/>
          <w:lang w:eastAsia="zh-CN"/>
        </w:rPr>
        <w:t>采购代理机构</w:t>
      </w:r>
      <w:r>
        <w:rPr>
          <w:rFonts w:hint="eastAsia" w:ascii="仿宋" w:hAnsi="仿宋" w:eastAsia="仿宋" w:cs="仿宋"/>
          <w:sz w:val="24"/>
        </w:rPr>
        <w:t>通过电子交易平台向中标人发出中标通知书，同时编制发布采购结果公告。</w:t>
      </w:r>
      <w:r>
        <w:rPr>
          <w:rFonts w:hint="eastAsia" w:ascii="仿宋" w:hAnsi="仿宋" w:eastAsia="仿宋" w:cs="仿宋"/>
          <w:sz w:val="24"/>
          <w:lang w:eastAsia="zh-CN"/>
        </w:rPr>
        <w:t>采购代理机构</w:t>
      </w:r>
      <w:r>
        <w:rPr>
          <w:rFonts w:hint="eastAsia" w:ascii="仿宋" w:hAnsi="仿宋" w:eastAsia="仿宋" w:cs="仿宋"/>
          <w:sz w:val="24"/>
        </w:rPr>
        <w:t>也可以以纸质形式进行中标通知。</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w:t>
      </w:r>
      <w:r>
        <w:rPr>
          <w:rFonts w:hint="eastAsia" w:ascii="仿宋" w:hAnsi="仿宋" w:eastAsia="仿宋" w:cs="仿宋"/>
          <w:sz w:val="24"/>
          <w:lang w:eastAsia="zh-CN"/>
        </w:rPr>
        <w:t>采购代理机构</w:t>
      </w:r>
      <w:r>
        <w:rPr>
          <w:rFonts w:hint="eastAsia" w:ascii="仿宋" w:hAnsi="仿宋" w:eastAsia="仿宋" w:cs="仿宋"/>
          <w:sz w:val="24"/>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sz w:val="24"/>
        </w:rPr>
        <w:t>资格审查情况、评审专家抽取规则、符合性审查情况、</w:t>
      </w:r>
      <w:bookmarkEnd w:id="14"/>
      <w:r>
        <w:rPr>
          <w:rFonts w:hint="eastAsia" w:ascii="仿宋" w:hAnsi="仿宋" w:eastAsia="仿宋" w:cs="仿宋"/>
          <w:sz w:val="24"/>
        </w:rPr>
        <w:t>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31"/>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w:t>
      </w:r>
      <w:r>
        <w:rPr>
          <w:rFonts w:hint="eastAsia" w:ascii="仿宋" w:hAnsi="仿宋" w:eastAsia="仿宋" w:cs="仿宋"/>
          <w:sz w:val="24"/>
          <w:highlight w:val="none"/>
        </w:rPr>
        <w:t>，鼓励根据项目特点、供应商诚信等因素免收履约保证金或降低缴纳比例</w:t>
      </w:r>
      <w:r>
        <w:rPr>
          <w:rFonts w:hint="eastAsia" w:ascii="仿宋" w:hAnsi="仿宋" w:eastAsia="仿宋" w:cs="仿宋"/>
          <w:sz w:val="24"/>
        </w:rPr>
        <w:t>。鼓励和支持供应商以银行、保险公司出具的保函形式提供履约保证金。采购人不得拒收履约保函，项目验收结束后应及时退还，延迟退还的，应当按照合同约定和法律规定承担相应的赔偿责任。</w:t>
      </w:r>
    </w:p>
    <w:p>
      <w:pPr>
        <w:pStyle w:val="2"/>
        <w:ind w:left="0" w:firstLine="480" w:firstLineChars="200"/>
        <w:rPr>
          <w:rFonts w:hint="eastAsia" w:ascii="仿宋" w:hAnsi="仿宋" w:eastAsia="仿宋" w:cs="仿宋"/>
          <w:b w:val="0"/>
          <w:bCs w:val="0"/>
          <w:snapToGrid w:val="0"/>
          <w:kern w:val="28"/>
          <w:sz w:val="24"/>
        </w:rPr>
      </w:pPr>
      <w:r>
        <w:rPr>
          <w:rFonts w:hint="eastAsia" w:ascii="仿宋" w:hAnsi="仿宋" w:eastAsia="仿宋" w:cs="仿宋"/>
          <w:b w:val="0"/>
          <w:bCs w:val="0"/>
          <w:snapToGrid w:val="0"/>
          <w:kern w:val="28"/>
          <w:sz w:val="24"/>
        </w:rPr>
        <w:t>供应商</w:t>
      </w:r>
      <w:r>
        <w:rPr>
          <w:rFonts w:hint="eastAsia" w:ascii="仿宋" w:hAnsi="仿宋" w:eastAsia="仿宋" w:cs="仿宋"/>
          <w:b w:val="0"/>
          <w:bCs w:val="0"/>
          <w:snapToGrid w:val="0"/>
          <w:kern w:val="28"/>
          <w:sz w:val="24"/>
          <w:lang w:val="en-US"/>
        </w:rPr>
        <w:t>可</w:t>
      </w:r>
      <w:r>
        <w:rPr>
          <w:rFonts w:hint="eastAsia" w:ascii="仿宋" w:hAns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rFonts w:hint="eastAsia" w:ascii="仿宋" w:hAnsi="仿宋" w:eastAsia="仿宋" w:cs="仿宋"/>
          <w:highlight w:val="none"/>
        </w:rPr>
      </w:pPr>
      <w:r>
        <w:rPr>
          <w:rFonts w:hint="eastAsia" w:ascii="仿宋" w:hAnsi="仿宋" w:eastAsia="仿宋" w:cs="仿宋"/>
          <w:b/>
          <w:bCs/>
          <w:sz w:val="24"/>
          <w:szCs w:val="32"/>
          <w:highlight w:val="none"/>
          <w:lang w:val="en-US"/>
        </w:rPr>
        <w:t>27.预付款</w:t>
      </w:r>
    </w:p>
    <w:p>
      <w:pPr>
        <w:adjustRightInd/>
        <w:spacing w:line="360" w:lineRule="auto"/>
        <w:ind w:firstLine="480" w:firstLineChars="200"/>
        <w:rPr>
          <w:rFonts w:hint="eastAsia" w:ascii="仿宋" w:hAnsi="仿宋" w:eastAsia="仿宋" w:cs="仿宋"/>
          <w:b/>
          <w:sz w:val="32"/>
        </w:rPr>
      </w:pPr>
      <w:r>
        <w:rPr>
          <w:rFonts w:hint="eastAsia" w:ascii="仿宋" w:hAnsi="仿宋" w:eastAsia="仿宋" w:cs="仿宋"/>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sz w:val="24"/>
        </w:rPr>
        <w:t>不低于</w:t>
      </w:r>
      <w:r>
        <w:rPr>
          <w:rFonts w:hint="eastAsia" w:ascii="仿宋" w:hAnsi="仿宋" w:eastAsia="仿宋" w:cs="仿宋"/>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pPr>
        <w:pStyle w:val="131"/>
        <w:snapToGrid w:val="0"/>
        <w:spacing w:before="0"/>
        <w:ind w:firstLine="0" w:firstLineChars="0"/>
        <w:rPr>
          <w:rFonts w:hint="eastAsia" w:ascii="仿宋" w:hAnsi="仿宋" w:eastAsia="仿宋" w:cs="仿宋"/>
        </w:rPr>
      </w:pPr>
      <w:r>
        <w:rPr>
          <w:rFonts w:hint="eastAsia" w:ascii="仿宋" w:hAnsi="仿宋" w:eastAsia="仿宋" w:cs="仿宋"/>
          <w:b/>
          <w:bCs/>
          <w:sz w:val="24"/>
          <w:szCs w:val="20"/>
        </w:rPr>
        <w:t>2</w:t>
      </w:r>
      <w:r>
        <w:rPr>
          <w:rFonts w:hint="eastAsia" w:ascii="仿宋" w:hAnsi="仿宋" w:eastAsia="仿宋" w:cs="仿宋"/>
          <w:b/>
          <w:bCs/>
          <w:sz w:val="24"/>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w:t>
      </w:r>
      <w:r>
        <w:rPr>
          <w:rFonts w:hint="eastAsia" w:ascii="仿宋" w:hAnsi="仿宋" w:eastAsia="仿宋" w:cs="仿宋"/>
          <w:lang w:eastAsia="zh-CN"/>
        </w:rPr>
        <w:t>采购代理机构</w:t>
      </w:r>
      <w:r>
        <w:rPr>
          <w:rFonts w:hint="eastAsia" w:ascii="仿宋" w:hAnsi="仿宋" w:eastAsia="仿宋" w:cs="仿宋"/>
        </w:rPr>
        <w:t>可中止电子交易活动：</w:t>
      </w:r>
    </w:p>
    <w:p>
      <w:pPr>
        <w:pStyle w:val="131"/>
        <w:snapToGrid w:val="0"/>
        <w:spacing w:before="0"/>
        <w:ind w:firstLine="480"/>
        <w:rPr>
          <w:rFonts w:hint="eastAsia" w:ascii="仿宋" w:hAnsi="仿宋" w:eastAsia="仿宋" w:cs="仿宋"/>
        </w:rPr>
      </w:pPr>
      <w:r>
        <w:rPr>
          <w:rFonts w:hint="eastAsia" w:ascii="仿宋" w:hAnsi="仿宋" w:eastAsia="仿宋" w:cs="仿宋"/>
        </w:rPr>
        <w:t xml:space="preserve">28.1电子交易平台发生故障而无法登录访问的； </w:t>
      </w:r>
    </w:p>
    <w:p>
      <w:pPr>
        <w:pStyle w:val="131"/>
        <w:snapToGrid w:val="0"/>
        <w:spacing w:before="0"/>
        <w:ind w:firstLine="480"/>
        <w:rPr>
          <w:rFonts w:hint="eastAsia" w:ascii="仿宋" w:hAnsi="仿宋" w:eastAsia="仿宋" w:cs="仿宋"/>
        </w:rPr>
      </w:pPr>
      <w:r>
        <w:rPr>
          <w:rFonts w:hint="eastAsia" w:ascii="仿宋" w:hAnsi="仿宋" w:eastAsia="仿宋" w:cs="仿宋"/>
        </w:rPr>
        <w:t>28.2电子交易平台应用或数据库出现错误，不能进行正常操作的；</w:t>
      </w:r>
    </w:p>
    <w:p>
      <w:pPr>
        <w:pStyle w:val="131"/>
        <w:snapToGrid w:val="0"/>
        <w:spacing w:before="0"/>
        <w:ind w:firstLine="480"/>
        <w:rPr>
          <w:rFonts w:hint="eastAsia" w:ascii="仿宋" w:hAnsi="仿宋" w:eastAsia="仿宋" w:cs="仿宋"/>
        </w:rPr>
      </w:pPr>
      <w:r>
        <w:rPr>
          <w:rFonts w:hint="eastAsia" w:ascii="仿宋" w:hAnsi="仿宋" w:eastAsia="仿宋" w:cs="仿宋"/>
        </w:rPr>
        <w:t>28.3电子交易平台发现严重安全漏洞，有潜在泄密危险的；</w:t>
      </w:r>
    </w:p>
    <w:p>
      <w:pPr>
        <w:pStyle w:val="131"/>
        <w:snapToGrid w:val="0"/>
        <w:spacing w:before="0"/>
        <w:ind w:firstLine="480"/>
        <w:rPr>
          <w:rFonts w:hint="eastAsia" w:ascii="仿宋" w:hAnsi="仿宋" w:eastAsia="仿宋" w:cs="仿宋"/>
        </w:rPr>
      </w:pPr>
      <w:r>
        <w:rPr>
          <w:rFonts w:hint="eastAsia" w:ascii="仿宋" w:hAnsi="仿宋" w:eastAsia="仿宋" w:cs="仿宋"/>
        </w:rPr>
        <w:t xml:space="preserve">28.4病毒发作导致不能进行正常操作的； </w:t>
      </w:r>
    </w:p>
    <w:p>
      <w:pPr>
        <w:pStyle w:val="131"/>
        <w:snapToGrid w:val="0"/>
        <w:spacing w:before="0"/>
        <w:ind w:firstLine="480"/>
        <w:rPr>
          <w:rFonts w:hint="eastAsia" w:ascii="仿宋" w:hAnsi="仿宋" w:eastAsia="仿宋" w:cs="仿宋"/>
        </w:rPr>
      </w:pPr>
      <w:r>
        <w:rPr>
          <w:rFonts w:hint="eastAsia" w:ascii="仿宋" w:hAnsi="仿宋" w:eastAsia="仿宋" w:cs="仿宋"/>
        </w:rPr>
        <w:t>28.5其他无法保证电子交易的公平、公正和安全的情况。</w:t>
      </w:r>
    </w:p>
    <w:p>
      <w:pPr>
        <w:pStyle w:val="131"/>
        <w:snapToGrid w:val="0"/>
        <w:spacing w:before="0"/>
        <w:ind w:firstLine="0" w:firstLineChars="0"/>
        <w:rPr>
          <w:rFonts w:hint="eastAsia" w:ascii="仿宋" w:hAnsi="仿宋" w:eastAsia="仿宋" w:cs="仿宋"/>
          <w:sz w:val="24"/>
        </w:rPr>
      </w:pPr>
      <w:r>
        <w:rPr>
          <w:rFonts w:hint="eastAsia" w:ascii="仿宋" w:hAnsi="仿宋" w:eastAsia="仿宋" w:cs="仿宋"/>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pPr>
        <w:pStyle w:val="25"/>
        <w:spacing w:line="360" w:lineRule="auto"/>
        <w:ind w:firstLine="0" w:firstLineChars="0"/>
        <w:rPr>
          <w:rFonts w:hint="eastAsia" w:ascii="仿宋" w:hAnsi="仿宋" w:eastAsia="仿宋" w:cs="仿宋"/>
          <w:b/>
        </w:rPr>
      </w:pPr>
      <w:r>
        <w:rPr>
          <w:rFonts w:hint="eastAsia" w:ascii="仿宋" w:hAnsi="仿宋" w:eastAsia="仿宋" w:cs="仿宋"/>
          <w:b/>
        </w:rPr>
        <w:t>30.验收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68073093"/>
      <w:bookmarkEnd w:id="16"/>
      <w:bookmarkStart w:id="17" w:name="_Hlt75236101"/>
      <w:bookmarkEnd w:id="17"/>
      <w:bookmarkStart w:id="18" w:name="_Hlt75236290"/>
      <w:bookmarkEnd w:id="18"/>
      <w:bookmarkStart w:id="19" w:name="_Hlt68403820"/>
      <w:bookmarkEnd w:id="19"/>
      <w:bookmarkStart w:id="20" w:name="_Hlt68072990"/>
      <w:bookmarkEnd w:id="20"/>
      <w:bookmarkStart w:id="21" w:name="_Hlt74707468"/>
      <w:bookmarkEnd w:id="21"/>
      <w:bookmarkStart w:id="22" w:name="_Hlt74730295"/>
      <w:bookmarkEnd w:id="22"/>
      <w:bookmarkStart w:id="23" w:name="_Hlt68072998"/>
      <w:bookmarkEnd w:id="23"/>
      <w:bookmarkStart w:id="24" w:name="_Hlt74729768"/>
      <w:bookmarkEnd w:id="24"/>
      <w:bookmarkStart w:id="25" w:name="_Hlt68057669"/>
      <w:bookmarkEnd w:id="25"/>
      <w:bookmarkStart w:id="26" w:name="_Hlt75236011"/>
      <w:bookmarkEnd w:id="26"/>
    </w:p>
    <w:bookmarkEnd w:id="11"/>
    <w:bookmarkEnd w:id="12"/>
    <w:p>
      <w:pPr>
        <w:spacing w:line="360" w:lineRule="auto"/>
        <w:jc w:val="center"/>
        <w:outlineLvl w:val="0"/>
        <w:rPr>
          <w:rFonts w:hint="eastAsia" w:ascii="仿宋" w:hAnsi="仿宋" w:eastAsia="仿宋" w:cs="仿宋"/>
          <w:b/>
          <w:sz w:val="36"/>
          <w:szCs w:val="36"/>
        </w:rPr>
      </w:pPr>
      <w:bookmarkStart w:id="27" w:name="第四部分"/>
      <w:r>
        <w:rPr>
          <w:rFonts w:hint="eastAsia" w:ascii="仿宋" w:hAnsi="仿宋" w:eastAsia="仿宋" w:cs="仿宋"/>
          <w:b/>
          <w:sz w:val="36"/>
          <w:szCs w:val="36"/>
        </w:rPr>
        <w:t>第三部分   采购需求</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属于实质性要求条款的，请用符号“▲”标明，否则属于非实质性要求。</w:t>
      </w:r>
      <w:r>
        <w:rPr>
          <w:rFonts w:hint="eastAsia" w:ascii="仿宋_GB2312" w:hAnsi="仿宋" w:eastAsia="仿宋_GB2312"/>
          <w:color w:val="auto"/>
          <w:sz w:val="24"/>
          <w:highlight w:val="none"/>
        </w:rPr>
        <w:t>“★”系指</w:t>
      </w:r>
      <w:r>
        <w:rPr>
          <w:rFonts w:hint="eastAsia" w:ascii="仿宋_GB2312" w:hAnsi="仿宋" w:eastAsia="仿宋_GB2312"/>
          <w:color w:val="auto"/>
          <w:sz w:val="24"/>
          <w:highlight w:val="none"/>
          <w:lang w:val="en-US" w:eastAsia="zh-CN"/>
        </w:rPr>
        <w:t>重要</w:t>
      </w:r>
      <w:r>
        <w:rPr>
          <w:rFonts w:hint="eastAsia" w:ascii="仿宋_GB2312" w:hAnsi="仿宋" w:eastAsia="仿宋_GB2312"/>
          <w:color w:val="auto"/>
          <w:sz w:val="24"/>
          <w:highlight w:val="none"/>
        </w:rPr>
        <w:t>技术条款。</w:t>
      </w:r>
    </w:p>
    <w:p>
      <w:pPr>
        <w:pStyle w:val="2"/>
        <w:numPr>
          <w:ilvl w:val="0"/>
          <w:numId w:val="1"/>
        </w:numPr>
        <w:jc w:val="center"/>
        <w:rPr>
          <w:rFonts w:hint="eastAsia" w:ascii="仿宋" w:hAnsi="仿宋" w:eastAsia="仿宋" w:cs="仿宋"/>
        </w:rPr>
      </w:pPr>
      <w:r>
        <w:rPr>
          <w:rFonts w:hint="eastAsia" w:ascii="仿宋" w:hAnsi="仿宋" w:eastAsia="仿宋" w:cs="仿宋"/>
        </w:rPr>
        <w:t>招标一览表</w:t>
      </w:r>
    </w:p>
    <w:p>
      <w:pPr>
        <w:pStyle w:val="5"/>
        <w:rPr>
          <w:rFonts w:hint="eastAsia" w:ascii="仿宋" w:hAnsi="仿宋" w:eastAsia="仿宋" w:cs="仿宋"/>
          <w:lang w:eastAsia="zh-CN"/>
        </w:rPr>
      </w:pPr>
      <w:r>
        <w:rPr>
          <w:rFonts w:hint="eastAsia" w:ascii="仿宋" w:hAnsi="仿宋" w:eastAsia="仿宋" w:cs="仿宋"/>
        </w:rPr>
        <w:t>标项一：</w:t>
      </w:r>
      <w:r>
        <w:rPr>
          <w:rFonts w:hint="eastAsia" w:ascii="仿宋" w:hAnsi="仿宋" w:eastAsia="仿宋" w:cs="仿宋"/>
          <w:lang w:eastAsia="zh-CN"/>
        </w:rPr>
        <w:t>2024年萧山钱塘江·竞潮半程马拉松赛采购项目</w:t>
      </w:r>
    </w:p>
    <w:tbl>
      <w:tblPr>
        <w:tblStyle w:val="64"/>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366"/>
        <w:gridCol w:w="791"/>
        <w:gridCol w:w="764"/>
        <w:gridCol w:w="1744"/>
        <w:gridCol w:w="1495"/>
        <w:gridCol w:w="1996"/>
      </w:tblGrid>
      <w:tr>
        <w:trPr>
          <w:cantSplit/>
          <w:trHeight w:val="1643" w:hRule="atLeast"/>
        </w:trPr>
        <w:tc>
          <w:tcPr>
            <w:tcW w:w="523" w:type="dxa"/>
            <w:tcMar>
              <w:top w:w="15" w:type="dxa"/>
              <w:left w:w="15" w:type="dxa"/>
              <w:bottom w:w="0" w:type="dxa"/>
              <w:right w:w="15" w:type="dxa"/>
            </w:tcMar>
            <w:vAlign w:val="center"/>
          </w:tcPr>
          <w:p>
            <w:pPr>
              <w:tabs>
                <w:tab w:val="left" w:pos="0"/>
              </w:tabs>
              <w:snapToGrid w:val="0"/>
              <w:jc w:val="center"/>
              <w:rPr>
                <w:rFonts w:hint="eastAsia" w:ascii="仿宋" w:hAnsi="仿宋" w:eastAsia="仿宋" w:cs="仿宋"/>
                <w:sz w:val="24"/>
              </w:rPr>
            </w:pPr>
            <w:r>
              <w:rPr>
                <w:rFonts w:hint="eastAsia" w:ascii="仿宋" w:hAnsi="仿宋" w:eastAsia="仿宋" w:cs="仿宋"/>
                <w:sz w:val="24"/>
              </w:rPr>
              <w:t>序号</w:t>
            </w:r>
          </w:p>
        </w:tc>
        <w:tc>
          <w:tcPr>
            <w:tcW w:w="1366" w:type="dxa"/>
            <w:tcMar>
              <w:top w:w="15" w:type="dxa"/>
              <w:left w:w="15" w:type="dxa"/>
              <w:bottom w:w="0" w:type="dxa"/>
              <w:right w:w="15" w:type="dxa"/>
            </w:tcMar>
            <w:vAlign w:val="center"/>
          </w:tcPr>
          <w:p>
            <w:pPr>
              <w:tabs>
                <w:tab w:val="left" w:pos="0"/>
              </w:tabs>
              <w:snapToGrid w:val="0"/>
              <w:jc w:val="center"/>
              <w:rPr>
                <w:rFonts w:hint="eastAsia" w:ascii="仿宋" w:hAnsi="仿宋" w:eastAsia="仿宋" w:cs="仿宋"/>
                <w:sz w:val="24"/>
              </w:rPr>
            </w:pPr>
            <w:r>
              <w:rPr>
                <w:rFonts w:hint="eastAsia" w:ascii="仿宋" w:hAnsi="仿宋" w:eastAsia="仿宋" w:cs="仿宋"/>
                <w:sz w:val="24"/>
              </w:rPr>
              <w:t>名称</w:t>
            </w:r>
          </w:p>
        </w:tc>
        <w:tc>
          <w:tcPr>
            <w:tcW w:w="791" w:type="dxa"/>
            <w:tcMar>
              <w:top w:w="15" w:type="dxa"/>
              <w:left w:w="15" w:type="dxa"/>
              <w:bottom w:w="0" w:type="dxa"/>
              <w:right w:w="15" w:type="dxa"/>
            </w:tcMar>
            <w:vAlign w:val="center"/>
          </w:tcPr>
          <w:p>
            <w:pPr>
              <w:tabs>
                <w:tab w:val="left" w:pos="0"/>
              </w:tabs>
              <w:snapToGrid w:val="0"/>
              <w:jc w:val="center"/>
              <w:rPr>
                <w:rFonts w:hint="eastAsia" w:ascii="仿宋" w:hAnsi="仿宋" w:eastAsia="仿宋" w:cs="仿宋"/>
                <w:sz w:val="24"/>
              </w:rPr>
            </w:pPr>
            <w:r>
              <w:rPr>
                <w:rFonts w:hint="eastAsia" w:ascii="仿宋" w:hAnsi="仿宋" w:eastAsia="仿宋" w:cs="仿宋"/>
                <w:sz w:val="24"/>
              </w:rPr>
              <w:t>数量</w:t>
            </w:r>
          </w:p>
        </w:tc>
        <w:tc>
          <w:tcPr>
            <w:tcW w:w="764" w:type="dxa"/>
            <w:tcMar>
              <w:top w:w="15" w:type="dxa"/>
              <w:left w:w="15" w:type="dxa"/>
              <w:bottom w:w="0" w:type="dxa"/>
              <w:right w:w="15" w:type="dxa"/>
            </w:tcMar>
            <w:vAlign w:val="center"/>
          </w:tcPr>
          <w:p>
            <w:pPr>
              <w:tabs>
                <w:tab w:val="left" w:pos="0"/>
              </w:tabs>
              <w:snapToGrid w:val="0"/>
              <w:jc w:val="center"/>
              <w:rPr>
                <w:rFonts w:hint="eastAsia" w:ascii="仿宋" w:hAnsi="仿宋" w:eastAsia="仿宋" w:cs="仿宋"/>
                <w:sz w:val="24"/>
              </w:rPr>
            </w:pPr>
            <w:r>
              <w:rPr>
                <w:rFonts w:hint="eastAsia" w:ascii="仿宋" w:hAnsi="仿宋" w:eastAsia="仿宋" w:cs="仿宋"/>
                <w:sz w:val="24"/>
              </w:rPr>
              <w:t>单位</w:t>
            </w:r>
          </w:p>
        </w:tc>
        <w:tc>
          <w:tcPr>
            <w:tcW w:w="1744" w:type="dxa"/>
            <w:vAlign w:val="center"/>
          </w:tcPr>
          <w:p>
            <w:pPr>
              <w:tabs>
                <w:tab w:val="left" w:pos="0"/>
              </w:tabs>
              <w:snapToGrid w:val="0"/>
              <w:jc w:val="center"/>
              <w:rPr>
                <w:rFonts w:hint="eastAsia" w:ascii="仿宋" w:hAnsi="仿宋" w:eastAsia="仿宋" w:cs="仿宋"/>
                <w:sz w:val="24"/>
              </w:rPr>
            </w:pPr>
            <w:r>
              <w:rPr>
                <w:rFonts w:hint="eastAsia" w:ascii="仿宋" w:hAnsi="仿宋" w:eastAsia="仿宋" w:cs="仿宋"/>
                <w:sz w:val="24"/>
              </w:rPr>
              <w:t>预算（元）</w:t>
            </w:r>
          </w:p>
        </w:tc>
        <w:tc>
          <w:tcPr>
            <w:tcW w:w="1495" w:type="dxa"/>
            <w:vAlign w:val="center"/>
          </w:tcPr>
          <w:p>
            <w:pPr>
              <w:tabs>
                <w:tab w:val="left" w:pos="0"/>
              </w:tabs>
              <w:snapToGrid w:val="0"/>
              <w:jc w:val="center"/>
              <w:rPr>
                <w:rFonts w:hint="eastAsia" w:ascii="仿宋" w:hAnsi="仿宋" w:eastAsia="仿宋" w:cs="仿宋"/>
                <w:sz w:val="24"/>
              </w:rPr>
            </w:pPr>
            <w:r>
              <w:rPr>
                <w:rFonts w:hint="eastAsia" w:ascii="仿宋" w:hAnsi="仿宋" w:eastAsia="仿宋" w:cs="仿宋"/>
                <w:kern w:val="0"/>
                <w:sz w:val="24"/>
                <w:lang w:val="zh-CN"/>
              </w:rPr>
              <w:t>规格及技术要求</w:t>
            </w:r>
          </w:p>
        </w:tc>
        <w:tc>
          <w:tcPr>
            <w:tcW w:w="1996" w:type="dxa"/>
            <w:vAlign w:val="center"/>
          </w:tcPr>
          <w:p>
            <w:pPr>
              <w:tabs>
                <w:tab w:val="left" w:pos="0"/>
              </w:tabs>
              <w:snapToGrid w:val="0"/>
              <w:jc w:val="center"/>
              <w:rPr>
                <w:rFonts w:hint="eastAsia" w:ascii="仿宋" w:hAnsi="仿宋" w:eastAsia="仿宋" w:cs="仿宋"/>
                <w:sz w:val="24"/>
              </w:rPr>
            </w:pPr>
            <w:r>
              <w:rPr>
                <w:rFonts w:hint="eastAsia" w:ascii="仿宋" w:hAnsi="仿宋" w:eastAsia="仿宋" w:cs="仿宋"/>
                <w:sz w:val="24"/>
              </w:rPr>
              <w:t>最高限价（元）</w:t>
            </w:r>
          </w:p>
        </w:tc>
      </w:tr>
      <w:tr>
        <w:trPr>
          <w:cantSplit/>
          <w:trHeight w:val="1408" w:hRule="atLeast"/>
        </w:trPr>
        <w:tc>
          <w:tcPr>
            <w:tcW w:w="523" w:type="dxa"/>
            <w:tcMar>
              <w:top w:w="15" w:type="dxa"/>
              <w:left w:w="15" w:type="dxa"/>
              <w:bottom w:w="0" w:type="dxa"/>
              <w:right w:w="15" w:type="dxa"/>
            </w:tcMar>
            <w:vAlign w:val="center"/>
          </w:tcPr>
          <w:p>
            <w:pPr>
              <w:tabs>
                <w:tab w:val="left" w:pos="0"/>
              </w:tabs>
              <w:jc w:val="center"/>
              <w:rPr>
                <w:rFonts w:hint="eastAsia" w:ascii="仿宋" w:hAnsi="仿宋" w:eastAsia="仿宋" w:cs="仿宋"/>
                <w:sz w:val="24"/>
              </w:rPr>
            </w:pPr>
            <w:r>
              <w:rPr>
                <w:rFonts w:hint="eastAsia" w:ascii="仿宋" w:hAnsi="仿宋" w:eastAsia="仿宋" w:cs="仿宋"/>
                <w:sz w:val="24"/>
              </w:rPr>
              <w:t>1</w:t>
            </w:r>
          </w:p>
        </w:tc>
        <w:tc>
          <w:tcPr>
            <w:tcW w:w="1366" w:type="dxa"/>
            <w:tcMar>
              <w:top w:w="15" w:type="dxa"/>
              <w:left w:w="15" w:type="dxa"/>
              <w:bottom w:w="0" w:type="dxa"/>
              <w:right w:w="15" w:type="dxa"/>
            </w:tcMar>
            <w:vAlign w:val="center"/>
          </w:tcPr>
          <w:p>
            <w:pPr>
              <w:jc w:val="center"/>
              <w:textAlignment w:val="center"/>
              <w:rPr>
                <w:rFonts w:hint="eastAsia" w:ascii="仿宋" w:hAnsi="仿宋" w:eastAsia="仿宋" w:cs="仿宋"/>
                <w:sz w:val="24"/>
                <w:lang w:eastAsia="zh-CN"/>
              </w:rPr>
            </w:pPr>
            <w:r>
              <w:rPr>
                <w:rFonts w:hint="eastAsia" w:ascii="仿宋" w:hAnsi="仿宋" w:eastAsia="仿宋" w:cs="仿宋"/>
                <w:sz w:val="24"/>
                <w:lang w:eastAsia="zh-CN"/>
              </w:rPr>
              <w:t>2024年萧山钱塘江·竞潮半程马拉松赛采购项目</w:t>
            </w:r>
          </w:p>
        </w:tc>
        <w:tc>
          <w:tcPr>
            <w:tcW w:w="791" w:type="dxa"/>
            <w:tcMar>
              <w:top w:w="15" w:type="dxa"/>
              <w:left w:w="15" w:type="dxa"/>
              <w:bottom w:w="0" w:type="dxa"/>
              <w:right w:w="15" w:type="dxa"/>
            </w:tcMar>
            <w:vAlign w:val="center"/>
          </w:tcPr>
          <w:p>
            <w:pPr>
              <w:jc w:val="center"/>
              <w:textAlignment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764" w:type="dxa"/>
            <w:tcMar>
              <w:top w:w="15" w:type="dxa"/>
              <w:left w:w="15" w:type="dxa"/>
              <w:bottom w:w="0" w:type="dxa"/>
              <w:right w:w="15" w:type="dxa"/>
            </w:tcMar>
            <w:vAlign w:val="center"/>
          </w:tcPr>
          <w:p>
            <w:pPr>
              <w:jc w:val="center"/>
              <w:textAlignment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项</w:t>
            </w:r>
          </w:p>
        </w:tc>
        <w:tc>
          <w:tcPr>
            <w:tcW w:w="1744" w:type="dxa"/>
            <w:vAlign w:val="center"/>
          </w:tcPr>
          <w:p>
            <w:pPr>
              <w:jc w:val="center"/>
              <w:textAlignment w:val="center"/>
              <w:rPr>
                <w:rFonts w:hint="default" w:ascii="仿宋" w:hAnsi="仿宋" w:eastAsia="仿宋" w:cs="仿宋"/>
                <w:sz w:val="24"/>
                <w:lang w:val="en-US" w:eastAsia="zh-CN"/>
              </w:rPr>
            </w:pPr>
            <w:r>
              <w:rPr>
                <w:rFonts w:hint="eastAsia" w:ascii="仿宋" w:hAnsi="仿宋" w:eastAsia="仿宋" w:cs="仿宋"/>
                <w:sz w:val="24"/>
                <w:lang w:val="en-US" w:eastAsia="zh-CN"/>
              </w:rPr>
              <w:t>980000.00</w:t>
            </w:r>
          </w:p>
        </w:tc>
        <w:tc>
          <w:tcPr>
            <w:tcW w:w="1495" w:type="dxa"/>
            <w:vAlign w:val="center"/>
          </w:tcPr>
          <w:p>
            <w:pPr>
              <w:tabs>
                <w:tab w:val="left" w:pos="0"/>
              </w:tabs>
              <w:jc w:val="center"/>
              <w:rPr>
                <w:rFonts w:hint="eastAsia" w:ascii="仿宋" w:hAnsi="仿宋" w:eastAsia="仿宋" w:cs="仿宋"/>
                <w:sz w:val="24"/>
              </w:rPr>
            </w:pPr>
            <w:r>
              <w:rPr>
                <w:rFonts w:hint="eastAsia" w:ascii="仿宋" w:hAnsi="仿宋" w:eastAsia="仿宋" w:cs="仿宋"/>
                <w:sz w:val="24"/>
              </w:rPr>
              <w:t>详见采购需求</w:t>
            </w:r>
          </w:p>
        </w:tc>
        <w:tc>
          <w:tcPr>
            <w:tcW w:w="1996" w:type="dxa"/>
            <w:vAlign w:val="center"/>
          </w:tcPr>
          <w:p>
            <w:pPr>
              <w:jc w:val="center"/>
              <w:textAlignment w:val="center"/>
              <w:rPr>
                <w:rFonts w:hint="default" w:ascii="仿宋" w:hAnsi="仿宋" w:eastAsia="仿宋" w:cs="仿宋"/>
                <w:sz w:val="24"/>
                <w:lang w:val="en-US" w:eastAsia="zh-CN"/>
              </w:rPr>
            </w:pPr>
            <w:r>
              <w:rPr>
                <w:rFonts w:hint="eastAsia" w:ascii="仿宋" w:hAnsi="仿宋" w:eastAsia="仿宋" w:cs="仿宋"/>
                <w:sz w:val="24"/>
                <w:lang w:val="en-US" w:eastAsia="zh-CN"/>
              </w:rPr>
              <w:t>980000.00</w:t>
            </w:r>
          </w:p>
        </w:tc>
      </w:tr>
    </w:tbl>
    <w:p>
      <w:pPr>
        <w:rPr>
          <w:rFonts w:hint="eastAsia" w:ascii="仿宋" w:hAnsi="仿宋" w:eastAsia="仿宋" w:cs="仿宋"/>
          <w:b/>
          <w:sz w:val="22"/>
          <w:szCs w:val="22"/>
        </w:rPr>
      </w:pPr>
    </w:p>
    <w:p>
      <w:pPr>
        <w:pStyle w:val="2"/>
        <w:numPr>
          <w:ilvl w:val="0"/>
          <w:numId w:val="1"/>
        </w:numPr>
        <w:jc w:val="center"/>
        <w:rPr>
          <w:rFonts w:hint="eastAsia" w:ascii="仿宋" w:hAnsi="仿宋" w:eastAsia="仿宋" w:cs="仿宋"/>
        </w:rPr>
      </w:pPr>
      <w:r>
        <w:rPr>
          <w:rFonts w:hint="eastAsia" w:ascii="仿宋" w:hAnsi="仿宋" w:eastAsia="仿宋" w:cs="仿宋"/>
        </w:rPr>
        <w:t>采购需求</w:t>
      </w:r>
    </w:p>
    <w:p>
      <w:pPr>
        <w:keepNext w:val="0"/>
        <w:keepLines w:val="0"/>
        <w:pageBreakBefore w:val="0"/>
        <w:widowControl w:val="0"/>
        <w:kinsoku/>
        <w:wordWrap/>
        <w:overflowPunct/>
        <w:topLinePunct w:val="0"/>
        <w:bidi w:val="0"/>
        <w:snapToGrid w:val="0"/>
        <w:spacing w:line="360" w:lineRule="auto"/>
        <w:textAlignment w:val="auto"/>
        <w:rPr>
          <w:rFonts w:ascii="仿宋" w:hAnsi="仿宋" w:eastAsia="仿宋" w:cs="仿宋"/>
          <w:b/>
          <w:color w:val="auto"/>
          <w:sz w:val="24"/>
        </w:rPr>
      </w:pPr>
      <w:r>
        <w:rPr>
          <w:rFonts w:hint="eastAsia" w:ascii="仿宋" w:hAnsi="仿宋" w:eastAsia="仿宋" w:cs="仿宋"/>
          <w:b/>
          <w:color w:val="auto"/>
          <w:sz w:val="24"/>
        </w:rPr>
        <w:t>1、技术需求</w:t>
      </w:r>
    </w:p>
    <w:p>
      <w:pPr>
        <w:keepNext w:val="0"/>
        <w:keepLines w:val="0"/>
        <w:pageBreakBefore w:val="0"/>
        <w:widowControl w:val="0"/>
        <w:kinsoku/>
        <w:wordWrap/>
        <w:overflowPunct/>
        <w:topLinePunct w:val="0"/>
        <w:bidi w:val="0"/>
        <w:spacing w:line="360" w:lineRule="auto"/>
        <w:textAlignment w:val="auto"/>
        <w:rPr>
          <w:rFonts w:ascii="仿宋" w:hAnsi="仿宋" w:eastAsia="仿宋" w:cs="仿宋"/>
          <w:b/>
          <w:bCs/>
          <w:color w:val="auto"/>
          <w:sz w:val="24"/>
          <w:lang w:bidi="ar"/>
        </w:rPr>
      </w:pPr>
      <w:r>
        <w:rPr>
          <w:rFonts w:hint="eastAsia" w:ascii="仿宋" w:hAnsi="仿宋" w:eastAsia="仿宋" w:cs="仿宋"/>
          <w:b/>
          <w:bCs/>
          <w:color w:val="auto"/>
          <w:sz w:val="24"/>
          <w:lang w:bidi="ar"/>
        </w:rPr>
        <w:t>（一）、项目简介</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lang w:bidi="ar"/>
        </w:rPr>
      </w:pPr>
      <w:r>
        <w:rPr>
          <w:rFonts w:hint="eastAsia" w:ascii="仿宋" w:hAnsi="仿宋" w:eastAsia="仿宋" w:cs="仿宋"/>
          <w:color w:val="auto"/>
          <w:sz w:val="24"/>
          <w:lang w:bidi="ar"/>
        </w:rPr>
        <w:t>萧山钱塘江竞潮·半程马拉松自创办以来，选手们相聚在钱塘江畔、与潮水竞跑，凭借“竞潮”的特色使社会各界熟知，为跑友提供的贴心赛事服务赢得了广大跑友的认可，充分展示了南阳的发展成果，提升了萧山的城市特色和社会影响力。</w:t>
      </w:r>
    </w:p>
    <w:p>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auto"/>
          <w:sz w:val="24"/>
          <w:lang w:bidi="ar"/>
        </w:rPr>
      </w:pPr>
      <w:r>
        <w:rPr>
          <w:rFonts w:hint="eastAsia" w:ascii="仿宋" w:hAnsi="仿宋" w:eastAsia="仿宋" w:cs="仿宋"/>
          <w:color w:val="auto"/>
          <w:sz w:val="24"/>
          <w:lang w:bidi="ar"/>
        </w:rPr>
        <w:t>202</w:t>
      </w:r>
      <w:r>
        <w:rPr>
          <w:rFonts w:hint="eastAsia" w:ascii="仿宋" w:hAnsi="仿宋" w:eastAsia="仿宋" w:cs="仿宋"/>
          <w:color w:val="auto"/>
          <w:sz w:val="24"/>
          <w:lang w:val="en-US" w:eastAsia="zh-CN" w:bidi="ar"/>
        </w:rPr>
        <w:t>4年</w:t>
      </w:r>
      <w:r>
        <w:rPr>
          <w:rFonts w:hint="eastAsia" w:ascii="仿宋" w:hAnsi="仿宋" w:eastAsia="仿宋" w:cs="仿宋"/>
          <w:color w:val="auto"/>
          <w:sz w:val="24"/>
          <w:lang w:bidi="ar"/>
        </w:rPr>
        <w:t>萧山钱塘江竞潮·半程马拉松赛预计将于202</w:t>
      </w:r>
      <w:r>
        <w:rPr>
          <w:rFonts w:hint="eastAsia" w:ascii="仿宋" w:hAnsi="仿宋" w:eastAsia="仿宋" w:cs="仿宋"/>
          <w:color w:val="auto"/>
          <w:sz w:val="24"/>
          <w:lang w:val="en-US" w:eastAsia="zh-CN" w:bidi="ar"/>
        </w:rPr>
        <w:t>4</w:t>
      </w:r>
      <w:r>
        <w:rPr>
          <w:rFonts w:hint="eastAsia" w:ascii="仿宋" w:hAnsi="仿宋" w:eastAsia="仿宋" w:cs="仿宋"/>
          <w:color w:val="auto"/>
          <w:sz w:val="24"/>
          <w:lang w:bidi="ar"/>
        </w:rPr>
        <w:t>年1</w:t>
      </w:r>
      <w:r>
        <w:rPr>
          <w:rFonts w:hint="eastAsia" w:ascii="仿宋" w:hAnsi="仿宋" w:eastAsia="仿宋" w:cs="仿宋"/>
          <w:color w:val="auto"/>
          <w:sz w:val="24"/>
          <w:lang w:val="en-US" w:eastAsia="zh-CN" w:bidi="ar"/>
        </w:rPr>
        <w:t>0</w:t>
      </w:r>
      <w:r>
        <w:rPr>
          <w:rFonts w:hint="eastAsia" w:ascii="仿宋" w:hAnsi="仿宋" w:eastAsia="仿宋" w:cs="仿宋"/>
          <w:color w:val="auto"/>
          <w:sz w:val="24"/>
          <w:lang w:bidi="ar"/>
        </w:rPr>
        <w:t>月在美女坝及钱塘江沿线大堤举办，赛事总规模980人，包括两个项目：半程马拉松（公里：21.0975km），人数700人；欢乐跑（公里：5km），人数280人，本次招标项目为202</w:t>
      </w:r>
      <w:r>
        <w:rPr>
          <w:rFonts w:hint="eastAsia" w:ascii="仿宋" w:hAnsi="仿宋" w:eastAsia="仿宋" w:cs="仿宋"/>
          <w:color w:val="auto"/>
          <w:sz w:val="24"/>
          <w:lang w:val="en-US" w:eastAsia="zh-CN" w:bidi="ar"/>
        </w:rPr>
        <w:t>4</w:t>
      </w:r>
      <w:r>
        <w:rPr>
          <w:rFonts w:hint="eastAsia" w:ascii="仿宋" w:hAnsi="仿宋" w:eastAsia="仿宋" w:cs="仿宋"/>
          <w:color w:val="auto"/>
          <w:sz w:val="24"/>
          <w:lang w:bidi="ar"/>
        </w:rPr>
        <w:t>萧山钱塘江竞潮·半程马拉松赛赛事运营服务。</w:t>
      </w:r>
    </w:p>
    <w:p>
      <w:pPr>
        <w:keepNext w:val="0"/>
        <w:keepLines w:val="0"/>
        <w:pageBreakBefore w:val="0"/>
        <w:widowControl w:val="0"/>
        <w:kinsoku/>
        <w:wordWrap/>
        <w:overflowPunct/>
        <w:topLinePunct w:val="0"/>
        <w:bidi w:val="0"/>
        <w:adjustRightInd/>
        <w:spacing w:line="360" w:lineRule="auto"/>
        <w:ind w:firstLine="482" w:firstLineChars="200"/>
        <w:textAlignment w:val="auto"/>
        <w:rPr>
          <w:rFonts w:ascii="仿宋" w:hAnsi="仿宋" w:eastAsia="仿宋" w:cs="仿宋"/>
          <w:b/>
          <w:bCs/>
          <w:color w:val="auto"/>
          <w:sz w:val="24"/>
        </w:rPr>
      </w:pPr>
      <w:r>
        <w:rPr>
          <w:rFonts w:hint="eastAsia" w:ascii="仿宋" w:hAnsi="仿宋" w:eastAsia="仿宋" w:cs="仿宋"/>
          <w:b/>
          <w:bCs/>
          <w:color w:val="auto"/>
          <w:sz w:val="24"/>
          <w:lang w:bidi="ar"/>
        </w:rPr>
        <w:t>一、</w:t>
      </w:r>
      <w:r>
        <w:rPr>
          <w:rFonts w:hint="eastAsia" w:ascii="仿宋" w:hAnsi="仿宋" w:eastAsia="仿宋" w:cs="仿宋"/>
          <w:b/>
          <w:bCs/>
          <w:color w:val="auto"/>
          <w:sz w:val="24"/>
        </w:rPr>
        <w:t>活动主题</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lang w:eastAsia="zh-Hans"/>
        </w:rPr>
        <w:t>奔竞不息 勇立潮头</w:t>
      </w:r>
    </w:p>
    <w:p>
      <w:pPr>
        <w:keepNext w:val="0"/>
        <w:keepLines w:val="0"/>
        <w:pageBreakBefore w:val="0"/>
        <w:widowControl w:val="0"/>
        <w:kinsoku/>
        <w:wordWrap/>
        <w:overflowPunct/>
        <w:topLinePunct w:val="0"/>
        <w:bidi w:val="0"/>
        <w:adjustRightInd/>
        <w:spacing w:line="360" w:lineRule="auto"/>
        <w:ind w:firstLine="482" w:firstLineChars="200"/>
        <w:textAlignment w:val="auto"/>
        <w:rPr>
          <w:rFonts w:ascii="仿宋" w:hAnsi="仿宋" w:eastAsia="仿宋" w:cs="仿宋"/>
          <w:b/>
          <w:bCs/>
          <w:color w:val="auto"/>
          <w:sz w:val="24"/>
        </w:rPr>
      </w:pPr>
      <w:r>
        <w:rPr>
          <w:rFonts w:hint="eastAsia" w:ascii="仿宋" w:hAnsi="仿宋" w:eastAsia="仿宋" w:cs="仿宋"/>
          <w:b/>
          <w:bCs/>
          <w:color w:val="auto"/>
          <w:sz w:val="24"/>
          <w:lang w:val="en-US" w:eastAsia="zh-CN"/>
        </w:rPr>
        <w:t>二</w:t>
      </w:r>
      <w:r>
        <w:rPr>
          <w:rFonts w:hint="eastAsia" w:ascii="仿宋" w:hAnsi="仿宋" w:eastAsia="仿宋" w:cs="仿宋"/>
          <w:b/>
          <w:bCs/>
          <w:color w:val="auto"/>
          <w:sz w:val="24"/>
        </w:rPr>
        <w:t>、活动时间和地点</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活动日期：1</w:t>
      </w:r>
      <w:r>
        <w:rPr>
          <w:rFonts w:hint="eastAsia" w:ascii="仿宋" w:hAnsi="仿宋" w:eastAsia="仿宋" w:cs="仿宋"/>
          <w:color w:val="auto"/>
          <w:sz w:val="24"/>
          <w:lang w:val="en-US" w:eastAsia="zh-CN"/>
        </w:rPr>
        <w:t>0</w:t>
      </w:r>
      <w:r>
        <w:rPr>
          <w:rFonts w:hint="eastAsia" w:ascii="仿宋" w:hAnsi="仿宋" w:eastAsia="仿宋" w:cs="仿宋"/>
          <w:color w:val="auto"/>
          <w:sz w:val="24"/>
        </w:rPr>
        <w:t>月（暂定）</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（具体根据潮水到达美女坝时间）</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活动时间：</w:t>
      </w:r>
      <w:r>
        <w:rPr>
          <w:rFonts w:hint="eastAsia" w:ascii="仿宋" w:hAnsi="仿宋" w:eastAsia="仿宋" w:cs="仿宋"/>
          <w:color w:val="auto"/>
          <w:sz w:val="24"/>
          <w:lang w:val="en-US" w:eastAsia="zh-CN"/>
        </w:rPr>
        <w:t>15</w:t>
      </w:r>
      <w:r>
        <w:rPr>
          <w:rFonts w:hint="eastAsia" w:ascii="仿宋" w:hAnsi="仿宋" w:eastAsia="仿宋" w:cs="仿宋"/>
          <w:color w:val="auto"/>
          <w:sz w:val="24"/>
        </w:rPr>
        <w:t>:</w:t>
      </w:r>
      <w:r>
        <w:rPr>
          <w:rFonts w:hint="eastAsia" w:ascii="仿宋" w:hAnsi="仿宋" w:eastAsia="仿宋" w:cs="仿宋"/>
          <w:color w:val="auto"/>
          <w:sz w:val="24"/>
          <w:lang w:val="en-US" w:eastAsia="zh-CN"/>
        </w:rPr>
        <w:t>0</w:t>
      </w:r>
      <w:r>
        <w:rPr>
          <w:rFonts w:hint="eastAsia" w:ascii="仿宋" w:hAnsi="仿宋" w:eastAsia="仿宋" w:cs="仿宋"/>
          <w:color w:val="auto"/>
          <w:sz w:val="24"/>
        </w:rPr>
        <w:t>0-1</w:t>
      </w:r>
      <w:r>
        <w:rPr>
          <w:rFonts w:hint="eastAsia" w:ascii="仿宋" w:hAnsi="仿宋" w:eastAsia="仿宋" w:cs="仿宋"/>
          <w:color w:val="auto"/>
          <w:sz w:val="24"/>
          <w:lang w:val="en-US" w:eastAsia="zh-CN"/>
        </w:rPr>
        <w:t>8</w:t>
      </w:r>
      <w:r>
        <w:rPr>
          <w:rFonts w:hint="eastAsia" w:ascii="仿宋" w:hAnsi="仿宋" w:eastAsia="仿宋" w:cs="仿宋"/>
          <w:color w:val="auto"/>
          <w:sz w:val="24"/>
        </w:rPr>
        <w:t>:</w:t>
      </w:r>
      <w:r>
        <w:rPr>
          <w:rFonts w:hint="eastAsia" w:ascii="仿宋" w:hAnsi="仿宋" w:eastAsia="仿宋" w:cs="仿宋"/>
          <w:color w:val="auto"/>
          <w:sz w:val="24"/>
          <w:lang w:val="en-US" w:eastAsia="zh-CN"/>
        </w:rPr>
        <w:t>0</w:t>
      </w:r>
      <w:r>
        <w:rPr>
          <w:rFonts w:hint="eastAsia" w:ascii="仿宋" w:hAnsi="仿宋" w:eastAsia="仿宋" w:cs="仿宋"/>
          <w:color w:val="auto"/>
          <w:sz w:val="24"/>
        </w:rPr>
        <w:t>0</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活动地点：钱塘江沿线大堤</w:t>
      </w:r>
    </w:p>
    <w:p>
      <w:pPr>
        <w:keepNext w:val="0"/>
        <w:keepLines w:val="0"/>
        <w:pageBreakBefore w:val="0"/>
        <w:widowControl w:val="0"/>
        <w:kinsoku/>
        <w:wordWrap/>
        <w:overflowPunct/>
        <w:topLinePunct w:val="0"/>
        <w:bidi w:val="0"/>
        <w:adjustRightInd/>
        <w:spacing w:line="360" w:lineRule="auto"/>
        <w:ind w:firstLine="482" w:firstLineChars="200"/>
        <w:textAlignment w:val="auto"/>
        <w:rPr>
          <w:rFonts w:ascii="仿宋" w:hAnsi="仿宋" w:eastAsia="仿宋" w:cs="仿宋"/>
          <w:b/>
          <w:bCs/>
          <w:color w:val="auto"/>
          <w:sz w:val="24"/>
        </w:rPr>
      </w:pPr>
      <w:r>
        <w:rPr>
          <w:rFonts w:hint="eastAsia" w:ascii="仿宋" w:hAnsi="仿宋" w:eastAsia="仿宋" w:cs="仿宋"/>
          <w:b/>
          <w:bCs/>
          <w:color w:val="auto"/>
          <w:sz w:val="24"/>
          <w:lang w:val="en-US" w:eastAsia="zh-CN"/>
        </w:rPr>
        <w:t>三</w:t>
      </w:r>
      <w:r>
        <w:rPr>
          <w:rFonts w:hint="eastAsia" w:ascii="仿宋" w:hAnsi="仿宋" w:eastAsia="仿宋" w:cs="仿宋"/>
          <w:b/>
          <w:bCs/>
          <w:color w:val="auto"/>
          <w:sz w:val="24"/>
        </w:rPr>
        <w:t>、活动规模和项目设置</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本次活动活动规模为980人，将分为半程马拉松、欢乐跑两个组别，其中：</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eastAsia="zh-Hans"/>
        </w:rPr>
        <w:t>一</w:t>
      </w:r>
      <w:r>
        <w:rPr>
          <w:rFonts w:hint="eastAsia" w:ascii="仿宋" w:hAnsi="仿宋" w:eastAsia="仿宋" w:cs="仿宋"/>
          <w:color w:val="auto"/>
          <w:sz w:val="24"/>
        </w:rPr>
        <w:t>）半程马拉松组（21.095公里）</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人数规模：700人</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欢乐跑组（5</w:t>
      </w:r>
      <w:r>
        <w:rPr>
          <w:rFonts w:hint="eastAsia" w:ascii="仿宋" w:hAnsi="仿宋" w:eastAsia="仿宋" w:cs="仿宋"/>
          <w:color w:val="auto"/>
          <w:sz w:val="24"/>
          <w:lang w:eastAsia="zh-Hans"/>
        </w:rPr>
        <w:t>公里</w:t>
      </w:r>
      <w:r>
        <w:rPr>
          <w:rFonts w:hint="eastAsia" w:ascii="仿宋" w:hAnsi="仿宋" w:eastAsia="仿宋" w:cs="仿宋"/>
          <w:color w:val="auto"/>
          <w:sz w:val="24"/>
        </w:rPr>
        <w:t>）</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人数规模：280人</w:t>
      </w:r>
    </w:p>
    <w:p>
      <w:pPr>
        <w:keepNext w:val="0"/>
        <w:keepLines w:val="0"/>
        <w:pageBreakBefore w:val="0"/>
        <w:widowControl w:val="0"/>
        <w:kinsoku/>
        <w:wordWrap/>
        <w:overflowPunct/>
        <w:topLinePunct w:val="0"/>
        <w:bidi w:val="0"/>
        <w:adjustRightInd/>
        <w:spacing w:line="360" w:lineRule="auto"/>
        <w:ind w:firstLine="482" w:firstLineChars="200"/>
        <w:textAlignment w:val="auto"/>
        <w:rPr>
          <w:rFonts w:ascii="仿宋" w:hAnsi="仿宋" w:eastAsia="仿宋" w:cs="仿宋"/>
          <w:b/>
          <w:bCs/>
          <w:color w:val="auto"/>
          <w:sz w:val="24"/>
        </w:rPr>
      </w:pPr>
      <w:r>
        <w:rPr>
          <w:rFonts w:hint="eastAsia" w:ascii="仿宋" w:hAnsi="仿宋" w:eastAsia="仿宋" w:cs="仿宋"/>
          <w:b/>
          <w:bCs/>
          <w:color w:val="auto"/>
          <w:sz w:val="24"/>
          <w:lang w:val="en-US" w:eastAsia="zh-CN"/>
        </w:rPr>
        <w:t>四</w:t>
      </w:r>
      <w:r>
        <w:rPr>
          <w:rFonts w:hint="eastAsia" w:ascii="仿宋" w:hAnsi="仿宋" w:eastAsia="仿宋" w:cs="仿宋"/>
          <w:b/>
          <w:bCs/>
          <w:color w:val="auto"/>
          <w:sz w:val="24"/>
        </w:rPr>
        <w:t>、活动路线（暂定）</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半程马拉松路线（21.0975公里）：南阳美女坝→沿江大堤（钱塘江绿道）→</w:t>
      </w:r>
      <w:r>
        <w:rPr>
          <w:rFonts w:hint="eastAsia" w:ascii="仿宋" w:hAnsi="仿宋" w:eastAsia="仿宋" w:cs="仿宋"/>
          <w:color w:val="auto"/>
          <w:sz w:val="24"/>
          <w:lang w:eastAsia="zh-Hans"/>
        </w:rPr>
        <w:t>钱江世纪</w:t>
      </w:r>
      <w:r>
        <w:rPr>
          <w:rFonts w:hint="eastAsia" w:ascii="仿宋" w:hAnsi="仿宋" w:eastAsia="仿宋" w:cs="仿宋"/>
          <w:color w:val="auto"/>
          <w:sz w:val="24"/>
        </w:rPr>
        <w:t>公园</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欢乐跑路线（约5公里）：南阳美女坝→沿江大堤→折返→沿江大堤→南阳美女坝</w:t>
      </w:r>
    </w:p>
    <w:p>
      <w:pPr>
        <w:pStyle w:val="23"/>
        <w:keepNext w:val="0"/>
        <w:keepLines w:val="0"/>
        <w:pageBreakBefore w:val="0"/>
        <w:widowControl w:val="0"/>
        <w:kinsoku/>
        <w:wordWrap/>
        <w:overflowPunct/>
        <w:topLinePunct w:val="0"/>
        <w:bidi w:val="0"/>
        <w:spacing w:line="360" w:lineRule="auto"/>
        <w:textAlignment w:val="auto"/>
        <w:rPr>
          <w:rFonts w:ascii="仿宋" w:hAnsi="仿宋" w:eastAsia="仿宋" w:cs="仿宋"/>
          <w:b/>
          <w:bCs/>
          <w:color w:val="auto"/>
          <w:sz w:val="24"/>
        </w:rPr>
      </w:pPr>
      <w:r>
        <w:rPr>
          <w:rFonts w:hint="eastAsia" w:ascii="仿宋" w:hAnsi="仿宋" w:eastAsia="仿宋" w:cs="仿宋"/>
          <w:b/>
          <w:bCs/>
          <w:color w:val="auto"/>
          <w:sz w:val="24"/>
        </w:rPr>
        <w:t>（三）、运营服务要求</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中标人应坚持国际化、市场化、专业化的办赛理念，创新赛事内容，打造提升赛事品牌的质量和影响力。中标人应按照中国田径协会马拉松C类赛事的最新标准，制定出办赛计划书，严格按照计划完成赛事的承办工作，并承担承办的责任和费用，需求包括但不限于：</w:t>
      </w:r>
    </w:p>
    <w:p>
      <w:pPr>
        <w:keepNext w:val="0"/>
        <w:keepLines w:val="0"/>
        <w:pageBreakBefore w:val="0"/>
        <w:widowControl w:val="0"/>
        <w:kinsoku/>
        <w:wordWrap/>
        <w:overflowPunct/>
        <w:topLinePunct w:val="0"/>
        <w:bidi w:val="0"/>
        <w:adjustRightInd/>
        <w:spacing w:line="360" w:lineRule="auto"/>
        <w:textAlignment w:val="auto"/>
        <w:rPr>
          <w:rFonts w:ascii="仿宋" w:hAnsi="仿宋" w:eastAsia="仿宋" w:cs="仿宋"/>
          <w:color w:val="auto"/>
          <w:sz w:val="24"/>
        </w:rPr>
      </w:pPr>
      <w:r>
        <w:rPr>
          <w:rFonts w:hint="eastAsia" w:ascii="仿宋" w:hAnsi="仿宋" w:eastAsia="仿宋" w:cs="仿宋"/>
          <w:color w:val="auto"/>
          <w:sz w:val="24"/>
        </w:rPr>
        <w:t>1. 赛事规模保障。中标人应保证赛事的参赛选手不少于980名。</w:t>
      </w:r>
    </w:p>
    <w:p>
      <w:pPr>
        <w:keepNext w:val="0"/>
        <w:keepLines w:val="0"/>
        <w:pageBreakBefore w:val="0"/>
        <w:widowControl w:val="0"/>
        <w:kinsoku/>
        <w:wordWrap/>
        <w:overflowPunct/>
        <w:topLinePunct w:val="0"/>
        <w:bidi w:val="0"/>
        <w:adjustRightInd/>
        <w:spacing w:line="360" w:lineRule="auto"/>
        <w:textAlignment w:val="auto"/>
        <w:rPr>
          <w:rFonts w:ascii="仿宋" w:hAnsi="仿宋" w:eastAsia="仿宋" w:cs="仿宋"/>
          <w:color w:val="auto"/>
          <w:sz w:val="24"/>
        </w:rPr>
      </w:pPr>
      <w:r>
        <w:rPr>
          <w:rFonts w:hint="eastAsia" w:ascii="仿宋" w:hAnsi="仿宋" w:eastAsia="仿宋" w:cs="仿宋"/>
          <w:color w:val="auto"/>
          <w:sz w:val="24"/>
        </w:rPr>
        <w:t>2. 比赛物资保障。中标人负责通过实物赞助或购买的方式提供赛事所需的物资、竞赛器材，确保比赛的顺利进行。以980名参赛选手为基数，物资、竞赛器材包括但不限于：</w:t>
      </w:r>
    </w:p>
    <w:p>
      <w:pPr>
        <w:keepNext w:val="0"/>
        <w:keepLines w:val="0"/>
        <w:pageBreakBefore w:val="0"/>
        <w:widowControl w:val="0"/>
        <w:kinsoku/>
        <w:wordWrap/>
        <w:overflowPunct/>
        <w:topLinePunct w:val="0"/>
        <w:bidi w:val="0"/>
        <w:adjustRightInd/>
        <w:spacing w:line="360" w:lineRule="auto"/>
        <w:textAlignment w:val="auto"/>
        <w:rPr>
          <w:rFonts w:ascii="仿宋" w:hAnsi="仿宋" w:eastAsia="仿宋" w:cs="仿宋"/>
          <w:color w:val="auto"/>
          <w:sz w:val="24"/>
        </w:rPr>
      </w:pPr>
      <w:r>
        <w:rPr>
          <w:rFonts w:hint="eastAsia" w:ascii="仿宋" w:hAnsi="仿宋" w:eastAsia="仿宋" w:cs="仿宋"/>
          <w:color w:val="auto"/>
          <w:sz w:val="24"/>
        </w:rPr>
        <w:t>（1）服装、装备的具体样式设计须经采购单位审定，数量应满足赛事的需要。</w:t>
      </w:r>
    </w:p>
    <w:p>
      <w:pPr>
        <w:keepNext w:val="0"/>
        <w:keepLines w:val="0"/>
        <w:pageBreakBefore w:val="0"/>
        <w:widowControl w:val="0"/>
        <w:kinsoku/>
        <w:wordWrap/>
        <w:overflowPunct/>
        <w:topLinePunct w:val="0"/>
        <w:bidi w:val="0"/>
        <w:adjustRightInd/>
        <w:spacing w:line="360" w:lineRule="auto"/>
        <w:textAlignment w:val="auto"/>
        <w:rPr>
          <w:rFonts w:ascii="仿宋" w:hAnsi="仿宋" w:eastAsia="仿宋" w:cs="仿宋"/>
          <w:color w:val="auto"/>
          <w:sz w:val="24"/>
        </w:rPr>
      </w:pPr>
      <w:r>
        <w:rPr>
          <w:rFonts w:hint="eastAsia" w:ascii="仿宋" w:hAnsi="仿宋" w:eastAsia="仿宋" w:cs="仿宋"/>
          <w:color w:val="auto"/>
          <w:sz w:val="24"/>
        </w:rPr>
        <w:t>（2）参赛选手服装及装备：参赛T恤、参赛包等各不少于980件。</w:t>
      </w:r>
    </w:p>
    <w:p>
      <w:pPr>
        <w:keepNext w:val="0"/>
        <w:keepLines w:val="0"/>
        <w:pageBreakBefore w:val="0"/>
        <w:widowControl w:val="0"/>
        <w:kinsoku/>
        <w:wordWrap/>
        <w:overflowPunct/>
        <w:topLinePunct w:val="0"/>
        <w:bidi w:val="0"/>
        <w:adjustRightInd/>
        <w:spacing w:line="360" w:lineRule="auto"/>
        <w:textAlignment w:val="auto"/>
        <w:rPr>
          <w:rFonts w:ascii="仿宋" w:hAnsi="仿宋" w:eastAsia="仿宋" w:cs="仿宋"/>
          <w:color w:val="auto"/>
          <w:sz w:val="24"/>
        </w:rPr>
      </w:pPr>
      <w:r>
        <w:rPr>
          <w:rFonts w:hint="eastAsia" w:ascii="仿宋" w:hAnsi="仿宋" w:eastAsia="仿宋" w:cs="仿宋"/>
          <w:color w:val="auto"/>
          <w:sz w:val="24"/>
        </w:rPr>
        <w:t>（3）志愿者服装：满足志愿者及组织人员装备需求。</w:t>
      </w:r>
    </w:p>
    <w:p>
      <w:pPr>
        <w:keepNext w:val="0"/>
        <w:keepLines w:val="0"/>
        <w:pageBreakBefore w:val="0"/>
        <w:widowControl w:val="0"/>
        <w:kinsoku/>
        <w:wordWrap/>
        <w:overflowPunct/>
        <w:topLinePunct w:val="0"/>
        <w:bidi w:val="0"/>
        <w:adjustRightInd/>
        <w:spacing w:line="360" w:lineRule="auto"/>
        <w:textAlignment w:val="auto"/>
        <w:rPr>
          <w:rFonts w:ascii="仿宋" w:hAnsi="仿宋" w:eastAsia="仿宋" w:cs="仿宋"/>
          <w:color w:val="auto"/>
          <w:sz w:val="24"/>
        </w:rPr>
      </w:pPr>
      <w:r>
        <w:rPr>
          <w:rFonts w:hint="eastAsia" w:ascii="仿宋" w:hAnsi="仿宋" w:eastAsia="仿宋" w:cs="仿宋"/>
          <w:color w:val="auto"/>
          <w:sz w:val="24"/>
        </w:rPr>
        <w:t>（4）出席官员装备：不少于20套（上衣、裤子、鞋子）。备注：参赛选手、志愿者、出席官员、工作人员和裁判员的服装必须以颜色和款式等进行区分。</w:t>
      </w:r>
    </w:p>
    <w:p>
      <w:pPr>
        <w:keepNext w:val="0"/>
        <w:keepLines w:val="0"/>
        <w:pageBreakBefore w:val="0"/>
        <w:widowControl w:val="0"/>
        <w:kinsoku/>
        <w:wordWrap/>
        <w:overflowPunct/>
        <w:topLinePunct w:val="0"/>
        <w:bidi w:val="0"/>
        <w:adjustRightInd/>
        <w:spacing w:line="360" w:lineRule="auto"/>
        <w:textAlignment w:val="auto"/>
        <w:rPr>
          <w:rFonts w:ascii="仿宋" w:hAnsi="仿宋" w:eastAsia="仿宋" w:cs="仿宋"/>
          <w:color w:val="auto"/>
          <w:sz w:val="24"/>
        </w:rPr>
      </w:pPr>
      <w:r>
        <w:rPr>
          <w:rFonts w:hint="eastAsia" w:ascii="仿宋" w:hAnsi="仿宋" w:eastAsia="仿宋" w:cs="仿宋"/>
          <w:color w:val="auto"/>
          <w:sz w:val="24"/>
        </w:rPr>
        <w:t>（5）完赛装备：完赛包、完赛奖牌不少于980个，完赛毛巾不少于750个。</w:t>
      </w:r>
    </w:p>
    <w:p>
      <w:pPr>
        <w:keepNext w:val="0"/>
        <w:keepLines w:val="0"/>
        <w:pageBreakBefore w:val="0"/>
        <w:widowControl w:val="0"/>
        <w:kinsoku/>
        <w:wordWrap/>
        <w:overflowPunct/>
        <w:topLinePunct w:val="0"/>
        <w:bidi w:val="0"/>
        <w:adjustRightInd/>
        <w:spacing w:line="360" w:lineRule="auto"/>
        <w:textAlignment w:val="auto"/>
        <w:rPr>
          <w:rFonts w:ascii="仿宋" w:hAnsi="仿宋" w:eastAsia="仿宋" w:cs="仿宋"/>
          <w:color w:val="auto"/>
          <w:sz w:val="24"/>
        </w:rPr>
      </w:pPr>
      <w:r>
        <w:rPr>
          <w:rFonts w:hint="eastAsia" w:ascii="仿宋" w:hAnsi="仿宋" w:eastAsia="仿宋" w:cs="仿宋"/>
          <w:color w:val="auto"/>
          <w:sz w:val="24"/>
        </w:rPr>
        <w:t>（6）饮用水和运动饮用水和运动饮料的品牌必须与赛事定位相匹配，质量必须符合国家相关行业标准，数量应满足赛事的需要（包含安保、交警、医疗、志愿者等人员用水）。</w:t>
      </w:r>
    </w:p>
    <w:p>
      <w:pPr>
        <w:keepNext w:val="0"/>
        <w:keepLines w:val="0"/>
        <w:pageBreakBefore w:val="0"/>
        <w:widowControl w:val="0"/>
        <w:kinsoku/>
        <w:wordWrap/>
        <w:overflowPunct/>
        <w:topLinePunct w:val="0"/>
        <w:bidi w:val="0"/>
        <w:adjustRightInd/>
        <w:spacing w:line="360" w:lineRule="auto"/>
        <w:textAlignment w:val="auto"/>
        <w:rPr>
          <w:rFonts w:ascii="仿宋" w:hAnsi="仿宋" w:eastAsia="仿宋" w:cs="仿宋"/>
          <w:color w:val="auto"/>
          <w:sz w:val="24"/>
        </w:rPr>
      </w:pPr>
      <w:r>
        <w:rPr>
          <w:rFonts w:hint="eastAsia" w:ascii="仿宋" w:hAnsi="仿宋" w:eastAsia="仿宋" w:cs="仿宋"/>
          <w:color w:val="auto"/>
          <w:sz w:val="24"/>
        </w:rPr>
        <w:t>饮用水：不少于5000瓶，总量不少于2775升。</w:t>
      </w:r>
    </w:p>
    <w:p>
      <w:pPr>
        <w:keepNext w:val="0"/>
        <w:keepLines w:val="0"/>
        <w:pageBreakBefore w:val="0"/>
        <w:widowControl w:val="0"/>
        <w:kinsoku/>
        <w:wordWrap/>
        <w:overflowPunct/>
        <w:topLinePunct w:val="0"/>
        <w:bidi w:val="0"/>
        <w:adjustRightInd/>
        <w:spacing w:line="360" w:lineRule="auto"/>
        <w:textAlignment w:val="auto"/>
        <w:rPr>
          <w:rFonts w:ascii="仿宋" w:hAnsi="仿宋" w:eastAsia="仿宋" w:cs="仿宋"/>
          <w:color w:val="auto"/>
          <w:sz w:val="24"/>
        </w:rPr>
      </w:pPr>
      <w:r>
        <w:rPr>
          <w:rFonts w:hint="eastAsia" w:ascii="仿宋" w:hAnsi="仿宋" w:eastAsia="仿宋" w:cs="仿宋"/>
          <w:color w:val="auto"/>
          <w:sz w:val="24"/>
        </w:rPr>
        <w:t>运动饮料：不少于2500瓶，总量不少于1250升。</w:t>
      </w:r>
    </w:p>
    <w:p>
      <w:pPr>
        <w:keepNext w:val="0"/>
        <w:keepLines w:val="0"/>
        <w:pageBreakBefore w:val="0"/>
        <w:widowControl w:val="0"/>
        <w:kinsoku/>
        <w:wordWrap/>
        <w:overflowPunct/>
        <w:topLinePunct w:val="0"/>
        <w:bidi w:val="0"/>
        <w:adjustRightInd/>
        <w:spacing w:line="360" w:lineRule="auto"/>
        <w:textAlignment w:val="auto"/>
        <w:rPr>
          <w:rFonts w:ascii="仿宋" w:hAnsi="仿宋" w:eastAsia="仿宋" w:cs="仿宋"/>
          <w:color w:val="auto"/>
          <w:sz w:val="24"/>
        </w:rPr>
      </w:pPr>
      <w:r>
        <w:rPr>
          <w:rFonts w:hint="eastAsia" w:ascii="仿宋" w:hAnsi="仿宋" w:eastAsia="仿宋" w:cs="仿宋"/>
          <w:color w:val="auto"/>
          <w:sz w:val="24"/>
        </w:rPr>
        <w:t>（7）满足比赛用的发令枪、发令弹、手旗、秒表、保温箱、号码布、计时计分系统、工作证等竞赛物资。</w:t>
      </w:r>
    </w:p>
    <w:p>
      <w:pPr>
        <w:keepNext w:val="0"/>
        <w:keepLines w:val="0"/>
        <w:pageBreakBefore w:val="0"/>
        <w:widowControl w:val="0"/>
        <w:kinsoku/>
        <w:wordWrap/>
        <w:overflowPunct/>
        <w:topLinePunct w:val="0"/>
        <w:bidi w:val="0"/>
        <w:adjustRightInd/>
        <w:spacing w:line="360" w:lineRule="auto"/>
        <w:textAlignment w:val="auto"/>
        <w:rPr>
          <w:rFonts w:ascii="仿宋" w:hAnsi="仿宋" w:eastAsia="仿宋" w:cs="仿宋"/>
          <w:color w:val="auto"/>
          <w:sz w:val="24"/>
        </w:rPr>
      </w:pPr>
      <w:r>
        <w:rPr>
          <w:rFonts w:hint="eastAsia" w:ascii="仿宋" w:hAnsi="仿宋" w:eastAsia="仿宋" w:cs="仿宋"/>
          <w:color w:val="auto"/>
          <w:sz w:val="24"/>
        </w:rPr>
        <w:t>如参赛选手人数有变化，则根据实际人数按一定比例进行调整，调整方案须以书面方式征得采购单位同意。</w:t>
      </w:r>
    </w:p>
    <w:p>
      <w:pPr>
        <w:keepNext w:val="0"/>
        <w:keepLines w:val="0"/>
        <w:pageBreakBefore w:val="0"/>
        <w:widowControl w:val="0"/>
        <w:kinsoku/>
        <w:wordWrap/>
        <w:overflowPunct/>
        <w:topLinePunct w:val="0"/>
        <w:bidi w:val="0"/>
        <w:adjustRightInd/>
        <w:spacing w:line="360" w:lineRule="auto"/>
        <w:textAlignment w:val="auto"/>
        <w:rPr>
          <w:rFonts w:ascii="仿宋" w:hAnsi="仿宋" w:eastAsia="仿宋" w:cs="仿宋"/>
          <w:color w:val="auto"/>
          <w:sz w:val="24"/>
        </w:rPr>
      </w:pPr>
      <w:r>
        <w:rPr>
          <w:rFonts w:hint="eastAsia" w:ascii="仿宋" w:hAnsi="仿宋" w:eastAsia="仿宋" w:cs="仿宋"/>
          <w:color w:val="auto"/>
          <w:sz w:val="24"/>
        </w:rPr>
        <w:t>3. 安全保障。中标人应于赛事举办前制订安全保障方案并报采购单位备案，经公安等行政部门审定后组织实施。运营方承诺为保障赛事顺利运行，在主要软、硬件指标配备上符合公安部门、交警部门、交通运输部门等相关部门业务要求。</w:t>
      </w:r>
    </w:p>
    <w:p>
      <w:pPr>
        <w:keepNext w:val="0"/>
        <w:keepLines w:val="0"/>
        <w:pageBreakBefore w:val="0"/>
        <w:widowControl w:val="0"/>
        <w:kinsoku/>
        <w:wordWrap/>
        <w:overflowPunct/>
        <w:topLinePunct w:val="0"/>
        <w:bidi w:val="0"/>
        <w:adjustRightInd/>
        <w:spacing w:line="360" w:lineRule="auto"/>
        <w:textAlignment w:val="auto"/>
        <w:rPr>
          <w:rFonts w:ascii="仿宋" w:hAnsi="仿宋" w:eastAsia="仿宋" w:cs="仿宋"/>
          <w:color w:val="auto"/>
          <w:sz w:val="24"/>
        </w:rPr>
      </w:pPr>
      <w:r>
        <w:rPr>
          <w:rFonts w:hint="eastAsia" w:ascii="仿宋" w:hAnsi="仿宋" w:eastAsia="仿宋" w:cs="仿宋"/>
          <w:color w:val="auto"/>
          <w:sz w:val="24"/>
        </w:rPr>
        <w:t>4. 交通保障。中标人应于赛事举办前制订交通保障方案并报采购单位备案，经交警、交通等行政部门审定后组织实施。运营方承诺为保障赛事顺利运行，在主要软、硬件指标配备上符合交警部门、交通运输部门等相关部门业务要求；</w:t>
      </w:r>
    </w:p>
    <w:p>
      <w:pPr>
        <w:keepNext w:val="0"/>
        <w:keepLines w:val="0"/>
        <w:pageBreakBefore w:val="0"/>
        <w:widowControl w:val="0"/>
        <w:kinsoku/>
        <w:wordWrap/>
        <w:overflowPunct/>
        <w:topLinePunct w:val="0"/>
        <w:bidi w:val="0"/>
        <w:adjustRightInd/>
        <w:spacing w:line="360" w:lineRule="auto"/>
        <w:textAlignment w:val="auto"/>
        <w:rPr>
          <w:rFonts w:ascii="仿宋" w:hAnsi="仿宋" w:eastAsia="仿宋" w:cs="仿宋"/>
          <w:color w:val="auto"/>
          <w:sz w:val="24"/>
        </w:rPr>
      </w:pPr>
      <w:r>
        <w:rPr>
          <w:rFonts w:hint="eastAsia" w:ascii="仿宋" w:hAnsi="仿宋" w:eastAsia="仿宋" w:cs="仿宋"/>
          <w:color w:val="auto"/>
          <w:sz w:val="24"/>
        </w:rPr>
        <w:t>5. 医疗卫生保障。中标人应于赛事举办前制定医疗保障方案（含医疗物资配置清单）并报采购单位备案，经医疗等行政部门审定后由运营方组织实施。具体包括但不限于：医疗站点不少于10个；救护车不少于7辆（含医生、护士、司机各一名）；专业医护人员不少20人（含医护人员培训、交通、餐饮等费用）；急救跑者不少于20人；AED（自动体外除颤器）不少于20台（整合资源、租赁）。</w:t>
      </w:r>
    </w:p>
    <w:p>
      <w:pPr>
        <w:keepNext w:val="0"/>
        <w:keepLines w:val="0"/>
        <w:pageBreakBefore w:val="0"/>
        <w:widowControl w:val="0"/>
        <w:kinsoku/>
        <w:wordWrap/>
        <w:overflowPunct/>
        <w:topLinePunct w:val="0"/>
        <w:bidi w:val="0"/>
        <w:adjustRightInd/>
        <w:spacing w:line="360" w:lineRule="auto"/>
        <w:textAlignment w:val="auto"/>
        <w:rPr>
          <w:rFonts w:ascii="仿宋" w:hAnsi="仿宋" w:eastAsia="仿宋" w:cs="仿宋"/>
          <w:color w:val="auto"/>
          <w:sz w:val="24"/>
        </w:rPr>
      </w:pPr>
      <w:r>
        <w:rPr>
          <w:rFonts w:hint="eastAsia" w:ascii="仿宋" w:hAnsi="仿宋" w:eastAsia="仿宋" w:cs="仿宋"/>
          <w:color w:val="auto"/>
          <w:sz w:val="24"/>
        </w:rPr>
        <w:t>6. 赛事宣传推广保障。中标人负责落实赛事品牌设计、赛事传播和比赛前广告宣传，包括但不限于以下方式：</w:t>
      </w:r>
    </w:p>
    <w:p>
      <w:pPr>
        <w:keepNext w:val="0"/>
        <w:keepLines w:val="0"/>
        <w:pageBreakBefore w:val="0"/>
        <w:widowControl w:val="0"/>
        <w:kinsoku/>
        <w:wordWrap/>
        <w:overflowPunct/>
        <w:topLinePunct w:val="0"/>
        <w:bidi w:val="0"/>
        <w:adjustRightInd/>
        <w:spacing w:line="360" w:lineRule="auto"/>
        <w:textAlignment w:val="auto"/>
        <w:rPr>
          <w:rFonts w:ascii="仿宋" w:hAnsi="仿宋" w:eastAsia="仿宋" w:cs="仿宋"/>
          <w:color w:val="auto"/>
          <w:sz w:val="24"/>
        </w:rPr>
      </w:pPr>
      <w:r>
        <w:rPr>
          <w:rFonts w:hint="eastAsia" w:ascii="仿宋" w:hAnsi="仿宋" w:eastAsia="仿宋" w:cs="仿宋"/>
          <w:color w:val="auto"/>
          <w:sz w:val="24"/>
        </w:rPr>
        <w:t>（1）赛事传播应满足申请中国田协相应级别标牌赛事的要求，可参考中国田协官方网站每年公布的《中国田径协会路跑管理文件汇编》。</w:t>
      </w:r>
    </w:p>
    <w:p>
      <w:pPr>
        <w:keepNext w:val="0"/>
        <w:keepLines w:val="0"/>
        <w:pageBreakBefore w:val="0"/>
        <w:widowControl w:val="0"/>
        <w:kinsoku/>
        <w:wordWrap/>
        <w:overflowPunct/>
        <w:topLinePunct w:val="0"/>
        <w:bidi w:val="0"/>
        <w:adjustRightInd/>
        <w:spacing w:line="360" w:lineRule="auto"/>
        <w:textAlignment w:val="auto"/>
        <w:rPr>
          <w:rFonts w:ascii="仿宋" w:hAnsi="仿宋" w:eastAsia="仿宋" w:cs="仿宋"/>
          <w:color w:val="auto"/>
          <w:sz w:val="24"/>
        </w:rPr>
      </w:pPr>
      <w:r>
        <w:rPr>
          <w:rFonts w:hint="eastAsia" w:ascii="仿宋" w:hAnsi="仿宋" w:eastAsia="仿宋" w:cs="仿宋"/>
          <w:color w:val="auto"/>
          <w:sz w:val="24"/>
        </w:rPr>
        <w:t>（2）中标人应制订赛事宣传推广方案，并按采购人要求于赛事举办前交予采购方审定后组织实施。宣传推广应于赛事举办前开始进行，延续至比赛结束后3天内，包括但不限于通过广播电视、平面、网络、户外等媒体，并以广告宣传片、海报等多种方式进行报道宣传。</w:t>
      </w:r>
    </w:p>
    <w:p>
      <w:pPr>
        <w:keepNext w:val="0"/>
        <w:keepLines w:val="0"/>
        <w:pageBreakBefore w:val="0"/>
        <w:widowControl w:val="0"/>
        <w:kinsoku/>
        <w:wordWrap/>
        <w:overflowPunct/>
        <w:topLinePunct w:val="0"/>
        <w:bidi w:val="0"/>
        <w:adjustRightInd/>
        <w:spacing w:line="360" w:lineRule="auto"/>
        <w:textAlignment w:val="auto"/>
        <w:rPr>
          <w:rFonts w:ascii="仿宋" w:hAnsi="仿宋" w:eastAsia="仿宋" w:cs="仿宋"/>
          <w:color w:val="auto"/>
          <w:sz w:val="24"/>
        </w:rPr>
      </w:pPr>
      <w:r>
        <w:rPr>
          <w:rFonts w:hint="eastAsia" w:ascii="仿宋" w:hAnsi="仿宋" w:eastAsia="仿宋" w:cs="仿宋"/>
          <w:color w:val="auto"/>
          <w:sz w:val="24"/>
        </w:rPr>
        <w:t>（3）赛道沿线的赛事广告宣传。</w:t>
      </w:r>
    </w:p>
    <w:p>
      <w:pPr>
        <w:keepNext w:val="0"/>
        <w:keepLines w:val="0"/>
        <w:pageBreakBefore w:val="0"/>
        <w:widowControl w:val="0"/>
        <w:kinsoku/>
        <w:wordWrap/>
        <w:overflowPunct/>
        <w:topLinePunct w:val="0"/>
        <w:bidi w:val="0"/>
        <w:adjustRightInd/>
        <w:spacing w:line="360" w:lineRule="auto"/>
        <w:textAlignment w:val="auto"/>
        <w:rPr>
          <w:rFonts w:ascii="仿宋" w:hAnsi="仿宋" w:eastAsia="仿宋" w:cs="仿宋"/>
          <w:color w:val="auto"/>
          <w:sz w:val="24"/>
        </w:rPr>
      </w:pPr>
      <w:r>
        <w:rPr>
          <w:rFonts w:hint="eastAsia" w:ascii="仿宋" w:hAnsi="仿宋" w:eastAsia="仿宋" w:cs="仿宋"/>
          <w:color w:val="auto"/>
          <w:sz w:val="24"/>
        </w:rPr>
        <w:t>7. 场地设施保障。中标人负责比赛起终点及赛道布置、赛道表演舞台搭建、功能用房、饮料站/饮用水站补给站的设置、供电供水、通信保障等工作。具体方案由中标人提出并经采购单位、公安、城管等行政部门核准后组织实施。</w:t>
      </w:r>
    </w:p>
    <w:p>
      <w:pPr>
        <w:keepNext w:val="0"/>
        <w:keepLines w:val="0"/>
        <w:pageBreakBefore w:val="0"/>
        <w:widowControl w:val="0"/>
        <w:kinsoku/>
        <w:wordWrap/>
        <w:overflowPunct/>
        <w:topLinePunct w:val="0"/>
        <w:bidi w:val="0"/>
        <w:adjustRightInd/>
        <w:spacing w:line="360" w:lineRule="auto"/>
        <w:textAlignment w:val="auto"/>
        <w:rPr>
          <w:rFonts w:ascii="仿宋" w:hAnsi="仿宋" w:eastAsia="仿宋" w:cs="仿宋"/>
          <w:color w:val="auto"/>
          <w:sz w:val="24"/>
        </w:rPr>
      </w:pPr>
      <w:r>
        <w:rPr>
          <w:rFonts w:hint="eastAsia" w:ascii="仿宋" w:hAnsi="仿宋" w:eastAsia="仿宋" w:cs="仿宋"/>
          <w:color w:val="auto"/>
          <w:sz w:val="24"/>
        </w:rPr>
        <w:t>8. 志愿者服务。志愿者不少于120人（含志愿者培训、交通、保险、餐饮、补贴等费用），中标人负责制定志愿者计划，包括招募、培训（含通用培训和岗位培训）、岗位设置、组织管理、志愿者安全保障等，以满足赛事的服务需求。</w:t>
      </w:r>
    </w:p>
    <w:p>
      <w:pPr>
        <w:keepNext w:val="0"/>
        <w:keepLines w:val="0"/>
        <w:pageBreakBefore w:val="0"/>
        <w:widowControl w:val="0"/>
        <w:kinsoku/>
        <w:wordWrap/>
        <w:overflowPunct/>
        <w:topLinePunct w:val="0"/>
        <w:bidi w:val="0"/>
        <w:adjustRightInd/>
        <w:spacing w:line="360" w:lineRule="auto"/>
        <w:textAlignment w:val="auto"/>
        <w:rPr>
          <w:rFonts w:ascii="仿宋" w:hAnsi="仿宋" w:eastAsia="仿宋" w:cs="仿宋"/>
          <w:color w:val="auto"/>
          <w:sz w:val="24"/>
        </w:rPr>
      </w:pPr>
      <w:r>
        <w:rPr>
          <w:rFonts w:hint="eastAsia" w:ascii="仿宋" w:hAnsi="仿宋" w:eastAsia="仿宋" w:cs="仿宋"/>
          <w:color w:val="auto"/>
          <w:sz w:val="24"/>
        </w:rPr>
        <w:t>9. 竞赛组织。中标人应严格按照马拉松赛事要求和合同的规定制订竞赛规程，并经采购单位核准后组织实施。</w:t>
      </w:r>
    </w:p>
    <w:p>
      <w:pPr>
        <w:keepNext w:val="0"/>
        <w:keepLines w:val="0"/>
        <w:pageBreakBefore w:val="0"/>
        <w:widowControl w:val="0"/>
        <w:kinsoku/>
        <w:wordWrap/>
        <w:overflowPunct/>
        <w:topLinePunct w:val="0"/>
        <w:bidi w:val="0"/>
        <w:adjustRightInd/>
        <w:spacing w:line="360" w:lineRule="auto"/>
        <w:textAlignment w:val="auto"/>
        <w:rPr>
          <w:rFonts w:ascii="仿宋" w:hAnsi="仿宋" w:eastAsia="仿宋" w:cs="仿宋"/>
          <w:color w:val="auto"/>
          <w:sz w:val="24"/>
        </w:rPr>
      </w:pPr>
      <w:r>
        <w:rPr>
          <w:rFonts w:hint="eastAsia" w:ascii="仿宋" w:hAnsi="仿宋" w:eastAsia="仿宋" w:cs="仿宋"/>
          <w:color w:val="auto"/>
          <w:sz w:val="24"/>
        </w:rPr>
        <w:t>（1）负责选手报名等工作，报名费用于赛事组织工作。</w:t>
      </w:r>
    </w:p>
    <w:p>
      <w:pPr>
        <w:keepNext w:val="0"/>
        <w:keepLines w:val="0"/>
        <w:pageBreakBefore w:val="0"/>
        <w:widowControl w:val="0"/>
        <w:kinsoku/>
        <w:wordWrap/>
        <w:overflowPunct/>
        <w:topLinePunct w:val="0"/>
        <w:bidi w:val="0"/>
        <w:adjustRightInd/>
        <w:spacing w:line="360" w:lineRule="auto"/>
        <w:textAlignment w:val="auto"/>
        <w:rPr>
          <w:rFonts w:ascii="仿宋" w:hAnsi="仿宋" w:eastAsia="仿宋" w:cs="仿宋"/>
          <w:color w:val="auto"/>
          <w:sz w:val="24"/>
        </w:rPr>
      </w:pPr>
      <w:r>
        <w:rPr>
          <w:rFonts w:hint="eastAsia" w:ascii="仿宋" w:hAnsi="仿宋" w:eastAsia="仿宋" w:cs="仿宋"/>
          <w:color w:val="auto"/>
          <w:sz w:val="24"/>
        </w:rPr>
        <w:t>（2）赛事奖金的设定男女奖项，各项目奖金总金额不低于2万元。</w:t>
      </w:r>
    </w:p>
    <w:p>
      <w:pPr>
        <w:keepNext w:val="0"/>
        <w:keepLines w:val="0"/>
        <w:pageBreakBefore w:val="0"/>
        <w:widowControl w:val="0"/>
        <w:kinsoku/>
        <w:wordWrap/>
        <w:overflowPunct/>
        <w:topLinePunct w:val="0"/>
        <w:bidi w:val="0"/>
        <w:adjustRightInd/>
        <w:spacing w:line="360" w:lineRule="auto"/>
        <w:textAlignment w:val="auto"/>
        <w:rPr>
          <w:rFonts w:ascii="仿宋" w:hAnsi="仿宋" w:eastAsia="仿宋" w:cs="仿宋"/>
          <w:color w:val="auto"/>
          <w:sz w:val="24"/>
        </w:rPr>
      </w:pPr>
      <w:r>
        <w:rPr>
          <w:rFonts w:hint="eastAsia" w:ascii="仿宋" w:hAnsi="仿宋" w:eastAsia="仿宋" w:cs="仿宋"/>
          <w:color w:val="auto"/>
          <w:sz w:val="24"/>
        </w:rPr>
        <w:t>（3）负责裁判员的邀请、组织和培训等工作。</w:t>
      </w:r>
    </w:p>
    <w:p>
      <w:pPr>
        <w:keepNext w:val="0"/>
        <w:keepLines w:val="0"/>
        <w:pageBreakBefore w:val="0"/>
        <w:widowControl w:val="0"/>
        <w:kinsoku/>
        <w:wordWrap/>
        <w:overflowPunct/>
        <w:topLinePunct w:val="0"/>
        <w:bidi w:val="0"/>
        <w:adjustRightInd/>
        <w:spacing w:line="360" w:lineRule="auto"/>
        <w:textAlignment w:val="auto"/>
        <w:rPr>
          <w:rFonts w:ascii="仿宋" w:hAnsi="仿宋" w:eastAsia="仿宋" w:cs="仿宋"/>
          <w:color w:val="auto"/>
          <w:sz w:val="24"/>
        </w:rPr>
      </w:pPr>
      <w:r>
        <w:rPr>
          <w:rFonts w:hint="eastAsia" w:ascii="仿宋" w:hAnsi="仿宋" w:eastAsia="仿宋" w:cs="仿宋"/>
          <w:color w:val="auto"/>
          <w:sz w:val="24"/>
        </w:rPr>
        <w:t>10. 工作团队及工作计划。中标人应至少于赛前派出不少于20人的专业工作团队（团队成员应分别具备专业马拉松比赛组织经验，熟悉马拉松比赛报名、竞赛、裁判、安保、医疗救护、后勤服务、计算机操作等方面业务工作），并按照合同约定的工作任务和时间节点开展工作。中标人未在杭州设立办公机构的，工作团队应于赛前按采购人要求进驻萧山区南阳街道办事处。</w:t>
      </w:r>
    </w:p>
    <w:p>
      <w:pPr>
        <w:keepNext w:val="0"/>
        <w:keepLines w:val="0"/>
        <w:pageBreakBefore w:val="0"/>
        <w:widowControl w:val="0"/>
        <w:kinsoku/>
        <w:wordWrap/>
        <w:overflowPunct/>
        <w:topLinePunct w:val="0"/>
        <w:bidi w:val="0"/>
        <w:adjustRightInd/>
        <w:spacing w:line="360" w:lineRule="auto"/>
        <w:textAlignment w:val="auto"/>
        <w:rPr>
          <w:rFonts w:ascii="仿宋" w:hAnsi="仿宋" w:eastAsia="仿宋" w:cs="仿宋"/>
          <w:color w:val="auto"/>
          <w:sz w:val="24"/>
        </w:rPr>
      </w:pPr>
      <w:r>
        <w:rPr>
          <w:rFonts w:hint="eastAsia" w:ascii="仿宋" w:hAnsi="仿宋" w:eastAsia="仿宋" w:cs="仿宋"/>
          <w:color w:val="auto"/>
          <w:sz w:val="24"/>
        </w:rPr>
        <w:t>11. 中标人应该购买第三方责任险，该保险覆盖到中标人可能承担责任的各个环节，包括但不限于赛事参与者与组织者的意外险。</w:t>
      </w:r>
    </w:p>
    <w:p>
      <w:pPr>
        <w:keepNext w:val="0"/>
        <w:keepLines w:val="0"/>
        <w:pageBreakBefore w:val="0"/>
        <w:widowControl w:val="0"/>
        <w:kinsoku/>
        <w:wordWrap/>
        <w:overflowPunct/>
        <w:topLinePunct w:val="0"/>
        <w:bidi w:val="0"/>
        <w:adjustRightInd/>
        <w:spacing w:line="360" w:lineRule="auto"/>
        <w:textAlignment w:val="auto"/>
        <w:rPr>
          <w:rFonts w:ascii="仿宋" w:hAnsi="仿宋" w:eastAsia="仿宋" w:cs="仿宋"/>
          <w:color w:val="auto"/>
          <w:sz w:val="24"/>
        </w:rPr>
      </w:pPr>
      <w:r>
        <w:rPr>
          <w:rFonts w:hint="eastAsia" w:ascii="仿宋" w:hAnsi="仿宋" w:eastAsia="仿宋" w:cs="仿宋"/>
          <w:color w:val="auto"/>
          <w:sz w:val="24"/>
        </w:rPr>
        <w:t>12. 中标人负责赛事的善后工作，包括但不限于：公布比赛成绩、发放比赛奖金、组织申报赛事级别、意外事件善后处理工作等事宜。</w:t>
      </w:r>
    </w:p>
    <w:p>
      <w:pPr>
        <w:keepNext w:val="0"/>
        <w:keepLines w:val="0"/>
        <w:pageBreakBefore w:val="0"/>
        <w:widowControl w:val="0"/>
        <w:kinsoku/>
        <w:wordWrap/>
        <w:overflowPunct/>
        <w:topLinePunct w:val="0"/>
        <w:bidi w:val="0"/>
        <w:adjustRightInd/>
        <w:spacing w:line="360" w:lineRule="auto"/>
        <w:textAlignment w:val="auto"/>
        <w:rPr>
          <w:rFonts w:ascii="仿宋" w:hAnsi="仿宋" w:eastAsia="仿宋" w:cs="仿宋"/>
          <w:color w:val="auto"/>
          <w:sz w:val="24"/>
        </w:rPr>
      </w:pPr>
      <w:r>
        <w:rPr>
          <w:rFonts w:hint="eastAsia" w:ascii="仿宋" w:hAnsi="仿宋" w:eastAsia="仿宋" w:cs="仿宋"/>
          <w:color w:val="auto"/>
          <w:sz w:val="24"/>
        </w:rPr>
        <w:t>13. 中标人应围绕赛事开展创新性的群众性体育健身等活动以及有利于赛事成功举办的其他活动，营造良好气氛。</w:t>
      </w:r>
    </w:p>
    <w:p>
      <w:pPr>
        <w:keepNext w:val="0"/>
        <w:keepLines w:val="0"/>
        <w:pageBreakBefore w:val="0"/>
        <w:widowControl w:val="0"/>
        <w:kinsoku/>
        <w:wordWrap/>
        <w:overflowPunct/>
        <w:topLinePunct w:val="0"/>
        <w:bidi w:val="0"/>
        <w:adjustRightInd/>
        <w:spacing w:line="360" w:lineRule="auto"/>
        <w:textAlignment w:val="auto"/>
        <w:rPr>
          <w:rFonts w:ascii="仿宋" w:hAnsi="仿宋" w:eastAsia="仿宋" w:cs="仿宋"/>
          <w:b/>
          <w:bCs/>
          <w:color w:val="auto"/>
          <w:sz w:val="24"/>
        </w:rPr>
      </w:pPr>
      <w:r>
        <w:rPr>
          <w:rFonts w:hint="eastAsia" w:ascii="仿宋" w:hAnsi="仿宋" w:eastAsia="仿宋" w:cs="仿宋"/>
          <w:b/>
          <w:bCs/>
          <w:color w:val="auto"/>
          <w:sz w:val="24"/>
        </w:rPr>
        <w:t xml:space="preserve">（四）赛后服务要求： </w:t>
      </w:r>
    </w:p>
    <w:p>
      <w:pPr>
        <w:keepNext w:val="0"/>
        <w:keepLines w:val="0"/>
        <w:pageBreakBefore w:val="0"/>
        <w:widowControl w:val="0"/>
        <w:kinsoku/>
        <w:wordWrap/>
        <w:overflowPunct/>
        <w:topLinePunct w:val="0"/>
        <w:bidi w:val="0"/>
        <w:adjustRightInd/>
        <w:spacing w:line="360" w:lineRule="auto"/>
        <w:textAlignment w:val="auto"/>
        <w:rPr>
          <w:rFonts w:ascii="仿宋" w:hAnsi="仿宋" w:eastAsia="仿宋" w:cs="仿宋"/>
          <w:color w:val="auto"/>
          <w:sz w:val="24"/>
        </w:rPr>
      </w:pPr>
      <w:r>
        <w:rPr>
          <w:rFonts w:hint="eastAsia" w:ascii="仿宋" w:hAnsi="仿宋" w:eastAsia="仿宋" w:cs="仿宋"/>
          <w:color w:val="auto"/>
          <w:sz w:val="24"/>
        </w:rPr>
        <w:t>中标人应做好赛事成绩公示、场地环境整顿、赛事总结及赛事材料收集汇编。</w:t>
      </w:r>
    </w:p>
    <w:p>
      <w:pPr>
        <w:keepNext w:val="0"/>
        <w:keepLines w:val="0"/>
        <w:pageBreakBefore w:val="0"/>
        <w:widowControl w:val="0"/>
        <w:kinsoku/>
        <w:wordWrap/>
        <w:overflowPunct/>
        <w:topLinePunct w:val="0"/>
        <w:bidi w:val="0"/>
        <w:adjustRightInd/>
        <w:spacing w:line="360" w:lineRule="auto"/>
        <w:textAlignment w:val="auto"/>
        <w:rPr>
          <w:rFonts w:ascii="仿宋" w:hAnsi="仿宋" w:eastAsia="仿宋" w:cs="仿宋"/>
          <w:b/>
          <w:bCs/>
          <w:color w:val="auto"/>
          <w:sz w:val="24"/>
        </w:rPr>
      </w:pPr>
      <w:r>
        <w:rPr>
          <w:rFonts w:hint="eastAsia" w:ascii="仿宋" w:hAnsi="仿宋" w:eastAsia="仿宋" w:cs="仿宋"/>
          <w:b/>
          <w:bCs/>
          <w:color w:val="auto"/>
          <w:sz w:val="24"/>
        </w:rPr>
        <w:t>（五）市场开发</w:t>
      </w:r>
    </w:p>
    <w:p>
      <w:pPr>
        <w:keepNext w:val="0"/>
        <w:keepLines w:val="0"/>
        <w:pageBreakBefore w:val="0"/>
        <w:widowControl w:val="0"/>
        <w:kinsoku/>
        <w:wordWrap/>
        <w:overflowPunct/>
        <w:topLinePunct w:val="0"/>
        <w:bidi w:val="0"/>
        <w:adjustRightInd/>
        <w:spacing w:line="360" w:lineRule="auto"/>
        <w:textAlignment w:val="auto"/>
        <w:rPr>
          <w:rFonts w:ascii="仿宋" w:hAnsi="仿宋" w:eastAsia="仿宋" w:cs="仿宋"/>
          <w:color w:val="auto"/>
          <w:sz w:val="24"/>
        </w:rPr>
      </w:pPr>
      <w:r>
        <w:rPr>
          <w:rFonts w:hint="eastAsia" w:ascii="仿宋" w:hAnsi="仿宋" w:eastAsia="仿宋" w:cs="仿宋"/>
          <w:color w:val="auto"/>
          <w:sz w:val="24"/>
        </w:rPr>
        <w:t>1. 本项目中，中标人在确保赛事成功举办的前提下，依法开展积极有效的市场开发商业活动</w:t>
      </w:r>
      <w:r>
        <w:rPr>
          <w:rFonts w:hint="eastAsia" w:ascii="仿宋" w:hAnsi="仿宋" w:eastAsia="仿宋" w:cs="仿宋"/>
          <w:color w:val="auto"/>
          <w:sz w:val="24"/>
          <w:lang w:eastAsia="zh-CN"/>
        </w:rPr>
        <w:t>，中标人获得市场开发的权益，并承担赛事市场开发的责任和费用</w:t>
      </w:r>
      <w:r>
        <w:rPr>
          <w:rFonts w:hint="eastAsia" w:ascii="仿宋" w:hAnsi="仿宋" w:eastAsia="仿宋" w:cs="仿宋"/>
          <w:color w:val="auto"/>
          <w:sz w:val="24"/>
        </w:rPr>
        <w:t>。</w:t>
      </w:r>
    </w:p>
    <w:p>
      <w:pPr>
        <w:keepNext w:val="0"/>
        <w:keepLines w:val="0"/>
        <w:pageBreakBefore w:val="0"/>
        <w:widowControl w:val="0"/>
        <w:kinsoku/>
        <w:wordWrap/>
        <w:overflowPunct/>
        <w:topLinePunct w:val="0"/>
        <w:bidi w:val="0"/>
        <w:adjustRightInd/>
        <w:spacing w:line="360" w:lineRule="auto"/>
        <w:textAlignment w:val="auto"/>
        <w:rPr>
          <w:rFonts w:ascii="仿宋" w:hAnsi="仿宋" w:eastAsia="仿宋" w:cs="仿宋"/>
          <w:color w:val="auto"/>
          <w:sz w:val="24"/>
        </w:rPr>
      </w:pPr>
      <w:r>
        <w:rPr>
          <w:rFonts w:hint="eastAsia" w:ascii="仿宋" w:hAnsi="仿宋" w:eastAsia="仿宋" w:cs="仿宋"/>
          <w:color w:val="auto"/>
          <w:sz w:val="24"/>
        </w:rPr>
        <w:t>2. 市场开发是指围绕202</w:t>
      </w:r>
      <w:r>
        <w:rPr>
          <w:rFonts w:hint="eastAsia" w:ascii="仿宋" w:hAnsi="仿宋" w:eastAsia="仿宋" w:cs="仿宋"/>
          <w:color w:val="auto"/>
          <w:sz w:val="24"/>
          <w:lang w:val="en-US" w:eastAsia="zh-CN"/>
        </w:rPr>
        <w:t>4</w:t>
      </w:r>
      <w:r>
        <w:rPr>
          <w:rFonts w:hint="eastAsia" w:ascii="仿宋" w:hAnsi="仿宋" w:eastAsia="仿宋" w:cs="仿宋"/>
          <w:color w:val="auto"/>
          <w:sz w:val="24"/>
        </w:rPr>
        <w:t>萧山钱塘江竞潮·半程马拉松赛资源进行的商业开发，主要包括赛事转播权、比赛印刷品广告资源（如票证、秩序册、成绩册、号码布、竞赛指南、记者手册等）、排他性营销权、视觉识别系统使用许可权、赛事指定产品授予权、赛事合作伙伴以及各级赞助商、供应商、服务商的授予权等进行的商业活动。为保证赛事产品安全质量合格，中标人应选择优质的供应商、服务商。</w:t>
      </w:r>
    </w:p>
    <w:p>
      <w:pPr>
        <w:keepNext w:val="0"/>
        <w:keepLines w:val="0"/>
        <w:pageBreakBefore w:val="0"/>
        <w:widowControl w:val="0"/>
        <w:kinsoku/>
        <w:wordWrap/>
        <w:overflowPunct/>
        <w:topLinePunct w:val="0"/>
        <w:bidi w:val="0"/>
        <w:adjustRightInd/>
        <w:spacing w:line="360" w:lineRule="auto"/>
        <w:textAlignment w:val="auto"/>
        <w:rPr>
          <w:rFonts w:ascii="仿宋" w:hAnsi="仿宋" w:eastAsia="仿宋" w:cs="仿宋"/>
          <w:color w:val="auto"/>
          <w:sz w:val="24"/>
        </w:rPr>
      </w:pPr>
      <w:r>
        <w:rPr>
          <w:rFonts w:hint="eastAsia" w:ascii="仿宋" w:hAnsi="仿宋" w:eastAsia="仿宋" w:cs="仿宋"/>
          <w:color w:val="auto"/>
          <w:sz w:val="24"/>
        </w:rPr>
        <w:t>3. 参与赛事商业活动的所有单位应当诚信、守法，在符合赛事目的前提下，参与赛事商业活动的所有单位对其商业活动行为负责，中标人承担补充连带责任。</w:t>
      </w:r>
    </w:p>
    <w:p>
      <w:pPr>
        <w:keepNext w:val="0"/>
        <w:keepLines w:val="0"/>
        <w:pageBreakBefore w:val="0"/>
        <w:widowControl w:val="0"/>
        <w:kinsoku/>
        <w:wordWrap/>
        <w:overflowPunct/>
        <w:topLinePunct w:val="0"/>
        <w:bidi w:val="0"/>
        <w:adjustRightInd/>
        <w:spacing w:line="360" w:lineRule="auto"/>
        <w:textAlignment w:val="auto"/>
        <w:rPr>
          <w:rFonts w:ascii="仿宋" w:hAnsi="仿宋" w:eastAsia="仿宋" w:cs="仿宋"/>
          <w:b/>
          <w:bCs/>
          <w:color w:val="auto"/>
          <w:sz w:val="24"/>
        </w:rPr>
      </w:pPr>
      <w:r>
        <w:rPr>
          <w:rFonts w:hint="eastAsia" w:ascii="仿宋" w:hAnsi="仿宋" w:eastAsia="仿宋" w:cs="仿宋"/>
          <w:b/>
          <w:bCs/>
          <w:color w:val="auto"/>
          <w:sz w:val="24"/>
        </w:rPr>
        <w:t>（六）特别事项</w:t>
      </w:r>
    </w:p>
    <w:p>
      <w:pPr>
        <w:keepNext w:val="0"/>
        <w:keepLines w:val="0"/>
        <w:pageBreakBefore w:val="0"/>
        <w:widowControl w:val="0"/>
        <w:kinsoku/>
        <w:wordWrap/>
        <w:overflowPunct/>
        <w:topLinePunct w:val="0"/>
        <w:bidi w:val="0"/>
        <w:adjustRightInd/>
        <w:spacing w:line="360" w:lineRule="auto"/>
        <w:textAlignment w:val="auto"/>
        <w:rPr>
          <w:rFonts w:ascii="仿宋" w:hAnsi="仿宋" w:eastAsia="仿宋" w:cs="仿宋"/>
          <w:color w:val="auto"/>
          <w:sz w:val="24"/>
        </w:rPr>
      </w:pPr>
      <w:r>
        <w:rPr>
          <w:rFonts w:hint="eastAsia" w:ascii="仿宋" w:hAnsi="仿宋" w:eastAsia="仿宋" w:cs="仿宋"/>
          <w:color w:val="auto"/>
          <w:sz w:val="24"/>
        </w:rPr>
        <w:t>1. 中标人应从中标之日起开始开展各项筹备工作；因赛事组织前期筹备需要，提前开展的前期工作所发生的经费由中标人依据组委会确认的相关文件予以支付；中标人需在开赛前按采购人要求提供各项目竞赛现场及赛道沿途氛围布置设计稿；中标人应提前按采购人要求进入比赛场地进行场地布置（赛道沿途布置、起终点布置等）；起终点氛围布置，比赛结束后二天内完成。</w:t>
      </w:r>
    </w:p>
    <w:p>
      <w:pPr>
        <w:keepNext w:val="0"/>
        <w:keepLines w:val="0"/>
        <w:pageBreakBefore w:val="0"/>
        <w:widowControl w:val="0"/>
        <w:kinsoku/>
        <w:wordWrap/>
        <w:overflowPunct/>
        <w:topLinePunct w:val="0"/>
        <w:bidi w:val="0"/>
        <w:adjustRightInd/>
        <w:spacing w:line="360" w:lineRule="auto"/>
        <w:textAlignment w:val="auto"/>
        <w:rPr>
          <w:rFonts w:ascii="仿宋" w:hAnsi="仿宋" w:eastAsia="仿宋" w:cs="仿宋"/>
          <w:b/>
          <w:bCs/>
          <w:color w:val="auto"/>
          <w:sz w:val="24"/>
        </w:rPr>
      </w:pPr>
      <w:r>
        <w:rPr>
          <w:rFonts w:hint="eastAsia" w:ascii="仿宋" w:hAnsi="仿宋" w:eastAsia="仿宋" w:cs="仿宋"/>
          <w:b/>
          <w:bCs/>
          <w:color w:val="auto"/>
          <w:sz w:val="24"/>
        </w:rPr>
        <w:t>（二）商务需求</w:t>
      </w:r>
    </w:p>
    <w:p>
      <w:pPr>
        <w:keepNext w:val="0"/>
        <w:keepLines w:val="0"/>
        <w:pageBreakBefore w:val="0"/>
        <w:widowControl w:val="0"/>
        <w:kinsoku/>
        <w:wordWrap/>
        <w:overflowPunct/>
        <w:topLinePunct w:val="0"/>
        <w:bidi w:val="0"/>
        <w:adjustRightInd/>
        <w:spacing w:line="360" w:lineRule="auto"/>
        <w:ind w:firstLine="422" w:firstLineChars="200"/>
        <w:textAlignment w:val="auto"/>
        <w:rPr>
          <w:rFonts w:ascii="仿宋" w:hAnsi="仿宋" w:eastAsia="仿宋" w:cs="仿宋"/>
          <w:b/>
          <w:bCs/>
          <w:color w:val="auto"/>
          <w:sz w:val="24"/>
        </w:rPr>
      </w:pPr>
      <w:r>
        <w:rPr>
          <w:rFonts w:hint="eastAsia" w:ascii="仿宋_GB2312" w:hAnsi="仿宋_GB2312" w:eastAsia="仿宋_GB2312" w:cs="仿宋_GB2312"/>
          <w:b/>
          <w:bCs/>
          <w:color w:val="auto"/>
        </w:rPr>
        <w:t>▲</w:t>
      </w:r>
      <w:r>
        <w:rPr>
          <w:rFonts w:hint="eastAsia" w:ascii="仿宋" w:hAnsi="仿宋" w:eastAsia="仿宋" w:cs="仿宋"/>
          <w:b/>
          <w:bCs/>
          <w:color w:val="auto"/>
          <w:sz w:val="24"/>
        </w:rPr>
        <w:t>1、 服务期：60日历天（具体日期以合同签订生效日为准，如因不可抗力因素，造成赛事未能举办的，合同期限自动向后顺延）。</w:t>
      </w:r>
    </w:p>
    <w:p>
      <w:pPr>
        <w:keepNext w:val="0"/>
        <w:keepLines w:val="0"/>
        <w:pageBreakBefore w:val="0"/>
        <w:widowControl w:val="0"/>
        <w:kinsoku/>
        <w:wordWrap/>
        <w:overflowPunct/>
        <w:topLinePunct w:val="0"/>
        <w:bidi w:val="0"/>
        <w:adjustRightInd/>
        <w:spacing w:line="360" w:lineRule="auto"/>
        <w:ind w:firstLine="482" w:firstLineChars="200"/>
        <w:textAlignment w:val="auto"/>
        <w:rPr>
          <w:rFonts w:ascii="仿宋" w:hAnsi="仿宋" w:eastAsia="仿宋" w:cs="仿宋"/>
          <w:b/>
          <w:bCs/>
          <w:color w:val="auto"/>
          <w:sz w:val="24"/>
        </w:rPr>
      </w:pPr>
      <w:r>
        <w:rPr>
          <w:rFonts w:hint="eastAsia" w:ascii="仿宋" w:hAnsi="仿宋" w:eastAsia="仿宋" w:cs="仿宋"/>
          <w:b/>
          <w:bCs/>
          <w:color w:val="auto"/>
          <w:sz w:val="24"/>
        </w:rPr>
        <w:t>2、 付款方式</w:t>
      </w:r>
    </w:p>
    <w:p>
      <w:pPr>
        <w:keepNext w:val="0"/>
        <w:keepLines w:val="0"/>
        <w:pageBreakBefore w:val="0"/>
        <w:widowControl w:val="0"/>
        <w:kinsoku/>
        <w:wordWrap/>
        <w:overflowPunct/>
        <w:topLinePunct w:val="0"/>
        <w:bidi w:val="0"/>
        <w:adjustRightInd/>
        <w:spacing w:line="360" w:lineRule="auto"/>
        <w:ind w:firstLine="480"/>
        <w:textAlignment w:val="auto"/>
        <w:rPr>
          <w:rFonts w:ascii="仿宋" w:hAnsi="仿宋" w:eastAsia="仿宋" w:cs="仿宋"/>
          <w:color w:val="auto"/>
          <w:sz w:val="24"/>
          <w:lang w:bidi="ar"/>
        </w:rPr>
      </w:pPr>
      <w:r>
        <w:rPr>
          <w:rFonts w:hint="eastAsia" w:ascii="仿宋" w:hAnsi="仿宋" w:eastAsia="仿宋" w:cs="仿宋"/>
          <w:color w:val="auto"/>
          <w:sz w:val="24"/>
          <w:lang w:bidi="ar"/>
        </w:rPr>
        <w:t>合同签订后30个工作日内支付至合同价的</w:t>
      </w:r>
      <w:r>
        <w:rPr>
          <w:rFonts w:hint="eastAsia" w:ascii="仿宋" w:hAnsi="仿宋" w:eastAsia="仿宋" w:cs="仿宋"/>
          <w:color w:val="auto"/>
          <w:sz w:val="24"/>
          <w:lang w:val="en-US" w:eastAsia="zh-CN" w:bidi="ar"/>
        </w:rPr>
        <w:t>7</w:t>
      </w:r>
      <w:r>
        <w:rPr>
          <w:rFonts w:hint="eastAsia" w:ascii="仿宋" w:hAnsi="仿宋" w:eastAsia="仿宋" w:cs="仿宋"/>
          <w:color w:val="auto"/>
          <w:sz w:val="24"/>
          <w:lang w:bidi="ar"/>
        </w:rPr>
        <w:t>0%；赛事结束15日内，由采购单位组织对办赛情况进行验收，赛事结束30日后，在采购单位确认中标方如约履行各项义务、完成各项善后工作，无任何对本次比赛可能造成不良影响的遗留问题后，支付剩余</w:t>
      </w:r>
      <w:r>
        <w:rPr>
          <w:rFonts w:hint="eastAsia" w:ascii="仿宋" w:hAnsi="仿宋" w:eastAsia="仿宋" w:cs="仿宋"/>
          <w:color w:val="auto"/>
          <w:sz w:val="24"/>
          <w:lang w:val="en-US" w:eastAsia="zh-CN" w:bidi="ar"/>
        </w:rPr>
        <w:t>3</w:t>
      </w:r>
      <w:r>
        <w:rPr>
          <w:rFonts w:hint="eastAsia" w:ascii="仿宋" w:hAnsi="仿宋" w:eastAsia="仿宋" w:cs="仿宋"/>
          <w:color w:val="auto"/>
          <w:sz w:val="24"/>
          <w:lang w:bidi="ar"/>
        </w:rPr>
        <w:t>0%尾款。在采购人付款之前，中标单位须向采购人提供正规的发票，否则采购人有权在中标单位提供发票之后支付。</w:t>
      </w:r>
    </w:p>
    <w:p>
      <w:pPr>
        <w:keepNext w:val="0"/>
        <w:keepLines w:val="0"/>
        <w:pageBreakBefore w:val="0"/>
        <w:widowControl w:val="0"/>
        <w:kinsoku/>
        <w:wordWrap/>
        <w:overflowPunct/>
        <w:topLinePunct w:val="0"/>
        <w:bidi w:val="0"/>
        <w:adjustRightInd/>
        <w:spacing w:line="360" w:lineRule="auto"/>
        <w:ind w:firstLine="480"/>
        <w:textAlignment w:val="auto"/>
        <w:rPr>
          <w:rFonts w:ascii="仿宋" w:hAnsi="仿宋" w:eastAsia="仿宋" w:cs="仿宋"/>
          <w:b/>
          <w:bCs/>
          <w:color w:val="auto"/>
          <w:sz w:val="24"/>
          <w:lang w:bidi="ar"/>
        </w:rPr>
      </w:pPr>
      <w:r>
        <w:rPr>
          <w:rFonts w:hint="eastAsia" w:ascii="仿宋" w:hAnsi="仿宋" w:eastAsia="仿宋" w:cs="仿宋"/>
          <w:b/>
          <w:bCs/>
          <w:color w:val="auto"/>
          <w:sz w:val="24"/>
          <w:lang w:bidi="ar"/>
        </w:rPr>
        <w:t>3、项目违约责任</w:t>
      </w:r>
    </w:p>
    <w:p>
      <w:pPr>
        <w:keepNext w:val="0"/>
        <w:keepLines w:val="0"/>
        <w:pageBreakBefore w:val="0"/>
        <w:widowControl w:val="0"/>
        <w:kinsoku/>
        <w:wordWrap/>
        <w:overflowPunct/>
        <w:topLinePunct w:val="0"/>
        <w:bidi w:val="0"/>
        <w:adjustRightInd/>
        <w:spacing w:line="360" w:lineRule="auto"/>
        <w:ind w:firstLine="480"/>
        <w:textAlignment w:val="auto"/>
        <w:rPr>
          <w:rFonts w:ascii="仿宋" w:hAnsi="仿宋" w:eastAsia="仿宋" w:cs="仿宋"/>
          <w:color w:val="auto"/>
          <w:sz w:val="24"/>
          <w:lang w:bidi="ar"/>
        </w:rPr>
      </w:pPr>
      <w:r>
        <w:rPr>
          <w:rFonts w:hint="eastAsia" w:ascii="仿宋" w:hAnsi="仿宋" w:eastAsia="仿宋" w:cs="仿宋"/>
          <w:color w:val="auto"/>
          <w:sz w:val="24"/>
          <w:lang w:bidi="ar"/>
        </w:rPr>
        <w:t>在本项目执行中，采购方或者供应商违约将导致项目合同实施遇阻，如果违约方在预定限期内（30日）无法补救，则合同相对方有权提前终止项目合同。</w:t>
      </w:r>
    </w:p>
    <w:p>
      <w:pPr>
        <w:keepNext w:val="0"/>
        <w:keepLines w:val="0"/>
        <w:pageBreakBefore w:val="0"/>
        <w:widowControl w:val="0"/>
        <w:kinsoku/>
        <w:wordWrap/>
        <w:overflowPunct/>
        <w:topLinePunct w:val="0"/>
        <w:bidi w:val="0"/>
        <w:adjustRightInd/>
        <w:spacing w:line="360" w:lineRule="auto"/>
        <w:ind w:firstLine="480"/>
        <w:textAlignment w:val="auto"/>
        <w:rPr>
          <w:rFonts w:ascii="仿宋" w:hAnsi="仿宋" w:eastAsia="仿宋" w:cs="仿宋"/>
          <w:color w:val="auto"/>
          <w:sz w:val="24"/>
          <w:lang w:bidi="ar"/>
        </w:rPr>
      </w:pPr>
      <w:r>
        <w:rPr>
          <w:rFonts w:hint="eastAsia" w:ascii="仿宋" w:hAnsi="仿宋" w:eastAsia="仿宋" w:cs="仿宋"/>
          <w:color w:val="auto"/>
          <w:sz w:val="24"/>
          <w:lang w:bidi="ar"/>
        </w:rPr>
        <w:t>双方合意终止：基于双方届时的合意而终止项目合同时，相关终止及补偿事宜由双方协商予以确定。因重大变更条款的情形，导致合同解除的，视为双方合意终止，且不得主张补偿事宜。</w:t>
      </w:r>
    </w:p>
    <w:p>
      <w:pPr>
        <w:keepNext w:val="0"/>
        <w:keepLines w:val="0"/>
        <w:pageBreakBefore w:val="0"/>
        <w:widowControl w:val="0"/>
        <w:kinsoku/>
        <w:wordWrap/>
        <w:overflowPunct/>
        <w:topLinePunct w:val="0"/>
        <w:bidi w:val="0"/>
        <w:adjustRightInd/>
        <w:spacing w:line="360" w:lineRule="auto"/>
        <w:ind w:firstLine="480"/>
        <w:textAlignment w:val="auto"/>
        <w:rPr>
          <w:rFonts w:ascii="仿宋" w:hAnsi="仿宋" w:eastAsia="仿宋" w:cs="仿宋"/>
          <w:color w:val="auto"/>
          <w:sz w:val="24"/>
          <w:lang w:bidi="ar"/>
        </w:rPr>
      </w:pPr>
      <w:r>
        <w:rPr>
          <w:rFonts w:hint="eastAsia" w:ascii="仿宋" w:hAnsi="仿宋" w:eastAsia="仿宋" w:cs="仿宋"/>
          <w:color w:val="auto"/>
          <w:sz w:val="24"/>
          <w:lang w:bidi="ar"/>
        </w:rPr>
        <w:t>（一）供应商违约而导致项目提前终止。供应商没有履行或者没有完整履行项目合同下应当承担的义务，并且供应商未能在规定的期限内对该违约进行补救，采购方可根据合同约定主张终止项目合同，此时，供应商要承担项目终止违约赔偿，违约赔偿金为不超过合同金额的30%。</w:t>
      </w:r>
    </w:p>
    <w:p>
      <w:pPr>
        <w:keepNext w:val="0"/>
        <w:keepLines w:val="0"/>
        <w:pageBreakBefore w:val="0"/>
        <w:widowControl w:val="0"/>
        <w:kinsoku/>
        <w:wordWrap/>
        <w:overflowPunct/>
        <w:topLinePunct w:val="0"/>
        <w:bidi w:val="0"/>
        <w:adjustRightInd/>
        <w:spacing w:line="360" w:lineRule="auto"/>
        <w:ind w:firstLine="480"/>
        <w:textAlignment w:val="auto"/>
        <w:rPr>
          <w:rFonts w:hint="eastAsia" w:ascii="仿宋" w:hAnsi="仿宋" w:eastAsia="仿宋" w:cs="仿宋"/>
          <w:color w:val="auto"/>
          <w:sz w:val="24"/>
          <w:lang w:val="en-US" w:bidi="ar"/>
        </w:rPr>
      </w:pPr>
      <w:r>
        <w:rPr>
          <w:rFonts w:hint="eastAsia" w:ascii="仿宋" w:hAnsi="仿宋" w:eastAsia="仿宋" w:cs="仿宋"/>
          <w:color w:val="auto"/>
          <w:sz w:val="24"/>
          <w:lang w:val="en-US" w:bidi="ar"/>
        </w:rPr>
        <w:t>（二）自然不可抗力事件而导致项目提前终止。发生不可抗力事件的状态持续或累计达到一定期限，任何一方均可主张提前终止项目。由于自然不可抗力属于双方均无过错的事件，因此对于自然不可抗力导致的项目提前终止，由双方共同承担。</w:t>
      </w:r>
    </w:p>
    <w:p>
      <w:pPr>
        <w:keepNext w:val="0"/>
        <w:keepLines w:val="0"/>
        <w:pageBreakBefore w:val="0"/>
        <w:widowControl w:val="0"/>
        <w:kinsoku/>
        <w:wordWrap/>
        <w:overflowPunct/>
        <w:topLinePunct w:val="0"/>
        <w:bidi w:val="0"/>
        <w:adjustRightInd/>
        <w:spacing w:line="360" w:lineRule="auto"/>
        <w:textAlignment w:val="auto"/>
        <w:rPr>
          <w:rFonts w:hint="eastAsia" w:ascii="仿宋" w:hAnsi="仿宋" w:eastAsia="仿宋" w:cs="仿宋"/>
          <w:color w:val="auto"/>
          <w:sz w:val="24"/>
          <w:lang w:bidi="ar"/>
        </w:rPr>
      </w:pPr>
      <w:r>
        <w:rPr>
          <w:rFonts w:hint="eastAsia" w:ascii="仿宋" w:hAnsi="仿宋" w:eastAsia="仿宋" w:cs="仿宋"/>
          <w:color w:val="auto"/>
          <w:sz w:val="24"/>
          <w:lang w:bidi="ar"/>
        </w:rPr>
        <w:t>注：</w:t>
      </w:r>
    </w:p>
    <w:p>
      <w:pPr>
        <w:spacing w:line="500" w:lineRule="exact"/>
        <w:rPr>
          <w:rFonts w:ascii="仿宋" w:hAnsi="仿宋" w:eastAsia="仿宋" w:cs="仿宋"/>
          <w:color w:val="auto"/>
          <w:sz w:val="24"/>
        </w:rPr>
      </w:pPr>
      <w:r>
        <w:rPr>
          <w:rFonts w:hint="eastAsia" w:ascii="仿宋" w:hAnsi="仿宋" w:eastAsia="仿宋" w:cs="仿宋"/>
          <w:color w:val="auto"/>
          <w:sz w:val="24"/>
        </w:rPr>
        <w:t>1、如有附图，仅作参考。</w:t>
      </w:r>
    </w:p>
    <w:p>
      <w:pPr>
        <w:spacing w:line="500" w:lineRule="exact"/>
        <w:rPr>
          <w:rFonts w:ascii="仿宋" w:hAnsi="仿宋" w:eastAsia="仿宋" w:cs="仿宋"/>
          <w:color w:val="auto"/>
          <w:sz w:val="24"/>
        </w:rPr>
      </w:pPr>
      <w:r>
        <w:rPr>
          <w:rFonts w:hint="eastAsia" w:ascii="仿宋" w:hAnsi="仿宋" w:eastAsia="仿宋" w:cs="仿宋"/>
          <w:color w:val="auto"/>
          <w:sz w:val="24"/>
        </w:rPr>
        <w:t>2、打▲内容为实质性要求，不允许有负偏离，否则将以涉及无效投标条款作无效投标。</w:t>
      </w:r>
    </w:p>
    <w:p>
      <w:pPr>
        <w:spacing w:line="500" w:lineRule="exact"/>
        <w:rPr>
          <w:rFonts w:hint="eastAsia" w:ascii="仿宋" w:hAnsi="仿宋" w:eastAsia="仿宋" w:cs="仿宋"/>
          <w:color w:val="auto"/>
          <w:sz w:val="24"/>
          <w:lang w:val="en-US" w:eastAsia="zh-CN"/>
        </w:rPr>
      </w:pPr>
      <w:r>
        <w:rPr>
          <w:rFonts w:hint="eastAsia" w:ascii="仿宋" w:hAnsi="仿宋" w:eastAsia="仿宋" w:cs="仿宋"/>
          <w:color w:val="auto"/>
          <w:sz w:val="24"/>
        </w:rPr>
        <w:t>3、中标人所提供的货物、服务须与投标承诺一致，不得以次充好、偷工减料，若在项目验收中发现有上述情况，将向有关部门举报，根据相关规定进行处理。</w:t>
      </w:r>
    </w:p>
    <w:p>
      <w:pPr>
        <w:rPr>
          <w:rFonts w:hint="eastAsia" w:ascii="仿宋" w:hAnsi="仿宋" w:eastAsia="仿宋" w:cs="仿宋"/>
          <w:b/>
          <w:sz w:val="36"/>
          <w:szCs w:val="36"/>
        </w:rPr>
      </w:pPr>
      <w:r>
        <w:rPr>
          <w:rFonts w:hint="eastAsia" w:ascii="仿宋" w:hAnsi="仿宋" w:eastAsia="仿宋" w:cs="仿宋"/>
          <w:b/>
          <w:sz w:val="36"/>
          <w:szCs w:val="36"/>
        </w:rPr>
        <w:br w:type="page"/>
      </w:r>
    </w:p>
    <w:p>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 xml:space="preserve">第四部分   </w:t>
      </w:r>
      <w:bookmarkStart w:id="28" w:name="_Toc184313286"/>
      <w:bookmarkEnd w:id="28"/>
      <w:bookmarkStart w:id="29" w:name="_Toc184312139"/>
      <w:bookmarkEnd w:id="29"/>
      <w:bookmarkStart w:id="30" w:name="_Toc184310320"/>
      <w:bookmarkEnd w:id="30"/>
      <w:bookmarkStart w:id="31" w:name="_Toc184308084"/>
      <w:bookmarkEnd w:id="31"/>
      <w:bookmarkStart w:id="32" w:name="_Toc184313250"/>
      <w:bookmarkEnd w:id="32"/>
      <w:bookmarkStart w:id="33" w:name="_Toc184310311"/>
      <w:bookmarkEnd w:id="33"/>
      <w:bookmarkStart w:id="34" w:name="_Toc184314446"/>
      <w:bookmarkEnd w:id="34"/>
      <w:bookmarkStart w:id="35" w:name="_Toc184310294"/>
      <w:bookmarkEnd w:id="35"/>
      <w:bookmarkStart w:id="36" w:name="_Toc184313255"/>
      <w:bookmarkEnd w:id="36"/>
      <w:bookmarkStart w:id="37" w:name="_Toc184314432"/>
      <w:bookmarkEnd w:id="37"/>
      <w:bookmarkStart w:id="38" w:name="_Toc184310322"/>
      <w:bookmarkEnd w:id="38"/>
      <w:bookmarkStart w:id="39" w:name="_Toc184314440"/>
      <w:bookmarkEnd w:id="39"/>
      <w:bookmarkStart w:id="40" w:name="_Toc184312079"/>
      <w:bookmarkEnd w:id="40"/>
      <w:bookmarkStart w:id="41" w:name="_Toc184310308"/>
      <w:bookmarkEnd w:id="41"/>
      <w:bookmarkStart w:id="42" w:name="_Toc184313260"/>
      <w:bookmarkEnd w:id="42"/>
      <w:bookmarkStart w:id="43" w:name="_Toc184312074"/>
      <w:bookmarkEnd w:id="43"/>
      <w:bookmarkStart w:id="44" w:name="_Toc184312091"/>
      <w:bookmarkEnd w:id="44"/>
      <w:bookmarkStart w:id="45" w:name="_Toc184308046"/>
      <w:bookmarkEnd w:id="45"/>
      <w:bookmarkStart w:id="46" w:name="_Toc184310279"/>
      <w:bookmarkEnd w:id="46"/>
      <w:bookmarkStart w:id="47" w:name="_Toc184310325"/>
      <w:bookmarkEnd w:id="47"/>
      <w:bookmarkStart w:id="48" w:name="_Toc184310293"/>
      <w:bookmarkEnd w:id="48"/>
      <w:bookmarkStart w:id="49" w:name="_Toc184314411"/>
      <w:bookmarkEnd w:id="49"/>
      <w:bookmarkStart w:id="50" w:name="_Toc184312113"/>
      <w:bookmarkEnd w:id="50"/>
      <w:bookmarkStart w:id="51" w:name="_Toc184310289"/>
      <w:bookmarkEnd w:id="51"/>
      <w:bookmarkStart w:id="52" w:name="_Toc184308078"/>
      <w:bookmarkEnd w:id="52"/>
      <w:bookmarkStart w:id="53" w:name="_Toc184312106"/>
      <w:bookmarkEnd w:id="53"/>
      <w:bookmarkStart w:id="54" w:name="_Toc184312076"/>
      <w:bookmarkEnd w:id="54"/>
      <w:bookmarkStart w:id="55" w:name="_Toc184314473"/>
      <w:bookmarkEnd w:id="55"/>
      <w:bookmarkStart w:id="56" w:name="_Toc184313249"/>
      <w:bookmarkEnd w:id="56"/>
      <w:bookmarkStart w:id="57" w:name="_Toc184310290"/>
      <w:bookmarkEnd w:id="57"/>
      <w:bookmarkStart w:id="58" w:name="_Toc184312115"/>
      <w:bookmarkEnd w:id="58"/>
      <w:bookmarkStart w:id="59" w:name="_Toc184308094"/>
      <w:bookmarkEnd w:id="59"/>
      <w:bookmarkStart w:id="60" w:name="_Toc184310327"/>
      <w:bookmarkEnd w:id="60"/>
      <w:bookmarkStart w:id="61" w:name="_Toc184308072"/>
      <w:bookmarkEnd w:id="61"/>
      <w:bookmarkStart w:id="62" w:name="_Toc184310291"/>
      <w:bookmarkEnd w:id="62"/>
      <w:bookmarkStart w:id="63" w:name="_Toc184314443"/>
      <w:bookmarkEnd w:id="63"/>
      <w:bookmarkStart w:id="64" w:name="_Toc184312089"/>
      <w:bookmarkEnd w:id="64"/>
      <w:bookmarkStart w:id="65" w:name="_Toc184308045"/>
      <w:bookmarkEnd w:id="65"/>
      <w:bookmarkStart w:id="66" w:name="_Toc184312133"/>
      <w:bookmarkEnd w:id="66"/>
      <w:bookmarkStart w:id="67" w:name="_Toc184314413"/>
      <w:bookmarkEnd w:id="67"/>
      <w:bookmarkStart w:id="68" w:name="_Toc184312097"/>
      <w:bookmarkEnd w:id="68"/>
      <w:bookmarkStart w:id="69" w:name="_Toc184314461"/>
      <w:bookmarkEnd w:id="69"/>
      <w:bookmarkStart w:id="70" w:name="_Toc184314427"/>
      <w:bookmarkEnd w:id="70"/>
      <w:bookmarkStart w:id="71" w:name="_Toc184314477"/>
      <w:bookmarkEnd w:id="71"/>
      <w:bookmarkStart w:id="72" w:name="_Toc184314451"/>
      <w:bookmarkEnd w:id="72"/>
      <w:bookmarkStart w:id="73" w:name="_Toc184313282"/>
      <w:bookmarkEnd w:id="73"/>
      <w:bookmarkStart w:id="74" w:name="_Toc184313287"/>
      <w:bookmarkEnd w:id="74"/>
      <w:bookmarkStart w:id="75" w:name="_Toc184314481"/>
      <w:bookmarkEnd w:id="75"/>
      <w:bookmarkStart w:id="76" w:name="_Toc184312109"/>
      <w:bookmarkEnd w:id="76"/>
      <w:bookmarkStart w:id="77" w:name="_Toc184308037"/>
      <w:bookmarkEnd w:id="77"/>
      <w:bookmarkStart w:id="78" w:name="_Toc184314430"/>
      <w:bookmarkEnd w:id="78"/>
      <w:bookmarkStart w:id="79" w:name="_Toc184312067"/>
      <w:bookmarkEnd w:id="79"/>
      <w:bookmarkStart w:id="80" w:name="_Toc184314439"/>
      <w:bookmarkEnd w:id="80"/>
      <w:bookmarkStart w:id="81" w:name="_Toc184310326"/>
      <w:bookmarkEnd w:id="81"/>
      <w:bookmarkStart w:id="82" w:name="_Toc184312110"/>
      <w:bookmarkEnd w:id="82"/>
      <w:bookmarkStart w:id="83" w:name="_Toc184312129"/>
      <w:bookmarkEnd w:id="83"/>
      <w:bookmarkStart w:id="84" w:name="_Toc184313242"/>
      <w:bookmarkEnd w:id="84"/>
      <w:bookmarkStart w:id="85" w:name="_Toc184313298"/>
      <w:bookmarkEnd w:id="85"/>
      <w:bookmarkStart w:id="86" w:name="_Toc184313273"/>
      <w:bookmarkEnd w:id="86"/>
      <w:bookmarkStart w:id="87" w:name="_Toc184313304"/>
      <w:bookmarkEnd w:id="87"/>
      <w:bookmarkStart w:id="88" w:name="_Toc184313291"/>
      <w:bookmarkEnd w:id="88"/>
      <w:bookmarkStart w:id="89" w:name="_Toc184312132"/>
      <w:bookmarkEnd w:id="89"/>
      <w:bookmarkStart w:id="90" w:name="_Toc184312086"/>
      <w:bookmarkEnd w:id="90"/>
      <w:bookmarkStart w:id="91" w:name="_Toc184310306"/>
      <w:bookmarkEnd w:id="91"/>
      <w:bookmarkStart w:id="92" w:name="_Toc184310333"/>
      <w:bookmarkEnd w:id="92"/>
      <w:bookmarkStart w:id="93" w:name="_Toc184312087"/>
      <w:bookmarkEnd w:id="93"/>
      <w:bookmarkStart w:id="94" w:name="_Toc184312136"/>
      <w:bookmarkEnd w:id="94"/>
      <w:bookmarkStart w:id="95" w:name="_Toc184308049"/>
      <w:bookmarkEnd w:id="95"/>
      <w:bookmarkStart w:id="96" w:name="_Toc184313239"/>
      <w:bookmarkEnd w:id="96"/>
      <w:bookmarkStart w:id="97" w:name="_Toc184310298"/>
      <w:bookmarkEnd w:id="97"/>
      <w:bookmarkStart w:id="98" w:name="_Toc184312072"/>
      <w:bookmarkEnd w:id="98"/>
      <w:bookmarkStart w:id="99" w:name="_Toc184313280"/>
      <w:bookmarkEnd w:id="99"/>
      <w:bookmarkStart w:id="100" w:name="_Toc184310330"/>
      <w:bookmarkEnd w:id="100"/>
      <w:bookmarkStart w:id="101" w:name="_Toc184308083"/>
      <w:bookmarkEnd w:id="101"/>
      <w:bookmarkStart w:id="102" w:name="_Toc184310287"/>
      <w:bookmarkEnd w:id="102"/>
      <w:bookmarkStart w:id="103" w:name="_Toc184310342"/>
      <w:bookmarkEnd w:id="103"/>
      <w:bookmarkStart w:id="104" w:name="_Toc184313294"/>
      <w:bookmarkEnd w:id="104"/>
      <w:bookmarkStart w:id="105" w:name="_Toc184314463"/>
      <w:bookmarkEnd w:id="105"/>
      <w:bookmarkStart w:id="106" w:name="_Toc184314426"/>
      <w:bookmarkEnd w:id="106"/>
      <w:bookmarkStart w:id="107" w:name="_Toc184312082"/>
      <w:bookmarkEnd w:id="107"/>
      <w:bookmarkStart w:id="108" w:name="_Toc184312131"/>
      <w:bookmarkEnd w:id="108"/>
      <w:bookmarkStart w:id="109" w:name="_Toc184312119"/>
      <w:bookmarkEnd w:id="109"/>
      <w:bookmarkStart w:id="110" w:name="_Toc184314438"/>
      <w:bookmarkEnd w:id="110"/>
      <w:bookmarkStart w:id="111" w:name="_Toc184313285"/>
      <w:bookmarkEnd w:id="111"/>
      <w:bookmarkStart w:id="112" w:name="_Toc184312071"/>
      <w:bookmarkEnd w:id="112"/>
      <w:bookmarkStart w:id="113" w:name="_Toc184314465"/>
      <w:bookmarkEnd w:id="113"/>
      <w:bookmarkStart w:id="114" w:name="_Toc184313305"/>
      <w:bookmarkEnd w:id="114"/>
      <w:bookmarkStart w:id="115" w:name="_Toc184310284"/>
      <w:bookmarkEnd w:id="115"/>
      <w:bookmarkStart w:id="116" w:name="_Toc184313259"/>
      <w:bookmarkEnd w:id="116"/>
      <w:bookmarkStart w:id="117" w:name="_Toc184312105"/>
      <w:bookmarkEnd w:id="117"/>
      <w:bookmarkStart w:id="118" w:name="_Toc184310309"/>
      <w:bookmarkEnd w:id="118"/>
      <w:bookmarkStart w:id="119" w:name="_Toc184308054"/>
      <w:bookmarkEnd w:id="119"/>
      <w:bookmarkStart w:id="120" w:name="_Toc184313288"/>
      <w:bookmarkEnd w:id="120"/>
      <w:bookmarkStart w:id="121" w:name="_Toc184314415"/>
      <w:bookmarkEnd w:id="121"/>
      <w:bookmarkStart w:id="122" w:name="_Toc184312123"/>
      <w:bookmarkEnd w:id="122"/>
      <w:bookmarkStart w:id="123" w:name="_Toc184314450"/>
      <w:bookmarkEnd w:id="123"/>
      <w:bookmarkStart w:id="124" w:name="_Toc184313284"/>
      <w:bookmarkEnd w:id="124"/>
      <w:bookmarkStart w:id="125" w:name="_Toc184314455"/>
      <w:bookmarkEnd w:id="125"/>
      <w:bookmarkStart w:id="126" w:name="_Toc184314447"/>
      <w:bookmarkEnd w:id="126"/>
      <w:bookmarkStart w:id="127" w:name="_Toc184313243"/>
      <w:bookmarkEnd w:id="127"/>
      <w:bookmarkStart w:id="128" w:name="_Toc184314467"/>
      <w:bookmarkEnd w:id="128"/>
      <w:bookmarkStart w:id="129" w:name="_Toc184308038"/>
      <w:bookmarkEnd w:id="129"/>
      <w:bookmarkStart w:id="130" w:name="_Toc184308050"/>
      <w:bookmarkEnd w:id="130"/>
      <w:bookmarkStart w:id="131" w:name="_Toc184308061"/>
      <w:bookmarkEnd w:id="131"/>
      <w:bookmarkStart w:id="132" w:name="_Toc184314448"/>
      <w:bookmarkEnd w:id="132"/>
      <w:bookmarkStart w:id="133" w:name="_Toc184314480"/>
      <w:bookmarkEnd w:id="133"/>
      <w:bookmarkStart w:id="134" w:name="_Toc184310273"/>
      <w:bookmarkEnd w:id="134"/>
      <w:bookmarkStart w:id="135" w:name="_Toc184308044"/>
      <w:bookmarkEnd w:id="135"/>
      <w:bookmarkStart w:id="136" w:name="_Toc184314418"/>
      <w:bookmarkEnd w:id="136"/>
      <w:bookmarkStart w:id="137" w:name="_Toc184313264"/>
      <w:bookmarkEnd w:id="137"/>
      <w:bookmarkStart w:id="138" w:name="_Toc184312103"/>
      <w:bookmarkEnd w:id="138"/>
      <w:bookmarkStart w:id="139" w:name="_Toc184312100"/>
      <w:bookmarkEnd w:id="139"/>
      <w:bookmarkStart w:id="140" w:name="_Toc184312094"/>
      <w:bookmarkEnd w:id="140"/>
      <w:bookmarkStart w:id="141" w:name="_Toc184314437"/>
      <w:bookmarkEnd w:id="141"/>
      <w:bookmarkStart w:id="142" w:name="_Toc184310344"/>
      <w:bookmarkEnd w:id="142"/>
      <w:bookmarkStart w:id="143" w:name="_Toc184314414"/>
      <w:bookmarkEnd w:id="143"/>
      <w:bookmarkStart w:id="144" w:name="_Toc184312116"/>
      <w:bookmarkEnd w:id="144"/>
      <w:bookmarkStart w:id="145" w:name="_Toc184313292"/>
      <w:bookmarkEnd w:id="145"/>
      <w:bookmarkStart w:id="146" w:name="_Toc184312095"/>
      <w:bookmarkEnd w:id="146"/>
      <w:bookmarkStart w:id="147" w:name="_Toc184313290"/>
      <w:bookmarkEnd w:id="147"/>
      <w:bookmarkStart w:id="148" w:name="_Toc184310302"/>
      <w:bookmarkEnd w:id="148"/>
      <w:bookmarkStart w:id="149" w:name="_Toc184313240"/>
      <w:bookmarkEnd w:id="149"/>
      <w:bookmarkStart w:id="150" w:name="_Toc184308073"/>
      <w:bookmarkEnd w:id="150"/>
      <w:bookmarkStart w:id="151" w:name="_Toc184310295"/>
      <w:bookmarkEnd w:id="151"/>
      <w:bookmarkStart w:id="152" w:name="_Toc184314459"/>
      <w:bookmarkEnd w:id="152"/>
      <w:bookmarkStart w:id="153" w:name="_Toc184313275"/>
      <w:bookmarkEnd w:id="153"/>
      <w:bookmarkStart w:id="154" w:name="_Toc184312078"/>
      <w:bookmarkEnd w:id="154"/>
      <w:bookmarkStart w:id="155" w:name="_Toc184308085"/>
      <w:bookmarkEnd w:id="155"/>
      <w:bookmarkStart w:id="156" w:name="_Toc184308075"/>
      <w:bookmarkEnd w:id="156"/>
      <w:bookmarkStart w:id="157" w:name="_Toc184314425"/>
      <w:bookmarkEnd w:id="157"/>
      <w:bookmarkStart w:id="158" w:name="_Toc184308039"/>
      <w:bookmarkEnd w:id="158"/>
      <w:bookmarkStart w:id="159" w:name="_Toc184308051"/>
      <w:bookmarkEnd w:id="159"/>
      <w:bookmarkStart w:id="160" w:name="_Toc184312083"/>
      <w:bookmarkEnd w:id="160"/>
      <w:bookmarkStart w:id="161" w:name="_Toc184313299"/>
      <w:bookmarkEnd w:id="161"/>
      <w:bookmarkStart w:id="162" w:name="_Toc184313261"/>
      <w:bookmarkEnd w:id="162"/>
      <w:bookmarkStart w:id="163" w:name="_Toc184314419"/>
      <w:bookmarkEnd w:id="163"/>
      <w:bookmarkStart w:id="164" w:name="_Toc184314453"/>
      <w:bookmarkEnd w:id="164"/>
      <w:bookmarkStart w:id="165" w:name="_Toc184310318"/>
      <w:bookmarkEnd w:id="165"/>
      <w:bookmarkStart w:id="166" w:name="_Toc184312093"/>
      <w:bookmarkEnd w:id="166"/>
      <w:bookmarkStart w:id="167" w:name="_Toc184314449"/>
      <w:bookmarkEnd w:id="167"/>
      <w:bookmarkStart w:id="168" w:name="_Toc184308053"/>
      <w:bookmarkEnd w:id="168"/>
      <w:bookmarkStart w:id="169" w:name="_Toc184312135"/>
      <w:bookmarkEnd w:id="169"/>
      <w:bookmarkStart w:id="170" w:name="_Toc184314458"/>
      <w:bookmarkEnd w:id="170"/>
      <w:bookmarkStart w:id="171" w:name="_Toc184308067"/>
      <w:bookmarkEnd w:id="171"/>
      <w:bookmarkStart w:id="172" w:name="_Toc184313247"/>
      <w:bookmarkEnd w:id="172"/>
      <w:bookmarkStart w:id="173" w:name="_Toc184310276"/>
      <w:bookmarkEnd w:id="173"/>
      <w:bookmarkStart w:id="174" w:name="_Toc184312068"/>
      <w:bookmarkEnd w:id="174"/>
      <w:bookmarkStart w:id="175" w:name="_Toc184313296"/>
      <w:bookmarkEnd w:id="175"/>
      <w:bookmarkStart w:id="176" w:name="_Toc184314416"/>
      <w:bookmarkEnd w:id="176"/>
      <w:bookmarkStart w:id="177" w:name="_Toc184308104"/>
      <w:bookmarkEnd w:id="177"/>
      <w:bookmarkStart w:id="178" w:name="_Toc184313248"/>
      <w:bookmarkEnd w:id="178"/>
      <w:bookmarkStart w:id="179" w:name="_Toc184312085"/>
      <w:bookmarkEnd w:id="179"/>
      <w:bookmarkStart w:id="180" w:name="_Toc184313266"/>
      <w:bookmarkEnd w:id="180"/>
      <w:bookmarkStart w:id="181" w:name="_Toc184308076"/>
      <w:bookmarkEnd w:id="181"/>
      <w:bookmarkStart w:id="182" w:name="_Toc184308092"/>
      <w:bookmarkEnd w:id="182"/>
      <w:bookmarkStart w:id="183" w:name="_Toc184310338"/>
      <w:bookmarkEnd w:id="183"/>
      <w:bookmarkStart w:id="184" w:name="_Toc184314420"/>
      <w:bookmarkEnd w:id="184"/>
      <w:bookmarkStart w:id="185" w:name="_Toc184313271"/>
      <w:bookmarkEnd w:id="185"/>
      <w:bookmarkStart w:id="186" w:name="_Toc184313238"/>
      <w:bookmarkEnd w:id="186"/>
      <w:bookmarkStart w:id="187" w:name="_Toc184314433"/>
      <w:bookmarkEnd w:id="187"/>
      <w:bookmarkStart w:id="188" w:name="_Toc184310324"/>
      <w:bookmarkEnd w:id="188"/>
      <w:bookmarkStart w:id="189" w:name="_Toc184312104"/>
      <w:bookmarkEnd w:id="189"/>
      <w:bookmarkStart w:id="190" w:name="_Toc184310319"/>
      <w:bookmarkEnd w:id="190"/>
      <w:bookmarkStart w:id="191" w:name="_Toc184312092"/>
      <w:bookmarkEnd w:id="191"/>
      <w:bookmarkStart w:id="192" w:name="_Toc184313257"/>
      <w:bookmarkEnd w:id="192"/>
      <w:bookmarkStart w:id="193" w:name="_Toc184310281"/>
      <w:bookmarkEnd w:id="193"/>
      <w:bookmarkStart w:id="194" w:name="_Toc184313241"/>
      <w:bookmarkEnd w:id="194"/>
      <w:bookmarkStart w:id="195" w:name="_Toc184312130"/>
      <w:bookmarkEnd w:id="195"/>
      <w:bookmarkStart w:id="196" w:name="_Toc184308103"/>
      <w:bookmarkEnd w:id="196"/>
      <w:bookmarkStart w:id="197" w:name="_Toc184308087"/>
      <w:bookmarkEnd w:id="197"/>
      <w:bookmarkStart w:id="198" w:name="_Toc184314470"/>
      <w:bookmarkEnd w:id="198"/>
      <w:bookmarkStart w:id="199" w:name="_Toc184314452"/>
      <w:bookmarkEnd w:id="199"/>
      <w:bookmarkStart w:id="200" w:name="_Toc184310341"/>
      <w:bookmarkEnd w:id="200"/>
      <w:bookmarkStart w:id="201" w:name="_Toc184312101"/>
      <w:bookmarkEnd w:id="201"/>
      <w:bookmarkStart w:id="202" w:name="_Toc184313281"/>
      <w:bookmarkEnd w:id="202"/>
      <w:bookmarkStart w:id="203" w:name="_Toc184312137"/>
      <w:bookmarkEnd w:id="203"/>
      <w:bookmarkStart w:id="204" w:name="_Toc184308065"/>
      <w:bookmarkEnd w:id="204"/>
      <w:bookmarkStart w:id="205" w:name="_Toc184308088"/>
      <w:bookmarkEnd w:id="205"/>
      <w:bookmarkStart w:id="206" w:name="_Toc184313268"/>
      <w:bookmarkEnd w:id="206"/>
      <w:bookmarkStart w:id="207" w:name="_Toc184310304"/>
      <w:bookmarkEnd w:id="207"/>
      <w:bookmarkStart w:id="208" w:name="_Toc184308043"/>
      <w:bookmarkEnd w:id="208"/>
      <w:bookmarkStart w:id="209" w:name="_Toc184313246"/>
      <w:bookmarkEnd w:id="209"/>
      <w:bookmarkStart w:id="210" w:name="_Toc184314472"/>
      <w:bookmarkEnd w:id="210"/>
      <w:bookmarkStart w:id="211" w:name="_Toc184312096"/>
      <w:bookmarkEnd w:id="211"/>
      <w:bookmarkStart w:id="212" w:name="_Toc184313245"/>
      <w:bookmarkEnd w:id="212"/>
      <w:bookmarkStart w:id="213" w:name="_Toc184312127"/>
      <w:bookmarkEnd w:id="213"/>
      <w:bookmarkStart w:id="214" w:name="_Toc184308058"/>
      <w:bookmarkEnd w:id="214"/>
      <w:bookmarkStart w:id="215" w:name="_Toc184310301"/>
      <w:bookmarkEnd w:id="215"/>
      <w:bookmarkStart w:id="216" w:name="_Toc184314444"/>
      <w:bookmarkEnd w:id="216"/>
      <w:bookmarkStart w:id="217" w:name="_Toc184310328"/>
      <w:bookmarkEnd w:id="217"/>
      <w:bookmarkStart w:id="218" w:name="_Toc184312075"/>
      <w:bookmarkEnd w:id="218"/>
      <w:bookmarkStart w:id="219" w:name="_Toc184310305"/>
      <w:bookmarkEnd w:id="219"/>
      <w:bookmarkStart w:id="220" w:name="_Toc184310335"/>
      <w:bookmarkEnd w:id="220"/>
      <w:bookmarkStart w:id="221" w:name="_Toc184313303"/>
      <w:bookmarkEnd w:id="221"/>
      <w:bookmarkStart w:id="222" w:name="_Toc184313310"/>
      <w:bookmarkEnd w:id="222"/>
      <w:bookmarkStart w:id="223" w:name="_Toc184312107"/>
      <w:bookmarkEnd w:id="223"/>
      <w:bookmarkStart w:id="224" w:name="_Toc184308059"/>
      <w:bookmarkEnd w:id="224"/>
      <w:bookmarkStart w:id="225" w:name="_Toc184310280"/>
      <w:bookmarkEnd w:id="225"/>
      <w:bookmarkStart w:id="226" w:name="_Toc184310331"/>
      <w:bookmarkEnd w:id="226"/>
      <w:bookmarkStart w:id="227" w:name="_Toc184312138"/>
      <w:bookmarkEnd w:id="227"/>
      <w:bookmarkStart w:id="228" w:name="_Toc184308082"/>
      <w:bookmarkEnd w:id="228"/>
      <w:bookmarkStart w:id="229" w:name="_Toc184310286"/>
      <w:bookmarkEnd w:id="229"/>
      <w:bookmarkStart w:id="230" w:name="_Toc184314436"/>
      <w:bookmarkEnd w:id="230"/>
      <w:bookmarkStart w:id="231" w:name="_Toc184313269"/>
      <w:bookmarkEnd w:id="231"/>
      <w:bookmarkStart w:id="232" w:name="_Toc184310275"/>
      <w:bookmarkEnd w:id="232"/>
      <w:bookmarkStart w:id="233" w:name="_Toc184314468"/>
      <w:bookmarkEnd w:id="233"/>
      <w:bookmarkStart w:id="234" w:name="_Toc184313295"/>
      <w:bookmarkEnd w:id="234"/>
      <w:bookmarkStart w:id="235" w:name="_Toc184313277"/>
      <w:bookmarkEnd w:id="235"/>
      <w:bookmarkStart w:id="236" w:name="_Toc184310274"/>
      <w:bookmarkEnd w:id="236"/>
      <w:bookmarkStart w:id="237" w:name="_Toc184312099"/>
      <w:bookmarkEnd w:id="237"/>
      <w:bookmarkStart w:id="238" w:name="_Toc184314423"/>
      <w:bookmarkEnd w:id="238"/>
      <w:bookmarkStart w:id="239" w:name="_Toc184313265"/>
      <w:bookmarkEnd w:id="239"/>
      <w:bookmarkStart w:id="240" w:name="_Toc184308106"/>
      <w:bookmarkEnd w:id="240"/>
      <w:bookmarkStart w:id="241" w:name="_Toc184308036"/>
      <w:bookmarkEnd w:id="241"/>
      <w:bookmarkStart w:id="242" w:name="_Toc184310317"/>
      <w:bookmarkEnd w:id="242"/>
      <w:bookmarkStart w:id="243" w:name="_Toc184310292"/>
      <w:bookmarkEnd w:id="243"/>
      <w:bookmarkStart w:id="244" w:name="_Toc184312122"/>
      <w:bookmarkEnd w:id="244"/>
      <w:bookmarkStart w:id="245" w:name="_Toc184314457"/>
      <w:bookmarkEnd w:id="245"/>
      <w:bookmarkStart w:id="246" w:name="_Toc184314462"/>
      <w:bookmarkEnd w:id="246"/>
      <w:bookmarkStart w:id="247" w:name="_Toc184308055"/>
      <w:bookmarkEnd w:id="247"/>
      <w:bookmarkStart w:id="248" w:name="_Toc184308048"/>
      <w:bookmarkEnd w:id="248"/>
      <w:bookmarkStart w:id="249" w:name="_Toc184314456"/>
      <w:bookmarkEnd w:id="249"/>
      <w:bookmarkStart w:id="250" w:name="_Toc184310343"/>
      <w:bookmarkEnd w:id="250"/>
      <w:bookmarkStart w:id="251" w:name="_Toc184308057"/>
      <w:bookmarkEnd w:id="251"/>
      <w:bookmarkStart w:id="252" w:name="_Toc184314466"/>
      <w:bookmarkEnd w:id="252"/>
      <w:bookmarkStart w:id="253" w:name="_Toc184308069"/>
      <w:bookmarkEnd w:id="253"/>
      <w:bookmarkStart w:id="254" w:name="_Toc184310340"/>
      <w:bookmarkEnd w:id="254"/>
      <w:bookmarkStart w:id="255" w:name="_Toc184308091"/>
      <w:bookmarkEnd w:id="255"/>
      <w:bookmarkStart w:id="256" w:name="_Toc184308081"/>
      <w:bookmarkEnd w:id="256"/>
      <w:bookmarkStart w:id="257" w:name="_Toc184312128"/>
      <w:bookmarkEnd w:id="257"/>
      <w:bookmarkStart w:id="258" w:name="_Toc184312121"/>
      <w:bookmarkEnd w:id="258"/>
      <w:bookmarkStart w:id="259" w:name="_Toc184310323"/>
      <w:bookmarkEnd w:id="259"/>
      <w:bookmarkStart w:id="260" w:name="_Toc184310310"/>
      <w:bookmarkEnd w:id="260"/>
      <w:bookmarkStart w:id="261" w:name="_Toc184308080"/>
      <w:bookmarkEnd w:id="261"/>
      <w:bookmarkStart w:id="262" w:name="_Toc184314429"/>
      <w:bookmarkEnd w:id="262"/>
      <w:bookmarkStart w:id="263" w:name="_Toc184310313"/>
      <w:bookmarkEnd w:id="263"/>
      <w:bookmarkStart w:id="264" w:name="_Toc184313308"/>
      <w:bookmarkEnd w:id="264"/>
      <w:bookmarkStart w:id="265" w:name="_Toc184308096"/>
      <w:bookmarkEnd w:id="265"/>
      <w:bookmarkStart w:id="266" w:name="_Toc184313279"/>
      <w:bookmarkEnd w:id="266"/>
      <w:bookmarkStart w:id="267" w:name="_Toc184310316"/>
      <w:bookmarkEnd w:id="267"/>
      <w:bookmarkStart w:id="268" w:name="_Toc184313276"/>
      <w:bookmarkEnd w:id="268"/>
      <w:bookmarkStart w:id="269" w:name="_Toc184308063"/>
      <w:bookmarkEnd w:id="269"/>
      <w:bookmarkStart w:id="270" w:name="_Toc184313297"/>
      <w:bookmarkEnd w:id="270"/>
      <w:bookmarkStart w:id="271" w:name="_Toc184308086"/>
      <w:bookmarkEnd w:id="271"/>
      <w:bookmarkStart w:id="272" w:name="_Toc184308056"/>
      <w:bookmarkEnd w:id="272"/>
      <w:bookmarkStart w:id="273" w:name="_Toc184310272"/>
      <w:bookmarkEnd w:id="273"/>
      <w:bookmarkStart w:id="274" w:name="_Toc184308040"/>
      <w:bookmarkEnd w:id="274"/>
      <w:bookmarkStart w:id="275" w:name="_Toc184312073"/>
      <w:bookmarkEnd w:id="275"/>
      <w:bookmarkStart w:id="276" w:name="_Toc184312077"/>
      <w:bookmarkEnd w:id="276"/>
      <w:bookmarkStart w:id="277" w:name="_Toc184308097"/>
      <w:bookmarkEnd w:id="277"/>
      <w:bookmarkStart w:id="278" w:name="_Toc184313262"/>
      <w:bookmarkEnd w:id="278"/>
      <w:bookmarkStart w:id="279" w:name="_Toc184314410"/>
      <w:bookmarkEnd w:id="279"/>
      <w:bookmarkStart w:id="280" w:name="_Toc184313270"/>
      <w:bookmarkEnd w:id="280"/>
      <w:bookmarkStart w:id="281" w:name="_Toc184313272"/>
      <w:bookmarkEnd w:id="281"/>
      <w:bookmarkStart w:id="282" w:name="_Toc184312117"/>
      <w:bookmarkEnd w:id="282"/>
      <w:bookmarkStart w:id="283" w:name="_Toc184313309"/>
      <w:bookmarkEnd w:id="283"/>
      <w:bookmarkStart w:id="284" w:name="_Toc184312081"/>
      <w:bookmarkEnd w:id="284"/>
      <w:bookmarkStart w:id="285" w:name="_Toc184312102"/>
      <w:bookmarkEnd w:id="285"/>
      <w:bookmarkStart w:id="286" w:name="_Toc184308074"/>
      <w:bookmarkEnd w:id="286"/>
      <w:bookmarkStart w:id="287" w:name="_Toc184308060"/>
      <w:bookmarkEnd w:id="287"/>
      <w:bookmarkStart w:id="288" w:name="_Toc184310285"/>
      <w:bookmarkEnd w:id="288"/>
      <w:bookmarkStart w:id="289" w:name="_Toc184314434"/>
      <w:bookmarkEnd w:id="289"/>
      <w:bookmarkStart w:id="290" w:name="_Toc184308066"/>
      <w:bookmarkEnd w:id="290"/>
      <w:bookmarkStart w:id="291" w:name="_Toc184314478"/>
      <w:bookmarkEnd w:id="291"/>
      <w:bookmarkStart w:id="292" w:name="_Toc184310329"/>
      <w:bookmarkEnd w:id="292"/>
      <w:bookmarkStart w:id="293" w:name="_Toc184308077"/>
      <w:bookmarkEnd w:id="293"/>
      <w:bookmarkStart w:id="294" w:name="_Toc184312112"/>
      <w:bookmarkEnd w:id="294"/>
      <w:bookmarkStart w:id="295" w:name="_Toc184308107"/>
      <w:bookmarkEnd w:id="295"/>
      <w:bookmarkStart w:id="296" w:name="_Toc184308070"/>
      <w:bookmarkEnd w:id="296"/>
      <w:bookmarkStart w:id="297" w:name="_Toc184310300"/>
      <w:bookmarkEnd w:id="297"/>
      <w:bookmarkStart w:id="298" w:name="_Toc184313301"/>
      <w:bookmarkEnd w:id="298"/>
      <w:bookmarkStart w:id="299" w:name="_Toc184308095"/>
      <w:bookmarkEnd w:id="299"/>
      <w:bookmarkStart w:id="300" w:name="_Toc184314464"/>
      <w:bookmarkEnd w:id="300"/>
      <w:bookmarkStart w:id="301" w:name="_Toc184310312"/>
      <w:bookmarkEnd w:id="301"/>
      <w:bookmarkStart w:id="302" w:name="_Toc184313251"/>
      <w:bookmarkEnd w:id="302"/>
      <w:bookmarkStart w:id="303" w:name="_Toc184308071"/>
      <w:bookmarkEnd w:id="303"/>
      <w:bookmarkStart w:id="304" w:name="_Toc184310303"/>
      <w:bookmarkEnd w:id="304"/>
      <w:bookmarkStart w:id="305" w:name="_Toc184308105"/>
      <w:bookmarkEnd w:id="305"/>
      <w:bookmarkStart w:id="306" w:name="_Toc184312070"/>
      <w:bookmarkEnd w:id="306"/>
      <w:bookmarkStart w:id="307" w:name="_Toc184314442"/>
      <w:bookmarkEnd w:id="307"/>
      <w:bookmarkStart w:id="308" w:name="_Toc184310278"/>
      <w:bookmarkEnd w:id="308"/>
      <w:bookmarkStart w:id="309" w:name="_Toc184313267"/>
      <w:bookmarkEnd w:id="309"/>
      <w:bookmarkStart w:id="310" w:name="_Toc184310321"/>
      <w:bookmarkEnd w:id="310"/>
      <w:bookmarkStart w:id="311" w:name="_Toc184312088"/>
      <w:bookmarkEnd w:id="311"/>
      <w:bookmarkStart w:id="312" w:name="_Toc184308100"/>
      <w:bookmarkEnd w:id="312"/>
      <w:bookmarkStart w:id="313" w:name="_Toc184308062"/>
      <w:bookmarkEnd w:id="313"/>
      <w:bookmarkStart w:id="314" w:name="_Toc184310336"/>
      <w:bookmarkEnd w:id="314"/>
      <w:bookmarkStart w:id="315" w:name="_Toc184313302"/>
      <w:bookmarkEnd w:id="315"/>
      <w:bookmarkStart w:id="316" w:name="_Toc184310288"/>
      <w:bookmarkEnd w:id="316"/>
      <w:bookmarkStart w:id="317" w:name="_Toc184314428"/>
      <w:bookmarkEnd w:id="317"/>
      <w:bookmarkStart w:id="318" w:name="_Toc184313254"/>
      <w:bookmarkEnd w:id="318"/>
      <w:bookmarkStart w:id="319" w:name="_Toc184312111"/>
      <w:bookmarkEnd w:id="319"/>
      <w:bookmarkStart w:id="320" w:name="_Toc184312125"/>
      <w:bookmarkEnd w:id="320"/>
      <w:bookmarkStart w:id="321" w:name="_Toc184310283"/>
      <w:bookmarkEnd w:id="321"/>
      <w:bookmarkStart w:id="322" w:name="_Toc184312120"/>
      <w:bookmarkEnd w:id="322"/>
      <w:bookmarkStart w:id="323" w:name="_Toc184314422"/>
      <w:bookmarkEnd w:id="323"/>
      <w:bookmarkStart w:id="324" w:name="_Toc184314471"/>
      <w:bookmarkEnd w:id="324"/>
      <w:bookmarkStart w:id="325" w:name="_Toc184313289"/>
      <w:bookmarkEnd w:id="325"/>
      <w:bookmarkStart w:id="326" w:name="_Toc184308093"/>
      <w:bookmarkEnd w:id="326"/>
      <w:bookmarkStart w:id="327" w:name="_Toc184308068"/>
      <w:bookmarkEnd w:id="327"/>
      <w:bookmarkStart w:id="328" w:name="_Toc184314476"/>
      <w:bookmarkEnd w:id="328"/>
      <w:bookmarkStart w:id="329" w:name="_Toc184314424"/>
      <w:bookmarkEnd w:id="329"/>
      <w:bookmarkStart w:id="330" w:name="_Toc184312126"/>
      <w:bookmarkEnd w:id="330"/>
      <w:bookmarkStart w:id="331" w:name="_Toc184314482"/>
      <w:bookmarkEnd w:id="331"/>
      <w:bookmarkStart w:id="332" w:name="_Toc184310337"/>
      <w:bookmarkEnd w:id="332"/>
      <w:bookmarkStart w:id="333" w:name="_Toc184312124"/>
      <w:bookmarkEnd w:id="333"/>
      <w:bookmarkStart w:id="334" w:name="_Toc184312114"/>
      <w:bookmarkEnd w:id="334"/>
      <w:bookmarkStart w:id="335" w:name="_Toc184308098"/>
      <w:bookmarkEnd w:id="335"/>
      <w:bookmarkStart w:id="336" w:name="_Toc184314475"/>
      <w:bookmarkEnd w:id="336"/>
      <w:bookmarkStart w:id="337" w:name="_Toc184314454"/>
      <w:bookmarkEnd w:id="337"/>
      <w:bookmarkStart w:id="338" w:name="_Toc184314435"/>
      <w:bookmarkEnd w:id="338"/>
      <w:bookmarkStart w:id="339" w:name="_Toc184313244"/>
      <w:bookmarkEnd w:id="339"/>
      <w:bookmarkStart w:id="340" w:name="_Toc184308042"/>
      <w:bookmarkEnd w:id="340"/>
      <w:bookmarkStart w:id="341" w:name="_Toc184312098"/>
      <w:bookmarkEnd w:id="341"/>
      <w:bookmarkStart w:id="342" w:name="_Toc184314421"/>
      <w:bookmarkEnd w:id="342"/>
      <w:bookmarkStart w:id="343" w:name="_Toc184312118"/>
      <w:bookmarkEnd w:id="343"/>
      <w:bookmarkStart w:id="344" w:name="_Toc184313256"/>
      <w:bookmarkEnd w:id="344"/>
      <w:bookmarkStart w:id="345" w:name="_Toc184310307"/>
      <w:bookmarkEnd w:id="345"/>
      <w:bookmarkStart w:id="346" w:name="_Toc184308108"/>
      <w:bookmarkEnd w:id="346"/>
      <w:bookmarkStart w:id="347" w:name="_Toc184312080"/>
      <w:bookmarkEnd w:id="347"/>
      <w:bookmarkStart w:id="348" w:name="_Toc184310315"/>
      <w:bookmarkEnd w:id="348"/>
      <w:bookmarkStart w:id="349" w:name="_Toc184313263"/>
      <w:bookmarkEnd w:id="349"/>
      <w:bookmarkStart w:id="350" w:name="_Toc184308079"/>
      <w:bookmarkEnd w:id="350"/>
      <w:bookmarkStart w:id="351" w:name="_Toc184310339"/>
      <w:bookmarkEnd w:id="351"/>
      <w:bookmarkStart w:id="352" w:name="_Toc184314479"/>
      <w:bookmarkEnd w:id="352"/>
      <w:bookmarkStart w:id="353" w:name="_Toc184314441"/>
      <w:bookmarkEnd w:id="353"/>
      <w:bookmarkStart w:id="354" w:name="_Toc184308090"/>
      <w:bookmarkEnd w:id="354"/>
      <w:bookmarkStart w:id="355" w:name="_Toc184308052"/>
      <w:bookmarkEnd w:id="355"/>
      <w:bookmarkStart w:id="356" w:name="_Toc184308101"/>
      <w:bookmarkEnd w:id="356"/>
      <w:bookmarkStart w:id="357" w:name="_Toc184313307"/>
      <w:bookmarkEnd w:id="357"/>
      <w:bookmarkStart w:id="358" w:name="_Toc184312069"/>
      <w:bookmarkEnd w:id="358"/>
      <w:bookmarkStart w:id="359" w:name="_Toc184308047"/>
      <w:bookmarkEnd w:id="359"/>
      <w:bookmarkStart w:id="360" w:name="_Toc184310334"/>
      <w:bookmarkEnd w:id="360"/>
      <w:bookmarkStart w:id="361" w:name="_Toc184310296"/>
      <w:bookmarkEnd w:id="361"/>
      <w:bookmarkStart w:id="362" w:name="_Toc184312084"/>
      <w:bookmarkEnd w:id="362"/>
      <w:bookmarkStart w:id="363" w:name="_Toc184310332"/>
      <w:bookmarkEnd w:id="363"/>
      <w:bookmarkStart w:id="364" w:name="_Toc184313300"/>
      <w:bookmarkEnd w:id="364"/>
      <w:bookmarkStart w:id="365" w:name="_Toc184312090"/>
      <w:bookmarkEnd w:id="365"/>
      <w:bookmarkStart w:id="366" w:name="_Toc184312134"/>
      <w:bookmarkEnd w:id="366"/>
      <w:bookmarkStart w:id="367" w:name="_Toc184314445"/>
      <w:bookmarkEnd w:id="367"/>
      <w:bookmarkStart w:id="368" w:name="_Toc184314469"/>
      <w:bookmarkEnd w:id="368"/>
      <w:bookmarkStart w:id="369" w:name="_Toc184312108"/>
      <w:bookmarkEnd w:id="369"/>
      <w:bookmarkStart w:id="370" w:name="_Toc184313253"/>
      <w:bookmarkEnd w:id="370"/>
      <w:bookmarkStart w:id="371" w:name="_Toc184308099"/>
      <w:bookmarkEnd w:id="371"/>
      <w:bookmarkStart w:id="372" w:name="_Toc184308041"/>
      <w:bookmarkEnd w:id="372"/>
      <w:bookmarkStart w:id="373" w:name="_Toc184310314"/>
      <w:bookmarkEnd w:id="373"/>
      <w:bookmarkStart w:id="374" w:name="_Toc184313293"/>
      <w:bookmarkEnd w:id="374"/>
      <w:bookmarkStart w:id="375" w:name="_Toc184314417"/>
      <w:bookmarkEnd w:id="375"/>
      <w:bookmarkStart w:id="376" w:name="_Toc184308102"/>
      <w:bookmarkEnd w:id="376"/>
      <w:bookmarkStart w:id="377" w:name="_Toc184314412"/>
      <w:bookmarkEnd w:id="377"/>
      <w:bookmarkStart w:id="378" w:name="_Toc184313306"/>
      <w:bookmarkEnd w:id="378"/>
      <w:bookmarkStart w:id="379" w:name="_Toc184313283"/>
      <w:bookmarkEnd w:id="379"/>
      <w:bookmarkStart w:id="380" w:name="_Toc184313258"/>
      <w:bookmarkEnd w:id="380"/>
      <w:bookmarkStart w:id="381" w:name="_Toc184313278"/>
      <w:bookmarkEnd w:id="381"/>
      <w:bookmarkStart w:id="382" w:name="_Toc184310297"/>
      <w:bookmarkEnd w:id="382"/>
      <w:bookmarkStart w:id="383" w:name="_Toc184314431"/>
      <w:bookmarkEnd w:id="383"/>
      <w:bookmarkStart w:id="384" w:name="_Toc184310299"/>
      <w:bookmarkEnd w:id="384"/>
      <w:bookmarkStart w:id="385" w:name="_Toc184313252"/>
      <w:bookmarkEnd w:id="385"/>
      <w:bookmarkStart w:id="386" w:name="_Toc184310282"/>
      <w:bookmarkEnd w:id="386"/>
      <w:bookmarkStart w:id="387" w:name="_Toc184308089"/>
      <w:bookmarkEnd w:id="387"/>
      <w:bookmarkStart w:id="388" w:name="_Toc184313274"/>
      <w:bookmarkEnd w:id="388"/>
      <w:bookmarkStart w:id="389" w:name="_Toc184314474"/>
      <w:bookmarkEnd w:id="389"/>
      <w:bookmarkStart w:id="390" w:name="_Toc184308064"/>
      <w:bookmarkEnd w:id="390"/>
      <w:bookmarkStart w:id="391" w:name="_Toc184310277"/>
      <w:bookmarkEnd w:id="391"/>
      <w:bookmarkStart w:id="392" w:name="_Toc184314460"/>
      <w:bookmarkEnd w:id="392"/>
      <w:r>
        <w:rPr>
          <w:rFonts w:hint="eastAsia" w:ascii="仿宋" w:hAnsi="仿宋" w:eastAsia="仿宋" w:cs="仿宋"/>
          <w:b/>
          <w:sz w:val="36"/>
          <w:szCs w:val="36"/>
        </w:rPr>
        <w:t>评标办法</w:t>
      </w:r>
    </w:p>
    <w:p>
      <w:pPr>
        <w:widowControl/>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p>
      <w:pPr>
        <w:widowControl/>
        <w:spacing w:line="360" w:lineRule="auto"/>
        <w:rPr>
          <w:rFonts w:ascii="仿宋" w:hAnsi="仿宋" w:eastAsia="仿宋" w:cs="仿宋_GB2312"/>
          <w:sz w:val="24"/>
        </w:rPr>
      </w:pPr>
      <w:r>
        <w:rPr>
          <w:rFonts w:hint="eastAsia" w:ascii="仿宋" w:hAnsi="仿宋" w:eastAsia="仿宋" w:cs="仿宋_GB2312"/>
          <w:sz w:val="24"/>
        </w:rPr>
        <w:t>1、</w:t>
      </w:r>
      <w:r>
        <w:rPr>
          <w:rFonts w:hint="eastAsia" w:ascii="仿宋" w:hAnsi="仿宋" w:eastAsia="仿宋" w:cs="仿宋_GB2312"/>
          <w:sz w:val="24"/>
          <w:lang w:val="en-US" w:eastAsia="zh-CN"/>
        </w:rPr>
        <w:t>商务资信</w:t>
      </w:r>
      <w:r>
        <w:rPr>
          <w:rFonts w:hint="eastAsia" w:ascii="仿宋" w:hAnsi="仿宋" w:eastAsia="仿宋" w:cs="仿宋_GB2312"/>
          <w:sz w:val="24"/>
        </w:rPr>
        <w:t>（</w:t>
      </w:r>
      <w:r>
        <w:rPr>
          <w:rFonts w:hint="eastAsia" w:ascii="仿宋" w:hAnsi="仿宋" w:eastAsia="仿宋" w:cs="仿宋_GB2312"/>
          <w:sz w:val="24"/>
          <w:lang w:val="en-US" w:eastAsia="zh-CN"/>
        </w:rPr>
        <w:t>9</w:t>
      </w:r>
      <w:r>
        <w:rPr>
          <w:rFonts w:hint="eastAsia" w:ascii="仿宋" w:hAnsi="仿宋" w:eastAsia="仿宋" w:cs="仿宋_GB2312"/>
          <w:sz w:val="24"/>
        </w:rPr>
        <w:t>分）</w:t>
      </w:r>
    </w:p>
    <w:tbl>
      <w:tblPr>
        <w:tblStyle w:val="64"/>
        <w:tblW w:w="956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3"/>
        <w:gridCol w:w="720"/>
        <w:gridCol w:w="6213"/>
        <w:gridCol w:w="732"/>
        <w:gridCol w:w="1009"/>
      </w:tblGrid>
      <w:tr>
        <w:trPr>
          <w:trHeight w:val="1048" w:hRule="atLeast"/>
          <w:jc w:val="center"/>
        </w:trPr>
        <w:tc>
          <w:tcPr>
            <w:tcW w:w="893" w:type="dxa"/>
            <w:shd w:val="clear" w:color="auto" w:fill="auto"/>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序号</w:t>
            </w:r>
          </w:p>
        </w:tc>
        <w:tc>
          <w:tcPr>
            <w:tcW w:w="6933" w:type="dxa"/>
            <w:gridSpan w:val="2"/>
            <w:tcBorders>
              <w:tl2br w:val="nil"/>
              <w:tr2bl w:val="nil"/>
            </w:tcBorders>
            <w:shd w:val="clear" w:color="auto" w:fill="auto"/>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评分内容和标准</w:t>
            </w:r>
          </w:p>
        </w:tc>
        <w:tc>
          <w:tcPr>
            <w:tcW w:w="732" w:type="dxa"/>
            <w:tcBorders>
              <w:tl2br w:val="nil"/>
              <w:tr2bl w:val="nil"/>
            </w:tcBorders>
            <w:shd w:val="clear" w:color="auto" w:fill="auto"/>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权重</w:t>
            </w:r>
          </w:p>
        </w:tc>
        <w:tc>
          <w:tcPr>
            <w:tcW w:w="1009" w:type="dxa"/>
            <w:tcBorders>
              <w:tl2br w:val="nil"/>
              <w:tr2bl w:val="nil"/>
            </w:tcBorders>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主客</w:t>
            </w:r>
          </w:p>
          <w:p>
            <w:pPr>
              <w:widowControl/>
              <w:spacing w:line="360" w:lineRule="auto"/>
              <w:jc w:val="center"/>
              <w:rPr>
                <w:rFonts w:ascii="仿宋" w:hAnsi="仿宋" w:eastAsia="仿宋" w:cs="仿宋_GB2312"/>
                <w:sz w:val="24"/>
              </w:rPr>
            </w:pPr>
            <w:r>
              <w:rPr>
                <w:rFonts w:hint="eastAsia" w:ascii="仿宋" w:hAnsi="仿宋" w:eastAsia="仿宋" w:cs="仿宋_GB2312"/>
                <w:sz w:val="24"/>
              </w:rPr>
              <w:t>观分</w:t>
            </w:r>
          </w:p>
        </w:tc>
      </w:tr>
      <w:tr>
        <w:trPr>
          <w:trHeight w:val="90" w:hRule="atLeast"/>
          <w:jc w:val="center"/>
        </w:trPr>
        <w:tc>
          <w:tcPr>
            <w:tcW w:w="893" w:type="dxa"/>
            <w:vMerge w:val="restart"/>
            <w:shd w:val="clear" w:color="auto" w:fill="auto"/>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商</w:t>
            </w:r>
          </w:p>
          <w:p>
            <w:pPr>
              <w:widowControl/>
              <w:spacing w:line="360" w:lineRule="auto"/>
              <w:jc w:val="center"/>
              <w:rPr>
                <w:rFonts w:ascii="仿宋" w:hAnsi="仿宋" w:eastAsia="仿宋" w:cs="仿宋_GB2312"/>
                <w:sz w:val="24"/>
              </w:rPr>
            </w:pPr>
            <w:r>
              <w:rPr>
                <w:rFonts w:hint="eastAsia" w:ascii="仿宋" w:hAnsi="仿宋" w:eastAsia="仿宋" w:cs="仿宋_GB2312"/>
                <w:sz w:val="24"/>
              </w:rPr>
              <w:t>务</w:t>
            </w:r>
          </w:p>
          <w:p>
            <w:pPr>
              <w:widowControl/>
              <w:spacing w:line="360" w:lineRule="auto"/>
              <w:jc w:val="center"/>
              <w:rPr>
                <w:rFonts w:ascii="仿宋" w:hAnsi="仿宋" w:eastAsia="仿宋" w:cs="仿宋_GB2312"/>
                <w:sz w:val="24"/>
              </w:rPr>
            </w:pPr>
            <w:r>
              <w:rPr>
                <w:rFonts w:hint="eastAsia" w:ascii="仿宋" w:hAnsi="仿宋" w:eastAsia="仿宋" w:cs="仿宋_GB2312"/>
                <w:sz w:val="24"/>
              </w:rPr>
              <w:t>资</w:t>
            </w:r>
          </w:p>
          <w:p>
            <w:pPr>
              <w:widowControl/>
              <w:spacing w:line="360" w:lineRule="auto"/>
              <w:jc w:val="center"/>
              <w:rPr>
                <w:rFonts w:ascii="仿宋" w:hAnsi="仿宋" w:eastAsia="仿宋" w:cs="仿宋_GB2312"/>
                <w:sz w:val="24"/>
              </w:rPr>
            </w:pPr>
            <w:r>
              <w:rPr>
                <w:rFonts w:hint="eastAsia" w:ascii="仿宋" w:hAnsi="仿宋" w:eastAsia="仿宋" w:cs="仿宋_GB2312"/>
                <w:sz w:val="24"/>
              </w:rPr>
              <w:t>信</w:t>
            </w:r>
          </w:p>
        </w:tc>
        <w:tc>
          <w:tcPr>
            <w:tcW w:w="720" w:type="dxa"/>
            <w:tcBorders>
              <w:tl2br w:val="nil"/>
              <w:tr2bl w:val="nil"/>
            </w:tcBorders>
            <w:shd w:val="clear" w:color="auto" w:fill="auto"/>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1</w:t>
            </w:r>
          </w:p>
        </w:tc>
        <w:tc>
          <w:tcPr>
            <w:tcW w:w="6213" w:type="dxa"/>
            <w:tcBorders>
              <w:tl2br w:val="nil"/>
              <w:tr2bl w:val="nil"/>
            </w:tcBorders>
            <w:shd w:val="clear" w:color="auto" w:fill="auto"/>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1)具有质量管理体系认证的得1分；</w:t>
            </w:r>
          </w:p>
          <w:p>
            <w:pPr>
              <w:spacing w:line="440" w:lineRule="exact"/>
              <w:rPr>
                <w:rFonts w:ascii="仿宋" w:hAnsi="仿宋" w:eastAsia="仿宋" w:cs="仿宋"/>
                <w:color w:val="auto"/>
                <w:sz w:val="24"/>
              </w:rPr>
            </w:pPr>
            <w:r>
              <w:rPr>
                <w:rFonts w:hint="eastAsia" w:ascii="仿宋" w:hAnsi="仿宋" w:eastAsia="仿宋" w:cs="仿宋"/>
                <w:color w:val="auto"/>
                <w:sz w:val="24"/>
              </w:rPr>
              <w:t>2)具有环境管理体系认证的得1分；</w:t>
            </w:r>
          </w:p>
          <w:p>
            <w:pPr>
              <w:spacing w:line="440" w:lineRule="exact"/>
              <w:rPr>
                <w:rFonts w:ascii="仿宋" w:hAnsi="仿宋" w:eastAsia="仿宋" w:cs="仿宋"/>
                <w:color w:val="auto"/>
                <w:sz w:val="24"/>
              </w:rPr>
            </w:pPr>
            <w:r>
              <w:rPr>
                <w:rFonts w:hint="eastAsia" w:ascii="仿宋" w:hAnsi="仿宋" w:eastAsia="仿宋" w:cs="仿宋"/>
                <w:color w:val="auto"/>
                <w:sz w:val="24"/>
              </w:rPr>
              <w:t>3)职业健康安全管理体系认证证书的得1分。</w:t>
            </w:r>
          </w:p>
          <w:p>
            <w:pPr>
              <w:pStyle w:val="23"/>
              <w:spacing w:line="440" w:lineRule="exact"/>
              <w:rPr>
                <w:rFonts w:ascii="仿宋" w:hAnsi="仿宋" w:eastAsia="仿宋" w:cs="仿宋_GB2312"/>
                <w:sz w:val="24"/>
              </w:rPr>
            </w:pPr>
            <w:r>
              <w:rPr>
                <w:rFonts w:hint="eastAsia" w:ascii="仿宋" w:hAnsi="仿宋" w:eastAsia="仿宋" w:cs="仿宋"/>
                <w:snapToGrid/>
                <w:color w:val="auto"/>
                <w:szCs w:val="24"/>
                <w:lang w:val="en-US"/>
              </w:rPr>
              <w:t>注：</w:t>
            </w:r>
            <w:r>
              <w:rPr>
                <w:rFonts w:ascii="仿宋" w:hAnsi="仿宋" w:eastAsia="仿宋" w:cs="仿宋"/>
                <w:snapToGrid/>
                <w:color w:val="auto"/>
                <w:szCs w:val="24"/>
                <w:lang w:val="en-US"/>
              </w:rPr>
              <w:t>投标人须提供在有效期内的认证证书复印件或扫描件,加盖投标人公章，不提供不得分。</w:t>
            </w:r>
          </w:p>
        </w:tc>
        <w:tc>
          <w:tcPr>
            <w:tcW w:w="732" w:type="dxa"/>
            <w:tcBorders>
              <w:tl2br w:val="nil"/>
              <w:tr2bl w:val="nil"/>
            </w:tcBorders>
            <w:shd w:val="clear" w:color="auto" w:fill="auto"/>
            <w:vAlign w:val="center"/>
          </w:tcPr>
          <w:p>
            <w:pPr>
              <w:spacing w:line="440" w:lineRule="exact"/>
              <w:jc w:val="center"/>
              <w:rPr>
                <w:rFonts w:hint="default" w:ascii="仿宋" w:hAnsi="仿宋" w:eastAsia="仿宋" w:cs="仿宋_GB2312"/>
                <w:sz w:val="24"/>
                <w:lang w:val="en-US" w:eastAsia="zh-CN"/>
              </w:rPr>
            </w:pPr>
            <w:r>
              <w:rPr>
                <w:rFonts w:hint="eastAsia" w:ascii="仿宋" w:hAnsi="仿宋" w:eastAsia="仿宋" w:cs="仿宋"/>
                <w:color w:val="auto"/>
                <w:sz w:val="24"/>
              </w:rPr>
              <w:t>0-3</w:t>
            </w:r>
          </w:p>
        </w:tc>
        <w:tc>
          <w:tcPr>
            <w:tcW w:w="1009" w:type="dxa"/>
            <w:tcBorders>
              <w:tl2br w:val="nil"/>
              <w:tr2bl w:val="nil"/>
            </w:tcBorders>
            <w:shd w:val="clear" w:color="auto" w:fill="auto"/>
            <w:vAlign w:val="center"/>
          </w:tcPr>
          <w:p>
            <w:pPr>
              <w:spacing w:line="440" w:lineRule="exact"/>
              <w:rPr>
                <w:rFonts w:ascii="仿宋" w:hAnsi="仿宋" w:eastAsia="仿宋" w:cs="仿宋_GB2312"/>
                <w:sz w:val="24"/>
              </w:rPr>
            </w:pPr>
            <w:r>
              <w:rPr>
                <w:rFonts w:hint="eastAsia" w:ascii="仿宋" w:hAnsi="仿宋" w:eastAsia="仿宋" w:cs="仿宋"/>
                <w:color w:val="auto"/>
                <w:sz w:val="24"/>
              </w:rPr>
              <w:t>客观分</w:t>
            </w:r>
          </w:p>
        </w:tc>
      </w:tr>
      <w:tr>
        <w:trPr>
          <w:trHeight w:val="90" w:hRule="atLeast"/>
          <w:jc w:val="center"/>
        </w:trPr>
        <w:tc>
          <w:tcPr>
            <w:tcW w:w="893" w:type="dxa"/>
            <w:vMerge w:val="continue"/>
            <w:shd w:val="clear" w:color="auto" w:fill="auto"/>
            <w:vAlign w:val="center"/>
          </w:tcPr>
          <w:p>
            <w:pPr>
              <w:widowControl/>
              <w:spacing w:line="360" w:lineRule="auto"/>
              <w:jc w:val="center"/>
              <w:rPr>
                <w:rFonts w:hint="eastAsia" w:ascii="仿宋" w:hAnsi="仿宋" w:eastAsia="仿宋" w:cs="仿宋_GB2312"/>
                <w:sz w:val="24"/>
              </w:rPr>
            </w:pPr>
          </w:p>
        </w:tc>
        <w:tc>
          <w:tcPr>
            <w:tcW w:w="720" w:type="dxa"/>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sz w:val="24"/>
                <w:lang w:val="en-US" w:eastAsia="zh-CN"/>
              </w:rPr>
            </w:pPr>
            <w:r>
              <w:rPr>
                <w:rFonts w:hint="eastAsia" w:ascii="仿宋" w:hAnsi="仿宋" w:eastAsia="仿宋" w:cs="仿宋_GB2312"/>
                <w:color w:val="auto"/>
                <w:sz w:val="24"/>
                <w:lang w:val="en-US" w:eastAsia="zh-CN"/>
              </w:rPr>
              <w:t>2</w:t>
            </w:r>
          </w:p>
        </w:tc>
        <w:tc>
          <w:tcPr>
            <w:tcW w:w="6213" w:type="dxa"/>
            <w:tcBorders>
              <w:tl2br w:val="nil"/>
              <w:tr2bl w:val="nil"/>
            </w:tcBorders>
            <w:shd w:val="clear" w:color="auto" w:fill="auto"/>
            <w:vAlign w:val="center"/>
          </w:tcPr>
          <w:p>
            <w:pPr>
              <w:spacing w:line="440" w:lineRule="exact"/>
              <w:rPr>
                <w:rFonts w:ascii="仿宋" w:hAnsi="仿宋" w:eastAsia="仿宋" w:cs="仿宋"/>
                <w:color w:val="auto"/>
                <w:sz w:val="24"/>
                <w:lang w:val="zh-CN"/>
              </w:rPr>
            </w:pPr>
            <w:r>
              <w:rPr>
                <w:rFonts w:hint="eastAsia" w:ascii="仿宋" w:hAnsi="仿宋" w:eastAsia="仿宋" w:cs="仿宋"/>
                <w:color w:val="auto"/>
                <w:sz w:val="24"/>
                <w:lang w:val="zh-CN"/>
              </w:rPr>
              <w:t>投标人自20</w:t>
            </w:r>
            <w:r>
              <w:rPr>
                <w:rFonts w:hint="eastAsia" w:ascii="仿宋" w:hAnsi="仿宋" w:eastAsia="仿宋" w:cs="仿宋"/>
                <w:color w:val="auto"/>
                <w:sz w:val="24"/>
                <w:lang w:val="en-US" w:eastAsia="zh-CN"/>
              </w:rPr>
              <w:t>21</w:t>
            </w:r>
            <w:r>
              <w:rPr>
                <w:rFonts w:hint="eastAsia" w:ascii="仿宋" w:hAnsi="仿宋" w:eastAsia="仿宋" w:cs="仿宋"/>
                <w:color w:val="auto"/>
                <w:sz w:val="24"/>
                <w:lang w:val="zh-CN"/>
              </w:rPr>
              <w:t>年1月1日（合同签订时间）以来承担过</w:t>
            </w:r>
            <w:r>
              <w:rPr>
                <w:rFonts w:hint="eastAsia" w:ascii="仿宋" w:hAnsi="仿宋" w:eastAsia="仿宋" w:cs="仿宋"/>
                <w:color w:val="auto"/>
                <w:sz w:val="24"/>
                <w:lang w:val="en-US" w:eastAsia="zh-CN"/>
              </w:rPr>
              <w:t>类似马拉松</w:t>
            </w:r>
            <w:r>
              <w:rPr>
                <w:rFonts w:hint="eastAsia" w:ascii="仿宋" w:hAnsi="仿宋" w:eastAsia="仿宋" w:cs="仿宋"/>
                <w:color w:val="auto"/>
                <w:sz w:val="24"/>
                <w:lang w:val="zh-CN"/>
              </w:rPr>
              <w:t>赛事活动</w:t>
            </w:r>
            <w:r>
              <w:rPr>
                <w:rFonts w:hint="eastAsia" w:ascii="仿宋" w:hAnsi="仿宋" w:eastAsia="仿宋" w:cs="仿宋"/>
                <w:color w:val="auto"/>
                <w:sz w:val="24"/>
              </w:rPr>
              <w:t>的</w:t>
            </w:r>
            <w:r>
              <w:rPr>
                <w:rFonts w:hint="eastAsia" w:ascii="仿宋" w:hAnsi="仿宋" w:eastAsia="仿宋" w:cs="仿宋"/>
                <w:color w:val="auto"/>
                <w:sz w:val="24"/>
                <w:lang w:val="zh-CN"/>
              </w:rPr>
              <w:t>，每提供一项业绩得</w:t>
            </w:r>
            <w:r>
              <w:rPr>
                <w:rFonts w:hint="eastAsia" w:ascii="仿宋" w:hAnsi="仿宋" w:eastAsia="仿宋" w:cs="仿宋"/>
                <w:color w:val="auto"/>
                <w:sz w:val="24"/>
                <w:lang w:val="en-US" w:eastAsia="zh-CN"/>
              </w:rPr>
              <w:t>0.2</w:t>
            </w:r>
            <w:r>
              <w:rPr>
                <w:rFonts w:hint="eastAsia" w:ascii="仿宋" w:hAnsi="仿宋" w:eastAsia="仿宋" w:cs="仿宋"/>
                <w:color w:val="auto"/>
                <w:sz w:val="24"/>
              </w:rPr>
              <w:t>分</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最高得1</w:t>
            </w:r>
            <w:r>
              <w:rPr>
                <w:rFonts w:hint="eastAsia" w:ascii="仿宋" w:hAnsi="仿宋" w:eastAsia="仿宋" w:cs="仿宋"/>
                <w:color w:val="auto"/>
                <w:sz w:val="24"/>
              </w:rPr>
              <w:t>分</w:t>
            </w:r>
            <w:r>
              <w:rPr>
                <w:rFonts w:hint="eastAsia" w:ascii="仿宋" w:hAnsi="仿宋" w:eastAsia="仿宋" w:cs="仿宋"/>
                <w:color w:val="auto"/>
                <w:sz w:val="24"/>
                <w:lang w:val="zh-CN"/>
              </w:rPr>
              <w:t>。</w:t>
            </w:r>
          </w:p>
          <w:p>
            <w:pPr>
              <w:spacing w:line="440" w:lineRule="exact"/>
              <w:rPr>
                <w:rFonts w:hint="eastAsia" w:ascii="仿宋" w:hAnsi="仿宋" w:eastAsia="仿宋" w:cs="仿宋"/>
                <w:color w:val="auto"/>
                <w:kern w:val="0"/>
                <w:sz w:val="24"/>
                <w:lang w:val="en-US" w:eastAsia="zh-CN"/>
              </w:rPr>
            </w:pPr>
            <w:r>
              <w:rPr>
                <w:rFonts w:hint="eastAsia" w:ascii="仿宋" w:hAnsi="仿宋" w:eastAsia="仿宋" w:cs="仿宋"/>
                <w:color w:val="auto"/>
                <w:sz w:val="24"/>
                <w:lang w:val="zh-CN"/>
              </w:rPr>
              <w:t>注：</w:t>
            </w:r>
            <w:r>
              <w:rPr>
                <w:rFonts w:hint="eastAsia" w:ascii="仿宋" w:hAnsi="仿宋" w:eastAsia="仿宋" w:cs="仿宋"/>
                <w:color w:val="auto"/>
                <w:spacing w:val="-6"/>
                <w:sz w:val="24"/>
              </w:rPr>
              <w:t>投标人须</w:t>
            </w:r>
            <w:r>
              <w:rPr>
                <w:rFonts w:hint="eastAsia" w:ascii="仿宋" w:hAnsi="仿宋" w:eastAsia="仿宋" w:cs="仿宋"/>
                <w:color w:val="auto"/>
                <w:spacing w:val="-6"/>
                <w:sz w:val="24"/>
                <w:lang w:val="zh-CN"/>
              </w:rPr>
              <w:t>提供</w:t>
            </w:r>
            <w:r>
              <w:rPr>
                <w:rFonts w:hint="eastAsia" w:ascii="仿宋" w:hAnsi="仿宋" w:eastAsia="仿宋" w:cs="仿宋"/>
                <w:color w:val="auto"/>
                <w:spacing w:val="-6"/>
                <w:sz w:val="24"/>
              </w:rPr>
              <w:t>相关赛事运营</w:t>
            </w:r>
            <w:r>
              <w:rPr>
                <w:rFonts w:hint="eastAsia" w:ascii="仿宋" w:hAnsi="仿宋" w:eastAsia="仿宋" w:cs="仿宋"/>
                <w:color w:val="auto"/>
                <w:spacing w:val="-6"/>
                <w:sz w:val="24"/>
                <w:lang w:val="zh-CN"/>
              </w:rPr>
              <w:t>合同复印件，</w:t>
            </w:r>
            <w:r>
              <w:rPr>
                <w:rFonts w:hint="eastAsia" w:ascii="仿宋" w:hAnsi="仿宋" w:eastAsia="仿宋" w:cs="仿宋"/>
                <w:color w:val="auto"/>
                <w:spacing w:val="-6"/>
                <w:sz w:val="24"/>
              </w:rPr>
              <w:t>不提供不得分</w:t>
            </w:r>
            <w:r>
              <w:rPr>
                <w:rFonts w:hint="eastAsia" w:ascii="仿宋" w:hAnsi="仿宋" w:eastAsia="仿宋" w:cs="仿宋"/>
                <w:color w:val="auto"/>
                <w:spacing w:val="-6"/>
                <w:sz w:val="24"/>
                <w:lang w:val="zh-CN"/>
              </w:rPr>
              <w:t>。</w:t>
            </w:r>
          </w:p>
        </w:tc>
        <w:tc>
          <w:tcPr>
            <w:tcW w:w="732" w:type="dxa"/>
            <w:tcBorders>
              <w:tl2br w:val="nil"/>
              <w:tr2bl w:val="nil"/>
            </w:tcBorders>
            <w:shd w:val="clear" w:color="auto" w:fill="auto"/>
            <w:vAlign w:val="center"/>
          </w:tcPr>
          <w:p>
            <w:pPr>
              <w:spacing w:line="440" w:lineRule="exact"/>
              <w:jc w:val="center"/>
              <w:rPr>
                <w:rFonts w:hint="default" w:ascii="仿宋" w:hAnsi="仿宋" w:eastAsia="仿宋" w:cs="仿宋_GB2312"/>
                <w:sz w:val="24"/>
                <w:lang w:val="en-US" w:eastAsia="zh-CN"/>
              </w:rPr>
            </w:pPr>
            <w:r>
              <w:rPr>
                <w:rFonts w:hint="eastAsia" w:ascii="仿宋" w:hAnsi="仿宋" w:eastAsia="仿宋" w:cs="仿宋"/>
                <w:color w:val="auto"/>
                <w:sz w:val="24"/>
              </w:rPr>
              <w:t>0-</w:t>
            </w:r>
            <w:r>
              <w:rPr>
                <w:rFonts w:hint="eastAsia" w:ascii="仿宋" w:hAnsi="仿宋" w:eastAsia="仿宋" w:cs="仿宋"/>
                <w:color w:val="auto"/>
                <w:sz w:val="24"/>
                <w:lang w:val="en-US" w:eastAsia="zh-CN"/>
              </w:rPr>
              <w:t>1</w:t>
            </w:r>
          </w:p>
        </w:tc>
        <w:tc>
          <w:tcPr>
            <w:tcW w:w="1009" w:type="dxa"/>
            <w:tcBorders>
              <w:tl2br w:val="nil"/>
              <w:tr2bl w:val="nil"/>
            </w:tcBorders>
            <w:shd w:val="clear" w:color="auto" w:fill="auto"/>
            <w:vAlign w:val="center"/>
          </w:tcPr>
          <w:p>
            <w:pPr>
              <w:spacing w:line="440" w:lineRule="exact"/>
              <w:rPr>
                <w:rFonts w:ascii="仿宋" w:hAnsi="仿宋" w:eastAsia="仿宋" w:cs="仿宋_GB2312"/>
                <w:sz w:val="24"/>
              </w:rPr>
            </w:pPr>
            <w:r>
              <w:rPr>
                <w:rFonts w:hint="eastAsia" w:ascii="仿宋" w:hAnsi="仿宋" w:eastAsia="仿宋" w:cs="仿宋"/>
                <w:color w:val="auto"/>
                <w:sz w:val="24"/>
              </w:rPr>
              <w:t>客观分</w:t>
            </w:r>
          </w:p>
        </w:tc>
      </w:tr>
      <w:tr>
        <w:trPr>
          <w:trHeight w:val="90" w:hRule="atLeast"/>
          <w:jc w:val="center"/>
        </w:trPr>
        <w:tc>
          <w:tcPr>
            <w:tcW w:w="893" w:type="dxa"/>
            <w:vMerge w:val="continue"/>
            <w:shd w:val="clear" w:color="auto" w:fill="auto"/>
            <w:vAlign w:val="center"/>
          </w:tcPr>
          <w:p>
            <w:pPr>
              <w:widowControl/>
              <w:spacing w:line="360" w:lineRule="auto"/>
              <w:jc w:val="center"/>
              <w:rPr>
                <w:rFonts w:ascii="仿宋" w:hAnsi="仿宋" w:eastAsia="仿宋" w:cs="仿宋_GB2312"/>
                <w:sz w:val="24"/>
              </w:rPr>
            </w:pPr>
          </w:p>
        </w:tc>
        <w:tc>
          <w:tcPr>
            <w:tcW w:w="720" w:type="dxa"/>
            <w:tcBorders>
              <w:tl2br w:val="nil"/>
              <w:tr2bl w:val="nil"/>
            </w:tcBorders>
            <w:shd w:val="clear" w:color="auto" w:fill="auto"/>
            <w:vAlign w:val="center"/>
          </w:tcPr>
          <w:p>
            <w:pPr>
              <w:widowControl/>
              <w:spacing w:line="360" w:lineRule="auto"/>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3</w:t>
            </w:r>
          </w:p>
        </w:tc>
        <w:tc>
          <w:tcPr>
            <w:tcW w:w="6213" w:type="dxa"/>
            <w:tcBorders>
              <w:tl2br w:val="nil"/>
              <w:tr2bl w:val="nil"/>
            </w:tcBorders>
            <w:shd w:val="clear" w:color="auto" w:fill="auto"/>
            <w:vAlign w:val="center"/>
          </w:tcPr>
          <w:p>
            <w:pPr>
              <w:spacing w:line="440" w:lineRule="exact"/>
              <w:rPr>
                <w:rFonts w:ascii="仿宋" w:hAnsi="仿宋" w:eastAsia="仿宋" w:cs="仿宋"/>
                <w:color w:val="auto"/>
                <w:spacing w:val="-6"/>
                <w:sz w:val="24"/>
                <w:lang w:val="zh-CN"/>
              </w:rPr>
            </w:pPr>
            <w:r>
              <w:rPr>
                <w:rFonts w:hint="eastAsia" w:ascii="仿宋" w:hAnsi="仿宋" w:eastAsia="仿宋" w:cs="仿宋"/>
                <w:color w:val="auto"/>
                <w:spacing w:val="-6"/>
                <w:sz w:val="24"/>
                <w:lang w:val="zh-CN"/>
              </w:rPr>
              <w:t>1.投标人具有综合管理类系统软件著作权登记证书得</w:t>
            </w:r>
            <w:r>
              <w:rPr>
                <w:rFonts w:hint="eastAsia" w:ascii="仿宋" w:hAnsi="仿宋" w:eastAsia="仿宋" w:cs="仿宋"/>
                <w:color w:val="auto"/>
                <w:spacing w:val="-6"/>
                <w:sz w:val="24"/>
              </w:rPr>
              <w:t>1分</w:t>
            </w:r>
            <w:r>
              <w:rPr>
                <w:rFonts w:hint="eastAsia" w:ascii="仿宋" w:hAnsi="仿宋" w:eastAsia="仿宋" w:cs="仿宋"/>
                <w:color w:val="auto"/>
                <w:spacing w:val="-6"/>
                <w:sz w:val="24"/>
                <w:lang w:val="zh-CN"/>
              </w:rPr>
              <w:t>；</w:t>
            </w:r>
          </w:p>
          <w:p>
            <w:pPr>
              <w:spacing w:line="440" w:lineRule="exact"/>
              <w:rPr>
                <w:rFonts w:ascii="仿宋" w:hAnsi="仿宋" w:eastAsia="仿宋" w:cs="仿宋"/>
                <w:color w:val="auto"/>
                <w:spacing w:val="-6"/>
                <w:sz w:val="24"/>
                <w:lang w:val="zh-CN"/>
              </w:rPr>
            </w:pPr>
            <w:r>
              <w:rPr>
                <w:rFonts w:hint="eastAsia" w:ascii="仿宋" w:hAnsi="仿宋" w:eastAsia="仿宋" w:cs="仿宋"/>
                <w:color w:val="auto"/>
                <w:spacing w:val="-6"/>
                <w:sz w:val="24"/>
                <w:lang w:val="zh-CN"/>
              </w:rPr>
              <w:t>2.投标人具有视觉设计类系统软件著作权登记证书得</w:t>
            </w:r>
            <w:r>
              <w:rPr>
                <w:rFonts w:hint="eastAsia" w:ascii="仿宋" w:hAnsi="仿宋" w:eastAsia="仿宋" w:cs="仿宋"/>
                <w:color w:val="auto"/>
                <w:spacing w:val="-6"/>
                <w:sz w:val="24"/>
              </w:rPr>
              <w:t>1分</w:t>
            </w:r>
            <w:r>
              <w:rPr>
                <w:rFonts w:hint="eastAsia" w:ascii="仿宋" w:hAnsi="仿宋" w:eastAsia="仿宋" w:cs="仿宋"/>
                <w:color w:val="auto"/>
                <w:spacing w:val="-6"/>
                <w:sz w:val="24"/>
                <w:lang w:val="zh-CN"/>
              </w:rPr>
              <w:t>；</w:t>
            </w:r>
          </w:p>
          <w:p>
            <w:pPr>
              <w:spacing w:line="440" w:lineRule="exact"/>
              <w:rPr>
                <w:rFonts w:ascii="仿宋" w:hAnsi="仿宋" w:eastAsia="仿宋" w:cs="仿宋"/>
                <w:color w:val="auto"/>
                <w:spacing w:val="-6"/>
                <w:sz w:val="24"/>
                <w:lang w:val="zh-CN"/>
              </w:rPr>
            </w:pPr>
            <w:r>
              <w:rPr>
                <w:rFonts w:hint="eastAsia" w:ascii="仿宋" w:hAnsi="仿宋" w:eastAsia="仿宋" w:cs="仿宋"/>
                <w:color w:val="auto"/>
                <w:spacing w:val="-6"/>
                <w:sz w:val="24"/>
                <w:lang w:val="zh-CN"/>
              </w:rPr>
              <w:t>3.投标人具有场馆展览展示类软件著作权登记证书得</w:t>
            </w:r>
            <w:r>
              <w:rPr>
                <w:rFonts w:hint="eastAsia" w:ascii="仿宋" w:hAnsi="仿宋" w:eastAsia="仿宋" w:cs="仿宋"/>
                <w:color w:val="auto"/>
                <w:spacing w:val="-6"/>
                <w:sz w:val="24"/>
              </w:rPr>
              <w:t>1分</w:t>
            </w:r>
            <w:r>
              <w:rPr>
                <w:rFonts w:hint="eastAsia" w:ascii="仿宋" w:hAnsi="仿宋" w:eastAsia="仿宋" w:cs="仿宋"/>
                <w:color w:val="auto"/>
                <w:spacing w:val="-6"/>
                <w:sz w:val="24"/>
                <w:lang w:val="zh-CN"/>
              </w:rPr>
              <w:t>；</w:t>
            </w:r>
          </w:p>
          <w:p>
            <w:pPr>
              <w:spacing w:line="440" w:lineRule="exact"/>
              <w:rPr>
                <w:rFonts w:ascii="仿宋" w:hAnsi="仿宋" w:eastAsia="仿宋" w:cs="仿宋"/>
                <w:color w:val="auto"/>
                <w:spacing w:val="-6"/>
                <w:sz w:val="24"/>
                <w:lang w:val="zh-CN"/>
              </w:rPr>
            </w:pPr>
            <w:r>
              <w:rPr>
                <w:rFonts w:hint="eastAsia" w:ascii="仿宋" w:hAnsi="仿宋" w:eastAsia="仿宋" w:cs="仿宋"/>
                <w:color w:val="auto"/>
                <w:spacing w:val="-6"/>
                <w:sz w:val="24"/>
                <w:lang w:val="zh-CN"/>
              </w:rPr>
              <w:t>4.投标人具有舞美视觉设计类软件著作权登记证书得</w:t>
            </w:r>
            <w:r>
              <w:rPr>
                <w:rFonts w:hint="eastAsia" w:ascii="仿宋" w:hAnsi="仿宋" w:eastAsia="仿宋" w:cs="仿宋"/>
                <w:color w:val="auto"/>
                <w:spacing w:val="-6"/>
                <w:sz w:val="24"/>
              </w:rPr>
              <w:t>1分</w:t>
            </w:r>
            <w:r>
              <w:rPr>
                <w:rFonts w:hint="eastAsia" w:ascii="仿宋" w:hAnsi="仿宋" w:eastAsia="仿宋" w:cs="仿宋"/>
                <w:color w:val="auto"/>
                <w:spacing w:val="-6"/>
                <w:sz w:val="24"/>
                <w:lang w:val="zh-CN"/>
              </w:rPr>
              <w:t>；</w:t>
            </w:r>
          </w:p>
          <w:p>
            <w:pPr>
              <w:spacing w:line="440" w:lineRule="exact"/>
              <w:rPr>
                <w:rFonts w:ascii="仿宋" w:hAnsi="仿宋" w:eastAsia="仿宋" w:cs="仿宋"/>
                <w:color w:val="auto"/>
                <w:spacing w:val="-6"/>
                <w:sz w:val="24"/>
                <w:lang w:val="zh-CN"/>
              </w:rPr>
            </w:pPr>
            <w:r>
              <w:rPr>
                <w:rFonts w:hint="eastAsia" w:ascii="仿宋" w:hAnsi="仿宋" w:eastAsia="仿宋" w:cs="仿宋"/>
                <w:color w:val="auto"/>
                <w:spacing w:val="-6"/>
                <w:sz w:val="24"/>
                <w:lang w:val="zh-CN"/>
              </w:rPr>
              <w:t>5.投标人具有活动报名服务类软件著作权登记证书得</w:t>
            </w:r>
            <w:r>
              <w:rPr>
                <w:rFonts w:hint="eastAsia" w:ascii="仿宋" w:hAnsi="仿宋" w:eastAsia="仿宋" w:cs="仿宋"/>
                <w:color w:val="auto"/>
                <w:spacing w:val="-6"/>
                <w:sz w:val="24"/>
              </w:rPr>
              <w:t>1分</w:t>
            </w:r>
            <w:r>
              <w:rPr>
                <w:rFonts w:hint="eastAsia" w:ascii="仿宋" w:hAnsi="仿宋" w:eastAsia="仿宋" w:cs="仿宋"/>
                <w:color w:val="auto"/>
                <w:spacing w:val="-6"/>
                <w:sz w:val="24"/>
                <w:lang w:val="zh-CN"/>
              </w:rPr>
              <w:t>；</w:t>
            </w:r>
          </w:p>
          <w:p>
            <w:pPr>
              <w:spacing w:line="420" w:lineRule="exact"/>
              <w:rPr>
                <w:rFonts w:ascii="仿宋" w:hAnsi="仿宋" w:eastAsia="仿宋" w:cs="仿宋"/>
                <w:color w:val="auto"/>
                <w:sz w:val="24"/>
                <w:lang w:val="zh-CN"/>
              </w:rPr>
            </w:pPr>
            <w:r>
              <w:rPr>
                <w:rFonts w:hint="eastAsia" w:ascii="仿宋" w:hAnsi="仿宋" w:eastAsia="仿宋" w:cs="仿宋"/>
                <w:color w:val="auto"/>
                <w:sz w:val="24"/>
                <w:lang w:val="zh-CN"/>
              </w:rPr>
              <w:t>证明文件：提供有效的软件著作权证书扫描件以及由中国版权保护中心颁发的查询截图（网址：https://www.ccopyright.com.cn/）。未提供或提供不清晰导致无法判断的，不得分。</w:t>
            </w:r>
          </w:p>
          <w:p>
            <w:pPr>
              <w:spacing w:line="420" w:lineRule="exact"/>
              <w:rPr>
                <w:rFonts w:hint="eastAsia" w:ascii="仿宋" w:hAnsi="仿宋" w:eastAsia="仿宋" w:cs="仿宋"/>
                <w:color w:val="auto"/>
                <w:kern w:val="0"/>
                <w:sz w:val="24"/>
                <w:lang w:eastAsia="zh-CN"/>
              </w:rPr>
            </w:pPr>
            <w:r>
              <w:rPr>
                <w:rFonts w:hint="eastAsia" w:ascii="仿宋" w:hAnsi="仿宋" w:eastAsia="仿宋" w:cs="仿宋"/>
                <w:color w:val="auto"/>
                <w:sz w:val="24"/>
                <w:lang w:val="zh-CN"/>
              </w:rPr>
              <w:t>注：每个软件系统对应只能提供一个软件著作权登记证书，重复提供不累加计分。</w:t>
            </w:r>
          </w:p>
        </w:tc>
        <w:tc>
          <w:tcPr>
            <w:tcW w:w="732" w:type="dxa"/>
            <w:tcBorders>
              <w:tl2br w:val="nil"/>
              <w:tr2bl w:val="nil"/>
            </w:tcBorders>
            <w:shd w:val="clear" w:color="auto" w:fill="auto"/>
            <w:vAlign w:val="center"/>
          </w:tcPr>
          <w:p>
            <w:pPr>
              <w:spacing w:line="440" w:lineRule="exact"/>
              <w:jc w:val="center"/>
              <w:rPr>
                <w:rFonts w:hint="eastAsia" w:ascii="仿宋" w:hAnsi="仿宋" w:eastAsia="仿宋" w:cs="仿宋_GB2312"/>
                <w:sz w:val="24"/>
                <w:lang w:val="en-US" w:eastAsia="zh-CN"/>
              </w:rPr>
            </w:pPr>
            <w:r>
              <w:rPr>
                <w:rFonts w:hint="eastAsia" w:ascii="仿宋" w:hAnsi="仿宋" w:eastAsia="仿宋" w:cs="仿宋"/>
                <w:color w:val="auto"/>
                <w:sz w:val="24"/>
              </w:rPr>
              <w:t>0-5</w:t>
            </w:r>
          </w:p>
        </w:tc>
        <w:tc>
          <w:tcPr>
            <w:tcW w:w="1009" w:type="dxa"/>
            <w:tcBorders>
              <w:tl2br w:val="nil"/>
              <w:tr2bl w:val="nil"/>
            </w:tcBorders>
            <w:shd w:val="clear" w:color="auto" w:fill="auto"/>
            <w:vAlign w:val="center"/>
          </w:tcPr>
          <w:p>
            <w:pPr>
              <w:spacing w:line="440" w:lineRule="exact"/>
              <w:rPr>
                <w:rFonts w:ascii="仿宋" w:hAnsi="仿宋" w:eastAsia="仿宋" w:cs="仿宋_GB2312"/>
                <w:sz w:val="24"/>
              </w:rPr>
            </w:pPr>
            <w:r>
              <w:rPr>
                <w:rFonts w:hint="eastAsia" w:ascii="仿宋" w:hAnsi="仿宋" w:eastAsia="仿宋" w:cs="仿宋"/>
                <w:color w:val="auto"/>
                <w:sz w:val="24"/>
              </w:rPr>
              <w:t>客观分</w:t>
            </w:r>
          </w:p>
        </w:tc>
      </w:tr>
    </w:tbl>
    <w:p>
      <w:pPr>
        <w:widowControl/>
        <w:numPr>
          <w:ilvl w:val="0"/>
          <w:numId w:val="2"/>
        </w:numPr>
        <w:adjustRightInd/>
        <w:jc w:val="left"/>
        <w:rPr>
          <w:rFonts w:ascii="仿宋" w:hAnsi="仿宋" w:eastAsia="仿宋" w:cs="仿宋_GB2312"/>
          <w:sz w:val="24"/>
        </w:rPr>
      </w:pPr>
      <w:r>
        <w:rPr>
          <w:rFonts w:hint="eastAsia" w:ascii="仿宋" w:hAnsi="仿宋" w:eastAsia="仿宋" w:cs="仿宋_GB2312"/>
          <w:sz w:val="24"/>
        </w:rPr>
        <w:t>技术和服务方案（</w:t>
      </w:r>
      <w:r>
        <w:rPr>
          <w:rFonts w:hint="eastAsia" w:ascii="仿宋" w:hAnsi="仿宋" w:eastAsia="仿宋" w:cs="仿宋_GB2312"/>
          <w:sz w:val="24"/>
          <w:lang w:val="en-US" w:eastAsia="zh-CN"/>
        </w:rPr>
        <w:t>81</w:t>
      </w:r>
      <w:r>
        <w:rPr>
          <w:rFonts w:hint="eastAsia" w:ascii="仿宋" w:hAnsi="仿宋" w:eastAsia="仿宋" w:cs="仿宋_GB2312"/>
          <w:sz w:val="24"/>
        </w:rPr>
        <w:t>分）</w:t>
      </w:r>
    </w:p>
    <w:tbl>
      <w:tblPr>
        <w:tblStyle w:val="64"/>
        <w:tblW w:w="957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5"/>
        <w:gridCol w:w="692"/>
        <w:gridCol w:w="5410"/>
        <w:gridCol w:w="1509"/>
        <w:gridCol w:w="1053"/>
      </w:tblGrid>
      <w:tr>
        <w:trPr>
          <w:trHeight w:val="974" w:hRule="atLeast"/>
          <w:jc w:val="center"/>
        </w:trPr>
        <w:tc>
          <w:tcPr>
            <w:tcW w:w="915" w:type="dxa"/>
            <w:vMerge w:val="restart"/>
            <w:tcBorders>
              <w:tl2br w:val="nil"/>
              <w:tr2bl w:val="nil"/>
            </w:tcBorders>
            <w:shd w:val="clear" w:color="auto" w:fill="auto"/>
            <w:vAlign w:val="center"/>
          </w:tcPr>
          <w:p>
            <w:pPr>
              <w:widowControl/>
              <w:spacing w:line="360" w:lineRule="auto"/>
              <w:jc w:val="center"/>
              <w:rPr>
                <w:rFonts w:hint="eastAsia" w:ascii="仿宋" w:hAnsi="仿宋" w:eastAsia="仿宋" w:cs="仿宋_GB2312"/>
                <w:sz w:val="24"/>
              </w:rPr>
            </w:pPr>
          </w:p>
          <w:p>
            <w:pPr>
              <w:widowControl/>
              <w:spacing w:line="360" w:lineRule="auto"/>
              <w:jc w:val="center"/>
              <w:rPr>
                <w:rFonts w:hint="eastAsia" w:ascii="仿宋" w:hAnsi="仿宋" w:eastAsia="仿宋" w:cs="仿宋_GB2312"/>
                <w:sz w:val="24"/>
              </w:rPr>
            </w:pPr>
          </w:p>
          <w:p>
            <w:pPr>
              <w:widowControl/>
              <w:spacing w:line="360" w:lineRule="auto"/>
              <w:jc w:val="center"/>
              <w:rPr>
                <w:rFonts w:hint="eastAsia" w:ascii="仿宋" w:hAnsi="仿宋" w:eastAsia="仿宋" w:cs="仿宋_GB2312"/>
                <w:sz w:val="24"/>
              </w:rPr>
            </w:pPr>
          </w:p>
          <w:p>
            <w:pPr>
              <w:widowControl/>
              <w:spacing w:line="360" w:lineRule="auto"/>
              <w:jc w:val="center"/>
              <w:rPr>
                <w:rFonts w:hint="eastAsia" w:ascii="仿宋" w:hAnsi="仿宋" w:eastAsia="仿宋" w:cs="仿宋_GB2312"/>
                <w:sz w:val="24"/>
              </w:rPr>
            </w:pPr>
          </w:p>
          <w:p>
            <w:pPr>
              <w:widowControl/>
              <w:spacing w:line="360" w:lineRule="auto"/>
              <w:jc w:val="center"/>
              <w:rPr>
                <w:rFonts w:hint="eastAsia" w:ascii="仿宋" w:hAnsi="仿宋" w:eastAsia="仿宋" w:cs="仿宋_GB2312"/>
                <w:sz w:val="24"/>
              </w:rPr>
            </w:pPr>
          </w:p>
          <w:p>
            <w:pPr>
              <w:widowControl/>
              <w:spacing w:line="360" w:lineRule="auto"/>
              <w:jc w:val="center"/>
              <w:rPr>
                <w:rFonts w:hint="eastAsia" w:ascii="仿宋" w:hAnsi="仿宋" w:eastAsia="仿宋" w:cs="仿宋_GB2312"/>
                <w:sz w:val="24"/>
              </w:rPr>
            </w:pPr>
          </w:p>
          <w:p>
            <w:pPr>
              <w:widowControl/>
              <w:spacing w:line="360" w:lineRule="auto"/>
              <w:jc w:val="center"/>
              <w:rPr>
                <w:rFonts w:hint="eastAsia" w:ascii="仿宋" w:hAnsi="仿宋" w:eastAsia="仿宋" w:cs="仿宋_GB2312"/>
                <w:sz w:val="24"/>
              </w:rPr>
            </w:pPr>
          </w:p>
          <w:p>
            <w:pPr>
              <w:widowControl/>
              <w:spacing w:line="360" w:lineRule="auto"/>
              <w:jc w:val="center"/>
              <w:rPr>
                <w:rFonts w:hint="eastAsia" w:ascii="仿宋" w:hAnsi="仿宋" w:eastAsia="仿宋" w:cs="仿宋_GB2312"/>
                <w:sz w:val="24"/>
              </w:rPr>
            </w:pPr>
          </w:p>
          <w:p>
            <w:pPr>
              <w:widowControl/>
              <w:spacing w:line="360" w:lineRule="auto"/>
              <w:jc w:val="center"/>
              <w:rPr>
                <w:rFonts w:hint="eastAsia" w:ascii="仿宋" w:hAnsi="仿宋" w:eastAsia="仿宋" w:cs="仿宋_GB2312"/>
                <w:sz w:val="24"/>
              </w:rPr>
            </w:pPr>
          </w:p>
          <w:p>
            <w:pPr>
              <w:widowControl/>
              <w:spacing w:line="360" w:lineRule="auto"/>
              <w:jc w:val="center"/>
              <w:rPr>
                <w:rFonts w:ascii="仿宋" w:hAnsi="仿宋" w:eastAsia="仿宋" w:cs="仿宋_GB2312"/>
                <w:sz w:val="24"/>
              </w:rPr>
            </w:pPr>
            <w:r>
              <w:rPr>
                <w:rFonts w:hint="eastAsia" w:ascii="仿宋" w:hAnsi="仿宋" w:eastAsia="仿宋" w:cs="仿宋_GB2312"/>
                <w:sz w:val="24"/>
              </w:rPr>
              <w:t>技</w:t>
            </w:r>
          </w:p>
          <w:p>
            <w:pPr>
              <w:widowControl/>
              <w:spacing w:line="360" w:lineRule="auto"/>
              <w:jc w:val="center"/>
              <w:rPr>
                <w:rFonts w:ascii="仿宋" w:hAnsi="仿宋" w:eastAsia="仿宋" w:cs="仿宋_GB2312"/>
                <w:sz w:val="24"/>
              </w:rPr>
            </w:pPr>
            <w:r>
              <w:rPr>
                <w:rFonts w:hint="eastAsia" w:ascii="仿宋" w:hAnsi="仿宋" w:eastAsia="仿宋" w:cs="仿宋_GB2312"/>
                <w:sz w:val="24"/>
              </w:rPr>
              <w:t>术</w:t>
            </w:r>
          </w:p>
          <w:p>
            <w:pPr>
              <w:widowControl/>
              <w:spacing w:line="360" w:lineRule="auto"/>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分</w:t>
            </w:r>
          </w:p>
        </w:tc>
        <w:tc>
          <w:tcPr>
            <w:tcW w:w="692" w:type="dxa"/>
            <w:tcBorders>
              <w:tl2br w:val="nil"/>
              <w:tr2bl w:val="nil"/>
            </w:tcBorders>
            <w:shd w:val="clear" w:color="auto" w:fill="auto"/>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序号</w:t>
            </w:r>
          </w:p>
        </w:tc>
        <w:tc>
          <w:tcPr>
            <w:tcW w:w="5410" w:type="dxa"/>
            <w:tcBorders>
              <w:tl2br w:val="nil"/>
              <w:tr2bl w:val="nil"/>
            </w:tcBorders>
            <w:shd w:val="clear" w:color="auto" w:fill="auto"/>
            <w:vAlign w:val="center"/>
          </w:tcPr>
          <w:p>
            <w:pPr>
              <w:widowControl/>
              <w:spacing w:line="360" w:lineRule="auto"/>
              <w:ind w:right="134" w:rightChars="64" w:firstLine="480" w:firstLineChars="200"/>
              <w:jc w:val="center"/>
              <w:rPr>
                <w:rFonts w:ascii="仿宋" w:hAnsi="仿宋" w:eastAsia="仿宋" w:cs="仿宋_GB2312"/>
                <w:sz w:val="24"/>
              </w:rPr>
            </w:pPr>
            <w:r>
              <w:rPr>
                <w:rFonts w:hint="eastAsia" w:ascii="仿宋" w:hAnsi="仿宋" w:eastAsia="仿宋" w:cs="仿宋_GB2312"/>
                <w:sz w:val="24"/>
              </w:rPr>
              <w:t>评分内容和标准具体描述</w:t>
            </w:r>
          </w:p>
        </w:tc>
        <w:tc>
          <w:tcPr>
            <w:tcW w:w="1509" w:type="dxa"/>
            <w:tcBorders>
              <w:tl2br w:val="nil"/>
              <w:tr2bl w:val="nil"/>
            </w:tcBorders>
            <w:shd w:val="clear" w:color="auto" w:fill="auto"/>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权重</w:t>
            </w:r>
          </w:p>
        </w:tc>
        <w:tc>
          <w:tcPr>
            <w:tcW w:w="1053" w:type="dxa"/>
            <w:tcBorders>
              <w:tl2br w:val="nil"/>
              <w:tr2bl w:val="nil"/>
            </w:tcBorders>
            <w:shd w:val="clear" w:color="auto" w:fill="auto"/>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主客观分</w:t>
            </w:r>
          </w:p>
        </w:tc>
      </w:tr>
      <w:tr>
        <w:trPr>
          <w:trHeight w:val="823" w:hRule="atLeast"/>
          <w:jc w:val="center"/>
        </w:trPr>
        <w:tc>
          <w:tcPr>
            <w:tcW w:w="915" w:type="dxa"/>
            <w:vMerge w:val="continue"/>
            <w:tcBorders>
              <w:tl2br w:val="nil"/>
              <w:tr2bl w:val="nil"/>
            </w:tcBorders>
            <w:shd w:val="clear" w:color="auto" w:fill="auto"/>
            <w:vAlign w:val="center"/>
          </w:tcPr>
          <w:p>
            <w:pPr>
              <w:widowControl/>
              <w:spacing w:line="360" w:lineRule="auto"/>
              <w:jc w:val="center"/>
              <w:rPr>
                <w:rFonts w:ascii="仿宋" w:hAnsi="仿宋" w:eastAsia="仿宋" w:cs="仿宋_GB2312"/>
                <w:b/>
                <w:bCs/>
                <w:sz w:val="24"/>
              </w:rPr>
            </w:pPr>
          </w:p>
        </w:tc>
        <w:tc>
          <w:tcPr>
            <w:tcW w:w="692" w:type="dxa"/>
            <w:tcBorders>
              <w:tl2br w:val="nil"/>
              <w:tr2bl w:val="nil"/>
            </w:tcBorders>
            <w:shd w:val="clear" w:color="auto" w:fill="auto"/>
            <w:vAlign w:val="center"/>
          </w:tcPr>
          <w:p>
            <w:pPr>
              <w:widowControl/>
              <w:spacing w:line="360" w:lineRule="auto"/>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4</w:t>
            </w:r>
          </w:p>
        </w:tc>
        <w:tc>
          <w:tcPr>
            <w:tcW w:w="5410" w:type="dxa"/>
            <w:tcBorders>
              <w:tl2br w:val="nil"/>
              <w:tr2bl w:val="nil"/>
            </w:tcBorders>
            <w:shd w:val="clear" w:color="auto" w:fill="auto"/>
            <w:vAlign w:val="center"/>
          </w:tcPr>
          <w:p>
            <w:pPr>
              <w:spacing w:line="440" w:lineRule="exact"/>
              <w:rPr>
                <w:rFonts w:ascii="仿宋" w:hAnsi="仿宋" w:eastAsia="仿宋" w:cs="仿宋"/>
                <w:color w:val="auto"/>
                <w:sz w:val="24"/>
                <w:lang w:val="zh-CN"/>
              </w:rPr>
            </w:pPr>
            <w:r>
              <w:rPr>
                <w:rFonts w:hint="eastAsia" w:ascii="仿宋" w:hAnsi="仿宋" w:eastAsia="仿宋" w:cs="仿宋"/>
                <w:color w:val="auto"/>
                <w:sz w:val="24"/>
                <w:lang w:val="zh-CN"/>
              </w:rPr>
              <w:t>投标文件制定详细的项目总体实施方案，包含从比赛筹备至比赛结束的全年总体计划、流程、步骤、活动、设计方案以及各项筹备工作的规划：</w:t>
            </w:r>
          </w:p>
          <w:p>
            <w:pPr>
              <w:spacing w:line="440" w:lineRule="exact"/>
              <w:rPr>
                <w:rFonts w:ascii="仿宋" w:hAnsi="仿宋" w:eastAsia="仿宋" w:cs="仿宋"/>
                <w:b/>
                <w:bCs/>
                <w:sz w:val="24"/>
              </w:rPr>
            </w:pPr>
            <w:r>
              <w:rPr>
                <w:rFonts w:hint="eastAsia" w:ascii="仿宋" w:hAnsi="仿宋" w:eastAsia="仿宋" w:cs="仿宋"/>
                <w:color w:val="auto"/>
                <w:sz w:val="24"/>
              </w:rPr>
              <w:t>方案</w:t>
            </w:r>
            <w:r>
              <w:rPr>
                <w:rFonts w:hint="eastAsia" w:ascii="仿宋" w:hAnsi="仿宋" w:eastAsia="仿宋" w:cs="仿宋"/>
                <w:color w:val="auto"/>
                <w:sz w:val="24"/>
                <w:lang w:val="zh-CN"/>
              </w:rPr>
              <w:t>内容完整、运营思路清晰、方案策划创意佳</w:t>
            </w:r>
            <w:r>
              <w:rPr>
                <w:rFonts w:hint="eastAsia" w:ascii="仿宋" w:hAnsi="仿宋" w:eastAsia="仿宋" w:cs="仿宋"/>
                <w:color w:val="auto"/>
                <w:sz w:val="24"/>
              </w:rPr>
              <w:t>的</w:t>
            </w:r>
            <w:r>
              <w:rPr>
                <w:rFonts w:hint="eastAsia" w:ascii="仿宋" w:hAnsi="仿宋" w:eastAsia="仿宋" w:cs="仿宋"/>
                <w:color w:val="auto"/>
                <w:sz w:val="24"/>
                <w:lang w:val="zh-CN"/>
              </w:rPr>
              <w:t>得</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color w:val="auto"/>
                <w:sz w:val="24"/>
                <w:lang w:val="en-US" w:eastAsia="zh-CN"/>
              </w:rPr>
              <w:t>6</w:t>
            </w:r>
            <w:r>
              <w:rPr>
                <w:rFonts w:hint="eastAsia" w:ascii="仿宋" w:hAnsi="仿宋" w:eastAsia="仿宋" w:cs="仿宋"/>
                <w:color w:val="auto"/>
                <w:sz w:val="24"/>
                <w:lang w:val="zh-CN"/>
              </w:rPr>
              <w:t>分；</w:t>
            </w:r>
            <w:r>
              <w:rPr>
                <w:rFonts w:hint="eastAsia" w:ascii="仿宋" w:hAnsi="仿宋" w:eastAsia="仿宋" w:cs="仿宋"/>
                <w:color w:val="auto"/>
                <w:sz w:val="24"/>
              </w:rPr>
              <w:t>方案</w:t>
            </w:r>
            <w:r>
              <w:rPr>
                <w:rFonts w:hint="eastAsia" w:ascii="仿宋" w:hAnsi="仿宋" w:eastAsia="仿宋" w:cs="仿宋"/>
                <w:color w:val="auto"/>
                <w:sz w:val="24"/>
                <w:lang w:val="zh-CN"/>
              </w:rPr>
              <w:t>内容完整、</w:t>
            </w:r>
            <w:r>
              <w:rPr>
                <w:rFonts w:hint="eastAsia" w:ascii="仿宋" w:hAnsi="仿宋" w:eastAsia="仿宋" w:cs="仿宋"/>
                <w:color w:val="auto"/>
                <w:sz w:val="24"/>
              </w:rPr>
              <w:t>运营思路清晰、方案策划一般</w:t>
            </w:r>
            <w:r>
              <w:rPr>
                <w:rFonts w:hint="eastAsia" w:ascii="仿宋" w:hAnsi="仿宋" w:eastAsia="仿宋" w:cs="仿宋"/>
                <w:color w:val="auto"/>
                <w:sz w:val="24"/>
                <w:lang w:val="zh-CN"/>
              </w:rPr>
              <w:t>的得</w:t>
            </w:r>
            <w:r>
              <w:rPr>
                <w:rFonts w:hint="eastAsia" w:ascii="仿宋" w:hAnsi="仿宋" w:eastAsia="仿宋" w:cs="仿宋"/>
                <w:color w:val="auto"/>
                <w:sz w:val="24"/>
                <w:lang w:val="en-US" w:eastAsia="zh-CN"/>
              </w:rPr>
              <w:t>2</w:t>
            </w:r>
            <w:r>
              <w:rPr>
                <w:rFonts w:hint="eastAsia" w:ascii="仿宋" w:hAnsi="仿宋" w:eastAsia="仿宋" w:cs="仿宋"/>
                <w:color w:val="auto"/>
                <w:sz w:val="24"/>
              </w:rPr>
              <w:t>-</w:t>
            </w:r>
            <w:r>
              <w:rPr>
                <w:rFonts w:hint="eastAsia" w:ascii="仿宋" w:hAnsi="仿宋" w:eastAsia="仿宋" w:cs="仿宋"/>
                <w:color w:val="auto"/>
                <w:sz w:val="24"/>
                <w:lang w:val="en-US" w:eastAsia="zh-CN"/>
              </w:rPr>
              <w:t>3.9</w:t>
            </w:r>
            <w:r>
              <w:rPr>
                <w:rFonts w:hint="eastAsia" w:ascii="仿宋" w:hAnsi="仿宋" w:eastAsia="仿宋" w:cs="仿宋"/>
                <w:color w:val="auto"/>
                <w:sz w:val="24"/>
                <w:lang w:val="zh-CN"/>
              </w:rPr>
              <w:t>分；</w:t>
            </w:r>
            <w:r>
              <w:rPr>
                <w:rFonts w:hint="eastAsia" w:ascii="仿宋" w:hAnsi="仿宋" w:eastAsia="仿宋" w:cs="仿宋"/>
                <w:color w:val="auto"/>
                <w:sz w:val="24"/>
              </w:rPr>
              <w:t>方案</w:t>
            </w:r>
            <w:r>
              <w:rPr>
                <w:rFonts w:hint="eastAsia" w:ascii="仿宋" w:hAnsi="仿宋" w:eastAsia="仿宋" w:cs="仿宋"/>
                <w:color w:val="auto"/>
                <w:sz w:val="24"/>
                <w:lang w:val="zh-CN"/>
              </w:rPr>
              <w:t>内容较完整，方案策划不具备针对性</w:t>
            </w:r>
            <w:r>
              <w:rPr>
                <w:rFonts w:hint="eastAsia" w:ascii="仿宋" w:hAnsi="仿宋" w:eastAsia="仿宋" w:cs="仿宋"/>
                <w:color w:val="auto"/>
                <w:sz w:val="24"/>
              </w:rPr>
              <w:t>的得1-</w:t>
            </w:r>
            <w:r>
              <w:rPr>
                <w:rFonts w:hint="eastAsia" w:ascii="仿宋" w:hAnsi="仿宋" w:eastAsia="仿宋" w:cs="仿宋"/>
                <w:color w:val="auto"/>
                <w:sz w:val="24"/>
                <w:lang w:val="en-US" w:eastAsia="zh-CN"/>
              </w:rPr>
              <w:t>1.9</w:t>
            </w:r>
            <w:r>
              <w:rPr>
                <w:rFonts w:hint="eastAsia" w:ascii="仿宋" w:hAnsi="仿宋" w:eastAsia="仿宋" w:cs="仿宋"/>
                <w:color w:val="auto"/>
                <w:sz w:val="24"/>
              </w:rPr>
              <w:t>分</w:t>
            </w:r>
            <w:r>
              <w:rPr>
                <w:rFonts w:hint="eastAsia" w:ascii="仿宋" w:hAnsi="仿宋" w:eastAsia="仿宋" w:cs="仿宋"/>
                <w:color w:val="auto"/>
                <w:sz w:val="24"/>
                <w:lang w:val="zh-CN"/>
              </w:rPr>
              <w:t>，</w:t>
            </w:r>
            <w:r>
              <w:rPr>
                <w:rFonts w:hint="eastAsia" w:ascii="仿宋" w:hAnsi="仿宋" w:eastAsia="仿宋" w:cs="仿宋"/>
                <w:color w:val="auto"/>
                <w:sz w:val="24"/>
              </w:rPr>
              <w:t>未提供</w:t>
            </w:r>
            <w:r>
              <w:rPr>
                <w:rFonts w:hint="eastAsia" w:ascii="仿宋" w:hAnsi="仿宋" w:eastAsia="仿宋" w:cs="仿宋"/>
                <w:color w:val="auto"/>
                <w:sz w:val="24"/>
                <w:lang w:val="zh-CN"/>
              </w:rPr>
              <w:t>不得分。</w:t>
            </w:r>
          </w:p>
        </w:tc>
        <w:tc>
          <w:tcPr>
            <w:tcW w:w="1509" w:type="dxa"/>
            <w:tcBorders>
              <w:tl2br w:val="nil"/>
              <w:tr2bl w:val="nil"/>
            </w:tcBorders>
            <w:shd w:val="clear" w:color="auto" w:fill="auto"/>
            <w:vAlign w:val="center"/>
          </w:tcPr>
          <w:p>
            <w:pPr>
              <w:spacing w:line="440" w:lineRule="exact"/>
              <w:jc w:val="center"/>
              <w:rPr>
                <w:rFonts w:hint="eastAsia" w:ascii="仿宋" w:hAnsi="仿宋" w:eastAsia="仿宋" w:cs="仿宋_GB2312"/>
                <w:b w:val="0"/>
                <w:bCs w:val="0"/>
                <w:sz w:val="24"/>
                <w:lang w:val="en-US" w:eastAsia="zh-CN"/>
              </w:rPr>
            </w:pPr>
            <w:r>
              <w:rPr>
                <w:rFonts w:hint="eastAsia" w:ascii="仿宋" w:hAnsi="仿宋" w:eastAsia="仿宋" w:cs="仿宋"/>
                <w:color w:val="auto"/>
                <w:sz w:val="24"/>
              </w:rPr>
              <w:t>0-</w:t>
            </w:r>
            <w:r>
              <w:rPr>
                <w:rFonts w:hint="eastAsia" w:ascii="仿宋" w:hAnsi="仿宋" w:eastAsia="仿宋" w:cs="仿宋"/>
                <w:color w:val="auto"/>
                <w:sz w:val="24"/>
                <w:lang w:val="en-US" w:eastAsia="zh-CN"/>
              </w:rPr>
              <w:t>6</w:t>
            </w:r>
          </w:p>
        </w:tc>
        <w:tc>
          <w:tcPr>
            <w:tcW w:w="1053" w:type="dxa"/>
            <w:tcBorders>
              <w:tl2br w:val="nil"/>
              <w:tr2bl w:val="nil"/>
            </w:tcBorders>
            <w:shd w:val="clear" w:color="auto" w:fill="auto"/>
            <w:vAlign w:val="center"/>
          </w:tcPr>
          <w:p>
            <w:pPr>
              <w:spacing w:line="440" w:lineRule="exact"/>
              <w:rPr>
                <w:rFonts w:ascii="仿宋" w:hAnsi="仿宋" w:eastAsia="仿宋" w:cs="仿宋_GB2312"/>
                <w:b w:val="0"/>
                <w:bCs w:val="0"/>
                <w:sz w:val="24"/>
              </w:rPr>
            </w:pPr>
            <w:r>
              <w:rPr>
                <w:rFonts w:hint="eastAsia" w:ascii="仿宋" w:hAnsi="仿宋" w:eastAsia="仿宋" w:cs="仿宋"/>
                <w:color w:val="auto"/>
                <w:sz w:val="24"/>
              </w:rPr>
              <w:t>主观分</w:t>
            </w:r>
          </w:p>
        </w:tc>
      </w:tr>
      <w:tr>
        <w:trPr>
          <w:trHeight w:val="1454" w:hRule="atLeast"/>
          <w:jc w:val="center"/>
        </w:trPr>
        <w:tc>
          <w:tcPr>
            <w:tcW w:w="915" w:type="dxa"/>
            <w:vMerge w:val="continue"/>
            <w:tcBorders>
              <w:tl2br w:val="nil"/>
              <w:tr2bl w:val="nil"/>
            </w:tcBorders>
            <w:shd w:val="clear" w:color="auto" w:fill="auto"/>
            <w:vAlign w:val="center"/>
          </w:tcPr>
          <w:p>
            <w:pPr>
              <w:widowControl/>
              <w:spacing w:line="360" w:lineRule="auto"/>
              <w:jc w:val="center"/>
              <w:rPr>
                <w:rFonts w:ascii="仿宋" w:hAnsi="仿宋" w:eastAsia="仿宋" w:cs="仿宋_GB2312"/>
                <w:b/>
                <w:bCs/>
                <w:sz w:val="24"/>
              </w:rPr>
            </w:pPr>
          </w:p>
        </w:tc>
        <w:tc>
          <w:tcPr>
            <w:tcW w:w="692" w:type="dxa"/>
            <w:tcBorders>
              <w:tl2br w:val="nil"/>
              <w:tr2bl w:val="nil"/>
            </w:tcBorders>
            <w:shd w:val="clear" w:color="auto" w:fill="auto"/>
            <w:vAlign w:val="center"/>
          </w:tcPr>
          <w:p>
            <w:pPr>
              <w:widowControl/>
              <w:spacing w:line="360" w:lineRule="auto"/>
              <w:jc w:val="center"/>
              <w:rPr>
                <w:rFonts w:hint="eastAsia" w:ascii="仿宋" w:hAnsi="仿宋" w:eastAsia="仿宋" w:cs="仿宋_GB2312"/>
                <w:b w:val="0"/>
                <w:bCs w:val="0"/>
                <w:sz w:val="24"/>
                <w:lang w:val="en-US" w:eastAsia="zh-CN"/>
              </w:rPr>
            </w:pPr>
            <w:r>
              <w:rPr>
                <w:rFonts w:hint="eastAsia" w:ascii="仿宋" w:hAnsi="仿宋" w:eastAsia="仿宋" w:cs="仿宋_GB2312"/>
                <w:b w:val="0"/>
                <w:bCs w:val="0"/>
                <w:sz w:val="24"/>
                <w:lang w:val="en-US" w:eastAsia="zh-CN"/>
              </w:rPr>
              <w:t>5</w:t>
            </w:r>
          </w:p>
        </w:tc>
        <w:tc>
          <w:tcPr>
            <w:tcW w:w="5410" w:type="dxa"/>
            <w:tcBorders>
              <w:tl2br w:val="nil"/>
              <w:tr2bl w:val="nil"/>
            </w:tcBorders>
            <w:shd w:val="clear" w:color="auto" w:fill="auto"/>
            <w:vAlign w:val="center"/>
          </w:tcPr>
          <w:p>
            <w:pPr>
              <w:spacing w:line="440" w:lineRule="exact"/>
              <w:rPr>
                <w:rFonts w:ascii="仿宋" w:hAnsi="仿宋" w:eastAsia="仿宋" w:cs="仿宋"/>
                <w:color w:val="auto"/>
                <w:sz w:val="24"/>
                <w:lang w:val="zh-CN"/>
              </w:rPr>
            </w:pPr>
            <w:r>
              <w:rPr>
                <w:rFonts w:hint="eastAsia" w:ascii="仿宋" w:hAnsi="仿宋" w:eastAsia="仿宋" w:cs="仿宋"/>
                <w:color w:val="auto"/>
                <w:sz w:val="24"/>
                <w:lang w:val="zh-CN"/>
              </w:rPr>
              <w:t>投标文件相关方案能够全方位进行赛事宣传推广。媒体资源丰富，能够融入本土特色，体现南阳文化展示、竞潮马拉松品牌宣传、介绍等内容，能为赛事或活动提供很好的品牌广和传播；能够使赛事引起高度的社会关注，打造赛事品牌，提高赛事的影响力。能够以“体育+文化+旅游+科技”的方式和手段，持续开展与本赛事品牌活动，促进本地体育产业与文化、旅游和科技融合发展，在比赛当天能够通过广播、网络、报刊、海报等途径以及通过其他各种形式进行宣传推广的；</w:t>
            </w:r>
          </w:p>
          <w:p>
            <w:pPr>
              <w:spacing w:line="440" w:lineRule="exact"/>
              <w:rPr>
                <w:rFonts w:hint="eastAsia" w:ascii="仿宋" w:hAnsi="仿宋" w:eastAsia="仿宋" w:cs="仿宋"/>
                <w:sz w:val="24"/>
                <w:highlight w:val="yellow"/>
              </w:rPr>
            </w:pPr>
            <w:r>
              <w:rPr>
                <w:rFonts w:hint="eastAsia" w:ascii="仿宋" w:hAnsi="仿宋" w:eastAsia="仿宋" w:cs="仿宋"/>
                <w:color w:val="auto"/>
                <w:sz w:val="24"/>
                <w:lang w:val="zh-CN"/>
              </w:rPr>
              <w:t>方案内容完整、详细，能够达到较好的传播效果得5分；方案内容稍有欠缺，但进行适当调整仍可基本满足本项目服务要求的得</w:t>
            </w:r>
            <w:r>
              <w:rPr>
                <w:rFonts w:hint="eastAsia" w:ascii="仿宋" w:hAnsi="仿宋" w:eastAsia="仿宋" w:cs="仿宋"/>
                <w:color w:val="auto"/>
                <w:sz w:val="24"/>
                <w:lang w:val="en-US" w:eastAsia="zh-CN"/>
              </w:rPr>
              <w:t>2.6</w:t>
            </w:r>
            <w:r>
              <w:rPr>
                <w:rFonts w:hint="eastAsia" w:ascii="仿宋" w:hAnsi="仿宋" w:eastAsia="仿宋" w:cs="仿宋"/>
                <w:color w:val="auto"/>
                <w:sz w:val="24"/>
              </w:rPr>
              <w:t>-4</w:t>
            </w:r>
            <w:r>
              <w:rPr>
                <w:rFonts w:hint="eastAsia" w:ascii="仿宋" w:hAnsi="仿宋" w:eastAsia="仿宋" w:cs="仿宋"/>
                <w:color w:val="auto"/>
                <w:sz w:val="24"/>
                <w:lang w:val="en-US" w:eastAsia="zh-CN"/>
              </w:rPr>
              <w:t>.9</w:t>
            </w:r>
            <w:r>
              <w:rPr>
                <w:rFonts w:hint="eastAsia" w:ascii="仿宋" w:hAnsi="仿宋" w:eastAsia="仿宋" w:cs="仿宋"/>
                <w:color w:val="auto"/>
                <w:sz w:val="24"/>
                <w:lang w:val="zh-CN"/>
              </w:rPr>
              <w:t>分；方案内容缺漏较多，无法完全满足本项目服务要求的得1</w:t>
            </w:r>
            <w:r>
              <w:rPr>
                <w:rFonts w:hint="eastAsia" w:ascii="仿宋" w:hAnsi="仿宋" w:eastAsia="仿宋" w:cs="仿宋"/>
                <w:color w:val="auto"/>
                <w:sz w:val="24"/>
              </w:rPr>
              <w:t>-2</w:t>
            </w:r>
            <w:r>
              <w:rPr>
                <w:rFonts w:hint="eastAsia" w:ascii="仿宋" w:hAnsi="仿宋" w:eastAsia="仿宋" w:cs="仿宋"/>
                <w:color w:val="auto"/>
                <w:sz w:val="24"/>
                <w:lang w:val="en-US" w:eastAsia="zh-CN"/>
              </w:rPr>
              <w:t>.5</w:t>
            </w:r>
            <w:r>
              <w:rPr>
                <w:rFonts w:hint="eastAsia" w:ascii="仿宋" w:hAnsi="仿宋" w:eastAsia="仿宋" w:cs="仿宋"/>
                <w:color w:val="auto"/>
                <w:sz w:val="24"/>
                <w:lang w:val="zh-CN"/>
              </w:rPr>
              <w:t>分；</w:t>
            </w:r>
            <w:r>
              <w:rPr>
                <w:rFonts w:hint="eastAsia" w:ascii="仿宋" w:hAnsi="仿宋" w:eastAsia="仿宋" w:cs="仿宋"/>
                <w:color w:val="auto"/>
                <w:sz w:val="24"/>
              </w:rPr>
              <w:t>未提供</w:t>
            </w:r>
            <w:r>
              <w:rPr>
                <w:rFonts w:hint="eastAsia" w:ascii="仿宋" w:hAnsi="仿宋" w:eastAsia="仿宋" w:cs="仿宋"/>
                <w:color w:val="auto"/>
                <w:sz w:val="24"/>
                <w:lang w:val="zh-CN"/>
              </w:rPr>
              <w:t>不得分。</w:t>
            </w:r>
          </w:p>
        </w:tc>
        <w:tc>
          <w:tcPr>
            <w:tcW w:w="1509" w:type="dxa"/>
            <w:tcBorders>
              <w:tl2br w:val="nil"/>
              <w:tr2bl w:val="nil"/>
            </w:tcBorders>
            <w:shd w:val="clear" w:color="auto" w:fill="auto"/>
            <w:vAlign w:val="center"/>
          </w:tcPr>
          <w:p>
            <w:pPr>
              <w:spacing w:line="440" w:lineRule="exact"/>
              <w:jc w:val="center"/>
              <w:rPr>
                <w:rFonts w:hint="eastAsia" w:ascii="仿宋" w:hAnsi="仿宋" w:eastAsia="仿宋" w:cs="仿宋"/>
                <w:b w:val="0"/>
                <w:bCs w:val="0"/>
                <w:sz w:val="24"/>
                <w:lang w:val="en-US" w:eastAsia="zh-CN"/>
              </w:rPr>
            </w:pPr>
            <w:r>
              <w:rPr>
                <w:rFonts w:hint="eastAsia" w:ascii="仿宋" w:hAnsi="仿宋" w:eastAsia="仿宋" w:cs="仿宋"/>
                <w:color w:val="auto"/>
                <w:sz w:val="24"/>
              </w:rPr>
              <w:t>0-</w:t>
            </w:r>
            <w:r>
              <w:rPr>
                <w:rFonts w:hint="eastAsia" w:ascii="仿宋" w:hAnsi="仿宋" w:eastAsia="仿宋" w:cs="仿宋"/>
                <w:color w:val="auto"/>
                <w:sz w:val="24"/>
                <w:lang w:val="en-US" w:eastAsia="zh-CN"/>
              </w:rPr>
              <w:t>5</w:t>
            </w:r>
          </w:p>
        </w:tc>
        <w:tc>
          <w:tcPr>
            <w:tcW w:w="1053" w:type="dxa"/>
            <w:tcBorders>
              <w:tl2br w:val="nil"/>
              <w:tr2bl w:val="nil"/>
            </w:tcBorders>
            <w:shd w:val="clear" w:color="auto" w:fill="auto"/>
            <w:vAlign w:val="center"/>
          </w:tcPr>
          <w:p>
            <w:pPr>
              <w:spacing w:line="440" w:lineRule="exact"/>
              <w:rPr>
                <w:rFonts w:ascii="仿宋" w:hAnsi="仿宋" w:eastAsia="仿宋" w:cs="仿宋_GB2312"/>
                <w:b w:val="0"/>
                <w:bCs w:val="0"/>
                <w:sz w:val="24"/>
              </w:rPr>
            </w:pPr>
            <w:r>
              <w:rPr>
                <w:rFonts w:hint="eastAsia" w:ascii="仿宋" w:hAnsi="仿宋" w:eastAsia="仿宋" w:cs="仿宋"/>
                <w:color w:val="auto"/>
                <w:sz w:val="24"/>
              </w:rPr>
              <w:t>主观分</w:t>
            </w:r>
          </w:p>
        </w:tc>
      </w:tr>
      <w:tr>
        <w:trPr>
          <w:trHeight w:val="453" w:hRule="atLeast"/>
          <w:jc w:val="center"/>
        </w:trPr>
        <w:tc>
          <w:tcPr>
            <w:tcW w:w="915" w:type="dxa"/>
            <w:vMerge w:val="continue"/>
            <w:tcBorders>
              <w:tl2br w:val="nil"/>
              <w:tr2bl w:val="nil"/>
            </w:tcBorders>
            <w:shd w:val="clear" w:color="auto" w:fill="auto"/>
            <w:vAlign w:val="center"/>
          </w:tcPr>
          <w:p>
            <w:pPr>
              <w:widowControl/>
              <w:spacing w:line="360" w:lineRule="auto"/>
              <w:jc w:val="center"/>
              <w:rPr>
                <w:rFonts w:ascii="仿宋" w:hAnsi="仿宋" w:eastAsia="仿宋" w:cs="仿宋_GB2312"/>
                <w:b/>
                <w:bCs/>
                <w:sz w:val="24"/>
              </w:rPr>
            </w:pPr>
          </w:p>
        </w:tc>
        <w:tc>
          <w:tcPr>
            <w:tcW w:w="692" w:type="dxa"/>
            <w:tcBorders>
              <w:tl2br w:val="nil"/>
              <w:tr2bl w:val="nil"/>
            </w:tcBorders>
            <w:shd w:val="clear" w:color="auto" w:fill="auto"/>
            <w:vAlign w:val="center"/>
          </w:tcPr>
          <w:p>
            <w:pPr>
              <w:widowControl/>
              <w:spacing w:line="360" w:lineRule="auto"/>
              <w:jc w:val="center"/>
              <w:rPr>
                <w:rFonts w:hint="eastAsia" w:ascii="仿宋" w:hAnsi="仿宋" w:eastAsia="仿宋" w:cs="仿宋_GB2312"/>
                <w:b w:val="0"/>
                <w:bCs w:val="0"/>
                <w:sz w:val="24"/>
                <w:lang w:val="en-US" w:eastAsia="zh-CN"/>
              </w:rPr>
            </w:pPr>
            <w:r>
              <w:rPr>
                <w:rFonts w:hint="eastAsia" w:ascii="仿宋" w:hAnsi="仿宋" w:eastAsia="仿宋" w:cs="仿宋_GB2312"/>
                <w:b w:val="0"/>
                <w:bCs w:val="0"/>
                <w:sz w:val="24"/>
                <w:lang w:val="en-US" w:eastAsia="zh-CN"/>
              </w:rPr>
              <w:t>6</w:t>
            </w:r>
          </w:p>
        </w:tc>
        <w:tc>
          <w:tcPr>
            <w:tcW w:w="5410" w:type="dxa"/>
            <w:tcBorders>
              <w:tl2br w:val="nil"/>
              <w:tr2bl w:val="nil"/>
            </w:tcBorders>
            <w:shd w:val="clear" w:color="auto" w:fill="auto"/>
            <w:vAlign w:val="top"/>
          </w:tcPr>
          <w:p>
            <w:pPr>
              <w:spacing w:line="440" w:lineRule="exact"/>
              <w:rPr>
                <w:rFonts w:hint="eastAsia" w:ascii="仿宋" w:hAnsi="仿宋" w:eastAsia="仿宋" w:cs="仿宋"/>
                <w:color w:val="auto"/>
                <w:sz w:val="24"/>
                <w:lang w:eastAsia="zh-CN"/>
              </w:rPr>
            </w:pPr>
            <w:r>
              <w:rPr>
                <w:rFonts w:hint="eastAsia" w:ascii="仿宋" w:hAnsi="仿宋" w:eastAsia="仿宋" w:cs="仿宋"/>
                <w:color w:val="auto"/>
                <w:sz w:val="24"/>
              </w:rPr>
              <w:t>投标文件能够响应严格按照国际田联颁布的竞赛规则进行组织的，包括报名、参赛选手、精英选手、组织机构、赛道测量、场地布置、配速、计时与成绩、补给站、现场屏幕、志愿者服务等</w:t>
            </w:r>
            <w:r>
              <w:rPr>
                <w:rFonts w:hint="eastAsia" w:ascii="仿宋" w:hAnsi="仿宋" w:eastAsia="仿宋" w:cs="仿宋"/>
                <w:color w:val="auto"/>
                <w:sz w:val="24"/>
                <w:lang w:eastAsia="zh-CN"/>
              </w:rPr>
              <w:t>；</w:t>
            </w:r>
          </w:p>
          <w:p>
            <w:pPr>
              <w:spacing w:line="440" w:lineRule="exact"/>
              <w:rPr>
                <w:rFonts w:hint="eastAsia" w:ascii="仿宋" w:hAnsi="仿宋" w:eastAsia="仿宋" w:cs="仿宋"/>
                <w:sz w:val="24"/>
                <w:lang w:bidi="ar"/>
              </w:rPr>
            </w:pPr>
            <w:r>
              <w:rPr>
                <w:rFonts w:hint="eastAsia" w:ascii="仿宋" w:hAnsi="仿宋" w:eastAsia="仿宋" w:cs="仿宋"/>
                <w:color w:val="auto"/>
                <w:sz w:val="24"/>
                <w:lang w:val="zh-TW"/>
              </w:rPr>
              <w:t>组织方案详细、保障措施完善可行、计划安排周密得</w:t>
            </w:r>
            <w:r>
              <w:rPr>
                <w:rFonts w:hint="eastAsia" w:ascii="仿宋" w:hAnsi="仿宋" w:eastAsia="仿宋" w:cs="仿宋"/>
                <w:color w:val="auto"/>
                <w:sz w:val="24"/>
              </w:rPr>
              <w:t>5-6</w:t>
            </w:r>
            <w:r>
              <w:rPr>
                <w:rFonts w:hint="eastAsia" w:ascii="仿宋" w:hAnsi="仿宋" w:eastAsia="仿宋" w:cs="仿宋"/>
                <w:color w:val="auto"/>
                <w:sz w:val="24"/>
                <w:lang w:val="zh-TW"/>
              </w:rPr>
              <w:t>分；组织方案详细、保障措施完善可行、计划安排得当得</w:t>
            </w:r>
            <w:r>
              <w:rPr>
                <w:rFonts w:hint="eastAsia" w:ascii="仿宋" w:hAnsi="仿宋" w:eastAsia="仿宋" w:cs="仿宋"/>
                <w:color w:val="auto"/>
                <w:sz w:val="24"/>
              </w:rPr>
              <w:t>3-4</w:t>
            </w:r>
            <w:r>
              <w:rPr>
                <w:rFonts w:hint="eastAsia" w:ascii="仿宋" w:hAnsi="仿宋" w:eastAsia="仿宋" w:cs="仿宋"/>
                <w:color w:val="auto"/>
                <w:sz w:val="24"/>
                <w:lang w:val="en-US" w:eastAsia="zh-CN"/>
              </w:rPr>
              <w:t>.9</w:t>
            </w:r>
            <w:r>
              <w:rPr>
                <w:rFonts w:hint="eastAsia" w:ascii="仿宋" w:hAnsi="仿宋" w:eastAsia="仿宋" w:cs="仿宋"/>
                <w:color w:val="auto"/>
                <w:sz w:val="24"/>
                <w:lang w:val="zh-TW"/>
              </w:rPr>
              <w:t>分；组织方案一般，保障措施可行性较差、计划安排欠妥得1</w:t>
            </w:r>
            <w:r>
              <w:rPr>
                <w:rFonts w:hint="eastAsia" w:ascii="仿宋" w:hAnsi="仿宋" w:eastAsia="仿宋" w:cs="仿宋"/>
                <w:color w:val="auto"/>
                <w:sz w:val="24"/>
              </w:rPr>
              <w:t>-2</w:t>
            </w:r>
            <w:r>
              <w:rPr>
                <w:rFonts w:hint="eastAsia" w:ascii="仿宋" w:hAnsi="仿宋" w:eastAsia="仿宋" w:cs="仿宋"/>
                <w:color w:val="auto"/>
                <w:sz w:val="24"/>
                <w:lang w:val="en-US" w:eastAsia="zh-CN"/>
              </w:rPr>
              <w:t>.9</w:t>
            </w:r>
            <w:r>
              <w:rPr>
                <w:rFonts w:hint="eastAsia" w:ascii="仿宋" w:hAnsi="仿宋" w:eastAsia="仿宋" w:cs="仿宋"/>
                <w:color w:val="auto"/>
                <w:sz w:val="24"/>
                <w:lang w:val="zh-TW"/>
              </w:rPr>
              <w:t>分；</w:t>
            </w:r>
            <w:r>
              <w:rPr>
                <w:rFonts w:hint="eastAsia" w:ascii="仿宋" w:hAnsi="仿宋" w:eastAsia="仿宋" w:cs="仿宋"/>
                <w:color w:val="auto"/>
                <w:sz w:val="24"/>
              </w:rPr>
              <w:t>未提供</w:t>
            </w:r>
            <w:r>
              <w:rPr>
                <w:rFonts w:hint="eastAsia" w:ascii="仿宋" w:hAnsi="仿宋" w:eastAsia="仿宋" w:cs="仿宋"/>
                <w:color w:val="auto"/>
                <w:sz w:val="24"/>
                <w:lang w:val="zh-CN"/>
              </w:rPr>
              <w:t>不得分</w:t>
            </w:r>
            <w:r>
              <w:rPr>
                <w:rFonts w:hint="eastAsia" w:ascii="仿宋" w:hAnsi="仿宋" w:eastAsia="仿宋" w:cs="仿宋"/>
                <w:color w:val="auto"/>
                <w:sz w:val="24"/>
                <w:lang w:val="zh-TW"/>
              </w:rPr>
              <w:t>。</w:t>
            </w:r>
          </w:p>
        </w:tc>
        <w:tc>
          <w:tcPr>
            <w:tcW w:w="1509" w:type="dxa"/>
            <w:tcBorders>
              <w:tl2br w:val="nil"/>
              <w:tr2bl w:val="nil"/>
            </w:tcBorders>
            <w:shd w:val="clear" w:color="auto" w:fill="auto"/>
            <w:vAlign w:val="center"/>
          </w:tcPr>
          <w:p>
            <w:pPr>
              <w:spacing w:line="440" w:lineRule="exact"/>
              <w:jc w:val="center"/>
              <w:rPr>
                <w:rFonts w:hint="eastAsia" w:ascii="仿宋" w:hAnsi="仿宋" w:eastAsia="仿宋" w:cs="仿宋"/>
                <w:b w:val="0"/>
                <w:bCs w:val="0"/>
                <w:sz w:val="24"/>
                <w:lang w:eastAsia="zh-CN"/>
              </w:rPr>
            </w:pPr>
            <w:r>
              <w:rPr>
                <w:rFonts w:hint="eastAsia" w:ascii="仿宋" w:hAnsi="仿宋" w:eastAsia="仿宋" w:cs="仿宋"/>
                <w:color w:val="auto"/>
                <w:sz w:val="24"/>
              </w:rPr>
              <w:t>0-</w:t>
            </w:r>
            <w:r>
              <w:rPr>
                <w:rFonts w:hint="eastAsia" w:ascii="仿宋" w:hAnsi="仿宋" w:eastAsia="仿宋" w:cs="仿宋"/>
                <w:color w:val="auto"/>
                <w:sz w:val="24"/>
                <w:lang w:val="en-US" w:eastAsia="zh-CN"/>
              </w:rPr>
              <w:t>6</w:t>
            </w:r>
          </w:p>
        </w:tc>
        <w:tc>
          <w:tcPr>
            <w:tcW w:w="1053" w:type="dxa"/>
            <w:tcBorders>
              <w:tl2br w:val="nil"/>
              <w:tr2bl w:val="nil"/>
            </w:tcBorders>
            <w:shd w:val="clear" w:color="auto" w:fill="auto"/>
            <w:vAlign w:val="center"/>
          </w:tcPr>
          <w:p>
            <w:pPr>
              <w:spacing w:line="440" w:lineRule="exact"/>
              <w:rPr>
                <w:rFonts w:ascii="仿宋" w:hAnsi="仿宋" w:eastAsia="仿宋" w:cs="仿宋_GB2312"/>
                <w:b w:val="0"/>
                <w:bCs w:val="0"/>
                <w:sz w:val="24"/>
              </w:rPr>
            </w:pPr>
            <w:r>
              <w:rPr>
                <w:rFonts w:hint="eastAsia" w:ascii="仿宋" w:hAnsi="仿宋" w:eastAsia="仿宋" w:cs="仿宋"/>
                <w:color w:val="auto"/>
                <w:sz w:val="24"/>
              </w:rPr>
              <w:t>主观分</w:t>
            </w:r>
          </w:p>
        </w:tc>
      </w:tr>
      <w:tr>
        <w:trPr>
          <w:trHeight w:val="90" w:hRule="atLeast"/>
          <w:jc w:val="center"/>
        </w:trPr>
        <w:tc>
          <w:tcPr>
            <w:tcW w:w="915" w:type="dxa"/>
            <w:vMerge w:val="continue"/>
            <w:tcBorders>
              <w:tl2br w:val="nil"/>
              <w:tr2bl w:val="nil"/>
            </w:tcBorders>
            <w:shd w:val="clear" w:color="auto" w:fill="auto"/>
            <w:vAlign w:val="center"/>
          </w:tcPr>
          <w:p>
            <w:pPr>
              <w:widowControl/>
              <w:spacing w:line="360" w:lineRule="auto"/>
              <w:jc w:val="center"/>
              <w:rPr>
                <w:rFonts w:ascii="仿宋" w:hAnsi="仿宋" w:eastAsia="仿宋" w:cs="仿宋_GB2312"/>
                <w:b/>
                <w:bCs/>
                <w:sz w:val="24"/>
              </w:rPr>
            </w:pPr>
          </w:p>
        </w:tc>
        <w:tc>
          <w:tcPr>
            <w:tcW w:w="692" w:type="dxa"/>
            <w:tcBorders>
              <w:tl2br w:val="nil"/>
              <w:tr2bl w:val="nil"/>
            </w:tcBorders>
            <w:shd w:val="clear" w:color="auto" w:fill="auto"/>
            <w:vAlign w:val="center"/>
          </w:tcPr>
          <w:p>
            <w:pPr>
              <w:widowControl/>
              <w:spacing w:line="360" w:lineRule="auto"/>
              <w:jc w:val="center"/>
              <w:rPr>
                <w:rFonts w:hint="eastAsia" w:ascii="仿宋" w:hAnsi="仿宋" w:eastAsia="仿宋" w:cs="仿宋_GB2312"/>
                <w:b w:val="0"/>
                <w:bCs w:val="0"/>
                <w:sz w:val="24"/>
                <w:lang w:val="en-US" w:eastAsia="zh-CN"/>
              </w:rPr>
            </w:pPr>
            <w:r>
              <w:rPr>
                <w:rFonts w:hint="eastAsia" w:ascii="仿宋" w:hAnsi="仿宋" w:eastAsia="仿宋" w:cs="仿宋_GB2312"/>
                <w:b w:val="0"/>
                <w:bCs w:val="0"/>
                <w:sz w:val="24"/>
                <w:lang w:val="en-US" w:eastAsia="zh-CN"/>
              </w:rPr>
              <w:t>7</w:t>
            </w:r>
          </w:p>
        </w:tc>
        <w:tc>
          <w:tcPr>
            <w:tcW w:w="5410" w:type="dxa"/>
            <w:tcBorders>
              <w:tl2br w:val="nil"/>
              <w:tr2bl w:val="nil"/>
            </w:tcBorders>
            <w:shd w:val="clear" w:color="auto" w:fill="auto"/>
            <w:vAlign w:val="top"/>
          </w:tcPr>
          <w:p>
            <w:pPr>
              <w:spacing w:line="440" w:lineRule="exact"/>
              <w:rPr>
                <w:rFonts w:ascii="仿宋" w:hAnsi="仿宋" w:eastAsia="仿宋" w:cs="仿宋"/>
                <w:color w:val="auto"/>
                <w:sz w:val="24"/>
                <w:lang w:val="zh-TW"/>
              </w:rPr>
            </w:pPr>
            <w:r>
              <w:rPr>
                <w:rFonts w:hint="eastAsia" w:ascii="仿宋" w:hAnsi="仿宋" w:eastAsia="仿宋" w:cs="仿宋"/>
                <w:color w:val="auto"/>
                <w:sz w:val="24"/>
                <w:lang w:val="zh-TW"/>
              </w:rPr>
              <w:t>投标文件能够响应按竞赛要求做好比赛物资保障并有详细方案的：</w:t>
            </w:r>
          </w:p>
          <w:p>
            <w:pPr>
              <w:spacing w:line="440" w:lineRule="exact"/>
              <w:rPr>
                <w:rFonts w:hint="eastAsia" w:ascii="仿宋" w:hAnsi="仿宋" w:eastAsia="仿宋" w:cs="仿宋"/>
                <w:b/>
                <w:bCs/>
                <w:sz w:val="24"/>
              </w:rPr>
            </w:pPr>
            <w:r>
              <w:rPr>
                <w:rFonts w:hint="eastAsia" w:ascii="仿宋" w:hAnsi="仿宋" w:eastAsia="仿宋" w:cs="仿宋"/>
                <w:color w:val="auto"/>
                <w:sz w:val="24"/>
                <w:lang w:val="zh-TW"/>
              </w:rPr>
              <w:t>方案详细，</w:t>
            </w:r>
            <w:r>
              <w:rPr>
                <w:rFonts w:hint="eastAsia" w:ascii="仿宋" w:hAnsi="仿宋" w:eastAsia="仿宋" w:cs="仿宋"/>
                <w:color w:val="auto"/>
                <w:sz w:val="24"/>
              </w:rPr>
              <w:t>材料设备、物资安排落实计划合理</w:t>
            </w:r>
            <w:r>
              <w:rPr>
                <w:rFonts w:hint="eastAsia" w:ascii="仿宋" w:hAnsi="仿宋" w:eastAsia="仿宋" w:cs="仿宋"/>
                <w:color w:val="auto"/>
                <w:sz w:val="24"/>
                <w:lang w:val="zh-TW"/>
              </w:rPr>
              <w:t>周密得</w:t>
            </w:r>
            <w:r>
              <w:rPr>
                <w:rFonts w:hint="eastAsia" w:ascii="仿宋" w:hAnsi="仿宋" w:eastAsia="仿宋" w:cs="仿宋"/>
                <w:color w:val="auto"/>
                <w:sz w:val="24"/>
              </w:rPr>
              <w:t>3</w:t>
            </w:r>
            <w:r>
              <w:rPr>
                <w:rFonts w:hint="eastAsia" w:ascii="仿宋" w:hAnsi="仿宋" w:eastAsia="仿宋" w:cs="仿宋"/>
                <w:color w:val="auto"/>
                <w:sz w:val="24"/>
                <w:lang w:val="en-US" w:eastAsia="zh-CN"/>
              </w:rPr>
              <w:t>-5</w:t>
            </w:r>
            <w:r>
              <w:rPr>
                <w:rFonts w:hint="eastAsia" w:ascii="仿宋" w:hAnsi="仿宋" w:eastAsia="仿宋" w:cs="仿宋"/>
                <w:color w:val="auto"/>
                <w:sz w:val="24"/>
                <w:lang w:val="zh-TW"/>
              </w:rPr>
              <w:t>分；方案详细、</w:t>
            </w:r>
            <w:r>
              <w:rPr>
                <w:rFonts w:hint="eastAsia" w:ascii="仿宋" w:hAnsi="仿宋" w:eastAsia="仿宋" w:cs="仿宋"/>
                <w:color w:val="auto"/>
                <w:sz w:val="24"/>
              </w:rPr>
              <w:t>材料设备、物资</w:t>
            </w:r>
            <w:r>
              <w:rPr>
                <w:rFonts w:hint="eastAsia" w:ascii="仿宋" w:hAnsi="仿宋" w:eastAsia="仿宋" w:cs="仿宋"/>
                <w:color w:val="auto"/>
                <w:sz w:val="24"/>
                <w:lang w:val="zh-TW"/>
              </w:rPr>
              <w:t>安排</w:t>
            </w:r>
            <w:r>
              <w:rPr>
                <w:rFonts w:hint="eastAsia" w:ascii="仿宋" w:hAnsi="仿宋" w:eastAsia="仿宋" w:cs="仿宋"/>
                <w:color w:val="auto"/>
                <w:sz w:val="24"/>
              </w:rPr>
              <w:t>落实计划可行</w:t>
            </w:r>
            <w:r>
              <w:rPr>
                <w:rFonts w:hint="eastAsia" w:ascii="仿宋" w:hAnsi="仿宋" w:eastAsia="仿宋" w:cs="仿宋"/>
                <w:color w:val="auto"/>
                <w:sz w:val="24"/>
                <w:lang w:val="zh-TW"/>
              </w:rPr>
              <w:t>得当得</w:t>
            </w:r>
            <w:r>
              <w:rPr>
                <w:rFonts w:hint="eastAsia" w:ascii="仿宋" w:hAnsi="仿宋" w:eastAsia="仿宋" w:cs="仿宋"/>
                <w:color w:val="auto"/>
                <w:sz w:val="24"/>
              </w:rPr>
              <w:t>2</w:t>
            </w:r>
            <w:r>
              <w:rPr>
                <w:rFonts w:hint="eastAsia" w:ascii="仿宋" w:hAnsi="仿宋" w:eastAsia="仿宋" w:cs="仿宋"/>
                <w:color w:val="auto"/>
                <w:sz w:val="24"/>
                <w:lang w:val="en-US" w:eastAsia="zh-CN"/>
              </w:rPr>
              <w:t>-2.9</w:t>
            </w:r>
            <w:r>
              <w:rPr>
                <w:rFonts w:hint="eastAsia" w:ascii="仿宋" w:hAnsi="仿宋" w:eastAsia="仿宋" w:cs="仿宋"/>
                <w:color w:val="auto"/>
                <w:sz w:val="24"/>
                <w:lang w:val="zh-TW"/>
              </w:rPr>
              <w:t>分；方案一般，</w:t>
            </w:r>
            <w:r>
              <w:rPr>
                <w:rFonts w:hint="eastAsia" w:ascii="仿宋" w:hAnsi="仿宋" w:eastAsia="仿宋" w:cs="仿宋"/>
                <w:color w:val="auto"/>
                <w:sz w:val="24"/>
              </w:rPr>
              <w:t>材料设备、物资</w:t>
            </w:r>
            <w:r>
              <w:rPr>
                <w:rFonts w:hint="eastAsia" w:ascii="仿宋" w:hAnsi="仿宋" w:eastAsia="仿宋" w:cs="仿宋"/>
                <w:color w:val="auto"/>
                <w:sz w:val="24"/>
                <w:lang w:val="zh-TW"/>
              </w:rPr>
              <w:t>安排</w:t>
            </w:r>
            <w:r>
              <w:rPr>
                <w:rFonts w:hint="eastAsia" w:ascii="仿宋" w:hAnsi="仿宋" w:eastAsia="仿宋" w:cs="仿宋"/>
                <w:color w:val="auto"/>
                <w:sz w:val="24"/>
              </w:rPr>
              <w:t>落实计划</w:t>
            </w:r>
            <w:r>
              <w:rPr>
                <w:rFonts w:hint="eastAsia" w:ascii="仿宋" w:hAnsi="仿宋" w:eastAsia="仿宋" w:cs="仿宋"/>
                <w:color w:val="auto"/>
                <w:sz w:val="24"/>
                <w:lang w:val="zh-TW"/>
              </w:rPr>
              <w:t>可行性较差、安排欠妥得1</w:t>
            </w:r>
            <w:r>
              <w:rPr>
                <w:rFonts w:hint="eastAsia" w:ascii="仿宋" w:hAnsi="仿宋" w:eastAsia="仿宋" w:cs="仿宋"/>
                <w:color w:val="auto"/>
                <w:sz w:val="24"/>
                <w:lang w:val="en-US" w:eastAsia="zh-CN"/>
              </w:rPr>
              <w:t>-1.9</w:t>
            </w:r>
            <w:r>
              <w:rPr>
                <w:rFonts w:hint="eastAsia" w:ascii="仿宋" w:hAnsi="仿宋" w:eastAsia="仿宋" w:cs="仿宋"/>
                <w:color w:val="auto"/>
                <w:sz w:val="24"/>
                <w:lang w:val="zh-TW"/>
              </w:rPr>
              <w:t>分；</w:t>
            </w:r>
            <w:r>
              <w:rPr>
                <w:rFonts w:hint="eastAsia" w:ascii="仿宋" w:hAnsi="仿宋" w:eastAsia="仿宋" w:cs="仿宋"/>
                <w:color w:val="auto"/>
                <w:sz w:val="24"/>
              </w:rPr>
              <w:t>未提供</w:t>
            </w:r>
            <w:r>
              <w:rPr>
                <w:rFonts w:hint="eastAsia" w:ascii="仿宋" w:hAnsi="仿宋" w:eastAsia="仿宋" w:cs="仿宋"/>
                <w:color w:val="auto"/>
                <w:sz w:val="24"/>
                <w:lang w:val="zh-CN"/>
              </w:rPr>
              <w:t>不得分。</w:t>
            </w:r>
          </w:p>
        </w:tc>
        <w:tc>
          <w:tcPr>
            <w:tcW w:w="1509" w:type="dxa"/>
            <w:tcBorders>
              <w:tl2br w:val="nil"/>
              <w:tr2bl w:val="nil"/>
            </w:tcBorders>
            <w:shd w:val="clear" w:color="auto" w:fill="auto"/>
            <w:vAlign w:val="center"/>
          </w:tcPr>
          <w:p>
            <w:pPr>
              <w:spacing w:line="440" w:lineRule="exact"/>
              <w:jc w:val="center"/>
              <w:rPr>
                <w:rFonts w:hint="eastAsia" w:ascii="仿宋" w:hAnsi="仿宋" w:eastAsia="仿宋" w:cs="仿宋"/>
                <w:b w:val="0"/>
                <w:bCs w:val="0"/>
                <w:sz w:val="24"/>
              </w:rPr>
            </w:pPr>
            <w:r>
              <w:rPr>
                <w:rFonts w:hint="eastAsia" w:ascii="仿宋" w:hAnsi="仿宋" w:eastAsia="仿宋" w:cs="仿宋"/>
                <w:color w:val="auto"/>
                <w:sz w:val="24"/>
              </w:rPr>
              <w:t>0-</w:t>
            </w:r>
            <w:r>
              <w:rPr>
                <w:rFonts w:hint="eastAsia" w:ascii="仿宋" w:hAnsi="仿宋" w:eastAsia="仿宋" w:cs="仿宋"/>
                <w:color w:val="auto"/>
                <w:sz w:val="24"/>
                <w:lang w:val="en-US" w:eastAsia="zh-CN"/>
              </w:rPr>
              <w:t>5</w:t>
            </w:r>
          </w:p>
        </w:tc>
        <w:tc>
          <w:tcPr>
            <w:tcW w:w="1053" w:type="dxa"/>
            <w:tcBorders>
              <w:tl2br w:val="nil"/>
              <w:tr2bl w:val="nil"/>
            </w:tcBorders>
            <w:shd w:val="clear" w:color="auto" w:fill="auto"/>
            <w:vAlign w:val="center"/>
          </w:tcPr>
          <w:p>
            <w:pPr>
              <w:spacing w:line="440" w:lineRule="exact"/>
              <w:rPr>
                <w:rFonts w:ascii="仿宋" w:hAnsi="仿宋" w:eastAsia="仿宋" w:cs="仿宋_GB2312"/>
                <w:b w:val="0"/>
                <w:bCs w:val="0"/>
                <w:sz w:val="24"/>
              </w:rPr>
            </w:pPr>
            <w:r>
              <w:rPr>
                <w:rFonts w:hint="eastAsia" w:ascii="仿宋" w:hAnsi="仿宋" w:eastAsia="仿宋" w:cs="仿宋"/>
                <w:color w:val="auto"/>
                <w:sz w:val="24"/>
              </w:rPr>
              <w:t>主观分</w:t>
            </w:r>
          </w:p>
        </w:tc>
      </w:tr>
      <w:tr>
        <w:trPr>
          <w:trHeight w:val="484" w:hRule="atLeast"/>
          <w:jc w:val="center"/>
        </w:trPr>
        <w:tc>
          <w:tcPr>
            <w:tcW w:w="915" w:type="dxa"/>
            <w:vMerge w:val="continue"/>
            <w:tcBorders>
              <w:tl2br w:val="nil"/>
              <w:tr2bl w:val="nil"/>
            </w:tcBorders>
            <w:shd w:val="clear" w:color="auto" w:fill="auto"/>
            <w:vAlign w:val="center"/>
          </w:tcPr>
          <w:p>
            <w:pPr>
              <w:widowControl/>
              <w:spacing w:line="360" w:lineRule="auto"/>
              <w:jc w:val="center"/>
              <w:rPr>
                <w:rFonts w:ascii="仿宋" w:hAnsi="仿宋" w:eastAsia="仿宋" w:cs="仿宋_GB2312"/>
                <w:b/>
                <w:bCs/>
                <w:sz w:val="24"/>
              </w:rPr>
            </w:pPr>
          </w:p>
        </w:tc>
        <w:tc>
          <w:tcPr>
            <w:tcW w:w="692" w:type="dxa"/>
            <w:tcBorders>
              <w:tl2br w:val="nil"/>
              <w:tr2bl w:val="nil"/>
            </w:tcBorders>
            <w:shd w:val="clear" w:color="auto" w:fill="auto"/>
            <w:vAlign w:val="center"/>
          </w:tcPr>
          <w:p>
            <w:pPr>
              <w:widowControl/>
              <w:spacing w:line="360" w:lineRule="auto"/>
              <w:jc w:val="center"/>
              <w:rPr>
                <w:rFonts w:hint="default" w:ascii="仿宋" w:hAnsi="仿宋" w:eastAsia="仿宋" w:cs="仿宋_GB2312"/>
                <w:b/>
                <w:bCs/>
                <w:sz w:val="24"/>
                <w:lang w:val="en-US" w:eastAsia="zh-CN"/>
              </w:rPr>
            </w:pPr>
            <w:r>
              <w:rPr>
                <w:rFonts w:hint="eastAsia" w:ascii="仿宋" w:hAnsi="仿宋" w:eastAsia="仿宋" w:cs="仿宋_GB2312"/>
                <w:b w:val="0"/>
                <w:bCs w:val="0"/>
                <w:sz w:val="24"/>
                <w:lang w:val="en-US" w:eastAsia="zh-CN"/>
              </w:rPr>
              <w:t>8</w:t>
            </w:r>
          </w:p>
        </w:tc>
        <w:tc>
          <w:tcPr>
            <w:tcW w:w="5410" w:type="dxa"/>
            <w:tcBorders>
              <w:tl2br w:val="nil"/>
              <w:tr2bl w:val="nil"/>
            </w:tcBorders>
            <w:shd w:val="clear" w:color="auto" w:fill="auto"/>
            <w:vAlign w:val="top"/>
          </w:tcPr>
          <w:p>
            <w:pPr>
              <w:pStyle w:val="62"/>
              <w:spacing w:line="440" w:lineRule="exact"/>
              <w:ind w:firstLine="0"/>
              <w:rPr>
                <w:rFonts w:ascii="仿宋" w:hAnsi="仿宋" w:eastAsia="仿宋" w:cs="仿宋"/>
                <w:color w:val="auto"/>
                <w:szCs w:val="24"/>
                <w:lang w:val="en-US"/>
              </w:rPr>
            </w:pPr>
            <w:r>
              <w:rPr>
                <w:rFonts w:ascii="仿宋" w:hAnsi="仿宋" w:eastAsia="仿宋" w:cs="仿宋"/>
                <w:color w:val="auto"/>
                <w:szCs w:val="24"/>
                <w:lang w:val="en-US"/>
              </w:rPr>
              <w:t>根据供应商针对本项目特点提供的赛事视觉设计方案进行评审</w:t>
            </w:r>
            <w:r>
              <w:rPr>
                <w:rFonts w:hint="eastAsia" w:ascii="仿宋" w:hAnsi="仿宋" w:eastAsia="仿宋" w:cs="仿宋"/>
                <w:color w:val="auto"/>
                <w:szCs w:val="24"/>
                <w:lang w:val="en-US"/>
              </w:rPr>
              <w:t>：</w:t>
            </w:r>
          </w:p>
          <w:p>
            <w:pPr>
              <w:pStyle w:val="62"/>
              <w:spacing w:line="440" w:lineRule="exact"/>
              <w:ind w:firstLine="0" w:firstLineChars="0"/>
              <w:rPr>
                <w:rFonts w:hint="eastAsia" w:ascii="仿宋" w:hAnsi="仿宋" w:eastAsia="仿宋" w:cs="仿宋"/>
                <w:sz w:val="24"/>
                <w:lang w:eastAsia="zh-CN"/>
              </w:rPr>
            </w:pPr>
            <w:r>
              <w:rPr>
                <w:rFonts w:ascii="仿宋" w:hAnsi="仿宋" w:eastAsia="仿宋" w:cs="仿宋"/>
                <w:color w:val="auto"/>
                <w:szCs w:val="24"/>
                <w:lang w:val="en-US"/>
              </w:rPr>
              <w:t>方案设计展示新颖、富有创意，与</w:t>
            </w:r>
            <w:r>
              <w:rPr>
                <w:rFonts w:hint="eastAsia" w:ascii="仿宋" w:hAnsi="仿宋" w:eastAsia="仿宋" w:cs="仿宋"/>
                <w:color w:val="auto"/>
                <w:szCs w:val="24"/>
                <w:lang w:val="en-US"/>
              </w:rPr>
              <w:t>潮</w:t>
            </w:r>
            <w:r>
              <w:rPr>
                <w:rFonts w:ascii="仿宋" w:hAnsi="仿宋" w:eastAsia="仿宋" w:cs="仿宋"/>
                <w:color w:val="auto"/>
                <w:szCs w:val="24"/>
                <w:lang w:val="en-US"/>
              </w:rPr>
              <w:t>跑结合紧密得</w:t>
            </w:r>
            <w:r>
              <w:rPr>
                <w:rFonts w:hint="eastAsia" w:ascii="仿宋" w:hAnsi="仿宋" w:eastAsia="仿宋" w:cs="仿宋"/>
                <w:color w:val="auto"/>
                <w:szCs w:val="24"/>
                <w:lang w:val="en-US"/>
              </w:rPr>
              <w:t>5</w:t>
            </w:r>
            <w:r>
              <w:rPr>
                <w:rFonts w:ascii="仿宋" w:hAnsi="仿宋" w:eastAsia="仿宋" w:cs="仿宋"/>
                <w:color w:val="auto"/>
                <w:szCs w:val="24"/>
                <w:lang w:val="en-US"/>
              </w:rPr>
              <w:t>分；方案设计展示普通、无新意，有结合到</w:t>
            </w:r>
            <w:r>
              <w:rPr>
                <w:rFonts w:hint="eastAsia" w:ascii="仿宋" w:hAnsi="仿宋" w:eastAsia="仿宋" w:cs="仿宋"/>
                <w:color w:val="auto"/>
                <w:szCs w:val="24"/>
                <w:lang w:val="en-US"/>
              </w:rPr>
              <w:t>潮</w:t>
            </w:r>
            <w:r>
              <w:rPr>
                <w:rFonts w:ascii="仿宋" w:hAnsi="仿宋" w:eastAsia="仿宋" w:cs="仿宋"/>
                <w:color w:val="auto"/>
                <w:szCs w:val="24"/>
                <w:lang w:val="en-US"/>
              </w:rPr>
              <w:t>跑得</w:t>
            </w:r>
            <w:r>
              <w:rPr>
                <w:rFonts w:hint="eastAsia" w:ascii="仿宋" w:hAnsi="仿宋" w:eastAsia="仿宋" w:cs="仿宋"/>
                <w:color w:val="auto"/>
                <w:szCs w:val="24"/>
                <w:lang w:val="en-US"/>
              </w:rPr>
              <w:t>3-4</w:t>
            </w:r>
            <w:r>
              <w:rPr>
                <w:rFonts w:hint="eastAsia" w:ascii="仿宋" w:hAnsi="仿宋" w:eastAsia="仿宋" w:cs="仿宋"/>
                <w:color w:val="auto"/>
                <w:szCs w:val="24"/>
                <w:lang w:val="en-US" w:eastAsia="zh-CN"/>
              </w:rPr>
              <w:t>.9</w:t>
            </w:r>
            <w:r>
              <w:rPr>
                <w:rFonts w:ascii="仿宋" w:hAnsi="仿宋" w:eastAsia="仿宋" w:cs="仿宋"/>
                <w:color w:val="auto"/>
                <w:szCs w:val="24"/>
                <w:lang w:val="en-US"/>
              </w:rPr>
              <w:t>分；方案设计展示一般、不具备针对性，得1</w:t>
            </w:r>
            <w:r>
              <w:rPr>
                <w:rFonts w:hint="eastAsia" w:ascii="仿宋" w:hAnsi="仿宋" w:eastAsia="仿宋" w:cs="仿宋"/>
                <w:color w:val="auto"/>
                <w:szCs w:val="24"/>
                <w:lang w:val="en-US"/>
              </w:rPr>
              <w:t>-2</w:t>
            </w:r>
            <w:r>
              <w:rPr>
                <w:rFonts w:hint="eastAsia" w:ascii="仿宋" w:hAnsi="仿宋" w:eastAsia="仿宋" w:cs="仿宋"/>
                <w:color w:val="auto"/>
                <w:szCs w:val="24"/>
                <w:lang w:val="en-US" w:eastAsia="zh-CN"/>
              </w:rPr>
              <w:t>.9</w:t>
            </w:r>
            <w:r>
              <w:rPr>
                <w:rFonts w:ascii="仿宋" w:hAnsi="仿宋" w:eastAsia="仿宋" w:cs="仿宋"/>
                <w:color w:val="auto"/>
                <w:szCs w:val="24"/>
                <w:lang w:val="en-US"/>
              </w:rPr>
              <w:t>分。需提供设计方案，未提供不得分。</w:t>
            </w:r>
          </w:p>
        </w:tc>
        <w:tc>
          <w:tcPr>
            <w:tcW w:w="1509" w:type="dxa"/>
            <w:tcBorders>
              <w:tl2br w:val="nil"/>
              <w:tr2bl w:val="nil"/>
            </w:tcBorders>
            <w:shd w:val="clear" w:color="auto" w:fill="auto"/>
            <w:vAlign w:val="center"/>
          </w:tcPr>
          <w:p>
            <w:pPr>
              <w:spacing w:line="440" w:lineRule="exact"/>
              <w:jc w:val="center"/>
              <w:rPr>
                <w:rFonts w:hint="eastAsia" w:ascii="仿宋" w:hAnsi="仿宋" w:eastAsia="仿宋" w:cs="仿宋"/>
                <w:b w:val="0"/>
                <w:bCs w:val="0"/>
                <w:sz w:val="24"/>
                <w:lang w:val="en-US" w:eastAsia="zh-CN"/>
              </w:rPr>
            </w:pPr>
            <w:r>
              <w:rPr>
                <w:rFonts w:hint="eastAsia" w:ascii="仿宋" w:hAnsi="仿宋" w:eastAsia="仿宋" w:cs="仿宋"/>
                <w:color w:val="auto"/>
                <w:sz w:val="24"/>
              </w:rPr>
              <w:t>0-</w:t>
            </w:r>
            <w:r>
              <w:rPr>
                <w:rFonts w:hint="eastAsia" w:ascii="仿宋" w:hAnsi="仿宋" w:eastAsia="仿宋" w:cs="仿宋"/>
                <w:color w:val="auto"/>
                <w:sz w:val="24"/>
                <w:lang w:val="en-US" w:eastAsia="zh-CN"/>
              </w:rPr>
              <w:t>5</w:t>
            </w:r>
          </w:p>
        </w:tc>
        <w:tc>
          <w:tcPr>
            <w:tcW w:w="1053" w:type="dxa"/>
            <w:tcBorders>
              <w:tl2br w:val="nil"/>
              <w:tr2bl w:val="nil"/>
            </w:tcBorders>
            <w:shd w:val="clear" w:color="auto" w:fill="auto"/>
            <w:vAlign w:val="center"/>
          </w:tcPr>
          <w:p>
            <w:pPr>
              <w:spacing w:line="440" w:lineRule="exact"/>
              <w:rPr>
                <w:rFonts w:hint="eastAsia" w:ascii="仿宋" w:hAnsi="仿宋" w:eastAsia="仿宋" w:cs="仿宋_GB2312"/>
                <w:b w:val="0"/>
                <w:bCs w:val="0"/>
                <w:sz w:val="24"/>
                <w:lang w:eastAsia="zh-CN"/>
              </w:rPr>
            </w:pPr>
            <w:r>
              <w:rPr>
                <w:rFonts w:hint="eastAsia" w:ascii="仿宋" w:hAnsi="仿宋" w:eastAsia="仿宋" w:cs="仿宋"/>
                <w:color w:val="auto"/>
                <w:sz w:val="24"/>
              </w:rPr>
              <w:t>主观分</w:t>
            </w:r>
          </w:p>
        </w:tc>
      </w:tr>
      <w:tr>
        <w:trPr>
          <w:trHeight w:val="1673" w:hRule="atLeast"/>
          <w:jc w:val="center"/>
        </w:trPr>
        <w:tc>
          <w:tcPr>
            <w:tcW w:w="915" w:type="dxa"/>
            <w:vMerge w:val="continue"/>
            <w:tcBorders>
              <w:tl2br w:val="nil"/>
              <w:tr2bl w:val="nil"/>
            </w:tcBorders>
            <w:shd w:val="clear" w:color="auto" w:fill="auto"/>
            <w:vAlign w:val="center"/>
          </w:tcPr>
          <w:p>
            <w:pPr>
              <w:widowControl/>
              <w:spacing w:line="360" w:lineRule="auto"/>
              <w:jc w:val="center"/>
              <w:rPr>
                <w:rFonts w:ascii="仿宋" w:hAnsi="仿宋" w:eastAsia="仿宋" w:cs="仿宋_GB2312"/>
                <w:sz w:val="24"/>
              </w:rPr>
            </w:pPr>
          </w:p>
        </w:tc>
        <w:tc>
          <w:tcPr>
            <w:tcW w:w="692" w:type="dxa"/>
            <w:tcBorders>
              <w:tl2br w:val="nil"/>
              <w:tr2bl w:val="nil"/>
            </w:tcBorders>
            <w:shd w:val="clear" w:color="auto" w:fill="auto"/>
            <w:vAlign w:val="center"/>
          </w:tcPr>
          <w:p>
            <w:pPr>
              <w:widowControl/>
              <w:spacing w:line="360" w:lineRule="auto"/>
              <w:jc w:val="center"/>
              <w:rPr>
                <w:rFonts w:hint="default" w:ascii="仿宋" w:hAnsi="仿宋" w:eastAsia="仿宋" w:cs="仿宋_GB2312"/>
                <w:sz w:val="24"/>
                <w:lang w:val="en-US" w:eastAsia="zh-CN"/>
              </w:rPr>
            </w:pPr>
            <w:r>
              <w:rPr>
                <w:rFonts w:hint="eastAsia" w:ascii="仿宋" w:hAnsi="仿宋" w:eastAsia="仿宋" w:cs="仿宋_GB2312"/>
                <w:sz w:val="24"/>
                <w:lang w:val="en-US" w:eastAsia="zh-CN"/>
              </w:rPr>
              <w:t>9</w:t>
            </w:r>
          </w:p>
        </w:tc>
        <w:tc>
          <w:tcPr>
            <w:tcW w:w="5410" w:type="dxa"/>
            <w:tcBorders>
              <w:tl2br w:val="nil"/>
              <w:tr2bl w:val="nil"/>
            </w:tcBorders>
            <w:shd w:val="clear" w:color="auto" w:fill="auto"/>
            <w:vAlign w:val="top"/>
          </w:tcPr>
          <w:p>
            <w:pPr>
              <w:pStyle w:val="62"/>
              <w:spacing w:line="440" w:lineRule="exact"/>
              <w:ind w:firstLine="0"/>
              <w:rPr>
                <w:rFonts w:ascii="仿宋" w:hAnsi="仿宋" w:eastAsia="仿宋" w:cs="仿宋"/>
                <w:color w:val="auto"/>
                <w:szCs w:val="24"/>
                <w:lang w:val="en-US"/>
              </w:rPr>
            </w:pPr>
            <w:r>
              <w:rPr>
                <w:rFonts w:hint="eastAsia" w:ascii="仿宋" w:hAnsi="仿宋" w:eastAsia="仿宋" w:cs="仿宋"/>
                <w:color w:val="auto"/>
                <w:szCs w:val="24"/>
                <w:lang w:val="en-US"/>
              </w:rPr>
              <w:t>根据供应商针对本项目特点提供的切实可行的志愿者组织方案进行评审：</w:t>
            </w:r>
          </w:p>
          <w:p>
            <w:pPr>
              <w:pStyle w:val="62"/>
              <w:spacing w:line="440" w:lineRule="exact"/>
              <w:ind w:firstLine="0" w:firstLineChars="0"/>
              <w:rPr>
                <w:rFonts w:hint="eastAsia" w:ascii="仿宋" w:hAnsi="仿宋" w:eastAsia="仿宋" w:cs="仿宋"/>
                <w:b/>
                <w:bCs/>
                <w:sz w:val="24"/>
              </w:rPr>
            </w:pPr>
            <w:r>
              <w:rPr>
                <w:rFonts w:hint="eastAsia" w:ascii="仿宋" w:hAnsi="仿宋" w:eastAsia="仿宋" w:cs="仿宋"/>
                <w:color w:val="auto"/>
                <w:szCs w:val="24"/>
                <w:lang w:val="en-US"/>
              </w:rPr>
              <w:t>组织方案详细、保障措施完善可行、计划安排周密得5分；组织方案详细、保障措施完善可行、计划安排得当得3-4</w:t>
            </w:r>
            <w:r>
              <w:rPr>
                <w:rFonts w:hint="eastAsia" w:ascii="仿宋" w:hAnsi="仿宋" w:eastAsia="仿宋" w:cs="仿宋"/>
                <w:color w:val="auto"/>
                <w:szCs w:val="24"/>
                <w:lang w:val="en-US" w:eastAsia="zh-CN"/>
              </w:rPr>
              <w:t>.9</w:t>
            </w:r>
            <w:r>
              <w:rPr>
                <w:rFonts w:hint="eastAsia" w:ascii="仿宋" w:hAnsi="仿宋" w:eastAsia="仿宋" w:cs="仿宋"/>
                <w:color w:val="auto"/>
                <w:szCs w:val="24"/>
                <w:lang w:val="en-US"/>
              </w:rPr>
              <w:t>分；组织方案一般，保障措施可行性较差、计划安排欠妥得1-2</w:t>
            </w:r>
            <w:r>
              <w:rPr>
                <w:rFonts w:hint="eastAsia" w:ascii="仿宋" w:hAnsi="仿宋" w:eastAsia="仿宋" w:cs="仿宋"/>
                <w:color w:val="auto"/>
                <w:szCs w:val="24"/>
                <w:lang w:val="en-US" w:eastAsia="zh-CN"/>
              </w:rPr>
              <w:t>.9</w:t>
            </w:r>
            <w:r>
              <w:rPr>
                <w:rFonts w:hint="eastAsia" w:ascii="仿宋" w:hAnsi="仿宋" w:eastAsia="仿宋" w:cs="仿宋"/>
                <w:color w:val="auto"/>
                <w:szCs w:val="24"/>
                <w:lang w:val="en-US"/>
              </w:rPr>
              <w:t>分；未提及不得分。</w:t>
            </w:r>
          </w:p>
        </w:tc>
        <w:tc>
          <w:tcPr>
            <w:tcW w:w="1509" w:type="dxa"/>
            <w:tcBorders>
              <w:tl2br w:val="nil"/>
              <w:tr2bl w:val="nil"/>
            </w:tcBorders>
            <w:shd w:val="clear" w:color="auto" w:fill="auto"/>
            <w:vAlign w:val="center"/>
          </w:tcPr>
          <w:p>
            <w:pPr>
              <w:spacing w:line="440" w:lineRule="exact"/>
              <w:jc w:val="center"/>
              <w:rPr>
                <w:rFonts w:hint="eastAsia" w:ascii="仿宋" w:hAnsi="仿宋" w:eastAsia="仿宋" w:cs="仿宋"/>
                <w:b w:val="0"/>
                <w:bCs w:val="0"/>
                <w:sz w:val="24"/>
                <w:lang w:eastAsia="zh-CN"/>
              </w:rPr>
            </w:pPr>
            <w:r>
              <w:rPr>
                <w:rFonts w:hint="eastAsia" w:ascii="仿宋" w:hAnsi="仿宋" w:eastAsia="仿宋" w:cs="仿宋"/>
                <w:color w:val="auto"/>
                <w:sz w:val="24"/>
              </w:rPr>
              <w:t>0-5</w:t>
            </w:r>
          </w:p>
        </w:tc>
        <w:tc>
          <w:tcPr>
            <w:tcW w:w="1053" w:type="dxa"/>
            <w:tcBorders>
              <w:tl2br w:val="nil"/>
              <w:tr2bl w:val="nil"/>
            </w:tcBorders>
            <w:shd w:val="clear" w:color="auto" w:fill="auto"/>
            <w:vAlign w:val="center"/>
          </w:tcPr>
          <w:p>
            <w:pPr>
              <w:spacing w:line="440" w:lineRule="exact"/>
              <w:rPr>
                <w:rFonts w:ascii="仿宋" w:hAnsi="仿宋" w:eastAsia="仿宋" w:cs="仿宋_GB2312"/>
                <w:b w:val="0"/>
                <w:bCs w:val="0"/>
                <w:sz w:val="24"/>
              </w:rPr>
            </w:pPr>
            <w:r>
              <w:rPr>
                <w:rFonts w:hint="eastAsia" w:ascii="仿宋" w:hAnsi="仿宋" w:eastAsia="仿宋" w:cs="仿宋"/>
                <w:color w:val="auto"/>
                <w:sz w:val="24"/>
              </w:rPr>
              <w:t>主观分</w:t>
            </w:r>
          </w:p>
        </w:tc>
      </w:tr>
      <w:tr>
        <w:trPr>
          <w:trHeight w:val="496" w:hRule="atLeast"/>
          <w:jc w:val="center"/>
        </w:trPr>
        <w:tc>
          <w:tcPr>
            <w:tcW w:w="915" w:type="dxa"/>
            <w:vMerge w:val="continue"/>
            <w:tcBorders>
              <w:tl2br w:val="nil"/>
              <w:tr2bl w:val="nil"/>
            </w:tcBorders>
            <w:shd w:val="clear" w:color="auto" w:fill="auto"/>
            <w:vAlign w:val="center"/>
          </w:tcPr>
          <w:p>
            <w:pPr>
              <w:widowControl/>
              <w:spacing w:line="360" w:lineRule="auto"/>
              <w:jc w:val="center"/>
              <w:rPr>
                <w:rFonts w:ascii="仿宋" w:hAnsi="仿宋" w:eastAsia="仿宋" w:cs="仿宋_GB2312"/>
                <w:sz w:val="24"/>
              </w:rPr>
            </w:pPr>
          </w:p>
        </w:tc>
        <w:tc>
          <w:tcPr>
            <w:tcW w:w="692" w:type="dxa"/>
            <w:tcBorders>
              <w:tl2br w:val="nil"/>
              <w:tr2bl w:val="nil"/>
            </w:tcBorders>
            <w:shd w:val="clear" w:color="auto" w:fill="auto"/>
            <w:vAlign w:val="center"/>
          </w:tcPr>
          <w:p>
            <w:pPr>
              <w:widowControl/>
              <w:spacing w:line="360" w:lineRule="auto"/>
              <w:jc w:val="center"/>
              <w:rPr>
                <w:rFonts w:hint="default" w:ascii="仿宋" w:hAnsi="仿宋" w:eastAsia="仿宋" w:cs="仿宋_GB2312"/>
                <w:sz w:val="24"/>
                <w:lang w:val="en-US" w:eastAsia="zh-CN"/>
              </w:rPr>
            </w:pPr>
            <w:r>
              <w:rPr>
                <w:rFonts w:hint="eastAsia" w:ascii="仿宋" w:hAnsi="仿宋" w:eastAsia="仿宋" w:cs="仿宋_GB2312"/>
                <w:sz w:val="24"/>
                <w:lang w:val="en-US" w:eastAsia="zh-CN"/>
              </w:rPr>
              <w:t>10</w:t>
            </w:r>
          </w:p>
        </w:tc>
        <w:tc>
          <w:tcPr>
            <w:tcW w:w="5410" w:type="dxa"/>
            <w:tcBorders>
              <w:tl2br w:val="nil"/>
              <w:tr2bl w:val="nil"/>
            </w:tcBorders>
            <w:shd w:val="clear" w:color="auto" w:fill="auto"/>
            <w:vAlign w:val="top"/>
          </w:tcPr>
          <w:p>
            <w:pPr>
              <w:spacing w:line="440" w:lineRule="exact"/>
              <w:rPr>
                <w:rFonts w:ascii="仿宋" w:hAnsi="仿宋" w:eastAsia="仿宋" w:cs="仿宋"/>
                <w:color w:val="auto"/>
                <w:sz w:val="24"/>
                <w:lang w:val="zh-TW"/>
              </w:rPr>
            </w:pPr>
            <w:r>
              <w:rPr>
                <w:rFonts w:hint="eastAsia" w:ascii="仿宋" w:hAnsi="仿宋" w:eastAsia="仿宋" w:cs="仿宋"/>
                <w:color w:val="auto"/>
                <w:sz w:val="24"/>
                <w:lang w:val="zh-TW"/>
              </w:rPr>
              <w:t>根据供应商针对本项目特点提供的切实可行的开赛仪式及颁奖仪式方案进行评审。</w:t>
            </w:r>
          </w:p>
          <w:p>
            <w:pPr>
              <w:spacing w:line="440" w:lineRule="exact"/>
              <w:rPr>
                <w:rFonts w:hint="eastAsia" w:ascii="仿宋" w:hAnsi="仿宋" w:eastAsia="仿宋" w:cs="仿宋"/>
                <w:sz w:val="24"/>
              </w:rPr>
            </w:pPr>
            <w:r>
              <w:rPr>
                <w:rFonts w:hint="eastAsia" w:ascii="仿宋" w:hAnsi="仿宋" w:eastAsia="仿宋" w:cs="仿宋"/>
                <w:color w:val="auto"/>
                <w:sz w:val="24"/>
                <w:lang w:val="zh-TW"/>
              </w:rPr>
              <w:t>组织方案详细、保障措施完善可行、计划安排周密得</w:t>
            </w:r>
            <w:r>
              <w:rPr>
                <w:rFonts w:hint="eastAsia" w:ascii="仿宋" w:hAnsi="仿宋" w:eastAsia="仿宋" w:cs="仿宋"/>
                <w:color w:val="auto"/>
                <w:sz w:val="24"/>
              </w:rPr>
              <w:t>3</w:t>
            </w:r>
            <w:r>
              <w:rPr>
                <w:rFonts w:hint="eastAsia" w:ascii="仿宋" w:hAnsi="仿宋" w:eastAsia="仿宋" w:cs="仿宋"/>
                <w:color w:val="auto"/>
                <w:sz w:val="24"/>
                <w:lang w:val="zh-TW"/>
              </w:rPr>
              <w:t>分；组织方案详细、保障措施完善可行、计划安排得当得2</w:t>
            </w:r>
            <w:r>
              <w:rPr>
                <w:rFonts w:hint="eastAsia" w:ascii="仿宋" w:hAnsi="仿宋" w:eastAsia="仿宋" w:cs="仿宋"/>
                <w:color w:val="auto"/>
                <w:sz w:val="24"/>
                <w:lang w:val="en-US" w:eastAsia="zh-CN"/>
              </w:rPr>
              <w:t>-2.9</w:t>
            </w:r>
            <w:r>
              <w:rPr>
                <w:rFonts w:hint="eastAsia" w:ascii="仿宋" w:hAnsi="仿宋" w:eastAsia="仿宋" w:cs="仿宋"/>
                <w:color w:val="auto"/>
                <w:sz w:val="24"/>
                <w:lang w:val="zh-TW"/>
              </w:rPr>
              <w:t>分；组织方案一般，保障措施可行性较差、计划安排欠妥得1</w:t>
            </w:r>
            <w:r>
              <w:rPr>
                <w:rFonts w:hint="eastAsia" w:ascii="仿宋" w:hAnsi="仿宋" w:eastAsia="仿宋" w:cs="仿宋"/>
                <w:color w:val="auto"/>
                <w:sz w:val="24"/>
                <w:lang w:val="en-US" w:eastAsia="zh-CN"/>
              </w:rPr>
              <w:t>-1.9</w:t>
            </w:r>
            <w:r>
              <w:rPr>
                <w:rFonts w:hint="eastAsia" w:ascii="仿宋" w:hAnsi="仿宋" w:eastAsia="仿宋" w:cs="仿宋"/>
                <w:color w:val="auto"/>
                <w:sz w:val="24"/>
                <w:lang w:val="zh-TW"/>
              </w:rPr>
              <w:t>分；未提及不得分。</w:t>
            </w:r>
          </w:p>
        </w:tc>
        <w:tc>
          <w:tcPr>
            <w:tcW w:w="1509" w:type="dxa"/>
            <w:tcBorders>
              <w:tl2br w:val="nil"/>
              <w:tr2bl w:val="nil"/>
            </w:tcBorders>
            <w:shd w:val="clear" w:color="auto" w:fill="auto"/>
            <w:vAlign w:val="center"/>
          </w:tcPr>
          <w:p>
            <w:pPr>
              <w:spacing w:line="440" w:lineRule="exact"/>
              <w:jc w:val="center"/>
              <w:rPr>
                <w:rFonts w:hint="eastAsia" w:ascii="仿宋" w:hAnsi="仿宋" w:eastAsia="仿宋" w:cs="仿宋"/>
                <w:b/>
                <w:bCs/>
                <w:sz w:val="24"/>
                <w:lang w:eastAsia="zh-CN"/>
              </w:rPr>
            </w:pPr>
            <w:r>
              <w:rPr>
                <w:rFonts w:hint="eastAsia" w:ascii="仿宋" w:hAnsi="仿宋" w:eastAsia="仿宋" w:cs="仿宋"/>
                <w:color w:val="auto"/>
                <w:sz w:val="24"/>
              </w:rPr>
              <w:t>0-</w:t>
            </w:r>
            <w:r>
              <w:rPr>
                <w:rFonts w:hint="eastAsia" w:ascii="仿宋" w:hAnsi="仿宋" w:eastAsia="仿宋" w:cs="仿宋"/>
                <w:color w:val="auto"/>
                <w:sz w:val="24"/>
                <w:lang w:val="en-US" w:eastAsia="zh-CN"/>
              </w:rPr>
              <w:t>3</w:t>
            </w:r>
          </w:p>
        </w:tc>
        <w:tc>
          <w:tcPr>
            <w:tcW w:w="1053" w:type="dxa"/>
            <w:tcBorders>
              <w:tl2br w:val="nil"/>
              <w:tr2bl w:val="nil"/>
            </w:tcBorders>
            <w:shd w:val="clear" w:color="auto" w:fill="auto"/>
            <w:vAlign w:val="center"/>
          </w:tcPr>
          <w:p>
            <w:pPr>
              <w:spacing w:line="440" w:lineRule="exact"/>
              <w:rPr>
                <w:rFonts w:ascii="仿宋" w:hAnsi="仿宋" w:eastAsia="仿宋" w:cs="仿宋_GB2312"/>
                <w:sz w:val="24"/>
              </w:rPr>
            </w:pPr>
            <w:r>
              <w:rPr>
                <w:rFonts w:hint="eastAsia" w:ascii="仿宋" w:hAnsi="仿宋" w:eastAsia="仿宋" w:cs="仿宋"/>
                <w:color w:val="auto"/>
                <w:sz w:val="24"/>
              </w:rPr>
              <w:t>主观分</w:t>
            </w:r>
          </w:p>
        </w:tc>
      </w:tr>
      <w:tr>
        <w:trPr>
          <w:trHeight w:val="882" w:hRule="atLeast"/>
          <w:jc w:val="center"/>
        </w:trPr>
        <w:tc>
          <w:tcPr>
            <w:tcW w:w="915" w:type="dxa"/>
            <w:vMerge w:val="continue"/>
            <w:tcBorders>
              <w:tl2br w:val="nil"/>
              <w:tr2bl w:val="nil"/>
            </w:tcBorders>
            <w:shd w:val="clear" w:color="auto" w:fill="auto"/>
            <w:vAlign w:val="center"/>
          </w:tcPr>
          <w:p>
            <w:pPr>
              <w:widowControl/>
              <w:spacing w:line="360" w:lineRule="auto"/>
              <w:jc w:val="center"/>
              <w:rPr>
                <w:rFonts w:ascii="仿宋" w:hAnsi="仿宋" w:eastAsia="仿宋" w:cs="仿宋_GB2312"/>
                <w:sz w:val="24"/>
              </w:rPr>
            </w:pPr>
          </w:p>
        </w:tc>
        <w:tc>
          <w:tcPr>
            <w:tcW w:w="692" w:type="dxa"/>
            <w:tcBorders>
              <w:tl2br w:val="nil"/>
              <w:tr2bl w:val="nil"/>
            </w:tcBorders>
            <w:shd w:val="clear" w:color="auto" w:fill="auto"/>
            <w:vAlign w:val="center"/>
          </w:tcPr>
          <w:p>
            <w:pPr>
              <w:widowControl/>
              <w:spacing w:line="360" w:lineRule="auto"/>
              <w:jc w:val="center"/>
              <w:rPr>
                <w:rFonts w:hint="default" w:ascii="仿宋" w:hAnsi="仿宋" w:eastAsia="仿宋" w:cs="仿宋_GB2312"/>
                <w:sz w:val="24"/>
                <w:lang w:val="en-US" w:eastAsia="zh-CN"/>
              </w:rPr>
            </w:pPr>
            <w:r>
              <w:rPr>
                <w:rFonts w:hint="eastAsia" w:ascii="仿宋" w:hAnsi="仿宋" w:eastAsia="仿宋" w:cs="仿宋_GB2312"/>
                <w:sz w:val="24"/>
                <w:lang w:val="en-US" w:eastAsia="zh-CN"/>
              </w:rPr>
              <w:t>11</w:t>
            </w:r>
          </w:p>
        </w:tc>
        <w:tc>
          <w:tcPr>
            <w:tcW w:w="5410" w:type="dxa"/>
            <w:tcBorders>
              <w:tl2br w:val="nil"/>
              <w:tr2bl w:val="nil"/>
            </w:tcBorders>
            <w:shd w:val="clear" w:color="auto" w:fill="auto"/>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投标文件能够响应按竞赛要求，积极配合相关部门做好比赛安全保障并有具体计划的：</w:t>
            </w:r>
          </w:p>
          <w:p>
            <w:pPr>
              <w:spacing w:line="440" w:lineRule="exact"/>
              <w:rPr>
                <w:rFonts w:hint="eastAsia" w:ascii="仿宋" w:hAnsi="仿宋" w:eastAsia="仿宋" w:cs="仿宋"/>
              </w:rPr>
            </w:pPr>
            <w:r>
              <w:rPr>
                <w:rFonts w:hint="eastAsia" w:ascii="仿宋" w:hAnsi="仿宋" w:eastAsia="仿宋" w:cs="仿宋"/>
                <w:color w:val="auto"/>
                <w:sz w:val="24"/>
              </w:rPr>
              <w:t>方案详细、保障措施完善可行、计划安排周密得</w:t>
            </w:r>
            <w:r>
              <w:rPr>
                <w:rFonts w:hint="eastAsia" w:ascii="仿宋" w:hAnsi="仿宋" w:eastAsia="仿宋" w:cs="仿宋"/>
                <w:color w:val="auto"/>
                <w:sz w:val="24"/>
                <w:lang w:val="en-US" w:eastAsia="zh-CN"/>
              </w:rPr>
              <w:t>5</w:t>
            </w:r>
            <w:r>
              <w:rPr>
                <w:rFonts w:hint="eastAsia" w:ascii="仿宋" w:hAnsi="仿宋" w:eastAsia="仿宋" w:cs="仿宋"/>
                <w:color w:val="auto"/>
                <w:sz w:val="24"/>
              </w:rPr>
              <w:t>-</w:t>
            </w:r>
            <w:r>
              <w:rPr>
                <w:rFonts w:hint="eastAsia" w:ascii="仿宋" w:hAnsi="仿宋" w:eastAsia="仿宋" w:cs="仿宋"/>
                <w:color w:val="auto"/>
                <w:sz w:val="24"/>
                <w:lang w:val="en-US" w:eastAsia="zh-CN"/>
              </w:rPr>
              <w:t>6</w:t>
            </w:r>
            <w:r>
              <w:rPr>
                <w:rFonts w:hint="eastAsia" w:ascii="仿宋" w:hAnsi="仿宋" w:eastAsia="仿宋" w:cs="仿宋"/>
                <w:color w:val="auto"/>
                <w:sz w:val="24"/>
              </w:rPr>
              <w:t>分；方案详细、保障措施完善可行、计划安排得当得</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val="en-US" w:eastAsia="zh-CN"/>
              </w:rPr>
              <w:t>4.9</w:t>
            </w:r>
            <w:r>
              <w:rPr>
                <w:rFonts w:hint="eastAsia" w:ascii="仿宋" w:hAnsi="仿宋" w:eastAsia="仿宋" w:cs="仿宋"/>
                <w:color w:val="auto"/>
                <w:sz w:val="24"/>
              </w:rPr>
              <w:t>分；方案一般，保障措施可行性较差、计划安排欠妥得1-</w:t>
            </w:r>
            <w:r>
              <w:rPr>
                <w:rFonts w:hint="eastAsia" w:ascii="仿宋" w:hAnsi="仿宋" w:eastAsia="仿宋" w:cs="仿宋"/>
                <w:color w:val="auto"/>
                <w:sz w:val="24"/>
                <w:lang w:val="en-US" w:eastAsia="zh-CN"/>
              </w:rPr>
              <w:t>2.9</w:t>
            </w:r>
            <w:r>
              <w:rPr>
                <w:rFonts w:hint="eastAsia" w:ascii="仿宋" w:hAnsi="仿宋" w:eastAsia="仿宋" w:cs="仿宋"/>
                <w:color w:val="auto"/>
                <w:sz w:val="24"/>
              </w:rPr>
              <w:t>分；未提及不得分。</w:t>
            </w:r>
          </w:p>
        </w:tc>
        <w:tc>
          <w:tcPr>
            <w:tcW w:w="1509" w:type="dxa"/>
            <w:tcBorders>
              <w:tl2br w:val="nil"/>
              <w:tr2bl w:val="nil"/>
            </w:tcBorders>
            <w:shd w:val="clear" w:color="auto" w:fill="auto"/>
            <w:vAlign w:val="center"/>
          </w:tcPr>
          <w:p>
            <w:pPr>
              <w:spacing w:line="440" w:lineRule="exact"/>
              <w:jc w:val="center"/>
              <w:rPr>
                <w:rFonts w:hint="eastAsia" w:ascii="仿宋" w:hAnsi="仿宋" w:eastAsia="仿宋" w:cs="仿宋"/>
                <w:sz w:val="24"/>
              </w:rPr>
            </w:pPr>
            <w:r>
              <w:rPr>
                <w:rFonts w:hint="eastAsia" w:ascii="仿宋" w:hAnsi="仿宋" w:eastAsia="仿宋" w:cs="仿宋"/>
                <w:color w:val="auto"/>
                <w:sz w:val="24"/>
              </w:rPr>
              <w:t>0-</w:t>
            </w:r>
            <w:r>
              <w:rPr>
                <w:rFonts w:hint="eastAsia" w:ascii="仿宋" w:hAnsi="仿宋" w:eastAsia="仿宋" w:cs="仿宋"/>
                <w:color w:val="auto"/>
                <w:sz w:val="24"/>
                <w:lang w:val="en-US" w:eastAsia="zh-CN"/>
              </w:rPr>
              <w:t>6</w:t>
            </w:r>
          </w:p>
        </w:tc>
        <w:tc>
          <w:tcPr>
            <w:tcW w:w="1053" w:type="dxa"/>
            <w:tcBorders>
              <w:tl2br w:val="nil"/>
              <w:tr2bl w:val="nil"/>
            </w:tcBorders>
            <w:shd w:val="clear" w:color="auto" w:fill="auto"/>
            <w:vAlign w:val="center"/>
          </w:tcPr>
          <w:p>
            <w:pPr>
              <w:autoSpaceDE w:val="0"/>
              <w:autoSpaceDN w:val="0"/>
              <w:spacing w:line="440" w:lineRule="exact"/>
              <w:jc w:val="center"/>
              <w:rPr>
                <w:rFonts w:ascii="仿宋" w:hAnsi="仿宋" w:eastAsia="仿宋" w:cs="仿宋_GB2312"/>
                <w:sz w:val="24"/>
              </w:rPr>
            </w:pPr>
            <w:r>
              <w:rPr>
                <w:rFonts w:hint="eastAsia" w:ascii="仿宋" w:hAnsi="仿宋" w:eastAsia="仿宋" w:cs="仿宋"/>
                <w:bCs/>
                <w:color w:val="auto"/>
                <w:sz w:val="24"/>
              </w:rPr>
              <w:t>主观分</w:t>
            </w:r>
          </w:p>
        </w:tc>
      </w:tr>
      <w:tr>
        <w:trPr>
          <w:trHeight w:val="1428" w:hRule="atLeast"/>
          <w:jc w:val="center"/>
        </w:trPr>
        <w:tc>
          <w:tcPr>
            <w:tcW w:w="915" w:type="dxa"/>
            <w:vMerge w:val="continue"/>
            <w:tcBorders>
              <w:tl2br w:val="nil"/>
              <w:tr2bl w:val="nil"/>
            </w:tcBorders>
            <w:shd w:val="clear" w:color="auto" w:fill="auto"/>
            <w:vAlign w:val="center"/>
          </w:tcPr>
          <w:p>
            <w:pPr>
              <w:widowControl/>
              <w:spacing w:line="360" w:lineRule="auto"/>
              <w:jc w:val="center"/>
              <w:rPr>
                <w:rFonts w:ascii="仿宋" w:hAnsi="仿宋" w:eastAsia="仿宋" w:cs="仿宋_GB2312"/>
                <w:sz w:val="24"/>
              </w:rPr>
            </w:pPr>
          </w:p>
        </w:tc>
        <w:tc>
          <w:tcPr>
            <w:tcW w:w="692" w:type="dxa"/>
            <w:tcBorders>
              <w:tl2br w:val="nil"/>
              <w:tr2bl w:val="nil"/>
            </w:tcBorders>
            <w:shd w:val="clear" w:color="auto" w:fill="auto"/>
            <w:vAlign w:val="center"/>
          </w:tcPr>
          <w:p>
            <w:pPr>
              <w:widowControl/>
              <w:spacing w:line="360" w:lineRule="auto"/>
              <w:jc w:val="center"/>
              <w:rPr>
                <w:rFonts w:hint="default" w:ascii="仿宋" w:hAnsi="仿宋" w:eastAsia="仿宋" w:cs="仿宋_GB2312"/>
                <w:sz w:val="24"/>
                <w:lang w:val="en-US" w:eastAsia="zh-CN"/>
              </w:rPr>
            </w:pPr>
            <w:r>
              <w:rPr>
                <w:rFonts w:hint="eastAsia" w:ascii="仿宋" w:hAnsi="仿宋" w:eastAsia="仿宋" w:cs="仿宋_GB2312"/>
                <w:sz w:val="24"/>
                <w:lang w:val="en-US" w:eastAsia="zh-CN"/>
              </w:rPr>
              <w:t>12</w:t>
            </w:r>
          </w:p>
        </w:tc>
        <w:tc>
          <w:tcPr>
            <w:tcW w:w="5410" w:type="dxa"/>
            <w:tcBorders>
              <w:tl2br w:val="nil"/>
              <w:tr2bl w:val="nil"/>
            </w:tcBorders>
            <w:shd w:val="clear" w:color="auto" w:fill="auto"/>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投标文件能够响应按竞赛要求，做好比赛医疗保障并有具体计划的：</w:t>
            </w:r>
          </w:p>
          <w:p>
            <w:pPr>
              <w:spacing w:line="440" w:lineRule="exact"/>
              <w:rPr>
                <w:rFonts w:hint="eastAsia" w:ascii="仿宋" w:hAnsi="仿宋" w:eastAsia="仿宋" w:cs="仿宋"/>
                <w:b/>
                <w:bCs/>
                <w:sz w:val="24"/>
              </w:rPr>
            </w:pPr>
            <w:r>
              <w:rPr>
                <w:rFonts w:hint="eastAsia" w:ascii="仿宋" w:hAnsi="仿宋" w:eastAsia="仿宋" w:cs="仿宋"/>
                <w:color w:val="auto"/>
                <w:sz w:val="24"/>
              </w:rPr>
              <w:t>组织方案详细、保障措施完善可行、计划安排周密得5-6分；组织方案详细、保障措施完善可行、计划安排得当得3-4</w:t>
            </w:r>
            <w:r>
              <w:rPr>
                <w:rFonts w:hint="eastAsia" w:ascii="仿宋" w:hAnsi="仿宋" w:eastAsia="仿宋" w:cs="仿宋"/>
                <w:color w:val="auto"/>
                <w:sz w:val="24"/>
                <w:lang w:val="en-US" w:eastAsia="zh-CN"/>
              </w:rPr>
              <w:t>.9</w:t>
            </w:r>
            <w:r>
              <w:rPr>
                <w:rFonts w:hint="eastAsia" w:ascii="仿宋" w:hAnsi="仿宋" w:eastAsia="仿宋" w:cs="仿宋"/>
                <w:color w:val="auto"/>
                <w:sz w:val="24"/>
              </w:rPr>
              <w:t>分；组织方案一般、保障措施可行性较差、计划安排欠妥得1-2</w:t>
            </w:r>
            <w:r>
              <w:rPr>
                <w:rFonts w:hint="eastAsia" w:ascii="仿宋" w:hAnsi="仿宋" w:eastAsia="仿宋" w:cs="仿宋"/>
                <w:color w:val="auto"/>
                <w:sz w:val="24"/>
                <w:lang w:val="en-US" w:eastAsia="zh-CN"/>
              </w:rPr>
              <w:t>.9</w:t>
            </w:r>
            <w:r>
              <w:rPr>
                <w:rFonts w:hint="eastAsia" w:ascii="仿宋" w:hAnsi="仿宋" w:eastAsia="仿宋" w:cs="仿宋"/>
                <w:color w:val="auto"/>
                <w:sz w:val="24"/>
              </w:rPr>
              <w:t>分；未提及不得分。</w:t>
            </w:r>
          </w:p>
        </w:tc>
        <w:tc>
          <w:tcPr>
            <w:tcW w:w="1509" w:type="dxa"/>
            <w:tcBorders>
              <w:tl2br w:val="nil"/>
              <w:tr2bl w:val="nil"/>
            </w:tcBorders>
            <w:shd w:val="clear" w:color="auto" w:fill="auto"/>
            <w:vAlign w:val="center"/>
          </w:tcPr>
          <w:p>
            <w:pPr>
              <w:spacing w:line="440" w:lineRule="exact"/>
              <w:jc w:val="center"/>
              <w:rPr>
                <w:rFonts w:hint="eastAsia" w:ascii="仿宋" w:hAnsi="仿宋" w:eastAsia="仿宋" w:cs="仿宋"/>
                <w:b w:val="0"/>
                <w:bCs w:val="0"/>
                <w:sz w:val="24"/>
              </w:rPr>
            </w:pPr>
            <w:r>
              <w:rPr>
                <w:rFonts w:hint="eastAsia" w:ascii="仿宋" w:hAnsi="仿宋" w:eastAsia="仿宋" w:cs="仿宋"/>
                <w:color w:val="auto"/>
                <w:sz w:val="24"/>
              </w:rPr>
              <w:t>0-6</w:t>
            </w:r>
          </w:p>
        </w:tc>
        <w:tc>
          <w:tcPr>
            <w:tcW w:w="1053" w:type="dxa"/>
            <w:tcBorders>
              <w:tl2br w:val="nil"/>
              <w:tr2bl w:val="nil"/>
            </w:tcBorders>
            <w:shd w:val="clear" w:color="auto" w:fill="auto"/>
            <w:vAlign w:val="center"/>
          </w:tcPr>
          <w:p>
            <w:pPr>
              <w:autoSpaceDE w:val="0"/>
              <w:autoSpaceDN w:val="0"/>
              <w:spacing w:line="440" w:lineRule="exact"/>
              <w:jc w:val="center"/>
              <w:rPr>
                <w:rFonts w:ascii="仿宋" w:hAnsi="仿宋" w:eastAsia="仿宋" w:cs="仿宋_GB2312"/>
                <w:b w:val="0"/>
                <w:bCs w:val="0"/>
                <w:sz w:val="24"/>
              </w:rPr>
            </w:pPr>
            <w:r>
              <w:rPr>
                <w:rFonts w:hint="eastAsia" w:ascii="仿宋" w:hAnsi="仿宋" w:eastAsia="仿宋" w:cs="仿宋"/>
                <w:color w:val="auto"/>
                <w:sz w:val="24"/>
              </w:rPr>
              <w:t>主观分</w:t>
            </w:r>
          </w:p>
        </w:tc>
      </w:tr>
      <w:tr>
        <w:trPr>
          <w:trHeight w:val="838" w:hRule="atLeast"/>
          <w:jc w:val="center"/>
        </w:trPr>
        <w:tc>
          <w:tcPr>
            <w:tcW w:w="915" w:type="dxa"/>
            <w:vMerge w:val="continue"/>
            <w:tcBorders>
              <w:tl2br w:val="nil"/>
              <w:tr2bl w:val="nil"/>
            </w:tcBorders>
            <w:shd w:val="clear" w:color="auto" w:fill="auto"/>
            <w:vAlign w:val="center"/>
          </w:tcPr>
          <w:p>
            <w:pPr>
              <w:widowControl/>
              <w:spacing w:line="360" w:lineRule="auto"/>
              <w:jc w:val="center"/>
              <w:rPr>
                <w:rFonts w:ascii="仿宋" w:hAnsi="仿宋" w:eastAsia="仿宋" w:cs="仿宋_GB2312"/>
                <w:sz w:val="24"/>
              </w:rPr>
            </w:pPr>
          </w:p>
        </w:tc>
        <w:tc>
          <w:tcPr>
            <w:tcW w:w="692" w:type="dxa"/>
            <w:tcBorders>
              <w:tl2br w:val="nil"/>
              <w:tr2bl w:val="nil"/>
            </w:tcBorders>
            <w:shd w:val="clear" w:color="auto" w:fill="auto"/>
            <w:vAlign w:val="center"/>
          </w:tcPr>
          <w:p>
            <w:pPr>
              <w:widowControl/>
              <w:spacing w:line="360" w:lineRule="auto"/>
              <w:jc w:val="center"/>
              <w:rPr>
                <w:rFonts w:hint="default" w:ascii="仿宋" w:hAnsi="仿宋" w:eastAsia="仿宋" w:cs="仿宋_GB2312"/>
                <w:sz w:val="24"/>
                <w:lang w:val="en-US" w:eastAsia="zh-CN"/>
              </w:rPr>
            </w:pPr>
            <w:r>
              <w:rPr>
                <w:rFonts w:hint="eastAsia" w:ascii="仿宋" w:hAnsi="仿宋" w:eastAsia="仿宋" w:cs="仿宋_GB2312"/>
                <w:sz w:val="24"/>
                <w:lang w:val="en-US" w:eastAsia="zh-CN"/>
              </w:rPr>
              <w:t>13</w:t>
            </w:r>
          </w:p>
        </w:tc>
        <w:tc>
          <w:tcPr>
            <w:tcW w:w="5410" w:type="dxa"/>
            <w:tcBorders>
              <w:tl2br w:val="nil"/>
              <w:tr2bl w:val="nil"/>
            </w:tcBorders>
            <w:shd w:val="clear" w:color="auto" w:fill="auto"/>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投标文件能够响应按竞赛要求，结合气象、医疗、交通、人员疏导等风险管控措施，提供可靠和周密的应急预案。</w:t>
            </w:r>
          </w:p>
          <w:p>
            <w:pPr>
              <w:spacing w:line="440" w:lineRule="exact"/>
              <w:rPr>
                <w:rFonts w:hint="eastAsia" w:ascii="仿宋" w:hAnsi="仿宋" w:eastAsia="仿宋" w:cs="仿宋"/>
                <w:sz w:val="24"/>
              </w:rPr>
            </w:pPr>
            <w:r>
              <w:rPr>
                <w:rFonts w:hint="eastAsia" w:ascii="仿宋" w:hAnsi="仿宋" w:eastAsia="仿宋" w:cs="仿宋"/>
                <w:color w:val="auto"/>
                <w:sz w:val="24"/>
              </w:rPr>
              <w:t>贯彻国家体育总局和中国田径协会要求，全面、周密、具体、切实可行，满足赛事需求的得5-6分；方案比较全面，基本符合赛事需求的得3-4</w:t>
            </w:r>
            <w:r>
              <w:rPr>
                <w:rFonts w:hint="eastAsia" w:ascii="仿宋" w:hAnsi="仿宋" w:eastAsia="仿宋" w:cs="仿宋"/>
                <w:color w:val="auto"/>
                <w:sz w:val="24"/>
                <w:lang w:val="en-US" w:eastAsia="zh-CN"/>
              </w:rPr>
              <w:t>.9</w:t>
            </w:r>
            <w:r>
              <w:rPr>
                <w:rFonts w:hint="eastAsia" w:ascii="仿宋" w:hAnsi="仿宋" w:eastAsia="仿宋" w:cs="仿宋"/>
                <w:color w:val="auto"/>
                <w:sz w:val="24"/>
              </w:rPr>
              <w:t>分；方案一般，无重点，不够周密的得1-2</w:t>
            </w:r>
            <w:r>
              <w:rPr>
                <w:rFonts w:hint="eastAsia" w:ascii="仿宋" w:hAnsi="仿宋" w:eastAsia="仿宋" w:cs="仿宋"/>
                <w:color w:val="auto"/>
                <w:sz w:val="24"/>
                <w:lang w:val="en-US" w:eastAsia="zh-CN"/>
              </w:rPr>
              <w:t>.9</w:t>
            </w:r>
            <w:r>
              <w:rPr>
                <w:rFonts w:hint="eastAsia" w:ascii="仿宋" w:hAnsi="仿宋" w:eastAsia="仿宋" w:cs="仿宋"/>
                <w:color w:val="auto"/>
                <w:sz w:val="24"/>
              </w:rPr>
              <w:t>分；未提及不得分。</w:t>
            </w:r>
          </w:p>
        </w:tc>
        <w:tc>
          <w:tcPr>
            <w:tcW w:w="1509" w:type="dxa"/>
            <w:tcBorders>
              <w:tl2br w:val="nil"/>
              <w:tr2bl w:val="nil"/>
            </w:tcBorders>
            <w:shd w:val="clear" w:color="auto" w:fill="auto"/>
            <w:vAlign w:val="center"/>
          </w:tcPr>
          <w:p>
            <w:pPr>
              <w:spacing w:line="440" w:lineRule="exact"/>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sz w:val="24"/>
              </w:rPr>
              <w:t>0-6</w:t>
            </w:r>
          </w:p>
        </w:tc>
        <w:tc>
          <w:tcPr>
            <w:tcW w:w="1053" w:type="dxa"/>
            <w:tcBorders>
              <w:tl2br w:val="nil"/>
              <w:tr2bl w:val="nil"/>
            </w:tcBorders>
            <w:shd w:val="clear" w:color="auto" w:fill="auto"/>
            <w:vAlign w:val="center"/>
          </w:tcPr>
          <w:p>
            <w:pPr>
              <w:spacing w:line="440" w:lineRule="exact"/>
              <w:jc w:val="center"/>
              <w:rPr>
                <w:rFonts w:ascii="仿宋" w:hAnsi="仿宋" w:eastAsia="仿宋" w:cs="仿宋_GB2312"/>
                <w:b w:val="0"/>
                <w:bCs w:val="0"/>
                <w:color w:val="auto"/>
                <w:sz w:val="24"/>
                <w:highlight w:val="none"/>
              </w:rPr>
            </w:pPr>
            <w:r>
              <w:rPr>
                <w:rFonts w:hint="eastAsia" w:ascii="仿宋" w:hAnsi="仿宋" w:eastAsia="仿宋" w:cs="仿宋"/>
                <w:color w:val="auto"/>
                <w:sz w:val="24"/>
              </w:rPr>
              <w:t>主观分</w:t>
            </w:r>
          </w:p>
        </w:tc>
      </w:tr>
      <w:tr>
        <w:trPr>
          <w:trHeight w:val="315" w:hRule="atLeast"/>
          <w:jc w:val="center"/>
        </w:trPr>
        <w:tc>
          <w:tcPr>
            <w:tcW w:w="915" w:type="dxa"/>
            <w:vMerge w:val="continue"/>
            <w:tcBorders>
              <w:tl2br w:val="nil"/>
              <w:tr2bl w:val="nil"/>
            </w:tcBorders>
            <w:shd w:val="clear" w:color="auto" w:fill="auto"/>
            <w:vAlign w:val="center"/>
          </w:tcPr>
          <w:p>
            <w:pPr>
              <w:widowControl/>
              <w:spacing w:line="360" w:lineRule="auto"/>
              <w:jc w:val="center"/>
              <w:rPr>
                <w:rFonts w:ascii="仿宋" w:hAnsi="仿宋" w:eastAsia="仿宋" w:cs="仿宋_GB2312"/>
                <w:sz w:val="24"/>
              </w:rPr>
            </w:pPr>
          </w:p>
        </w:tc>
        <w:tc>
          <w:tcPr>
            <w:tcW w:w="692" w:type="dxa"/>
            <w:tcBorders>
              <w:tl2br w:val="nil"/>
              <w:tr2bl w:val="nil"/>
            </w:tcBorders>
            <w:shd w:val="clear" w:color="auto" w:fill="auto"/>
            <w:vAlign w:val="center"/>
          </w:tcPr>
          <w:p>
            <w:pPr>
              <w:widowControl/>
              <w:spacing w:line="360" w:lineRule="auto"/>
              <w:jc w:val="center"/>
              <w:rPr>
                <w:rFonts w:hint="default" w:ascii="仿宋" w:hAnsi="仿宋" w:eastAsia="仿宋" w:cs="仿宋_GB2312"/>
                <w:sz w:val="24"/>
                <w:lang w:val="en-US" w:eastAsia="zh-CN"/>
              </w:rPr>
            </w:pPr>
            <w:r>
              <w:rPr>
                <w:rFonts w:hint="eastAsia" w:ascii="仿宋" w:hAnsi="仿宋" w:eastAsia="仿宋" w:cs="仿宋_GB2312"/>
                <w:sz w:val="24"/>
                <w:lang w:val="en-US" w:eastAsia="zh-CN"/>
              </w:rPr>
              <w:t>14</w:t>
            </w:r>
          </w:p>
        </w:tc>
        <w:tc>
          <w:tcPr>
            <w:tcW w:w="5410" w:type="dxa"/>
            <w:tcBorders>
              <w:tl2br w:val="nil"/>
              <w:tr2bl w:val="nil"/>
            </w:tcBorders>
            <w:shd w:val="clear" w:color="auto" w:fill="auto"/>
            <w:vAlign w:val="center"/>
          </w:tcPr>
          <w:p>
            <w:pPr>
              <w:spacing w:line="360" w:lineRule="auto"/>
              <w:rPr>
                <w:rFonts w:hint="eastAsia" w:ascii="仿宋" w:hAnsi="仿宋" w:eastAsia="仿宋" w:cs="仿宋"/>
                <w:color w:val="auto"/>
                <w:kern w:val="0"/>
                <w:sz w:val="24"/>
                <w:lang w:bidi="ar"/>
              </w:rPr>
            </w:pPr>
            <w:r>
              <w:rPr>
                <w:rFonts w:hint="eastAsia" w:ascii="仿宋" w:hAnsi="仿宋" w:eastAsia="仿宋" w:cs="仿宋"/>
                <w:sz w:val="24"/>
                <w:szCs w:val="24"/>
              </w:rPr>
              <w:t>对处理突发应急事件现场问题的时效性</w:t>
            </w:r>
            <w:r>
              <w:rPr>
                <w:rFonts w:hint="eastAsia" w:ascii="仿宋" w:hAnsi="仿宋" w:eastAsia="仿宋" w:cs="仿宋"/>
                <w:sz w:val="24"/>
                <w:szCs w:val="24"/>
                <w:lang w:val="en-US" w:eastAsia="zh-CN"/>
              </w:rPr>
              <w:t>制度</w:t>
            </w:r>
            <w:r>
              <w:rPr>
                <w:rFonts w:hint="eastAsia" w:ascii="仿宋" w:hAnsi="仿宋" w:eastAsia="仿宋" w:cs="仿宋"/>
                <w:sz w:val="24"/>
                <w:szCs w:val="24"/>
              </w:rPr>
              <w:t>。（方案</w:t>
            </w:r>
            <w:r>
              <w:rPr>
                <w:rFonts w:hint="eastAsia" w:ascii="仿宋" w:hAnsi="仿宋" w:eastAsia="仿宋" w:cs="仿宋"/>
                <w:sz w:val="24"/>
                <w:szCs w:val="24"/>
                <w:lang w:bidi="en-US"/>
              </w:rPr>
              <w:t>管理制度</w:t>
            </w:r>
            <w:r>
              <w:rPr>
                <w:rFonts w:hint="eastAsia" w:ascii="仿宋" w:hAnsi="仿宋" w:eastAsia="仿宋" w:cs="仿宋"/>
                <w:sz w:val="24"/>
                <w:szCs w:val="24"/>
              </w:rPr>
              <w:t>整体</w:t>
            </w:r>
            <w:r>
              <w:rPr>
                <w:rFonts w:hint="eastAsia" w:ascii="仿宋" w:hAnsi="仿宋" w:eastAsia="仿宋" w:cs="仿宋"/>
                <w:spacing w:val="-6"/>
                <w:sz w:val="24"/>
                <w:szCs w:val="24"/>
              </w:rPr>
              <w:t>详细、合理、全面的得5分；</w:t>
            </w:r>
            <w:r>
              <w:rPr>
                <w:rFonts w:hint="eastAsia" w:ascii="仿宋" w:hAnsi="仿宋" w:eastAsia="仿宋" w:cs="仿宋"/>
                <w:sz w:val="24"/>
                <w:szCs w:val="24"/>
              </w:rPr>
              <w:t>方案</w:t>
            </w:r>
            <w:r>
              <w:rPr>
                <w:rFonts w:hint="eastAsia" w:ascii="仿宋" w:hAnsi="仿宋" w:eastAsia="仿宋" w:cs="仿宋"/>
                <w:sz w:val="24"/>
                <w:szCs w:val="24"/>
                <w:lang w:bidi="en-US"/>
              </w:rPr>
              <w:t>管理制度</w:t>
            </w:r>
            <w:r>
              <w:rPr>
                <w:rFonts w:hint="eastAsia" w:ascii="仿宋" w:hAnsi="仿宋" w:eastAsia="仿宋" w:cs="仿宋"/>
                <w:spacing w:val="-6"/>
                <w:sz w:val="24"/>
                <w:szCs w:val="24"/>
              </w:rPr>
              <w:t>整体</w:t>
            </w:r>
            <w:r>
              <w:rPr>
                <w:rFonts w:hint="eastAsia" w:ascii="仿宋" w:hAnsi="仿宋" w:eastAsia="仿宋" w:cs="仿宋"/>
                <w:sz w:val="24"/>
                <w:szCs w:val="24"/>
              </w:rPr>
              <w:t>略有不足之处</w:t>
            </w:r>
            <w:r>
              <w:rPr>
                <w:rFonts w:hint="eastAsia" w:ascii="仿宋" w:hAnsi="仿宋" w:eastAsia="仿宋" w:cs="仿宋"/>
                <w:spacing w:val="-6"/>
                <w:sz w:val="24"/>
                <w:szCs w:val="24"/>
              </w:rPr>
              <w:t>的得4分；</w:t>
            </w:r>
            <w:r>
              <w:rPr>
                <w:rFonts w:hint="eastAsia" w:ascii="仿宋" w:hAnsi="仿宋" w:eastAsia="仿宋" w:cs="仿宋"/>
                <w:sz w:val="24"/>
                <w:szCs w:val="24"/>
              </w:rPr>
              <w:t>方案</w:t>
            </w:r>
            <w:r>
              <w:rPr>
                <w:rFonts w:hint="eastAsia" w:ascii="仿宋" w:hAnsi="仿宋" w:eastAsia="仿宋" w:cs="仿宋"/>
                <w:sz w:val="24"/>
                <w:szCs w:val="24"/>
                <w:lang w:bidi="en-US"/>
              </w:rPr>
              <w:t>管理制度</w:t>
            </w:r>
            <w:r>
              <w:rPr>
                <w:rFonts w:hint="eastAsia" w:ascii="仿宋" w:hAnsi="仿宋" w:eastAsia="仿宋" w:cs="仿宋"/>
                <w:spacing w:val="-6"/>
                <w:sz w:val="24"/>
                <w:szCs w:val="24"/>
              </w:rPr>
              <w:t>整体基本详细、合理、全面的得3分；</w:t>
            </w:r>
            <w:r>
              <w:rPr>
                <w:rFonts w:hint="eastAsia" w:ascii="仿宋" w:hAnsi="仿宋" w:eastAsia="仿宋" w:cs="仿宋"/>
                <w:sz w:val="24"/>
                <w:szCs w:val="24"/>
              </w:rPr>
              <w:t>方案</w:t>
            </w:r>
            <w:r>
              <w:rPr>
                <w:rFonts w:hint="eastAsia" w:ascii="仿宋" w:hAnsi="仿宋" w:eastAsia="仿宋" w:cs="仿宋"/>
                <w:sz w:val="24"/>
                <w:szCs w:val="24"/>
                <w:lang w:bidi="en-US"/>
              </w:rPr>
              <w:t>管理制度</w:t>
            </w:r>
            <w:r>
              <w:rPr>
                <w:rFonts w:hint="eastAsia" w:ascii="仿宋" w:hAnsi="仿宋" w:eastAsia="仿宋" w:cs="仿宋"/>
                <w:spacing w:val="-6"/>
                <w:sz w:val="24"/>
                <w:szCs w:val="24"/>
              </w:rPr>
              <w:t>整体</w:t>
            </w:r>
            <w:r>
              <w:rPr>
                <w:rFonts w:hint="eastAsia" w:ascii="仿宋" w:hAnsi="仿宋" w:eastAsia="仿宋" w:cs="仿宋"/>
                <w:sz w:val="24"/>
                <w:szCs w:val="24"/>
              </w:rPr>
              <w:t>不具备实施性</w:t>
            </w:r>
            <w:r>
              <w:rPr>
                <w:rFonts w:hint="eastAsia" w:ascii="仿宋" w:hAnsi="仿宋" w:eastAsia="仿宋" w:cs="仿宋"/>
                <w:spacing w:val="-6"/>
                <w:sz w:val="24"/>
                <w:szCs w:val="24"/>
              </w:rPr>
              <w:t>的得2分；</w:t>
            </w:r>
            <w:r>
              <w:rPr>
                <w:rFonts w:hint="eastAsia" w:ascii="仿宋" w:hAnsi="仿宋" w:eastAsia="仿宋" w:cs="仿宋"/>
                <w:sz w:val="24"/>
                <w:szCs w:val="24"/>
              </w:rPr>
              <w:t>方案</w:t>
            </w:r>
            <w:r>
              <w:rPr>
                <w:rFonts w:hint="eastAsia" w:ascii="仿宋" w:hAnsi="仿宋" w:eastAsia="仿宋" w:cs="仿宋"/>
                <w:sz w:val="24"/>
                <w:szCs w:val="24"/>
                <w:lang w:bidi="en-US"/>
              </w:rPr>
              <w:t>管理制度</w:t>
            </w:r>
            <w:r>
              <w:rPr>
                <w:rFonts w:hint="eastAsia" w:ascii="仿宋" w:hAnsi="仿宋" w:eastAsia="仿宋" w:cs="仿宋"/>
                <w:spacing w:val="-6"/>
                <w:sz w:val="24"/>
                <w:szCs w:val="24"/>
              </w:rPr>
              <w:t>整体存在重大缺陷的得1分；</w:t>
            </w:r>
            <w:r>
              <w:rPr>
                <w:rFonts w:hint="eastAsia" w:ascii="仿宋" w:hAnsi="仿宋" w:eastAsia="仿宋" w:cs="仿宋"/>
                <w:sz w:val="24"/>
                <w:szCs w:val="24"/>
              </w:rPr>
              <w:t>未</w:t>
            </w:r>
            <w:r>
              <w:rPr>
                <w:rFonts w:hint="eastAsia" w:ascii="仿宋" w:hAnsi="仿宋" w:eastAsia="仿宋" w:cs="仿宋"/>
                <w:sz w:val="24"/>
                <w:szCs w:val="24"/>
                <w:lang w:val="en-US" w:eastAsia="zh-CN"/>
              </w:rPr>
              <w:t>提及</w:t>
            </w:r>
            <w:r>
              <w:rPr>
                <w:rFonts w:hint="eastAsia" w:ascii="仿宋" w:hAnsi="仿宋" w:eastAsia="仿宋" w:cs="仿宋"/>
                <w:sz w:val="24"/>
                <w:szCs w:val="24"/>
              </w:rPr>
              <w:t>不得分。）</w:t>
            </w:r>
          </w:p>
        </w:tc>
        <w:tc>
          <w:tcPr>
            <w:tcW w:w="1509" w:type="dxa"/>
            <w:tcBorders>
              <w:tl2br w:val="nil"/>
              <w:tr2bl w:val="nil"/>
            </w:tcBorders>
            <w:shd w:val="clear" w:color="auto" w:fill="auto"/>
            <w:vAlign w:val="center"/>
          </w:tcPr>
          <w:p>
            <w:pPr>
              <w:spacing w:line="360" w:lineRule="auto"/>
              <w:jc w:val="center"/>
              <w:rPr>
                <w:rFonts w:hint="eastAsia" w:ascii="仿宋" w:hAnsi="仿宋" w:eastAsia="仿宋" w:cs="仿宋"/>
                <w:color w:val="auto"/>
                <w:kern w:val="0"/>
                <w:sz w:val="24"/>
                <w:lang w:bidi="ar"/>
              </w:rPr>
            </w:pPr>
            <w:r>
              <w:rPr>
                <w:rFonts w:hint="eastAsia" w:ascii="仿宋" w:hAnsi="仿宋" w:eastAsia="仿宋" w:cs="仿宋"/>
                <w:sz w:val="24"/>
                <w:szCs w:val="24"/>
                <w:lang w:bidi="en-US"/>
              </w:rPr>
              <w:t>0-</w:t>
            </w:r>
            <w:r>
              <w:rPr>
                <w:rFonts w:hint="eastAsia" w:ascii="仿宋" w:hAnsi="仿宋" w:eastAsia="仿宋" w:cs="仿宋"/>
                <w:sz w:val="24"/>
                <w:szCs w:val="24"/>
                <w:lang w:val="en-US" w:eastAsia="zh-CN" w:bidi="en-US"/>
              </w:rPr>
              <w:t>5</w:t>
            </w:r>
          </w:p>
        </w:tc>
        <w:tc>
          <w:tcPr>
            <w:tcW w:w="1053" w:type="dxa"/>
            <w:tcBorders>
              <w:tl2br w:val="nil"/>
              <w:tr2bl w:val="nil"/>
            </w:tcBorders>
            <w:shd w:val="clear" w:color="auto" w:fill="auto"/>
            <w:vAlign w:val="center"/>
          </w:tcPr>
          <w:p>
            <w:pPr>
              <w:spacing w:line="440" w:lineRule="exact"/>
              <w:rPr>
                <w:rFonts w:hint="eastAsia" w:ascii="仿宋" w:hAnsi="仿宋" w:eastAsia="仿宋" w:cs="仿宋"/>
                <w:color w:val="auto"/>
                <w:sz w:val="24"/>
              </w:rPr>
            </w:pPr>
            <w:r>
              <w:rPr>
                <w:rFonts w:hint="eastAsia" w:ascii="仿宋" w:hAnsi="仿宋" w:eastAsia="仿宋" w:cs="仿宋"/>
                <w:color w:val="auto"/>
                <w:sz w:val="24"/>
              </w:rPr>
              <w:t>主观分</w:t>
            </w:r>
          </w:p>
        </w:tc>
      </w:tr>
      <w:tr>
        <w:trPr>
          <w:trHeight w:val="315" w:hRule="atLeast"/>
          <w:jc w:val="center"/>
        </w:trPr>
        <w:tc>
          <w:tcPr>
            <w:tcW w:w="915" w:type="dxa"/>
            <w:vMerge w:val="continue"/>
            <w:tcBorders>
              <w:tl2br w:val="nil"/>
              <w:tr2bl w:val="nil"/>
            </w:tcBorders>
            <w:shd w:val="clear" w:color="auto" w:fill="auto"/>
            <w:vAlign w:val="center"/>
          </w:tcPr>
          <w:p>
            <w:pPr>
              <w:widowControl/>
              <w:spacing w:line="360" w:lineRule="auto"/>
              <w:jc w:val="center"/>
              <w:rPr>
                <w:rFonts w:ascii="仿宋" w:hAnsi="仿宋" w:eastAsia="仿宋" w:cs="仿宋_GB2312"/>
                <w:sz w:val="24"/>
              </w:rPr>
            </w:pPr>
          </w:p>
        </w:tc>
        <w:tc>
          <w:tcPr>
            <w:tcW w:w="692" w:type="dxa"/>
            <w:tcBorders>
              <w:tl2br w:val="nil"/>
              <w:tr2bl w:val="nil"/>
            </w:tcBorders>
            <w:shd w:val="clear" w:color="auto" w:fill="auto"/>
            <w:vAlign w:val="center"/>
          </w:tcPr>
          <w:p>
            <w:pPr>
              <w:widowControl/>
              <w:spacing w:line="360" w:lineRule="auto"/>
              <w:jc w:val="center"/>
              <w:rPr>
                <w:rFonts w:hint="default" w:ascii="仿宋" w:hAnsi="仿宋" w:eastAsia="仿宋" w:cs="仿宋_GB2312"/>
                <w:sz w:val="24"/>
                <w:lang w:val="en-US" w:eastAsia="zh-CN"/>
              </w:rPr>
            </w:pPr>
            <w:r>
              <w:rPr>
                <w:rFonts w:hint="eastAsia" w:ascii="仿宋" w:hAnsi="仿宋" w:eastAsia="仿宋" w:cs="仿宋_GB2312"/>
                <w:sz w:val="24"/>
                <w:lang w:val="en-US" w:eastAsia="zh-CN"/>
              </w:rPr>
              <w:t>15</w:t>
            </w:r>
          </w:p>
        </w:tc>
        <w:tc>
          <w:tcPr>
            <w:tcW w:w="5410" w:type="dxa"/>
            <w:tcBorders>
              <w:tl2br w:val="nil"/>
              <w:tr2bl w:val="nil"/>
            </w:tcBorders>
            <w:shd w:val="clear" w:color="auto" w:fill="auto"/>
            <w:vAlign w:val="center"/>
          </w:tcPr>
          <w:p>
            <w:pPr>
              <w:widowControl/>
              <w:spacing w:line="440" w:lineRule="exact"/>
              <w:ind w:firstLine="480" w:firstLineChars="200"/>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拟派本项目的赛事服务执行团队人员（含前期筹备人员，赛事保障服务人员，颁奖工作人员，招商团队等）情况：</w:t>
            </w:r>
          </w:p>
          <w:p>
            <w:pPr>
              <w:widowControl/>
              <w:spacing w:line="440" w:lineRule="exact"/>
              <w:ind w:firstLine="480" w:firstLineChars="200"/>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1.总人数（含项目负责人）达到20人及以上的得1.5分，总人数（含项目负责人）达到</w:t>
            </w:r>
            <w:r>
              <w:rPr>
                <w:rFonts w:hint="eastAsia" w:ascii="仿宋" w:hAnsi="仿宋" w:eastAsia="仿宋" w:cs="仿宋"/>
                <w:color w:val="auto"/>
                <w:kern w:val="0"/>
                <w:sz w:val="24"/>
                <w:lang w:val="en-US" w:eastAsia="zh-CN" w:bidi="ar"/>
              </w:rPr>
              <w:t>3</w:t>
            </w:r>
            <w:r>
              <w:rPr>
                <w:rFonts w:hint="eastAsia" w:ascii="仿宋" w:hAnsi="仿宋" w:eastAsia="仿宋" w:cs="仿宋"/>
                <w:color w:val="auto"/>
                <w:kern w:val="0"/>
                <w:sz w:val="24"/>
                <w:lang w:bidi="ar"/>
              </w:rPr>
              <w:t>0人及以上的得3分；</w:t>
            </w:r>
          </w:p>
          <w:p>
            <w:pPr>
              <w:widowControl/>
              <w:spacing w:line="440" w:lineRule="exact"/>
              <w:ind w:firstLine="480" w:firstLineChars="200"/>
              <w:textAlignment w:val="top"/>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w:t>
            </w:r>
            <w:r>
              <w:rPr>
                <w:rFonts w:hint="eastAsia" w:ascii="仿宋" w:hAnsi="仿宋" w:eastAsia="仿宋" w:cs="仿宋"/>
                <w:color w:val="auto"/>
                <w:kern w:val="0"/>
                <w:sz w:val="24"/>
                <w:lang w:val="en-US" w:eastAsia="zh-CN" w:bidi="ar"/>
              </w:rPr>
              <w:t>团队成员中持有田径项目二级及以上裁判员证</w:t>
            </w:r>
            <w:r>
              <w:rPr>
                <w:rFonts w:hint="eastAsia" w:ascii="仿宋" w:hAnsi="仿宋" w:eastAsia="仿宋" w:cs="仿宋"/>
                <w:color w:val="auto"/>
                <w:kern w:val="0"/>
                <w:sz w:val="24"/>
                <w:lang w:bidi="ar"/>
              </w:rPr>
              <w:t>有</w:t>
            </w:r>
            <w:r>
              <w:rPr>
                <w:rFonts w:hint="eastAsia" w:ascii="仿宋" w:hAnsi="仿宋" w:eastAsia="仿宋" w:cs="仿宋"/>
                <w:color w:val="auto"/>
                <w:kern w:val="0"/>
                <w:sz w:val="24"/>
                <w:lang w:val="en-US" w:eastAsia="zh-CN" w:bidi="ar"/>
              </w:rPr>
              <w:t>3</w:t>
            </w:r>
            <w:r>
              <w:rPr>
                <w:rFonts w:hint="eastAsia" w:ascii="仿宋" w:hAnsi="仿宋" w:eastAsia="仿宋" w:cs="仿宋"/>
                <w:color w:val="auto"/>
                <w:kern w:val="0"/>
                <w:sz w:val="24"/>
                <w:lang w:bidi="ar"/>
              </w:rPr>
              <w:t>人及以上的得2分，</w:t>
            </w:r>
            <w:r>
              <w:rPr>
                <w:rFonts w:hint="eastAsia" w:ascii="仿宋" w:hAnsi="仿宋" w:eastAsia="仿宋" w:cs="仿宋"/>
                <w:color w:val="auto"/>
                <w:kern w:val="0"/>
                <w:sz w:val="24"/>
                <w:lang w:val="en-US" w:eastAsia="zh-CN" w:bidi="ar"/>
              </w:rPr>
              <w:t>5</w:t>
            </w:r>
            <w:r>
              <w:rPr>
                <w:rFonts w:hint="eastAsia" w:ascii="仿宋" w:hAnsi="仿宋" w:eastAsia="仿宋" w:cs="仿宋"/>
                <w:color w:val="auto"/>
                <w:kern w:val="0"/>
                <w:sz w:val="24"/>
                <w:lang w:bidi="ar"/>
              </w:rPr>
              <w:t>人及以上的得</w:t>
            </w:r>
            <w:r>
              <w:rPr>
                <w:rFonts w:hint="eastAsia" w:ascii="仿宋" w:hAnsi="仿宋" w:eastAsia="仿宋" w:cs="仿宋"/>
                <w:color w:val="auto"/>
                <w:kern w:val="0"/>
                <w:sz w:val="24"/>
                <w:lang w:val="en-US" w:eastAsia="zh-CN" w:bidi="ar"/>
              </w:rPr>
              <w:t>3</w:t>
            </w:r>
            <w:r>
              <w:rPr>
                <w:rFonts w:hint="eastAsia" w:ascii="仿宋" w:hAnsi="仿宋" w:eastAsia="仿宋" w:cs="仿宋"/>
                <w:color w:val="auto"/>
                <w:kern w:val="0"/>
                <w:sz w:val="24"/>
                <w:lang w:bidi="ar"/>
              </w:rPr>
              <w:t>分（提供证书扫描件，不提供不得分）</w:t>
            </w:r>
            <w:r>
              <w:rPr>
                <w:rFonts w:hint="eastAsia" w:ascii="仿宋" w:hAnsi="仿宋" w:eastAsia="仿宋" w:cs="仿宋"/>
                <w:color w:val="auto"/>
                <w:kern w:val="0"/>
                <w:sz w:val="24"/>
                <w:lang w:eastAsia="zh-CN" w:bidi="ar"/>
              </w:rPr>
              <w:t>；</w:t>
            </w:r>
          </w:p>
          <w:p>
            <w:pPr>
              <w:widowControl/>
              <w:spacing w:line="440" w:lineRule="exact"/>
              <w:ind w:firstLine="480" w:firstLineChars="200"/>
              <w:textAlignment w:val="top"/>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3.团队成员中具有中国田径协会颁发的</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val="en-US" w:eastAsia="zh-CN" w:bidi="ar"/>
              </w:rPr>
              <w:t>竞赛组织管理培训</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bidi="ar"/>
              </w:rPr>
              <w:t>结业证书有5人及以上的得2分，8人及以上的得4分（提供中国田径协会颁发证书扫描件，不提供不得分）</w:t>
            </w:r>
            <w:r>
              <w:rPr>
                <w:rFonts w:hint="eastAsia" w:ascii="仿宋" w:hAnsi="仿宋" w:eastAsia="仿宋" w:cs="仿宋"/>
                <w:color w:val="auto"/>
                <w:kern w:val="0"/>
                <w:sz w:val="24"/>
                <w:lang w:eastAsia="zh-CN" w:bidi="ar"/>
              </w:rPr>
              <w:t>；</w:t>
            </w:r>
          </w:p>
          <w:p>
            <w:pPr>
              <w:widowControl/>
              <w:spacing w:line="440" w:lineRule="exact"/>
              <w:ind w:firstLine="480" w:firstLineChars="200"/>
              <w:textAlignment w:val="top"/>
              <w:rPr>
                <w:rFonts w:ascii="仿宋" w:hAnsi="仿宋" w:eastAsia="仿宋" w:cs="仿宋"/>
                <w:color w:val="auto"/>
                <w:kern w:val="0"/>
                <w:sz w:val="24"/>
                <w:lang w:bidi="ar"/>
              </w:rPr>
            </w:pPr>
            <w:r>
              <w:rPr>
                <w:rFonts w:hint="eastAsia" w:ascii="仿宋" w:hAnsi="仿宋" w:eastAsia="仿宋" w:cs="仿宋"/>
                <w:color w:val="auto"/>
                <w:kern w:val="0"/>
                <w:sz w:val="24"/>
                <w:lang w:bidi="ar"/>
              </w:rPr>
              <w:t>4.团队成员中</w:t>
            </w:r>
            <w:r>
              <w:rPr>
                <w:rFonts w:hint="eastAsia" w:ascii="仿宋" w:hAnsi="仿宋" w:eastAsia="仿宋" w:cs="仿宋"/>
                <w:color w:val="auto"/>
                <w:kern w:val="0"/>
                <w:sz w:val="24"/>
                <w:lang w:val="en-US" w:eastAsia="zh-CN" w:bidi="ar"/>
              </w:rPr>
              <w:t>持有</w:t>
            </w:r>
            <w:r>
              <w:rPr>
                <w:rFonts w:hint="eastAsia" w:ascii="仿宋" w:hAnsi="仿宋" w:eastAsia="仿宋" w:cs="仿宋"/>
                <w:color w:val="auto"/>
                <w:kern w:val="0"/>
                <w:sz w:val="24"/>
                <w:lang w:bidi="ar"/>
              </w:rPr>
              <w:t>田径类社会体育指导员证书有10人及以上</w:t>
            </w:r>
            <w:r>
              <w:rPr>
                <w:rFonts w:hint="eastAsia" w:ascii="仿宋" w:hAnsi="仿宋" w:eastAsia="仿宋" w:cs="仿宋"/>
                <w:color w:val="auto"/>
                <w:kern w:val="0"/>
                <w:sz w:val="24"/>
                <w:lang w:eastAsia="zh-CN" w:bidi="ar"/>
              </w:rPr>
              <w:t>的</w:t>
            </w:r>
            <w:r>
              <w:rPr>
                <w:rFonts w:hint="eastAsia" w:ascii="仿宋" w:hAnsi="仿宋" w:eastAsia="仿宋" w:cs="仿宋"/>
                <w:color w:val="auto"/>
                <w:kern w:val="0"/>
                <w:sz w:val="24"/>
                <w:lang w:bidi="ar"/>
              </w:rPr>
              <w:t>得3分</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bidi="ar"/>
              </w:rPr>
              <w:t>有15人及以上的得5分</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bidi="ar"/>
              </w:rPr>
              <w:t>有20人及以上的得8分（提供相关证书扫描件，不提供不得分）。</w:t>
            </w:r>
          </w:p>
          <w:p>
            <w:pPr>
              <w:widowControl/>
              <w:spacing w:line="440" w:lineRule="exact"/>
              <w:textAlignment w:val="top"/>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证明文件：以上人员须提供</w:t>
            </w:r>
            <w:r>
              <w:rPr>
                <w:rFonts w:hint="eastAsia" w:ascii="仿宋" w:hAnsi="仿宋" w:eastAsia="仿宋" w:cs="仿宋"/>
                <w:color w:val="auto"/>
                <w:kern w:val="0"/>
                <w:sz w:val="24"/>
                <w:lang w:val="en-US" w:eastAsia="zh-CN" w:bidi="ar"/>
              </w:rPr>
              <w:t>招标公告</w:t>
            </w:r>
            <w:r>
              <w:rPr>
                <w:rFonts w:hint="eastAsia" w:ascii="仿宋" w:hAnsi="仿宋" w:eastAsia="仿宋" w:cs="仿宋"/>
                <w:color w:val="auto"/>
                <w:kern w:val="0"/>
                <w:sz w:val="24"/>
                <w:lang w:bidi="ar"/>
              </w:rPr>
              <w:t>前</w:t>
            </w:r>
            <w:r>
              <w:rPr>
                <w:rFonts w:hint="eastAsia" w:ascii="仿宋" w:hAnsi="仿宋" w:eastAsia="仿宋" w:cs="仿宋"/>
                <w:color w:val="auto"/>
                <w:kern w:val="0"/>
                <w:sz w:val="24"/>
                <w:lang w:val="en-US" w:eastAsia="zh-CN" w:bidi="ar"/>
              </w:rPr>
              <w:t>近3</w:t>
            </w:r>
            <w:r>
              <w:rPr>
                <w:rFonts w:hint="eastAsia" w:ascii="仿宋" w:hAnsi="仿宋" w:eastAsia="仿宋" w:cs="仿宋"/>
                <w:color w:val="auto"/>
                <w:kern w:val="0"/>
                <w:sz w:val="24"/>
                <w:lang w:bidi="ar"/>
              </w:rPr>
              <w:t>个月</w:t>
            </w:r>
            <w:r>
              <w:rPr>
                <w:rFonts w:hint="eastAsia" w:ascii="仿宋" w:hAnsi="仿宋" w:eastAsia="仿宋" w:cs="仿宋"/>
                <w:color w:val="auto"/>
                <w:kern w:val="0"/>
                <w:sz w:val="24"/>
                <w:lang w:val="en-US" w:eastAsia="zh-CN" w:bidi="ar"/>
              </w:rPr>
              <w:t>内</w:t>
            </w:r>
            <w:bookmarkStart w:id="519" w:name="_GoBack"/>
            <w:bookmarkEnd w:id="519"/>
            <w:r>
              <w:rPr>
                <w:rFonts w:hint="eastAsia" w:ascii="仿宋" w:hAnsi="仿宋" w:eastAsia="仿宋" w:cs="仿宋"/>
                <w:color w:val="auto"/>
                <w:kern w:val="0"/>
                <w:sz w:val="24"/>
                <w:lang w:val="en-US" w:eastAsia="zh-CN" w:bidi="ar"/>
              </w:rPr>
              <w:t>任意1个月</w:t>
            </w:r>
            <w:r>
              <w:rPr>
                <w:rFonts w:hint="eastAsia" w:ascii="仿宋" w:hAnsi="仿宋" w:eastAsia="仿宋" w:cs="仿宋"/>
                <w:color w:val="auto"/>
                <w:kern w:val="0"/>
                <w:sz w:val="24"/>
                <w:lang w:bidi="ar"/>
              </w:rPr>
              <w:t>在本单位缴纳的社保证明及相关人员证书扫描件，未按要求提供相关材料或扫描件不清晰导致无法识别的不得分。</w:t>
            </w:r>
          </w:p>
        </w:tc>
        <w:tc>
          <w:tcPr>
            <w:tcW w:w="1509" w:type="dxa"/>
            <w:tcBorders>
              <w:tl2br w:val="nil"/>
              <w:tr2bl w:val="nil"/>
            </w:tcBorders>
            <w:shd w:val="clear" w:color="auto" w:fill="auto"/>
            <w:vAlign w:val="center"/>
          </w:tcPr>
          <w:p>
            <w:pPr>
              <w:widowControl/>
              <w:spacing w:line="440" w:lineRule="exact"/>
              <w:jc w:val="center"/>
              <w:textAlignment w:val="bottom"/>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0-18</w:t>
            </w:r>
          </w:p>
        </w:tc>
        <w:tc>
          <w:tcPr>
            <w:tcW w:w="1053" w:type="dxa"/>
            <w:tcBorders>
              <w:tl2br w:val="nil"/>
              <w:tr2bl w:val="nil"/>
            </w:tcBorders>
            <w:shd w:val="clear" w:color="auto" w:fill="auto"/>
            <w:vAlign w:val="center"/>
          </w:tcPr>
          <w:p>
            <w:pPr>
              <w:spacing w:line="440" w:lineRule="exact"/>
              <w:rPr>
                <w:rFonts w:hint="eastAsia" w:ascii="仿宋" w:hAnsi="仿宋" w:eastAsia="仿宋" w:cs="仿宋"/>
                <w:color w:val="auto"/>
                <w:sz w:val="24"/>
              </w:rPr>
            </w:pPr>
            <w:r>
              <w:rPr>
                <w:rFonts w:hint="eastAsia" w:ascii="仿宋" w:hAnsi="仿宋" w:eastAsia="仿宋" w:cs="仿宋"/>
                <w:color w:val="auto"/>
                <w:sz w:val="24"/>
              </w:rPr>
              <w:t>客观分</w:t>
            </w:r>
          </w:p>
        </w:tc>
      </w:tr>
      <w:tr>
        <w:trPr>
          <w:trHeight w:val="315" w:hRule="atLeast"/>
          <w:jc w:val="center"/>
        </w:trPr>
        <w:tc>
          <w:tcPr>
            <w:tcW w:w="915" w:type="dxa"/>
            <w:vMerge w:val="continue"/>
            <w:tcBorders>
              <w:tl2br w:val="nil"/>
              <w:tr2bl w:val="nil"/>
            </w:tcBorders>
            <w:shd w:val="clear" w:color="auto" w:fill="auto"/>
            <w:vAlign w:val="center"/>
          </w:tcPr>
          <w:p>
            <w:pPr>
              <w:widowControl/>
              <w:spacing w:line="360" w:lineRule="auto"/>
              <w:jc w:val="center"/>
              <w:rPr>
                <w:rFonts w:ascii="仿宋" w:hAnsi="仿宋" w:eastAsia="仿宋" w:cs="仿宋_GB2312"/>
                <w:sz w:val="24"/>
              </w:rPr>
            </w:pPr>
          </w:p>
        </w:tc>
        <w:tc>
          <w:tcPr>
            <w:tcW w:w="692" w:type="dxa"/>
            <w:tcBorders>
              <w:tl2br w:val="nil"/>
              <w:tr2bl w:val="nil"/>
            </w:tcBorders>
            <w:shd w:val="clear" w:color="auto" w:fill="auto"/>
            <w:vAlign w:val="center"/>
          </w:tcPr>
          <w:p>
            <w:pPr>
              <w:widowControl/>
              <w:spacing w:line="360" w:lineRule="auto"/>
              <w:jc w:val="center"/>
              <w:rPr>
                <w:rFonts w:hint="default" w:ascii="仿宋" w:hAnsi="仿宋" w:eastAsia="仿宋" w:cs="仿宋_GB2312"/>
                <w:sz w:val="24"/>
                <w:lang w:val="en-US" w:eastAsia="zh-CN"/>
              </w:rPr>
            </w:pPr>
            <w:r>
              <w:rPr>
                <w:rFonts w:hint="eastAsia" w:ascii="仿宋" w:hAnsi="仿宋" w:eastAsia="仿宋" w:cs="仿宋_GB2312"/>
                <w:sz w:val="24"/>
                <w:lang w:val="en-US" w:eastAsia="zh-CN"/>
              </w:rPr>
              <w:t>16</w:t>
            </w:r>
          </w:p>
        </w:tc>
        <w:tc>
          <w:tcPr>
            <w:tcW w:w="5410" w:type="dxa"/>
            <w:tcBorders>
              <w:tl2br w:val="nil"/>
              <w:tr2bl w:val="nil"/>
            </w:tcBorders>
            <w:shd w:val="clear" w:color="auto" w:fill="auto"/>
            <w:vAlign w:val="center"/>
          </w:tcPr>
          <w:p>
            <w:pPr>
              <w:pStyle w:val="967"/>
              <w:numPr>
                <w:ilvl w:val="0"/>
                <w:numId w:val="0"/>
              </w:numPr>
              <w:spacing w:after="0" w:line="360" w:lineRule="auto"/>
              <w:ind w:left="0" w:leftChars="0" w:firstLine="0" w:firstLineChars="0"/>
              <w:jc w:val="both"/>
              <w:rPr>
                <w:rFonts w:ascii="仿宋" w:hAnsi="仿宋" w:eastAsia="仿宋" w:cs="仿宋"/>
                <w:sz w:val="24"/>
              </w:rPr>
            </w:pPr>
            <w:r>
              <w:rPr>
                <w:rFonts w:hint="eastAsia" w:ascii="仿宋" w:hAnsi="仿宋" w:eastAsia="仿宋" w:cs="仿宋"/>
                <w:sz w:val="24"/>
                <w:szCs w:val="24"/>
                <w:lang w:val="en-US" w:eastAsia="zh-CN" w:bidi="en-US"/>
              </w:rPr>
              <w:t>对本项目的合理化建议(对本项目的合理化建议内容是否合理、可行、具有操作性等情况进行综合评定。)</w:t>
            </w:r>
            <w:r>
              <w:rPr>
                <w:rFonts w:hint="eastAsia" w:ascii="仿宋" w:hAnsi="仿宋" w:eastAsia="仿宋" w:cs="仿宋"/>
                <w:sz w:val="24"/>
                <w:szCs w:val="24"/>
                <w:lang w:bidi="en-US"/>
              </w:rPr>
              <w:t>（</w:t>
            </w:r>
            <w:r>
              <w:rPr>
                <w:rFonts w:hint="eastAsia" w:ascii="仿宋" w:hAnsi="仿宋" w:eastAsia="仿宋" w:cs="仿宋"/>
                <w:sz w:val="24"/>
                <w:szCs w:val="24"/>
                <w:lang w:val="en-US" w:eastAsia="zh-CN" w:bidi="en-US"/>
              </w:rPr>
              <w:t>合理化建议</w:t>
            </w:r>
            <w:r>
              <w:rPr>
                <w:rFonts w:hint="eastAsia" w:ascii="仿宋" w:hAnsi="仿宋" w:eastAsia="仿宋" w:cs="仿宋"/>
                <w:sz w:val="24"/>
                <w:szCs w:val="24"/>
                <w:lang w:bidi="en-US"/>
              </w:rPr>
              <w:t>方案整体详细、合理、全面的得5分；</w:t>
            </w:r>
            <w:r>
              <w:rPr>
                <w:rFonts w:hint="eastAsia" w:ascii="仿宋" w:hAnsi="仿宋" w:eastAsia="仿宋" w:cs="仿宋"/>
                <w:sz w:val="24"/>
                <w:szCs w:val="24"/>
                <w:lang w:val="en-US" w:eastAsia="zh-CN" w:bidi="en-US"/>
              </w:rPr>
              <w:t>合理化建议</w:t>
            </w:r>
            <w:r>
              <w:rPr>
                <w:rFonts w:hint="eastAsia" w:ascii="仿宋" w:hAnsi="仿宋" w:eastAsia="仿宋" w:cs="仿宋"/>
                <w:sz w:val="24"/>
                <w:szCs w:val="24"/>
                <w:lang w:bidi="en-US"/>
              </w:rPr>
              <w:t>方案整体略有不足之处的得4分；</w:t>
            </w:r>
            <w:r>
              <w:rPr>
                <w:rFonts w:hint="eastAsia" w:ascii="仿宋" w:hAnsi="仿宋" w:eastAsia="仿宋" w:cs="仿宋"/>
                <w:sz w:val="24"/>
                <w:szCs w:val="24"/>
                <w:lang w:val="en-US" w:eastAsia="zh-CN" w:bidi="en-US"/>
              </w:rPr>
              <w:t>合理化建议</w:t>
            </w:r>
            <w:r>
              <w:rPr>
                <w:rFonts w:hint="eastAsia" w:ascii="仿宋" w:hAnsi="仿宋" w:eastAsia="仿宋" w:cs="仿宋"/>
                <w:sz w:val="24"/>
                <w:szCs w:val="24"/>
                <w:lang w:bidi="en-US"/>
              </w:rPr>
              <w:t>方案整体基本详细、合理、全面的得3分；</w:t>
            </w:r>
            <w:r>
              <w:rPr>
                <w:rFonts w:hint="eastAsia" w:ascii="仿宋" w:hAnsi="仿宋" w:eastAsia="仿宋" w:cs="仿宋"/>
                <w:sz w:val="24"/>
                <w:szCs w:val="24"/>
                <w:lang w:val="en-US" w:eastAsia="zh-CN" w:bidi="en-US"/>
              </w:rPr>
              <w:t>合理化建议</w:t>
            </w:r>
            <w:r>
              <w:rPr>
                <w:rFonts w:hint="eastAsia" w:ascii="仿宋" w:hAnsi="仿宋" w:eastAsia="仿宋" w:cs="仿宋"/>
                <w:sz w:val="24"/>
                <w:szCs w:val="24"/>
                <w:lang w:bidi="en-US"/>
              </w:rPr>
              <w:t>方案整体不具备实施性的得2分；</w:t>
            </w:r>
            <w:r>
              <w:rPr>
                <w:rFonts w:hint="eastAsia" w:ascii="仿宋" w:hAnsi="仿宋" w:eastAsia="仿宋" w:cs="仿宋"/>
                <w:sz w:val="24"/>
                <w:szCs w:val="24"/>
                <w:lang w:val="en-US" w:eastAsia="zh-CN" w:bidi="en-US"/>
              </w:rPr>
              <w:t>合理化建议</w:t>
            </w:r>
            <w:r>
              <w:rPr>
                <w:rFonts w:hint="eastAsia" w:ascii="仿宋" w:hAnsi="仿宋" w:eastAsia="仿宋" w:cs="仿宋"/>
                <w:sz w:val="24"/>
                <w:szCs w:val="24"/>
                <w:lang w:bidi="en-US"/>
              </w:rPr>
              <w:t>方案整体存在重大缺陷的得1分；未提供的不得分。）</w:t>
            </w:r>
          </w:p>
        </w:tc>
        <w:tc>
          <w:tcPr>
            <w:tcW w:w="1509" w:type="dxa"/>
            <w:tcBorders>
              <w:tl2br w:val="nil"/>
              <w:tr2bl w:val="nil"/>
            </w:tcBorders>
            <w:shd w:val="clear" w:color="auto" w:fill="auto"/>
            <w:vAlign w:val="center"/>
          </w:tcPr>
          <w:p>
            <w:pPr>
              <w:pStyle w:val="967"/>
              <w:numPr>
                <w:ilvl w:val="0"/>
                <w:numId w:val="0"/>
              </w:numPr>
              <w:spacing w:after="0" w:line="360" w:lineRule="auto"/>
              <w:ind w:left="0" w:leftChars="0" w:firstLine="0" w:firstLineChars="0"/>
              <w:jc w:val="center"/>
              <w:rPr>
                <w:rFonts w:hint="eastAsia" w:ascii="仿宋" w:hAnsi="仿宋" w:eastAsia="仿宋" w:cs="仿宋_GB2312"/>
                <w:b w:val="0"/>
                <w:bCs w:val="0"/>
                <w:sz w:val="24"/>
                <w:lang w:eastAsia="zh-CN"/>
              </w:rPr>
            </w:pPr>
            <w:r>
              <w:rPr>
                <w:rFonts w:hint="eastAsia" w:ascii="仿宋" w:hAnsi="仿宋" w:eastAsia="仿宋" w:cs="仿宋"/>
                <w:sz w:val="24"/>
                <w:szCs w:val="24"/>
                <w:lang w:val="en-US" w:eastAsia="zh-CN" w:bidi="en-US"/>
              </w:rPr>
              <w:t>0-5</w:t>
            </w:r>
          </w:p>
        </w:tc>
        <w:tc>
          <w:tcPr>
            <w:tcW w:w="1053" w:type="dxa"/>
            <w:tcBorders>
              <w:tl2br w:val="nil"/>
              <w:tr2bl w:val="nil"/>
            </w:tcBorders>
            <w:shd w:val="clear" w:color="auto" w:fill="auto"/>
            <w:vAlign w:val="center"/>
          </w:tcPr>
          <w:p>
            <w:pPr>
              <w:spacing w:line="360" w:lineRule="auto"/>
              <w:jc w:val="center"/>
              <w:rPr>
                <w:rFonts w:ascii="仿宋" w:hAnsi="仿宋" w:eastAsia="仿宋" w:cs="仿宋_GB2312"/>
                <w:b w:val="0"/>
                <w:bCs w:val="0"/>
                <w:sz w:val="24"/>
              </w:rPr>
            </w:pPr>
            <w:r>
              <w:rPr>
                <w:rFonts w:hint="eastAsia" w:ascii="仿宋" w:hAnsi="仿宋" w:eastAsia="仿宋" w:cs="仿宋"/>
                <w:sz w:val="24"/>
                <w:szCs w:val="24"/>
                <w:lang w:bidi="en-US"/>
              </w:rPr>
              <w:t>主观分</w:t>
            </w:r>
          </w:p>
        </w:tc>
      </w:tr>
    </w:tbl>
    <w:p>
      <w:pPr>
        <w:keepNext w:val="0"/>
        <w:keepLines w:val="0"/>
        <w:pageBreakBefore w:val="0"/>
        <w:widowControl/>
        <w:kinsoku/>
        <w:wordWrap/>
        <w:overflowPunct/>
        <w:topLinePunct w:val="0"/>
        <w:autoSpaceDE/>
        <w:autoSpaceDN/>
        <w:bidi w:val="0"/>
        <w:adjustRightInd w:val="0"/>
        <w:snapToGrid/>
        <w:spacing w:line="360" w:lineRule="auto"/>
        <w:ind w:firstLine="0" w:firstLineChars="0"/>
        <w:textAlignment w:val="auto"/>
        <w:rPr>
          <w:rFonts w:ascii="仿宋" w:hAnsi="仿宋" w:eastAsia="仿宋" w:cs="仿宋_GB2312"/>
          <w:sz w:val="24"/>
        </w:rPr>
      </w:pPr>
      <w:r>
        <w:rPr>
          <w:rFonts w:hint="eastAsia" w:ascii="仿宋" w:hAnsi="仿宋" w:eastAsia="仿宋" w:cs="仿宋_GB2312"/>
          <w:sz w:val="24"/>
        </w:rPr>
        <w:t>3、价格分（</w:t>
      </w:r>
      <w:r>
        <w:rPr>
          <w:rFonts w:hint="eastAsia" w:ascii="仿宋" w:hAnsi="仿宋" w:eastAsia="仿宋" w:cs="仿宋_GB2312"/>
          <w:sz w:val="24"/>
          <w:lang w:val="en-US" w:eastAsia="zh-CN"/>
        </w:rPr>
        <w:t>10</w:t>
      </w:r>
      <w:r>
        <w:rPr>
          <w:rFonts w:hint="eastAsia" w:ascii="仿宋" w:hAnsi="仿宋" w:eastAsia="仿宋" w:cs="仿宋_GB2312"/>
          <w:sz w:val="24"/>
        </w:rPr>
        <w:t>分）</w:t>
      </w:r>
    </w:p>
    <w:tbl>
      <w:tblPr>
        <w:tblStyle w:val="64"/>
        <w:tblW w:w="9398" w:type="dxa"/>
        <w:tblInd w:w="-5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7235"/>
      </w:tblGrid>
      <w:tr>
        <w:trPr>
          <w:trHeight w:val="430" w:hRule="atLeast"/>
        </w:trPr>
        <w:tc>
          <w:tcPr>
            <w:tcW w:w="216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价格权值</w:t>
            </w:r>
          </w:p>
        </w:tc>
        <w:tc>
          <w:tcPr>
            <w:tcW w:w="72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计算方法</w:t>
            </w:r>
          </w:p>
        </w:tc>
      </w:tr>
      <w:tr>
        <w:trPr>
          <w:trHeight w:val="875" w:hRule="atLeast"/>
        </w:trPr>
        <w:tc>
          <w:tcPr>
            <w:tcW w:w="216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价格权值</w:t>
            </w:r>
            <w:r>
              <w:rPr>
                <w:rFonts w:ascii="仿宋" w:hAnsi="仿宋" w:eastAsia="仿宋" w:cs="仿宋_GB2312"/>
                <w:sz w:val="24"/>
              </w:rPr>
              <w:t>=</w:t>
            </w:r>
            <w:r>
              <w:rPr>
                <w:rFonts w:hint="eastAsia" w:ascii="仿宋" w:hAnsi="仿宋" w:eastAsia="仿宋" w:cs="仿宋_GB2312"/>
                <w:sz w:val="24"/>
                <w:lang w:val="en-US" w:eastAsia="zh-CN"/>
              </w:rPr>
              <w:t>10</w:t>
            </w:r>
            <w:r>
              <w:rPr>
                <w:rFonts w:hint="eastAsia" w:ascii="仿宋" w:hAnsi="仿宋" w:eastAsia="仿宋" w:cs="仿宋_GB2312"/>
                <w:sz w:val="24"/>
              </w:rPr>
              <w:t>%</w:t>
            </w:r>
          </w:p>
        </w:tc>
        <w:tc>
          <w:tcPr>
            <w:tcW w:w="7235" w:type="dxa"/>
            <w:tcBorders>
              <w:top w:val="single" w:color="auto" w:sz="4" w:space="0"/>
              <w:left w:val="single" w:color="auto" w:sz="4" w:space="0"/>
              <w:bottom w:val="single" w:color="auto" w:sz="4" w:space="0"/>
              <w:right w:val="single" w:color="auto" w:sz="4" w:space="0"/>
            </w:tcBorders>
            <w:noWrap/>
            <w:vAlign w:val="center"/>
          </w:tcPr>
          <w:p>
            <w:pPr>
              <w:pStyle w:val="25"/>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最低有效投标价格为评标基准价</w:t>
            </w:r>
          </w:p>
          <w:p>
            <w:pPr>
              <w:pStyle w:val="25"/>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投标报价得分=(评标基准价／投标报价)×价格权值×100 </w:t>
            </w:r>
          </w:p>
          <w:p>
            <w:pPr>
              <w:pStyle w:val="25"/>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（计算得分保留小数点后2位）</w:t>
            </w:r>
          </w:p>
          <w:p>
            <w:pPr>
              <w:pStyle w:val="25"/>
              <w:spacing w:line="360" w:lineRule="auto"/>
              <w:ind w:firstLine="0" w:firstLineChars="0"/>
              <w:rPr>
                <w:rFonts w:ascii="仿宋" w:hAnsi="仿宋" w:eastAsia="仿宋" w:cs="仿宋_GB2312"/>
                <w:sz w:val="24"/>
              </w:rPr>
            </w:pPr>
            <w:r>
              <w:rPr>
                <w:rFonts w:hint="eastAsia" w:ascii="仿宋" w:hAnsi="仿宋" w:eastAsia="仿宋" w:cs="仿宋"/>
                <w:color w:val="auto"/>
                <w:sz w:val="24"/>
                <w:szCs w:val="24"/>
                <w:highlight w:val="none"/>
              </w:rPr>
              <w:t>评标过程中，不得去掉报价中的最高报价和最低报价。</w:t>
            </w:r>
          </w:p>
        </w:tc>
      </w:tr>
    </w:tbl>
    <w:p>
      <w:pPr>
        <w:spacing w:line="360" w:lineRule="auto"/>
        <w:rPr>
          <w:rFonts w:hint="eastAsia" w:ascii="仿宋" w:hAnsi="仿宋" w:eastAsia="仿宋" w:cs="仿宋"/>
          <w:b w:val="0"/>
          <w:bCs w:val="0"/>
          <w:sz w:val="24"/>
        </w:rPr>
      </w:pPr>
      <w:r>
        <w:rPr>
          <w:rFonts w:hint="eastAsia" w:ascii="仿宋" w:hAnsi="仿宋" w:eastAsia="仿宋" w:cs="仿宋"/>
          <w:sz w:val="20"/>
          <w:szCs w:val="20"/>
          <w:shd w:val="clear" w:color="auto" w:fill="FFFFFF"/>
        </w:rPr>
        <w:t>*</w:t>
      </w:r>
      <w:r>
        <w:rPr>
          <w:rFonts w:hint="eastAsia" w:ascii="仿宋" w:hAnsi="仿宋" w:eastAsia="仿宋" w:cs="仿宋"/>
          <w:b/>
          <w:sz w:val="24"/>
        </w:rPr>
        <w:t>备注：</w:t>
      </w:r>
      <w:r>
        <w:rPr>
          <w:rFonts w:hint="eastAsia" w:ascii="仿宋" w:hAnsi="仿宋" w:eastAsia="仿宋" w:cs="仿宋"/>
          <w:b w:val="0"/>
          <w:bCs w:val="0"/>
          <w:sz w:val="24"/>
        </w:rPr>
        <w:t xml:space="preserve">1、投标人编制投标文件（商务技术文件部分）时，建议按此目录（序号和内容）提供评标标准相应的商务技术资料。 </w:t>
      </w:r>
    </w:p>
    <w:p>
      <w:pPr>
        <w:spacing w:line="360" w:lineRule="auto"/>
        <w:rPr>
          <w:rFonts w:hint="eastAsia" w:ascii="仿宋" w:hAnsi="仿宋" w:eastAsia="仿宋" w:cs="仿宋"/>
          <w:b w:val="0"/>
          <w:bCs w:val="0"/>
          <w:sz w:val="24"/>
        </w:rPr>
      </w:pPr>
      <w:r>
        <w:rPr>
          <w:rFonts w:hint="eastAsia" w:ascii="仿宋" w:hAnsi="仿宋" w:eastAsia="仿宋" w:cs="仿宋"/>
          <w:b w:val="0"/>
          <w:bCs w:val="0"/>
          <w:sz w:val="24"/>
        </w:rPr>
        <w:t>2、评分条款中涉及的业绩、荣誉、人员、社保等分公司均有效。涉及社保、劳动关系证明关系的，如人员为法人代表，则无需提供相关证明，提供营业执照及身份证即可。</w:t>
      </w:r>
    </w:p>
    <w:p>
      <w:pPr>
        <w:spacing w:line="360" w:lineRule="auto"/>
        <w:rPr>
          <w:rFonts w:hint="eastAsia" w:ascii="仿宋" w:hAnsi="仿宋" w:eastAsia="仿宋" w:cs="仿宋"/>
          <w:b/>
          <w:sz w:val="24"/>
        </w:rPr>
      </w:pPr>
      <w:r>
        <w:rPr>
          <w:rFonts w:hint="eastAsia" w:ascii="仿宋" w:hAnsi="仿宋" w:eastAsia="仿宋" w:cs="仿宋"/>
          <w:b w:val="0"/>
          <w:bCs w:val="0"/>
          <w:sz w:val="24"/>
        </w:rPr>
        <w:t>3、投标文件中如附有外文资料，必须逐一对应翻译成中文并加盖投标人公章后附在相关外文资料后面，否则外文资料不予认可。</w:t>
      </w:r>
    </w:p>
    <w:p>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pPr>
        <w:pStyle w:val="131"/>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pPr>
        <w:pStyle w:val="131"/>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31"/>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31"/>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31"/>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31"/>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31"/>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pPr>
        <w:pStyle w:val="131"/>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rPr>
        <w:t>4.2.12投标人仅提交备份投标文件，未在电子交易平台传输递交投标文件的，投标无效；</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4.2.13投标人未提供样品或提供的样品不满足采购需求实质性条件的，投标无效；</w:t>
      </w:r>
    </w:p>
    <w:p>
      <w:pPr>
        <w:pStyle w:val="2"/>
        <w:ind w:left="862" w:leftChars="205"/>
        <w:rPr>
          <w:rFonts w:hint="eastAsia" w:ascii="仿宋" w:hAnsi="仿宋" w:eastAsia="仿宋" w:cs="仿宋"/>
          <w:highlight w:val="none"/>
        </w:rPr>
      </w:pPr>
      <w:r>
        <w:rPr>
          <w:rFonts w:hint="eastAsia" w:ascii="仿宋" w:hAnsi="仿宋" w:eastAsia="仿宋" w:cs="仿宋"/>
          <w:b w:val="0"/>
          <w:bCs w:val="0"/>
          <w:kern w:val="0"/>
          <w:sz w:val="24"/>
          <w:szCs w:val="24"/>
          <w:highlight w:val="none"/>
          <w:lang w:val="en-US"/>
        </w:rPr>
        <w:t>4.2.14 投标文件不满足招标文件的实质性要求的；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highlight w:val="none"/>
        </w:rPr>
        <w:t>4.2.1</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法律、法规、规章（适用本市的）及省级以上规范性文件</w:t>
      </w:r>
      <w:r>
        <w:rPr>
          <w:rFonts w:hint="eastAsia" w:ascii="仿宋" w:hAnsi="仿宋" w:eastAsia="仿宋" w:cs="仿宋"/>
          <w:kern w:val="0"/>
          <w:sz w:val="24"/>
        </w:rPr>
        <w:t>（适用本市的）规定的其他无效情形。</w:t>
      </w:r>
    </w:p>
    <w:p>
      <w:pPr>
        <w:pStyle w:val="25"/>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5"/>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pPr>
        <w:pStyle w:val="25"/>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pPr>
        <w:pStyle w:val="25"/>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pPr>
        <w:pStyle w:val="25"/>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pPr>
        <w:pStyle w:val="25"/>
        <w:snapToGrid w:val="0"/>
        <w:spacing w:line="360" w:lineRule="auto"/>
        <w:rPr>
          <w:rFonts w:hint="eastAsia" w:ascii="仿宋" w:hAnsi="仿宋" w:eastAsia="仿宋" w:cs="仿宋"/>
        </w:rPr>
      </w:pPr>
      <w:r>
        <w:rPr>
          <w:rFonts w:hint="eastAsia" w:ascii="仿宋" w:hAnsi="仿宋" w:eastAsia="仿宋" w:cs="仿宋"/>
        </w:rPr>
        <w:t>废标后，</w:t>
      </w:r>
      <w:r>
        <w:rPr>
          <w:rFonts w:hint="eastAsia" w:ascii="仿宋" w:hAnsi="仿宋" w:eastAsia="仿宋" w:cs="仿宋"/>
          <w:lang w:eastAsia="zh-CN"/>
        </w:rPr>
        <w:t>采购代理机构</w:t>
      </w:r>
      <w:r>
        <w:rPr>
          <w:rFonts w:hint="eastAsia" w:ascii="仿宋" w:hAnsi="仿宋" w:eastAsia="仿宋" w:cs="仿宋"/>
        </w:rPr>
        <w:t>应当将废标理由通知所有投标人。</w:t>
      </w:r>
    </w:p>
    <w:p>
      <w:pPr>
        <w:pStyle w:val="25"/>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lang w:eastAsia="zh-CN"/>
        </w:rPr>
        <w:t>采购代理机构</w:t>
      </w:r>
      <w:r>
        <w:rPr>
          <w:rFonts w:hint="eastAsia" w:ascii="仿宋" w:hAnsi="仿宋" w:eastAsia="仿宋" w:cs="仿宋"/>
        </w:rPr>
        <w:t>沟通并作书面记录。采购人、</w:t>
      </w:r>
      <w:r>
        <w:rPr>
          <w:rFonts w:hint="eastAsia" w:ascii="仿宋" w:hAnsi="仿宋" w:eastAsia="仿宋" w:cs="仿宋"/>
          <w:lang w:eastAsia="zh-CN"/>
        </w:rPr>
        <w:t>采购代理机构</w:t>
      </w:r>
      <w:r>
        <w:rPr>
          <w:rFonts w:hint="eastAsia" w:ascii="仿宋" w:hAnsi="仿宋" w:eastAsia="仿宋" w:cs="仿宋"/>
        </w:rPr>
        <w:t>确认后，将修改招标文件，重新组织采购活动。</w:t>
      </w:r>
    </w:p>
    <w:p>
      <w:pPr>
        <w:pStyle w:val="25"/>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pPr>
        <w:pStyle w:val="25"/>
        <w:snapToGrid w:val="0"/>
        <w:spacing w:line="360" w:lineRule="auto"/>
        <w:rPr>
          <w:rFonts w:hint="eastAsia" w:ascii="仿宋" w:hAnsi="仿宋" w:eastAsia="仿宋" w:cs="仿宋"/>
        </w:rPr>
      </w:pPr>
      <w:r>
        <w:rPr>
          <w:rFonts w:hint="eastAsia" w:ascii="仿宋" w:hAnsi="仿宋" w:eastAsia="仿宋" w:cs="仿宋"/>
        </w:rPr>
        <w:t>7.1未确定中标供应商的，终止本次政府采购活动，重新开展政府采购活动。</w:t>
      </w:r>
    </w:p>
    <w:p>
      <w:pPr>
        <w:pStyle w:val="25"/>
        <w:snapToGrid w:val="0"/>
        <w:spacing w:line="360" w:lineRule="auto"/>
        <w:rPr>
          <w:rFonts w:hint="eastAsia"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5"/>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bookmarkEnd w:id="27"/>
    <w:p>
      <w:pPr>
        <w:rPr>
          <w:rFonts w:hint="eastAsia" w:ascii="仿宋" w:hAnsi="仿宋" w:eastAsia="仿宋" w:cs="仿宋"/>
          <w:b/>
          <w:sz w:val="36"/>
          <w:szCs w:val="36"/>
        </w:rPr>
      </w:pPr>
      <w:bookmarkStart w:id="393" w:name="第五部分"/>
      <w:bookmarkStart w:id="394" w:name="_Toc86217003"/>
      <w:r>
        <w:rPr>
          <w:rFonts w:hint="eastAsia" w:ascii="仿宋" w:hAnsi="仿宋" w:eastAsia="仿宋" w:cs="仿宋"/>
          <w:b/>
          <w:sz w:val="36"/>
          <w:szCs w:val="36"/>
        </w:rPr>
        <w:br w:type="page"/>
      </w:r>
    </w:p>
    <w:p>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pPr>
        <w:pStyle w:val="702"/>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pPr>
        <w:spacing w:before="120" w:line="22" w:lineRule="atLeast"/>
        <w:rPr>
          <w:rFonts w:hint="eastAsia" w:ascii="仿宋" w:hAnsi="仿宋" w:eastAsia="仿宋" w:cs="仿宋"/>
          <w:color w:val="auto"/>
          <w:sz w:val="24"/>
          <w:highlight w:val="none"/>
        </w:rPr>
      </w:pPr>
    </w:p>
    <w:p>
      <w:pPr>
        <w:pStyle w:val="2"/>
        <w:rPr>
          <w:rFonts w:hint="eastAsia" w:ascii="仿宋" w:hAnsi="仿宋" w:eastAsia="仿宋" w:cs="仿宋"/>
          <w:color w:val="auto"/>
          <w:highlight w:val="none"/>
        </w:rPr>
      </w:pPr>
    </w:p>
    <w:p>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599"/>
        <w:spacing w:before="120" w:line="22" w:lineRule="atLeast"/>
        <w:rPr>
          <w:rFonts w:hint="eastAsia" w:ascii="仿宋" w:hAnsi="仿宋" w:eastAsia="仿宋" w:cs="仿宋"/>
          <w:color w:val="auto"/>
          <w:szCs w:val="24"/>
          <w:highlight w:val="none"/>
        </w:rPr>
      </w:pPr>
    </w:p>
    <w:p>
      <w:pPr>
        <w:pStyle w:val="599"/>
        <w:spacing w:before="120" w:line="22" w:lineRule="atLeast"/>
        <w:rPr>
          <w:rFonts w:hint="eastAsia" w:ascii="仿宋" w:hAnsi="仿宋" w:eastAsia="仿宋" w:cs="仿宋"/>
          <w:color w:val="auto"/>
          <w:szCs w:val="24"/>
          <w:highlight w:val="none"/>
        </w:rPr>
      </w:pPr>
    </w:p>
    <w:p>
      <w:pPr>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cols w:space="720" w:num="1"/>
        </w:sectPr>
      </w:pPr>
    </w:p>
    <w:p>
      <w:pPr>
        <w:rPr>
          <w:rFonts w:hint="eastAsia" w:ascii="仿宋" w:hAnsi="仿宋" w:eastAsia="仿宋" w:cs="仿宋"/>
          <w:b/>
          <w:color w:val="auto"/>
          <w:sz w:val="24"/>
          <w:highlight w:val="none"/>
        </w:rPr>
      </w:pP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(以下简称：采购人)和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(以下简称：供应商)协商一致，约定以下合同</w:t>
      </w:r>
      <w:r>
        <w:rPr>
          <w:rFonts w:hint="eastAsia" w:ascii="仿宋" w:hAnsi="仿宋" w:eastAsia="仿宋" w:cs="仿宋"/>
          <w:color w:val="auto"/>
          <w:sz w:val="24"/>
          <w:highlight w:val="none"/>
        </w:rPr>
        <w:t>条款，以兹共同遵守、全面履行。</w:t>
      </w:r>
    </w:p>
    <w:p>
      <w:pPr>
        <w:spacing w:line="560" w:lineRule="exact"/>
        <w:ind w:firstLine="482" w:firstLineChars="200"/>
        <w:outlineLvl w:val="0"/>
        <w:rPr>
          <w:rFonts w:hint="eastAsia" w:ascii="仿宋" w:hAnsi="仿宋" w:eastAsia="仿宋" w:cs="仿宋"/>
          <w:color w:val="auto"/>
          <w:sz w:val="24"/>
          <w:highlight w:val="none"/>
        </w:rPr>
      </w:pPr>
      <w:bookmarkStart w:id="395" w:name="_Toc20421"/>
      <w:bookmarkStart w:id="396" w:name="_Toc15367"/>
      <w:bookmarkStart w:id="397" w:name="_Toc19273"/>
      <w:bookmarkStart w:id="398" w:name="_Toc28855"/>
      <w:bookmarkStart w:id="399" w:name="_Toc22967"/>
      <w:r>
        <w:rPr>
          <w:rFonts w:hint="eastAsia" w:ascii="仿宋" w:hAnsi="仿宋" w:eastAsia="仿宋" w:cs="仿宋"/>
          <w:b/>
          <w:color w:val="auto"/>
          <w:sz w:val="24"/>
          <w:highlight w:val="none"/>
        </w:rPr>
        <w:t>1.1 合同组成部分</w:t>
      </w:r>
      <w:bookmarkEnd w:id="395"/>
      <w:bookmarkEnd w:id="396"/>
      <w:bookmarkEnd w:id="397"/>
      <w:bookmarkEnd w:id="398"/>
      <w:bookmarkEnd w:id="39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spacing w:line="560" w:lineRule="exact"/>
        <w:ind w:firstLine="482" w:firstLineChars="200"/>
        <w:outlineLvl w:val="0"/>
        <w:rPr>
          <w:rFonts w:hint="eastAsia" w:ascii="仿宋" w:hAnsi="仿宋" w:eastAsia="仿宋" w:cs="仿宋"/>
          <w:b/>
          <w:color w:val="auto"/>
          <w:sz w:val="24"/>
          <w:highlight w:val="none"/>
        </w:rPr>
      </w:pPr>
      <w:bookmarkStart w:id="400" w:name="_Toc22185"/>
      <w:bookmarkStart w:id="401" w:name="_Toc2918"/>
      <w:bookmarkStart w:id="402" w:name="_Toc6311"/>
      <w:bookmarkStart w:id="403" w:name="_Toc18585"/>
      <w:bookmarkStart w:id="404" w:name="_Toc6773"/>
      <w:r>
        <w:rPr>
          <w:rFonts w:hint="eastAsia" w:ascii="仿宋" w:hAnsi="仿宋" w:eastAsia="仿宋" w:cs="仿宋"/>
          <w:b/>
          <w:color w:val="auto"/>
          <w:sz w:val="24"/>
          <w:highlight w:val="none"/>
        </w:rPr>
        <w:t>1.2 标的</w:t>
      </w:r>
      <w:bookmarkEnd w:id="400"/>
      <w:bookmarkEnd w:id="401"/>
      <w:bookmarkEnd w:id="402"/>
      <w:bookmarkEnd w:id="403"/>
      <w:bookmarkEnd w:id="404"/>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pPr>
        <w:spacing w:line="560" w:lineRule="exact"/>
        <w:ind w:firstLine="480" w:firstLineChars="200"/>
        <w:rPr>
          <w:rFonts w:hint="eastAsia" w:ascii="仿宋" w:hAnsi="仿宋" w:eastAsia="仿宋" w:cs="仿宋"/>
          <w:color w:val="auto"/>
          <w:sz w:val="24"/>
          <w:highlight w:val="none"/>
          <w:u w:val="single"/>
        </w:rPr>
      </w:pPr>
      <w:bookmarkStart w:id="405" w:name="_Toc13918"/>
      <w:bookmarkStart w:id="406" w:name="_Toc4929"/>
      <w:bookmarkStart w:id="407" w:name="_Toc5635"/>
      <w:bookmarkStart w:id="408" w:name="_Toc1386"/>
      <w:bookmarkStart w:id="409" w:name="_Toc21124"/>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5"/>
      <w:bookmarkEnd w:id="406"/>
      <w:bookmarkEnd w:id="407"/>
      <w:bookmarkEnd w:id="408"/>
      <w:bookmarkEnd w:id="40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rPr>
          <w:trHeight w:val="369" w:hRule="atLeast"/>
          <w:jc w:val="center"/>
        </w:trPr>
        <w:tc>
          <w:tcPr>
            <w:tcW w:w="1201" w:type="dxa"/>
            <w:vAlign w:val="center"/>
          </w:tcPr>
          <w:p>
            <w:pPr>
              <w:pStyle w:val="320"/>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pPr>
              <w:pStyle w:val="320"/>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pPr>
              <w:pStyle w:val="320"/>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rPr>
          <w:trHeight w:val="369" w:hRule="atLeast"/>
          <w:jc w:val="center"/>
        </w:trPr>
        <w:tc>
          <w:tcPr>
            <w:tcW w:w="1201" w:type="dxa"/>
            <w:vAlign w:val="center"/>
          </w:tcPr>
          <w:p>
            <w:pPr>
              <w:pStyle w:val="320"/>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20"/>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20"/>
              <w:spacing w:line="560" w:lineRule="exact"/>
              <w:ind w:firstLine="200"/>
              <w:jc w:val="center"/>
              <w:rPr>
                <w:rFonts w:hint="eastAsia" w:ascii="仿宋" w:hAnsi="仿宋" w:eastAsia="仿宋" w:cs="仿宋"/>
                <w:color w:val="auto"/>
                <w:sz w:val="24"/>
                <w:szCs w:val="24"/>
                <w:highlight w:val="none"/>
              </w:rPr>
            </w:pPr>
          </w:p>
        </w:tc>
      </w:tr>
      <w:tr>
        <w:trPr>
          <w:trHeight w:val="369" w:hRule="atLeast"/>
          <w:jc w:val="center"/>
        </w:trPr>
        <w:tc>
          <w:tcPr>
            <w:tcW w:w="1201" w:type="dxa"/>
            <w:vAlign w:val="center"/>
          </w:tcPr>
          <w:p>
            <w:pPr>
              <w:pStyle w:val="320"/>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20"/>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20"/>
              <w:spacing w:line="560" w:lineRule="exact"/>
              <w:ind w:firstLine="200"/>
              <w:jc w:val="center"/>
              <w:rPr>
                <w:rFonts w:hint="eastAsia" w:ascii="仿宋" w:hAnsi="仿宋" w:eastAsia="仿宋" w:cs="仿宋"/>
                <w:color w:val="auto"/>
                <w:sz w:val="24"/>
                <w:szCs w:val="24"/>
                <w:highlight w:val="none"/>
              </w:rPr>
            </w:pPr>
          </w:p>
        </w:tc>
      </w:tr>
      <w:tr>
        <w:trPr>
          <w:trHeight w:val="369" w:hRule="atLeast"/>
          <w:jc w:val="center"/>
        </w:trPr>
        <w:tc>
          <w:tcPr>
            <w:tcW w:w="1201" w:type="dxa"/>
            <w:vAlign w:val="center"/>
          </w:tcPr>
          <w:p>
            <w:pPr>
              <w:pStyle w:val="320"/>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20"/>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20"/>
              <w:spacing w:line="560" w:lineRule="exact"/>
              <w:ind w:firstLine="200"/>
              <w:jc w:val="center"/>
              <w:rPr>
                <w:rFonts w:hint="eastAsia" w:ascii="仿宋" w:hAnsi="仿宋" w:eastAsia="仿宋" w:cs="仿宋"/>
                <w:color w:val="auto"/>
                <w:sz w:val="24"/>
                <w:szCs w:val="24"/>
                <w:highlight w:val="none"/>
              </w:rPr>
            </w:pPr>
          </w:p>
        </w:tc>
      </w:tr>
      <w:tr>
        <w:trPr>
          <w:trHeight w:val="369" w:hRule="atLeast"/>
          <w:jc w:val="center"/>
        </w:trPr>
        <w:tc>
          <w:tcPr>
            <w:tcW w:w="1201" w:type="dxa"/>
            <w:vAlign w:val="center"/>
          </w:tcPr>
          <w:p>
            <w:pPr>
              <w:pStyle w:val="320"/>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20"/>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20"/>
              <w:spacing w:line="560" w:lineRule="exact"/>
              <w:ind w:firstLine="200"/>
              <w:jc w:val="center"/>
              <w:rPr>
                <w:rFonts w:hint="eastAsia" w:ascii="仿宋" w:hAnsi="仿宋" w:eastAsia="仿宋" w:cs="仿宋"/>
                <w:color w:val="auto"/>
                <w:sz w:val="24"/>
                <w:szCs w:val="24"/>
                <w:highlight w:val="none"/>
              </w:rPr>
            </w:pPr>
          </w:p>
        </w:tc>
      </w:tr>
      <w:tr>
        <w:trPr>
          <w:trHeight w:val="369" w:hRule="atLeast"/>
          <w:jc w:val="center"/>
        </w:trPr>
        <w:tc>
          <w:tcPr>
            <w:tcW w:w="4603" w:type="dxa"/>
            <w:gridSpan w:val="2"/>
            <w:vAlign w:val="center"/>
          </w:tcPr>
          <w:p>
            <w:pPr>
              <w:pStyle w:val="320"/>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pPr>
              <w:pStyle w:val="320"/>
              <w:spacing w:line="560" w:lineRule="exact"/>
              <w:ind w:firstLine="200"/>
              <w:jc w:val="center"/>
              <w:rPr>
                <w:rFonts w:hint="eastAsia" w:ascii="仿宋" w:hAnsi="仿宋" w:eastAsia="仿宋" w:cs="仿宋"/>
                <w:color w:val="auto"/>
                <w:sz w:val="24"/>
                <w:szCs w:val="24"/>
                <w:highlight w:val="none"/>
              </w:rPr>
            </w:pPr>
          </w:p>
        </w:tc>
      </w:tr>
    </w:tbl>
    <w:p>
      <w:pPr>
        <w:spacing w:line="560" w:lineRule="exact"/>
        <w:ind w:firstLine="480" w:firstLineChars="200"/>
        <w:rPr>
          <w:rFonts w:hint="eastAsia" w:ascii="仿宋" w:hAnsi="仿宋" w:eastAsia="仿宋" w:cs="仿宋"/>
          <w:color w:val="auto"/>
          <w:sz w:val="24"/>
          <w:highlight w:val="none"/>
        </w:rPr>
      </w:pPr>
      <w:bookmarkStart w:id="410" w:name="_Toc30158"/>
      <w:bookmarkStart w:id="411" w:name="_Toc14993"/>
      <w:bookmarkStart w:id="412" w:name="_Toc3654"/>
      <w:bookmarkStart w:id="413" w:name="_Toc30506"/>
      <w:bookmarkStart w:id="414" w:name="_Toc26916"/>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pStyle w:val="2"/>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10"/>
    <w:bookmarkEnd w:id="411"/>
    <w:bookmarkEnd w:id="412"/>
    <w:bookmarkEnd w:id="413"/>
    <w:bookmarkEnd w:id="414"/>
    <w:p>
      <w:pPr>
        <w:pStyle w:val="960"/>
        <w:spacing w:before="0" w:beforeAutospacing="0" w:after="0" w:afterAutospacing="0" w:line="360" w:lineRule="auto"/>
        <w:ind w:firstLine="480"/>
        <w:rPr>
          <w:rFonts w:hint="eastAsia" w:ascii="仿宋" w:hAnsi="仿宋" w:eastAsia="仿宋" w:cs="仿宋"/>
          <w:b/>
          <w:color w:val="auto"/>
          <w:highlight w:val="none"/>
        </w:rPr>
      </w:pPr>
      <w:bookmarkStart w:id="415" w:name="_Toc10340"/>
      <w:bookmarkStart w:id="416" w:name="_Toc1814"/>
      <w:bookmarkStart w:id="417" w:name="_Toc22618"/>
      <w:bookmarkStart w:id="418" w:name="_Toc11108"/>
      <w:bookmarkStart w:id="419" w:name="_Toc3625"/>
      <w:bookmarkStart w:id="420" w:name="_Toc31421"/>
      <w:bookmarkStart w:id="421" w:name="_Toc8772"/>
      <w:bookmarkStart w:id="422" w:name="_Toc4760"/>
      <w:r>
        <w:rPr>
          <w:rFonts w:hint="eastAsia" w:ascii="仿宋" w:hAnsi="仿宋" w:eastAsia="仿宋" w:cs="仿宋"/>
          <w:b/>
          <w:color w:val="auto"/>
          <w:highlight w:val="none"/>
        </w:rPr>
        <w:t>1.4履约保证金</w:t>
      </w:r>
    </w:p>
    <w:p>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2"/>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w:t>
      </w:r>
      <w:r>
        <w:rPr>
          <w:rFonts w:hint="eastAsia" w:ascii="仿宋" w:hAnsi="仿宋" w:eastAsia="仿宋" w:cs="仿宋"/>
          <w:b w:val="0"/>
          <w:bCs w:val="0"/>
          <w:color w:val="auto"/>
          <w:kern w:val="0"/>
          <w:sz w:val="24"/>
          <w:szCs w:val="24"/>
          <w:highlight w:val="none"/>
          <w:lang w:val="en-US" w:eastAsia="zh-CN"/>
        </w:rPr>
        <w:t>供应商</w:t>
      </w:r>
      <w:r>
        <w:rPr>
          <w:rFonts w:hint="eastAsia" w:ascii="仿宋" w:hAnsi="仿宋" w:eastAsia="仿宋" w:cs="仿宋"/>
          <w:b w:val="0"/>
          <w:bCs w:val="0"/>
          <w:color w:val="auto"/>
          <w:kern w:val="0"/>
          <w:sz w:val="24"/>
          <w:szCs w:val="24"/>
          <w:highlight w:val="none"/>
          <w:lang w:val="en-US"/>
        </w:rPr>
        <w:t>不履行合同，履约保证金不予退还；如果</w:t>
      </w:r>
      <w:r>
        <w:rPr>
          <w:rFonts w:hint="eastAsia" w:ascii="仿宋" w:hAnsi="仿宋" w:eastAsia="仿宋" w:cs="仿宋"/>
          <w:b w:val="0"/>
          <w:bCs w:val="0"/>
          <w:color w:val="auto"/>
          <w:kern w:val="0"/>
          <w:sz w:val="24"/>
          <w:szCs w:val="24"/>
          <w:highlight w:val="none"/>
          <w:lang w:val="en-US" w:eastAsia="zh-CN"/>
        </w:rPr>
        <w:t>供应商</w:t>
      </w:r>
      <w:r>
        <w:rPr>
          <w:rFonts w:hint="eastAsia" w:ascii="仿宋" w:hAnsi="仿宋" w:eastAsia="仿宋" w:cs="仿宋"/>
          <w:b w:val="0"/>
          <w:bCs w:val="0"/>
          <w:color w:val="auto"/>
          <w:kern w:val="0"/>
          <w:sz w:val="24"/>
          <w:szCs w:val="24"/>
          <w:highlight w:val="none"/>
          <w:lang w:val="en-US"/>
        </w:rPr>
        <w:t>未能按合同约定全面履行义务，那么</w:t>
      </w:r>
      <w:r>
        <w:rPr>
          <w:rFonts w:hint="eastAsia" w:ascii="仿宋" w:hAnsi="仿宋" w:eastAsia="仿宋" w:cs="仿宋"/>
          <w:b w:val="0"/>
          <w:bCs w:val="0"/>
          <w:color w:val="auto"/>
          <w:kern w:val="0"/>
          <w:sz w:val="24"/>
          <w:szCs w:val="24"/>
          <w:highlight w:val="none"/>
          <w:lang w:val="en-US" w:eastAsia="zh-CN"/>
        </w:rPr>
        <w:t>采购人</w:t>
      </w:r>
      <w:r>
        <w:rPr>
          <w:rFonts w:hint="eastAsia" w:ascii="仿宋" w:hAnsi="仿宋" w:eastAsia="仿宋" w:cs="仿宋"/>
          <w:b w:val="0"/>
          <w:bCs w:val="0"/>
          <w:color w:val="auto"/>
          <w:kern w:val="0"/>
          <w:sz w:val="24"/>
          <w:szCs w:val="24"/>
          <w:highlight w:val="none"/>
          <w:lang w:val="en-US"/>
        </w:rPr>
        <w:t>有权从履约保证金中取得补偿或赔偿，同时不影响</w:t>
      </w:r>
      <w:r>
        <w:rPr>
          <w:rFonts w:hint="eastAsia" w:ascii="仿宋" w:hAnsi="仿宋" w:eastAsia="仿宋" w:cs="仿宋"/>
          <w:b w:val="0"/>
          <w:bCs w:val="0"/>
          <w:color w:val="auto"/>
          <w:kern w:val="0"/>
          <w:sz w:val="24"/>
          <w:szCs w:val="24"/>
          <w:highlight w:val="none"/>
          <w:lang w:val="en-US" w:eastAsia="zh-CN"/>
        </w:rPr>
        <w:t>采购人</w:t>
      </w:r>
      <w:r>
        <w:rPr>
          <w:rFonts w:hint="eastAsia" w:ascii="仿宋" w:hAnsi="仿宋" w:eastAsia="仿宋" w:cs="仿宋"/>
          <w:b w:val="0"/>
          <w:bCs w:val="0"/>
          <w:color w:val="auto"/>
          <w:kern w:val="0"/>
          <w:sz w:val="24"/>
          <w:szCs w:val="24"/>
          <w:highlight w:val="none"/>
          <w:lang w:val="en-US"/>
        </w:rPr>
        <w:t>要求</w:t>
      </w:r>
      <w:r>
        <w:rPr>
          <w:rFonts w:hint="eastAsia" w:ascii="仿宋" w:hAnsi="仿宋" w:eastAsia="仿宋" w:cs="仿宋"/>
          <w:b w:val="0"/>
          <w:bCs w:val="0"/>
          <w:color w:val="auto"/>
          <w:kern w:val="0"/>
          <w:sz w:val="24"/>
          <w:szCs w:val="24"/>
          <w:highlight w:val="none"/>
          <w:lang w:val="en-US" w:eastAsia="zh-CN"/>
        </w:rPr>
        <w:t>供应商</w:t>
      </w:r>
      <w:r>
        <w:rPr>
          <w:rFonts w:hint="eastAsia" w:ascii="仿宋" w:hAnsi="仿宋" w:eastAsia="仿宋" w:cs="仿宋"/>
          <w:b w:val="0"/>
          <w:bCs w:val="0"/>
          <w:color w:val="auto"/>
          <w:kern w:val="0"/>
          <w:sz w:val="24"/>
          <w:szCs w:val="24"/>
          <w:highlight w:val="none"/>
          <w:lang w:val="en-US"/>
        </w:rPr>
        <w:t>承担合同约定的超过履约保证金的违约责任的权利；</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在项目验收结束后及时退还履约保证金。</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，逾期退还的，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可要求</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5"/>
      <w:bookmarkEnd w:id="416"/>
      <w:bookmarkEnd w:id="417"/>
      <w:r>
        <w:rPr>
          <w:rFonts w:hint="eastAsia" w:ascii="仿宋" w:hAnsi="仿宋" w:eastAsia="仿宋" w:cs="仿宋"/>
          <w:b/>
          <w:color w:val="auto"/>
          <w:sz w:val="24"/>
          <w:highlight w:val="none"/>
        </w:rPr>
        <w:t>预付款</w:t>
      </w:r>
    </w:p>
    <w:p>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lang w:eastAsia="zh-CN"/>
        </w:rPr>
        <w:t>采购人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60"/>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60"/>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w:t>
      </w:r>
      <w:r>
        <w:rPr>
          <w:rFonts w:hint="eastAsia" w:ascii="仿宋" w:hAnsi="仿宋" w:eastAsia="仿宋" w:cs="仿宋"/>
          <w:color w:val="auto"/>
          <w:highlight w:val="none"/>
          <w:lang w:eastAsia="zh-CN"/>
        </w:rPr>
        <w:t>采购人</w:t>
      </w:r>
      <w:r>
        <w:rPr>
          <w:rFonts w:hint="eastAsia" w:ascii="仿宋" w:hAnsi="仿宋" w:eastAsia="仿宋" w:cs="仿宋"/>
          <w:color w:val="auto"/>
          <w:highlight w:val="none"/>
        </w:rPr>
        <w:t>应严格履行合同，及时组织验收，验收合格后及时将合同款支付完毕。对于满足合同约定支付条件的，</w:t>
      </w:r>
      <w:r>
        <w:rPr>
          <w:rFonts w:hint="eastAsia" w:ascii="仿宋" w:hAnsi="仿宋" w:eastAsia="仿宋" w:cs="仿宋"/>
          <w:color w:val="auto"/>
          <w:highlight w:val="none"/>
          <w:lang w:eastAsia="zh-CN"/>
        </w:rPr>
        <w:t>采购人</w:t>
      </w:r>
      <w:r>
        <w:rPr>
          <w:rFonts w:hint="eastAsia" w:ascii="仿宋" w:hAnsi="仿宋" w:eastAsia="仿宋" w:cs="仿宋"/>
          <w:color w:val="auto"/>
          <w:highlight w:val="none"/>
        </w:rPr>
        <w:t>自收到发票后5个工作日内将资金支付到合同约定的</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账户，有条件的</w:t>
      </w:r>
      <w:r>
        <w:rPr>
          <w:rFonts w:hint="eastAsia" w:ascii="仿宋" w:hAnsi="仿宋" w:eastAsia="仿宋" w:cs="仿宋"/>
          <w:color w:val="auto"/>
          <w:highlight w:val="none"/>
          <w:lang w:eastAsia="zh-CN"/>
        </w:rPr>
        <w:t>采购人</w:t>
      </w:r>
      <w:r>
        <w:rPr>
          <w:rFonts w:hint="eastAsia" w:ascii="仿宋" w:hAnsi="仿宋" w:eastAsia="仿宋" w:cs="仿宋"/>
          <w:color w:val="auto"/>
          <w:highlight w:val="none"/>
        </w:rPr>
        <w:t>可以即时支付。</w:t>
      </w:r>
      <w:r>
        <w:rPr>
          <w:rFonts w:hint="eastAsia" w:ascii="仿宋" w:hAnsi="仿宋" w:eastAsia="仿宋" w:cs="仿宋"/>
          <w:color w:val="auto"/>
          <w:highlight w:val="none"/>
          <w:lang w:eastAsia="zh-CN"/>
        </w:rPr>
        <w:t>采购人</w:t>
      </w:r>
      <w:r>
        <w:rPr>
          <w:rFonts w:hint="eastAsia" w:ascii="仿宋" w:hAnsi="仿宋" w:eastAsia="仿宋" w:cs="仿宋"/>
          <w:color w:val="auto"/>
          <w:highlight w:val="none"/>
        </w:rPr>
        <w:t>不得以机构变动、人员更替、政策调整、单位放假等为由延迟付款。</w:t>
      </w:r>
    </w:p>
    <w:p>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8"/>
      <w:bookmarkEnd w:id="419"/>
      <w:bookmarkEnd w:id="420"/>
      <w:bookmarkEnd w:id="421"/>
      <w:bookmarkEnd w:id="422"/>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outlineLvl w:val="0"/>
        <w:rPr>
          <w:rFonts w:hint="eastAsia" w:ascii="仿宋" w:hAnsi="仿宋" w:eastAsia="仿宋" w:cs="仿宋"/>
          <w:bCs/>
          <w:color w:val="auto"/>
          <w:sz w:val="24"/>
          <w:highlight w:val="none"/>
        </w:rPr>
      </w:pPr>
      <w:bookmarkStart w:id="423" w:name="_Toc3079"/>
      <w:bookmarkStart w:id="424" w:name="_Toc2375"/>
      <w:bookmarkStart w:id="425" w:name="_Toc5698"/>
      <w:bookmarkStart w:id="426" w:name="_Toc8586"/>
      <w:bookmarkStart w:id="427" w:name="_Toc24662"/>
      <w:r>
        <w:rPr>
          <w:rFonts w:hint="eastAsia" w:ascii="仿宋" w:hAnsi="仿宋" w:eastAsia="仿宋" w:cs="仿宋"/>
          <w:bCs/>
          <w:color w:val="auto"/>
          <w:sz w:val="24"/>
          <w:highlight w:val="none"/>
        </w:rPr>
        <w:t>1.7.4若服务涉及货物的，则货物的：</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3"/>
      <w:bookmarkEnd w:id="424"/>
      <w:bookmarkEnd w:id="425"/>
      <w:bookmarkEnd w:id="426"/>
      <w:bookmarkEnd w:id="42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没有按照本合同约定的期限、地点和方式交付服务成果或者实施服务，那么</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可要求</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有权在要求</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支付违约金的同时，书面通知</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解除本合同；</w:t>
      </w:r>
    </w:p>
    <w:p>
      <w:pPr>
        <w:pStyle w:val="2"/>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w:t>
      </w:r>
      <w:r>
        <w:rPr>
          <w:rFonts w:hint="eastAsia" w:ascii="仿宋" w:hAnsi="仿宋" w:eastAsia="仿宋" w:cs="仿宋"/>
          <w:b w:val="0"/>
          <w:bCs w:val="0"/>
          <w:color w:val="auto"/>
          <w:sz w:val="24"/>
          <w:szCs w:val="24"/>
          <w:highlight w:val="none"/>
          <w:lang w:val="en-US" w:eastAsia="zh-CN"/>
        </w:rPr>
        <w:t>供应商</w:t>
      </w:r>
      <w:r>
        <w:rPr>
          <w:rFonts w:hint="eastAsia" w:ascii="仿宋" w:hAnsi="仿宋" w:eastAsia="仿宋" w:cs="仿宋"/>
          <w:b w:val="0"/>
          <w:bCs w:val="0"/>
          <w:color w:val="auto"/>
          <w:sz w:val="24"/>
          <w:szCs w:val="24"/>
          <w:highlight w:val="none"/>
          <w:lang w:val="en-US"/>
        </w:rPr>
        <w:t>没有按照本合同约定的期限、地点和方式交付货物，那么</w:t>
      </w:r>
      <w:r>
        <w:rPr>
          <w:rFonts w:hint="eastAsia" w:ascii="仿宋" w:hAnsi="仿宋" w:eastAsia="仿宋" w:cs="仿宋"/>
          <w:b w:val="0"/>
          <w:bCs w:val="0"/>
          <w:color w:val="auto"/>
          <w:sz w:val="24"/>
          <w:szCs w:val="24"/>
          <w:highlight w:val="none"/>
          <w:lang w:val="en-US" w:eastAsia="zh-CN"/>
        </w:rPr>
        <w:t>采购人</w:t>
      </w:r>
      <w:r>
        <w:rPr>
          <w:rFonts w:hint="eastAsia" w:ascii="仿宋" w:hAnsi="仿宋" w:eastAsia="仿宋" w:cs="仿宋"/>
          <w:b w:val="0"/>
          <w:bCs w:val="0"/>
          <w:color w:val="auto"/>
          <w:sz w:val="24"/>
          <w:szCs w:val="24"/>
          <w:highlight w:val="none"/>
          <w:lang w:val="en-US"/>
        </w:rPr>
        <w:t>可要求</w:t>
      </w:r>
      <w:r>
        <w:rPr>
          <w:rFonts w:hint="eastAsia" w:ascii="仿宋" w:hAnsi="仿宋" w:eastAsia="仿宋" w:cs="仿宋"/>
          <w:b w:val="0"/>
          <w:bCs w:val="0"/>
          <w:color w:val="auto"/>
          <w:sz w:val="24"/>
          <w:szCs w:val="24"/>
          <w:highlight w:val="none"/>
          <w:lang w:val="en-US" w:eastAsia="zh-CN"/>
        </w:rPr>
        <w:t>供应商</w:t>
      </w:r>
      <w:r>
        <w:rPr>
          <w:rFonts w:hint="eastAsia" w:ascii="仿宋" w:hAnsi="仿宋" w:eastAsia="仿宋" w:cs="仿宋"/>
          <w:b w:val="0"/>
          <w:bCs w:val="0"/>
          <w:color w:val="auto"/>
          <w:sz w:val="24"/>
          <w:szCs w:val="24"/>
          <w:highlight w:val="none"/>
          <w:lang w:val="en-US"/>
        </w:rPr>
        <w:t>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w:t>
      </w:r>
      <w:r>
        <w:rPr>
          <w:rFonts w:hint="eastAsia" w:ascii="仿宋" w:hAnsi="仿宋" w:eastAsia="仿宋" w:cs="仿宋"/>
          <w:b w:val="0"/>
          <w:bCs w:val="0"/>
          <w:color w:val="auto"/>
          <w:sz w:val="24"/>
          <w:szCs w:val="24"/>
          <w:highlight w:val="none"/>
          <w:lang w:val="en-US" w:eastAsia="zh-CN"/>
        </w:rPr>
        <w:t>采购人</w:t>
      </w:r>
      <w:r>
        <w:rPr>
          <w:rFonts w:hint="eastAsia" w:ascii="仿宋" w:hAnsi="仿宋" w:eastAsia="仿宋" w:cs="仿宋"/>
          <w:b w:val="0"/>
          <w:bCs w:val="0"/>
          <w:color w:val="auto"/>
          <w:sz w:val="24"/>
          <w:szCs w:val="24"/>
          <w:highlight w:val="none"/>
          <w:lang w:val="en-US"/>
        </w:rPr>
        <w:t>有权在要求</w:t>
      </w:r>
      <w:r>
        <w:rPr>
          <w:rFonts w:hint="eastAsia" w:ascii="仿宋" w:hAnsi="仿宋" w:eastAsia="仿宋" w:cs="仿宋"/>
          <w:b w:val="0"/>
          <w:bCs w:val="0"/>
          <w:color w:val="auto"/>
          <w:sz w:val="24"/>
          <w:szCs w:val="24"/>
          <w:highlight w:val="none"/>
          <w:lang w:val="en-US" w:eastAsia="zh-CN"/>
        </w:rPr>
        <w:t>供应商</w:t>
      </w:r>
      <w:r>
        <w:rPr>
          <w:rFonts w:hint="eastAsia" w:ascii="仿宋" w:hAnsi="仿宋" w:eastAsia="仿宋" w:cs="仿宋"/>
          <w:b w:val="0"/>
          <w:bCs w:val="0"/>
          <w:color w:val="auto"/>
          <w:sz w:val="24"/>
          <w:szCs w:val="24"/>
          <w:highlight w:val="none"/>
          <w:lang w:val="en-US"/>
        </w:rPr>
        <w:t>支付违约金的同时，书面通知</w:t>
      </w:r>
      <w:r>
        <w:rPr>
          <w:rFonts w:hint="eastAsia" w:ascii="仿宋" w:hAnsi="仿宋" w:eastAsia="仿宋" w:cs="仿宋"/>
          <w:b w:val="0"/>
          <w:bCs w:val="0"/>
          <w:color w:val="auto"/>
          <w:sz w:val="24"/>
          <w:szCs w:val="24"/>
          <w:highlight w:val="none"/>
          <w:lang w:val="en-US" w:eastAsia="zh-CN"/>
        </w:rPr>
        <w:t>供应商</w:t>
      </w:r>
      <w:r>
        <w:rPr>
          <w:rFonts w:hint="eastAsia" w:ascii="仿宋" w:hAnsi="仿宋" w:eastAsia="仿宋" w:cs="仿宋"/>
          <w:b w:val="0"/>
          <w:bCs w:val="0"/>
          <w:color w:val="auto"/>
          <w:sz w:val="24"/>
          <w:szCs w:val="24"/>
          <w:highlight w:val="none"/>
          <w:lang w:val="en-US"/>
        </w:rPr>
        <w:t>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没有按照本合同约定的付款方式付款，那么</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可要求</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有权在要求</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支付违约金的同时，书面通知</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解除本合同；</w:t>
      </w:r>
    </w:p>
    <w:p>
      <w:pPr>
        <w:spacing w:line="560" w:lineRule="exact"/>
        <w:ind w:firstLine="480" w:firstLineChars="200"/>
        <w:rPr>
          <w:rFonts w:hint="eastAsia" w:ascii="仿宋" w:hAnsi="仿宋" w:eastAsia="仿宋" w:cs="仿宋"/>
          <w:color w:val="auto"/>
          <w:sz w:val="24"/>
          <w:highlight w:val="none"/>
        </w:rPr>
      </w:pPr>
      <w:bookmarkStart w:id="428" w:name="_Toc26807"/>
      <w:bookmarkStart w:id="429" w:name="_Toc9497"/>
      <w:bookmarkStart w:id="430" w:name="_Toc18683"/>
      <w:bookmarkStart w:id="431" w:name="_Toc30329"/>
      <w:bookmarkStart w:id="432" w:name="_Toc32454"/>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暂停采购活动的情形，或者询问或质疑事项可能影响中标或者成交结果的，导致</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中止履行合同的情形，均不视为</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违约。</w:t>
      </w:r>
    </w:p>
    <w:p>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8"/>
    <w:bookmarkEnd w:id="429"/>
    <w:bookmarkEnd w:id="430"/>
    <w:bookmarkEnd w:id="431"/>
    <w:bookmarkEnd w:id="432"/>
    <w:p>
      <w:pPr>
        <w:spacing w:line="560" w:lineRule="exact"/>
        <w:ind w:firstLine="482" w:firstLineChars="200"/>
        <w:outlineLvl w:val="0"/>
        <w:rPr>
          <w:rFonts w:hint="eastAsia" w:ascii="仿宋" w:hAnsi="仿宋" w:eastAsia="仿宋" w:cs="仿宋"/>
          <w:b/>
          <w:color w:val="auto"/>
          <w:sz w:val="24"/>
          <w:highlight w:val="none"/>
        </w:rPr>
      </w:pPr>
      <w:bookmarkStart w:id="433" w:name="_Toc16021"/>
      <w:bookmarkStart w:id="434" w:name="_Toc28375"/>
      <w:bookmarkStart w:id="435" w:name="_Toc15583"/>
      <w:r>
        <w:rPr>
          <w:rFonts w:hint="eastAsia" w:ascii="仿宋" w:hAnsi="仿宋" w:eastAsia="仿宋" w:cs="仿宋"/>
          <w:b/>
          <w:color w:val="auto"/>
          <w:sz w:val="24"/>
          <w:highlight w:val="none"/>
        </w:rPr>
        <w:t>1.9合同争议的解决</w:t>
      </w:r>
      <w:bookmarkEnd w:id="433"/>
      <w:bookmarkEnd w:id="434"/>
      <w:bookmarkEnd w:id="435"/>
    </w:p>
    <w:p>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pPr>
        <w:spacing w:line="560" w:lineRule="exact"/>
        <w:ind w:firstLine="482" w:firstLineChars="200"/>
        <w:outlineLvl w:val="0"/>
        <w:rPr>
          <w:rFonts w:hint="eastAsia" w:ascii="仿宋" w:hAnsi="仿宋" w:eastAsia="仿宋" w:cs="仿宋"/>
          <w:b/>
          <w:color w:val="auto"/>
          <w:sz w:val="24"/>
          <w:highlight w:val="none"/>
        </w:rPr>
      </w:pPr>
      <w:bookmarkStart w:id="436" w:name="_Toc15322"/>
      <w:bookmarkStart w:id="437" w:name="_Toc7245"/>
      <w:bookmarkStart w:id="438" w:name="_Toc11173"/>
      <w:r>
        <w:rPr>
          <w:rFonts w:hint="eastAsia" w:ascii="仿宋" w:hAnsi="仿宋" w:eastAsia="仿宋" w:cs="仿宋"/>
          <w:b/>
          <w:color w:val="auto"/>
          <w:sz w:val="24"/>
          <w:highlight w:val="none"/>
        </w:rPr>
        <w:t>2.0 合同生效</w:t>
      </w:r>
      <w:bookmarkEnd w:id="436"/>
      <w:bookmarkEnd w:id="437"/>
      <w:bookmarkEnd w:id="438"/>
    </w:p>
    <w:p>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采购人</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供应商</w:t>
      </w:r>
      <w:r>
        <w:rPr>
          <w:rFonts w:hint="eastAsia" w:ascii="仿宋" w:hAnsi="仿宋" w:eastAsia="仿宋" w:cs="仿宋"/>
          <w:color w:val="auto"/>
          <w:sz w:val="24"/>
          <w:highlight w:val="none"/>
          <w:lang w:val="zh-CN"/>
        </w:rPr>
        <w:t>：</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pPr>
        <w:widowControl/>
        <w:spacing w:line="560" w:lineRule="exact"/>
        <w:jc w:val="left"/>
        <w:rPr>
          <w:rFonts w:hint="eastAsia" w:ascii="仿宋" w:hAnsi="仿宋" w:eastAsia="仿宋" w:cs="仿宋"/>
          <w:b/>
          <w:color w:val="auto"/>
          <w:sz w:val="24"/>
          <w:highlight w:val="none"/>
        </w:rPr>
      </w:pPr>
    </w:p>
    <w:p>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pPr>
        <w:pStyle w:val="702"/>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p>
    <w:p>
      <w:pPr>
        <w:spacing w:line="560" w:lineRule="exact"/>
        <w:ind w:firstLine="482" w:firstLineChars="200"/>
        <w:outlineLvl w:val="0"/>
        <w:rPr>
          <w:rFonts w:hint="eastAsia" w:ascii="仿宋" w:hAnsi="仿宋" w:eastAsia="仿宋" w:cs="仿宋"/>
          <w:b/>
          <w:sz w:val="24"/>
        </w:rPr>
      </w:pPr>
      <w:bookmarkStart w:id="439" w:name="_Toc31297"/>
      <w:bookmarkStart w:id="440" w:name="_Toc25079"/>
      <w:bookmarkStart w:id="441" w:name="_Toc19680"/>
      <w:bookmarkStart w:id="442" w:name="_Toc14021"/>
      <w:bookmarkStart w:id="443" w:name="_Toc5228"/>
      <w:r>
        <w:rPr>
          <w:rFonts w:hint="eastAsia" w:ascii="仿宋" w:hAnsi="仿宋" w:eastAsia="仿宋" w:cs="仿宋"/>
          <w:b/>
          <w:sz w:val="24"/>
        </w:rPr>
        <w:t>2.1 定义</w:t>
      </w:r>
      <w:bookmarkEnd w:id="439"/>
      <w:bookmarkEnd w:id="440"/>
      <w:bookmarkEnd w:id="441"/>
      <w:bookmarkEnd w:id="442"/>
      <w:bookmarkEnd w:id="443"/>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2.1.6 “现场”系指合同约定提供服务的地点。</w:t>
      </w:r>
    </w:p>
    <w:p>
      <w:pPr>
        <w:spacing w:line="560" w:lineRule="exact"/>
        <w:ind w:firstLine="482" w:firstLineChars="200"/>
        <w:outlineLvl w:val="0"/>
        <w:rPr>
          <w:rFonts w:hint="eastAsia" w:ascii="仿宋" w:hAnsi="仿宋" w:eastAsia="仿宋" w:cs="仿宋"/>
          <w:b/>
          <w:sz w:val="24"/>
        </w:rPr>
      </w:pPr>
      <w:bookmarkStart w:id="444" w:name="_Toc23289"/>
      <w:bookmarkStart w:id="445" w:name="_Toc3769"/>
      <w:bookmarkStart w:id="446" w:name="_Toc19539"/>
      <w:bookmarkStart w:id="447" w:name="_Toc16752"/>
      <w:bookmarkStart w:id="448" w:name="_Toc31402"/>
      <w:r>
        <w:rPr>
          <w:rFonts w:hint="eastAsia" w:ascii="仿宋" w:hAnsi="仿宋" w:eastAsia="仿宋" w:cs="仿宋"/>
          <w:b/>
          <w:sz w:val="24"/>
        </w:rPr>
        <w:t>2.2 技术规范</w:t>
      </w:r>
      <w:bookmarkEnd w:id="444"/>
      <w:bookmarkEnd w:id="445"/>
      <w:bookmarkEnd w:id="446"/>
      <w:bookmarkEnd w:id="447"/>
      <w:bookmarkEnd w:id="448"/>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sz w:val="24"/>
        </w:rPr>
      </w:pPr>
      <w:bookmarkStart w:id="449" w:name="_Toc27945"/>
      <w:bookmarkStart w:id="450" w:name="_Toc4133"/>
      <w:bookmarkStart w:id="451" w:name="_Toc9161"/>
      <w:bookmarkStart w:id="452" w:name="_Toc13673"/>
      <w:bookmarkStart w:id="453" w:name="_Toc12412"/>
      <w:r>
        <w:rPr>
          <w:rFonts w:hint="eastAsia" w:ascii="仿宋" w:hAnsi="仿宋" w:eastAsia="仿宋" w:cs="仿宋"/>
          <w:b/>
          <w:sz w:val="24"/>
        </w:rPr>
        <w:t>2.3 知识产权</w:t>
      </w:r>
      <w:bookmarkEnd w:id="449"/>
      <w:bookmarkEnd w:id="450"/>
      <w:bookmarkEnd w:id="451"/>
      <w:bookmarkEnd w:id="452"/>
      <w:bookmarkEnd w:id="453"/>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sz w:val="24"/>
        </w:rPr>
      </w:pPr>
      <w:bookmarkStart w:id="454" w:name="_Toc22011"/>
      <w:bookmarkStart w:id="455" w:name="_Toc32670"/>
      <w:bookmarkStart w:id="456" w:name="_Toc26555"/>
      <w:bookmarkStart w:id="457" w:name="_Toc15447"/>
      <w:bookmarkStart w:id="458" w:name="_Toc31233"/>
      <w:r>
        <w:rPr>
          <w:rFonts w:hint="eastAsia" w:ascii="仿宋" w:hAnsi="仿宋" w:eastAsia="仿宋" w:cs="仿宋"/>
          <w:b/>
          <w:sz w:val="24"/>
        </w:rPr>
        <w:t>2.5 结算方式和付款条件</w:t>
      </w:r>
      <w:bookmarkEnd w:id="454"/>
      <w:bookmarkEnd w:id="455"/>
      <w:bookmarkEnd w:id="456"/>
      <w:bookmarkEnd w:id="457"/>
      <w:bookmarkEnd w:id="458"/>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59" w:name="_Toc13154"/>
      <w:bookmarkStart w:id="460" w:name="_Toc30507"/>
      <w:bookmarkStart w:id="461" w:name="_Toc13467"/>
      <w:bookmarkStart w:id="462" w:name="_Toc18990"/>
      <w:bookmarkStart w:id="463" w:name="_Toc16163"/>
      <w:r>
        <w:rPr>
          <w:rFonts w:hint="eastAsia" w:ascii="仿宋" w:hAnsi="仿宋" w:eastAsia="仿宋" w:cs="仿宋"/>
          <w:b/>
          <w:sz w:val="24"/>
        </w:rPr>
        <w:t>2.6 技术资料和保密义务</w:t>
      </w:r>
      <w:bookmarkEnd w:id="459"/>
      <w:bookmarkEnd w:id="460"/>
      <w:bookmarkEnd w:id="461"/>
      <w:bookmarkEnd w:id="462"/>
      <w:bookmarkEnd w:id="463"/>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sz w:val="24"/>
        </w:rPr>
      </w:pPr>
      <w:bookmarkStart w:id="464" w:name="_Toc19069"/>
      <w:r>
        <w:rPr>
          <w:rFonts w:hint="eastAsia" w:ascii="仿宋" w:hAnsi="仿宋" w:eastAsia="仿宋" w:cs="仿宋"/>
          <w:b/>
          <w:sz w:val="24"/>
        </w:rPr>
        <w:t>2.7 质量保证</w:t>
      </w:r>
      <w:bookmarkEnd w:id="464"/>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sz w:val="24"/>
        </w:rPr>
      </w:pPr>
      <w:bookmarkStart w:id="465" w:name="_Toc22267"/>
      <w:r>
        <w:rPr>
          <w:rFonts w:hint="eastAsia" w:ascii="仿宋" w:hAnsi="仿宋" w:eastAsia="仿宋" w:cs="仿宋"/>
          <w:b/>
          <w:sz w:val="24"/>
        </w:rPr>
        <w:t>2.8 延迟履行</w:t>
      </w:r>
      <w:bookmarkEnd w:id="465"/>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sz w:val="24"/>
        </w:rPr>
      </w:pPr>
      <w:bookmarkStart w:id="466" w:name="_Toc10611"/>
      <w:r>
        <w:rPr>
          <w:rFonts w:hint="eastAsia" w:ascii="仿宋" w:hAnsi="仿宋" w:eastAsia="仿宋" w:cs="仿宋"/>
          <w:b/>
          <w:sz w:val="24"/>
        </w:rPr>
        <w:t>2.9 合同变更</w:t>
      </w:r>
      <w:bookmarkEnd w:id="466"/>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sz w:val="24"/>
        </w:rPr>
      </w:pPr>
      <w:bookmarkStart w:id="467" w:name="_Toc23368"/>
      <w:bookmarkStart w:id="468" w:name="_Toc26689"/>
      <w:bookmarkStart w:id="469" w:name="_Toc21830"/>
      <w:bookmarkStart w:id="470" w:name="_Toc10663"/>
      <w:bookmarkStart w:id="471" w:name="_Toc42"/>
      <w:r>
        <w:rPr>
          <w:rFonts w:hint="eastAsia" w:ascii="仿宋" w:hAnsi="仿宋" w:eastAsia="仿宋" w:cs="仿宋"/>
          <w:b/>
          <w:sz w:val="24"/>
        </w:rPr>
        <w:t>2.10 合同转让和分包</w:t>
      </w:r>
      <w:bookmarkEnd w:id="467"/>
      <w:bookmarkEnd w:id="468"/>
      <w:bookmarkEnd w:id="469"/>
      <w:bookmarkEnd w:id="470"/>
      <w:bookmarkEnd w:id="47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sz w:val="24"/>
        </w:rPr>
      </w:pPr>
      <w:bookmarkStart w:id="472" w:name="_Toc32494"/>
      <w:bookmarkStart w:id="473" w:name="_Toc4720"/>
      <w:bookmarkStart w:id="474" w:name="_Toc26633"/>
      <w:bookmarkStart w:id="475" w:name="_Toc25571"/>
      <w:bookmarkStart w:id="476" w:name="_Toc14371"/>
      <w:r>
        <w:rPr>
          <w:rFonts w:hint="eastAsia" w:ascii="仿宋" w:hAnsi="仿宋" w:eastAsia="仿宋" w:cs="仿宋"/>
          <w:b/>
          <w:sz w:val="24"/>
        </w:rPr>
        <w:t>2.11 不可抗力</w:t>
      </w:r>
      <w:bookmarkEnd w:id="472"/>
      <w:bookmarkEnd w:id="473"/>
      <w:bookmarkEnd w:id="474"/>
      <w:bookmarkEnd w:id="475"/>
      <w:bookmarkEnd w:id="476"/>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560" w:lineRule="exact"/>
        <w:ind w:firstLine="482" w:firstLineChars="200"/>
        <w:outlineLvl w:val="0"/>
        <w:rPr>
          <w:rFonts w:hint="eastAsia" w:ascii="仿宋" w:hAnsi="仿宋" w:eastAsia="仿宋" w:cs="仿宋"/>
          <w:b/>
          <w:sz w:val="24"/>
        </w:rPr>
      </w:pPr>
      <w:bookmarkStart w:id="477" w:name="_Toc23854"/>
      <w:bookmarkStart w:id="478" w:name="_Toc3638"/>
      <w:bookmarkStart w:id="479" w:name="_Toc24465"/>
      <w:bookmarkStart w:id="480" w:name="_Toc14115"/>
      <w:bookmarkStart w:id="481" w:name="_Toc25783"/>
      <w:r>
        <w:rPr>
          <w:rFonts w:hint="eastAsia" w:ascii="仿宋" w:hAnsi="仿宋" w:eastAsia="仿宋" w:cs="仿宋"/>
          <w:b/>
          <w:sz w:val="24"/>
        </w:rPr>
        <w:t>2.12 税费</w:t>
      </w:r>
      <w:bookmarkEnd w:id="477"/>
      <w:bookmarkEnd w:id="478"/>
      <w:bookmarkEnd w:id="479"/>
      <w:bookmarkEnd w:id="480"/>
      <w:bookmarkEnd w:id="48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sz w:val="24"/>
        </w:rPr>
      </w:pPr>
      <w:bookmarkStart w:id="482" w:name="_Toc26883"/>
      <w:bookmarkStart w:id="483" w:name="_Toc14814"/>
      <w:bookmarkStart w:id="484" w:name="_Toc25525"/>
      <w:bookmarkStart w:id="485" w:name="_Toc30105"/>
      <w:bookmarkStart w:id="486" w:name="_Toc7315"/>
      <w:r>
        <w:rPr>
          <w:rFonts w:hint="eastAsia" w:ascii="仿宋" w:hAnsi="仿宋" w:eastAsia="仿宋" w:cs="仿宋"/>
          <w:b/>
          <w:sz w:val="24"/>
        </w:rPr>
        <w:t>2.13 乙方破产</w:t>
      </w:r>
      <w:bookmarkEnd w:id="482"/>
      <w:bookmarkEnd w:id="483"/>
      <w:bookmarkEnd w:id="484"/>
      <w:bookmarkEnd w:id="485"/>
      <w:bookmarkEnd w:id="486"/>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sz w:val="24"/>
        </w:rPr>
      </w:pPr>
      <w:bookmarkStart w:id="487" w:name="_Toc1123"/>
      <w:bookmarkStart w:id="488" w:name="_Toc2016"/>
      <w:bookmarkStart w:id="489" w:name="_Toc23323"/>
      <w:r>
        <w:rPr>
          <w:rFonts w:hint="eastAsia" w:ascii="仿宋" w:hAnsi="仿宋" w:eastAsia="仿宋" w:cs="仿宋"/>
          <w:b/>
          <w:sz w:val="24"/>
        </w:rPr>
        <w:t>2.14 合同中止、终止</w:t>
      </w:r>
      <w:bookmarkEnd w:id="487"/>
      <w:bookmarkEnd w:id="488"/>
      <w:bookmarkEnd w:id="48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sz w:val="24"/>
        </w:rPr>
      </w:pPr>
      <w:bookmarkStart w:id="490" w:name="_Toc17363"/>
      <w:bookmarkStart w:id="491" w:name="_Toc14525"/>
      <w:bookmarkStart w:id="492" w:name="_Toc1969"/>
      <w:r>
        <w:rPr>
          <w:rFonts w:hint="eastAsia" w:ascii="仿宋" w:hAnsi="仿宋" w:eastAsia="仿宋" w:cs="仿宋"/>
          <w:b/>
          <w:sz w:val="24"/>
        </w:rPr>
        <w:t>2.15 检验和验收</w:t>
      </w:r>
      <w:bookmarkEnd w:id="490"/>
      <w:bookmarkEnd w:id="491"/>
      <w:bookmarkEnd w:id="492"/>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pPr>
        <w:spacing w:line="560" w:lineRule="exact"/>
        <w:ind w:firstLine="482" w:firstLineChars="200"/>
        <w:outlineLvl w:val="0"/>
        <w:rPr>
          <w:rFonts w:hint="eastAsia" w:ascii="仿宋" w:hAnsi="仿宋" w:eastAsia="仿宋" w:cs="仿宋"/>
          <w:b/>
          <w:sz w:val="24"/>
        </w:rPr>
      </w:pPr>
      <w:bookmarkStart w:id="493" w:name="_Toc31892"/>
      <w:bookmarkStart w:id="494" w:name="_Toc12666"/>
      <w:bookmarkStart w:id="495" w:name="_Toc2308"/>
      <w:bookmarkStart w:id="496" w:name="_Toc9808"/>
      <w:bookmarkStart w:id="497" w:name="_Toc25198"/>
      <w:r>
        <w:rPr>
          <w:rFonts w:hint="eastAsia" w:ascii="仿宋" w:hAnsi="仿宋" w:eastAsia="仿宋" w:cs="仿宋"/>
          <w:b/>
          <w:sz w:val="24"/>
        </w:rPr>
        <w:t>2.16 通知和送达</w:t>
      </w:r>
      <w:bookmarkEnd w:id="493"/>
      <w:bookmarkEnd w:id="494"/>
      <w:bookmarkEnd w:id="495"/>
      <w:bookmarkEnd w:id="496"/>
      <w:bookmarkEnd w:id="497"/>
    </w:p>
    <w:p>
      <w:pPr>
        <w:spacing w:line="560" w:lineRule="exact"/>
        <w:ind w:firstLine="480" w:firstLineChars="200"/>
        <w:rPr>
          <w:rFonts w:hint="eastAsia" w:ascii="仿宋" w:hAnsi="仿宋" w:eastAsia="仿宋" w:cs="仿宋"/>
          <w:sz w:val="24"/>
        </w:rPr>
      </w:pPr>
      <w:bookmarkStart w:id="498" w:name="_Toc18401"/>
      <w:bookmarkStart w:id="499" w:name="_Toc27674"/>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pPr>
        <w:spacing w:line="560" w:lineRule="exact"/>
        <w:ind w:firstLine="482" w:firstLineChars="200"/>
        <w:outlineLvl w:val="0"/>
        <w:rPr>
          <w:rFonts w:hint="eastAsia" w:ascii="仿宋" w:hAnsi="仿宋" w:eastAsia="仿宋" w:cs="仿宋"/>
          <w:b/>
          <w:sz w:val="24"/>
        </w:rPr>
      </w:pPr>
      <w:bookmarkStart w:id="500" w:name="_Toc5063"/>
      <w:bookmarkStart w:id="501" w:name="_Toc27644"/>
      <w:bookmarkStart w:id="502" w:name="_Toc28906"/>
      <w:bookmarkStart w:id="503" w:name="_Toc20808"/>
      <w:bookmarkStart w:id="504" w:name="_Toc12254"/>
      <w:r>
        <w:rPr>
          <w:rFonts w:hint="eastAsia" w:ascii="仿宋" w:hAnsi="仿宋" w:eastAsia="仿宋" w:cs="仿宋"/>
          <w:b/>
          <w:sz w:val="24"/>
        </w:rPr>
        <w:t>2.17 合同使用的文字和适用的法律</w:t>
      </w:r>
      <w:bookmarkEnd w:id="500"/>
      <w:bookmarkEnd w:id="501"/>
      <w:bookmarkEnd w:id="502"/>
      <w:bookmarkEnd w:id="503"/>
      <w:bookmarkEnd w:id="504"/>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pPr>
        <w:spacing w:line="560" w:lineRule="exact"/>
        <w:ind w:firstLine="482" w:firstLineChars="200"/>
        <w:outlineLvl w:val="0"/>
        <w:rPr>
          <w:rFonts w:hint="eastAsia" w:ascii="仿宋" w:hAnsi="仿宋" w:eastAsia="仿宋" w:cs="仿宋"/>
          <w:b/>
          <w:sz w:val="24"/>
        </w:rPr>
      </w:pPr>
      <w:bookmarkStart w:id="505" w:name="_Toc30599"/>
      <w:bookmarkStart w:id="506" w:name="_Toc4355"/>
      <w:bookmarkStart w:id="507" w:name="_Toc18540"/>
      <w:r>
        <w:rPr>
          <w:rFonts w:hint="eastAsia" w:ascii="仿宋" w:hAnsi="仿宋" w:eastAsia="仿宋" w:cs="仿宋"/>
          <w:b/>
          <w:sz w:val="24"/>
        </w:rPr>
        <w:t>2.18 计量单位</w:t>
      </w:r>
      <w:bookmarkEnd w:id="505"/>
      <w:bookmarkEnd w:id="506"/>
      <w:bookmarkEnd w:id="50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2.19合同份数</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spacing w:line="360" w:lineRule="auto"/>
        <w:jc w:val="center"/>
        <w:outlineLvl w:val="0"/>
        <w:rPr>
          <w:rFonts w:hint="eastAsia" w:ascii="仿宋" w:hAnsi="仿宋" w:eastAsia="仿宋" w:cs="仿宋"/>
          <w:b/>
          <w:sz w:val="24"/>
        </w:rPr>
      </w:pPr>
      <w:r>
        <w:rPr>
          <w:rFonts w:hint="eastAsia" w:ascii="仿宋" w:hAnsi="仿宋" w:eastAsia="仿宋" w:cs="仿宋"/>
          <w:kern w:val="0"/>
        </w:rPr>
        <w:br w:type="page"/>
      </w:r>
      <w:bookmarkStart w:id="508" w:name="_Toc331685784"/>
      <w:r>
        <w:rPr>
          <w:rFonts w:hint="eastAsia" w:ascii="仿宋" w:hAnsi="仿宋" w:eastAsia="仿宋" w:cs="仿宋"/>
          <w:b/>
          <w:sz w:val="24"/>
        </w:rPr>
        <w:t xml:space="preserve"> </w:t>
      </w:r>
      <w:bookmarkEnd w:id="508"/>
      <w:r>
        <w:rPr>
          <w:rFonts w:hint="eastAsia" w:ascii="仿宋" w:hAnsi="仿宋" w:eastAsia="仿宋" w:cs="仿宋"/>
          <w:b/>
          <w:sz w:val="24"/>
        </w:rPr>
        <w:t>第三部分  合同专用条款</w:t>
      </w:r>
    </w:p>
    <w:p>
      <w:pPr>
        <w:spacing w:line="560" w:lineRule="exact"/>
        <w:ind w:left="-420" w:leftChars="-200" w:right="-420" w:rightChars="-200" w:firstLine="480" w:firstLineChars="200"/>
        <w:rPr>
          <w:rFonts w:hint="eastAsia"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rPr>
          <w:trHeight w:val="391" w:hRule="atLeast"/>
        </w:trPr>
        <w:tc>
          <w:tcPr>
            <w:tcW w:w="535" w:type="pct"/>
            <w:tcBorders>
              <w:lef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条款号</w:t>
            </w:r>
          </w:p>
        </w:tc>
        <w:tc>
          <w:tcPr>
            <w:tcW w:w="4464" w:type="pc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约定内容</w:t>
            </w:r>
          </w:p>
        </w:tc>
      </w:tr>
      <w:tr>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1.3.2</w:t>
            </w:r>
          </w:p>
        </w:tc>
        <w:tc>
          <w:tcPr>
            <w:tcW w:w="4464" w:type="pct"/>
            <w:vAlign w:val="center"/>
          </w:tcPr>
          <w:p>
            <w:pPr>
              <w:spacing w:line="360" w:lineRule="auto"/>
              <w:rPr>
                <w:rFonts w:hint="eastAsia" w:ascii="仿宋" w:hAnsi="仿宋" w:eastAsia="仿宋" w:cs="仿宋"/>
                <w:sz w:val="24"/>
              </w:rPr>
            </w:pPr>
          </w:p>
        </w:tc>
      </w:tr>
      <w:tr>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1.4.2</w:t>
            </w:r>
          </w:p>
        </w:tc>
        <w:tc>
          <w:tcPr>
            <w:tcW w:w="4464" w:type="pct"/>
            <w:vAlign w:val="center"/>
          </w:tcPr>
          <w:p>
            <w:pPr>
              <w:spacing w:line="360" w:lineRule="auto"/>
              <w:rPr>
                <w:rFonts w:hint="eastAsia" w:ascii="仿宋" w:hAnsi="仿宋" w:eastAsia="仿宋" w:cs="仿宋"/>
                <w:sz w:val="24"/>
              </w:rPr>
            </w:pPr>
          </w:p>
        </w:tc>
      </w:tr>
      <w:tr>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 xml:space="preserve">1.5.1 </w:t>
            </w:r>
          </w:p>
        </w:tc>
        <w:tc>
          <w:tcPr>
            <w:tcW w:w="4464" w:type="pct"/>
            <w:vAlign w:val="center"/>
          </w:tcPr>
          <w:p>
            <w:pPr>
              <w:spacing w:line="360" w:lineRule="auto"/>
              <w:rPr>
                <w:rFonts w:hint="eastAsia" w:ascii="仿宋" w:hAnsi="仿宋" w:eastAsia="仿宋" w:cs="仿宋"/>
                <w:sz w:val="24"/>
              </w:rPr>
            </w:pPr>
          </w:p>
        </w:tc>
      </w:tr>
      <w:tr>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1.5.2</w:t>
            </w:r>
          </w:p>
        </w:tc>
        <w:tc>
          <w:tcPr>
            <w:tcW w:w="4464" w:type="pct"/>
            <w:vAlign w:val="center"/>
          </w:tcPr>
          <w:p>
            <w:pPr>
              <w:spacing w:line="360" w:lineRule="auto"/>
              <w:rPr>
                <w:rFonts w:hint="eastAsia" w:ascii="仿宋" w:hAnsi="仿宋" w:eastAsia="仿宋" w:cs="仿宋"/>
                <w:sz w:val="24"/>
              </w:rPr>
            </w:pPr>
          </w:p>
        </w:tc>
      </w:tr>
      <w:tr>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 xml:space="preserve">1.5.3 </w:t>
            </w:r>
          </w:p>
        </w:tc>
        <w:tc>
          <w:tcPr>
            <w:tcW w:w="4464" w:type="pct"/>
            <w:vAlign w:val="center"/>
          </w:tcPr>
          <w:p>
            <w:pPr>
              <w:spacing w:line="360" w:lineRule="auto"/>
              <w:rPr>
                <w:rFonts w:hint="eastAsia" w:ascii="仿宋" w:hAnsi="仿宋" w:eastAsia="仿宋" w:cs="仿宋"/>
                <w:sz w:val="24"/>
              </w:rPr>
            </w:pPr>
          </w:p>
        </w:tc>
      </w:tr>
      <w:tr>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1.6.2</w:t>
            </w:r>
          </w:p>
        </w:tc>
        <w:tc>
          <w:tcPr>
            <w:tcW w:w="4464" w:type="pct"/>
            <w:vAlign w:val="center"/>
          </w:tcPr>
          <w:p>
            <w:pPr>
              <w:spacing w:line="360" w:lineRule="auto"/>
              <w:rPr>
                <w:rFonts w:hint="eastAsia" w:ascii="仿宋" w:hAnsi="仿宋" w:eastAsia="仿宋" w:cs="仿宋"/>
                <w:sz w:val="24"/>
              </w:rPr>
            </w:pPr>
          </w:p>
        </w:tc>
      </w:tr>
      <w:tr>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1.7.1</w:t>
            </w:r>
          </w:p>
        </w:tc>
        <w:tc>
          <w:tcPr>
            <w:tcW w:w="4464" w:type="pct"/>
            <w:vAlign w:val="center"/>
          </w:tcPr>
          <w:p>
            <w:pPr>
              <w:spacing w:line="360" w:lineRule="auto"/>
              <w:rPr>
                <w:rFonts w:hint="eastAsia" w:ascii="仿宋" w:hAnsi="仿宋" w:eastAsia="仿宋" w:cs="仿宋"/>
                <w:sz w:val="24"/>
              </w:rPr>
            </w:pPr>
          </w:p>
        </w:tc>
      </w:tr>
      <w:tr>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1.7.2</w:t>
            </w:r>
          </w:p>
        </w:tc>
        <w:tc>
          <w:tcPr>
            <w:tcW w:w="4464" w:type="pct"/>
            <w:vAlign w:val="center"/>
          </w:tcPr>
          <w:p>
            <w:pPr>
              <w:spacing w:line="360" w:lineRule="auto"/>
              <w:rPr>
                <w:rFonts w:hint="eastAsia" w:ascii="仿宋" w:hAnsi="仿宋" w:eastAsia="仿宋" w:cs="仿宋"/>
                <w:sz w:val="24"/>
              </w:rPr>
            </w:pPr>
          </w:p>
        </w:tc>
      </w:tr>
      <w:tr>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1.7.3</w:t>
            </w:r>
          </w:p>
        </w:tc>
        <w:tc>
          <w:tcPr>
            <w:tcW w:w="4464" w:type="pct"/>
            <w:vAlign w:val="center"/>
          </w:tcPr>
          <w:p>
            <w:pPr>
              <w:spacing w:line="360" w:lineRule="auto"/>
              <w:rPr>
                <w:rFonts w:hint="eastAsia" w:ascii="仿宋" w:hAnsi="仿宋" w:eastAsia="仿宋" w:cs="仿宋"/>
                <w:sz w:val="24"/>
              </w:rPr>
            </w:pPr>
          </w:p>
        </w:tc>
      </w:tr>
      <w:tr>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1.7.4.1</w:t>
            </w:r>
          </w:p>
        </w:tc>
        <w:tc>
          <w:tcPr>
            <w:tcW w:w="4464" w:type="pct"/>
            <w:vAlign w:val="center"/>
          </w:tcPr>
          <w:p>
            <w:pPr>
              <w:spacing w:line="360" w:lineRule="auto"/>
              <w:rPr>
                <w:rFonts w:hint="eastAsia" w:ascii="仿宋" w:hAnsi="仿宋" w:eastAsia="仿宋" w:cs="仿宋"/>
                <w:sz w:val="24"/>
              </w:rPr>
            </w:pPr>
          </w:p>
        </w:tc>
      </w:tr>
      <w:tr>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1.7.4.2</w:t>
            </w:r>
          </w:p>
        </w:tc>
        <w:tc>
          <w:tcPr>
            <w:tcW w:w="4464" w:type="pct"/>
            <w:vAlign w:val="center"/>
          </w:tcPr>
          <w:p>
            <w:pPr>
              <w:spacing w:line="360" w:lineRule="auto"/>
              <w:rPr>
                <w:rFonts w:hint="eastAsia" w:ascii="仿宋" w:hAnsi="仿宋" w:eastAsia="仿宋" w:cs="仿宋"/>
                <w:sz w:val="24"/>
              </w:rPr>
            </w:pPr>
          </w:p>
        </w:tc>
      </w:tr>
      <w:tr>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1.7.4.3</w:t>
            </w:r>
          </w:p>
        </w:tc>
        <w:tc>
          <w:tcPr>
            <w:tcW w:w="4464" w:type="pct"/>
            <w:vAlign w:val="center"/>
          </w:tcPr>
          <w:p>
            <w:pPr>
              <w:spacing w:line="360" w:lineRule="auto"/>
              <w:rPr>
                <w:rFonts w:hint="eastAsia" w:ascii="仿宋" w:hAnsi="仿宋" w:eastAsia="仿宋" w:cs="仿宋"/>
                <w:sz w:val="24"/>
              </w:rPr>
            </w:pPr>
          </w:p>
        </w:tc>
      </w:tr>
      <w:tr>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1.8.7</w:t>
            </w:r>
          </w:p>
        </w:tc>
        <w:tc>
          <w:tcPr>
            <w:tcW w:w="4464" w:type="pct"/>
            <w:vAlign w:val="center"/>
          </w:tcPr>
          <w:p>
            <w:pPr>
              <w:spacing w:line="360" w:lineRule="auto"/>
              <w:rPr>
                <w:rFonts w:hint="eastAsia" w:ascii="仿宋" w:hAnsi="仿宋" w:eastAsia="仿宋" w:cs="仿宋"/>
                <w:sz w:val="24"/>
              </w:rPr>
            </w:pPr>
          </w:p>
        </w:tc>
      </w:tr>
      <w:tr>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1.9.1</w:t>
            </w:r>
          </w:p>
        </w:tc>
        <w:tc>
          <w:tcPr>
            <w:tcW w:w="4464" w:type="pct"/>
            <w:vAlign w:val="center"/>
          </w:tcPr>
          <w:p>
            <w:pPr>
              <w:spacing w:line="360" w:lineRule="auto"/>
              <w:rPr>
                <w:rFonts w:hint="eastAsia" w:ascii="仿宋" w:hAnsi="仿宋" w:eastAsia="仿宋" w:cs="仿宋"/>
                <w:sz w:val="24"/>
              </w:rPr>
            </w:pPr>
          </w:p>
        </w:tc>
      </w:tr>
      <w:tr>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1.9.2</w:t>
            </w:r>
          </w:p>
        </w:tc>
        <w:tc>
          <w:tcPr>
            <w:tcW w:w="4464" w:type="pct"/>
            <w:vAlign w:val="center"/>
          </w:tcPr>
          <w:p>
            <w:pPr>
              <w:spacing w:line="360" w:lineRule="auto"/>
              <w:rPr>
                <w:rFonts w:hint="eastAsia" w:ascii="仿宋" w:hAnsi="仿宋" w:eastAsia="仿宋" w:cs="仿宋"/>
                <w:sz w:val="24"/>
              </w:rPr>
            </w:pPr>
          </w:p>
        </w:tc>
      </w:tr>
      <w:tr>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2.3.2</w:t>
            </w:r>
          </w:p>
        </w:tc>
        <w:tc>
          <w:tcPr>
            <w:tcW w:w="4464" w:type="pct"/>
            <w:vAlign w:val="center"/>
          </w:tcPr>
          <w:p>
            <w:pPr>
              <w:spacing w:line="360" w:lineRule="auto"/>
              <w:ind w:left="-420" w:leftChars="-200" w:right="-420" w:rightChars="-200" w:firstLine="480" w:firstLineChars="200"/>
              <w:rPr>
                <w:rFonts w:hint="eastAsia" w:ascii="仿宋" w:hAnsi="仿宋" w:eastAsia="仿宋" w:cs="仿宋"/>
                <w:sz w:val="24"/>
              </w:rPr>
            </w:pPr>
          </w:p>
        </w:tc>
      </w:tr>
      <w:tr>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2.5</w:t>
            </w:r>
          </w:p>
        </w:tc>
        <w:tc>
          <w:tcPr>
            <w:tcW w:w="4464" w:type="pct"/>
            <w:vAlign w:val="center"/>
          </w:tcPr>
          <w:p>
            <w:pPr>
              <w:spacing w:line="360" w:lineRule="auto"/>
              <w:ind w:left="-420" w:leftChars="-200" w:right="-420" w:rightChars="-200" w:firstLine="480" w:firstLineChars="200"/>
              <w:rPr>
                <w:rFonts w:hint="eastAsia" w:ascii="仿宋" w:hAnsi="仿宋" w:eastAsia="仿宋" w:cs="仿宋"/>
                <w:sz w:val="24"/>
              </w:rPr>
            </w:pPr>
          </w:p>
        </w:tc>
      </w:tr>
      <w:tr>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2.11.3</w:t>
            </w:r>
          </w:p>
        </w:tc>
        <w:tc>
          <w:tcPr>
            <w:tcW w:w="4464" w:type="pct"/>
            <w:vAlign w:val="center"/>
          </w:tcPr>
          <w:p>
            <w:pPr>
              <w:spacing w:line="360" w:lineRule="auto"/>
              <w:rPr>
                <w:rFonts w:hint="eastAsia" w:ascii="仿宋" w:hAnsi="仿宋" w:eastAsia="仿宋" w:cs="仿宋"/>
                <w:sz w:val="24"/>
              </w:rPr>
            </w:pPr>
          </w:p>
        </w:tc>
      </w:tr>
      <w:tr>
        <w:trPr>
          <w:trHeight w:val="88" w:hRule="atLeast"/>
        </w:trPr>
        <w:tc>
          <w:tcPr>
            <w:tcW w:w="535" w:type="pct"/>
            <w:tcBorders>
              <w:left w:val="single" w:color="auto" w:sz="4" w:space="0"/>
            </w:tcBorders>
          </w:tcPr>
          <w:p>
            <w:pPr>
              <w:spacing w:line="360" w:lineRule="auto"/>
              <w:rPr>
                <w:rFonts w:hint="eastAsia" w:ascii="仿宋" w:hAnsi="仿宋" w:eastAsia="仿宋" w:cs="仿宋"/>
                <w:sz w:val="24"/>
              </w:rPr>
            </w:pPr>
            <w:r>
              <w:rPr>
                <w:rFonts w:hint="eastAsia" w:ascii="仿宋" w:hAnsi="仿宋" w:eastAsia="仿宋" w:cs="仿宋"/>
                <w:sz w:val="24"/>
              </w:rPr>
              <w:t xml:space="preserve">2.11.4 </w:t>
            </w:r>
          </w:p>
        </w:tc>
        <w:tc>
          <w:tcPr>
            <w:tcW w:w="4464" w:type="pct"/>
          </w:tcPr>
          <w:p>
            <w:pPr>
              <w:spacing w:line="360" w:lineRule="auto"/>
              <w:rPr>
                <w:rFonts w:hint="eastAsia" w:ascii="仿宋" w:hAnsi="仿宋" w:eastAsia="仿宋" w:cs="仿宋"/>
                <w:sz w:val="24"/>
              </w:rPr>
            </w:pPr>
          </w:p>
        </w:tc>
      </w:tr>
      <w:tr>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2.15.1</w:t>
            </w:r>
          </w:p>
        </w:tc>
        <w:tc>
          <w:tcPr>
            <w:tcW w:w="4464" w:type="pct"/>
            <w:vAlign w:val="center"/>
          </w:tcPr>
          <w:p>
            <w:pPr>
              <w:spacing w:line="360" w:lineRule="auto"/>
              <w:rPr>
                <w:rFonts w:hint="eastAsia" w:ascii="仿宋" w:hAnsi="仿宋" w:eastAsia="仿宋" w:cs="仿宋"/>
                <w:sz w:val="24"/>
              </w:rPr>
            </w:pPr>
          </w:p>
        </w:tc>
      </w:tr>
      <w:tr>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2.15.3</w:t>
            </w:r>
          </w:p>
        </w:tc>
        <w:tc>
          <w:tcPr>
            <w:tcW w:w="4464" w:type="pct"/>
            <w:vAlign w:val="center"/>
          </w:tcPr>
          <w:p>
            <w:pPr>
              <w:spacing w:line="360" w:lineRule="auto"/>
              <w:rPr>
                <w:rFonts w:hint="eastAsia" w:ascii="仿宋" w:hAnsi="仿宋" w:eastAsia="仿宋" w:cs="仿宋"/>
                <w:sz w:val="24"/>
              </w:rPr>
            </w:pPr>
          </w:p>
        </w:tc>
      </w:tr>
      <w:tr>
        <w:trPr>
          <w:trHeight w:val="352" w:hRule="atLeast"/>
        </w:trPr>
        <w:tc>
          <w:tcPr>
            <w:tcW w:w="535" w:type="pct"/>
            <w:tcBorders>
              <w:left w:val="single" w:color="auto" w:sz="4" w:space="0"/>
            </w:tcBorders>
          </w:tcPr>
          <w:p>
            <w:pPr>
              <w:spacing w:line="360" w:lineRule="auto"/>
              <w:rPr>
                <w:rFonts w:hint="eastAsia" w:ascii="仿宋" w:hAnsi="仿宋" w:eastAsia="仿宋" w:cs="仿宋"/>
                <w:sz w:val="24"/>
              </w:rPr>
            </w:pPr>
            <w:r>
              <w:rPr>
                <w:rFonts w:hint="eastAsia" w:ascii="仿宋" w:hAnsi="仿宋" w:eastAsia="仿宋" w:cs="仿宋"/>
                <w:sz w:val="24"/>
              </w:rPr>
              <w:t>2.19</w:t>
            </w:r>
          </w:p>
        </w:tc>
        <w:tc>
          <w:tcPr>
            <w:tcW w:w="4464" w:type="pct"/>
          </w:tcPr>
          <w:p>
            <w:pPr>
              <w:spacing w:line="360" w:lineRule="auto"/>
              <w:rPr>
                <w:rFonts w:hint="eastAsia" w:ascii="仿宋" w:hAnsi="仿宋" w:eastAsia="仿宋" w:cs="仿宋"/>
                <w:sz w:val="24"/>
              </w:rPr>
            </w:pPr>
          </w:p>
        </w:tc>
      </w:tr>
    </w:tbl>
    <w:p>
      <w:pPr>
        <w:spacing w:line="360" w:lineRule="auto"/>
        <w:ind w:left="720" w:leftChars="343" w:firstLine="1084" w:firstLineChars="300"/>
        <w:outlineLvl w:val="0"/>
        <w:rPr>
          <w:rFonts w:hint="eastAsia" w:ascii="仿宋" w:hAnsi="仿宋" w:eastAsia="仿宋" w:cs="仿宋"/>
          <w:b/>
          <w:sz w:val="36"/>
          <w:szCs w:val="36"/>
        </w:rPr>
      </w:pPr>
    </w:p>
    <w:p>
      <w:pPr>
        <w:widowControl/>
        <w:adjustRightInd/>
        <w:jc w:val="center"/>
        <w:rPr>
          <w:rFonts w:hint="eastAsia" w:ascii="仿宋" w:hAnsi="仿宋" w:eastAsia="仿宋" w:cs="仿宋"/>
          <w:b/>
          <w:sz w:val="36"/>
          <w:szCs w:val="20"/>
        </w:rPr>
      </w:pPr>
      <w:r>
        <w:rPr>
          <w:rFonts w:hint="eastAsia" w:ascii="仿宋" w:hAnsi="仿宋" w:eastAsia="仿宋" w:cs="仿宋"/>
          <w:b/>
          <w:sz w:val="36"/>
          <w:szCs w:val="20"/>
        </w:rPr>
        <w:t>第六部分</w:t>
      </w:r>
      <w:bookmarkEnd w:id="393"/>
      <w:r>
        <w:rPr>
          <w:rFonts w:hint="eastAsia" w:ascii="仿宋" w:hAnsi="仿宋" w:eastAsia="仿宋" w:cs="仿宋"/>
          <w:b/>
          <w:sz w:val="36"/>
          <w:szCs w:val="20"/>
        </w:rPr>
        <w:t xml:space="preserve"> </w:t>
      </w:r>
      <w:bookmarkEnd w:id="394"/>
      <w:r>
        <w:rPr>
          <w:rFonts w:hint="eastAsia" w:ascii="仿宋" w:hAnsi="仿宋" w:eastAsia="仿宋" w:cs="仿宋"/>
          <w:b/>
          <w:sz w:val="36"/>
          <w:szCs w:val="20"/>
        </w:rPr>
        <w:t>应提交的有关格式范例</w:t>
      </w: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pPr>
        <w:snapToGrid w:val="0"/>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hint="eastAsia" w:ascii="仿宋" w:hAnsi="仿宋" w:eastAsia="仿宋" w:cs="仿宋"/>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】政府采购活动，郑重承诺：</w:t>
      </w:r>
    </w:p>
    <w:p>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b/>
          <w:kern w:val="0"/>
          <w:sz w:val="32"/>
          <w:szCs w:val="32"/>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firstLine="559" w:firstLineChars="233"/>
        <w:jc w:val="left"/>
        <w:rPr>
          <w:rFonts w:hint="eastAsia" w:ascii="仿宋" w:hAnsi="仿宋" w:eastAsia="仿宋" w:cs="仿宋"/>
          <w:b/>
          <w:kern w:val="0"/>
          <w:sz w:val="32"/>
          <w:szCs w:val="32"/>
          <w:highlight w:val="none"/>
        </w:rPr>
      </w:pPr>
      <w:r>
        <w:rPr>
          <w:rFonts w:hint="eastAsia" w:ascii="仿宋" w:hAnsi="仿宋" w:eastAsia="仿宋" w:cs="仿宋"/>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hint="eastAsia" w:ascii="仿宋" w:hAnsi="仿宋" w:eastAsia="仿宋" w:cs="仿宋"/>
        </w:rPr>
      </w:pPr>
    </w:p>
    <w:p>
      <w:pPr>
        <w:widowControl/>
        <w:adjustRightInd/>
        <w:jc w:val="left"/>
        <w:rPr>
          <w:rFonts w:hint="eastAsia" w:ascii="仿宋" w:hAnsi="仿宋" w:eastAsia="仿宋" w:cs="仿宋"/>
          <w:b/>
          <w:kern w:val="0"/>
          <w:sz w:val="32"/>
          <w:szCs w:val="32"/>
        </w:rPr>
      </w:pPr>
    </w:p>
    <w:p>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w:t>
      </w:r>
      <w:r>
        <w:rPr>
          <w:rFonts w:hint="eastAsia" w:ascii="仿宋" w:hAnsi="仿宋" w:eastAsia="仿宋" w:cs="仿宋"/>
          <w:b/>
          <w:color w:val="FF0000"/>
          <w:kern w:val="0"/>
          <w:sz w:val="32"/>
          <w:szCs w:val="32"/>
        </w:rPr>
        <w:t>（如果有）</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仿宋" w:hAnsi="仿宋" w:eastAsia="仿宋" w:cs="仿宋"/>
          <w:sz w:val="24"/>
        </w:rPr>
      </w:pPr>
    </w:p>
    <w:p>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color w:val="auto"/>
          <w:sz w:val="24"/>
        </w:rPr>
      </w:pPr>
      <w:r>
        <w:rPr>
          <w:rFonts w:hint="eastAsia" w:ascii="仿宋" w:hAnsi="仿宋" w:eastAsia="仿宋" w:cs="仿宋"/>
          <w:b/>
          <w:color w:val="auto"/>
          <w:sz w:val="24"/>
        </w:rPr>
        <w:t xml:space="preserve">    </w:t>
      </w:r>
    </w:p>
    <w:p>
      <w:pPr>
        <w:spacing w:line="360" w:lineRule="auto"/>
        <w:ind w:firstLine="482" w:firstLineChars="200"/>
        <w:rPr>
          <w:rFonts w:hint="eastAsia" w:ascii="仿宋" w:hAnsi="仿宋" w:eastAsia="仿宋" w:cs="仿宋"/>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w:t>
      </w:r>
      <w:r>
        <w:rPr>
          <w:rFonts w:hint="eastAsia" w:ascii="仿宋" w:hAnsi="仿宋" w:eastAsia="仿宋" w:cs="仿宋"/>
          <w:sz w:val="24"/>
        </w:rPr>
        <w:t>了资格条件，无需再向中小企业分包，无需提供分包意向协议。</w:t>
      </w:r>
    </w:p>
    <w:p>
      <w:pPr>
        <w:widowControl/>
        <w:spacing w:line="360" w:lineRule="auto"/>
        <w:ind w:left="150"/>
        <w:jc w:val="center"/>
        <w:rPr>
          <w:rFonts w:hint="eastAsia" w:ascii="仿宋" w:hAnsi="仿宋" w:eastAsia="仿宋" w:cs="仿宋"/>
          <w:b/>
          <w:kern w:val="0"/>
          <w:sz w:val="32"/>
          <w:szCs w:val="32"/>
        </w:rPr>
      </w:pPr>
    </w:p>
    <w:p>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widowControl/>
        <w:adjustRightInd/>
        <w:jc w:val="left"/>
        <w:rPr>
          <w:rFonts w:hint="eastAsia" w:ascii="仿宋" w:hAnsi="仿宋" w:eastAsia="仿宋" w:cs="仿宋"/>
          <w:b/>
          <w:kern w:val="0"/>
          <w:sz w:val="36"/>
          <w:szCs w:val="36"/>
        </w:rPr>
      </w:pPr>
      <w:r>
        <w:rPr>
          <w:rFonts w:hint="eastAsia" w:ascii="仿宋" w:hAnsi="仿宋" w:eastAsia="仿宋" w:cs="仿宋"/>
          <w:b/>
          <w:kern w:val="0"/>
          <w:sz w:val="36"/>
          <w:szCs w:val="36"/>
        </w:rPr>
        <w:br w:type="page"/>
      </w:r>
    </w:p>
    <w:p>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hint="eastAsia" w:ascii="仿宋" w:hAnsi="仿宋" w:eastAsia="仿宋" w:cs="仿宋"/>
          <w:b/>
          <w:kern w:val="0"/>
          <w:sz w:val="24"/>
        </w:rPr>
      </w:pPr>
    </w:p>
    <w:p>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hint="eastAsia" w:ascii="仿宋" w:hAnsi="仿宋" w:eastAsia="仿宋" w:cs="仿宋"/>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】招标的有关活动，并对此项目进行投标。为此：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bookmarkStart w:id="509" w:name="_Hlk101257010"/>
      <w:r>
        <w:rPr>
          <w:rFonts w:hint="eastAsia" w:ascii="仿宋" w:hAnsi="仿宋" w:eastAsia="仿宋" w:cs="仿宋"/>
          <w:color w:val="FF0000"/>
          <w:sz w:val="24"/>
        </w:rPr>
        <w:t>（如果有)</w:t>
      </w:r>
      <w:bookmarkEnd w:id="509"/>
      <w:r>
        <w:rPr>
          <w:rFonts w:hint="eastAsia" w:ascii="仿宋" w:hAnsi="仿宋" w:eastAsia="仿宋" w:cs="仿宋"/>
          <w:snapToGrid w:val="0"/>
          <w:color w:val="0000FF"/>
          <w:kern w:val="28"/>
          <w:sz w:val="24"/>
          <w:szCs w:val="20"/>
        </w:rPr>
        <w:t>；</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w:t>
      </w:r>
      <w:r>
        <w:rPr>
          <w:rFonts w:hint="eastAsia" w:ascii="仿宋" w:hAnsi="仿宋" w:eastAsia="仿宋" w:cs="仿宋"/>
          <w:color w:val="FF0000"/>
          <w:sz w:val="24"/>
        </w:rPr>
        <w:t>（如果有）</w:t>
      </w:r>
      <w:r>
        <w:rPr>
          <w:rFonts w:hint="eastAsia" w:ascii="仿宋" w:hAnsi="仿宋" w:eastAsia="仿宋" w:cs="仿宋"/>
          <w:sz w:val="24"/>
        </w:rPr>
        <w:t>；</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w:t>
      </w:r>
      <w:r>
        <w:rPr>
          <w:rFonts w:hint="eastAsia" w:ascii="仿宋" w:hAnsi="仿宋" w:eastAsia="仿宋" w:cs="仿宋"/>
          <w:color w:val="FF0000"/>
          <w:sz w:val="24"/>
        </w:rPr>
        <w:t>（如果有)</w:t>
      </w:r>
      <w:r>
        <w:rPr>
          <w:rFonts w:hint="eastAsia" w:ascii="仿宋" w:hAnsi="仿宋" w:eastAsia="仿宋" w:cs="仿宋"/>
          <w:sz w:val="24"/>
        </w:rPr>
        <w:t>。</w:t>
      </w:r>
    </w:p>
    <w:p>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w:t>
      </w:r>
      <w:r>
        <w:rPr>
          <w:rFonts w:hint="eastAsia" w:ascii="仿宋" w:hAnsi="仿宋" w:eastAsia="仿宋" w:cs="仿宋"/>
          <w:color w:val="FF0000"/>
          <w:sz w:val="24"/>
        </w:rPr>
        <w:t>（如果有)</w:t>
      </w:r>
      <w:r>
        <w:rPr>
          <w:rFonts w:hint="eastAsia" w:ascii="仿宋" w:hAnsi="仿宋" w:eastAsia="仿宋" w:cs="仿宋"/>
          <w:sz w:val="24"/>
        </w:rPr>
        <w:t>；</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hint="eastAsia" w:ascii="仿宋" w:hAnsi="仿宋" w:eastAsia="仿宋" w:cs="仿宋"/>
          <w:color w:val="FF0000"/>
          <w:sz w:val="24"/>
        </w:rPr>
      </w:pPr>
      <w:r>
        <w:rPr>
          <w:rFonts w:hint="eastAsia" w:ascii="仿宋" w:hAnsi="仿宋" w:eastAsia="仿宋" w:cs="仿宋"/>
          <w:color w:val="FF0000"/>
          <w:sz w:val="24"/>
        </w:rPr>
        <w:t>2.3.2中小企业声明函（如果有）。</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hint="eastAsia" w:ascii="仿宋" w:hAnsi="仿宋" w:eastAsia="仿宋" w:cs="仿宋"/>
          <w:kern w:val="0"/>
          <w:sz w:val="24"/>
          <w:u w:val="single"/>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snapToGrid w:val="0"/>
        <w:spacing w:line="360" w:lineRule="auto"/>
        <w:jc w:val="center"/>
        <w:rPr>
          <w:rFonts w:hint="eastAsia" w:ascii="仿宋" w:hAnsi="仿宋" w:eastAsia="仿宋" w:cs="仿宋"/>
          <w:b/>
          <w:kern w:val="0"/>
          <w:sz w:val="32"/>
          <w:szCs w:val="32"/>
        </w:rPr>
      </w:pP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pStyle w:val="2"/>
        <w:rPr>
          <w:rFonts w:hint="eastAsia" w:ascii="仿宋" w:hAnsi="仿宋" w:eastAsia="仿宋" w:cs="仿宋"/>
          <w:lang w:val="en-US"/>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hint="eastAsia" w:ascii="仿宋" w:hAnsi="仿宋" w:eastAsia="仿宋" w:cs="仿宋"/>
          <w:sz w:val="24"/>
        </w:rPr>
      </w:pPr>
    </w:p>
    <w:p>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hint="eastAsia" w:ascii="仿宋" w:hAnsi="仿宋" w:eastAsia="仿宋" w:cs="仿宋"/>
          <w:kern w:val="0"/>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hint="eastAsia" w:ascii="仿宋" w:hAnsi="仿宋" w:eastAsia="仿宋" w:cs="仿宋"/>
          <w:kern w:val="0"/>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both"/>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49"/>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rPr>
          <w:trHeight w:val="4812" w:hRule="atLeast"/>
          <w:jc w:val="center"/>
        </w:trPr>
        <w:tc>
          <w:tcPr>
            <w:tcW w:w="9207" w:type="dxa"/>
          </w:tcPr>
          <w:p>
            <w:pPr>
              <w:pStyle w:val="149"/>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149"/>
              <w:adjustRightInd w:val="0"/>
              <w:spacing w:line="360" w:lineRule="auto"/>
              <w:rPr>
                <w:rFonts w:hint="eastAsia" w:ascii="仿宋" w:hAnsi="仿宋" w:eastAsia="仿宋" w:cs="仿宋"/>
                <w:bCs/>
                <w:sz w:val="24"/>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snapToGrid w:val="0"/>
        <w:spacing w:line="360" w:lineRule="auto"/>
        <w:ind w:right="480"/>
        <w:rPr>
          <w:rFonts w:hint="eastAsia" w:ascii="仿宋" w:hAnsi="仿宋" w:eastAsia="仿宋" w:cs="仿宋"/>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三、分包意向协议</w:t>
      </w:r>
      <w:r>
        <w:rPr>
          <w:rFonts w:hint="eastAsia" w:ascii="仿宋" w:hAnsi="仿宋" w:eastAsia="仿宋" w:cs="仿宋"/>
          <w:b/>
          <w:color w:val="FF0000"/>
          <w:kern w:val="0"/>
          <w:sz w:val="32"/>
          <w:szCs w:val="32"/>
        </w:rPr>
        <w:t>（如果有）</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pPr>
        <w:snapToGrid w:val="0"/>
        <w:spacing w:line="360" w:lineRule="auto"/>
        <w:rPr>
          <w:rFonts w:hint="eastAsia" w:ascii="仿宋" w:hAnsi="仿宋" w:eastAsia="仿宋" w:cs="仿宋"/>
          <w:kern w:val="0"/>
          <w:sz w:val="24"/>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p>
      <w:pPr>
        <w:jc w:val="center"/>
        <w:rPr>
          <w:rFonts w:hint="eastAsia" w:ascii="仿宋" w:hAnsi="仿宋" w:eastAsia="仿宋" w:cs="仿宋"/>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rPr>
          <w:trHeight w:val="882" w:hRule="atLeast"/>
        </w:trPr>
        <w:tc>
          <w:tcPr>
            <w:tcW w:w="646"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trPr>
          <w:trHeight w:val="860" w:hRule="atLeast"/>
        </w:trPr>
        <w:tc>
          <w:tcPr>
            <w:tcW w:w="646" w:type="dxa"/>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见投标文件</w:t>
            </w:r>
          </w:p>
          <w:p>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rPr>
          <w:trHeight w:val="860" w:hRule="atLeast"/>
        </w:trPr>
        <w:tc>
          <w:tcPr>
            <w:tcW w:w="646" w:type="dxa"/>
            <w:vAlign w:val="center"/>
          </w:tcPr>
          <w:p>
            <w:pPr>
              <w:jc w:val="center"/>
              <w:rPr>
                <w:rFonts w:hint="eastAsia" w:ascii="仿宋" w:hAnsi="仿宋" w:eastAsia="仿宋" w:cs="仿宋"/>
                <w:sz w:val="24"/>
              </w:rPr>
            </w:pPr>
            <w:r>
              <w:rPr>
                <w:rFonts w:hint="eastAsia" w:ascii="仿宋" w:hAnsi="仿宋" w:eastAsia="仿宋" w:cs="仿宋"/>
                <w:sz w:val="24"/>
              </w:rPr>
              <w:t>2</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rPr>
                <w:rFonts w:hint="eastAsia" w:ascii="仿宋" w:hAnsi="仿宋" w:eastAsia="仿宋" w:cs="仿宋"/>
                <w:sz w:val="24"/>
              </w:rPr>
            </w:pPr>
            <w:r>
              <w:rPr>
                <w:rFonts w:hint="eastAsia" w:ascii="仿宋" w:hAnsi="仿宋" w:eastAsia="仿宋" w:cs="仿宋"/>
                <w:sz w:val="24"/>
              </w:rPr>
              <w:t>投标函</w:t>
            </w:r>
          </w:p>
        </w:tc>
        <w:tc>
          <w:tcPr>
            <w:tcW w:w="1418" w:type="dxa"/>
          </w:tcPr>
          <w:p>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rPr>
          <w:trHeight w:val="860" w:hRule="atLeast"/>
        </w:trPr>
        <w:tc>
          <w:tcPr>
            <w:tcW w:w="646" w:type="dxa"/>
            <w:vAlign w:val="center"/>
          </w:tcPr>
          <w:p>
            <w:pPr>
              <w:jc w:val="center"/>
              <w:rPr>
                <w:rFonts w:hint="eastAsia" w:ascii="仿宋" w:hAnsi="仿宋" w:eastAsia="仿宋" w:cs="仿宋"/>
                <w:sz w:val="24"/>
              </w:rPr>
            </w:pPr>
            <w:r>
              <w:rPr>
                <w:rFonts w:hint="eastAsia" w:ascii="仿宋" w:hAnsi="仿宋" w:eastAsia="仿宋" w:cs="仿宋"/>
                <w:sz w:val="24"/>
              </w:rPr>
              <w:t>3</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pPr>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pPr>
              <w:spacing w:line="360" w:lineRule="auto"/>
              <w:jc w:val="center"/>
              <w:rPr>
                <w:rFonts w:hint="eastAsia" w:ascii="仿宋" w:hAnsi="仿宋" w:eastAsia="仿宋" w:cs="仿宋"/>
                <w:b/>
                <w:sz w:val="24"/>
              </w:rPr>
            </w:pPr>
          </w:p>
        </w:tc>
      </w:tr>
      <w:tr>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r>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r>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bl>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c>
          <w:tcPr>
            <w:tcW w:w="959" w:type="dxa"/>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hint="eastAsia" w:ascii="仿宋" w:hAnsi="仿宋" w:eastAsia="仿宋" w:cs="仿宋"/>
                <w:b/>
                <w:bCs/>
                <w:sz w:val="24"/>
              </w:rPr>
            </w:pPr>
            <w:r>
              <w:rPr>
                <w:rFonts w:hint="eastAsia" w:ascii="仿宋" w:hAnsi="仿宋" w:eastAsia="仿宋" w:cs="仿宋"/>
                <w:b/>
                <w:bCs/>
                <w:sz w:val="24"/>
              </w:rPr>
              <w:t>偏离说明</w:t>
            </w:r>
          </w:p>
        </w:tc>
      </w:tr>
      <w:tr>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bl>
    <w:p>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hint="eastAsia" w:ascii="仿宋" w:hAnsi="仿宋" w:eastAsia="仿宋" w:cs="仿宋"/>
          <w:b/>
          <w:kern w:val="0"/>
          <w:sz w:val="32"/>
          <w:szCs w:val="32"/>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ind w:firstLine="1911" w:firstLineChars="595"/>
        <w:rPr>
          <w:rFonts w:hint="eastAsia" w:ascii="仿宋" w:hAnsi="仿宋" w:eastAsia="仿宋" w:cs="仿宋"/>
          <w:b/>
          <w:bCs/>
          <w:sz w:val="32"/>
          <w:szCs w:val="32"/>
        </w:rPr>
      </w:pPr>
    </w:p>
    <w:p>
      <w:pPr>
        <w:ind w:firstLine="1911" w:firstLineChars="595"/>
        <w:rPr>
          <w:rFonts w:hint="eastAsia" w:ascii="仿宋" w:hAnsi="仿宋" w:eastAsia="仿宋" w:cs="仿宋"/>
          <w:b/>
          <w:bCs/>
          <w:sz w:val="32"/>
          <w:szCs w:val="32"/>
        </w:rPr>
      </w:pPr>
    </w:p>
    <w:p>
      <w:pPr>
        <w:ind w:firstLine="1911" w:firstLineChars="595"/>
        <w:rPr>
          <w:rFonts w:hint="eastAsia" w:ascii="仿宋" w:hAnsi="仿宋" w:eastAsia="仿宋" w:cs="仿宋"/>
          <w:b/>
          <w:bCs/>
          <w:sz w:val="32"/>
          <w:szCs w:val="32"/>
        </w:rPr>
      </w:pPr>
    </w:p>
    <w:p>
      <w:pPr>
        <w:widowControl/>
        <w:adjustRightInd/>
        <w:jc w:val="left"/>
        <w:rPr>
          <w:rFonts w:hint="eastAsia" w:ascii="仿宋" w:hAnsi="仿宋" w:eastAsia="仿宋" w:cs="仿宋"/>
          <w:b/>
          <w:bCs/>
          <w:sz w:val="32"/>
          <w:szCs w:val="32"/>
        </w:rPr>
      </w:pPr>
      <w:r>
        <w:rPr>
          <w:rFonts w:hint="eastAsia" w:ascii="仿宋" w:hAnsi="仿宋" w:eastAsia="仿宋" w:cs="仿宋"/>
          <w:b/>
          <w:bCs/>
          <w:sz w:val="32"/>
          <w:szCs w:val="32"/>
        </w:rPr>
        <w:br w:type="page"/>
      </w:r>
    </w:p>
    <w:p>
      <w:pPr>
        <w:ind w:firstLine="1911" w:firstLineChars="595"/>
        <w:rPr>
          <w:rFonts w:hint="eastAsia"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kern w:val="0"/>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bCs/>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spacing w:line="360" w:lineRule="auto"/>
        <w:jc w:val="center"/>
        <w:rPr>
          <w:rFonts w:hint="eastAsia"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hint="eastAsia" w:ascii="仿宋" w:hAnsi="仿宋" w:eastAsia="仿宋" w:cs="仿宋"/>
          <w:sz w:val="24"/>
        </w:rPr>
      </w:pPr>
      <w:r>
        <w:rPr>
          <w:rFonts w:hint="eastAsia" w:ascii="仿宋" w:hAnsi="仿宋" w:eastAsia="仿宋" w:cs="仿宋"/>
          <w:sz w:val="24"/>
        </w:rPr>
        <w:t>（2）中小企业声明函………………………………………………………………（页码）</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hint="eastAsia" w:ascii="仿宋" w:hAnsi="仿宋" w:eastAsia="仿宋" w:cs="仿宋"/>
          <w:kern w:val="0"/>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r>
        <w:rPr>
          <w:rFonts w:hint="eastAsia" w:ascii="仿宋" w:hAnsi="仿宋" w:eastAsia="仿宋" w:cs="仿宋"/>
          <w:kern w:val="0"/>
          <w:sz w:val="24"/>
          <w:lang w:val="zh-CN"/>
        </w:rPr>
        <w:t>：</w:t>
      </w:r>
    </w:p>
    <w:p>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FF"/>
          <w:sz w:val="24"/>
        </w:rPr>
        <w:t>（项目名称）</w:t>
      </w:r>
      <w:r>
        <w:rPr>
          <w:rFonts w:hint="eastAsia" w:ascii="仿宋" w:hAnsi="仿宋" w:eastAsia="仿宋" w:cs="仿宋"/>
          <w:kern w:val="0"/>
          <w:sz w:val="24"/>
          <w:lang w:val="zh-CN"/>
        </w:rPr>
        <w:t>【招标编号：</w:t>
      </w:r>
      <w:r>
        <w:rPr>
          <w:rFonts w:hint="eastAsia" w:ascii="仿宋" w:hAnsi="仿宋" w:eastAsia="仿宋" w:cs="仿宋"/>
          <w:color w:val="FF0000"/>
          <w:sz w:val="24"/>
        </w:rPr>
        <w:t>（采购编号）</w:t>
      </w:r>
      <w:r>
        <w:rPr>
          <w:rFonts w:hint="eastAsia" w:ascii="仿宋" w:hAnsi="仿宋" w:eastAsia="仿宋" w:cs="仿宋"/>
          <w:sz w:val="24"/>
        </w:rPr>
        <w:t>】的实施</w:t>
      </w:r>
      <w:r>
        <w:rPr>
          <w:rFonts w:hint="eastAsia" w:ascii="仿宋" w:hAnsi="仿宋" w:eastAsia="仿宋" w:cs="仿宋"/>
          <w:kern w:val="0"/>
          <w:sz w:val="24"/>
          <w:lang w:val="zh-CN"/>
        </w:rPr>
        <w:t>。</w:t>
      </w:r>
    </w:p>
    <w:p>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rPr>
          <w:trHeight w:val="1373" w:hRule="atLeast"/>
        </w:trPr>
        <w:tc>
          <w:tcPr>
            <w:tcW w:w="817"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992"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2268" w:type="dxa"/>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2410"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268"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2126"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2127" w:type="dxa"/>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服务人数</w:t>
            </w:r>
          </w:p>
        </w:tc>
        <w:tc>
          <w:tcPr>
            <w:tcW w:w="2126" w:type="dxa"/>
            <w:vAlign w:val="center"/>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pPr>
              <w:spacing w:line="360" w:lineRule="auto"/>
              <w:jc w:val="center"/>
              <w:rPr>
                <w:rFonts w:hint="eastAsia" w:ascii="仿宋" w:hAnsi="仿宋" w:eastAsia="仿宋" w:cs="仿宋"/>
                <w:b/>
                <w:sz w:val="24"/>
              </w:rPr>
            </w:pPr>
          </w:p>
        </w:tc>
      </w:tr>
      <w:tr>
        <w:trPr>
          <w:trHeight w:val="441" w:hRule="atLeast"/>
        </w:trPr>
        <w:tc>
          <w:tcPr>
            <w:tcW w:w="817" w:type="dxa"/>
            <w:vAlign w:val="center"/>
          </w:tcPr>
          <w:p>
            <w:pPr>
              <w:spacing w:line="360" w:lineRule="auto"/>
              <w:jc w:val="center"/>
              <w:rPr>
                <w:rFonts w:hint="eastAsia" w:ascii="仿宋" w:hAnsi="仿宋" w:eastAsia="仿宋" w:cs="仿宋"/>
                <w:color w:val="0000FF"/>
                <w:sz w:val="24"/>
              </w:rPr>
            </w:pPr>
            <w:r>
              <w:rPr>
                <w:rFonts w:hint="eastAsia" w:ascii="仿宋" w:hAnsi="仿宋" w:eastAsia="仿宋" w:cs="仿宋"/>
                <w:color w:val="0000FF"/>
                <w:sz w:val="24"/>
              </w:rPr>
              <w:t>1</w:t>
            </w:r>
          </w:p>
        </w:tc>
        <w:tc>
          <w:tcPr>
            <w:tcW w:w="992" w:type="dxa"/>
            <w:vAlign w:val="center"/>
          </w:tcPr>
          <w:p>
            <w:pPr>
              <w:snapToGrid w:val="0"/>
              <w:spacing w:line="360" w:lineRule="auto"/>
              <w:jc w:val="center"/>
              <w:rPr>
                <w:rFonts w:hint="eastAsia" w:ascii="仿宋" w:hAnsi="仿宋" w:eastAsia="仿宋" w:cs="仿宋"/>
                <w:color w:val="0000FF"/>
                <w:sz w:val="24"/>
              </w:rPr>
            </w:pPr>
            <w:r>
              <w:rPr>
                <w:rFonts w:hint="eastAsia" w:ascii="仿宋" w:hAnsi="仿宋" w:eastAsia="仿宋" w:cs="仿宋"/>
                <w:color w:val="0000FF"/>
                <w:sz w:val="24"/>
              </w:rPr>
              <w:t>XX</w:t>
            </w: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default" w:ascii="仿宋" w:hAnsi="仿宋" w:eastAsia="仿宋" w:cs="仿宋"/>
                <w:sz w:val="24"/>
                <w:lang w:val="en-US" w:eastAsia="zh-CN"/>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rPr>
          <w:trHeight w:val="453" w:hRule="atLeast"/>
        </w:trPr>
        <w:tc>
          <w:tcPr>
            <w:tcW w:w="817" w:type="dxa"/>
            <w:vAlign w:val="center"/>
          </w:tcPr>
          <w:p>
            <w:pPr>
              <w:spacing w:line="360" w:lineRule="auto"/>
              <w:jc w:val="center"/>
              <w:rPr>
                <w:rFonts w:hint="eastAsia" w:ascii="仿宋" w:hAnsi="仿宋" w:eastAsia="仿宋" w:cs="仿宋"/>
                <w:color w:val="0000FF"/>
                <w:sz w:val="24"/>
              </w:rPr>
            </w:pPr>
            <w:r>
              <w:rPr>
                <w:rFonts w:hint="eastAsia" w:ascii="仿宋" w:hAnsi="仿宋" w:eastAsia="仿宋" w:cs="仿宋"/>
                <w:color w:val="0000FF"/>
                <w:sz w:val="24"/>
              </w:rPr>
              <w:t>2</w:t>
            </w:r>
          </w:p>
        </w:tc>
        <w:tc>
          <w:tcPr>
            <w:tcW w:w="992" w:type="dxa"/>
            <w:vAlign w:val="center"/>
          </w:tcPr>
          <w:p>
            <w:pPr>
              <w:snapToGrid w:val="0"/>
              <w:spacing w:line="360" w:lineRule="auto"/>
              <w:jc w:val="center"/>
              <w:rPr>
                <w:rFonts w:hint="eastAsia" w:ascii="仿宋" w:hAnsi="仿宋" w:eastAsia="仿宋" w:cs="仿宋"/>
                <w:color w:val="0000FF"/>
                <w:sz w:val="24"/>
              </w:rPr>
            </w:pPr>
            <w:r>
              <w:rPr>
                <w:rFonts w:hint="eastAsia" w:ascii="仿宋" w:hAnsi="仿宋" w:eastAsia="仿宋" w:cs="仿宋"/>
                <w:color w:val="0000FF"/>
                <w:sz w:val="24"/>
              </w:rPr>
              <w:t>XX</w:t>
            </w: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rPr>
          <w:trHeight w:val="453" w:hRule="atLeast"/>
        </w:trPr>
        <w:tc>
          <w:tcPr>
            <w:tcW w:w="817" w:type="dxa"/>
            <w:vAlign w:val="center"/>
          </w:tcPr>
          <w:p>
            <w:pPr>
              <w:spacing w:line="360" w:lineRule="auto"/>
              <w:jc w:val="center"/>
              <w:rPr>
                <w:rFonts w:hint="eastAsia" w:ascii="仿宋" w:hAnsi="仿宋" w:eastAsia="仿宋" w:cs="仿宋"/>
                <w:color w:val="0000FF"/>
                <w:sz w:val="24"/>
              </w:rPr>
            </w:pPr>
            <w:r>
              <w:rPr>
                <w:rFonts w:hint="eastAsia" w:ascii="仿宋" w:hAnsi="仿宋" w:eastAsia="仿宋" w:cs="仿宋"/>
                <w:color w:val="0000FF"/>
                <w:sz w:val="24"/>
              </w:rPr>
              <w:t>…</w:t>
            </w:r>
          </w:p>
        </w:tc>
        <w:tc>
          <w:tcPr>
            <w:tcW w:w="992" w:type="dxa"/>
            <w:vAlign w:val="center"/>
          </w:tcPr>
          <w:p>
            <w:pPr>
              <w:snapToGrid w:val="0"/>
              <w:spacing w:line="360" w:lineRule="auto"/>
              <w:jc w:val="center"/>
              <w:rPr>
                <w:rFonts w:hint="eastAsia" w:ascii="仿宋" w:hAnsi="仿宋" w:eastAsia="仿宋" w:cs="仿宋"/>
                <w:color w:val="0000FF"/>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rPr>
          <w:trHeight w:val="453" w:hRule="atLeast"/>
        </w:trPr>
        <w:tc>
          <w:tcPr>
            <w:tcW w:w="817" w:type="dxa"/>
            <w:vAlign w:val="center"/>
          </w:tcPr>
          <w:p>
            <w:pPr>
              <w:spacing w:line="360" w:lineRule="auto"/>
              <w:jc w:val="center"/>
              <w:rPr>
                <w:rFonts w:hint="eastAsia" w:ascii="仿宋" w:hAnsi="仿宋" w:eastAsia="仿宋" w:cs="仿宋"/>
                <w:sz w:val="24"/>
              </w:rPr>
            </w:pPr>
          </w:p>
        </w:tc>
        <w:tc>
          <w:tcPr>
            <w:tcW w:w="992"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rPr>
          <w:trHeight w:val="453" w:hRule="atLeast"/>
        </w:trPr>
        <w:tc>
          <w:tcPr>
            <w:tcW w:w="817" w:type="dxa"/>
            <w:vAlign w:val="center"/>
          </w:tcPr>
          <w:p>
            <w:pPr>
              <w:spacing w:line="360" w:lineRule="auto"/>
              <w:jc w:val="center"/>
              <w:rPr>
                <w:rFonts w:hint="eastAsia" w:ascii="仿宋" w:hAnsi="仿宋" w:eastAsia="仿宋" w:cs="仿宋"/>
                <w:sz w:val="24"/>
              </w:rPr>
            </w:pPr>
          </w:p>
        </w:tc>
        <w:tc>
          <w:tcPr>
            <w:tcW w:w="992"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rPr>
          <w:trHeight w:val="659" w:hRule="atLeast"/>
        </w:trPr>
        <w:tc>
          <w:tcPr>
            <w:tcW w:w="6487" w:type="dxa"/>
            <w:gridSpan w:val="4"/>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8647" w:type="dxa"/>
            <w:gridSpan w:val="4"/>
          </w:tcPr>
          <w:p>
            <w:pPr>
              <w:spacing w:line="360" w:lineRule="auto"/>
              <w:jc w:val="center"/>
              <w:rPr>
                <w:rFonts w:hint="eastAsia" w:ascii="仿宋" w:hAnsi="仿宋" w:eastAsia="仿宋" w:cs="仿宋"/>
                <w:sz w:val="24"/>
              </w:rPr>
            </w:pPr>
          </w:p>
        </w:tc>
      </w:tr>
      <w:tr>
        <w:trPr>
          <w:trHeight w:val="597" w:hRule="atLeast"/>
        </w:trPr>
        <w:tc>
          <w:tcPr>
            <w:tcW w:w="6487" w:type="dxa"/>
            <w:gridSpan w:val="4"/>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8647" w:type="dxa"/>
            <w:gridSpan w:val="4"/>
          </w:tcPr>
          <w:p>
            <w:pPr>
              <w:spacing w:line="360" w:lineRule="auto"/>
              <w:jc w:val="center"/>
              <w:rPr>
                <w:rFonts w:hint="eastAsia" w:ascii="仿宋" w:hAnsi="仿宋" w:eastAsia="仿宋" w:cs="仿宋"/>
                <w:sz w:val="24"/>
              </w:rPr>
            </w:pPr>
          </w:p>
        </w:tc>
      </w:tr>
    </w:tbl>
    <w:p>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1、投标人需按本表格式填写</w:t>
      </w:r>
      <w:r>
        <w:rPr>
          <w:rFonts w:hint="eastAsia" w:ascii="仿宋" w:hAnsi="仿宋" w:eastAsia="仿宋" w:cs="仿宋"/>
          <w:b/>
          <w:kern w:val="0"/>
          <w:sz w:val="24"/>
          <w:highlight w:val="none"/>
          <w:lang w:val="zh-CN"/>
        </w:rPr>
        <w:t>，</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投标文件含有采购人不能接受的附加条件，投标无效</w:t>
      </w:r>
      <w:r>
        <w:rPr>
          <w:rFonts w:hint="eastAsia" w:ascii="仿宋" w:hAnsi="仿宋" w:eastAsia="仿宋" w:cs="仿宋"/>
          <w:b/>
          <w:kern w:val="0"/>
          <w:sz w:val="24"/>
          <w:highlight w:val="none"/>
          <w:lang w:val="zh-CN"/>
        </w:rPr>
        <w:t>；</w:t>
      </w:r>
      <w:r>
        <w:rPr>
          <w:rFonts w:hint="eastAsia" w:ascii="仿宋" w:hAnsi="仿宋" w:eastAsia="仿宋" w:cs="仿宋"/>
          <w:kern w:val="0"/>
          <w:sz w:val="24"/>
          <w:highlight w:val="none"/>
          <w:lang w:val="zh-CN"/>
        </w:rPr>
        <w:t>。</w:t>
      </w:r>
    </w:p>
    <w:p>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kern w:val="0"/>
          <w:sz w:val="24"/>
          <w:highlight w:val="none"/>
          <w:lang w:val="zh-CN"/>
        </w:rPr>
        <w:t>2、有关本项目实施所涉及的一切费用均计入报价。</w:t>
      </w:r>
      <w:r>
        <w:rPr>
          <w:rFonts w:hint="eastAsia" w:ascii="仿宋" w:hAnsi="仿宋" w:eastAsia="仿宋" w:cs="仿宋"/>
          <w:b/>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kern w:val="0"/>
          <w:sz w:val="24"/>
          <w:highlight w:val="none"/>
        </w:rPr>
        <w:t>视为</w:t>
      </w:r>
      <w:r>
        <w:rPr>
          <w:rFonts w:hint="eastAsia" w:ascii="仿宋" w:hAnsi="仿宋" w:eastAsia="仿宋" w:cs="仿宋"/>
          <w:b/>
          <w:sz w:val="24"/>
          <w:highlight w:val="none"/>
        </w:rPr>
        <w:t>投标文件含有采购人不能接受的附加条件的，投标无效。</w:t>
      </w:r>
    </w:p>
    <w:p>
      <w:pPr>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sz w:val="24"/>
          <w:highlight w:val="none"/>
          <w:lang w:val="en-US" w:eastAsia="zh-CN"/>
        </w:rPr>
      </w:pPr>
      <w:r>
        <w:rPr>
          <w:rFonts w:hint="eastAsia" w:ascii="仿宋" w:hAnsi="仿宋" w:eastAsia="仿宋" w:cs="仿宋"/>
          <w:b/>
          <w:sz w:val="24"/>
          <w:highlight w:val="none"/>
        </w:rPr>
        <w:t>5、特别说明：▲供应商报价低于项目预算50%的，应当在报价文件中详细阐述不影响产品质量或者诚信履约的具体原因</w:t>
      </w:r>
      <w:r>
        <w:rPr>
          <w:rFonts w:hint="eastAsia" w:ascii="仿宋" w:hAnsi="仿宋" w:eastAsia="仿宋" w:cs="仿宋"/>
          <w:b/>
          <w:sz w:val="24"/>
          <w:highlight w:val="none"/>
          <w:lang w:eastAsia="zh-CN"/>
        </w:rPr>
        <w:t>，</w:t>
      </w:r>
      <w:r>
        <w:rPr>
          <w:rFonts w:hint="eastAsia" w:ascii="仿宋" w:hAnsi="仿宋" w:eastAsia="仿宋" w:cs="仿宋"/>
          <w:b/>
          <w:sz w:val="24"/>
          <w:highlight w:val="none"/>
          <w:lang w:val="en-US" w:eastAsia="zh-CN"/>
        </w:rPr>
        <w:t>未做阐述说明的，投标无效。</w:t>
      </w:r>
    </w:p>
    <w:p>
      <w:pPr>
        <w:spacing w:line="360" w:lineRule="auto"/>
        <w:ind w:firstLine="482" w:firstLineChars="200"/>
        <w:rPr>
          <w:rFonts w:hint="eastAsia" w:ascii="仿宋" w:hAnsi="仿宋" w:eastAsia="仿宋" w:cs="仿宋"/>
          <w:b/>
          <w:kern w:val="0"/>
          <w:sz w:val="24"/>
        </w:rPr>
      </w:pPr>
    </w:p>
    <w:p>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rPr>
        <w:t>二、</w:t>
      </w:r>
      <w:r>
        <w:rPr>
          <w:rFonts w:hint="eastAsia" w:ascii="仿宋" w:hAnsi="仿宋" w:eastAsia="仿宋" w:cs="仿宋"/>
          <w:color w:val="auto"/>
          <w:sz w:val="32"/>
          <w:szCs w:val="32"/>
        </w:rPr>
        <w:t>中小企业声明函（如果有）</w:t>
      </w:r>
    </w:p>
    <w:p>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3"/>
        <w:keepNext w:val="0"/>
        <w:pageBreakBefore w:val="0"/>
        <w:tabs>
          <w:tab w:val="clear" w:pos="720"/>
        </w:tabs>
        <w:snapToGrid w:val="0"/>
        <w:spacing w:before="120" w:after="120"/>
        <w:ind w:firstLine="643"/>
        <w:outlineLvl w:val="9"/>
        <w:rPr>
          <w:rFonts w:hint="eastAsia" w:ascii="仿宋" w:hAnsi="仿宋" w:eastAsia="仿宋" w:cs="仿宋"/>
          <w:b w:val="0"/>
          <w:sz w:val="32"/>
          <w:szCs w:val="32"/>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rPr>
      </w:pPr>
      <w:r>
        <w:rPr>
          <w:rFonts w:hint="eastAsia" w:ascii="仿宋" w:hAnsi="仿宋" w:eastAsia="仿宋" w:cs="仿宋"/>
        </w:rPr>
        <w:t>附件</w:t>
      </w:r>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510" w:name="OLE_LINK14"/>
      <w:bookmarkStart w:id="511" w:name="OLE_LINK13"/>
      <w:r>
        <w:rPr>
          <w:rFonts w:hint="eastAsia" w:ascii="仿宋" w:hAnsi="仿宋" w:eastAsia="仿宋" w:cs="仿宋"/>
          <w:b/>
          <w:spacing w:val="6"/>
          <w:sz w:val="32"/>
          <w:szCs w:val="32"/>
        </w:rPr>
        <w:t>残疾人福利性单位声明函</w:t>
      </w:r>
    </w:p>
    <w:bookmarkEnd w:id="510"/>
    <w:bookmarkEnd w:id="511"/>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0000FF"/>
          <w:sz w:val="24"/>
          <w:u w:val="single"/>
        </w:rPr>
        <w:t>(采购人)</w:t>
      </w:r>
      <w:r>
        <w:rPr>
          <w:rFonts w:hint="eastAsia" w:ascii="仿宋" w:hAnsi="仿宋" w:eastAsia="仿宋" w:cs="仿宋"/>
          <w:sz w:val="24"/>
        </w:rPr>
        <w:t>_单位的_</w:t>
      </w:r>
      <w:r>
        <w:rPr>
          <w:rFonts w:hint="eastAsia" w:ascii="仿宋" w:hAnsi="仿宋" w:eastAsia="仿宋" w:cs="仿宋"/>
          <w:color w:val="0000FF"/>
          <w:sz w:val="24"/>
          <w:u w:val="single"/>
        </w:rPr>
        <w:t>（项目名称）</w:t>
      </w:r>
      <w:r>
        <w:rPr>
          <w:rFonts w:hint="eastAsia" w:ascii="仿宋" w:hAnsi="仿宋" w:eastAsia="仿宋" w:cs="仿宋"/>
          <w:color w:val="0000FF"/>
          <w:sz w:val="24"/>
        </w:rPr>
        <w:t>_</w:t>
      </w:r>
      <w:r>
        <w:rPr>
          <w:rFonts w:hint="eastAsia" w:ascii="仿宋" w:hAnsi="仿宋" w:eastAsia="仿宋" w:cs="仿宋"/>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hint="eastAsia" w:ascii="仿宋" w:hAnsi="仿宋" w:eastAsia="仿宋" w:cs="仿宋"/>
          <w:sz w:val="24"/>
          <w:u w:val="single"/>
        </w:rPr>
      </w:pPr>
    </w:p>
    <w:p>
      <w:pPr>
        <w:spacing w:line="360" w:lineRule="auto"/>
        <w:rPr>
          <w:rFonts w:hint="eastAsia" w:ascii="仿宋" w:hAnsi="仿宋" w:eastAsia="仿宋" w:cs="仿宋"/>
          <w:sz w:val="24"/>
        </w:rPr>
      </w:pPr>
      <w:r>
        <w:rPr>
          <w:rFonts w:hint="eastAsia" w:ascii="仿宋" w:hAnsi="仿宋" w:eastAsia="仿宋" w:cs="仿宋"/>
          <w:color w:val="0000FF"/>
          <w:sz w:val="24"/>
          <w:u w:val="single"/>
        </w:rPr>
        <w:t>（采购人）</w:t>
      </w:r>
      <w:r>
        <w:rPr>
          <w:rFonts w:hint="eastAsia" w:ascii="仿宋" w:hAnsi="仿宋" w:eastAsia="仿宋" w:cs="仿宋"/>
          <w:sz w:val="24"/>
          <w:u w:val="single"/>
        </w:rPr>
        <w:t>、（采购代理机构）：</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pPr>
        <w:rPr>
          <w:rFonts w:hint="eastAsia" w:ascii="仿宋" w:hAnsi="仿宋" w:eastAsia="仿宋" w:cs="仿宋"/>
          <w:sz w:val="24"/>
        </w:rPr>
      </w:pPr>
      <w:r>
        <w:rPr>
          <w:rFonts w:hint="eastAsia" w:ascii="仿宋" w:hAnsi="仿宋" w:eastAsia="仿宋" w:cs="仿宋"/>
          <w:b/>
          <w:bCs/>
          <w:sz w:val="24"/>
        </w:rPr>
        <w:t>附：</w:t>
      </w:r>
    </w:p>
    <w:p>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D1kA8/2AAAAAoBAAAPAAAAAAAAAAEAIAAA&#10;ADgAAABkcnMvZG93bnJldi54bWxQSwECFAAUAAAACACHTuJAyCw/ti8CAAB/BAAADgAAAAAAAAAB&#10;ACAAAAA9AQAAZHJzL2Uyb0RvYy54bWxQSwUGAAAAAAYABgBZAQAA3gU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AZjEem2AAAAAoBAAAPAAAAAAAAAAEAIAAA&#10;ADgAAABkcnMvZG93bnJldi54bWxQSwECFAAUAAAACACHTuJASi97gy8CAAB/BAAADgAAAAAAAAAB&#10;ACAAAAA9AQAAZHJzL2Uyb0RvYy54bWxQSwUGAAAAAAYABgBZAQAA3gU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512" w:name="_Hlk101131882"/>
      <w:r>
        <w:rPr>
          <w:rFonts w:hint="eastAsia" w:ascii="仿宋" w:hAnsi="仿宋" w:eastAsia="仿宋" w:cs="仿宋"/>
          <w:kern w:val="0"/>
          <w:sz w:val="24"/>
          <w:u w:val="single"/>
        </w:rPr>
        <w:t>联合体成员X,……</w:t>
      </w:r>
      <w:bookmarkEnd w:id="512"/>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513" w:name="_Hlk101133598"/>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513"/>
      <w:r>
        <w:rPr>
          <w:rFonts w:hint="eastAsia" w:ascii="仿宋" w:hAnsi="仿宋" w:eastAsia="仿宋" w:cs="仿宋"/>
          <w:b/>
          <w:kern w:val="0"/>
          <w:sz w:val="24"/>
          <w:lang w:val="zh-CN"/>
        </w:rPr>
        <w:t>）</w:t>
      </w:r>
    </w:p>
    <w:p>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514"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514"/>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right="960"/>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snapToGrid w:val="0"/>
        <w:spacing w:line="360" w:lineRule="auto"/>
        <w:ind w:firstLine="3666" w:firstLineChars="1100"/>
        <w:rPr>
          <w:rFonts w:hint="eastAsia" w:ascii="仿宋" w:hAnsi="仿宋" w:eastAsia="仿宋" w:cs="仿宋"/>
          <w:b/>
          <w:spacing w:val="6"/>
          <w:sz w:val="32"/>
          <w:szCs w:val="32"/>
        </w:rPr>
      </w:pPr>
    </w:p>
    <w:p>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pPr>
        <w:snapToGrid w:val="0"/>
        <w:spacing w:line="360" w:lineRule="auto"/>
        <w:ind w:firstLine="3666" w:firstLineChars="1100"/>
        <w:rPr>
          <w:rFonts w:hint="eastAsia"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2"/>
        <w:ind w:left="664" w:leftChars="316" w:firstLine="229" w:firstLineChars="95"/>
        <w:rPr>
          <w:rFonts w:hint="eastAsia" w:ascii="仿宋" w:hAnsi="仿宋" w:eastAsia="仿宋" w:cs="仿宋"/>
          <w:kern w:val="0"/>
          <w:sz w:val="24"/>
          <w:szCs w:val="24"/>
        </w:rPr>
      </w:pPr>
      <w:r>
        <w:rPr>
          <w:rFonts w:hint="eastAsia" w:ascii="仿宋" w:hAnsi="仿宋" w:eastAsia="仿宋" w:cs="仿宋"/>
          <w:kern w:val="0"/>
          <w:sz w:val="24"/>
          <w:szCs w:val="24"/>
        </w:rPr>
        <w:t>……</w:t>
      </w:r>
    </w:p>
    <w:p>
      <w:pPr>
        <w:rPr>
          <w:rFonts w:hint="eastAsia" w:ascii="仿宋" w:hAnsi="仿宋" w:eastAsia="仿宋" w:cs="仿宋"/>
        </w:rPr>
      </w:pPr>
      <w:r>
        <w:rPr>
          <w:rFonts w:hint="eastAsia" w:ascii="仿宋" w:hAnsi="仿宋" w:eastAsia="仿宋" w:cs="仿宋"/>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八、其他</w:t>
      </w:r>
    </w:p>
    <w:p>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spacing w:line="360" w:lineRule="auto"/>
        <w:jc w:val="left"/>
        <w:outlineLvl w:val="0"/>
        <w:rPr>
          <w:rFonts w:hint="eastAsia" w:ascii="仿宋" w:hAnsi="仿宋" w:eastAsia="仿宋" w:cs="仿宋"/>
          <w:b/>
          <w:sz w:val="36"/>
          <w:szCs w:val="20"/>
        </w:rPr>
      </w:pPr>
      <w:r>
        <w:rPr>
          <w:rFonts w:hint="eastAsia" w:ascii="仿宋" w:hAnsi="仿宋" w:eastAsia="仿宋" w:cs="仿宋"/>
          <w:b/>
          <w:sz w:val="36"/>
          <w:szCs w:val="20"/>
        </w:rPr>
        <w:t>附件7：中小企业声明函</w:t>
      </w:r>
    </w:p>
    <w:p>
      <w:pPr>
        <w:spacing w:line="360" w:lineRule="auto"/>
        <w:jc w:val="center"/>
        <w:rPr>
          <w:rFonts w:hint="eastAsia" w:ascii="仿宋" w:hAnsi="仿宋" w:eastAsia="仿宋" w:cs="仿宋"/>
          <w:sz w:val="24"/>
          <w:u w:val="single"/>
        </w:rPr>
      </w:pPr>
    </w:p>
    <w:p>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中小企业声明函（服务）</w:t>
      </w:r>
    </w:p>
    <w:p>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（项目名称） </w:t>
      </w:r>
      <w:r>
        <w:rPr>
          <w:rFonts w:hint="eastAsia" w:ascii="仿宋" w:hAnsi="仿宋" w:eastAsia="仿宋" w:cs="仿宋"/>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 xml:space="preserve">（采购文件中明确的所属行业） </w:t>
      </w:r>
      <w:r>
        <w:rPr>
          <w:rFonts w:hint="eastAsia" w:ascii="仿宋" w:hAnsi="仿宋" w:eastAsia="仿宋" w:cs="仿宋"/>
          <w:color w:val="auto"/>
          <w:sz w:val="24"/>
        </w:rPr>
        <w:t xml:space="preserve">；承建（承接）企业为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 xml:space="preserve">   注：</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sz w:val="24"/>
        </w:rPr>
      </w:pPr>
      <w:r>
        <w:rPr>
          <w:rFonts w:hint="eastAsia" w:ascii="仿宋" w:hAnsi="仿宋" w:eastAsia="仿宋" w:cs="仿宋"/>
          <w:sz w:val="24"/>
        </w:rPr>
        <w:br w:type="page"/>
      </w:r>
    </w:p>
    <w:p>
      <w:pPr>
        <w:pStyle w:val="2"/>
        <w:jc w:val="left"/>
        <w:rPr>
          <w:rFonts w:hint="eastAsia" w:ascii="仿宋" w:hAnsi="仿宋" w:eastAsia="仿宋" w:cs="仿宋"/>
          <w:sz w:val="24"/>
          <w:highlight w:val="none"/>
        </w:rPr>
      </w:pPr>
      <w:r>
        <w:rPr>
          <w:rFonts w:hint="eastAsia" w:ascii="仿宋" w:hAnsi="仿宋" w:eastAsia="仿宋" w:cs="仿宋"/>
          <w:highlight w:val="none"/>
        </w:rPr>
        <w:t>附件</w:t>
      </w:r>
      <w:r>
        <w:rPr>
          <w:rFonts w:hint="eastAsia" w:ascii="仿宋" w:hAnsi="仿宋" w:eastAsia="仿宋" w:cs="仿宋"/>
          <w:highlight w:val="none"/>
          <w:lang w:val="en-US" w:eastAsia="zh-CN"/>
        </w:rPr>
        <w:t>8</w:t>
      </w:r>
      <w:r>
        <w:rPr>
          <w:rFonts w:hint="eastAsia" w:ascii="仿宋" w:hAnsi="仿宋" w:eastAsia="仿宋" w:cs="仿宋"/>
          <w:highlight w:val="none"/>
        </w:rPr>
        <w:t>样品（演示）授权委托书</w:t>
      </w:r>
    </w:p>
    <w:p>
      <w:pPr>
        <w:jc w:val="center"/>
        <w:rPr>
          <w:rFonts w:hint="eastAsia" w:ascii="仿宋" w:hAnsi="仿宋" w:eastAsia="仿宋" w:cs="仿宋"/>
          <w:sz w:val="40"/>
          <w:highlight w:val="none"/>
        </w:rPr>
      </w:pPr>
      <w:r>
        <w:rPr>
          <w:rFonts w:hint="eastAsia" w:ascii="仿宋" w:hAnsi="仿宋" w:eastAsia="仿宋" w:cs="仿宋"/>
          <w:sz w:val="40"/>
          <w:highlight w:val="none"/>
        </w:rPr>
        <w:t>样品（演示）授权委托书</w:t>
      </w:r>
    </w:p>
    <w:p>
      <w:pPr>
        <w:jc w:val="center"/>
        <w:rPr>
          <w:rFonts w:hint="eastAsia" w:ascii="仿宋" w:hAnsi="仿宋" w:eastAsia="仿宋" w:cs="仿宋"/>
          <w:sz w:val="40"/>
        </w:rPr>
      </w:pPr>
    </w:p>
    <w:p>
      <w:pPr>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XXX（单位名称或采购机构名称）</w:t>
      </w:r>
      <w:r>
        <w:rPr>
          <w:rFonts w:hint="eastAsia" w:ascii="仿宋" w:hAnsi="仿宋" w:eastAsia="仿宋" w:cs="仿宋"/>
          <w:color w:val="000000"/>
          <w:sz w:val="24"/>
          <w:szCs w:val="24"/>
          <w:lang w:val="zh-CN"/>
        </w:rPr>
        <w:t>：</w:t>
      </w:r>
    </w:p>
    <w:p>
      <w:pPr>
        <w:snapToGrid w:val="0"/>
        <w:spacing w:line="360" w:lineRule="auto"/>
        <w:ind w:left="254" w:leftChars="121" w:firstLine="480" w:firstLineChars="200"/>
        <w:rPr>
          <w:rFonts w:hint="eastAsia" w:ascii="仿宋" w:hAnsi="仿宋" w:eastAsia="仿宋" w:cs="仿宋"/>
          <w:color w:val="000000"/>
          <w:sz w:val="24"/>
          <w:szCs w:val="24"/>
          <w:u w:val="single"/>
          <w:lang w:val="zh-CN"/>
        </w:rPr>
      </w:pPr>
      <w:r>
        <w:rPr>
          <w:rFonts w:hint="eastAsia" w:ascii="仿宋" w:hAnsi="仿宋" w:eastAsia="仿宋" w:cs="仿宋"/>
          <w:color w:val="000000"/>
          <w:sz w:val="24"/>
          <w:szCs w:val="24"/>
          <w:lang w:val="zh-CN"/>
        </w:rPr>
        <w:t>兹委派</w:t>
      </w:r>
      <w:r>
        <w:rPr>
          <w:rFonts w:hint="eastAsia" w:ascii="仿宋" w:hAnsi="仿宋" w:eastAsia="仿宋" w:cs="仿宋"/>
          <w:color w:val="000000"/>
          <w:sz w:val="24"/>
          <w:szCs w:val="24"/>
          <w:u w:val="single"/>
          <w:lang w:val="zh-CN"/>
        </w:rPr>
        <w:t xml:space="preserve">                </w:t>
      </w:r>
      <w:r>
        <w:rPr>
          <w:rFonts w:hint="eastAsia" w:ascii="仿宋" w:hAnsi="仿宋" w:eastAsia="仿宋" w:cs="仿宋"/>
          <w:color w:val="000000"/>
          <w:sz w:val="24"/>
          <w:szCs w:val="24"/>
          <w:lang w:val="zh-CN"/>
        </w:rPr>
        <w:t>先生/女士，身份证号：</w:t>
      </w:r>
      <w:r>
        <w:rPr>
          <w:rFonts w:hint="eastAsia" w:ascii="仿宋" w:hAnsi="仿宋" w:eastAsia="仿宋" w:cs="仿宋"/>
          <w:color w:val="000000"/>
          <w:sz w:val="24"/>
          <w:szCs w:val="24"/>
          <w:u w:val="single"/>
          <w:lang w:val="zh-CN"/>
        </w:rPr>
        <w:t xml:space="preserve">                   </w:t>
      </w:r>
    </w:p>
    <w:p>
      <w:pPr>
        <w:snapToGrid w:val="0"/>
        <w:spacing w:line="360" w:lineRule="auto"/>
        <w:ind w:left="254" w:leftChars="121"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zh-CN"/>
        </w:rPr>
        <w:t>手机：</w:t>
      </w:r>
      <w:r>
        <w:rPr>
          <w:rFonts w:hint="eastAsia" w:ascii="仿宋" w:hAnsi="仿宋" w:eastAsia="仿宋" w:cs="仿宋"/>
          <w:color w:val="000000"/>
          <w:sz w:val="24"/>
          <w:szCs w:val="24"/>
          <w:u w:val="single"/>
          <w:lang w:val="zh-CN"/>
        </w:rPr>
        <w:t xml:space="preserve">             </w:t>
      </w:r>
      <w:r>
        <w:rPr>
          <w:rFonts w:hint="eastAsia" w:ascii="仿宋" w:hAnsi="仿宋" w:eastAsia="仿宋" w:cs="仿宋"/>
          <w:color w:val="000000"/>
          <w:sz w:val="24"/>
          <w:szCs w:val="24"/>
          <w:lang w:val="zh-CN"/>
        </w:rPr>
        <w:t>，代表我公司前来递交</w:t>
      </w:r>
      <w:r>
        <w:rPr>
          <w:rFonts w:hint="eastAsia" w:ascii="仿宋" w:hAnsi="仿宋" w:eastAsia="仿宋" w:cs="仿宋"/>
          <w:color w:val="000000"/>
          <w:sz w:val="24"/>
          <w:szCs w:val="24"/>
          <w:u w:val="single"/>
          <w:lang w:val="zh-CN"/>
        </w:rPr>
        <w:t xml:space="preserve">                           采购项目</w:t>
      </w:r>
      <w:r>
        <w:rPr>
          <w:rFonts w:hint="eastAsia" w:ascii="仿宋" w:hAnsi="仿宋" w:eastAsia="仿宋" w:cs="仿宋"/>
          <w:color w:val="000000"/>
          <w:sz w:val="24"/>
          <w:szCs w:val="24"/>
          <w:lang w:val="zh-CN"/>
        </w:rPr>
        <w:t xml:space="preserve">【项目编号：              】（标项号：  </w:t>
      </w:r>
      <w:r>
        <w:rPr>
          <w:rFonts w:hint="eastAsia" w:ascii="仿宋" w:hAnsi="仿宋" w:eastAsia="仿宋" w:cs="仿宋"/>
          <w:color w:val="auto"/>
          <w:sz w:val="24"/>
          <w:szCs w:val="24"/>
          <w:lang w:val="zh-CN"/>
        </w:rPr>
        <w:t>）投标样品或参加演示，并全权负</w:t>
      </w:r>
      <w:r>
        <w:rPr>
          <w:rFonts w:hint="eastAsia" w:ascii="仿宋" w:hAnsi="仿宋" w:eastAsia="仿宋" w:cs="仿宋"/>
          <w:color w:val="000000"/>
          <w:sz w:val="24"/>
          <w:szCs w:val="24"/>
          <w:lang w:val="zh-CN"/>
        </w:rPr>
        <w:t>责标后取回样品等其他处理事宜。</w:t>
      </w:r>
    </w:p>
    <w:p>
      <w:pPr>
        <w:snapToGrid w:val="0"/>
        <w:spacing w:line="360" w:lineRule="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 xml:space="preserve">  </w:t>
      </w:r>
    </w:p>
    <w:p>
      <w:pPr>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zh-CN"/>
        </w:rPr>
        <w:t xml:space="preserve">    特此告知。</w:t>
      </w:r>
    </w:p>
    <w:p>
      <w:pPr>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zh-CN"/>
        </w:rPr>
        <w:t xml:space="preserve">                                                  投标人名称(公章)：</w:t>
      </w:r>
    </w:p>
    <w:p>
      <w:pPr>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zh-CN"/>
        </w:rPr>
        <w:t xml:space="preserve">                                                  </w:t>
      </w:r>
    </w:p>
    <w:p>
      <w:pPr>
        <w:snapToGrid w:val="0"/>
        <w:spacing w:line="360" w:lineRule="auto"/>
        <w:ind w:right="240"/>
        <w:jc w:val="right"/>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签发日期：  年  月   日</w:t>
      </w:r>
    </w:p>
    <w:p>
      <w:pPr>
        <w:snapToGrid w:val="0"/>
        <w:spacing w:line="360" w:lineRule="auto"/>
        <w:ind w:right="240"/>
        <w:jc w:val="right"/>
        <w:rPr>
          <w:rFonts w:hint="eastAsia" w:ascii="仿宋" w:hAnsi="仿宋" w:eastAsia="仿宋" w:cs="仿宋"/>
          <w:color w:val="000000"/>
          <w:sz w:val="24"/>
          <w:szCs w:val="24"/>
          <w:lang w:val="zh-CN"/>
        </w:rPr>
      </w:pPr>
    </w:p>
    <w:p>
      <w:pPr>
        <w:snapToGrid w:val="0"/>
        <w:spacing w:line="360" w:lineRule="auto"/>
        <w:ind w:right="1920"/>
        <w:rPr>
          <w:rFonts w:hint="eastAsia" w:ascii="仿宋" w:hAnsi="仿宋" w:eastAsia="仿宋" w:cs="仿宋"/>
          <w:color w:val="000000"/>
          <w:sz w:val="24"/>
          <w:szCs w:val="24"/>
          <w:lang w:val="zh-CN"/>
        </w:rPr>
      </w:pPr>
    </w:p>
    <w:p>
      <w:pPr>
        <w:snapToGrid w:val="0"/>
        <w:spacing w:line="360" w:lineRule="auto"/>
        <w:ind w:right="240"/>
        <w:jc w:val="right"/>
        <w:rPr>
          <w:rFonts w:hint="eastAsia" w:ascii="仿宋" w:hAnsi="仿宋" w:eastAsia="仿宋" w:cs="仿宋"/>
          <w:color w:val="000000"/>
          <w:sz w:val="24"/>
          <w:szCs w:val="24"/>
          <w:lang w:val="zh-CN"/>
        </w:rPr>
      </w:pPr>
    </w:p>
    <w:p>
      <w:pPr>
        <w:snapToGrid w:val="0"/>
        <w:spacing w:line="360" w:lineRule="auto"/>
        <w:ind w:right="240"/>
        <w:rPr>
          <w:rFonts w:hint="eastAsia" w:ascii="仿宋" w:hAnsi="仿宋" w:eastAsia="仿宋" w:cs="仿宋"/>
          <w:color w:val="000000"/>
          <w:sz w:val="24"/>
          <w:szCs w:val="24"/>
          <w:lang w:val="zh-CN"/>
        </w:rPr>
      </w:pPr>
      <w:r>
        <w:rPr>
          <w:rFonts w:hint="eastAsia" w:ascii="仿宋" w:hAnsi="仿宋" w:eastAsia="仿宋" w:cs="仿宋"/>
          <w:color w:val="000000"/>
          <w:sz w:val="24"/>
          <w:szCs w:val="24"/>
        </w:rPr>
        <w:t>受委托人</w:t>
      </w:r>
      <w:r>
        <w:rPr>
          <w:rFonts w:hint="eastAsia" w:ascii="仿宋" w:hAnsi="仿宋" w:eastAsia="仿宋" w:cs="仿宋"/>
          <w:color w:val="000000"/>
          <w:sz w:val="24"/>
          <w:szCs w:val="24"/>
          <w:lang w:val="zh-CN"/>
        </w:rPr>
        <w:t>身份证复印件：</w:t>
      </w:r>
    </w:p>
    <w:p>
      <w:pPr>
        <w:snapToGrid w:val="0"/>
        <w:spacing w:line="360" w:lineRule="auto"/>
        <w:ind w:right="240"/>
        <w:rPr>
          <w:rFonts w:hint="eastAsia" w:ascii="仿宋" w:hAnsi="仿宋" w:eastAsia="仿宋" w:cs="仿宋"/>
          <w:color w:val="000000"/>
          <w:sz w:val="24"/>
          <w:szCs w:val="24"/>
          <w:lang w:val="zh-CN"/>
        </w:rPr>
      </w:pPr>
    </w:p>
    <w:p>
      <w:pPr>
        <w:snapToGrid w:val="0"/>
        <w:spacing w:line="360" w:lineRule="auto"/>
        <w:ind w:right="24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说明：本委托书在有样品或演示时由受委托人携带至指定地点。</w:t>
      </w:r>
    </w:p>
    <w:p>
      <w:pPr>
        <w:spacing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rPr>
        <w:t>同时有样品和演示的，可委托不同人员。</w:t>
      </w:r>
    </w:p>
    <w:p>
      <w:pPr>
        <w:pStyle w:val="2"/>
        <w:rPr>
          <w:rFonts w:hint="eastAsia" w:ascii="仿宋" w:hAnsi="仿宋" w:eastAsia="仿宋" w:cs="仿宋"/>
        </w:rPr>
      </w:pPr>
    </w:p>
    <w:p>
      <w:pPr>
        <w:spacing w:line="360" w:lineRule="auto"/>
        <w:jc w:val="center"/>
        <w:rPr>
          <w:rFonts w:hint="eastAsia" w:ascii="仿宋" w:hAnsi="仿宋" w:eastAsia="仿宋" w:cs="仿宋"/>
          <w:b/>
          <w:sz w:val="32"/>
          <w:szCs w:val="32"/>
        </w:rPr>
      </w:pPr>
    </w:p>
    <w:p>
      <w:pPr>
        <w:pStyle w:val="2"/>
        <w:rPr>
          <w:rFonts w:hint="eastAsia" w:ascii="仿宋" w:hAnsi="仿宋" w:eastAsia="仿宋" w:cs="仿宋"/>
        </w:rPr>
      </w:pPr>
    </w:p>
    <w:p>
      <w:pPr>
        <w:pStyle w:val="2"/>
        <w:rPr>
          <w:rFonts w:hint="eastAsia" w:ascii="仿宋" w:hAnsi="仿宋" w:eastAsia="仿宋" w:cs="仿宋"/>
          <w:lang w:val="en-US"/>
        </w:rPr>
      </w:pPr>
    </w:p>
    <w:p>
      <w:pPr>
        <w:spacing w:line="360" w:lineRule="auto"/>
        <w:ind w:right="420"/>
        <w:rPr>
          <w:rFonts w:hint="eastAsia" w:ascii="仿宋" w:hAnsi="仿宋" w:eastAsia="仿宋" w:cs="仿宋"/>
        </w:rPr>
      </w:pPr>
    </w:p>
    <w:p>
      <w:pPr>
        <w:spacing w:line="360" w:lineRule="auto"/>
        <w:rPr>
          <w:rFonts w:hint="eastAsia" w:ascii="仿宋" w:hAnsi="仿宋" w:eastAsia="仿宋" w:cs="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0000" w:usb1="00000000" w:usb2="00000000" w:usb3="00000000" w:csb0="00000000" w:csb1="00000000"/>
  </w:font>
  <w:font w:name="宋体">
    <w:altName w:val="汉仪书宋二KW"/>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苹方-简"/>
    <w:panose1 w:val="02040503050406030204"/>
    <w:charset w:val="00"/>
    <w:family w:val="roman"/>
    <w:pitch w:val="default"/>
    <w:sig w:usb0="00000000" w:usb1="00000000" w:usb2="02000000" w:usb3="00000000" w:csb0="2000019F" w:csb1="00000000"/>
  </w:font>
  <w:font w:name="微软雅黑">
    <w:altName w:val="汉仪旗黑"/>
    <w:panose1 w:val="020B0503020204020204"/>
    <w:charset w:val="86"/>
    <w:family w:val="swiss"/>
    <w:pitch w:val="default"/>
    <w:sig w:usb0="00000000" w:usb1="00000000" w:usb2="00000016" w:usb3="00000000" w:csb0="0004001F" w:csb1="00000000"/>
  </w:font>
  <w:font w:name="隶书">
    <w:altName w:val="报隶-简"/>
    <w:panose1 w:val="02010509060101010101"/>
    <w:charset w:val="86"/>
    <w:family w:val="modern"/>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Futura Bk">
    <w:altName w:val="苹方-简"/>
    <w:panose1 w:val="00000000000000000000"/>
    <w:charset w:val="00"/>
    <w:family w:val="swiss"/>
    <w:pitch w:val="default"/>
    <w:sig w:usb0="00000000" w:usb1="00000000" w:usb2="00000000" w:usb3="00000000" w:csb0="00000011" w:csb1="00000000"/>
  </w:font>
  <w:font w:name="华文中宋">
    <w:altName w:val="汉仪书宋二KW"/>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00000000" w:usb1="00000000" w:usb2="00000000" w:usb3="00000000" w:csb0="00000000" w:csb1="00000000"/>
  </w:font>
  <w:font w:name="MS Sans Serif">
    <w:altName w:val="苹方-简"/>
    <w:panose1 w:val="020B0500000000000000"/>
    <w:charset w:val="00"/>
    <w:family w:val="swiss"/>
    <w:pitch w:val="default"/>
    <w:sig w:usb0="00000000" w:usb1="00000000" w:usb2="00000000" w:usb3="00000000" w:csb0="00000001" w:csb1="00000000"/>
  </w:font>
  <w:font w:name="Lucida Sans">
    <w:altName w:val="苹方-简"/>
    <w:panose1 w:val="020B0602030504020204"/>
    <w:charset w:val="00"/>
    <w:family w:val="swiss"/>
    <w:pitch w:val="default"/>
    <w:sig w:usb0="00000000" w:usb1="00000000" w:usb2="00000000" w:usb3="00000000" w:csb0="20000001" w:csb1="00000000"/>
  </w:font>
  <w:font w:name="等线 Light">
    <w:altName w:val="汉仪中等线KW"/>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00000000" w:usb1="00000000" w:usb2="00000000" w:usb3="00000000" w:csb0="00000000" w:csb1="00000000"/>
  </w:font>
  <w:font w:name="ˎ̥">
    <w:altName w:val="苹方-简"/>
    <w:panose1 w:val="00000000000000000000"/>
    <w:charset w:val="00"/>
    <w:family w:val="roman"/>
    <w:pitch w:val="default"/>
    <w:sig w:usb0="00000000" w:usb1="00000000" w:usb2="00000000" w:usb3="00000000" w:csb0="00040001" w:csb1="00000000"/>
  </w:font>
  <w:font w:name="幼圆">
    <w:altName w:val="宋体-简"/>
    <w:panose1 w:val="0201050906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000" w:usb1="00000000" w:usb2="00000000" w:usb3="00000000" w:csb0="00000000" w:csb1="00000000"/>
  </w:font>
  <w:font w:name="FHLHE E+ Futura Bk">
    <w:altName w:val="苹方-简"/>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00" w:usb3="00000000" w:csb0="003E0000" w:csb1="00000000"/>
  </w:font>
  <w:font w:name="Helvetica">
    <w:panose1 w:val="00000000000000000000"/>
    <w:charset w:val="00"/>
    <w:family w:val="swiss"/>
    <w:pitch w:val="default"/>
    <w:sig w:usb0="00000000" w:usb1="00000000" w:usb2="00000000" w:usb3="00000000" w:csb0="00000000" w:csb1="00000000"/>
  </w:font>
  <w:font w:name="Cumberland">
    <w:altName w:val="苹方-简"/>
    <w:panose1 w:val="00000000000000000000"/>
    <w:charset w:val="00"/>
    <w:family w:val="modern"/>
    <w:pitch w:val="default"/>
    <w:sig w:usb0="00000000" w:usb1="00000000" w:usb2="00000000" w:usb3="00000000" w:csb0="00040001" w:csb1="00000000"/>
  </w:font>
  <w:font w:name="方正宋体">
    <w:altName w:val="汉仪书宋二KW"/>
    <w:panose1 w:val="00000000000000000000"/>
    <w:charset w:val="00"/>
    <w:family w:val="auto"/>
    <w:pitch w:val="default"/>
    <w:sig w:usb0="00000000" w:usb1="00000000" w:usb2="00000000" w:usb3="00000000" w:csb0="00040001" w:csb1="00000000"/>
  </w:font>
  <w:font w:name="Futura Hv">
    <w:altName w:val="苹方-简"/>
    <w:panose1 w:val="00000000000000000000"/>
    <w:charset w:val="00"/>
    <w:family w:val="swiss"/>
    <w:pitch w:val="default"/>
    <w:sig w:usb0="00000000" w:usb1="00000000" w:usb2="00000000" w:usb3="00000000" w:csb0="000001FB" w:csb1="00000000"/>
  </w:font>
  <w:font w:name="Segoe UI">
    <w:altName w:val="苹方-简"/>
    <w:panose1 w:val="020B0502040204020203"/>
    <w:charset w:val="00"/>
    <w:family w:val="swiss"/>
    <w:pitch w:val="default"/>
    <w:sig w:usb0="00000000" w:usb1="00000000" w:usb2="00000009" w:usb3="00000000" w:csb0="200001FF" w:csb1="00000000"/>
  </w:font>
  <w:font w:name="Latha">
    <w:altName w:val="Helvetica Neue"/>
    <w:panose1 w:val="020B0604020202020204"/>
    <w:charset w:val="01"/>
    <w:family w:val="roman"/>
    <w:pitch w:val="default"/>
    <w:sig w:usb0="00000000" w:usb1="00000000" w:usb2="00000000" w:usb3="00000000" w:csb0="00000001" w:csb1="00000000"/>
  </w:font>
  <w:font w:name="等线">
    <w:altName w:val="汉仪中等线KW"/>
    <w:panose1 w:val="02010600030101010101"/>
    <w:charset w:val="86"/>
    <w:family w:val="auto"/>
    <w:pitch w:val="default"/>
    <w:sig w:usb0="00000000" w:usb1="00000000" w:usb2="00000016" w:usb3="00000000" w:csb0="0004000F" w:csb1="00000000"/>
  </w:font>
  <w:font w:name="新宋体">
    <w:altName w:val="方正书宋_GBK"/>
    <w:panose1 w:val="02010609030101010101"/>
    <w:charset w:val="86"/>
    <w:family w:val="modern"/>
    <w:pitch w:val="default"/>
    <w:sig w:usb0="00000000" w:usb1="00000000" w:usb2="0000000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Lucida Sans Unicode">
    <w:altName w:val="苹方-简"/>
    <w:panose1 w:val="020B0602030504020204"/>
    <w:charset w:val="00"/>
    <w:family w:val="swiss"/>
    <w:pitch w:val="default"/>
    <w:sig w:usb0="00000000" w:usb1="00000000" w:usb2="00000000" w:usb3="00000000" w:csb0="200000BF" w:csb1="D7F70000"/>
  </w:font>
  <w:font w:name="Century Gothic">
    <w:altName w:val="苹方-简"/>
    <w:panose1 w:val="020B0502020202020204"/>
    <w:charset w:val="00"/>
    <w:family w:val="swiss"/>
    <w:pitch w:val="default"/>
    <w:sig w:usb0="00000000" w:usb1="00000000" w:usb2="00000000" w:usb3="00000000" w:csb0="2000009F" w:csb1="DFD70000"/>
  </w:font>
  <w:font w:name="Aldine401 BT">
    <w:altName w:val="苹方-简"/>
    <w:panose1 w:val="00000000000000000000"/>
    <w:charset w:val="00"/>
    <w:family w:val="roman"/>
    <w:pitch w:val="default"/>
    <w:sig w:usb0="00000000" w:usb1="00000000" w:usb2="00000000" w:usb3="00000000" w:csb0="00000011" w:csb1="00000000"/>
  </w:font>
  <w:font w:name=".PingFang SC">
    <w:panose1 w:val="02020603050405020304"/>
    <w:charset w:val="00"/>
    <w:family w:val="modern"/>
    <w:pitch w:val="default"/>
    <w:sig w:usb0="00000000" w:usb1="00000000" w:usb2="00000000" w:usb3="00000000" w:csb0="00000000" w:csb1="00000000"/>
  </w:font>
  <w:font w:name="FangSong_GB2312">
    <w:altName w:val="方正仿宋_GBK"/>
    <w:panose1 w:val="02010609060101010101"/>
    <w:charset w:val="86"/>
    <w:family w:val="modern"/>
    <w:pitch w:val="default"/>
    <w:sig w:usb0="00000000" w:usb1="00000000" w:usb2="00000016" w:usb3="00000000" w:csb0="00040001" w:csb1="00000000"/>
  </w:font>
  <w:font w:name="MS Gothic">
    <w:altName w:val="苹方-简"/>
    <w:panose1 w:val="020B0609070205080204"/>
    <w:charset w:val="80"/>
    <w:family w:val="auto"/>
    <w:pitch w:val="default"/>
    <w:sig w:usb0="00000000" w:usb1="00000000" w:usb2="08000012" w:usb3="00000000" w:csb0="4002009F" w:csb1="DFD70000"/>
  </w:font>
  <w:font w:name="汉仪书宋二KW">
    <w:panose1 w:val="0002060004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 w:name="冬青黑体简体中文">
    <w:panose1 w:val="020B03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Helvetica Neue">
    <w:panose1 w:val="02000503000000020004"/>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汉仪旗黑">
    <w:panose1 w:val="00020600040101010101"/>
    <w:charset w:val="86"/>
    <w:family w:val="auto"/>
    <w:pitch w:val="default"/>
    <w:sig w:usb0="00000000" w:usb1="00000000" w:usb2="00000000" w:usb3="00000000" w:csb0="00060000" w:csb1="00000000"/>
  </w:font>
  <w:font w:name="报隶-简">
    <w:panose1 w:val="02010600040101010101"/>
    <w:charset w:val="86"/>
    <w:family w:val="auto"/>
    <w:pitch w:val="default"/>
    <w:sig w:usb0="00000000" w:usb1="00000000" w:usb2="00000000" w:usb3="00000000" w:csb0="00160000" w:csb1="00000000"/>
  </w:font>
  <w:font w:name="汉仪楷体简">
    <w:panose1 w:val="02010600000101010101"/>
    <w:charset w:val="86"/>
    <w:family w:val="auto"/>
    <w:pitch w:val="default"/>
    <w:sig w:usb0="00000000" w:usb1="00000000" w:usb2="00000000" w:usb3="00000000" w:csb0="00060000" w:csb1="00000000"/>
  </w:font>
  <w:font w:name="汉仪中等线KW">
    <w:panose1 w:val="01010104010101010101"/>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auto"/>
    <w:pitch w:val="default"/>
    <w:sig w:usb0="00000000" w:usb1="00000000" w:usb2="00000000" w:usb3="00000000" w:csb0="00000000" w:csb1="00000000"/>
  </w:font>
  <w:font w:name="方正书宋_GBK">
    <w:panose1 w:val="02000000000000000000"/>
    <w:charset w:val="86"/>
    <w:family w:val="auto"/>
    <w:pitch w:val="default"/>
    <w:sig w:usb0="00000000" w:usb1="00000000" w:usb2="00000000" w:usb3="00000000" w:csb0="00160000" w:csb1="00000000"/>
  </w:font>
  <w:font w:name="汉仪楷体KW">
    <w:panose1 w:val="0002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91899912"/>
    <w:bookmarkStart w:id="516" w:name="_Toc36110187"/>
    <w:bookmarkStart w:id="517" w:name="_Toc131845147"/>
    <w:bookmarkStart w:id="518" w:name="_Toc164085800"/>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E50D01C"/>
    <w:multiLevelType w:val="singleLevel"/>
    <w:tmpl w:val="4E50D01C"/>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zNDU3NmU0MDFhZTc0ZDgxMWZiNTY1ZDQyZTZjZm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B477D0"/>
    <w:rsid w:val="01D55165"/>
    <w:rsid w:val="01DF6BF8"/>
    <w:rsid w:val="01EC2C57"/>
    <w:rsid w:val="022F0D9B"/>
    <w:rsid w:val="025F0711"/>
    <w:rsid w:val="026B2E25"/>
    <w:rsid w:val="02824D4D"/>
    <w:rsid w:val="02D545D0"/>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5A84572"/>
    <w:rsid w:val="060E5941"/>
    <w:rsid w:val="06110FAF"/>
    <w:rsid w:val="06493CA7"/>
    <w:rsid w:val="065A6178"/>
    <w:rsid w:val="066F1CF3"/>
    <w:rsid w:val="06930BB8"/>
    <w:rsid w:val="06EC0D0D"/>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F67CA"/>
    <w:rsid w:val="0A5B7E63"/>
    <w:rsid w:val="0AA374A5"/>
    <w:rsid w:val="0AAB7649"/>
    <w:rsid w:val="0ABC5606"/>
    <w:rsid w:val="0ADF0A3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9D2956"/>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E1875"/>
    <w:rsid w:val="0E5604B2"/>
    <w:rsid w:val="0E6D5D79"/>
    <w:rsid w:val="0E9D0089"/>
    <w:rsid w:val="0EB803EE"/>
    <w:rsid w:val="0ECA36CD"/>
    <w:rsid w:val="0EF4885B"/>
    <w:rsid w:val="0EF94D4B"/>
    <w:rsid w:val="0F4958DC"/>
    <w:rsid w:val="0F515DF7"/>
    <w:rsid w:val="0F596BA8"/>
    <w:rsid w:val="0F6248D2"/>
    <w:rsid w:val="0F693536"/>
    <w:rsid w:val="0F7B0511"/>
    <w:rsid w:val="0F7B76D9"/>
    <w:rsid w:val="0F816ACD"/>
    <w:rsid w:val="0F9832DB"/>
    <w:rsid w:val="0FBF3FD2"/>
    <w:rsid w:val="0FBF7FF3"/>
    <w:rsid w:val="0FE2502F"/>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9621B"/>
    <w:rsid w:val="13BF3CE4"/>
    <w:rsid w:val="141008D8"/>
    <w:rsid w:val="14125FE6"/>
    <w:rsid w:val="146D271E"/>
    <w:rsid w:val="14982588"/>
    <w:rsid w:val="149A5AD9"/>
    <w:rsid w:val="14A7619D"/>
    <w:rsid w:val="150536C3"/>
    <w:rsid w:val="150C1963"/>
    <w:rsid w:val="151447A0"/>
    <w:rsid w:val="154A6454"/>
    <w:rsid w:val="15762120"/>
    <w:rsid w:val="15C10692"/>
    <w:rsid w:val="1632430B"/>
    <w:rsid w:val="164B3423"/>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C021BE"/>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A3372D"/>
    <w:rsid w:val="20B26522"/>
    <w:rsid w:val="20B44310"/>
    <w:rsid w:val="211116EB"/>
    <w:rsid w:val="21115269"/>
    <w:rsid w:val="216133FC"/>
    <w:rsid w:val="2185666F"/>
    <w:rsid w:val="21C30802"/>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AA7CDA"/>
    <w:rsid w:val="25BE27CC"/>
    <w:rsid w:val="25F74A5C"/>
    <w:rsid w:val="2628662C"/>
    <w:rsid w:val="262D45DE"/>
    <w:rsid w:val="266E7B5C"/>
    <w:rsid w:val="26871DC8"/>
    <w:rsid w:val="26A53EF9"/>
    <w:rsid w:val="26A94201"/>
    <w:rsid w:val="26AC274F"/>
    <w:rsid w:val="27044A29"/>
    <w:rsid w:val="271D34C8"/>
    <w:rsid w:val="276142BF"/>
    <w:rsid w:val="27783712"/>
    <w:rsid w:val="27845137"/>
    <w:rsid w:val="27907362"/>
    <w:rsid w:val="279277D6"/>
    <w:rsid w:val="280653FC"/>
    <w:rsid w:val="28333E1D"/>
    <w:rsid w:val="28454BD6"/>
    <w:rsid w:val="28455253"/>
    <w:rsid w:val="28551971"/>
    <w:rsid w:val="285B1C53"/>
    <w:rsid w:val="289F7086"/>
    <w:rsid w:val="28B7466A"/>
    <w:rsid w:val="28C32028"/>
    <w:rsid w:val="28CC490F"/>
    <w:rsid w:val="28DE40AA"/>
    <w:rsid w:val="29345E77"/>
    <w:rsid w:val="294C65AD"/>
    <w:rsid w:val="29806583"/>
    <w:rsid w:val="298B3C4C"/>
    <w:rsid w:val="29F26D24"/>
    <w:rsid w:val="2A0E67EA"/>
    <w:rsid w:val="2A15033F"/>
    <w:rsid w:val="2A1662C1"/>
    <w:rsid w:val="2A1C7367"/>
    <w:rsid w:val="2A2815FA"/>
    <w:rsid w:val="2A6D6092"/>
    <w:rsid w:val="2A7D76B4"/>
    <w:rsid w:val="2ABF7D2D"/>
    <w:rsid w:val="2AC51044"/>
    <w:rsid w:val="2B437463"/>
    <w:rsid w:val="2B5D2C79"/>
    <w:rsid w:val="2B7807EE"/>
    <w:rsid w:val="2BA50BF7"/>
    <w:rsid w:val="2BBF00EC"/>
    <w:rsid w:val="2BC37CFD"/>
    <w:rsid w:val="2BD5237F"/>
    <w:rsid w:val="2BE536CE"/>
    <w:rsid w:val="2BE758D9"/>
    <w:rsid w:val="2C09049E"/>
    <w:rsid w:val="2C0A653C"/>
    <w:rsid w:val="2C191F85"/>
    <w:rsid w:val="2CD614DF"/>
    <w:rsid w:val="2CE82D6F"/>
    <w:rsid w:val="2D343236"/>
    <w:rsid w:val="2DD15014"/>
    <w:rsid w:val="2DF72DE4"/>
    <w:rsid w:val="2E0220AF"/>
    <w:rsid w:val="2E4B082A"/>
    <w:rsid w:val="2E5D4E86"/>
    <w:rsid w:val="2E5D790B"/>
    <w:rsid w:val="2E6D6C86"/>
    <w:rsid w:val="2E9A3C18"/>
    <w:rsid w:val="2E9D7C15"/>
    <w:rsid w:val="2EBB0FEE"/>
    <w:rsid w:val="2EC63002"/>
    <w:rsid w:val="2EEF2F57"/>
    <w:rsid w:val="2EEF4C3F"/>
    <w:rsid w:val="2F0A6B38"/>
    <w:rsid w:val="2F1DE880"/>
    <w:rsid w:val="2F946CCB"/>
    <w:rsid w:val="2FD25781"/>
    <w:rsid w:val="2FDC745C"/>
    <w:rsid w:val="2FFD7934"/>
    <w:rsid w:val="30733ACD"/>
    <w:rsid w:val="308C3862"/>
    <w:rsid w:val="309379D8"/>
    <w:rsid w:val="30A270F7"/>
    <w:rsid w:val="30BA4FD6"/>
    <w:rsid w:val="30DF1478"/>
    <w:rsid w:val="30EC586F"/>
    <w:rsid w:val="3139239E"/>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10448F"/>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16E46"/>
    <w:rsid w:val="39636459"/>
    <w:rsid w:val="396B636D"/>
    <w:rsid w:val="396B7F6C"/>
    <w:rsid w:val="39A959E1"/>
    <w:rsid w:val="39B417A9"/>
    <w:rsid w:val="39D8110F"/>
    <w:rsid w:val="39FC5695"/>
    <w:rsid w:val="3A006D8E"/>
    <w:rsid w:val="3A3651E5"/>
    <w:rsid w:val="3A744481"/>
    <w:rsid w:val="3A8C7BEF"/>
    <w:rsid w:val="3A906246"/>
    <w:rsid w:val="3AF7E610"/>
    <w:rsid w:val="3B2349B7"/>
    <w:rsid w:val="3B616CFF"/>
    <w:rsid w:val="3B6259F6"/>
    <w:rsid w:val="3B976654"/>
    <w:rsid w:val="3BC01EFC"/>
    <w:rsid w:val="3BCA786A"/>
    <w:rsid w:val="3BD31E2F"/>
    <w:rsid w:val="3BF15831"/>
    <w:rsid w:val="3C105946"/>
    <w:rsid w:val="3C471448"/>
    <w:rsid w:val="3C5F759A"/>
    <w:rsid w:val="3C6C525A"/>
    <w:rsid w:val="3C856883"/>
    <w:rsid w:val="3CCE23CB"/>
    <w:rsid w:val="3CD17D17"/>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3FE22D7A"/>
    <w:rsid w:val="4019356B"/>
    <w:rsid w:val="40592157"/>
    <w:rsid w:val="406E1CAE"/>
    <w:rsid w:val="40A0133A"/>
    <w:rsid w:val="40C31A53"/>
    <w:rsid w:val="40FF545D"/>
    <w:rsid w:val="410067C8"/>
    <w:rsid w:val="412B62A7"/>
    <w:rsid w:val="418F0D2A"/>
    <w:rsid w:val="41D01505"/>
    <w:rsid w:val="42474939"/>
    <w:rsid w:val="424C3C57"/>
    <w:rsid w:val="42613FF3"/>
    <w:rsid w:val="42660D96"/>
    <w:rsid w:val="428667D2"/>
    <w:rsid w:val="42AF269A"/>
    <w:rsid w:val="42CD1CE0"/>
    <w:rsid w:val="42E1381E"/>
    <w:rsid w:val="42ED6459"/>
    <w:rsid w:val="42FE58DD"/>
    <w:rsid w:val="43174B3D"/>
    <w:rsid w:val="434B790E"/>
    <w:rsid w:val="4360274F"/>
    <w:rsid w:val="43977AB6"/>
    <w:rsid w:val="43A3342B"/>
    <w:rsid w:val="43B14E00"/>
    <w:rsid w:val="43C77C27"/>
    <w:rsid w:val="43DE09EE"/>
    <w:rsid w:val="44002FAD"/>
    <w:rsid w:val="449101DD"/>
    <w:rsid w:val="44D217E8"/>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BE0B52"/>
    <w:rsid w:val="48E37AAB"/>
    <w:rsid w:val="48FD4B4C"/>
    <w:rsid w:val="490A68E0"/>
    <w:rsid w:val="490E72F1"/>
    <w:rsid w:val="491055FE"/>
    <w:rsid w:val="495F5B3E"/>
    <w:rsid w:val="496F77D7"/>
    <w:rsid w:val="497654FD"/>
    <w:rsid w:val="49B64211"/>
    <w:rsid w:val="49E56AF9"/>
    <w:rsid w:val="49F6167F"/>
    <w:rsid w:val="4A064FA0"/>
    <w:rsid w:val="4A16615C"/>
    <w:rsid w:val="4A4424D7"/>
    <w:rsid w:val="4AB82D0F"/>
    <w:rsid w:val="4AE9678B"/>
    <w:rsid w:val="4AEB7664"/>
    <w:rsid w:val="4AFD7C19"/>
    <w:rsid w:val="4B0567D1"/>
    <w:rsid w:val="4B236AAE"/>
    <w:rsid w:val="4B363761"/>
    <w:rsid w:val="4B4D6D1A"/>
    <w:rsid w:val="4B707271"/>
    <w:rsid w:val="4B9739F7"/>
    <w:rsid w:val="4BEE2503"/>
    <w:rsid w:val="4C245A30"/>
    <w:rsid w:val="4C6A56AA"/>
    <w:rsid w:val="4C7C612D"/>
    <w:rsid w:val="4CB6685F"/>
    <w:rsid w:val="4CC367FE"/>
    <w:rsid w:val="4CE55409"/>
    <w:rsid w:val="4D077F3C"/>
    <w:rsid w:val="4D123355"/>
    <w:rsid w:val="4D2A3B31"/>
    <w:rsid w:val="4D312C52"/>
    <w:rsid w:val="4D905305"/>
    <w:rsid w:val="4D964A72"/>
    <w:rsid w:val="4D9C1254"/>
    <w:rsid w:val="4DB03590"/>
    <w:rsid w:val="4E793892"/>
    <w:rsid w:val="4E800872"/>
    <w:rsid w:val="4EC569ED"/>
    <w:rsid w:val="4ED50EA1"/>
    <w:rsid w:val="4EEC050C"/>
    <w:rsid w:val="4F104EC3"/>
    <w:rsid w:val="4F47354A"/>
    <w:rsid w:val="4F6373AF"/>
    <w:rsid w:val="4F911C54"/>
    <w:rsid w:val="4FD91EF8"/>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E62357"/>
    <w:rsid w:val="522E4CC3"/>
    <w:rsid w:val="5244713B"/>
    <w:rsid w:val="52615633"/>
    <w:rsid w:val="526F4DE4"/>
    <w:rsid w:val="52977FD4"/>
    <w:rsid w:val="52A25790"/>
    <w:rsid w:val="52A96B6F"/>
    <w:rsid w:val="52B45975"/>
    <w:rsid w:val="52D94AA4"/>
    <w:rsid w:val="52EA3A62"/>
    <w:rsid w:val="52F50BB8"/>
    <w:rsid w:val="53097272"/>
    <w:rsid w:val="53544462"/>
    <w:rsid w:val="539677E7"/>
    <w:rsid w:val="5397158E"/>
    <w:rsid w:val="54013861"/>
    <w:rsid w:val="54487265"/>
    <w:rsid w:val="544D6070"/>
    <w:rsid w:val="54605E1E"/>
    <w:rsid w:val="54B3506A"/>
    <w:rsid w:val="54CA0D16"/>
    <w:rsid w:val="54DD4057"/>
    <w:rsid w:val="54E7490F"/>
    <w:rsid w:val="54E9527D"/>
    <w:rsid w:val="550764A4"/>
    <w:rsid w:val="550B2BF6"/>
    <w:rsid w:val="55214EB5"/>
    <w:rsid w:val="55364EFD"/>
    <w:rsid w:val="555D4828"/>
    <w:rsid w:val="557A4C8B"/>
    <w:rsid w:val="558931E1"/>
    <w:rsid w:val="55923347"/>
    <w:rsid w:val="55925180"/>
    <w:rsid w:val="55983B1B"/>
    <w:rsid w:val="55A8376B"/>
    <w:rsid w:val="55C66014"/>
    <w:rsid w:val="55DC29B6"/>
    <w:rsid w:val="55DD4241"/>
    <w:rsid w:val="566B6D1E"/>
    <w:rsid w:val="57032A2C"/>
    <w:rsid w:val="570F5219"/>
    <w:rsid w:val="575D12B5"/>
    <w:rsid w:val="57610A87"/>
    <w:rsid w:val="577B1140"/>
    <w:rsid w:val="577B7F21"/>
    <w:rsid w:val="577F181B"/>
    <w:rsid w:val="578D611C"/>
    <w:rsid w:val="57921984"/>
    <w:rsid w:val="579737F0"/>
    <w:rsid w:val="57AB7B30"/>
    <w:rsid w:val="57AF5251"/>
    <w:rsid w:val="57B26373"/>
    <w:rsid w:val="57B63F04"/>
    <w:rsid w:val="57CD20C2"/>
    <w:rsid w:val="57D675AB"/>
    <w:rsid w:val="57D95FDD"/>
    <w:rsid w:val="57DF3ED6"/>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67910"/>
    <w:rsid w:val="5A792B1F"/>
    <w:rsid w:val="5A874767"/>
    <w:rsid w:val="5AA85BE2"/>
    <w:rsid w:val="5AAD6F28"/>
    <w:rsid w:val="5AD63A24"/>
    <w:rsid w:val="5B2E1A1D"/>
    <w:rsid w:val="5B5E0C80"/>
    <w:rsid w:val="5B656CDF"/>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DF8A72"/>
    <w:rsid w:val="5E006862"/>
    <w:rsid w:val="5E0207B9"/>
    <w:rsid w:val="5E1834A1"/>
    <w:rsid w:val="5E261785"/>
    <w:rsid w:val="5E4A7017"/>
    <w:rsid w:val="5E552BBA"/>
    <w:rsid w:val="5E611C10"/>
    <w:rsid w:val="5E6EDAB2"/>
    <w:rsid w:val="5E7A0F3F"/>
    <w:rsid w:val="5EFC7377"/>
    <w:rsid w:val="5F06174D"/>
    <w:rsid w:val="5F3A3602"/>
    <w:rsid w:val="5F45733B"/>
    <w:rsid w:val="5F5F6922"/>
    <w:rsid w:val="5F6277C6"/>
    <w:rsid w:val="5F6D0B1D"/>
    <w:rsid w:val="5F8D0B82"/>
    <w:rsid w:val="5FCA1E36"/>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6B2D51"/>
    <w:rsid w:val="63711FED"/>
    <w:rsid w:val="637C7D45"/>
    <w:rsid w:val="63880DDC"/>
    <w:rsid w:val="638D750D"/>
    <w:rsid w:val="63AC6CC0"/>
    <w:rsid w:val="64055776"/>
    <w:rsid w:val="64240056"/>
    <w:rsid w:val="643A3D28"/>
    <w:rsid w:val="643E143A"/>
    <w:rsid w:val="64491666"/>
    <w:rsid w:val="64553E2E"/>
    <w:rsid w:val="648B6EEF"/>
    <w:rsid w:val="648F3388"/>
    <w:rsid w:val="64C158BF"/>
    <w:rsid w:val="64CE2EAA"/>
    <w:rsid w:val="64DD2A65"/>
    <w:rsid w:val="653C3090"/>
    <w:rsid w:val="65854376"/>
    <w:rsid w:val="658767BE"/>
    <w:rsid w:val="65892531"/>
    <w:rsid w:val="66195831"/>
    <w:rsid w:val="662E75B1"/>
    <w:rsid w:val="66342C2E"/>
    <w:rsid w:val="663E784C"/>
    <w:rsid w:val="668B6A45"/>
    <w:rsid w:val="67011F07"/>
    <w:rsid w:val="672F3F24"/>
    <w:rsid w:val="673E055F"/>
    <w:rsid w:val="67551CE3"/>
    <w:rsid w:val="678C6ECA"/>
    <w:rsid w:val="67A22552"/>
    <w:rsid w:val="67B22DCC"/>
    <w:rsid w:val="67BE71AA"/>
    <w:rsid w:val="67D90273"/>
    <w:rsid w:val="67DE5875"/>
    <w:rsid w:val="67E55852"/>
    <w:rsid w:val="67EB1AB4"/>
    <w:rsid w:val="67FA1285"/>
    <w:rsid w:val="68551F4F"/>
    <w:rsid w:val="687C10C9"/>
    <w:rsid w:val="687D7C4D"/>
    <w:rsid w:val="68840C16"/>
    <w:rsid w:val="68872541"/>
    <w:rsid w:val="68876EFB"/>
    <w:rsid w:val="68884654"/>
    <w:rsid w:val="689F444F"/>
    <w:rsid w:val="68B96DBB"/>
    <w:rsid w:val="68CA2805"/>
    <w:rsid w:val="68E937A3"/>
    <w:rsid w:val="691664E5"/>
    <w:rsid w:val="693CFD7C"/>
    <w:rsid w:val="693E15D3"/>
    <w:rsid w:val="69627681"/>
    <w:rsid w:val="6977531D"/>
    <w:rsid w:val="69CC2BFF"/>
    <w:rsid w:val="69FD55B8"/>
    <w:rsid w:val="6A0B1C62"/>
    <w:rsid w:val="6A2406C8"/>
    <w:rsid w:val="6ADE0BD1"/>
    <w:rsid w:val="6AE96859"/>
    <w:rsid w:val="6B147746"/>
    <w:rsid w:val="6B170386"/>
    <w:rsid w:val="6B18259F"/>
    <w:rsid w:val="6B24787C"/>
    <w:rsid w:val="6B573233"/>
    <w:rsid w:val="6B5B6274"/>
    <w:rsid w:val="6B935D53"/>
    <w:rsid w:val="6BFB7BD7"/>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FDAF6E"/>
    <w:rsid w:val="70161480"/>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812605"/>
    <w:rsid w:val="73C0646E"/>
    <w:rsid w:val="73CF0875"/>
    <w:rsid w:val="73EFCE17"/>
    <w:rsid w:val="742222F5"/>
    <w:rsid w:val="74476126"/>
    <w:rsid w:val="74706664"/>
    <w:rsid w:val="747F3682"/>
    <w:rsid w:val="749C4185"/>
    <w:rsid w:val="75067759"/>
    <w:rsid w:val="752E6DCD"/>
    <w:rsid w:val="7551380D"/>
    <w:rsid w:val="75600BE5"/>
    <w:rsid w:val="7564475C"/>
    <w:rsid w:val="7583797F"/>
    <w:rsid w:val="75A763A1"/>
    <w:rsid w:val="75D20F1D"/>
    <w:rsid w:val="75DA2C18"/>
    <w:rsid w:val="75F54412"/>
    <w:rsid w:val="761D08E0"/>
    <w:rsid w:val="765D347C"/>
    <w:rsid w:val="76826699"/>
    <w:rsid w:val="76C87133"/>
    <w:rsid w:val="76CD08D5"/>
    <w:rsid w:val="76D84957"/>
    <w:rsid w:val="76DB4B92"/>
    <w:rsid w:val="77052AA4"/>
    <w:rsid w:val="770FEEE6"/>
    <w:rsid w:val="77136511"/>
    <w:rsid w:val="77340A39"/>
    <w:rsid w:val="77351FD0"/>
    <w:rsid w:val="77472422"/>
    <w:rsid w:val="77485D17"/>
    <w:rsid w:val="777F31F2"/>
    <w:rsid w:val="77D1700D"/>
    <w:rsid w:val="77DD7433"/>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E701F2"/>
    <w:rsid w:val="7EF56FBB"/>
    <w:rsid w:val="7F0768EB"/>
    <w:rsid w:val="7F143BEC"/>
    <w:rsid w:val="7F715AF2"/>
    <w:rsid w:val="7F886E69"/>
    <w:rsid w:val="7FE5BA50"/>
    <w:rsid w:val="9BFF0599"/>
    <w:rsid w:val="BB7FA927"/>
    <w:rsid w:val="BEE7A35B"/>
    <w:rsid w:val="BEFC1716"/>
    <w:rsid w:val="BFED9CD2"/>
    <w:rsid w:val="BFFFB529"/>
    <w:rsid w:val="C543CA59"/>
    <w:rsid w:val="CEF987AA"/>
    <w:rsid w:val="D57E3D00"/>
    <w:rsid w:val="D6E0EF2A"/>
    <w:rsid w:val="D76E8B74"/>
    <w:rsid w:val="DF9F8BFA"/>
    <w:rsid w:val="DFFBA1B1"/>
    <w:rsid w:val="E77D4BF5"/>
    <w:rsid w:val="E95B6211"/>
    <w:rsid w:val="EE7F50EC"/>
    <w:rsid w:val="F1FFBFF6"/>
    <w:rsid w:val="F5FFD31F"/>
    <w:rsid w:val="F9FF9ED2"/>
    <w:rsid w:val="FB7EE076"/>
    <w:rsid w:val="FBDF0A8A"/>
    <w:rsid w:val="FCCB4189"/>
    <w:rsid w:val="FDA76847"/>
    <w:rsid w:val="FE7C51FA"/>
    <w:rsid w:val="FEBFD1F6"/>
    <w:rsid w:val="FF5D9ECA"/>
    <w:rsid w:val="FF7E5C00"/>
    <w:rsid w:val="FFA58880"/>
    <w:rsid w:val="FFA934F8"/>
    <w:rsid w:val="FFB770E0"/>
    <w:rsid w:val="FFFB81C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25">
    <w:name w:val="Body Text Indent"/>
    <w:basedOn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envelope return"/>
    <w:basedOn w:val="1"/>
    <w:unhideWhenUsed/>
    <w:qFormat/>
    <w:uiPriority w:val="99"/>
    <w:pPr>
      <w:snapToGrid w:val="0"/>
    </w:pPr>
    <w:rPr>
      <w:rFonts w:ascii="Arial" w:hAnsi="Arial"/>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6"/>
    <w:qFormat/>
    <w:uiPriority w:val="0"/>
    <w:rPr>
      <w:b/>
      <w:bCs/>
    </w:rPr>
  </w:style>
  <w:style w:type="paragraph" w:styleId="62">
    <w:name w:val="Body Text First Indent"/>
    <w:basedOn w:val="23"/>
    <w:next w:val="52"/>
    <w:link w:val="321"/>
    <w:qFormat/>
    <w:uiPriority w:val="0"/>
    <w:pPr>
      <w:ind w:firstLine="420"/>
    </w:pPr>
    <w:rPr>
      <w:rFonts w:hAnsi="Calibri" w:cs="Times New Roman"/>
      <w:snapToGrid/>
      <w:szCs w:val="20"/>
    </w:rPr>
  </w:style>
  <w:style w:type="paragraph" w:styleId="63">
    <w:name w:val="Body Text First Indent 2"/>
    <w:basedOn w:val="25"/>
    <w:link w:val="121"/>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_Style 2"/>
    <w:basedOn w:val="1"/>
    <w:qFormat/>
    <w:uiPriority w:val="0"/>
    <w:pPr>
      <w:ind w:firstLine="200" w:firstLineChars="200"/>
    </w:pPr>
    <w:rPr>
      <w:sz w:val="28"/>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3"/>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1"/>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1"/>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4"/>
    <w:qFormat/>
    <w:uiPriority w:val="0"/>
    <w:rPr>
      <w:rFonts w:ascii="仿宋_GB2312" w:eastAsia="仿宋_GB2312" w:cs="仿宋_GB2312"/>
      <w:color w:val="000000"/>
      <w:sz w:val="24"/>
      <w:szCs w:val="24"/>
      <w:lang w:val="en-US" w:eastAsia="zh-CN" w:bidi="ar-SA"/>
    </w:rPr>
  </w:style>
  <w:style w:type="paragraph" w:customStyle="1" w:styleId="235">
    <w:name w:val="目录 71"/>
    <w:next w:val="1"/>
    <w:qFormat/>
    <w:uiPriority w:val="0"/>
    <w:pPr>
      <w:wordWrap w:val="0"/>
      <w:spacing w:after="160" w:line="259" w:lineRule="auto"/>
      <w:ind w:left="2550"/>
      <w:jc w:val="both"/>
    </w:pPr>
    <w:rPr>
      <w:rFonts w:ascii="Times New Roman" w:hAnsi="Times New Roman" w:eastAsia="宋体" w:cs="Times New Roman"/>
      <w:sz w:val="21"/>
      <w:szCs w:val="22"/>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next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4"/>
    <w:next w:val="24"/>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4"/>
    <w:next w:val="24"/>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next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不明显强调1"/>
    <w:qFormat/>
    <w:uiPriority w:val="19"/>
    <w:rPr>
      <w:i/>
      <w:iCs/>
    </w:rPr>
  </w:style>
  <w:style w:type="character" w:customStyle="1" w:styleId="966">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67">
    <w:name w:val="_Style 4"/>
    <w:basedOn w:val="1"/>
    <w:qFormat/>
    <w:uiPriority w:val="34"/>
    <w:pPr>
      <w:widowControl/>
      <w:adjustRightInd/>
      <w:spacing w:after="200"/>
      <w:ind w:firstLine="420" w:firstLineChars="200"/>
      <w:jc w:val="left"/>
    </w:pPr>
    <w:rPr>
      <w:rFonts w:ascii="仿宋" w:hAnsi="仿宋" w:eastAsia="FangSong_GB2312" w:cstheme="majorBidi"/>
      <w:kern w:val="0"/>
      <w:sz w:val="28"/>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79</Pages>
  <Words>37853</Words>
  <Characters>40214</Characters>
  <Lines>281</Lines>
  <Paragraphs>79</Paragraphs>
  <TotalTime>33</TotalTime>
  <ScaleCrop>false</ScaleCrop>
  <LinksUpToDate>false</LinksUpToDate>
  <CharactersWithSpaces>45618</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2021-08-03T08:22:00Z</dcterms:created>
  <dc:creator>玥</dc:creator>
  <cp:lastModifiedBy>麻烦关一下星星</cp:lastModifiedBy>
  <cp:lastPrinted>2021-12-31T11:06:00Z</cp:lastPrinted>
  <dcterms:modified xsi:type="dcterms:W3CDTF">2024-09-28T14:52:19Z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F762DE51E32713C8249FF7664F7E52A3_43</vt:lpwstr>
  </property>
</Properties>
</file>