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12A0FD69">
      <w:pPr>
        <w:adjustRightInd/>
        <w:spacing w:line="360" w:lineRule="auto"/>
        <w:jc w:val="center"/>
        <w:rPr>
          <w:rFonts w:cs="仿宋_GB2312" w:asciiTheme="minorEastAsia" w:hAnsiTheme="minorEastAsia" w:eastAsiaTheme="minorEastAsia"/>
          <w:b/>
          <w:color w:val="auto"/>
          <w:sz w:val="44"/>
          <w:szCs w:val="44"/>
        </w:rPr>
      </w:pPr>
    </w:p>
    <w:p w14:paraId="4EB66F48">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浙江省林业科学研究院食堂托管服务</w:t>
      </w: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ZKGC2025-XH-030</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7516AE6C">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浙江省林业科学研究院</w:t>
      </w:r>
    </w:p>
    <w:p w14:paraId="7CF6877D">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浙江浙坤工程管理有限公司</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三</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日</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bookmarkStart w:id="209" w:name="_GoBack"/>
      <w:bookmarkEnd w:id="209"/>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浙江省林业科学研究院食堂托管服务</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3</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17</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6"/>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28359089"/>
      <w:bookmarkStart w:id="13" w:name="_Toc28359012"/>
      <w:bookmarkStart w:id="14" w:name="_Toc3539362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4C3607">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ZKGC2025-XH-030</w:t>
      </w:r>
    </w:p>
    <w:p w14:paraId="7D25B160">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浙江省林业科学研究院食堂托管服务</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548000</w:t>
      </w:r>
      <w:r>
        <w:rPr>
          <w:rFonts w:asciiTheme="minorEastAsia" w:hAnsiTheme="minorEastAsia" w:eastAsiaTheme="minorEastAsia"/>
          <w:b/>
          <w:color w:val="auto"/>
          <w:sz w:val="24"/>
        </w:rPr>
        <w:t xml:space="preserve"> </w:t>
      </w:r>
    </w:p>
    <w:p w14:paraId="1CEA5A31">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548000</w:t>
      </w:r>
      <w:r>
        <w:rPr>
          <w:rFonts w:asciiTheme="minorEastAsia" w:hAnsiTheme="minorEastAsia" w:eastAsiaTheme="minorEastAsia"/>
          <w:b/>
          <w:color w:val="auto"/>
          <w:sz w:val="24"/>
        </w:rPr>
        <w:t xml:space="preserve"> </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浙江省林业科学研究院食堂托管服务</w:t>
      </w:r>
      <w:r>
        <w:rPr>
          <w:rFonts w:hint="eastAsia" w:hAnsi="宋体" w:cs="宋体"/>
          <w:bCs/>
          <w:color w:val="auto"/>
          <w:sz w:val="24"/>
        </w:rPr>
        <w:t>主要内容：在提供烹饪场地、工具、食材等前提下，每日为</w:t>
      </w:r>
      <w:r>
        <w:rPr>
          <w:rFonts w:hint="eastAsia" w:hAnsi="宋体" w:cs="宋体"/>
          <w:bCs/>
          <w:color w:val="auto"/>
          <w:sz w:val="24"/>
          <w:lang w:val="en-US" w:eastAsia="zh-CN"/>
        </w:rPr>
        <w:t>采购人</w:t>
      </w:r>
      <w:r>
        <w:rPr>
          <w:rFonts w:hint="eastAsia" w:hAnsi="宋体" w:cs="宋体"/>
          <w:bCs/>
          <w:color w:val="auto"/>
          <w:sz w:val="24"/>
        </w:rPr>
        <w:t>提供完整的食堂托管服务。</w:t>
      </w:r>
      <w:r>
        <w:rPr>
          <w:rFonts w:hint="eastAsia" w:cs="仿宋_GB2312" w:asciiTheme="minorEastAsia" w:hAnsiTheme="minorEastAsia" w:eastAsiaTheme="minorEastAsia"/>
          <w:b/>
          <w:color w:val="auto"/>
          <w:sz w:val="24"/>
        </w:rPr>
        <w:t>详见磋商文件。</w:t>
      </w:r>
    </w:p>
    <w:p w14:paraId="55E1A1C8">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宋体" w:hAnsi="宋体" w:cs="宋体"/>
          <w:bCs/>
          <w:sz w:val="24"/>
          <w:highlight w:val="none"/>
        </w:rPr>
        <w:t>合同签订之日起</w:t>
      </w:r>
      <w:r>
        <w:rPr>
          <w:rFonts w:hint="eastAsia" w:ascii="宋体" w:hAnsi="宋体" w:cs="宋体"/>
          <w:bCs/>
          <w:sz w:val="24"/>
          <w:highlight w:val="none"/>
          <w:lang w:val="en-US" w:eastAsia="zh-CN"/>
        </w:rPr>
        <w:t>一年</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35393630"/>
      <w:bookmarkStart w:id="16" w:name="_Toc35393799"/>
      <w:bookmarkStart w:id="17" w:name="_Toc28359090"/>
      <w:bookmarkStart w:id="18" w:name="_Toc28359013"/>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17</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6"/>
        <w:numPr>
          <w:ilvl w:val="0"/>
          <w:numId w:val="0"/>
        </w:numPr>
        <w:ind w:left="432" w:hanging="432"/>
        <w:rPr>
          <w:rFonts w:cs="宋体" w:asciiTheme="minorEastAsia" w:hAnsiTheme="minorEastAsia" w:eastAsiaTheme="minorEastAsia"/>
          <w:color w:val="auto"/>
          <w:sz w:val="24"/>
          <w:szCs w:val="24"/>
        </w:rPr>
      </w:pPr>
      <w:bookmarkStart w:id="23" w:name="_Toc35393801"/>
      <w:bookmarkStart w:id="24" w:name="_Toc28359015"/>
      <w:bookmarkStart w:id="25" w:name="_Toc28359092"/>
      <w:bookmarkStart w:id="26" w:name="_Toc35393632"/>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3</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17</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6"/>
        <w:numPr>
          <w:ilvl w:val="0"/>
          <w:numId w:val="0"/>
        </w:numPr>
        <w:ind w:left="432" w:hanging="432"/>
        <w:rPr>
          <w:rFonts w:cs="宋体" w:asciiTheme="minorEastAsia" w:hAnsiTheme="minorEastAsia" w:eastAsiaTheme="minorEastAsia"/>
          <w:color w:val="auto"/>
          <w:sz w:val="24"/>
          <w:szCs w:val="24"/>
        </w:rPr>
      </w:pPr>
      <w:bookmarkStart w:id="27" w:name="_Toc35393802"/>
      <w:bookmarkStart w:id="28" w:name="_Toc28359016"/>
      <w:bookmarkStart w:id="29" w:name="_Toc35393633"/>
      <w:bookmarkStart w:id="30" w:name="_Toc2835909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3</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17</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15B00E85">
      <w:pPr>
        <w:pStyle w:val="6"/>
        <w:numPr>
          <w:ilvl w:val="0"/>
          <w:numId w:val="0"/>
        </w:numPr>
        <w:ind w:left="432" w:hanging="432"/>
        <w:rPr>
          <w:rFonts w:cs="宋体" w:asciiTheme="minorEastAsia" w:hAnsiTheme="minorEastAsia" w:eastAsiaTheme="minorEastAsia"/>
          <w:color w:val="auto"/>
          <w:sz w:val="24"/>
          <w:szCs w:val="24"/>
        </w:rPr>
      </w:pPr>
      <w:bookmarkStart w:id="31" w:name="_Toc35393803"/>
      <w:bookmarkStart w:id="32" w:name="_Toc35393634"/>
      <w:bookmarkStart w:id="33" w:name="_Toc28359017"/>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6"/>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6"/>
        <w:numPr>
          <w:ilvl w:val="0"/>
          <w:numId w:val="0"/>
        </w:numPr>
        <w:ind w:left="432" w:hanging="432"/>
        <w:rPr>
          <w:rFonts w:cs="宋体" w:asciiTheme="minorEastAsia" w:hAnsiTheme="minorEastAsia" w:eastAsiaTheme="minorEastAsia"/>
          <w:color w:val="auto"/>
          <w:sz w:val="24"/>
          <w:szCs w:val="24"/>
        </w:rPr>
      </w:pPr>
      <w:bookmarkStart w:id="37" w:name="_Toc28359018"/>
      <w:bookmarkStart w:id="38" w:name="_Toc35393636"/>
      <w:bookmarkStart w:id="39" w:name="_Toc35393805"/>
      <w:bookmarkStart w:id="40" w:name="_Toc2835909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6"/>
        <w:numPr>
          <w:ilvl w:val="0"/>
          <w:numId w:val="0"/>
        </w:numPr>
        <w:ind w:left="432" w:hanging="432"/>
        <w:rPr>
          <w:rFonts w:cs="宋体" w:asciiTheme="minorEastAsia" w:hAnsiTheme="minorEastAsia" w:eastAsiaTheme="minorEastAsia"/>
          <w:color w:val="auto"/>
          <w:sz w:val="24"/>
          <w:szCs w:val="24"/>
        </w:rPr>
      </w:pPr>
      <w:bookmarkStart w:id="41" w:name="_Toc28359019"/>
      <w:bookmarkStart w:id="42" w:name="_Toc35393806"/>
      <w:bookmarkStart w:id="43" w:name="_Toc28359096"/>
      <w:bookmarkStart w:id="44" w:name="_Toc35393637"/>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33EA3F31">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称： </w:t>
      </w:r>
      <w:r>
        <w:rPr>
          <w:rFonts w:hint="eastAsia" w:ascii="宋体" w:hAnsi="宋体" w:cs="宋体" w:eastAsiaTheme="minorEastAsia"/>
          <w:color w:val="auto"/>
          <w:sz w:val="24"/>
          <w:lang w:eastAsia="zh-CN"/>
        </w:rPr>
        <w:t>浙江省林业科学研究院</w:t>
      </w:r>
    </w:p>
    <w:p w14:paraId="2BA3061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浙江省杭州市西湖区留和路399号</w:t>
      </w:r>
    </w:p>
    <w:p w14:paraId="77D588A5">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传    真：</w:t>
      </w:r>
      <w:r>
        <w:rPr>
          <w:rFonts w:hint="eastAsia" w:asciiTheme="minorEastAsia" w:hAnsiTheme="minorEastAsia" w:eastAsiaTheme="minorEastAsia"/>
          <w:color w:val="auto"/>
          <w:sz w:val="24"/>
          <w:lang w:val="en-US" w:eastAsia="zh-CN"/>
        </w:rPr>
        <w:t>/</w:t>
      </w:r>
    </w:p>
    <w:p w14:paraId="16921CF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 陈艳敏</w:t>
      </w:r>
    </w:p>
    <w:p w14:paraId="5982FFBE">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项目联系方式（询问）：0571-87798198</w:t>
      </w:r>
    </w:p>
    <w:p w14:paraId="13BA899A">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 甘辉</w:t>
      </w:r>
    </w:p>
    <w:p w14:paraId="30EC5555">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质疑联系方式：0571-87798203</w:t>
      </w:r>
    </w:p>
    <w:p w14:paraId="653A869A">
      <w:pPr>
        <w:pStyle w:val="6"/>
        <w:numPr>
          <w:ilvl w:val="0"/>
          <w:numId w:val="0"/>
        </w:numPr>
        <w:ind w:left="432" w:hanging="432"/>
        <w:rPr>
          <w:rFonts w:cs="宋体" w:asciiTheme="minorEastAsia" w:hAnsiTheme="minorEastAsia" w:eastAsiaTheme="minorEastAsia"/>
          <w:color w:val="auto"/>
          <w:sz w:val="24"/>
        </w:rPr>
      </w:pPr>
      <w:bookmarkStart w:id="45" w:name="_Toc28359097"/>
      <w:bookmarkStart w:id="46" w:name="_Toc35393807"/>
      <w:bookmarkStart w:id="47" w:name="_Toc35393638"/>
      <w:bookmarkStart w:id="48" w:name="_Toc28359020"/>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048C0E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Theme="minorEastAsia" w:hAnsiTheme="minorEastAsia" w:eastAsiaTheme="minorEastAsia"/>
          <w:color w:val="auto"/>
          <w:sz w:val="24"/>
          <w:lang w:eastAsia="zh-CN"/>
        </w:rPr>
        <w:t>浙江浙坤工程管理有限公司</w:t>
      </w:r>
      <w:r>
        <w:rPr>
          <w:rFonts w:hint="eastAsia" w:asciiTheme="minorEastAsia" w:hAnsiTheme="minorEastAsia" w:eastAsiaTheme="minorEastAsia"/>
          <w:color w:val="auto"/>
          <w:sz w:val="24"/>
        </w:rPr>
        <w:t xml:space="preserve">             </w:t>
      </w:r>
    </w:p>
    <w:p w14:paraId="7F6E993B">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址：杭州市拱墅区祥兴路18号</w:t>
      </w:r>
      <w:r>
        <w:rPr>
          <w:rFonts w:asciiTheme="minorEastAsia" w:hAnsiTheme="minorEastAsia" w:eastAsiaTheme="minorEastAsia"/>
          <w:color w:val="auto"/>
          <w:sz w:val="24"/>
        </w:rPr>
        <w:t xml:space="preserve"> </w:t>
      </w:r>
    </w:p>
    <w:p w14:paraId="6B4AAFD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149F8648">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项目联系人（询问）：张工</w:t>
      </w:r>
    </w:p>
    <w:p w14:paraId="7B567A91">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项目联系方式（询问）：18768106829 </w:t>
      </w:r>
    </w:p>
    <w:p w14:paraId="2AEB875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Theme="minorEastAsia" w:hAnsiTheme="minorEastAsia" w:eastAsiaTheme="minorEastAsia"/>
          <w:color w:val="auto"/>
          <w:sz w:val="24"/>
          <w:lang w:val="en-US" w:eastAsia="zh-CN"/>
        </w:rPr>
        <w:t>夏琳</w:t>
      </w:r>
      <w:r>
        <w:rPr>
          <w:rFonts w:hint="eastAsia" w:asciiTheme="minorEastAsia" w:hAnsiTheme="minorEastAsia" w:eastAsiaTheme="minorEastAsia"/>
          <w:color w:val="auto"/>
          <w:sz w:val="24"/>
        </w:rPr>
        <w:t xml:space="preserve">             </w:t>
      </w:r>
    </w:p>
    <w:p w14:paraId="72BFBE29">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质疑联系方式：0571-87180816</w:t>
      </w:r>
    </w:p>
    <w:p w14:paraId="5D934F31">
      <w:pPr>
        <w:spacing w:line="360" w:lineRule="auto"/>
        <w:rPr>
          <w:rFonts w:asciiTheme="minorEastAsia" w:hAnsiTheme="minorEastAsia" w:eastAsiaTheme="minorEastAsia"/>
          <w:b/>
          <w:color w:val="auto"/>
          <w:sz w:val="24"/>
        </w:rPr>
      </w:pPr>
      <w:bookmarkStart w:id="49" w:name="_Toc35393808"/>
      <w:bookmarkStart w:id="50" w:name="_Toc35393639"/>
      <w:bookmarkStart w:id="51" w:name="_Toc28359021"/>
      <w:bookmarkStart w:id="52" w:name="_Toc2835909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9"/>
      <w:bookmarkEnd w:id="50"/>
      <w:bookmarkEnd w:id="51"/>
      <w:bookmarkEnd w:id="52"/>
      <w:r>
        <w:rPr>
          <w:rFonts w:hint="eastAsia" w:ascii="宋体" w:hAnsi="宋体" w:cs="宋体"/>
          <w:color w:val="auto"/>
          <w:sz w:val="24"/>
        </w:rPr>
        <w:t>名    称：杭州市财政局政府采购监管处 /浙江省政府采购行政裁决服务中心（杭州）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659FE672">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AFB1F1F">
      <w:pPr>
        <w:spacing w:line="360" w:lineRule="auto"/>
        <w:ind w:firstLine="480"/>
        <w:rPr>
          <w:rFonts w:ascii="宋体" w:hAnsi="宋体" w:cs="宋体"/>
          <w:sz w:val="24"/>
        </w:rPr>
      </w:pPr>
      <w:r>
        <w:rPr>
          <w:rFonts w:hint="eastAsia" w:ascii="宋体" w:hAnsi="宋体" w:eastAsia="宋体" w:cs="Times New Roman"/>
          <w:sz w:val="24"/>
        </w:rPr>
        <w:t>预算金额未达100万元的采购项目，由采购人处理采购争议。</w:t>
      </w:r>
    </w:p>
    <w:p w14:paraId="77FA8141">
      <w:pPr>
        <w:pStyle w:val="71"/>
      </w:pP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2"/>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2"/>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sz w:val="24"/>
                <w:u w:val="single"/>
                <w:lang w:eastAsia="zh-CN"/>
              </w:rPr>
              <w:t>浙江省林业科学研究院食堂托管服务</w:t>
            </w:r>
            <w:r>
              <w:rPr>
                <w:rFonts w:hint="eastAsia" w:ascii="宋体" w:hAnsi="宋体" w:cs="宋体"/>
                <w:color w:val="auto"/>
                <w:kern w:val="0"/>
                <w:sz w:val="24"/>
              </w:rPr>
              <w:t>，属于</w:t>
            </w:r>
            <w:r>
              <w:rPr>
                <w:rFonts w:hint="eastAsia" w:ascii="宋体" w:hAnsi="宋体" w:cs="宋体"/>
                <w:sz w:val="24"/>
                <w:u w:val="single"/>
              </w:rPr>
              <w:t>其他未列明</w:t>
            </w:r>
            <w:r>
              <w:rPr>
                <w:rFonts w:hint="eastAsia" w:ascii="宋体" w:hAnsi="宋体" w:cs="宋体"/>
                <w:color w:val="auto"/>
                <w:kern w:val="0"/>
                <w:sz w:val="24"/>
              </w:rPr>
              <w:t>行业；</w:t>
            </w:r>
          </w:p>
          <w:p w14:paraId="5D21FD8F">
            <w:pPr>
              <w:pStyle w:val="6"/>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lang w:val="en-US" w:eastAsia="zh-CN" w:bidi="ar-SA"/>
              </w:rPr>
              <w:t>其他未列明行业。从业人员300人以下的为中小微型企业。其中，从业人员100人及以上的为中型企业；从业人员10人及以上的为小型企业；从业人员10人以下的为微型企业。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478D25F3">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2BC810D1">
            <w:pPr>
              <w:pStyle w:val="71"/>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2"/>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7B30D98">
            <w:pPr>
              <w:spacing w:line="360" w:lineRule="auto"/>
              <w:rPr>
                <w:rFonts w:hint="eastAsia" w:ascii="宋体" w:hAnsi="宋体" w:cs="宋体"/>
                <w:sz w:val="24"/>
              </w:rPr>
            </w:pPr>
            <w:r>
              <w:rPr>
                <w:rFonts w:hint="eastAsia" w:ascii="宋体" w:hAnsi="宋体" w:cs="宋体"/>
                <w:sz w:val="24"/>
              </w:rPr>
              <w:t>1、成交单位须在领取成交通知书的同时，提供与线上递交的“电子加密响应文件”一致的纸质响应文件并装订成册一正</w:t>
            </w:r>
            <w:r>
              <w:rPr>
                <w:rFonts w:hint="eastAsia" w:ascii="宋体" w:hAnsi="宋体" w:cs="宋体"/>
                <w:sz w:val="24"/>
                <w:lang w:val="en-US" w:eastAsia="zh-CN"/>
              </w:rPr>
              <w:t>二</w:t>
            </w:r>
            <w:r>
              <w:rPr>
                <w:rFonts w:hint="eastAsia" w:ascii="宋体" w:hAnsi="宋体" w:cs="宋体"/>
                <w:sz w:val="24"/>
              </w:rPr>
              <w:t>副给采购代理机构。</w:t>
            </w:r>
          </w:p>
          <w:p w14:paraId="490750AD">
            <w:pPr>
              <w:spacing w:line="360" w:lineRule="auto"/>
              <w:rPr>
                <w:rFonts w:hint="eastAsia" w:ascii="宋体" w:hAnsi="宋体" w:cs="宋体"/>
                <w:sz w:val="24"/>
              </w:rPr>
            </w:pPr>
            <w:r>
              <w:rPr>
                <w:rFonts w:hint="eastAsia" w:ascii="宋体" w:hAnsi="宋体" w:cs="宋体"/>
                <w:sz w:val="24"/>
              </w:rPr>
              <w:t>2、采购代理服务费金额：参考发改价格(2011)534号文件规定的服务类收费标准9折收取。</w:t>
            </w:r>
          </w:p>
          <w:p w14:paraId="0ED109C6">
            <w:pPr>
              <w:spacing w:line="360" w:lineRule="auto"/>
              <w:rPr>
                <w:rFonts w:hint="eastAsia" w:ascii="宋体" w:hAnsi="宋体" w:cs="宋体"/>
                <w:sz w:val="24"/>
              </w:rPr>
            </w:pPr>
            <w:r>
              <w:rPr>
                <w:rFonts w:hint="eastAsia" w:ascii="宋体" w:hAnsi="宋体" w:cs="宋体"/>
                <w:sz w:val="24"/>
              </w:rPr>
              <w:t>采购代理服务费交纳形式：汇票/支票/电汇/现金</w:t>
            </w:r>
          </w:p>
          <w:p w14:paraId="1BD794A3">
            <w:pPr>
              <w:spacing w:line="360" w:lineRule="auto"/>
              <w:rPr>
                <w:rFonts w:hint="eastAsia" w:ascii="宋体" w:hAnsi="宋体" w:cs="宋体"/>
                <w:color w:val="auto"/>
                <w:kern w:val="0"/>
                <w:sz w:val="24"/>
                <w:highlight w:val="none"/>
                <w:lang w:val="en" w:eastAsia="zh-CN"/>
              </w:rPr>
            </w:pPr>
            <w:r>
              <w:rPr>
                <w:rFonts w:hint="eastAsia" w:ascii="宋体" w:hAnsi="宋体" w:cs="宋体"/>
                <w:sz w:val="24"/>
              </w:rPr>
              <w:t>采购代理服务费由中标人在发布采购结果公告后5日内以人民币方式向采购代理机构支付。</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2"/>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2"/>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2"/>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6"/>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2"/>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2"/>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8"/>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2"/>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2"/>
              <w:spacing w:line="360" w:lineRule="auto"/>
              <w:jc w:val="center"/>
              <w:rPr>
                <w:rFonts w:asciiTheme="minorEastAsia" w:hAnsiTheme="minorEastAsia" w:eastAsiaTheme="minorEastAsia"/>
                <w:color w:val="auto"/>
                <w:sz w:val="24"/>
              </w:rPr>
            </w:pPr>
          </w:p>
        </w:tc>
        <w:tc>
          <w:tcPr>
            <w:tcW w:w="4536" w:type="dxa"/>
            <w:vAlign w:val="center"/>
          </w:tcPr>
          <w:p w14:paraId="494EE5C7">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2"/>
              <w:spacing w:line="360" w:lineRule="auto"/>
              <w:jc w:val="center"/>
              <w:rPr>
                <w:rFonts w:asciiTheme="minorEastAsia" w:hAnsiTheme="minorEastAsia" w:eastAsiaTheme="minorEastAsia"/>
                <w:color w:val="auto"/>
                <w:sz w:val="24"/>
              </w:rPr>
            </w:pPr>
          </w:p>
        </w:tc>
        <w:tc>
          <w:tcPr>
            <w:tcW w:w="4536" w:type="dxa"/>
            <w:vAlign w:val="center"/>
          </w:tcPr>
          <w:p w14:paraId="4B51CE8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2"/>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2"/>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2"/>
        <w:spacing w:line="360" w:lineRule="auto"/>
        <w:ind w:firstLine="480" w:firstLineChars="200"/>
        <w:rPr>
          <w:rFonts w:hint="eastAsia" w:ascii="宋体" w:hAnsi="Courier New"/>
          <w:color w:val="auto"/>
          <w:sz w:val="24"/>
          <w:szCs w:val="24"/>
          <w:highlight w:val="none"/>
        </w:rPr>
      </w:pPr>
    </w:p>
    <w:p w14:paraId="1E130716">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5"/>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2"/>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2"/>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2"/>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2"/>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2"/>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2"/>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2"/>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2"/>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3名</w:t>
      </w:r>
      <w:r>
        <w:rPr>
          <w:rFonts w:hint="eastAsia" w:asciiTheme="minorEastAsia" w:hAnsiTheme="minorEastAsia" w:eastAsiaTheme="minorEastAsia"/>
          <w:color w:val="auto"/>
          <w:sz w:val="24"/>
          <w:szCs w:val="21"/>
          <w:lang w:val="en-US" w:eastAsia="zh-CN"/>
        </w:rPr>
        <w:t>。</w:t>
      </w:r>
    </w:p>
    <w:p w14:paraId="78DF4B50">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6"/>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6"/>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6"/>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74730295"/>
      <w:bookmarkEnd w:id="55"/>
      <w:bookmarkStart w:id="56" w:name="_Hlt74729768"/>
      <w:bookmarkEnd w:id="56"/>
      <w:bookmarkStart w:id="57" w:name="_Hlt75236011"/>
      <w:bookmarkEnd w:id="57"/>
      <w:bookmarkStart w:id="58" w:name="_Hlt75236290"/>
      <w:bookmarkEnd w:id="58"/>
      <w:bookmarkStart w:id="59" w:name="_Hlt68057669"/>
      <w:bookmarkEnd w:id="59"/>
      <w:bookmarkStart w:id="60" w:name="_Hlt75236101"/>
      <w:bookmarkEnd w:id="60"/>
      <w:bookmarkStart w:id="61" w:name="_Hlt74707468"/>
      <w:bookmarkEnd w:id="61"/>
      <w:bookmarkStart w:id="62" w:name="_Hlt68072990"/>
      <w:bookmarkEnd w:id="62"/>
      <w:bookmarkStart w:id="63" w:name="第三部分"/>
      <w:bookmarkStart w:id="64" w:name="_Toc164416483"/>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32867278">
      <w:pPr>
        <w:adjustRightInd/>
        <w:spacing w:line="360" w:lineRule="auto"/>
        <w:jc w:val="left"/>
        <w:outlineLvl w:val="0"/>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04FE27CC">
      <w:pPr>
        <w:tabs>
          <w:tab w:val="left" w:pos="0"/>
        </w:tabs>
        <w:spacing w:line="360" w:lineRule="auto"/>
        <w:ind w:firstLine="480"/>
        <w:rPr>
          <w:rFonts w:ascii="宋体" w:hAnsi="宋体" w:cs="宋体"/>
          <w:sz w:val="24"/>
        </w:rPr>
      </w:pPr>
      <w:r>
        <w:rPr>
          <w:rFonts w:hint="eastAsia" w:ascii="宋体" w:hAnsi="宋体" w:cs="宋体"/>
          <w:sz w:val="24"/>
        </w:rPr>
        <w:t>本次招标范围为浙江省林业科学研究院食堂托管服务，服务期为一年，预算金额</w:t>
      </w:r>
      <w:r>
        <w:rPr>
          <w:rFonts w:hint="eastAsia" w:ascii="宋体" w:hAnsi="宋体" w:cs="宋体"/>
          <w:sz w:val="24"/>
          <w:lang w:val="en-US" w:eastAsia="zh-CN"/>
        </w:rPr>
        <w:t>54.8</w:t>
      </w:r>
      <w:r>
        <w:rPr>
          <w:rFonts w:hint="eastAsia" w:ascii="宋体" w:hAnsi="宋体" w:cs="宋体"/>
          <w:sz w:val="24"/>
        </w:rPr>
        <w:t>万元。主要服务内容为在甲方提供烹饪场地、工具、食材等前提下，为采购人提供完整的食堂托管服务。项目实施地点位于浙江省杭州市西湖区留和路399号，食堂总体面积约380平方米，包括厨房、打菜间、面点房（冷菜间）、厨具回收间、餐厅（容纳约100人）等。中标供应商须在每周五早上将下周的早餐、中餐、晚餐的菜单发送给采购人，经采购人确认后，方可实施。若中标供应商与采购人合同签订时间在上一轮服务期满后</w:t>
      </w:r>
      <w:r>
        <w:rPr>
          <w:rFonts w:hint="eastAsia" w:cs="宋体"/>
          <w:sz w:val="24"/>
          <w:lang w:eastAsia="zh-CN"/>
        </w:rPr>
        <w:t>，</w:t>
      </w:r>
      <w:r>
        <w:rPr>
          <w:rFonts w:hint="eastAsia" w:ascii="宋体" w:hAnsi="宋体" w:cs="宋体"/>
          <w:sz w:val="24"/>
        </w:rPr>
        <w:t>期间需原服务单位在新服务单位入驻之前继续服务的，该期间食堂托管费用由本次中标单位按本次中标报价标准向原服务单位支付）。</w:t>
      </w:r>
    </w:p>
    <w:p w14:paraId="5D8A8946">
      <w:pPr>
        <w:tabs>
          <w:tab w:val="left" w:pos="0"/>
        </w:tabs>
        <w:spacing w:line="360" w:lineRule="auto"/>
        <w:ind w:firstLine="480"/>
        <w:rPr>
          <w:rFonts w:ascii="宋体" w:hAnsi="宋体" w:cs="宋体"/>
          <w:sz w:val="24"/>
        </w:rPr>
      </w:pPr>
      <w:r>
        <w:rPr>
          <w:rFonts w:hint="eastAsia" w:ascii="宋体" w:hAnsi="宋体" w:cs="宋体"/>
          <w:sz w:val="24"/>
        </w:rPr>
        <w:t>一、人员配置要求</w:t>
      </w:r>
    </w:p>
    <w:tbl>
      <w:tblPr>
        <w:tblStyle w:val="60"/>
        <w:tblpPr w:leftFromText="180" w:rightFromText="180" w:vertAnchor="text" w:horzAnchor="page" w:tblpXSpec="center" w:tblpY="110"/>
        <w:tblOverlap w:val="never"/>
        <w:tblW w:w="0" w:type="auto"/>
        <w:jc w:val="center"/>
        <w:tblLayout w:type="fixed"/>
        <w:tblCellMar>
          <w:top w:w="0" w:type="dxa"/>
          <w:left w:w="108" w:type="dxa"/>
          <w:bottom w:w="0" w:type="dxa"/>
          <w:right w:w="108" w:type="dxa"/>
        </w:tblCellMar>
      </w:tblPr>
      <w:tblGrid>
        <w:gridCol w:w="2353"/>
        <w:gridCol w:w="3851"/>
        <w:gridCol w:w="2841"/>
      </w:tblGrid>
      <w:tr w14:paraId="0E934B93">
        <w:tblPrEx>
          <w:tblCellMar>
            <w:top w:w="0" w:type="dxa"/>
            <w:left w:w="108" w:type="dxa"/>
            <w:bottom w:w="0" w:type="dxa"/>
            <w:right w:w="108" w:type="dxa"/>
          </w:tblCellMar>
        </w:tblPrEx>
        <w:trPr>
          <w:trHeight w:val="454"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top"/>
          </w:tcPr>
          <w:p w14:paraId="712B04E2">
            <w:pPr>
              <w:tabs>
                <w:tab w:val="left" w:pos="0"/>
              </w:tabs>
              <w:spacing w:line="240" w:lineRule="auto"/>
              <w:jc w:val="center"/>
              <w:rPr>
                <w:rFonts w:ascii="宋体" w:hAnsi="宋体" w:cs="宋体"/>
                <w:sz w:val="24"/>
              </w:rPr>
            </w:pPr>
            <w:r>
              <w:rPr>
                <w:rFonts w:hint="eastAsia" w:ascii="宋体" w:hAnsi="宋体" w:cs="宋体"/>
                <w:sz w:val="24"/>
              </w:rPr>
              <w:t>序号</w:t>
            </w:r>
          </w:p>
        </w:tc>
        <w:tc>
          <w:tcPr>
            <w:tcW w:w="3851" w:type="dxa"/>
            <w:tcBorders>
              <w:top w:val="single" w:color="auto" w:sz="4" w:space="0"/>
              <w:left w:val="nil"/>
              <w:bottom w:val="single" w:color="auto" w:sz="4" w:space="0"/>
              <w:right w:val="single" w:color="auto" w:sz="4" w:space="0"/>
            </w:tcBorders>
            <w:noWrap w:val="0"/>
            <w:vAlign w:val="top"/>
          </w:tcPr>
          <w:p w14:paraId="5E163D19">
            <w:pPr>
              <w:tabs>
                <w:tab w:val="left" w:pos="0"/>
              </w:tabs>
              <w:spacing w:line="240" w:lineRule="auto"/>
              <w:jc w:val="center"/>
              <w:rPr>
                <w:rFonts w:ascii="宋体" w:hAnsi="宋体" w:cs="宋体"/>
                <w:sz w:val="24"/>
              </w:rPr>
            </w:pPr>
            <w:r>
              <w:rPr>
                <w:rFonts w:hint="eastAsia" w:ascii="宋体" w:hAnsi="宋体" w:cs="宋体"/>
                <w:sz w:val="24"/>
              </w:rPr>
              <w:t>岗位</w:t>
            </w:r>
          </w:p>
        </w:tc>
        <w:tc>
          <w:tcPr>
            <w:tcW w:w="2841" w:type="dxa"/>
            <w:tcBorders>
              <w:top w:val="single" w:color="auto" w:sz="4" w:space="0"/>
              <w:left w:val="nil"/>
              <w:bottom w:val="single" w:color="auto" w:sz="4" w:space="0"/>
              <w:right w:val="single" w:color="auto" w:sz="4" w:space="0"/>
            </w:tcBorders>
            <w:noWrap w:val="0"/>
            <w:vAlign w:val="top"/>
          </w:tcPr>
          <w:p w14:paraId="2803D3D9">
            <w:pPr>
              <w:tabs>
                <w:tab w:val="left" w:pos="0"/>
              </w:tabs>
              <w:spacing w:line="240" w:lineRule="auto"/>
              <w:jc w:val="center"/>
              <w:rPr>
                <w:rFonts w:ascii="宋体" w:hAnsi="宋体" w:cs="宋体"/>
                <w:sz w:val="24"/>
              </w:rPr>
            </w:pPr>
            <w:r>
              <w:rPr>
                <w:rFonts w:hint="eastAsia" w:ascii="宋体" w:hAnsi="宋体" w:cs="宋体"/>
                <w:sz w:val="24"/>
              </w:rPr>
              <w:t>数量</w:t>
            </w:r>
          </w:p>
        </w:tc>
      </w:tr>
      <w:tr w14:paraId="1CA36618">
        <w:tblPrEx>
          <w:tblCellMar>
            <w:top w:w="0" w:type="dxa"/>
            <w:left w:w="108" w:type="dxa"/>
            <w:bottom w:w="0" w:type="dxa"/>
            <w:right w:w="108" w:type="dxa"/>
          </w:tblCellMar>
        </w:tblPrEx>
        <w:trPr>
          <w:trHeight w:val="454"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top"/>
          </w:tcPr>
          <w:p w14:paraId="50633E62">
            <w:pPr>
              <w:tabs>
                <w:tab w:val="left" w:pos="0"/>
              </w:tabs>
              <w:spacing w:line="240" w:lineRule="auto"/>
              <w:jc w:val="center"/>
              <w:rPr>
                <w:rFonts w:ascii="宋体" w:hAnsi="宋体" w:cs="宋体"/>
                <w:sz w:val="24"/>
              </w:rPr>
            </w:pPr>
            <w:r>
              <w:rPr>
                <w:rFonts w:hint="eastAsia" w:ascii="宋体" w:hAnsi="宋体" w:cs="宋体"/>
                <w:sz w:val="24"/>
              </w:rPr>
              <w:t>1</w:t>
            </w:r>
          </w:p>
        </w:tc>
        <w:tc>
          <w:tcPr>
            <w:tcW w:w="3851" w:type="dxa"/>
            <w:tcBorders>
              <w:top w:val="single" w:color="auto" w:sz="4" w:space="0"/>
              <w:left w:val="nil"/>
              <w:bottom w:val="single" w:color="auto" w:sz="4" w:space="0"/>
              <w:right w:val="single" w:color="auto" w:sz="4" w:space="0"/>
            </w:tcBorders>
            <w:noWrap w:val="0"/>
            <w:vAlign w:val="top"/>
          </w:tcPr>
          <w:p w14:paraId="497D80B0">
            <w:pPr>
              <w:tabs>
                <w:tab w:val="left" w:pos="0"/>
              </w:tabs>
              <w:spacing w:line="240" w:lineRule="auto"/>
              <w:jc w:val="center"/>
              <w:rPr>
                <w:rFonts w:ascii="宋体" w:hAnsi="宋体" w:cs="宋体"/>
                <w:sz w:val="24"/>
              </w:rPr>
            </w:pPr>
            <w:r>
              <w:rPr>
                <w:rFonts w:hint="eastAsia" w:ascii="宋体" w:hAnsi="宋体" w:cs="宋体"/>
                <w:sz w:val="24"/>
              </w:rPr>
              <w:t>总厨</w:t>
            </w:r>
          </w:p>
        </w:tc>
        <w:tc>
          <w:tcPr>
            <w:tcW w:w="2841" w:type="dxa"/>
            <w:tcBorders>
              <w:top w:val="single" w:color="auto" w:sz="4" w:space="0"/>
              <w:left w:val="nil"/>
              <w:bottom w:val="single" w:color="auto" w:sz="4" w:space="0"/>
              <w:right w:val="single" w:color="auto" w:sz="4" w:space="0"/>
            </w:tcBorders>
            <w:noWrap w:val="0"/>
            <w:vAlign w:val="top"/>
          </w:tcPr>
          <w:p w14:paraId="4E4CFC37">
            <w:pPr>
              <w:tabs>
                <w:tab w:val="left" w:pos="0"/>
              </w:tabs>
              <w:spacing w:line="240" w:lineRule="auto"/>
              <w:jc w:val="center"/>
              <w:rPr>
                <w:rFonts w:ascii="宋体" w:hAnsi="宋体" w:cs="宋体"/>
                <w:sz w:val="24"/>
              </w:rPr>
            </w:pPr>
            <w:r>
              <w:rPr>
                <w:rFonts w:hint="eastAsia" w:ascii="宋体" w:hAnsi="宋体" w:cs="宋体"/>
                <w:sz w:val="24"/>
              </w:rPr>
              <w:t>1人</w:t>
            </w:r>
          </w:p>
        </w:tc>
      </w:tr>
      <w:tr w14:paraId="6979F023">
        <w:tblPrEx>
          <w:tblCellMar>
            <w:top w:w="0" w:type="dxa"/>
            <w:left w:w="108" w:type="dxa"/>
            <w:bottom w:w="0" w:type="dxa"/>
            <w:right w:w="108" w:type="dxa"/>
          </w:tblCellMar>
        </w:tblPrEx>
        <w:trPr>
          <w:trHeight w:val="454"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top"/>
          </w:tcPr>
          <w:p w14:paraId="217D27E7">
            <w:pPr>
              <w:tabs>
                <w:tab w:val="left" w:pos="0"/>
              </w:tabs>
              <w:spacing w:line="240" w:lineRule="auto"/>
              <w:jc w:val="center"/>
              <w:rPr>
                <w:rFonts w:ascii="宋体" w:hAnsi="宋体" w:cs="宋体"/>
                <w:sz w:val="24"/>
              </w:rPr>
            </w:pPr>
            <w:r>
              <w:rPr>
                <w:rFonts w:hint="eastAsia" w:ascii="宋体" w:hAnsi="宋体" w:cs="宋体"/>
                <w:sz w:val="24"/>
              </w:rPr>
              <w:t>2</w:t>
            </w:r>
          </w:p>
        </w:tc>
        <w:tc>
          <w:tcPr>
            <w:tcW w:w="3851" w:type="dxa"/>
            <w:tcBorders>
              <w:top w:val="single" w:color="auto" w:sz="4" w:space="0"/>
              <w:left w:val="nil"/>
              <w:bottom w:val="single" w:color="auto" w:sz="4" w:space="0"/>
              <w:right w:val="single" w:color="auto" w:sz="4" w:space="0"/>
            </w:tcBorders>
            <w:noWrap w:val="0"/>
            <w:vAlign w:val="top"/>
          </w:tcPr>
          <w:p w14:paraId="02C4AF13">
            <w:pPr>
              <w:tabs>
                <w:tab w:val="left" w:pos="0"/>
              </w:tabs>
              <w:spacing w:line="240" w:lineRule="auto"/>
              <w:jc w:val="center"/>
              <w:rPr>
                <w:rFonts w:ascii="宋体" w:hAnsi="宋体" w:cs="宋体"/>
                <w:sz w:val="24"/>
              </w:rPr>
            </w:pPr>
            <w:r>
              <w:rPr>
                <w:rFonts w:hint="eastAsia" w:ascii="宋体" w:hAnsi="宋体" w:cs="宋体"/>
                <w:sz w:val="24"/>
              </w:rPr>
              <w:t>厨师</w:t>
            </w:r>
          </w:p>
        </w:tc>
        <w:tc>
          <w:tcPr>
            <w:tcW w:w="2841" w:type="dxa"/>
            <w:tcBorders>
              <w:top w:val="single" w:color="auto" w:sz="4" w:space="0"/>
              <w:left w:val="nil"/>
              <w:bottom w:val="single" w:color="auto" w:sz="4" w:space="0"/>
              <w:right w:val="single" w:color="auto" w:sz="4" w:space="0"/>
            </w:tcBorders>
            <w:noWrap w:val="0"/>
            <w:vAlign w:val="top"/>
          </w:tcPr>
          <w:p w14:paraId="4D8E1CA1">
            <w:pPr>
              <w:tabs>
                <w:tab w:val="left" w:pos="0"/>
              </w:tabs>
              <w:spacing w:line="240" w:lineRule="auto"/>
              <w:jc w:val="center"/>
              <w:rPr>
                <w:rFonts w:ascii="宋体" w:hAnsi="宋体" w:cs="宋体"/>
                <w:sz w:val="24"/>
              </w:rPr>
            </w:pPr>
            <w:r>
              <w:rPr>
                <w:rFonts w:hint="eastAsia" w:ascii="宋体" w:hAnsi="宋体" w:cs="宋体"/>
                <w:sz w:val="24"/>
              </w:rPr>
              <w:t>2人</w:t>
            </w:r>
          </w:p>
        </w:tc>
      </w:tr>
      <w:tr w14:paraId="0CD1125D">
        <w:tblPrEx>
          <w:tblCellMar>
            <w:top w:w="0" w:type="dxa"/>
            <w:left w:w="108" w:type="dxa"/>
            <w:bottom w:w="0" w:type="dxa"/>
            <w:right w:w="108" w:type="dxa"/>
          </w:tblCellMar>
        </w:tblPrEx>
        <w:trPr>
          <w:trHeight w:val="454"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top"/>
          </w:tcPr>
          <w:p w14:paraId="43495508">
            <w:pPr>
              <w:tabs>
                <w:tab w:val="left" w:pos="0"/>
              </w:tabs>
              <w:spacing w:line="240" w:lineRule="auto"/>
              <w:jc w:val="center"/>
              <w:rPr>
                <w:rFonts w:ascii="宋体" w:hAnsi="宋体" w:cs="宋体"/>
                <w:sz w:val="24"/>
              </w:rPr>
            </w:pPr>
            <w:r>
              <w:rPr>
                <w:rFonts w:hint="eastAsia" w:ascii="宋体" w:hAnsi="宋体" w:cs="宋体"/>
                <w:sz w:val="24"/>
              </w:rPr>
              <w:t>3</w:t>
            </w:r>
          </w:p>
        </w:tc>
        <w:tc>
          <w:tcPr>
            <w:tcW w:w="3851" w:type="dxa"/>
            <w:tcBorders>
              <w:top w:val="single" w:color="auto" w:sz="4" w:space="0"/>
              <w:left w:val="nil"/>
              <w:bottom w:val="single" w:color="auto" w:sz="4" w:space="0"/>
              <w:right w:val="single" w:color="auto" w:sz="4" w:space="0"/>
            </w:tcBorders>
            <w:noWrap w:val="0"/>
            <w:vAlign w:val="top"/>
          </w:tcPr>
          <w:p w14:paraId="4DBF2BD5">
            <w:pPr>
              <w:tabs>
                <w:tab w:val="left" w:pos="0"/>
              </w:tabs>
              <w:spacing w:line="240" w:lineRule="auto"/>
              <w:jc w:val="center"/>
              <w:rPr>
                <w:rFonts w:ascii="宋体" w:hAnsi="宋体" w:cs="宋体"/>
                <w:sz w:val="24"/>
              </w:rPr>
            </w:pPr>
            <w:r>
              <w:rPr>
                <w:rFonts w:hint="eastAsia" w:ascii="宋体" w:hAnsi="宋体" w:cs="宋体"/>
                <w:sz w:val="24"/>
              </w:rPr>
              <w:t>早点师</w:t>
            </w:r>
          </w:p>
        </w:tc>
        <w:tc>
          <w:tcPr>
            <w:tcW w:w="2841" w:type="dxa"/>
            <w:tcBorders>
              <w:top w:val="single" w:color="auto" w:sz="4" w:space="0"/>
              <w:left w:val="nil"/>
              <w:bottom w:val="single" w:color="auto" w:sz="4" w:space="0"/>
              <w:right w:val="single" w:color="auto" w:sz="4" w:space="0"/>
            </w:tcBorders>
            <w:noWrap w:val="0"/>
            <w:vAlign w:val="top"/>
          </w:tcPr>
          <w:p w14:paraId="21F83618">
            <w:pPr>
              <w:tabs>
                <w:tab w:val="left" w:pos="0"/>
              </w:tabs>
              <w:spacing w:line="240" w:lineRule="auto"/>
              <w:jc w:val="center"/>
              <w:rPr>
                <w:rFonts w:ascii="宋体" w:hAnsi="宋体" w:cs="宋体"/>
                <w:sz w:val="24"/>
              </w:rPr>
            </w:pPr>
            <w:r>
              <w:rPr>
                <w:rFonts w:hint="eastAsia" w:ascii="宋体" w:hAnsi="宋体" w:cs="宋体"/>
                <w:sz w:val="24"/>
              </w:rPr>
              <w:t>1人</w:t>
            </w:r>
          </w:p>
        </w:tc>
      </w:tr>
      <w:tr w14:paraId="1F38521E">
        <w:tblPrEx>
          <w:tblCellMar>
            <w:top w:w="0" w:type="dxa"/>
            <w:left w:w="108" w:type="dxa"/>
            <w:bottom w:w="0" w:type="dxa"/>
            <w:right w:w="108" w:type="dxa"/>
          </w:tblCellMar>
        </w:tblPrEx>
        <w:trPr>
          <w:trHeight w:val="454"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top"/>
          </w:tcPr>
          <w:p w14:paraId="77D283B3">
            <w:pPr>
              <w:tabs>
                <w:tab w:val="left" w:pos="0"/>
              </w:tabs>
              <w:spacing w:line="240" w:lineRule="auto"/>
              <w:jc w:val="center"/>
              <w:rPr>
                <w:rFonts w:ascii="宋体" w:hAnsi="宋体" w:cs="宋体"/>
                <w:sz w:val="24"/>
              </w:rPr>
            </w:pPr>
            <w:r>
              <w:rPr>
                <w:rFonts w:hint="eastAsia" w:ascii="宋体" w:hAnsi="宋体" w:cs="宋体"/>
                <w:sz w:val="24"/>
              </w:rPr>
              <w:t>4</w:t>
            </w:r>
          </w:p>
        </w:tc>
        <w:tc>
          <w:tcPr>
            <w:tcW w:w="3851" w:type="dxa"/>
            <w:tcBorders>
              <w:top w:val="single" w:color="auto" w:sz="4" w:space="0"/>
              <w:left w:val="nil"/>
              <w:bottom w:val="single" w:color="auto" w:sz="4" w:space="0"/>
              <w:right w:val="single" w:color="auto" w:sz="4" w:space="0"/>
            </w:tcBorders>
            <w:noWrap w:val="0"/>
            <w:vAlign w:val="top"/>
          </w:tcPr>
          <w:p w14:paraId="02EAF942">
            <w:pPr>
              <w:tabs>
                <w:tab w:val="left" w:pos="0"/>
              </w:tabs>
              <w:spacing w:line="240" w:lineRule="auto"/>
              <w:jc w:val="center"/>
              <w:rPr>
                <w:rFonts w:ascii="宋体" w:hAnsi="宋体" w:cs="宋体"/>
                <w:sz w:val="24"/>
              </w:rPr>
            </w:pPr>
            <w:r>
              <w:rPr>
                <w:rFonts w:hint="eastAsia" w:ascii="宋体" w:hAnsi="宋体" w:cs="宋体"/>
                <w:sz w:val="24"/>
              </w:rPr>
              <w:t>打菜员</w:t>
            </w:r>
          </w:p>
        </w:tc>
        <w:tc>
          <w:tcPr>
            <w:tcW w:w="2841" w:type="dxa"/>
            <w:tcBorders>
              <w:top w:val="single" w:color="auto" w:sz="4" w:space="0"/>
              <w:left w:val="nil"/>
              <w:bottom w:val="single" w:color="auto" w:sz="4" w:space="0"/>
              <w:right w:val="single" w:color="auto" w:sz="4" w:space="0"/>
            </w:tcBorders>
            <w:noWrap w:val="0"/>
            <w:vAlign w:val="top"/>
          </w:tcPr>
          <w:p w14:paraId="7F477E44">
            <w:pPr>
              <w:tabs>
                <w:tab w:val="left" w:pos="0"/>
              </w:tabs>
              <w:spacing w:line="240" w:lineRule="auto"/>
              <w:jc w:val="center"/>
              <w:rPr>
                <w:rFonts w:ascii="宋体" w:hAnsi="宋体" w:cs="宋体"/>
                <w:sz w:val="24"/>
              </w:rPr>
            </w:pPr>
            <w:r>
              <w:rPr>
                <w:rFonts w:hint="eastAsia" w:ascii="宋体" w:hAnsi="宋体" w:cs="宋体"/>
                <w:sz w:val="24"/>
              </w:rPr>
              <w:t>1人</w:t>
            </w:r>
          </w:p>
        </w:tc>
      </w:tr>
      <w:tr w14:paraId="0AD32D5B">
        <w:tblPrEx>
          <w:tblCellMar>
            <w:top w:w="0" w:type="dxa"/>
            <w:left w:w="108" w:type="dxa"/>
            <w:bottom w:w="0" w:type="dxa"/>
            <w:right w:w="108" w:type="dxa"/>
          </w:tblCellMar>
        </w:tblPrEx>
        <w:trPr>
          <w:trHeight w:val="454"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top"/>
          </w:tcPr>
          <w:p w14:paraId="5B38C92C">
            <w:pPr>
              <w:tabs>
                <w:tab w:val="left" w:pos="0"/>
              </w:tabs>
              <w:spacing w:line="240" w:lineRule="auto"/>
              <w:jc w:val="center"/>
              <w:rPr>
                <w:rFonts w:ascii="宋体" w:hAnsi="宋体" w:cs="宋体"/>
                <w:sz w:val="24"/>
              </w:rPr>
            </w:pPr>
            <w:r>
              <w:rPr>
                <w:rFonts w:hint="eastAsia" w:ascii="宋体" w:hAnsi="宋体" w:cs="宋体"/>
                <w:sz w:val="24"/>
              </w:rPr>
              <w:t>5</w:t>
            </w:r>
          </w:p>
        </w:tc>
        <w:tc>
          <w:tcPr>
            <w:tcW w:w="3851" w:type="dxa"/>
            <w:tcBorders>
              <w:top w:val="single" w:color="auto" w:sz="4" w:space="0"/>
              <w:left w:val="nil"/>
              <w:bottom w:val="single" w:color="auto" w:sz="4" w:space="0"/>
              <w:right w:val="single" w:color="auto" w:sz="4" w:space="0"/>
            </w:tcBorders>
            <w:noWrap w:val="0"/>
            <w:vAlign w:val="top"/>
          </w:tcPr>
          <w:p w14:paraId="7898D2E9">
            <w:pPr>
              <w:tabs>
                <w:tab w:val="left" w:pos="0"/>
              </w:tabs>
              <w:spacing w:line="240" w:lineRule="auto"/>
              <w:jc w:val="center"/>
              <w:rPr>
                <w:rFonts w:ascii="宋体" w:hAnsi="宋体" w:cs="宋体"/>
                <w:sz w:val="24"/>
              </w:rPr>
            </w:pPr>
            <w:r>
              <w:rPr>
                <w:rFonts w:hint="eastAsia" w:ascii="宋体" w:hAnsi="宋体" w:cs="宋体"/>
                <w:sz w:val="24"/>
              </w:rPr>
              <w:t>洗碗洗菜</w:t>
            </w:r>
          </w:p>
        </w:tc>
        <w:tc>
          <w:tcPr>
            <w:tcW w:w="2841" w:type="dxa"/>
            <w:tcBorders>
              <w:top w:val="single" w:color="auto" w:sz="4" w:space="0"/>
              <w:left w:val="nil"/>
              <w:bottom w:val="single" w:color="auto" w:sz="4" w:space="0"/>
              <w:right w:val="single" w:color="auto" w:sz="4" w:space="0"/>
            </w:tcBorders>
            <w:noWrap w:val="0"/>
            <w:vAlign w:val="top"/>
          </w:tcPr>
          <w:p w14:paraId="18BB6F68">
            <w:pPr>
              <w:tabs>
                <w:tab w:val="left" w:pos="0"/>
              </w:tabs>
              <w:spacing w:line="240" w:lineRule="auto"/>
              <w:jc w:val="center"/>
              <w:rPr>
                <w:rFonts w:ascii="宋体" w:hAnsi="宋体" w:cs="宋体"/>
                <w:sz w:val="24"/>
              </w:rPr>
            </w:pPr>
            <w:r>
              <w:rPr>
                <w:rFonts w:hint="eastAsia" w:ascii="宋体" w:hAnsi="宋体" w:cs="宋体"/>
                <w:sz w:val="24"/>
              </w:rPr>
              <w:t>3人</w:t>
            </w:r>
          </w:p>
        </w:tc>
      </w:tr>
      <w:tr w14:paraId="16C3DDA7">
        <w:tblPrEx>
          <w:tblCellMar>
            <w:top w:w="0" w:type="dxa"/>
            <w:left w:w="108" w:type="dxa"/>
            <w:bottom w:w="0" w:type="dxa"/>
            <w:right w:w="108" w:type="dxa"/>
          </w:tblCellMar>
        </w:tblPrEx>
        <w:trPr>
          <w:trHeight w:val="454"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top"/>
          </w:tcPr>
          <w:p w14:paraId="2F9BD453">
            <w:pPr>
              <w:tabs>
                <w:tab w:val="left" w:pos="0"/>
              </w:tabs>
              <w:spacing w:line="240" w:lineRule="auto"/>
              <w:jc w:val="center"/>
              <w:rPr>
                <w:rFonts w:ascii="宋体" w:hAnsi="宋体" w:cs="宋体"/>
                <w:sz w:val="24"/>
              </w:rPr>
            </w:pPr>
            <w:r>
              <w:rPr>
                <w:rFonts w:hint="eastAsia" w:ascii="宋体" w:hAnsi="宋体" w:cs="宋体"/>
                <w:sz w:val="24"/>
              </w:rPr>
              <w:t>共计</w:t>
            </w:r>
          </w:p>
        </w:tc>
        <w:tc>
          <w:tcPr>
            <w:tcW w:w="6692" w:type="dxa"/>
            <w:gridSpan w:val="2"/>
            <w:tcBorders>
              <w:top w:val="single" w:color="auto" w:sz="4" w:space="0"/>
              <w:left w:val="nil"/>
              <w:bottom w:val="single" w:color="auto" w:sz="4" w:space="0"/>
              <w:right w:val="single" w:color="auto" w:sz="4" w:space="0"/>
            </w:tcBorders>
            <w:noWrap w:val="0"/>
            <w:vAlign w:val="top"/>
          </w:tcPr>
          <w:p w14:paraId="1C5E8C3E">
            <w:pPr>
              <w:tabs>
                <w:tab w:val="left" w:pos="0"/>
              </w:tabs>
              <w:spacing w:line="240" w:lineRule="auto"/>
              <w:jc w:val="center"/>
              <w:rPr>
                <w:rFonts w:ascii="宋体" w:hAnsi="宋体" w:cs="宋体"/>
                <w:sz w:val="24"/>
              </w:rPr>
            </w:pPr>
            <w:r>
              <w:rPr>
                <w:rFonts w:hint="eastAsia" w:ascii="宋体" w:hAnsi="宋体" w:cs="宋体"/>
                <w:sz w:val="24"/>
              </w:rPr>
              <w:t>8人</w:t>
            </w:r>
          </w:p>
        </w:tc>
      </w:tr>
    </w:tbl>
    <w:p w14:paraId="31CD35F4">
      <w:pPr>
        <w:tabs>
          <w:tab w:val="left" w:pos="0"/>
        </w:tabs>
        <w:spacing w:line="360" w:lineRule="auto"/>
        <w:ind w:firstLine="480"/>
        <w:rPr>
          <w:rFonts w:ascii="宋体" w:hAnsi="宋体" w:cs="宋体"/>
          <w:sz w:val="24"/>
        </w:rPr>
      </w:pPr>
      <w:r>
        <w:rPr>
          <w:rFonts w:hint="eastAsia" w:ascii="宋体" w:hAnsi="宋体" w:cs="宋体"/>
          <w:sz w:val="24"/>
        </w:rPr>
        <w:t>注：（1）上述为本项目人员的基本配置要求，总人数不得少于8人，所有人员投标供应商须承诺在合同签订前缴纳社保。</w:t>
      </w:r>
    </w:p>
    <w:p w14:paraId="6052A84C">
      <w:pPr>
        <w:tabs>
          <w:tab w:val="left" w:pos="0"/>
        </w:tabs>
        <w:spacing w:line="360" w:lineRule="auto"/>
        <w:ind w:firstLine="480"/>
        <w:rPr>
          <w:rFonts w:ascii="宋体" w:hAnsi="宋体" w:cs="宋体"/>
          <w:sz w:val="24"/>
        </w:rPr>
      </w:pPr>
      <w:r>
        <w:rPr>
          <w:rFonts w:hint="eastAsia" w:ascii="宋体" w:hAnsi="宋体" w:cs="宋体"/>
          <w:sz w:val="24"/>
        </w:rPr>
        <w:t>（2）所有工作人员必须拥有卫生部门指定医院（或防疫站）的健康证明。</w:t>
      </w:r>
    </w:p>
    <w:p w14:paraId="0F63EC92">
      <w:pPr>
        <w:tabs>
          <w:tab w:val="left" w:pos="0"/>
        </w:tabs>
        <w:spacing w:line="360" w:lineRule="auto"/>
        <w:ind w:firstLine="480"/>
        <w:rPr>
          <w:rFonts w:ascii="宋体" w:hAnsi="宋体" w:cs="宋体"/>
          <w:sz w:val="24"/>
        </w:rPr>
      </w:pPr>
      <w:r>
        <w:rPr>
          <w:rFonts w:hint="eastAsia" w:ascii="宋体" w:hAnsi="宋体" w:cs="宋体"/>
          <w:sz w:val="24"/>
        </w:rPr>
        <w:t>（3）外来务工人员必须具有公安部门核发的临时暂住证。</w:t>
      </w:r>
    </w:p>
    <w:p w14:paraId="4DF62B17">
      <w:pPr>
        <w:tabs>
          <w:tab w:val="left" w:pos="0"/>
        </w:tabs>
        <w:spacing w:line="360" w:lineRule="auto"/>
        <w:ind w:firstLine="480"/>
        <w:rPr>
          <w:rFonts w:ascii="宋体" w:hAnsi="宋体" w:cs="宋体"/>
          <w:sz w:val="24"/>
        </w:rPr>
      </w:pPr>
      <w:r>
        <w:rPr>
          <w:rFonts w:hint="eastAsia" w:ascii="宋体" w:hAnsi="宋体" w:cs="宋体"/>
          <w:sz w:val="24"/>
        </w:rPr>
        <w:t>二、用餐时间及大概用餐人数</w:t>
      </w:r>
    </w:p>
    <w:tbl>
      <w:tblPr>
        <w:tblStyle w:val="60"/>
        <w:tblW w:w="0" w:type="auto"/>
        <w:tblInd w:w="117" w:type="dxa"/>
        <w:tblLayout w:type="fixed"/>
        <w:tblCellMar>
          <w:top w:w="0" w:type="dxa"/>
          <w:left w:w="108" w:type="dxa"/>
          <w:bottom w:w="0" w:type="dxa"/>
          <w:right w:w="108" w:type="dxa"/>
        </w:tblCellMar>
      </w:tblPr>
      <w:tblGrid>
        <w:gridCol w:w="1193"/>
        <w:gridCol w:w="2425"/>
        <w:gridCol w:w="1741"/>
        <w:gridCol w:w="3693"/>
      </w:tblGrid>
      <w:tr w14:paraId="1636B387">
        <w:tblPrEx>
          <w:tblCellMar>
            <w:top w:w="0" w:type="dxa"/>
            <w:left w:w="108" w:type="dxa"/>
            <w:bottom w:w="0" w:type="dxa"/>
            <w:right w:w="108" w:type="dxa"/>
          </w:tblCellMar>
        </w:tblPrEx>
        <w:trPr>
          <w:trHeight w:val="526" w:hRule="atLeast"/>
        </w:trPr>
        <w:tc>
          <w:tcPr>
            <w:tcW w:w="1193" w:type="dxa"/>
            <w:tcBorders>
              <w:top w:val="single" w:color="auto" w:sz="4" w:space="0"/>
              <w:left w:val="single" w:color="auto" w:sz="4" w:space="0"/>
              <w:bottom w:val="single" w:color="auto" w:sz="4" w:space="0"/>
              <w:right w:val="single" w:color="auto" w:sz="4" w:space="0"/>
            </w:tcBorders>
            <w:noWrap w:val="0"/>
            <w:vAlign w:val="top"/>
          </w:tcPr>
          <w:p w14:paraId="043E2730">
            <w:pPr>
              <w:tabs>
                <w:tab w:val="left" w:pos="0"/>
              </w:tabs>
              <w:spacing w:line="240" w:lineRule="auto"/>
              <w:jc w:val="center"/>
              <w:rPr>
                <w:rFonts w:ascii="宋体" w:hAnsi="宋体" w:cs="宋体"/>
                <w:sz w:val="24"/>
              </w:rPr>
            </w:pPr>
            <w:r>
              <w:rPr>
                <w:rFonts w:hint="eastAsia" w:ascii="宋体" w:hAnsi="宋体" w:cs="宋体"/>
                <w:sz w:val="24"/>
              </w:rPr>
              <w:t>序号</w:t>
            </w:r>
          </w:p>
        </w:tc>
        <w:tc>
          <w:tcPr>
            <w:tcW w:w="2425" w:type="dxa"/>
            <w:tcBorders>
              <w:top w:val="single" w:color="auto" w:sz="4" w:space="0"/>
              <w:left w:val="nil"/>
              <w:bottom w:val="single" w:color="auto" w:sz="4" w:space="0"/>
              <w:right w:val="single" w:color="auto" w:sz="4" w:space="0"/>
            </w:tcBorders>
            <w:noWrap w:val="0"/>
            <w:vAlign w:val="top"/>
          </w:tcPr>
          <w:p w14:paraId="4771FF39">
            <w:pPr>
              <w:tabs>
                <w:tab w:val="left" w:pos="0"/>
              </w:tabs>
              <w:spacing w:line="240" w:lineRule="auto"/>
              <w:jc w:val="center"/>
              <w:rPr>
                <w:rFonts w:ascii="宋体" w:hAnsi="宋体" w:cs="宋体"/>
                <w:sz w:val="24"/>
              </w:rPr>
            </w:pPr>
            <w:r>
              <w:rPr>
                <w:rFonts w:hint="eastAsia" w:ascii="宋体" w:hAnsi="宋体" w:cs="宋体"/>
                <w:sz w:val="24"/>
              </w:rPr>
              <w:t>用餐时间</w:t>
            </w:r>
          </w:p>
        </w:tc>
        <w:tc>
          <w:tcPr>
            <w:tcW w:w="1741" w:type="dxa"/>
            <w:tcBorders>
              <w:top w:val="single" w:color="auto" w:sz="4" w:space="0"/>
              <w:left w:val="nil"/>
              <w:bottom w:val="single" w:color="auto" w:sz="4" w:space="0"/>
              <w:right w:val="single" w:color="auto" w:sz="4" w:space="0"/>
            </w:tcBorders>
            <w:noWrap w:val="0"/>
            <w:vAlign w:val="top"/>
          </w:tcPr>
          <w:p w14:paraId="18386A1E">
            <w:pPr>
              <w:tabs>
                <w:tab w:val="left" w:pos="0"/>
              </w:tabs>
              <w:spacing w:line="240" w:lineRule="auto"/>
              <w:jc w:val="center"/>
              <w:rPr>
                <w:rFonts w:ascii="宋体" w:hAnsi="宋体" w:cs="宋体"/>
                <w:sz w:val="24"/>
              </w:rPr>
            </w:pPr>
            <w:r>
              <w:rPr>
                <w:rFonts w:hint="eastAsia" w:ascii="宋体" w:hAnsi="宋体" w:cs="宋体"/>
                <w:sz w:val="24"/>
              </w:rPr>
              <w:t>用餐人数</w:t>
            </w:r>
          </w:p>
        </w:tc>
        <w:tc>
          <w:tcPr>
            <w:tcW w:w="3693" w:type="dxa"/>
            <w:tcBorders>
              <w:top w:val="single" w:color="auto" w:sz="4" w:space="0"/>
              <w:left w:val="nil"/>
              <w:bottom w:val="single" w:color="auto" w:sz="4" w:space="0"/>
              <w:right w:val="single" w:color="auto" w:sz="4" w:space="0"/>
            </w:tcBorders>
            <w:noWrap w:val="0"/>
            <w:vAlign w:val="top"/>
          </w:tcPr>
          <w:p w14:paraId="07CDBC40">
            <w:pPr>
              <w:tabs>
                <w:tab w:val="left" w:pos="0"/>
              </w:tabs>
              <w:spacing w:line="240" w:lineRule="auto"/>
              <w:jc w:val="center"/>
              <w:rPr>
                <w:rFonts w:ascii="宋体" w:hAnsi="宋体" w:cs="宋体"/>
                <w:sz w:val="24"/>
              </w:rPr>
            </w:pPr>
            <w:r>
              <w:rPr>
                <w:rFonts w:hint="eastAsia" w:ascii="宋体" w:hAnsi="宋体" w:cs="宋体"/>
                <w:sz w:val="24"/>
              </w:rPr>
              <w:t>菜品</w:t>
            </w:r>
          </w:p>
        </w:tc>
      </w:tr>
      <w:tr w14:paraId="10C7C37C">
        <w:tblPrEx>
          <w:tblCellMar>
            <w:top w:w="0" w:type="dxa"/>
            <w:left w:w="108" w:type="dxa"/>
            <w:bottom w:w="0" w:type="dxa"/>
            <w:right w:w="108" w:type="dxa"/>
          </w:tblCellMar>
        </w:tblPrEx>
        <w:trPr>
          <w:trHeight w:val="90"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374F646B">
            <w:pPr>
              <w:tabs>
                <w:tab w:val="left" w:pos="0"/>
              </w:tabs>
              <w:spacing w:line="240" w:lineRule="auto"/>
              <w:jc w:val="center"/>
              <w:rPr>
                <w:rFonts w:ascii="宋体" w:hAnsi="宋体" w:cs="宋体"/>
                <w:sz w:val="24"/>
              </w:rPr>
            </w:pPr>
            <w:r>
              <w:rPr>
                <w:rFonts w:hint="eastAsia" w:ascii="宋体" w:hAnsi="宋体" w:cs="宋体"/>
                <w:sz w:val="24"/>
              </w:rPr>
              <w:t>1</w:t>
            </w:r>
          </w:p>
        </w:tc>
        <w:tc>
          <w:tcPr>
            <w:tcW w:w="2425" w:type="dxa"/>
            <w:tcBorders>
              <w:top w:val="single" w:color="auto" w:sz="4" w:space="0"/>
              <w:left w:val="nil"/>
              <w:bottom w:val="single" w:color="auto" w:sz="4" w:space="0"/>
              <w:right w:val="single" w:color="auto" w:sz="4" w:space="0"/>
            </w:tcBorders>
            <w:noWrap w:val="0"/>
            <w:vAlign w:val="center"/>
          </w:tcPr>
          <w:p w14:paraId="531A3E41">
            <w:pPr>
              <w:tabs>
                <w:tab w:val="left" w:pos="0"/>
              </w:tabs>
              <w:spacing w:line="240" w:lineRule="auto"/>
              <w:jc w:val="center"/>
              <w:rPr>
                <w:rFonts w:ascii="宋体" w:hAnsi="宋体" w:cs="宋体"/>
                <w:sz w:val="24"/>
              </w:rPr>
            </w:pPr>
            <w:r>
              <w:rPr>
                <w:rFonts w:hint="eastAsia" w:ascii="宋体" w:hAnsi="宋体" w:cs="宋体"/>
                <w:sz w:val="24"/>
              </w:rPr>
              <w:t>早餐（7:30-8:30）</w:t>
            </w:r>
          </w:p>
        </w:tc>
        <w:tc>
          <w:tcPr>
            <w:tcW w:w="1741" w:type="dxa"/>
            <w:tcBorders>
              <w:top w:val="single" w:color="auto" w:sz="4" w:space="0"/>
              <w:left w:val="nil"/>
              <w:bottom w:val="single" w:color="auto" w:sz="4" w:space="0"/>
              <w:right w:val="single" w:color="auto" w:sz="4" w:space="0"/>
            </w:tcBorders>
            <w:noWrap w:val="0"/>
            <w:vAlign w:val="center"/>
          </w:tcPr>
          <w:p w14:paraId="0246D36A">
            <w:pPr>
              <w:tabs>
                <w:tab w:val="left" w:pos="0"/>
              </w:tabs>
              <w:spacing w:line="240" w:lineRule="auto"/>
              <w:jc w:val="center"/>
              <w:rPr>
                <w:rFonts w:ascii="宋体" w:hAnsi="宋体" w:cs="宋体"/>
                <w:sz w:val="24"/>
              </w:rPr>
            </w:pPr>
            <w:r>
              <w:rPr>
                <w:rFonts w:hint="eastAsia" w:ascii="宋体" w:hAnsi="宋体" w:cs="宋体"/>
                <w:sz w:val="24"/>
              </w:rPr>
              <w:t>约60人</w:t>
            </w:r>
          </w:p>
        </w:tc>
        <w:tc>
          <w:tcPr>
            <w:tcW w:w="3693" w:type="dxa"/>
            <w:tcBorders>
              <w:top w:val="single" w:color="auto" w:sz="4" w:space="0"/>
              <w:left w:val="nil"/>
              <w:bottom w:val="single" w:color="auto" w:sz="4" w:space="0"/>
              <w:right w:val="single" w:color="auto" w:sz="4" w:space="0"/>
            </w:tcBorders>
            <w:noWrap w:val="0"/>
            <w:vAlign w:val="top"/>
          </w:tcPr>
          <w:p w14:paraId="15DBF50E">
            <w:pPr>
              <w:tabs>
                <w:tab w:val="left" w:pos="0"/>
              </w:tabs>
              <w:spacing w:line="240" w:lineRule="auto"/>
              <w:jc w:val="center"/>
              <w:rPr>
                <w:rFonts w:ascii="宋体" w:hAnsi="宋体" w:cs="宋体"/>
                <w:sz w:val="24"/>
              </w:rPr>
            </w:pPr>
            <w:r>
              <w:rPr>
                <w:rFonts w:hint="eastAsia" w:ascii="宋体" w:hAnsi="宋体" w:cs="宋体"/>
                <w:sz w:val="24"/>
              </w:rPr>
              <w:t>稀饭、豆浆、面食、包子、五谷杂粮等</w:t>
            </w:r>
          </w:p>
        </w:tc>
      </w:tr>
      <w:tr w14:paraId="5F757A73">
        <w:tblPrEx>
          <w:tblCellMar>
            <w:top w:w="0" w:type="dxa"/>
            <w:left w:w="108" w:type="dxa"/>
            <w:bottom w:w="0" w:type="dxa"/>
            <w:right w:w="108" w:type="dxa"/>
          </w:tblCellMar>
        </w:tblPrEx>
        <w:trPr>
          <w:trHeight w:val="374"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67FB5199">
            <w:pPr>
              <w:tabs>
                <w:tab w:val="left" w:pos="0"/>
              </w:tabs>
              <w:spacing w:line="240" w:lineRule="auto"/>
              <w:jc w:val="center"/>
              <w:rPr>
                <w:rFonts w:ascii="宋体" w:hAnsi="宋体" w:cs="宋体"/>
                <w:sz w:val="24"/>
              </w:rPr>
            </w:pPr>
            <w:r>
              <w:rPr>
                <w:rFonts w:hint="eastAsia" w:ascii="宋体" w:hAnsi="宋体" w:cs="宋体"/>
                <w:sz w:val="24"/>
              </w:rPr>
              <w:t>2</w:t>
            </w:r>
          </w:p>
        </w:tc>
        <w:tc>
          <w:tcPr>
            <w:tcW w:w="2425" w:type="dxa"/>
            <w:tcBorders>
              <w:top w:val="single" w:color="auto" w:sz="4" w:space="0"/>
              <w:left w:val="nil"/>
              <w:bottom w:val="single" w:color="auto" w:sz="4" w:space="0"/>
              <w:right w:val="single" w:color="auto" w:sz="4" w:space="0"/>
            </w:tcBorders>
            <w:noWrap w:val="0"/>
            <w:vAlign w:val="center"/>
          </w:tcPr>
          <w:p w14:paraId="12DF9BFB">
            <w:pPr>
              <w:tabs>
                <w:tab w:val="left" w:pos="0"/>
              </w:tabs>
              <w:spacing w:line="240" w:lineRule="auto"/>
              <w:rPr>
                <w:rFonts w:ascii="宋体" w:hAnsi="宋体" w:cs="宋体"/>
                <w:sz w:val="24"/>
              </w:rPr>
            </w:pPr>
            <w:r>
              <w:rPr>
                <w:rFonts w:hint="eastAsia" w:ascii="宋体" w:hAnsi="宋体" w:cs="宋体"/>
                <w:sz w:val="24"/>
              </w:rPr>
              <w:t>中餐（11:30-13:00）</w:t>
            </w:r>
          </w:p>
        </w:tc>
        <w:tc>
          <w:tcPr>
            <w:tcW w:w="1741" w:type="dxa"/>
            <w:tcBorders>
              <w:top w:val="single" w:color="auto" w:sz="4" w:space="0"/>
              <w:left w:val="nil"/>
              <w:bottom w:val="single" w:color="auto" w:sz="4" w:space="0"/>
              <w:right w:val="single" w:color="auto" w:sz="4" w:space="0"/>
            </w:tcBorders>
            <w:noWrap w:val="0"/>
            <w:vAlign w:val="center"/>
          </w:tcPr>
          <w:p w14:paraId="46502791">
            <w:pPr>
              <w:tabs>
                <w:tab w:val="left" w:pos="0"/>
              </w:tabs>
              <w:spacing w:line="240" w:lineRule="auto"/>
              <w:jc w:val="center"/>
              <w:rPr>
                <w:rFonts w:ascii="宋体" w:hAnsi="宋体" w:cs="宋体"/>
                <w:sz w:val="24"/>
              </w:rPr>
            </w:pPr>
            <w:r>
              <w:rPr>
                <w:rFonts w:hint="eastAsia" w:ascii="宋体" w:hAnsi="宋体" w:cs="宋体"/>
                <w:sz w:val="24"/>
              </w:rPr>
              <w:t>约180人</w:t>
            </w:r>
          </w:p>
        </w:tc>
        <w:tc>
          <w:tcPr>
            <w:tcW w:w="3693" w:type="dxa"/>
            <w:tcBorders>
              <w:top w:val="single" w:color="auto" w:sz="4" w:space="0"/>
              <w:left w:val="nil"/>
              <w:bottom w:val="single" w:color="auto" w:sz="4" w:space="0"/>
              <w:right w:val="single" w:color="auto" w:sz="4" w:space="0"/>
            </w:tcBorders>
            <w:noWrap w:val="0"/>
            <w:vAlign w:val="top"/>
          </w:tcPr>
          <w:p w14:paraId="73033353">
            <w:pPr>
              <w:tabs>
                <w:tab w:val="left" w:pos="0"/>
              </w:tabs>
              <w:spacing w:line="240" w:lineRule="auto"/>
              <w:rPr>
                <w:rFonts w:ascii="宋体" w:hAnsi="宋体" w:cs="宋体"/>
                <w:sz w:val="24"/>
              </w:rPr>
            </w:pPr>
            <w:r>
              <w:rPr>
                <w:rFonts w:hint="eastAsia" w:ascii="宋体" w:hAnsi="宋体" w:cs="宋体"/>
                <w:sz w:val="24"/>
              </w:rPr>
              <w:t>四个大荤、四个半荤、四个素、汤、水果、五谷杂粮、面食等</w:t>
            </w:r>
          </w:p>
        </w:tc>
      </w:tr>
      <w:tr w14:paraId="1DAF3E39">
        <w:tblPrEx>
          <w:tblCellMar>
            <w:top w:w="0" w:type="dxa"/>
            <w:left w:w="108" w:type="dxa"/>
            <w:bottom w:w="0" w:type="dxa"/>
            <w:right w:w="108" w:type="dxa"/>
          </w:tblCellMar>
        </w:tblPrEx>
        <w:trPr>
          <w:trHeight w:val="521"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6F4BCCBB">
            <w:pPr>
              <w:tabs>
                <w:tab w:val="left" w:pos="0"/>
              </w:tabs>
              <w:spacing w:line="240" w:lineRule="auto"/>
              <w:jc w:val="center"/>
              <w:rPr>
                <w:rFonts w:ascii="宋体" w:hAnsi="宋体" w:cs="宋体"/>
                <w:sz w:val="24"/>
              </w:rPr>
            </w:pPr>
            <w:r>
              <w:rPr>
                <w:rFonts w:hint="eastAsia" w:ascii="宋体" w:hAnsi="宋体" w:cs="宋体"/>
                <w:sz w:val="24"/>
              </w:rPr>
              <w:t>3</w:t>
            </w:r>
          </w:p>
        </w:tc>
        <w:tc>
          <w:tcPr>
            <w:tcW w:w="2425" w:type="dxa"/>
            <w:tcBorders>
              <w:top w:val="single" w:color="auto" w:sz="4" w:space="0"/>
              <w:left w:val="nil"/>
              <w:bottom w:val="single" w:color="auto" w:sz="4" w:space="0"/>
              <w:right w:val="single" w:color="auto" w:sz="4" w:space="0"/>
            </w:tcBorders>
            <w:noWrap w:val="0"/>
            <w:vAlign w:val="center"/>
          </w:tcPr>
          <w:p w14:paraId="29354437">
            <w:pPr>
              <w:tabs>
                <w:tab w:val="left" w:pos="0"/>
              </w:tabs>
              <w:spacing w:line="240" w:lineRule="auto"/>
              <w:rPr>
                <w:rFonts w:ascii="宋体" w:hAnsi="宋体" w:cs="宋体"/>
                <w:sz w:val="24"/>
              </w:rPr>
            </w:pPr>
            <w:r>
              <w:rPr>
                <w:rFonts w:hint="eastAsia" w:ascii="宋体" w:hAnsi="宋体" w:cs="宋体"/>
                <w:sz w:val="24"/>
              </w:rPr>
              <w:t>晚餐（17:00-18:00）</w:t>
            </w:r>
          </w:p>
        </w:tc>
        <w:tc>
          <w:tcPr>
            <w:tcW w:w="1741" w:type="dxa"/>
            <w:tcBorders>
              <w:top w:val="single" w:color="auto" w:sz="4" w:space="0"/>
              <w:left w:val="nil"/>
              <w:bottom w:val="single" w:color="auto" w:sz="4" w:space="0"/>
              <w:right w:val="single" w:color="auto" w:sz="4" w:space="0"/>
            </w:tcBorders>
            <w:noWrap w:val="0"/>
            <w:vAlign w:val="center"/>
          </w:tcPr>
          <w:p w14:paraId="06E44580">
            <w:pPr>
              <w:tabs>
                <w:tab w:val="left" w:pos="0"/>
              </w:tabs>
              <w:spacing w:line="240" w:lineRule="auto"/>
              <w:jc w:val="center"/>
              <w:rPr>
                <w:rFonts w:ascii="宋体" w:hAnsi="宋体" w:cs="宋体"/>
                <w:sz w:val="24"/>
              </w:rPr>
            </w:pPr>
            <w:r>
              <w:rPr>
                <w:rFonts w:hint="eastAsia" w:ascii="宋体" w:hAnsi="宋体" w:cs="宋体"/>
                <w:sz w:val="24"/>
              </w:rPr>
              <w:t>约60人</w:t>
            </w:r>
          </w:p>
        </w:tc>
        <w:tc>
          <w:tcPr>
            <w:tcW w:w="3693" w:type="dxa"/>
            <w:tcBorders>
              <w:top w:val="single" w:color="auto" w:sz="4" w:space="0"/>
              <w:left w:val="nil"/>
              <w:bottom w:val="single" w:color="auto" w:sz="4" w:space="0"/>
              <w:right w:val="single" w:color="auto" w:sz="4" w:space="0"/>
            </w:tcBorders>
            <w:noWrap w:val="0"/>
            <w:vAlign w:val="top"/>
          </w:tcPr>
          <w:p w14:paraId="5844AFED">
            <w:pPr>
              <w:tabs>
                <w:tab w:val="left" w:pos="0"/>
              </w:tabs>
              <w:spacing w:line="240" w:lineRule="auto"/>
              <w:rPr>
                <w:rFonts w:ascii="宋体" w:hAnsi="宋体" w:cs="宋体"/>
                <w:sz w:val="24"/>
              </w:rPr>
            </w:pPr>
            <w:r>
              <w:rPr>
                <w:rFonts w:hint="eastAsia" w:ascii="宋体" w:hAnsi="宋体" w:cs="宋体"/>
                <w:sz w:val="24"/>
              </w:rPr>
              <w:t>四个大荤、四个半荤、四个素、汤、水果、五谷杂粮、面食等</w:t>
            </w:r>
          </w:p>
        </w:tc>
      </w:tr>
    </w:tbl>
    <w:p w14:paraId="44FD07F2">
      <w:pPr>
        <w:tabs>
          <w:tab w:val="left" w:pos="0"/>
        </w:tabs>
        <w:spacing w:line="360" w:lineRule="auto"/>
        <w:ind w:firstLine="480"/>
        <w:rPr>
          <w:rFonts w:ascii="宋体" w:hAnsi="宋体" w:cs="宋体"/>
          <w:sz w:val="24"/>
        </w:rPr>
      </w:pPr>
      <w:r>
        <w:rPr>
          <w:rFonts w:hint="eastAsia" w:ascii="宋体" w:hAnsi="宋体" w:cs="宋体"/>
          <w:sz w:val="24"/>
        </w:rPr>
        <w:t>注：（1）上述为用餐时间和人数。</w:t>
      </w:r>
    </w:p>
    <w:p w14:paraId="639AFB71">
      <w:pPr>
        <w:tabs>
          <w:tab w:val="left" w:pos="0"/>
        </w:tabs>
        <w:spacing w:line="360" w:lineRule="auto"/>
        <w:ind w:firstLine="480"/>
        <w:rPr>
          <w:rFonts w:ascii="宋体" w:hAnsi="宋体" w:cs="宋体"/>
          <w:sz w:val="24"/>
        </w:rPr>
      </w:pPr>
      <w:r>
        <w:rPr>
          <w:rFonts w:hint="eastAsia" w:ascii="宋体" w:hAnsi="宋体" w:cs="宋体"/>
          <w:sz w:val="24"/>
        </w:rPr>
        <w:t>（2）中标供应商需负责采购人工作日临时会议用餐（会议人数视实际情况而定），菜品不得低于上述水平。</w:t>
      </w:r>
    </w:p>
    <w:p w14:paraId="56E768E0">
      <w:pPr>
        <w:tabs>
          <w:tab w:val="left" w:pos="0"/>
        </w:tabs>
        <w:spacing w:line="360" w:lineRule="auto"/>
        <w:ind w:firstLine="480"/>
        <w:rPr>
          <w:rFonts w:ascii="宋体" w:hAnsi="宋体" w:cs="宋体"/>
          <w:sz w:val="24"/>
        </w:rPr>
      </w:pPr>
      <w:r>
        <w:rPr>
          <w:rFonts w:hint="eastAsia" w:ascii="宋体" w:hAnsi="宋体" w:cs="宋体"/>
          <w:sz w:val="24"/>
        </w:rPr>
        <w:t>（3）中标供应商需在双休日和节假日（春节假期除外）安排至少3个工作人员值班并负责采购人每天30人到50人的工作用餐，菜品不得低于上述水平。</w:t>
      </w:r>
    </w:p>
    <w:p w14:paraId="29F67284">
      <w:pPr>
        <w:tabs>
          <w:tab w:val="left" w:pos="0"/>
        </w:tabs>
        <w:spacing w:line="360" w:lineRule="auto"/>
        <w:ind w:firstLine="480"/>
        <w:rPr>
          <w:rFonts w:ascii="宋体" w:hAnsi="宋体" w:cs="宋体"/>
          <w:sz w:val="24"/>
        </w:rPr>
      </w:pPr>
      <w:r>
        <w:rPr>
          <w:rFonts w:hint="eastAsia" w:ascii="宋体" w:hAnsi="宋体" w:cs="宋体"/>
          <w:sz w:val="24"/>
        </w:rPr>
        <w:t>（4）投标供应商应根据季节不同提供适时的菜品，定期推出特色菜或新菜，按采购人经济目标要求核算并帮助采购人控制用餐成本。</w:t>
      </w:r>
    </w:p>
    <w:p w14:paraId="1C723D89">
      <w:pPr>
        <w:tabs>
          <w:tab w:val="left" w:pos="0"/>
        </w:tabs>
        <w:spacing w:line="360" w:lineRule="auto"/>
        <w:ind w:firstLine="480"/>
        <w:rPr>
          <w:rFonts w:ascii="宋体" w:hAnsi="宋体" w:cs="宋体"/>
          <w:sz w:val="24"/>
        </w:rPr>
      </w:pPr>
      <w:r>
        <w:rPr>
          <w:rFonts w:hint="eastAsia" w:ascii="宋体" w:hAnsi="宋体" w:cs="宋体"/>
          <w:sz w:val="24"/>
        </w:rPr>
        <w:t>（5）投标供应商需负责服务区域的保洁工作（清理、设备的定期清洁维护等）、食堂用餐秩序维护工作，协助甲方对甲供食材的质量（重量、外观、鲜泽度等）保障工作。</w:t>
      </w:r>
    </w:p>
    <w:p w14:paraId="38B3392C">
      <w:pPr>
        <w:tabs>
          <w:tab w:val="left" w:pos="0"/>
        </w:tabs>
        <w:spacing w:line="360" w:lineRule="auto"/>
        <w:ind w:firstLine="480"/>
        <w:rPr>
          <w:rFonts w:ascii="宋体" w:hAnsi="宋体" w:cs="宋体"/>
          <w:sz w:val="24"/>
        </w:rPr>
      </w:pPr>
      <w:r>
        <w:rPr>
          <w:rFonts w:hint="eastAsia" w:ascii="宋体" w:hAnsi="宋体" w:cs="宋体"/>
          <w:sz w:val="24"/>
        </w:rPr>
        <w:t>（6）投标供应商在报价时需充分考虑上述因素</w:t>
      </w:r>
      <w:r>
        <w:rPr>
          <w:rFonts w:hint="eastAsia" w:cs="宋体"/>
          <w:sz w:val="24"/>
          <w:lang w:eastAsia="zh-CN"/>
        </w:rPr>
        <w:t>和其他</w:t>
      </w:r>
      <w:r>
        <w:rPr>
          <w:rFonts w:hint="eastAsia" w:ascii="宋体" w:hAnsi="宋体" w:cs="宋体"/>
          <w:sz w:val="24"/>
        </w:rPr>
        <w:t xml:space="preserve">不确认因素并承担相应风险责任，一旦中标，不得以任何其他理由调整任何费用。 </w:t>
      </w:r>
    </w:p>
    <w:p w14:paraId="3CE54E8A">
      <w:pPr>
        <w:tabs>
          <w:tab w:val="left" w:pos="0"/>
        </w:tabs>
        <w:spacing w:line="360" w:lineRule="auto"/>
        <w:ind w:firstLine="480"/>
        <w:rPr>
          <w:rFonts w:ascii="宋体" w:hAnsi="宋体" w:cs="宋体"/>
          <w:sz w:val="24"/>
        </w:rPr>
      </w:pPr>
      <w:r>
        <w:rPr>
          <w:rFonts w:hint="eastAsia" w:ascii="宋体" w:hAnsi="宋体" w:cs="宋体"/>
          <w:sz w:val="24"/>
        </w:rPr>
        <w:t>三、采购人主要设备清单</w:t>
      </w:r>
    </w:p>
    <w:tbl>
      <w:tblPr>
        <w:tblStyle w:val="60"/>
        <w:tblW w:w="0" w:type="auto"/>
        <w:tblInd w:w="131" w:type="dxa"/>
        <w:tblLayout w:type="fixed"/>
        <w:tblCellMar>
          <w:top w:w="0" w:type="dxa"/>
          <w:left w:w="108" w:type="dxa"/>
          <w:bottom w:w="0" w:type="dxa"/>
          <w:right w:w="108" w:type="dxa"/>
        </w:tblCellMar>
      </w:tblPr>
      <w:tblGrid>
        <w:gridCol w:w="1688"/>
        <w:gridCol w:w="4590"/>
        <w:gridCol w:w="2775"/>
      </w:tblGrid>
      <w:tr w14:paraId="0CE8C3CC">
        <w:tblPrEx>
          <w:tblCellMar>
            <w:top w:w="0" w:type="dxa"/>
            <w:left w:w="108" w:type="dxa"/>
            <w:bottom w:w="0" w:type="dxa"/>
            <w:right w:w="108" w:type="dxa"/>
          </w:tblCellMar>
        </w:tblPrEx>
        <w:trPr>
          <w:trHeight w:val="405"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5C775F9C">
            <w:pPr>
              <w:tabs>
                <w:tab w:val="left" w:pos="0"/>
              </w:tabs>
              <w:spacing w:line="360" w:lineRule="auto"/>
              <w:jc w:val="center"/>
              <w:rPr>
                <w:rFonts w:ascii="宋体" w:hAnsi="宋体" w:cs="宋体"/>
                <w:sz w:val="24"/>
              </w:rPr>
            </w:pPr>
            <w:r>
              <w:rPr>
                <w:rFonts w:hint="eastAsia" w:ascii="宋体" w:hAnsi="宋体" w:cs="宋体"/>
                <w:sz w:val="24"/>
              </w:rPr>
              <w:t>序号</w:t>
            </w:r>
          </w:p>
        </w:tc>
        <w:tc>
          <w:tcPr>
            <w:tcW w:w="4590" w:type="dxa"/>
            <w:tcBorders>
              <w:top w:val="single" w:color="auto" w:sz="4" w:space="0"/>
              <w:left w:val="nil"/>
              <w:bottom w:val="single" w:color="auto" w:sz="4" w:space="0"/>
              <w:right w:val="single" w:color="auto" w:sz="4" w:space="0"/>
            </w:tcBorders>
            <w:noWrap w:val="0"/>
            <w:vAlign w:val="center"/>
          </w:tcPr>
          <w:p w14:paraId="306B8C4A">
            <w:pPr>
              <w:tabs>
                <w:tab w:val="left" w:pos="0"/>
              </w:tabs>
              <w:spacing w:line="360" w:lineRule="auto"/>
              <w:jc w:val="center"/>
              <w:rPr>
                <w:rFonts w:ascii="宋体" w:hAnsi="宋体" w:cs="宋体"/>
                <w:sz w:val="24"/>
              </w:rPr>
            </w:pPr>
            <w:r>
              <w:rPr>
                <w:rFonts w:hint="eastAsia" w:ascii="宋体" w:hAnsi="宋体" w:cs="宋体"/>
                <w:sz w:val="24"/>
              </w:rPr>
              <w:t>设备名称</w:t>
            </w:r>
          </w:p>
        </w:tc>
        <w:tc>
          <w:tcPr>
            <w:tcW w:w="2775" w:type="dxa"/>
            <w:tcBorders>
              <w:top w:val="single" w:color="auto" w:sz="4" w:space="0"/>
              <w:left w:val="nil"/>
              <w:bottom w:val="single" w:color="auto" w:sz="4" w:space="0"/>
              <w:right w:val="single" w:color="auto" w:sz="4" w:space="0"/>
            </w:tcBorders>
            <w:noWrap w:val="0"/>
            <w:vAlign w:val="center"/>
          </w:tcPr>
          <w:p w14:paraId="552D4723">
            <w:pPr>
              <w:tabs>
                <w:tab w:val="left" w:pos="0"/>
              </w:tabs>
              <w:spacing w:line="360" w:lineRule="auto"/>
              <w:jc w:val="center"/>
              <w:rPr>
                <w:rFonts w:ascii="宋体" w:hAnsi="宋体" w:cs="宋体"/>
                <w:sz w:val="24"/>
              </w:rPr>
            </w:pPr>
            <w:r>
              <w:rPr>
                <w:rFonts w:hint="eastAsia" w:ascii="宋体" w:hAnsi="宋体" w:cs="宋体"/>
                <w:sz w:val="24"/>
              </w:rPr>
              <w:t>数量</w:t>
            </w:r>
          </w:p>
        </w:tc>
      </w:tr>
      <w:tr w14:paraId="028EAE08">
        <w:tblPrEx>
          <w:tblCellMar>
            <w:top w:w="0" w:type="dxa"/>
            <w:left w:w="108" w:type="dxa"/>
            <w:bottom w:w="0" w:type="dxa"/>
            <w:right w:w="108" w:type="dxa"/>
          </w:tblCellMar>
        </w:tblPrEx>
        <w:trPr>
          <w:trHeight w:val="405"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55E05E6D">
            <w:pPr>
              <w:tabs>
                <w:tab w:val="left" w:pos="0"/>
              </w:tabs>
              <w:spacing w:line="360" w:lineRule="auto"/>
              <w:jc w:val="center"/>
              <w:rPr>
                <w:rFonts w:ascii="宋体" w:hAnsi="宋体" w:cs="宋体"/>
                <w:sz w:val="24"/>
              </w:rPr>
            </w:pPr>
            <w:r>
              <w:rPr>
                <w:rFonts w:hint="eastAsia" w:ascii="宋体" w:hAnsi="宋体" w:cs="宋体"/>
                <w:sz w:val="24"/>
              </w:rPr>
              <w:t>1</w:t>
            </w:r>
          </w:p>
        </w:tc>
        <w:tc>
          <w:tcPr>
            <w:tcW w:w="4590" w:type="dxa"/>
            <w:tcBorders>
              <w:top w:val="single" w:color="auto" w:sz="4" w:space="0"/>
              <w:left w:val="nil"/>
              <w:bottom w:val="single" w:color="auto" w:sz="4" w:space="0"/>
              <w:right w:val="single" w:color="auto" w:sz="4" w:space="0"/>
            </w:tcBorders>
            <w:noWrap w:val="0"/>
            <w:vAlign w:val="center"/>
          </w:tcPr>
          <w:p w14:paraId="6AD9024D">
            <w:pPr>
              <w:tabs>
                <w:tab w:val="left" w:pos="0"/>
              </w:tabs>
              <w:spacing w:line="360" w:lineRule="auto"/>
              <w:jc w:val="center"/>
              <w:rPr>
                <w:rFonts w:ascii="宋体" w:hAnsi="宋体" w:cs="宋体"/>
                <w:sz w:val="24"/>
              </w:rPr>
            </w:pPr>
            <w:r>
              <w:rPr>
                <w:rFonts w:hint="eastAsia" w:ascii="宋体" w:hAnsi="宋体" w:cs="宋体"/>
                <w:sz w:val="24"/>
              </w:rPr>
              <w:t>保温台</w:t>
            </w:r>
          </w:p>
        </w:tc>
        <w:tc>
          <w:tcPr>
            <w:tcW w:w="2775" w:type="dxa"/>
            <w:tcBorders>
              <w:top w:val="single" w:color="auto" w:sz="4" w:space="0"/>
              <w:left w:val="nil"/>
              <w:bottom w:val="single" w:color="auto" w:sz="4" w:space="0"/>
              <w:right w:val="single" w:color="auto" w:sz="4" w:space="0"/>
            </w:tcBorders>
            <w:noWrap w:val="0"/>
            <w:vAlign w:val="center"/>
          </w:tcPr>
          <w:p w14:paraId="72669E75">
            <w:pPr>
              <w:tabs>
                <w:tab w:val="left" w:pos="0"/>
              </w:tabs>
              <w:spacing w:line="360" w:lineRule="auto"/>
              <w:jc w:val="center"/>
              <w:rPr>
                <w:rFonts w:ascii="宋体" w:hAnsi="宋体" w:cs="宋体"/>
                <w:sz w:val="24"/>
              </w:rPr>
            </w:pPr>
            <w:r>
              <w:rPr>
                <w:rFonts w:hint="eastAsia" w:ascii="宋体" w:hAnsi="宋体" w:cs="宋体"/>
                <w:sz w:val="24"/>
              </w:rPr>
              <w:t>2个</w:t>
            </w:r>
          </w:p>
        </w:tc>
      </w:tr>
      <w:tr w14:paraId="32873559">
        <w:tblPrEx>
          <w:tblCellMar>
            <w:top w:w="0" w:type="dxa"/>
            <w:left w:w="108" w:type="dxa"/>
            <w:bottom w:w="0" w:type="dxa"/>
            <w:right w:w="108" w:type="dxa"/>
          </w:tblCellMar>
        </w:tblPrEx>
        <w:trPr>
          <w:trHeight w:val="405"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409B05E3">
            <w:pPr>
              <w:tabs>
                <w:tab w:val="left" w:pos="0"/>
              </w:tabs>
              <w:spacing w:line="360" w:lineRule="auto"/>
              <w:jc w:val="center"/>
              <w:rPr>
                <w:rFonts w:ascii="宋体" w:hAnsi="宋体" w:cs="宋体"/>
                <w:sz w:val="24"/>
              </w:rPr>
            </w:pPr>
            <w:r>
              <w:rPr>
                <w:rFonts w:hint="eastAsia" w:ascii="宋体" w:hAnsi="宋体" w:cs="宋体"/>
                <w:sz w:val="24"/>
              </w:rPr>
              <w:t>2</w:t>
            </w:r>
          </w:p>
        </w:tc>
        <w:tc>
          <w:tcPr>
            <w:tcW w:w="4590" w:type="dxa"/>
            <w:tcBorders>
              <w:top w:val="single" w:color="auto" w:sz="4" w:space="0"/>
              <w:left w:val="nil"/>
              <w:bottom w:val="single" w:color="auto" w:sz="4" w:space="0"/>
              <w:right w:val="single" w:color="auto" w:sz="4" w:space="0"/>
            </w:tcBorders>
            <w:noWrap w:val="0"/>
            <w:vAlign w:val="center"/>
          </w:tcPr>
          <w:p w14:paraId="154980E1">
            <w:pPr>
              <w:tabs>
                <w:tab w:val="left" w:pos="0"/>
              </w:tabs>
              <w:spacing w:line="360" w:lineRule="auto"/>
              <w:jc w:val="center"/>
              <w:rPr>
                <w:rFonts w:ascii="宋体" w:hAnsi="宋体" w:cs="宋体"/>
                <w:sz w:val="24"/>
              </w:rPr>
            </w:pPr>
            <w:r>
              <w:rPr>
                <w:rFonts w:hint="eastAsia" w:ascii="宋体" w:hAnsi="宋体" w:cs="宋体"/>
                <w:sz w:val="24"/>
              </w:rPr>
              <w:t>双眼炉灶</w:t>
            </w:r>
          </w:p>
        </w:tc>
        <w:tc>
          <w:tcPr>
            <w:tcW w:w="2775" w:type="dxa"/>
            <w:tcBorders>
              <w:top w:val="single" w:color="auto" w:sz="4" w:space="0"/>
              <w:left w:val="nil"/>
              <w:bottom w:val="single" w:color="auto" w:sz="4" w:space="0"/>
              <w:right w:val="single" w:color="auto" w:sz="4" w:space="0"/>
            </w:tcBorders>
            <w:noWrap w:val="0"/>
            <w:vAlign w:val="center"/>
          </w:tcPr>
          <w:p w14:paraId="1D859DFF">
            <w:pPr>
              <w:tabs>
                <w:tab w:val="left" w:pos="0"/>
              </w:tabs>
              <w:spacing w:line="360" w:lineRule="auto"/>
              <w:jc w:val="center"/>
              <w:rPr>
                <w:rFonts w:ascii="宋体" w:hAnsi="宋体" w:cs="宋体"/>
                <w:sz w:val="24"/>
              </w:rPr>
            </w:pPr>
            <w:r>
              <w:rPr>
                <w:rFonts w:hint="eastAsia" w:ascii="宋体" w:hAnsi="宋体" w:cs="宋体"/>
                <w:sz w:val="24"/>
              </w:rPr>
              <w:t>2个</w:t>
            </w:r>
          </w:p>
        </w:tc>
      </w:tr>
      <w:tr w14:paraId="01F6C9A3">
        <w:tblPrEx>
          <w:tblCellMar>
            <w:top w:w="0" w:type="dxa"/>
            <w:left w:w="108" w:type="dxa"/>
            <w:bottom w:w="0" w:type="dxa"/>
            <w:right w:w="108" w:type="dxa"/>
          </w:tblCellMar>
        </w:tblPrEx>
        <w:trPr>
          <w:trHeight w:val="405"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397D2637">
            <w:pPr>
              <w:tabs>
                <w:tab w:val="left" w:pos="0"/>
              </w:tabs>
              <w:spacing w:line="360" w:lineRule="auto"/>
              <w:jc w:val="center"/>
              <w:rPr>
                <w:rFonts w:ascii="宋体" w:hAnsi="宋体" w:cs="宋体"/>
                <w:sz w:val="24"/>
              </w:rPr>
            </w:pPr>
            <w:r>
              <w:rPr>
                <w:rFonts w:hint="eastAsia" w:ascii="宋体" w:hAnsi="宋体" w:cs="宋体"/>
                <w:sz w:val="24"/>
              </w:rPr>
              <w:t>3</w:t>
            </w:r>
          </w:p>
        </w:tc>
        <w:tc>
          <w:tcPr>
            <w:tcW w:w="4590" w:type="dxa"/>
            <w:tcBorders>
              <w:top w:val="single" w:color="auto" w:sz="4" w:space="0"/>
              <w:left w:val="nil"/>
              <w:bottom w:val="single" w:color="auto" w:sz="4" w:space="0"/>
              <w:right w:val="single" w:color="auto" w:sz="4" w:space="0"/>
            </w:tcBorders>
            <w:noWrap w:val="0"/>
            <w:vAlign w:val="center"/>
          </w:tcPr>
          <w:p w14:paraId="235509C8">
            <w:pPr>
              <w:tabs>
                <w:tab w:val="left" w:pos="0"/>
              </w:tabs>
              <w:spacing w:line="360" w:lineRule="auto"/>
              <w:jc w:val="center"/>
              <w:rPr>
                <w:rFonts w:ascii="宋体" w:hAnsi="宋体" w:cs="宋体"/>
                <w:sz w:val="24"/>
              </w:rPr>
            </w:pPr>
            <w:r>
              <w:rPr>
                <w:rFonts w:hint="eastAsia" w:ascii="宋体" w:hAnsi="宋体" w:cs="宋体"/>
                <w:sz w:val="24"/>
              </w:rPr>
              <w:t>单门蒸灶</w:t>
            </w:r>
          </w:p>
        </w:tc>
        <w:tc>
          <w:tcPr>
            <w:tcW w:w="2775" w:type="dxa"/>
            <w:tcBorders>
              <w:top w:val="single" w:color="auto" w:sz="4" w:space="0"/>
              <w:left w:val="nil"/>
              <w:bottom w:val="single" w:color="auto" w:sz="4" w:space="0"/>
              <w:right w:val="single" w:color="auto" w:sz="4" w:space="0"/>
            </w:tcBorders>
            <w:noWrap w:val="0"/>
            <w:vAlign w:val="center"/>
          </w:tcPr>
          <w:p w14:paraId="1EFE65A2">
            <w:pPr>
              <w:tabs>
                <w:tab w:val="left" w:pos="0"/>
              </w:tabs>
              <w:spacing w:line="360" w:lineRule="auto"/>
              <w:jc w:val="center"/>
              <w:rPr>
                <w:rFonts w:ascii="宋体" w:hAnsi="宋体" w:cs="宋体"/>
                <w:sz w:val="24"/>
              </w:rPr>
            </w:pPr>
            <w:r>
              <w:rPr>
                <w:rFonts w:hint="eastAsia" w:ascii="宋体" w:hAnsi="宋体" w:cs="宋体"/>
                <w:sz w:val="24"/>
              </w:rPr>
              <w:t>1个</w:t>
            </w:r>
          </w:p>
        </w:tc>
      </w:tr>
      <w:tr w14:paraId="48780CDD">
        <w:tblPrEx>
          <w:tblCellMar>
            <w:top w:w="0" w:type="dxa"/>
            <w:left w:w="108" w:type="dxa"/>
            <w:bottom w:w="0" w:type="dxa"/>
            <w:right w:w="108" w:type="dxa"/>
          </w:tblCellMar>
        </w:tblPrEx>
        <w:trPr>
          <w:trHeight w:val="405"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751006C7">
            <w:pPr>
              <w:tabs>
                <w:tab w:val="left" w:pos="0"/>
              </w:tabs>
              <w:spacing w:line="360" w:lineRule="auto"/>
              <w:jc w:val="center"/>
              <w:rPr>
                <w:rFonts w:ascii="宋体" w:hAnsi="宋体" w:cs="宋体"/>
                <w:sz w:val="24"/>
              </w:rPr>
            </w:pPr>
            <w:r>
              <w:rPr>
                <w:rFonts w:hint="eastAsia" w:ascii="宋体" w:hAnsi="宋体" w:cs="宋体"/>
                <w:sz w:val="24"/>
              </w:rPr>
              <w:t>4</w:t>
            </w:r>
          </w:p>
        </w:tc>
        <w:tc>
          <w:tcPr>
            <w:tcW w:w="4590" w:type="dxa"/>
            <w:tcBorders>
              <w:top w:val="single" w:color="auto" w:sz="4" w:space="0"/>
              <w:left w:val="nil"/>
              <w:bottom w:val="single" w:color="auto" w:sz="4" w:space="0"/>
              <w:right w:val="single" w:color="auto" w:sz="4" w:space="0"/>
            </w:tcBorders>
            <w:noWrap w:val="0"/>
            <w:vAlign w:val="center"/>
          </w:tcPr>
          <w:p w14:paraId="5A70894C">
            <w:pPr>
              <w:tabs>
                <w:tab w:val="left" w:pos="0"/>
              </w:tabs>
              <w:spacing w:line="360" w:lineRule="auto"/>
              <w:jc w:val="center"/>
              <w:rPr>
                <w:rFonts w:ascii="宋体" w:hAnsi="宋体" w:cs="宋体"/>
                <w:sz w:val="24"/>
              </w:rPr>
            </w:pPr>
            <w:r>
              <w:rPr>
                <w:rFonts w:hint="eastAsia" w:ascii="宋体" w:hAnsi="宋体" w:cs="宋体"/>
                <w:sz w:val="24"/>
              </w:rPr>
              <w:t>消毒柜、冰箱</w:t>
            </w:r>
          </w:p>
        </w:tc>
        <w:tc>
          <w:tcPr>
            <w:tcW w:w="2775" w:type="dxa"/>
            <w:tcBorders>
              <w:top w:val="single" w:color="auto" w:sz="4" w:space="0"/>
              <w:left w:val="nil"/>
              <w:bottom w:val="single" w:color="auto" w:sz="4" w:space="0"/>
              <w:right w:val="single" w:color="auto" w:sz="4" w:space="0"/>
            </w:tcBorders>
            <w:noWrap w:val="0"/>
            <w:vAlign w:val="center"/>
          </w:tcPr>
          <w:p w14:paraId="15B53C50">
            <w:pPr>
              <w:tabs>
                <w:tab w:val="left" w:pos="0"/>
              </w:tabs>
              <w:spacing w:line="360" w:lineRule="auto"/>
              <w:jc w:val="center"/>
              <w:rPr>
                <w:rFonts w:ascii="宋体" w:hAnsi="宋体" w:cs="宋体"/>
                <w:sz w:val="24"/>
              </w:rPr>
            </w:pPr>
            <w:r>
              <w:rPr>
                <w:rFonts w:hint="eastAsia" w:ascii="宋体" w:hAnsi="宋体" w:cs="宋体"/>
                <w:sz w:val="24"/>
              </w:rPr>
              <w:t>各1个</w:t>
            </w:r>
          </w:p>
        </w:tc>
      </w:tr>
      <w:tr w14:paraId="140C035C">
        <w:tblPrEx>
          <w:tblCellMar>
            <w:top w:w="0" w:type="dxa"/>
            <w:left w:w="108" w:type="dxa"/>
            <w:bottom w:w="0" w:type="dxa"/>
            <w:right w:w="108" w:type="dxa"/>
          </w:tblCellMar>
        </w:tblPrEx>
        <w:trPr>
          <w:trHeight w:val="405"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0277CEB8">
            <w:pPr>
              <w:tabs>
                <w:tab w:val="left" w:pos="0"/>
              </w:tabs>
              <w:spacing w:line="360" w:lineRule="auto"/>
              <w:jc w:val="center"/>
              <w:rPr>
                <w:rFonts w:ascii="宋体" w:hAnsi="宋体" w:cs="宋体"/>
                <w:sz w:val="24"/>
              </w:rPr>
            </w:pPr>
            <w:r>
              <w:rPr>
                <w:rFonts w:hint="eastAsia" w:ascii="宋体" w:hAnsi="宋体" w:cs="宋体"/>
                <w:sz w:val="24"/>
              </w:rPr>
              <w:t>5</w:t>
            </w:r>
          </w:p>
        </w:tc>
        <w:tc>
          <w:tcPr>
            <w:tcW w:w="4590" w:type="dxa"/>
            <w:tcBorders>
              <w:top w:val="single" w:color="auto" w:sz="4" w:space="0"/>
              <w:left w:val="nil"/>
              <w:bottom w:val="single" w:color="auto" w:sz="4" w:space="0"/>
              <w:right w:val="single" w:color="auto" w:sz="4" w:space="0"/>
            </w:tcBorders>
            <w:noWrap w:val="0"/>
            <w:vAlign w:val="center"/>
          </w:tcPr>
          <w:p w14:paraId="267212F6">
            <w:pPr>
              <w:tabs>
                <w:tab w:val="left" w:pos="0"/>
              </w:tabs>
              <w:spacing w:line="360" w:lineRule="auto"/>
              <w:jc w:val="center"/>
              <w:rPr>
                <w:rFonts w:ascii="宋体" w:hAnsi="宋体" w:cs="宋体"/>
                <w:sz w:val="24"/>
              </w:rPr>
            </w:pPr>
            <w:r>
              <w:rPr>
                <w:rFonts w:hint="eastAsia" w:ascii="宋体" w:hAnsi="宋体" w:cs="宋体"/>
                <w:sz w:val="24"/>
              </w:rPr>
              <w:t>储物柜</w:t>
            </w:r>
          </w:p>
        </w:tc>
        <w:tc>
          <w:tcPr>
            <w:tcW w:w="2775" w:type="dxa"/>
            <w:tcBorders>
              <w:top w:val="single" w:color="auto" w:sz="4" w:space="0"/>
              <w:left w:val="nil"/>
              <w:bottom w:val="single" w:color="auto" w:sz="4" w:space="0"/>
              <w:right w:val="single" w:color="auto" w:sz="4" w:space="0"/>
            </w:tcBorders>
            <w:noWrap w:val="0"/>
            <w:vAlign w:val="center"/>
          </w:tcPr>
          <w:p w14:paraId="0520E1B8">
            <w:pPr>
              <w:tabs>
                <w:tab w:val="left" w:pos="0"/>
              </w:tabs>
              <w:spacing w:line="360" w:lineRule="auto"/>
              <w:jc w:val="center"/>
              <w:rPr>
                <w:rFonts w:ascii="宋体" w:hAnsi="宋体" w:cs="宋体"/>
                <w:sz w:val="24"/>
              </w:rPr>
            </w:pPr>
            <w:r>
              <w:rPr>
                <w:rFonts w:hint="eastAsia" w:ascii="宋体" w:hAnsi="宋体" w:cs="宋体"/>
                <w:sz w:val="24"/>
              </w:rPr>
              <w:t>1台</w:t>
            </w:r>
          </w:p>
        </w:tc>
      </w:tr>
      <w:tr w14:paraId="1EAFF835">
        <w:tblPrEx>
          <w:tblCellMar>
            <w:top w:w="0" w:type="dxa"/>
            <w:left w:w="108" w:type="dxa"/>
            <w:bottom w:w="0" w:type="dxa"/>
            <w:right w:w="108" w:type="dxa"/>
          </w:tblCellMar>
        </w:tblPrEx>
        <w:trPr>
          <w:trHeight w:val="405"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4AA8C4F5">
            <w:pPr>
              <w:tabs>
                <w:tab w:val="left" w:pos="0"/>
              </w:tabs>
              <w:spacing w:line="360" w:lineRule="auto"/>
              <w:jc w:val="center"/>
              <w:rPr>
                <w:rFonts w:ascii="宋体" w:hAnsi="宋体" w:cs="宋体"/>
                <w:sz w:val="24"/>
              </w:rPr>
            </w:pPr>
            <w:r>
              <w:rPr>
                <w:rFonts w:hint="eastAsia" w:ascii="宋体" w:hAnsi="宋体" w:cs="宋体"/>
                <w:sz w:val="24"/>
              </w:rPr>
              <w:t>6</w:t>
            </w:r>
          </w:p>
        </w:tc>
        <w:tc>
          <w:tcPr>
            <w:tcW w:w="4590" w:type="dxa"/>
            <w:tcBorders>
              <w:top w:val="single" w:color="auto" w:sz="4" w:space="0"/>
              <w:left w:val="nil"/>
              <w:bottom w:val="single" w:color="auto" w:sz="4" w:space="0"/>
              <w:right w:val="single" w:color="auto" w:sz="4" w:space="0"/>
            </w:tcBorders>
            <w:noWrap w:val="0"/>
            <w:vAlign w:val="center"/>
          </w:tcPr>
          <w:p w14:paraId="335B074A">
            <w:pPr>
              <w:tabs>
                <w:tab w:val="left" w:pos="0"/>
              </w:tabs>
              <w:spacing w:line="360" w:lineRule="auto"/>
              <w:jc w:val="center"/>
              <w:rPr>
                <w:rFonts w:ascii="宋体" w:hAnsi="宋体" w:cs="宋体"/>
                <w:sz w:val="24"/>
              </w:rPr>
            </w:pPr>
            <w:r>
              <w:rPr>
                <w:rFonts w:hint="eastAsia" w:ascii="宋体" w:hAnsi="宋体" w:cs="宋体"/>
                <w:sz w:val="24"/>
              </w:rPr>
              <w:t>货架</w:t>
            </w:r>
          </w:p>
        </w:tc>
        <w:tc>
          <w:tcPr>
            <w:tcW w:w="2775" w:type="dxa"/>
            <w:tcBorders>
              <w:top w:val="single" w:color="auto" w:sz="4" w:space="0"/>
              <w:left w:val="nil"/>
              <w:bottom w:val="single" w:color="auto" w:sz="4" w:space="0"/>
              <w:right w:val="single" w:color="auto" w:sz="4" w:space="0"/>
            </w:tcBorders>
            <w:noWrap w:val="0"/>
            <w:vAlign w:val="center"/>
          </w:tcPr>
          <w:p w14:paraId="6F44BEF7">
            <w:pPr>
              <w:tabs>
                <w:tab w:val="left" w:pos="0"/>
              </w:tabs>
              <w:spacing w:line="360" w:lineRule="auto"/>
              <w:jc w:val="center"/>
              <w:rPr>
                <w:rFonts w:ascii="宋体" w:hAnsi="宋体" w:cs="宋体"/>
                <w:sz w:val="24"/>
              </w:rPr>
            </w:pPr>
            <w:r>
              <w:rPr>
                <w:rFonts w:hint="eastAsia" w:ascii="宋体" w:hAnsi="宋体" w:cs="宋体"/>
                <w:sz w:val="24"/>
              </w:rPr>
              <w:t>2个</w:t>
            </w:r>
          </w:p>
        </w:tc>
      </w:tr>
      <w:tr w14:paraId="6B7CCBFC">
        <w:tblPrEx>
          <w:tblCellMar>
            <w:top w:w="0" w:type="dxa"/>
            <w:left w:w="108" w:type="dxa"/>
            <w:bottom w:w="0" w:type="dxa"/>
            <w:right w:w="108" w:type="dxa"/>
          </w:tblCellMar>
        </w:tblPrEx>
        <w:trPr>
          <w:trHeight w:val="405"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3358F2DC">
            <w:pPr>
              <w:tabs>
                <w:tab w:val="left" w:pos="0"/>
              </w:tabs>
              <w:spacing w:line="360" w:lineRule="auto"/>
              <w:jc w:val="center"/>
              <w:rPr>
                <w:rFonts w:ascii="宋体" w:hAnsi="宋体" w:cs="宋体"/>
                <w:sz w:val="24"/>
              </w:rPr>
            </w:pPr>
            <w:r>
              <w:rPr>
                <w:rFonts w:hint="eastAsia" w:ascii="宋体" w:hAnsi="宋体" w:cs="宋体"/>
                <w:sz w:val="24"/>
              </w:rPr>
              <w:t>7</w:t>
            </w:r>
          </w:p>
        </w:tc>
        <w:tc>
          <w:tcPr>
            <w:tcW w:w="4590" w:type="dxa"/>
            <w:tcBorders>
              <w:top w:val="single" w:color="auto" w:sz="4" w:space="0"/>
              <w:left w:val="nil"/>
              <w:bottom w:val="single" w:color="auto" w:sz="4" w:space="0"/>
              <w:right w:val="single" w:color="auto" w:sz="4" w:space="0"/>
            </w:tcBorders>
            <w:noWrap w:val="0"/>
            <w:vAlign w:val="center"/>
          </w:tcPr>
          <w:p w14:paraId="6A9B828A">
            <w:pPr>
              <w:tabs>
                <w:tab w:val="left" w:pos="0"/>
              </w:tabs>
              <w:spacing w:line="360" w:lineRule="auto"/>
              <w:jc w:val="center"/>
              <w:rPr>
                <w:rFonts w:ascii="宋体" w:hAnsi="宋体" w:cs="宋体"/>
                <w:sz w:val="24"/>
              </w:rPr>
            </w:pPr>
            <w:r>
              <w:rPr>
                <w:rFonts w:hint="eastAsia" w:ascii="宋体" w:hAnsi="宋体" w:cs="宋体"/>
                <w:sz w:val="24"/>
              </w:rPr>
              <w:t>洗碗槽（甲方无自动洗碗机）</w:t>
            </w:r>
          </w:p>
        </w:tc>
        <w:tc>
          <w:tcPr>
            <w:tcW w:w="2775" w:type="dxa"/>
            <w:tcBorders>
              <w:top w:val="single" w:color="auto" w:sz="4" w:space="0"/>
              <w:left w:val="nil"/>
              <w:bottom w:val="single" w:color="auto" w:sz="4" w:space="0"/>
              <w:right w:val="single" w:color="auto" w:sz="4" w:space="0"/>
            </w:tcBorders>
            <w:noWrap w:val="0"/>
            <w:vAlign w:val="center"/>
          </w:tcPr>
          <w:p w14:paraId="43A5977F">
            <w:pPr>
              <w:tabs>
                <w:tab w:val="left" w:pos="0"/>
              </w:tabs>
              <w:spacing w:line="360" w:lineRule="auto"/>
              <w:jc w:val="center"/>
              <w:rPr>
                <w:rFonts w:ascii="宋体" w:hAnsi="宋体" w:cs="宋体"/>
                <w:sz w:val="24"/>
              </w:rPr>
            </w:pPr>
            <w:r>
              <w:rPr>
                <w:rFonts w:hint="eastAsia" w:ascii="宋体" w:hAnsi="宋体" w:cs="宋体"/>
                <w:sz w:val="24"/>
              </w:rPr>
              <w:t>3个</w:t>
            </w:r>
          </w:p>
        </w:tc>
      </w:tr>
      <w:tr w14:paraId="2CC82B11">
        <w:tblPrEx>
          <w:tblCellMar>
            <w:top w:w="0" w:type="dxa"/>
            <w:left w:w="108" w:type="dxa"/>
            <w:bottom w:w="0" w:type="dxa"/>
            <w:right w:w="108" w:type="dxa"/>
          </w:tblCellMar>
        </w:tblPrEx>
        <w:trPr>
          <w:trHeight w:val="405"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05C2A278">
            <w:pPr>
              <w:tabs>
                <w:tab w:val="left" w:pos="0"/>
              </w:tabs>
              <w:spacing w:line="360" w:lineRule="auto"/>
              <w:jc w:val="center"/>
              <w:rPr>
                <w:rFonts w:ascii="宋体" w:hAnsi="宋体" w:cs="宋体"/>
                <w:sz w:val="24"/>
              </w:rPr>
            </w:pPr>
            <w:r>
              <w:rPr>
                <w:rFonts w:hint="eastAsia" w:ascii="宋体" w:hAnsi="宋体" w:cs="宋体"/>
                <w:sz w:val="24"/>
              </w:rPr>
              <w:t>8</w:t>
            </w:r>
          </w:p>
        </w:tc>
        <w:tc>
          <w:tcPr>
            <w:tcW w:w="4590" w:type="dxa"/>
            <w:tcBorders>
              <w:top w:val="single" w:color="auto" w:sz="4" w:space="0"/>
              <w:left w:val="nil"/>
              <w:bottom w:val="single" w:color="auto" w:sz="4" w:space="0"/>
              <w:right w:val="single" w:color="auto" w:sz="4" w:space="0"/>
            </w:tcBorders>
            <w:noWrap w:val="0"/>
            <w:vAlign w:val="center"/>
          </w:tcPr>
          <w:p w14:paraId="59D23230">
            <w:pPr>
              <w:tabs>
                <w:tab w:val="left" w:pos="0"/>
              </w:tabs>
              <w:spacing w:line="360" w:lineRule="auto"/>
              <w:jc w:val="center"/>
              <w:rPr>
                <w:rFonts w:ascii="宋体" w:hAnsi="宋体" w:cs="宋体"/>
                <w:sz w:val="24"/>
              </w:rPr>
            </w:pPr>
            <w:bookmarkStart w:id="65" w:name="_Toc482280313"/>
            <w:r>
              <w:rPr>
                <w:rFonts w:hint="eastAsia" w:ascii="宋体" w:hAnsi="宋体" w:cs="宋体"/>
                <w:sz w:val="24"/>
              </w:rPr>
              <w:t>桌子</w:t>
            </w:r>
            <w:bookmarkEnd w:id="65"/>
          </w:p>
        </w:tc>
        <w:tc>
          <w:tcPr>
            <w:tcW w:w="2775" w:type="dxa"/>
            <w:tcBorders>
              <w:top w:val="single" w:color="auto" w:sz="4" w:space="0"/>
              <w:left w:val="nil"/>
              <w:bottom w:val="single" w:color="auto" w:sz="4" w:space="0"/>
              <w:right w:val="single" w:color="auto" w:sz="4" w:space="0"/>
            </w:tcBorders>
            <w:noWrap w:val="0"/>
            <w:vAlign w:val="center"/>
          </w:tcPr>
          <w:p w14:paraId="6B6CCC13">
            <w:pPr>
              <w:tabs>
                <w:tab w:val="left" w:pos="0"/>
              </w:tabs>
              <w:spacing w:line="360" w:lineRule="auto"/>
              <w:jc w:val="center"/>
              <w:rPr>
                <w:rFonts w:ascii="宋体" w:hAnsi="宋体" w:cs="宋体"/>
                <w:sz w:val="24"/>
              </w:rPr>
            </w:pPr>
            <w:bookmarkStart w:id="66" w:name="_Toc482280314"/>
            <w:r>
              <w:rPr>
                <w:rFonts w:hint="eastAsia" w:ascii="宋体" w:hAnsi="宋体" w:cs="宋体"/>
                <w:sz w:val="24"/>
              </w:rPr>
              <w:t>26张（共104个座位）</w:t>
            </w:r>
            <w:bookmarkEnd w:id="66"/>
          </w:p>
        </w:tc>
      </w:tr>
      <w:tr w14:paraId="190BE875">
        <w:tblPrEx>
          <w:tblCellMar>
            <w:top w:w="0" w:type="dxa"/>
            <w:left w:w="108" w:type="dxa"/>
            <w:bottom w:w="0" w:type="dxa"/>
            <w:right w:w="108" w:type="dxa"/>
          </w:tblCellMar>
        </w:tblPrEx>
        <w:trPr>
          <w:trHeight w:val="405"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68CABEB4">
            <w:pPr>
              <w:tabs>
                <w:tab w:val="left" w:pos="0"/>
              </w:tabs>
              <w:spacing w:line="360" w:lineRule="auto"/>
              <w:jc w:val="center"/>
              <w:rPr>
                <w:rFonts w:ascii="宋体" w:hAnsi="宋体" w:cs="宋体"/>
                <w:sz w:val="24"/>
              </w:rPr>
            </w:pPr>
            <w:r>
              <w:rPr>
                <w:rFonts w:hint="eastAsia" w:ascii="宋体" w:hAnsi="宋体" w:cs="宋体"/>
                <w:sz w:val="24"/>
              </w:rPr>
              <w:t>9</w:t>
            </w:r>
          </w:p>
        </w:tc>
        <w:tc>
          <w:tcPr>
            <w:tcW w:w="4590" w:type="dxa"/>
            <w:tcBorders>
              <w:top w:val="single" w:color="auto" w:sz="4" w:space="0"/>
              <w:left w:val="nil"/>
              <w:bottom w:val="single" w:color="auto" w:sz="4" w:space="0"/>
              <w:right w:val="single" w:color="auto" w:sz="4" w:space="0"/>
            </w:tcBorders>
            <w:noWrap w:val="0"/>
            <w:vAlign w:val="center"/>
          </w:tcPr>
          <w:p w14:paraId="0E54277F">
            <w:pPr>
              <w:tabs>
                <w:tab w:val="left" w:pos="0"/>
              </w:tabs>
              <w:spacing w:line="360" w:lineRule="auto"/>
              <w:jc w:val="center"/>
              <w:rPr>
                <w:rFonts w:ascii="宋体" w:hAnsi="宋体" w:cs="宋体"/>
                <w:sz w:val="24"/>
              </w:rPr>
            </w:pPr>
            <w:bookmarkStart w:id="67" w:name="_Toc482280316"/>
            <w:r>
              <w:rPr>
                <w:rFonts w:hint="eastAsia" w:ascii="宋体" w:hAnsi="宋体" w:cs="宋体"/>
                <w:sz w:val="24"/>
              </w:rPr>
              <w:t>排烟系统</w:t>
            </w:r>
            <w:bookmarkEnd w:id="67"/>
          </w:p>
        </w:tc>
        <w:tc>
          <w:tcPr>
            <w:tcW w:w="2775" w:type="dxa"/>
            <w:tcBorders>
              <w:top w:val="single" w:color="auto" w:sz="4" w:space="0"/>
              <w:left w:val="nil"/>
              <w:bottom w:val="single" w:color="auto" w:sz="4" w:space="0"/>
              <w:right w:val="single" w:color="auto" w:sz="4" w:space="0"/>
            </w:tcBorders>
            <w:noWrap w:val="0"/>
            <w:vAlign w:val="center"/>
          </w:tcPr>
          <w:p w14:paraId="2D038F1D">
            <w:pPr>
              <w:tabs>
                <w:tab w:val="left" w:pos="0"/>
              </w:tabs>
              <w:spacing w:line="360" w:lineRule="auto"/>
              <w:jc w:val="center"/>
              <w:rPr>
                <w:rFonts w:ascii="宋体" w:hAnsi="宋体" w:cs="宋体"/>
                <w:sz w:val="24"/>
              </w:rPr>
            </w:pPr>
            <w:bookmarkStart w:id="68" w:name="_Toc482280317"/>
            <w:r>
              <w:rPr>
                <w:rFonts w:hint="eastAsia" w:ascii="宋体" w:hAnsi="宋体" w:cs="宋体"/>
                <w:sz w:val="24"/>
              </w:rPr>
              <w:t>一套</w:t>
            </w:r>
            <w:bookmarkEnd w:id="68"/>
          </w:p>
        </w:tc>
      </w:tr>
      <w:tr w14:paraId="58466499">
        <w:tblPrEx>
          <w:tblCellMar>
            <w:top w:w="0" w:type="dxa"/>
            <w:left w:w="108" w:type="dxa"/>
            <w:bottom w:w="0" w:type="dxa"/>
            <w:right w:w="108" w:type="dxa"/>
          </w:tblCellMar>
        </w:tblPrEx>
        <w:trPr>
          <w:trHeight w:val="413" w:hRule="atLeast"/>
        </w:trPr>
        <w:tc>
          <w:tcPr>
            <w:tcW w:w="1688" w:type="dxa"/>
            <w:tcBorders>
              <w:top w:val="single" w:color="auto" w:sz="4" w:space="0"/>
              <w:left w:val="single" w:color="auto" w:sz="4" w:space="0"/>
              <w:bottom w:val="single" w:color="auto" w:sz="4" w:space="0"/>
              <w:right w:val="single" w:color="auto" w:sz="4" w:space="0"/>
            </w:tcBorders>
            <w:noWrap w:val="0"/>
            <w:vAlign w:val="center"/>
          </w:tcPr>
          <w:p w14:paraId="192E7EEE">
            <w:pPr>
              <w:tabs>
                <w:tab w:val="left" w:pos="0"/>
              </w:tabs>
              <w:spacing w:line="360" w:lineRule="auto"/>
              <w:jc w:val="center"/>
              <w:rPr>
                <w:rFonts w:ascii="宋体" w:hAnsi="宋体" w:cs="宋体"/>
                <w:sz w:val="24"/>
              </w:rPr>
            </w:pPr>
            <w:r>
              <w:rPr>
                <w:rFonts w:hint="eastAsia" w:ascii="宋体" w:hAnsi="宋体" w:cs="宋体"/>
                <w:sz w:val="24"/>
              </w:rPr>
              <w:t>10</w:t>
            </w:r>
          </w:p>
        </w:tc>
        <w:tc>
          <w:tcPr>
            <w:tcW w:w="4590" w:type="dxa"/>
            <w:tcBorders>
              <w:top w:val="single" w:color="auto" w:sz="4" w:space="0"/>
              <w:left w:val="nil"/>
              <w:bottom w:val="single" w:color="auto" w:sz="4" w:space="0"/>
              <w:right w:val="single" w:color="auto" w:sz="4" w:space="0"/>
            </w:tcBorders>
            <w:noWrap w:val="0"/>
            <w:vAlign w:val="center"/>
          </w:tcPr>
          <w:p w14:paraId="07D59E21">
            <w:pPr>
              <w:tabs>
                <w:tab w:val="left" w:pos="0"/>
              </w:tabs>
              <w:spacing w:line="360" w:lineRule="auto"/>
              <w:jc w:val="center"/>
              <w:rPr>
                <w:rFonts w:ascii="宋体" w:hAnsi="宋体" w:cs="宋体"/>
                <w:sz w:val="24"/>
              </w:rPr>
            </w:pPr>
            <w:bookmarkStart w:id="69" w:name="_Toc482280319"/>
            <w:r>
              <w:rPr>
                <w:rFonts w:hint="eastAsia" w:ascii="宋体" w:hAnsi="宋体" w:cs="宋体"/>
                <w:sz w:val="24"/>
              </w:rPr>
              <w:t>其它</w:t>
            </w:r>
            <w:bookmarkEnd w:id="69"/>
          </w:p>
        </w:tc>
        <w:tc>
          <w:tcPr>
            <w:tcW w:w="2775" w:type="dxa"/>
            <w:tcBorders>
              <w:top w:val="single" w:color="auto" w:sz="4" w:space="0"/>
              <w:left w:val="nil"/>
              <w:bottom w:val="single" w:color="auto" w:sz="4" w:space="0"/>
              <w:right w:val="single" w:color="auto" w:sz="4" w:space="0"/>
            </w:tcBorders>
            <w:noWrap w:val="0"/>
            <w:vAlign w:val="center"/>
          </w:tcPr>
          <w:p w14:paraId="5637D79E">
            <w:pPr>
              <w:tabs>
                <w:tab w:val="left" w:pos="0"/>
              </w:tabs>
              <w:spacing w:line="360" w:lineRule="auto"/>
              <w:jc w:val="center"/>
              <w:rPr>
                <w:rFonts w:ascii="宋体" w:hAnsi="宋体" w:cs="宋体"/>
                <w:sz w:val="24"/>
              </w:rPr>
            </w:pPr>
            <w:bookmarkStart w:id="70" w:name="_Toc482280320"/>
            <w:r>
              <w:rPr>
                <w:rFonts w:hint="eastAsia" w:ascii="宋体" w:hAnsi="宋体" w:cs="宋体"/>
                <w:sz w:val="24"/>
              </w:rPr>
              <w:t>若干</w:t>
            </w:r>
            <w:bookmarkEnd w:id="70"/>
          </w:p>
        </w:tc>
      </w:tr>
    </w:tbl>
    <w:p w14:paraId="4E392752">
      <w:pPr>
        <w:tabs>
          <w:tab w:val="left" w:pos="0"/>
        </w:tabs>
        <w:spacing w:line="360" w:lineRule="auto"/>
        <w:ind w:firstLine="480"/>
        <w:rPr>
          <w:rFonts w:ascii="宋体" w:hAnsi="宋体" w:cs="宋体"/>
          <w:sz w:val="24"/>
        </w:rPr>
      </w:pPr>
      <w:bookmarkStart w:id="71" w:name="_Toc482280321"/>
      <w:r>
        <w:rPr>
          <w:rFonts w:hint="eastAsia" w:ascii="宋体" w:hAnsi="宋体" w:cs="宋体"/>
          <w:sz w:val="24"/>
        </w:rPr>
        <w:t>注：上述甲供设备清单为主要设备清单，详细的设备及数量投标供应商可现场踏勘自行统计。在项目实施前，中标供应商须详细统计设备清单</w:t>
      </w:r>
      <w:r>
        <w:rPr>
          <w:rFonts w:hint="eastAsia" w:cs="宋体"/>
          <w:sz w:val="24"/>
          <w:lang w:eastAsia="zh-CN"/>
        </w:rPr>
        <w:t>交予</w:t>
      </w:r>
      <w:r>
        <w:rPr>
          <w:rFonts w:hint="eastAsia" w:ascii="宋体" w:hAnsi="宋体" w:cs="宋体"/>
          <w:sz w:val="24"/>
        </w:rPr>
        <w:t>采购人确认签收。在承包期间内，如发现甲供设备由投标供应商人为损坏的，投标供应商应照价赔偿或及时更换；如非投标供应商人为损坏的，投标供应商应及时上报采购人，以便甲方及时更换。</w:t>
      </w:r>
      <w:bookmarkEnd w:id="71"/>
    </w:p>
    <w:p w14:paraId="4F0365C9">
      <w:pPr>
        <w:tabs>
          <w:tab w:val="left" w:pos="0"/>
        </w:tabs>
        <w:spacing w:line="360" w:lineRule="auto"/>
        <w:ind w:firstLine="480"/>
        <w:rPr>
          <w:rFonts w:ascii="宋体" w:hAnsi="宋体" w:cs="宋体"/>
          <w:sz w:val="24"/>
        </w:rPr>
      </w:pPr>
      <w:bookmarkStart w:id="72" w:name="_Toc482280322"/>
      <w:r>
        <w:rPr>
          <w:rFonts w:hint="eastAsia" w:ascii="宋体" w:hAnsi="宋体" w:cs="宋体"/>
          <w:sz w:val="24"/>
        </w:rPr>
        <w:t>四、项目管理要求</w:t>
      </w:r>
      <w:bookmarkEnd w:id="72"/>
    </w:p>
    <w:p w14:paraId="1A83BFF7">
      <w:pPr>
        <w:tabs>
          <w:tab w:val="left" w:pos="0"/>
        </w:tabs>
        <w:spacing w:line="360" w:lineRule="auto"/>
        <w:ind w:firstLine="480"/>
        <w:rPr>
          <w:rFonts w:ascii="宋体" w:hAnsi="宋体" w:cs="宋体"/>
          <w:sz w:val="24"/>
        </w:rPr>
      </w:pPr>
      <w:bookmarkStart w:id="73" w:name="_Toc482280323"/>
      <w:r>
        <w:rPr>
          <w:rFonts w:hint="eastAsia" w:ascii="宋体" w:hAnsi="宋体" w:cs="宋体"/>
          <w:sz w:val="24"/>
        </w:rPr>
        <w:t>中标供应商必须按照劳动合同法的规定合法规范用工，并全面承担服务人员涉及劳动关系的所有事宜。</w:t>
      </w:r>
      <w:bookmarkEnd w:id="73"/>
    </w:p>
    <w:p w14:paraId="3BD9E1B4">
      <w:pPr>
        <w:tabs>
          <w:tab w:val="left" w:pos="0"/>
        </w:tabs>
        <w:spacing w:line="360" w:lineRule="auto"/>
        <w:ind w:firstLine="480"/>
        <w:rPr>
          <w:rFonts w:ascii="宋体" w:hAnsi="宋体" w:cs="宋体"/>
          <w:sz w:val="24"/>
        </w:rPr>
      </w:pPr>
      <w:bookmarkStart w:id="74" w:name="_Toc482280324"/>
      <w:r>
        <w:rPr>
          <w:rFonts w:hint="eastAsia" w:ascii="宋体" w:hAnsi="宋体" w:cs="宋体"/>
          <w:sz w:val="24"/>
        </w:rPr>
        <w:t>中标供应商应了解服务人员的思想动态、工作表现、遵纪守法情况以及采购人</w:t>
      </w:r>
      <w:r>
        <w:rPr>
          <w:rFonts w:hint="eastAsia" w:cs="宋体"/>
          <w:sz w:val="24"/>
          <w:lang w:eastAsia="zh-CN"/>
        </w:rPr>
        <w:t>其他</w:t>
      </w:r>
      <w:r>
        <w:rPr>
          <w:rFonts w:hint="eastAsia" w:ascii="宋体" w:hAnsi="宋体" w:cs="宋体"/>
          <w:sz w:val="24"/>
        </w:rPr>
        <w:t>合理要求，提供最佳服务。</w:t>
      </w:r>
      <w:bookmarkEnd w:id="74"/>
    </w:p>
    <w:p w14:paraId="69F643B4">
      <w:pPr>
        <w:tabs>
          <w:tab w:val="left" w:pos="0"/>
        </w:tabs>
        <w:spacing w:line="360" w:lineRule="auto"/>
        <w:ind w:firstLine="480"/>
        <w:rPr>
          <w:rFonts w:ascii="宋体" w:hAnsi="宋体" w:cs="宋体"/>
          <w:sz w:val="24"/>
        </w:rPr>
      </w:pPr>
      <w:bookmarkStart w:id="75" w:name="_Toc482280325"/>
      <w:r>
        <w:rPr>
          <w:rFonts w:hint="eastAsia" w:ascii="宋体" w:hAnsi="宋体" w:cs="宋体"/>
          <w:sz w:val="24"/>
        </w:rPr>
        <w:t>根据采购人的服务要求设定工作岗位，分配工作任务，并对服务人员的工作情况实行监督、检查、考核管理。</w:t>
      </w:r>
      <w:bookmarkEnd w:id="75"/>
    </w:p>
    <w:p w14:paraId="784BDC24">
      <w:pPr>
        <w:tabs>
          <w:tab w:val="left" w:pos="0"/>
        </w:tabs>
        <w:spacing w:line="360" w:lineRule="auto"/>
        <w:ind w:firstLine="480"/>
        <w:rPr>
          <w:rFonts w:ascii="宋体" w:hAnsi="宋体" w:cs="宋体"/>
          <w:sz w:val="24"/>
        </w:rPr>
      </w:pPr>
      <w:bookmarkStart w:id="76" w:name="_Toc482280326"/>
      <w:r>
        <w:rPr>
          <w:rFonts w:hint="eastAsia" w:ascii="宋体" w:hAnsi="宋体" w:cs="宋体"/>
          <w:sz w:val="24"/>
        </w:rPr>
        <w:t>中标供应商服务人员应遵守采购供应商的规章制度、</w:t>
      </w:r>
      <w:bookmarkEnd w:id="76"/>
    </w:p>
    <w:p w14:paraId="65EDD77D">
      <w:pPr>
        <w:tabs>
          <w:tab w:val="left" w:pos="0"/>
        </w:tabs>
        <w:spacing w:line="360" w:lineRule="auto"/>
        <w:ind w:firstLine="480"/>
        <w:rPr>
          <w:rFonts w:ascii="宋体" w:hAnsi="宋体" w:cs="宋体"/>
          <w:sz w:val="24"/>
        </w:rPr>
      </w:pPr>
      <w:bookmarkStart w:id="77" w:name="_Toc482280327"/>
      <w:r>
        <w:rPr>
          <w:rFonts w:hint="eastAsia" w:ascii="宋体" w:hAnsi="宋体" w:cs="宋体"/>
          <w:sz w:val="24"/>
        </w:rPr>
        <w:t>服务人员应相对稳定，主要管理岗位人员如需调动需提前</w:t>
      </w:r>
      <w:r>
        <w:rPr>
          <w:rFonts w:hint="eastAsia" w:cs="宋体"/>
          <w:sz w:val="24"/>
          <w:lang w:eastAsia="zh-CN"/>
        </w:rPr>
        <w:t>征求</w:t>
      </w:r>
      <w:r>
        <w:rPr>
          <w:rFonts w:hint="eastAsia" w:ascii="宋体" w:hAnsi="宋体" w:cs="宋体"/>
          <w:sz w:val="24"/>
        </w:rPr>
        <w:t>采购人意见。</w:t>
      </w:r>
      <w:bookmarkEnd w:id="77"/>
    </w:p>
    <w:p w14:paraId="179C55FF">
      <w:pPr>
        <w:tabs>
          <w:tab w:val="left" w:pos="0"/>
        </w:tabs>
        <w:spacing w:line="360" w:lineRule="auto"/>
        <w:ind w:firstLine="480"/>
        <w:rPr>
          <w:rFonts w:ascii="宋体" w:hAnsi="宋体" w:cs="宋体"/>
          <w:sz w:val="24"/>
        </w:rPr>
      </w:pPr>
      <w:bookmarkStart w:id="78" w:name="_Toc482280328"/>
      <w:r>
        <w:rPr>
          <w:rFonts w:hint="eastAsia" w:ascii="宋体" w:hAnsi="宋体" w:cs="宋体"/>
          <w:sz w:val="24"/>
        </w:rPr>
        <w:t>根据市场监督</w:t>
      </w:r>
      <w:r>
        <w:rPr>
          <w:rFonts w:hint="eastAsia" w:cs="宋体"/>
          <w:sz w:val="24"/>
          <w:lang w:val="en-US" w:eastAsia="zh-CN"/>
        </w:rPr>
        <w:t>管理</w:t>
      </w:r>
      <w:r>
        <w:rPr>
          <w:rFonts w:hint="eastAsia" w:ascii="宋体" w:hAnsi="宋体" w:cs="宋体"/>
          <w:sz w:val="24"/>
        </w:rPr>
        <w:t>局的要求，建立健全相关食堂规章制度、岗位责任制、操作章程和各项台账。</w:t>
      </w:r>
      <w:bookmarkEnd w:id="78"/>
    </w:p>
    <w:p w14:paraId="7761DEFF">
      <w:pPr>
        <w:tabs>
          <w:tab w:val="left" w:pos="0"/>
        </w:tabs>
        <w:spacing w:line="360" w:lineRule="auto"/>
        <w:ind w:firstLine="480"/>
        <w:rPr>
          <w:rFonts w:ascii="宋体" w:hAnsi="宋体" w:cs="宋体"/>
          <w:sz w:val="24"/>
        </w:rPr>
      </w:pPr>
      <w:bookmarkStart w:id="79" w:name="_Toc482280329"/>
      <w:r>
        <w:rPr>
          <w:rFonts w:hint="eastAsia" w:ascii="宋体" w:hAnsi="宋体" w:cs="宋体"/>
          <w:sz w:val="24"/>
        </w:rPr>
        <w:t>中标供应商须自行配备员工的劳保用品、统一工作制服。</w:t>
      </w:r>
      <w:bookmarkEnd w:id="79"/>
    </w:p>
    <w:p w14:paraId="50AD5D25">
      <w:pPr>
        <w:tabs>
          <w:tab w:val="left" w:pos="0"/>
        </w:tabs>
        <w:spacing w:line="360" w:lineRule="auto"/>
        <w:ind w:firstLine="480"/>
        <w:rPr>
          <w:rFonts w:ascii="宋体" w:hAnsi="宋体" w:cs="宋体"/>
          <w:sz w:val="24"/>
        </w:rPr>
      </w:pPr>
      <w:bookmarkStart w:id="80" w:name="_Toc482280330"/>
      <w:r>
        <w:rPr>
          <w:rFonts w:hint="eastAsia" w:ascii="宋体" w:hAnsi="宋体" w:cs="宋体"/>
          <w:sz w:val="24"/>
        </w:rPr>
        <w:t>五、卫生管理要求</w:t>
      </w:r>
      <w:bookmarkEnd w:id="80"/>
    </w:p>
    <w:p w14:paraId="4C053EE5">
      <w:pPr>
        <w:tabs>
          <w:tab w:val="left" w:pos="0"/>
        </w:tabs>
        <w:spacing w:line="360" w:lineRule="auto"/>
        <w:ind w:firstLine="480"/>
        <w:rPr>
          <w:rFonts w:ascii="宋体" w:hAnsi="宋体" w:cs="宋体"/>
          <w:sz w:val="24"/>
        </w:rPr>
      </w:pPr>
      <w:bookmarkStart w:id="81" w:name="_Toc482280331"/>
      <w:r>
        <w:rPr>
          <w:rFonts w:hint="eastAsia" w:ascii="宋体" w:hAnsi="宋体" w:cs="宋体"/>
          <w:sz w:val="24"/>
        </w:rPr>
        <w:t>严格按照《中华人民共和国食品安全法》验收、清洗、加工要求制作食品，厨房用具实行一洗二过三消毒的过程，给用餐员工免费提供消毒卫生餐具。</w:t>
      </w:r>
      <w:bookmarkEnd w:id="81"/>
    </w:p>
    <w:p w14:paraId="44ECF727">
      <w:pPr>
        <w:tabs>
          <w:tab w:val="left" w:pos="0"/>
        </w:tabs>
        <w:spacing w:line="360" w:lineRule="auto"/>
        <w:ind w:firstLine="480"/>
        <w:rPr>
          <w:rFonts w:ascii="宋体" w:hAnsi="宋体" w:cs="宋体"/>
          <w:sz w:val="24"/>
        </w:rPr>
      </w:pPr>
      <w:bookmarkStart w:id="82" w:name="_Toc482280332"/>
      <w:r>
        <w:rPr>
          <w:rFonts w:hint="eastAsia" w:ascii="宋体" w:hAnsi="宋体" w:cs="宋体"/>
          <w:sz w:val="24"/>
        </w:rPr>
        <w:t>对食堂的厨房、餐厅等所有区域的卫生应执行《五常法》（即常整理、常整顿、常清扫、常清洁、常自律）管理模式，实行分层负责、定量、定位、定进出、定标识、责任到人。</w:t>
      </w:r>
      <w:bookmarkEnd w:id="82"/>
    </w:p>
    <w:p w14:paraId="4E4409CC">
      <w:pPr>
        <w:tabs>
          <w:tab w:val="left" w:pos="0"/>
        </w:tabs>
        <w:spacing w:line="360" w:lineRule="auto"/>
        <w:ind w:firstLine="480"/>
        <w:rPr>
          <w:rFonts w:ascii="宋体" w:hAnsi="宋体" w:cs="宋体"/>
          <w:sz w:val="24"/>
        </w:rPr>
      </w:pPr>
      <w:bookmarkStart w:id="83" w:name="_Toc482280333"/>
      <w:r>
        <w:rPr>
          <w:rFonts w:hint="eastAsia" w:ascii="宋体" w:hAnsi="宋体" w:cs="宋体"/>
          <w:sz w:val="24"/>
        </w:rPr>
        <w:t>自觉接受卫生管理部门和采购人管理人员对食堂内工作检查、监督。</w:t>
      </w:r>
      <w:bookmarkEnd w:id="83"/>
    </w:p>
    <w:p w14:paraId="229E424B">
      <w:pPr>
        <w:tabs>
          <w:tab w:val="left" w:pos="0"/>
        </w:tabs>
        <w:spacing w:line="360" w:lineRule="auto"/>
        <w:ind w:firstLine="480"/>
        <w:rPr>
          <w:rFonts w:ascii="宋体" w:hAnsi="宋体" w:cs="宋体"/>
          <w:sz w:val="24"/>
        </w:rPr>
      </w:pPr>
      <w:bookmarkStart w:id="84" w:name="_Toc482280334"/>
      <w:r>
        <w:rPr>
          <w:rFonts w:hint="eastAsia" w:ascii="宋体" w:hAnsi="宋体" w:cs="宋体"/>
          <w:sz w:val="24"/>
        </w:rPr>
        <w:t>垃圾污物应按指定位置放置，不得随意弃放。</w:t>
      </w:r>
      <w:bookmarkEnd w:id="84"/>
    </w:p>
    <w:p w14:paraId="687E5E2C">
      <w:pPr>
        <w:tabs>
          <w:tab w:val="left" w:pos="0"/>
        </w:tabs>
        <w:spacing w:line="360" w:lineRule="auto"/>
        <w:ind w:firstLine="480"/>
        <w:rPr>
          <w:rFonts w:ascii="宋体" w:hAnsi="宋体" w:cs="宋体"/>
          <w:sz w:val="24"/>
        </w:rPr>
      </w:pPr>
      <w:bookmarkStart w:id="85" w:name="_Toc482280335"/>
      <w:r>
        <w:rPr>
          <w:rFonts w:hint="eastAsia" w:ascii="宋体" w:hAnsi="宋体" w:cs="宋体"/>
          <w:sz w:val="24"/>
        </w:rPr>
        <w:t>做好食物区域内病虫害工作（蟑螂、老鼠、苍蝇、蚂蚁等）。</w:t>
      </w:r>
      <w:bookmarkEnd w:id="85"/>
    </w:p>
    <w:p w14:paraId="542870DF">
      <w:pPr>
        <w:tabs>
          <w:tab w:val="left" w:pos="0"/>
        </w:tabs>
        <w:spacing w:line="360" w:lineRule="auto"/>
        <w:ind w:firstLine="480"/>
        <w:rPr>
          <w:rFonts w:ascii="宋体" w:hAnsi="宋体" w:cs="宋体"/>
          <w:sz w:val="24"/>
        </w:rPr>
      </w:pPr>
      <w:bookmarkStart w:id="86" w:name="_Toc482280336"/>
      <w:r>
        <w:rPr>
          <w:rFonts w:hint="eastAsia" w:ascii="宋体" w:hAnsi="宋体" w:cs="宋体"/>
          <w:sz w:val="24"/>
        </w:rPr>
        <w:t>做好烟道除垢、地沟油污清理工作等。</w:t>
      </w:r>
      <w:bookmarkEnd w:id="86"/>
    </w:p>
    <w:p w14:paraId="2512C443">
      <w:pPr>
        <w:tabs>
          <w:tab w:val="left" w:pos="0"/>
        </w:tabs>
        <w:spacing w:line="360" w:lineRule="auto"/>
        <w:ind w:firstLine="480"/>
        <w:rPr>
          <w:rFonts w:ascii="宋体" w:hAnsi="宋体" w:cs="宋体"/>
          <w:sz w:val="24"/>
        </w:rPr>
      </w:pPr>
      <w:bookmarkStart w:id="87" w:name="_Toc482280337"/>
      <w:r>
        <w:rPr>
          <w:rFonts w:hint="eastAsia" w:ascii="宋体" w:hAnsi="宋体" w:cs="宋体"/>
          <w:sz w:val="24"/>
        </w:rPr>
        <w:t>为了达到环保的要求，尽可能减少一次性用品的使用。</w:t>
      </w:r>
      <w:bookmarkEnd w:id="87"/>
    </w:p>
    <w:p w14:paraId="4DB27CA0">
      <w:pPr>
        <w:tabs>
          <w:tab w:val="left" w:pos="0"/>
        </w:tabs>
        <w:spacing w:line="360" w:lineRule="auto"/>
        <w:ind w:firstLine="480"/>
        <w:rPr>
          <w:rFonts w:ascii="宋体" w:hAnsi="宋体" w:cs="宋体"/>
          <w:sz w:val="24"/>
        </w:rPr>
      </w:pPr>
      <w:bookmarkStart w:id="88" w:name="_Toc482280338"/>
      <w:r>
        <w:rPr>
          <w:rFonts w:hint="eastAsia" w:ascii="宋体" w:hAnsi="宋体" w:cs="宋体"/>
          <w:sz w:val="24"/>
        </w:rPr>
        <w:t>六、安全管理要求</w:t>
      </w:r>
      <w:bookmarkEnd w:id="88"/>
    </w:p>
    <w:p w14:paraId="49CBE676">
      <w:pPr>
        <w:tabs>
          <w:tab w:val="left" w:pos="0"/>
        </w:tabs>
        <w:spacing w:line="360" w:lineRule="auto"/>
        <w:ind w:firstLine="480"/>
        <w:rPr>
          <w:rFonts w:ascii="宋体" w:hAnsi="宋体" w:cs="宋体"/>
          <w:sz w:val="24"/>
        </w:rPr>
      </w:pPr>
      <w:bookmarkStart w:id="89" w:name="_Toc482280339"/>
      <w:r>
        <w:rPr>
          <w:rFonts w:hint="eastAsia" w:ascii="宋体" w:hAnsi="宋体" w:cs="宋体"/>
          <w:sz w:val="24"/>
        </w:rPr>
        <w:t>严禁使用任何变质或受污染的原料制作食品，防止食物中毒事件发生。</w:t>
      </w:r>
      <w:bookmarkEnd w:id="89"/>
    </w:p>
    <w:p w14:paraId="2FF6F015">
      <w:pPr>
        <w:tabs>
          <w:tab w:val="left" w:pos="0"/>
        </w:tabs>
        <w:spacing w:line="360" w:lineRule="auto"/>
        <w:ind w:firstLine="480"/>
        <w:rPr>
          <w:rFonts w:ascii="宋体" w:hAnsi="宋体" w:cs="宋体"/>
          <w:sz w:val="24"/>
        </w:rPr>
      </w:pPr>
      <w:bookmarkStart w:id="90" w:name="_Toc482280340"/>
      <w:r>
        <w:rPr>
          <w:rFonts w:hint="eastAsia" w:ascii="宋体" w:hAnsi="宋体" w:cs="宋体"/>
          <w:sz w:val="24"/>
        </w:rPr>
        <w:t>严格禁止使用食品添加剂，注重食品卫生，防止食物中毒事件发生。</w:t>
      </w:r>
      <w:bookmarkEnd w:id="90"/>
    </w:p>
    <w:p w14:paraId="2D2849AD">
      <w:pPr>
        <w:tabs>
          <w:tab w:val="left" w:pos="0"/>
        </w:tabs>
        <w:spacing w:line="360" w:lineRule="auto"/>
        <w:ind w:firstLine="480"/>
        <w:rPr>
          <w:rFonts w:ascii="宋体" w:hAnsi="宋体" w:cs="宋体"/>
          <w:sz w:val="24"/>
        </w:rPr>
      </w:pPr>
      <w:bookmarkStart w:id="91" w:name="_Toc482280341"/>
      <w:r>
        <w:rPr>
          <w:rFonts w:hint="eastAsia" w:ascii="宋体" w:hAnsi="宋体" w:cs="宋体"/>
          <w:sz w:val="24"/>
        </w:rPr>
        <w:t>严格执行索证制度、食品留样和农药测试制度，预防食物中毒事件发生。</w:t>
      </w:r>
      <w:bookmarkEnd w:id="91"/>
    </w:p>
    <w:p w14:paraId="2FE9E493">
      <w:pPr>
        <w:tabs>
          <w:tab w:val="left" w:pos="0"/>
        </w:tabs>
        <w:spacing w:line="360" w:lineRule="auto"/>
        <w:ind w:firstLine="480"/>
        <w:rPr>
          <w:rFonts w:ascii="宋体" w:hAnsi="宋体" w:cs="宋体"/>
          <w:sz w:val="24"/>
        </w:rPr>
      </w:pPr>
      <w:bookmarkStart w:id="92" w:name="_Toc482280342"/>
      <w:r>
        <w:rPr>
          <w:rFonts w:hint="eastAsia" w:ascii="宋体" w:hAnsi="宋体" w:cs="宋体"/>
          <w:sz w:val="24"/>
        </w:rPr>
        <w:t>七、节能管理要求</w:t>
      </w:r>
      <w:bookmarkEnd w:id="92"/>
    </w:p>
    <w:p w14:paraId="71340998">
      <w:pPr>
        <w:tabs>
          <w:tab w:val="left" w:pos="0"/>
        </w:tabs>
        <w:spacing w:line="360" w:lineRule="auto"/>
        <w:ind w:firstLine="480"/>
        <w:rPr>
          <w:rFonts w:ascii="宋体" w:hAnsi="宋体" w:cs="宋体"/>
          <w:sz w:val="24"/>
        </w:rPr>
      </w:pPr>
      <w:bookmarkStart w:id="93" w:name="_Toc482280343"/>
      <w:r>
        <w:rPr>
          <w:rFonts w:hint="eastAsia" w:ascii="宋体" w:hAnsi="宋体" w:cs="宋体"/>
          <w:sz w:val="24"/>
        </w:rPr>
        <w:t>（1）餐厅在准备早餐、中餐、晚餐期间严禁开空调和大灯，开餐前15分钟开启空调、开餐前5分钟开灯，如光线良好则一律不准开灯，就餐完毕后10分钟之内关闭所有空调电灯，气温在22℃-30℃空调开50%，节约能源。</w:t>
      </w:r>
      <w:bookmarkEnd w:id="93"/>
    </w:p>
    <w:p w14:paraId="7543E58B">
      <w:pPr>
        <w:widowControl/>
        <w:adjustRightInd/>
        <w:jc w:val="left"/>
        <w:rPr>
          <w:rFonts w:cs="仿宋_GB2312" w:asciiTheme="minorEastAsia" w:hAnsiTheme="minorEastAsia" w:eastAsiaTheme="minorEastAsia"/>
          <w:b/>
          <w:color w:val="auto"/>
          <w:sz w:val="36"/>
          <w:szCs w:val="36"/>
        </w:rPr>
      </w:pPr>
      <w:r>
        <w:rPr>
          <w:rFonts w:hint="eastAsia" w:ascii="宋体" w:hAnsi="宋体" w:cs="宋体"/>
          <w:sz w:val="24"/>
        </w:rPr>
        <w:t>（2）做到厨房在光线良好情况下不开灯，原料和餐具清洗完毕后立即关闭水源。</w:t>
      </w:r>
      <w:r>
        <w:rPr>
          <w:rFonts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94"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0"/>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53"/>
        <w:gridCol w:w="5147"/>
        <w:gridCol w:w="875"/>
        <w:gridCol w:w="1038"/>
        <w:gridCol w:w="1463"/>
      </w:tblGrid>
      <w:tr w14:paraId="095C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021A733D">
            <w:pPr>
              <w:pStyle w:val="393"/>
              <w:spacing w:before="0"/>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053DCDA1">
            <w:pPr>
              <w:pStyle w:val="393"/>
              <w:spacing w:before="0"/>
              <w:ind w:firstLine="0" w:firstLineChars="0"/>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评审标准</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19344E55">
            <w:pPr>
              <w:pStyle w:val="393"/>
              <w:spacing w:before="0"/>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评审细则</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78FBA5B">
            <w:pPr>
              <w:pStyle w:val="393"/>
              <w:spacing w:before="0" w:line="240" w:lineRule="auto"/>
              <w:ind w:firstLine="0" w:firstLineChars="0"/>
              <w:jc w:val="center"/>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z w:val="24"/>
                <w:szCs w:val="24"/>
                <w:highlight w:val="none"/>
              </w:rPr>
              <w:t>权重</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1E458C28">
            <w:pPr>
              <w:pStyle w:val="393"/>
              <w:spacing w:before="0" w:line="240" w:lineRule="auto"/>
              <w:ind w:firstLine="0" w:firstLineChars="0"/>
              <w:jc w:val="center"/>
              <w:rPr>
                <w:rFonts w:hint="eastAsia" w:ascii="宋体" w:hAnsi="宋体" w:eastAsia="宋体" w:cs="宋体"/>
                <w:bCs/>
                <w:snapToGrid/>
                <w:kern w:val="2"/>
                <w:sz w:val="24"/>
                <w:szCs w:val="24"/>
                <w:highlight w:val="none"/>
                <w:lang w:val="en-US" w:eastAsia="zh-CN" w:bidi="ar-SA"/>
              </w:rPr>
            </w:pPr>
            <w:r>
              <w:rPr>
                <w:rFonts w:hint="eastAsia" w:ascii="宋体" w:hAnsi="宋体" w:eastAsia="宋体" w:cs="宋体"/>
                <w:bCs/>
                <w:sz w:val="24"/>
                <w:szCs w:val="24"/>
                <w:highlight w:val="none"/>
              </w:rPr>
              <w:t>主观分/客观分属性</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37025401">
            <w:pPr>
              <w:pStyle w:val="393"/>
              <w:spacing w:before="0" w:line="24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磋商文件中评审标准相应的商务技术资料目录</w:t>
            </w:r>
            <w:r>
              <w:rPr>
                <w:rFonts w:hint="eastAsia" w:ascii="宋体" w:hAnsi="宋体" w:eastAsia="宋体" w:cs="宋体"/>
                <w:sz w:val="24"/>
                <w:szCs w:val="24"/>
                <w:highlight w:val="none"/>
                <w:shd w:val="clear" w:color="auto" w:fill="FFFFFF"/>
              </w:rPr>
              <w:t> *</w:t>
            </w:r>
          </w:p>
        </w:tc>
      </w:tr>
      <w:tr w14:paraId="1EF1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24E07FD7">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70F82FEF">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业绩</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47E36E9E">
            <w:pPr>
              <w:pStyle w:val="393"/>
              <w:spacing w:before="0"/>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投标人自20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年1月1日以来（以合同签订时间为准）具有同类项目的每个得0.5分，最高得1分。提供合同复印件加盖公章。</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39E6071B">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222622A1">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客观分</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64736830">
            <w:pPr>
              <w:pStyle w:val="393"/>
              <w:spacing w:before="0"/>
              <w:ind w:firstLine="0" w:firstLineChars="0"/>
              <w:jc w:val="center"/>
              <w:rPr>
                <w:rFonts w:hint="eastAsia" w:ascii="宋体" w:hAnsi="宋体" w:eastAsia="宋体" w:cs="宋体"/>
                <w:kern w:val="0"/>
                <w:sz w:val="24"/>
                <w:szCs w:val="24"/>
              </w:rPr>
            </w:pPr>
          </w:p>
        </w:tc>
      </w:tr>
      <w:tr w14:paraId="3432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2" w:type="dxa"/>
            <w:vMerge w:val="restart"/>
            <w:tcBorders>
              <w:top w:val="single" w:color="auto" w:sz="4" w:space="0"/>
              <w:left w:val="single" w:color="auto" w:sz="4" w:space="0"/>
              <w:right w:val="single" w:color="auto" w:sz="4" w:space="0"/>
            </w:tcBorders>
            <w:noWrap w:val="0"/>
            <w:vAlign w:val="center"/>
          </w:tcPr>
          <w:p w14:paraId="1557AC0F">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53" w:type="dxa"/>
            <w:vMerge w:val="restart"/>
            <w:tcBorders>
              <w:top w:val="single" w:color="auto" w:sz="4" w:space="0"/>
              <w:left w:val="single" w:color="auto" w:sz="4" w:space="0"/>
              <w:right w:val="single" w:color="auto" w:sz="4" w:space="0"/>
            </w:tcBorders>
            <w:noWrap w:val="0"/>
            <w:vAlign w:val="center"/>
          </w:tcPr>
          <w:p w14:paraId="1373FF76">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对本项目总体要求的理解</w:t>
            </w:r>
          </w:p>
        </w:tc>
        <w:tc>
          <w:tcPr>
            <w:tcW w:w="5147" w:type="dxa"/>
            <w:tcBorders>
              <w:top w:val="single" w:color="auto" w:sz="4" w:space="0"/>
              <w:left w:val="single" w:color="auto" w:sz="4" w:space="0"/>
              <w:right w:val="single" w:color="auto" w:sz="4" w:space="0"/>
            </w:tcBorders>
            <w:noWrap w:val="0"/>
            <w:vAlign w:val="center"/>
          </w:tcPr>
          <w:p w14:paraId="09DE8ABA">
            <w:pPr>
              <w:pStyle w:val="393"/>
              <w:spacing w:before="0"/>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供应商根据招标文件要求并结合采购人需求，项目的总体需求可靠性理解完整、全面、透彻得5分，一般得3分，差得1分。</w:t>
            </w:r>
          </w:p>
        </w:tc>
        <w:tc>
          <w:tcPr>
            <w:tcW w:w="875" w:type="dxa"/>
            <w:tcBorders>
              <w:top w:val="single" w:color="auto" w:sz="4" w:space="0"/>
              <w:left w:val="single" w:color="auto" w:sz="4" w:space="0"/>
              <w:right w:val="single" w:color="auto" w:sz="4" w:space="0"/>
            </w:tcBorders>
            <w:noWrap w:val="0"/>
            <w:vAlign w:val="center"/>
          </w:tcPr>
          <w:p w14:paraId="63707A01">
            <w:pPr>
              <w:pStyle w:val="393"/>
              <w:spacing w:before="0"/>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1038" w:type="dxa"/>
            <w:tcBorders>
              <w:top w:val="single" w:color="auto" w:sz="4" w:space="0"/>
              <w:left w:val="single" w:color="auto" w:sz="4" w:space="0"/>
              <w:right w:val="single" w:color="auto" w:sz="4" w:space="0"/>
            </w:tcBorders>
            <w:noWrap w:val="0"/>
            <w:vAlign w:val="center"/>
          </w:tcPr>
          <w:p w14:paraId="0113A2BE">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主观分</w:t>
            </w:r>
          </w:p>
        </w:tc>
        <w:tc>
          <w:tcPr>
            <w:tcW w:w="1463" w:type="dxa"/>
            <w:tcBorders>
              <w:top w:val="single" w:color="auto" w:sz="4" w:space="0"/>
              <w:left w:val="single" w:color="auto" w:sz="4" w:space="0"/>
              <w:right w:val="single" w:color="auto" w:sz="4" w:space="0"/>
            </w:tcBorders>
            <w:noWrap w:val="0"/>
            <w:vAlign w:val="center"/>
          </w:tcPr>
          <w:p w14:paraId="7FAA05D2">
            <w:pPr>
              <w:pStyle w:val="393"/>
              <w:spacing w:before="0"/>
              <w:ind w:firstLine="0" w:firstLineChars="0"/>
              <w:jc w:val="left"/>
              <w:rPr>
                <w:rFonts w:hint="eastAsia" w:ascii="宋体" w:hAnsi="宋体" w:eastAsia="宋体" w:cs="宋体"/>
                <w:kern w:val="0"/>
                <w:sz w:val="24"/>
                <w:szCs w:val="24"/>
              </w:rPr>
            </w:pPr>
          </w:p>
        </w:tc>
      </w:tr>
      <w:tr w14:paraId="1E86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2" w:type="dxa"/>
            <w:vMerge w:val="continue"/>
            <w:tcBorders>
              <w:left w:val="single" w:color="auto" w:sz="4" w:space="0"/>
              <w:right w:val="single" w:color="auto" w:sz="4" w:space="0"/>
            </w:tcBorders>
            <w:noWrap w:val="0"/>
            <w:vAlign w:val="center"/>
          </w:tcPr>
          <w:p w14:paraId="7571FEAF">
            <w:pPr>
              <w:pStyle w:val="393"/>
              <w:spacing w:before="0"/>
              <w:ind w:firstLine="0" w:firstLineChars="0"/>
              <w:jc w:val="center"/>
              <w:rPr>
                <w:rFonts w:hint="eastAsia" w:ascii="宋体" w:hAnsi="宋体" w:eastAsia="宋体" w:cs="宋体"/>
                <w:sz w:val="24"/>
                <w:szCs w:val="24"/>
              </w:rPr>
            </w:pPr>
          </w:p>
        </w:tc>
        <w:tc>
          <w:tcPr>
            <w:tcW w:w="853" w:type="dxa"/>
            <w:vMerge w:val="continue"/>
            <w:tcBorders>
              <w:left w:val="single" w:color="auto" w:sz="4" w:space="0"/>
              <w:right w:val="single" w:color="auto" w:sz="4" w:space="0"/>
            </w:tcBorders>
            <w:noWrap w:val="0"/>
            <w:vAlign w:val="center"/>
          </w:tcPr>
          <w:p w14:paraId="3BFC556B">
            <w:pPr>
              <w:pStyle w:val="393"/>
              <w:spacing w:before="0"/>
              <w:ind w:firstLine="0" w:firstLineChars="0"/>
              <w:jc w:val="center"/>
              <w:rPr>
                <w:rFonts w:hint="eastAsia" w:ascii="宋体" w:hAnsi="宋体" w:eastAsia="宋体" w:cs="宋体"/>
                <w:sz w:val="24"/>
                <w:szCs w:val="24"/>
              </w:rPr>
            </w:pPr>
          </w:p>
        </w:tc>
        <w:tc>
          <w:tcPr>
            <w:tcW w:w="5147" w:type="dxa"/>
            <w:tcBorders>
              <w:top w:val="single" w:color="auto" w:sz="4" w:space="0"/>
              <w:left w:val="single" w:color="auto" w:sz="4" w:space="0"/>
              <w:right w:val="single" w:color="auto" w:sz="4" w:space="0"/>
            </w:tcBorders>
            <w:noWrap w:val="0"/>
            <w:vAlign w:val="center"/>
          </w:tcPr>
          <w:p w14:paraId="5F7704F4">
            <w:pPr>
              <w:pStyle w:val="393"/>
              <w:spacing w:before="0"/>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供应商根据招标文件要求并结合采购人需求，项目的总体需求可用性理解完整、全面、透彻得5分，一般得3分，差得1分。</w:t>
            </w:r>
          </w:p>
        </w:tc>
        <w:tc>
          <w:tcPr>
            <w:tcW w:w="875" w:type="dxa"/>
            <w:tcBorders>
              <w:left w:val="single" w:color="auto" w:sz="4" w:space="0"/>
              <w:right w:val="single" w:color="auto" w:sz="4" w:space="0"/>
            </w:tcBorders>
            <w:noWrap w:val="0"/>
            <w:vAlign w:val="center"/>
          </w:tcPr>
          <w:p w14:paraId="355DD4A5">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038" w:type="dxa"/>
            <w:tcBorders>
              <w:left w:val="single" w:color="auto" w:sz="4" w:space="0"/>
              <w:right w:val="single" w:color="auto" w:sz="4" w:space="0"/>
            </w:tcBorders>
            <w:noWrap w:val="0"/>
            <w:vAlign w:val="center"/>
          </w:tcPr>
          <w:p w14:paraId="438C234E">
            <w:pPr>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left w:val="single" w:color="auto" w:sz="4" w:space="0"/>
              <w:right w:val="single" w:color="auto" w:sz="4" w:space="0"/>
            </w:tcBorders>
            <w:noWrap w:val="0"/>
            <w:vAlign w:val="center"/>
          </w:tcPr>
          <w:p w14:paraId="05996CF3">
            <w:pPr>
              <w:pStyle w:val="393"/>
              <w:spacing w:before="0"/>
              <w:ind w:firstLine="0" w:firstLineChars="0"/>
              <w:jc w:val="left"/>
              <w:rPr>
                <w:rFonts w:hint="eastAsia" w:ascii="宋体" w:hAnsi="宋体" w:eastAsia="宋体" w:cs="宋体"/>
                <w:kern w:val="0"/>
                <w:sz w:val="24"/>
                <w:szCs w:val="24"/>
              </w:rPr>
            </w:pPr>
          </w:p>
        </w:tc>
      </w:tr>
      <w:tr w14:paraId="503B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2" w:type="dxa"/>
            <w:vMerge w:val="continue"/>
            <w:tcBorders>
              <w:left w:val="single" w:color="auto" w:sz="4" w:space="0"/>
              <w:right w:val="single" w:color="auto" w:sz="4" w:space="0"/>
            </w:tcBorders>
            <w:noWrap w:val="0"/>
            <w:vAlign w:val="center"/>
          </w:tcPr>
          <w:p w14:paraId="0D4F7DA8">
            <w:pPr>
              <w:pStyle w:val="393"/>
              <w:spacing w:before="0"/>
              <w:ind w:firstLine="0" w:firstLineChars="0"/>
              <w:jc w:val="center"/>
              <w:rPr>
                <w:rFonts w:hint="eastAsia" w:ascii="宋体" w:hAnsi="宋体" w:eastAsia="宋体" w:cs="宋体"/>
                <w:kern w:val="0"/>
                <w:sz w:val="24"/>
                <w:szCs w:val="24"/>
              </w:rPr>
            </w:pPr>
          </w:p>
        </w:tc>
        <w:tc>
          <w:tcPr>
            <w:tcW w:w="853" w:type="dxa"/>
            <w:vMerge w:val="continue"/>
            <w:tcBorders>
              <w:left w:val="single" w:color="auto" w:sz="4" w:space="0"/>
              <w:right w:val="single" w:color="auto" w:sz="4" w:space="0"/>
            </w:tcBorders>
            <w:noWrap w:val="0"/>
            <w:vAlign w:val="center"/>
          </w:tcPr>
          <w:p w14:paraId="01946962">
            <w:pPr>
              <w:pStyle w:val="393"/>
              <w:spacing w:before="0"/>
              <w:ind w:firstLine="0" w:firstLineChars="0"/>
              <w:jc w:val="center"/>
              <w:rPr>
                <w:rFonts w:hint="eastAsia" w:ascii="宋体" w:hAnsi="宋体" w:eastAsia="宋体" w:cs="宋体"/>
                <w:kern w:val="0"/>
                <w:sz w:val="24"/>
                <w:szCs w:val="24"/>
              </w:rPr>
            </w:pPr>
          </w:p>
        </w:tc>
        <w:tc>
          <w:tcPr>
            <w:tcW w:w="5147" w:type="dxa"/>
            <w:tcBorders>
              <w:top w:val="single" w:color="auto" w:sz="4" w:space="0"/>
              <w:left w:val="single" w:color="auto" w:sz="4" w:space="0"/>
              <w:right w:val="single" w:color="auto" w:sz="4" w:space="0"/>
            </w:tcBorders>
            <w:noWrap w:val="0"/>
            <w:vAlign w:val="center"/>
          </w:tcPr>
          <w:p w14:paraId="1EFF991D">
            <w:pPr>
              <w:pStyle w:val="393"/>
              <w:spacing w:before="0"/>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供应商根据招标文件要求并结合采购人需求，项目的总体需求项目价值的理解完整、全面、透彻得5分，一般得3分，差得1分。</w:t>
            </w:r>
          </w:p>
        </w:tc>
        <w:tc>
          <w:tcPr>
            <w:tcW w:w="875" w:type="dxa"/>
            <w:tcBorders>
              <w:left w:val="single" w:color="auto" w:sz="4" w:space="0"/>
              <w:right w:val="single" w:color="auto" w:sz="4" w:space="0"/>
            </w:tcBorders>
            <w:noWrap w:val="0"/>
            <w:vAlign w:val="center"/>
          </w:tcPr>
          <w:p w14:paraId="6B836829">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038" w:type="dxa"/>
            <w:tcBorders>
              <w:left w:val="single" w:color="auto" w:sz="4" w:space="0"/>
              <w:right w:val="single" w:color="auto" w:sz="4" w:space="0"/>
            </w:tcBorders>
            <w:noWrap w:val="0"/>
            <w:vAlign w:val="center"/>
          </w:tcPr>
          <w:p w14:paraId="0F1510DC">
            <w:pPr>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left w:val="single" w:color="auto" w:sz="4" w:space="0"/>
              <w:right w:val="single" w:color="auto" w:sz="4" w:space="0"/>
            </w:tcBorders>
            <w:noWrap w:val="0"/>
            <w:vAlign w:val="center"/>
          </w:tcPr>
          <w:p w14:paraId="0F7049EA">
            <w:pPr>
              <w:pStyle w:val="393"/>
              <w:spacing w:before="0"/>
              <w:ind w:firstLine="0" w:firstLineChars="0"/>
              <w:jc w:val="left"/>
              <w:rPr>
                <w:rFonts w:hint="eastAsia" w:ascii="宋体" w:hAnsi="宋体" w:eastAsia="宋体" w:cs="宋体"/>
                <w:kern w:val="0"/>
                <w:sz w:val="24"/>
                <w:szCs w:val="24"/>
              </w:rPr>
            </w:pPr>
          </w:p>
        </w:tc>
      </w:tr>
      <w:tr w14:paraId="665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2" w:type="dxa"/>
            <w:vMerge w:val="restart"/>
            <w:tcBorders>
              <w:left w:val="single" w:color="auto" w:sz="4" w:space="0"/>
              <w:right w:val="single" w:color="auto" w:sz="4" w:space="0"/>
            </w:tcBorders>
            <w:noWrap w:val="0"/>
            <w:vAlign w:val="center"/>
          </w:tcPr>
          <w:p w14:paraId="7BCEB04F">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53" w:type="dxa"/>
            <w:vMerge w:val="restart"/>
            <w:tcBorders>
              <w:left w:val="single" w:color="auto" w:sz="4" w:space="0"/>
              <w:right w:val="single" w:color="auto" w:sz="4" w:space="0"/>
            </w:tcBorders>
            <w:noWrap w:val="0"/>
            <w:vAlign w:val="center"/>
          </w:tcPr>
          <w:p w14:paraId="070EE78A">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项目实施方案</w:t>
            </w:r>
          </w:p>
        </w:tc>
        <w:tc>
          <w:tcPr>
            <w:tcW w:w="5147" w:type="dxa"/>
            <w:tcBorders>
              <w:left w:val="single" w:color="auto" w:sz="4" w:space="0"/>
              <w:right w:val="single" w:color="auto" w:sz="4" w:space="0"/>
            </w:tcBorders>
            <w:noWrap w:val="0"/>
            <w:vAlign w:val="center"/>
          </w:tcPr>
          <w:p w14:paraId="0CB6B0DC">
            <w:pPr>
              <w:spacing w:line="360" w:lineRule="auto"/>
              <w:rPr>
                <w:rFonts w:hint="eastAsia" w:ascii="宋体" w:hAnsi="宋体" w:eastAsia="宋体" w:cs="宋体"/>
                <w:sz w:val="24"/>
                <w:szCs w:val="24"/>
              </w:rPr>
            </w:pPr>
            <w:r>
              <w:rPr>
                <w:rFonts w:hint="eastAsia" w:ascii="宋体" w:hAnsi="宋体" w:eastAsia="宋体" w:cs="宋体"/>
                <w:sz w:val="24"/>
                <w:szCs w:val="24"/>
              </w:rPr>
              <w:t>供应商针对本项目的项目实施方案进行评审：</w:t>
            </w:r>
          </w:p>
          <w:p w14:paraId="0C072998">
            <w:pPr>
              <w:spacing w:line="360" w:lineRule="auto"/>
              <w:rPr>
                <w:rFonts w:hint="eastAsia" w:ascii="宋体" w:hAnsi="宋体" w:eastAsia="宋体" w:cs="宋体"/>
                <w:sz w:val="24"/>
                <w:szCs w:val="24"/>
              </w:rPr>
            </w:pPr>
            <w:r>
              <w:rPr>
                <w:rFonts w:hint="eastAsia" w:ascii="宋体" w:hAnsi="宋体" w:eastAsia="宋体" w:cs="宋体"/>
                <w:sz w:val="24"/>
                <w:szCs w:val="24"/>
              </w:rPr>
              <w:t>方案详细得5分</w:t>
            </w:r>
            <w:r>
              <w:rPr>
                <w:rFonts w:hint="eastAsia" w:ascii="宋体" w:hAnsi="宋体" w:eastAsia="宋体" w:cs="宋体"/>
                <w:sz w:val="24"/>
                <w:szCs w:val="24"/>
                <w:lang w:eastAsia="zh-CN"/>
              </w:rPr>
              <w:t>；</w:t>
            </w:r>
            <w:r>
              <w:rPr>
                <w:rFonts w:hint="eastAsia" w:ascii="宋体" w:hAnsi="宋体" w:eastAsia="宋体" w:cs="宋体"/>
                <w:sz w:val="24"/>
                <w:szCs w:val="24"/>
              </w:rPr>
              <w:t>方案基本合理得3分，考虑较周全的得3分；方案合理性一般的得1分；未提供不得分。</w:t>
            </w:r>
          </w:p>
        </w:tc>
        <w:tc>
          <w:tcPr>
            <w:tcW w:w="875" w:type="dxa"/>
            <w:tcBorders>
              <w:left w:val="single" w:color="auto" w:sz="4" w:space="0"/>
              <w:right w:val="single" w:color="auto" w:sz="4" w:space="0"/>
            </w:tcBorders>
            <w:noWrap w:val="0"/>
            <w:vAlign w:val="center"/>
          </w:tcPr>
          <w:p w14:paraId="3E7E9C91">
            <w:pPr>
              <w:pStyle w:val="393"/>
              <w:spacing w:before="0"/>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1038" w:type="dxa"/>
            <w:tcBorders>
              <w:left w:val="single" w:color="auto" w:sz="4" w:space="0"/>
              <w:right w:val="single" w:color="auto" w:sz="4" w:space="0"/>
            </w:tcBorders>
            <w:noWrap w:val="0"/>
            <w:vAlign w:val="center"/>
          </w:tcPr>
          <w:p w14:paraId="093B02F5">
            <w:pPr>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left w:val="single" w:color="auto" w:sz="4" w:space="0"/>
              <w:right w:val="single" w:color="auto" w:sz="4" w:space="0"/>
            </w:tcBorders>
            <w:noWrap w:val="0"/>
            <w:vAlign w:val="center"/>
          </w:tcPr>
          <w:p w14:paraId="6D5D5B51">
            <w:pPr>
              <w:pStyle w:val="393"/>
              <w:spacing w:before="0"/>
              <w:ind w:firstLine="0" w:firstLineChars="0"/>
              <w:jc w:val="left"/>
              <w:rPr>
                <w:rFonts w:hint="eastAsia" w:ascii="宋体" w:hAnsi="宋体" w:eastAsia="宋体" w:cs="宋体"/>
                <w:kern w:val="0"/>
                <w:sz w:val="24"/>
                <w:szCs w:val="24"/>
              </w:rPr>
            </w:pPr>
          </w:p>
        </w:tc>
      </w:tr>
      <w:tr w14:paraId="29DC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2" w:type="dxa"/>
            <w:vMerge w:val="continue"/>
            <w:tcBorders>
              <w:left w:val="single" w:color="auto" w:sz="4" w:space="0"/>
              <w:right w:val="single" w:color="auto" w:sz="4" w:space="0"/>
            </w:tcBorders>
            <w:noWrap w:val="0"/>
            <w:vAlign w:val="center"/>
          </w:tcPr>
          <w:p w14:paraId="0B036968">
            <w:pPr>
              <w:spacing w:line="360" w:lineRule="auto"/>
              <w:jc w:val="center"/>
              <w:rPr>
                <w:rFonts w:hint="eastAsia" w:ascii="宋体" w:hAnsi="宋体" w:eastAsia="宋体" w:cs="宋体"/>
                <w:sz w:val="24"/>
                <w:szCs w:val="24"/>
              </w:rPr>
            </w:pPr>
          </w:p>
        </w:tc>
        <w:tc>
          <w:tcPr>
            <w:tcW w:w="853" w:type="dxa"/>
            <w:vMerge w:val="continue"/>
            <w:tcBorders>
              <w:left w:val="single" w:color="auto" w:sz="4" w:space="0"/>
              <w:right w:val="single" w:color="auto" w:sz="4" w:space="0"/>
            </w:tcBorders>
            <w:noWrap w:val="0"/>
            <w:vAlign w:val="center"/>
          </w:tcPr>
          <w:p w14:paraId="5DCDDF16">
            <w:pPr>
              <w:spacing w:line="360" w:lineRule="auto"/>
              <w:jc w:val="center"/>
              <w:rPr>
                <w:rFonts w:hint="eastAsia" w:ascii="宋体" w:hAnsi="宋体" w:eastAsia="宋体" w:cs="宋体"/>
                <w:sz w:val="24"/>
                <w:szCs w:val="24"/>
              </w:rPr>
            </w:pPr>
          </w:p>
        </w:tc>
        <w:tc>
          <w:tcPr>
            <w:tcW w:w="5147" w:type="dxa"/>
            <w:tcBorders>
              <w:left w:val="single" w:color="auto" w:sz="4" w:space="0"/>
              <w:right w:val="single" w:color="auto" w:sz="4" w:space="0"/>
            </w:tcBorders>
            <w:noWrap w:val="0"/>
            <w:vAlign w:val="center"/>
          </w:tcPr>
          <w:p w14:paraId="0657FF06">
            <w:pPr>
              <w:spacing w:line="360" w:lineRule="auto"/>
              <w:rPr>
                <w:rFonts w:hint="eastAsia" w:ascii="宋体" w:hAnsi="宋体" w:eastAsia="宋体" w:cs="宋体"/>
                <w:sz w:val="24"/>
                <w:szCs w:val="24"/>
              </w:rPr>
            </w:pPr>
            <w:r>
              <w:rPr>
                <w:rFonts w:hint="eastAsia" w:ascii="宋体" w:hAnsi="宋体" w:eastAsia="宋体" w:cs="宋体"/>
                <w:sz w:val="24"/>
                <w:szCs w:val="24"/>
              </w:rPr>
              <w:t>供应商针对本项目的项目实施方案进行评审：</w:t>
            </w:r>
          </w:p>
          <w:p w14:paraId="01297205">
            <w:pPr>
              <w:spacing w:line="360" w:lineRule="auto"/>
              <w:rPr>
                <w:rFonts w:hint="eastAsia" w:ascii="宋体" w:hAnsi="宋体" w:eastAsia="宋体" w:cs="宋体"/>
                <w:sz w:val="24"/>
                <w:szCs w:val="24"/>
              </w:rPr>
            </w:pPr>
            <w:r>
              <w:rPr>
                <w:rFonts w:hint="eastAsia" w:ascii="宋体" w:hAnsi="宋体" w:eastAsia="宋体" w:cs="宋体"/>
                <w:sz w:val="24"/>
                <w:szCs w:val="24"/>
              </w:rPr>
              <w:t>方案考虑周全的得5分；考虑较周全的得3分；方案考虑周全一般的得1分；未提供不得分。</w:t>
            </w:r>
          </w:p>
        </w:tc>
        <w:tc>
          <w:tcPr>
            <w:tcW w:w="875" w:type="dxa"/>
            <w:tcBorders>
              <w:left w:val="single" w:color="auto" w:sz="4" w:space="0"/>
              <w:right w:val="single" w:color="auto" w:sz="4" w:space="0"/>
            </w:tcBorders>
            <w:noWrap w:val="0"/>
            <w:vAlign w:val="center"/>
          </w:tcPr>
          <w:p w14:paraId="251218A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38" w:type="dxa"/>
            <w:tcBorders>
              <w:left w:val="single" w:color="auto" w:sz="4" w:space="0"/>
              <w:right w:val="single" w:color="auto" w:sz="4" w:space="0"/>
            </w:tcBorders>
            <w:noWrap w:val="0"/>
            <w:vAlign w:val="center"/>
          </w:tcPr>
          <w:p w14:paraId="70CB66A1">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主观分</w:t>
            </w:r>
          </w:p>
        </w:tc>
        <w:tc>
          <w:tcPr>
            <w:tcW w:w="1463" w:type="dxa"/>
            <w:tcBorders>
              <w:left w:val="single" w:color="auto" w:sz="4" w:space="0"/>
              <w:right w:val="single" w:color="auto" w:sz="4" w:space="0"/>
            </w:tcBorders>
            <w:noWrap w:val="0"/>
            <w:vAlign w:val="center"/>
          </w:tcPr>
          <w:p w14:paraId="1C16E6B5">
            <w:pPr>
              <w:spacing w:line="360" w:lineRule="auto"/>
              <w:rPr>
                <w:rFonts w:hint="eastAsia" w:ascii="宋体" w:hAnsi="宋体" w:eastAsia="宋体" w:cs="宋体"/>
                <w:sz w:val="24"/>
                <w:szCs w:val="24"/>
              </w:rPr>
            </w:pPr>
          </w:p>
        </w:tc>
      </w:tr>
      <w:tr w14:paraId="3642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2" w:type="dxa"/>
            <w:vMerge w:val="continue"/>
            <w:tcBorders>
              <w:left w:val="single" w:color="auto" w:sz="4" w:space="0"/>
              <w:right w:val="single" w:color="auto" w:sz="4" w:space="0"/>
            </w:tcBorders>
            <w:noWrap w:val="0"/>
            <w:vAlign w:val="center"/>
          </w:tcPr>
          <w:p w14:paraId="4B869616">
            <w:pPr>
              <w:spacing w:line="360" w:lineRule="auto"/>
              <w:jc w:val="center"/>
              <w:rPr>
                <w:rFonts w:hint="eastAsia" w:ascii="宋体" w:hAnsi="宋体" w:eastAsia="宋体" w:cs="宋体"/>
                <w:sz w:val="24"/>
                <w:szCs w:val="24"/>
              </w:rPr>
            </w:pPr>
          </w:p>
        </w:tc>
        <w:tc>
          <w:tcPr>
            <w:tcW w:w="853" w:type="dxa"/>
            <w:vMerge w:val="continue"/>
            <w:tcBorders>
              <w:left w:val="single" w:color="auto" w:sz="4" w:space="0"/>
              <w:right w:val="single" w:color="auto" w:sz="4" w:space="0"/>
            </w:tcBorders>
            <w:noWrap w:val="0"/>
            <w:vAlign w:val="center"/>
          </w:tcPr>
          <w:p w14:paraId="6FB75AEC">
            <w:pPr>
              <w:spacing w:line="360" w:lineRule="auto"/>
              <w:jc w:val="center"/>
              <w:rPr>
                <w:rFonts w:hint="eastAsia" w:ascii="宋体" w:hAnsi="宋体" w:eastAsia="宋体" w:cs="宋体"/>
                <w:sz w:val="24"/>
                <w:szCs w:val="24"/>
              </w:rPr>
            </w:pPr>
          </w:p>
        </w:tc>
        <w:tc>
          <w:tcPr>
            <w:tcW w:w="5147" w:type="dxa"/>
            <w:tcBorders>
              <w:left w:val="single" w:color="auto" w:sz="4" w:space="0"/>
              <w:right w:val="single" w:color="auto" w:sz="4" w:space="0"/>
            </w:tcBorders>
            <w:noWrap w:val="0"/>
            <w:vAlign w:val="center"/>
          </w:tcPr>
          <w:p w14:paraId="3D7845DE">
            <w:pPr>
              <w:spacing w:line="360" w:lineRule="auto"/>
              <w:rPr>
                <w:rFonts w:hint="eastAsia" w:ascii="宋体" w:hAnsi="宋体" w:eastAsia="宋体" w:cs="宋体"/>
                <w:sz w:val="24"/>
                <w:szCs w:val="24"/>
              </w:rPr>
            </w:pPr>
            <w:r>
              <w:rPr>
                <w:rFonts w:hint="eastAsia" w:ascii="宋体" w:hAnsi="宋体" w:eastAsia="宋体" w:cs="宋体"/>
                <w:sz w:val="24"/>
                <w:szCs w:val="24"/>
              </w:rPr>
              <w:t>供应商针对本项目的项目实施方案进行评审：</w:t>
            </w:r>
          </w:p>
          <w:p w14:paraId="27D3A500">
            <w:pPr>
              <w:spacing w:line="360" w:lineRule="auto"/>
              <w:rPr>
                <w:rFonts w:hint="eastAsia" w:ascii="宋体" w:hAnsi="宋体" w:eastAsia="宋体" w:cs="宋体"/>
                <w:sz w:val="24"/>
                <w:szCs w:val="24"/>
              </w:rPr>
            </w:pPr>
            <w:r>
              <w:rPr>
                <w:rFonts w:hint="eastAsia" w:ascii="宋体" w:hAnsi="宋体" w:eastAsia="宋体" w:cs="宋体"/>
                <w:sz w:val="24"/>
                <w:szCs w:val="24"/>
              </w:rPr>
              <w:t>方案可实施性强得5分；方案可实施性较高得3分；方案可实施性一般得1分；未提供不得分。</w:t>
            </w:r>
          </w:p>
        </w:tc>
        <w:tc>
          <w:tcPr>
            <w:tcW w:w="875" w:type="dxa"/>
            <w:tcBorders>
              <w:left w:val="single" w:color="auto" w:sz="4" w:space="0"/>
              <w:right w:val="single" w:color="auto" w:sz="4" w:space="0"/>
            </w:tcBorders>
            <w:noWrap w:val="0"/>
            <w:vAlign w:val="center"/>
          </w:tcPr>
          <w:p w14:paraId="739AD04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38" w:type="dxa"/>
            <w:tcBorders>
              <w:left w:val="single" w:color="auto" w:sz="4" w:space="0"/>
              <w:right w:val="single" w:color="auto" w:sz="4" w:space="0"/>
            </w:tcBorders>
            <w:noWrap w:val="0"/>
            <w:vAlign w:val="center"/>
          </w:tcPr>
          <w:p w14:paraId="038238EA">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主观分</w:t>
            </w:r>
          </w:p>
        </w:tc>
        <w:tc>
          <w:tcPr>
            <w:tcW w:w="1463" w:type="dxa"/>
            <w:tcBorders>
              <w:left w:val="single" w:color="auto" w:sz="4" w:space="0"/>
              <w:right w:val="single" w:color="auto" w:sz="4" w:space="0"/>
            </w:tcBorders>
            <w:noWrap w:val="0"/>
            <w:vAlign w:val="center"/>
          </w:tcPr>
          <w:p w14:paraId="71E98C7E">
            <w:pPr>
              <w:spacing w:line="360" w:lineRule="auto"/>
              <w:rPr>
                <w:rFonts w:hint="eastAsia" w:ascii="宋体" w:hAnsi="宋体" w:eastAsia="宋体" w:cs="宋体"/>
                <w:sz w:val="24"/>
                <w:szCs w:val="24"/>
              </w:rPr>
            </w:pPr>
          </w:p>
        </w:tc>
      </w:tr>
      <w:tr w14:paraId="4924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02" w:type="dxa"/>
            <w:tcBorders>
              <w:left w:val="single" w:color="auto" w:sz="4" w:space="0"/>
              <w:right w:val="single" w:color="auto" w:sz="4" w:space="0"/>
            </w:tcBorders>
            <w:noWrap w:val="0"/>
            <w:vAlign w:val="center"/>
          </w:tcPr>
          <w:p w14:paraId="78180899">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53" w:type="dxa"/>
            <w:tcBorders>
              <w:left w:val="single" w:color="auto" w:sz="4" w:space="0"/>
              <w:right w:val="single" w:color="auto" w:sz="4" w:space="0"/>
            </w:tcBorders>
            <w:noWrap w:val="0"/>
            <w:vAlign w:val="center"/>
          </w:tcPr>
          <w:p w14:paraId="4796F45E">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保障措施</w:t>
            </w:r>
          </w:p>
        </w:tc>
        <w:tc>
          <w:tcPr>
            <w:tcW w:w="5147" w:type="dxa"/>
            <w:tcBorders>
              <w:left w:val="single" w:color="auto" w:sz="4" w:space="0"/>
              <w:right w:val="single" w:color="auto" w:sz="4" w:space="0"/>
            </w:tcBorders>
            <w:noWrap w:val="0"/>
            <w:vAlign w:val="center"/>
          </w:tcPr>
          <w:p w14:paraId="52397687">
            <w:pPr>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根据供应商提供的保障方案及保证措施进行评审：</w:t>
            </w:r>
          </w:p>
          <w:p w14:paraId="2F70A9A6">
            <w:pPr>
              <w:spacing w:line="360" w:lineRule="auto"/>
              <w:rPr>
                <w:rFonts w:hint="eastAsia" w:ascii="宋体" w:hAnsi="宋体" w:eastAsia="宋体" w:cs="宋体"/>
                <w:sz w:val="24"/>
                <w:szCs w:val="24"/>
              </w:rPr>
            </w:pPr>
            <w:r>
              <w:rPr>
                <w:rFonts w:hint="eastAsia" w:ascii="宋体" w:hAnsi="宋体" w:eastAsia="宋体" w:cs="宋体"/>
                <w:sz w:val="24"/>
                <w:szCs w:val="24"/>
              </w:rPr>
              <w:t>方案完整详细，质量保证措施可行、有效的得5分；方案基本满足采购人需求的得3分；方案简单或质量保证措施可操作性不强的得1分；未提供以上方案的不得分。</w:t>
            </w:r>
          </w:p>
        </w:tc>
        <w:tc>
          <w:tcPr>
            <w:tcW w:w="875" w:type="dxa"/>
            <w:tcBorders>
              <w:left w:val="single" w:color="auto" w:sz="4" w:space="0"/>
              <w:right w:val="single" w:color="auto" w:sz="4" w:space="0"/>
            </w:tcBorders>
            <w:noWrap w:val="0"/>
            <w:vAlign w:val="center"/>
          </w:tcPr>
          <w:p w14:paraId="42EC0B2D">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038" w:type="dxa"/>
            <w:tcBorders>
              <w:left w:val="single" w:color="auto" w:sz="4" w:space="0"/>
              <w:right w:val="single" w:color="auto" w:sz="4" w:space="0"/>
            </w:tcBorders>
            <w:noWrap w:val="0"/>
            <w:vAlign w:val="center"/>
          </w:tcPr>
          <w:p w14:paraId="2CBB5996">
            <w:pPr>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left w:val="single" w:color="auto" w:sz="4" w:space="0"/>
              <w:right w:val="single" w:color="auto" w:sz="4" w:space="0"/>
            </w:tcBorders>
            <w:noWrap w:val="0"/>
            <w:vAlign w:val="center"/>
          </w:tcPr>
          <w:p w14:paraId="1B7DC610">
            <w:pPr>
              <w:pStyle w:val="393"/>
              <w:spacing w:before="0"/>
              <w:ind w:firstLine="0" w:firstLineChars="0"/>
              <w:jc w:val="center"/>
              <w:rPr>
                <w:rFonts w:hint="eastAsia" w:ascii="宋体" w:hAnsi="宋体" w:eastAsia="宋体" w:cs="宋体"/>
                <w:kern w:val="0"/>
                <w:sz w:val="24"/>
                <w:szCs w:val="24"/>
              </w:rPr>
            </w:pPr>
          </w:p>
        </w:tc>
      </w:tr>
      <w:tr w14:paraId="26FA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02" w:type="dxa"/>
            <w:tcBorders>
              <w:left w:val="single" w:color="auto" w:sz="4" w:space="0"/>
              <w:right w:val="single" w:color="auto" w:sz="4" w:space="0"/>
            </w:tcBorders>
            <w:noWrap w:val="0"/>
            <w:vAlign w:val="center"/>
          </w:tcPr>
          <w:p w14:paraId="1FECB5E2">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853" w:type="dxa"/>
            <w:tcBorders>
              <w:left w:val="single" w:color="auto" w:sz="4" w:space="0"/>
              <w:right w:val="single" w:color="auto" w:sz="4" w:space="0"/>
            </w:tcBorders>
            <w:noWrap w:val="0"/>
            <w:vAlign w:val="center"/>
          </w:tcPr>
          <w:p w14:paraId="4725C5C2">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应急措施</w:t>
            </w:r>
          </w:p>
        </w:tc>
        <w:tc>
          <w:tcPr>
            <w:tcW w:w="5147" w:type="dxa"/>
            <w:tcBorders>
              <w:left w:val="single" w:color="auto" w:sz="4" w:space="0"/>
              <w:right w:val="single" w:color="auto" w:sz="4" w:space="0"/>
            </w:tcBorders>
            <w:noWrap w:val="0"/>
            <w:vAlign w:val="center"/>
          </w:tcPr>
          <w:p w14:paraId="2F271CB6">
            <w:pPr>
              <w:spacing w:line="360" w:lineRule="auto"/>
              <w:rPr>
                <w:rFonts w:hint="eastAsia" w:ascii="宋体" w:hAnsi="宋体" w:eastAsia="宋体" w:cs="宋体"/>
                <w:sz w:val="24"/>
                <w:szCs w:val="24"/>
              </w:rPr>
            </w:pPr>
            <w:r>
              <w:rPr>
                <w:rFonts w:hint="eastAsia" w:ascii="宋体" w:hAnsi="宋体" w:eastAsia="宋体" w:cs="宋体"/>
                <w:sz w:val="24"/>
                <w:szCs w:val="24"/>
              </w:rPr>
              <w:t>根据可能出现各类突发事件的应急预案进行评审：</w:t>
            </w:r>
          </w:p>
          <w:p w14:paraId="42AC1253">
            <w:pPr>
              <w:spacing w:line="360" w:lineRule="auto"/>
              <w:rPr>
                <w:rFonts w:hint="eastAsia" w:ascii="宋体" w:hAnsi="宋体" w:eastAsia="宋体" w:cs="宋体"/>
                <w:sz w:val="24"/>
                <w:szCs w:val="24"/>
              </w:rPr>
            </w:pPr>
            <w:r>
              <w:rPr>
                <w:rFonts w:hint="eastAsia" w:ascii="宋体" w:hAnsi="宋体" w:eastAsia="宋体" w:cs="宋体"/>
                <w:sz w:val="24"/>
                <w:szCs w:val="24"/>
              </w:rPr>
              <w:t>应急预案完整、科学、合理、有针对性得5分；应急预案基本可行得3分；应急预案存在缺陷，不太能满足采购人需求的得1分；未提供应急预案的不得分。</w:t>
            </w:r>
          </w:p>
        </w:tc>
        <w:tc>
          <w:tcPr>
            <w:tcW w:w="875" w:type="dxa"/>
            <w:tcBorders>
              <w:left w:val="single" w:color="auto" w:sz="4" w:space="0"/>
              <w:right w:val="single" w:color="auto" w:sz="4" w:space="0"/>
            </w:tcBorders>
            <w:noWrap w:val="0"/>
            <w:vAlign w:val="center"/>
          </w:tcPr>
          <w:p w14:paraId="01ACD5D9">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038" w:type="dxa"/>
            <w:tcBorders>
              <w:left w:val="single" w:color="auto" w:sz="4" w:space="0"/>
              <w:right w:val="single" w:color="auto" w:sz="4" w:space="0"/>
            </w:tcBorders>
            <w:noWrap w:val="0"/>
            <w:vAlign w:val="center"/>
          </w:tcPr>
          <w:p w14:paraId="5E938630">
            <w:pPr>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left w:val="single" w:color="auto" w:sz="4" w:space="0"/>
              <w:right w:val="single" w:color="auto" w:sz="4" w:space="0"/>
            </w:tcBorders>
            <w:noWrap w:val="0"/>
            <w:vAlign w:val="center"/>
          </w:tcPr>
          <w:p w14:paraId="37249E15">
            <w:pPr>
              <w:pStyle w:val="393"/>
              <w:spacing w:before="0"/>
              <w:ind w:firstLine="0" w:firstLineChars="0"/>
              <w:jc w:val="left"/>
              <w:rPr>
                <w:rFonts w:hint="eastAsia" w:ascii="宋体" w:hAnsi="宋体" w:eastAsia="宋体" w:cs="宋体"/>
                <w:kern w:val="0"/>
                <w:sz w:val="24"/>
                <w:szCs w:val="24"/>
              </w:rPr>
            </w:pPr>
          </w:p>
        </w:tc>
      </w:tr>
      <w:tr w14:paraId="1211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tcBorders>
              <w:left w:val="single" w:color="auto" w:sz="4" w:space="0"/>
              <w:right w:val="single" w:color="auto" w:sz="4" w:space="0"/>
            </w:tcBorders>
            <w:noWrap w:val="0"/>
            <w:vAlign w:val="center"/>
          </w:tcPr>
          <w:p w14:paraId="6684EF1A">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0607C6EA">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进度计划</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4C3C4BB5">
            <w:pPr>
              <w:spacing w:line="360" w:lineRule="auto"/>
              <w:jc w:val="left"/>
              <w:rPr>
                <w:rFonts w:hint="eastAsia" w:ascii="宋体" w:hAnsi="宋体" w:eastAsia="宋体" w:cs="宋体"/>
                <w:sz w:val="24"/>
                <w:szCs w:val="24"/>
              </w:rPr>
            </w:pPr>
            <w:r>
              <w:rPr>
                <w:rFonts w:hint="eastAsia" w:ascii="宋体" w:hAnsi="宋体" w:eastAsia="宋体" w:cs="宋体"/>
                <w:sz w:val="24"/>
                <w:szCs w:val="24"/>
              </w:rPr>
              <w:t>根据进度计划安排进行评审：</w:t>
            </w:r>
          </w:p>
          <w:p w14:paraId="68EE06AB">
            <w:pPr>
              <w:spacing w:line="360" w:lineRule="auto"/>
              <w:jc w:val="left"/>
              <w:rPr>
                <w:rFonts w:hint="eastAsia" w:ascii="宋体" w:hAnsi="宋体" w:eastAsia="宋体" w:cs="宋体"/>
                <w:sz w:val="24"/>
                <w:szCs w:val="24"/>
              </w:rPr>
            </w:pPr>
            <w:r>
              <w:rPr>
                <w:rFonts w:hint="eastAsia" w:ascii="宋体" w:hAnsi="宋体" w:eastAsia="宋体" w:cs="宋体"/>
                <w:sz w:val="24"/>
                <w:szCs w:val="24"/>
              </w:rPr>
              <w:t>进度工作安排合理，保障措施到位、有效的得5分；</w:t>
            </w:r>
          </w:p>
          <w:p w14:paraId="0EFFA7CC">
            <w:pPr>
              <w:spacing w:line="360" w:lineRule="auto"/>
              <w:jc w:val="left"/>
              <w:rPr>
                <w:rFonts w:hint="eastAsia" w:ascii="宋体" w:hAnsi="宋体" w:eastAsia="宋体" w:cs="宋体"/>
                <w:sz w:val="24"/>
                <w:szCs w:val="24"/>
              </w:rPr>
            </w:pPr>
            <w:r>
              <w:rPr>
                <w:rFonts w:hint="eastAsia" w:ascii="宋体" w:hAnsi="宋体" w:eastAsia="宋体" w:cs="宋体"/>
                <w:sz w:val="24"/>
                <w:szCs w:val="24"/>
              </w:rPr>
              <w:t>进度计划安排基本合理，能够满足采购人需求的得3分；进度计划安排不够合理的得1分；未提供进度计划的不得分。</w:t>
            </w:r>
          </w:p>
        </w:tc>
        <w:tc>
          <w:tcPr>
            <w:tcW w:w="875" w:type="dxa"/>
            <w:tcBorders>
              <w:top w:val="single" w:color="auto" w:sz="4" w:space="0"/>
              <w:left w:val="single" w:color="auto" w:sz="4" w:space="0"/>
              <w:right w:val="single" w:color="auto" w:sz="4" w:space="0"/>
            </w:tcBorders>
            <w:noWrap w:val="0"/>
            <w:vAlign w:val="center"/>
          </w:tcPr>
          <w:p w14:paraId="72FFA3F6">
            <w:pPr>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p>
        </w:tc>
        <w:tc>
          <w:tcPr>
            <w:tcW w:w="1038" w:type="dxa"/>
            <w:tcBorders>
              <w:top w:val="single" w:color="auto" w:sz="4" w:space="0"/>
              <w:left w:val="single" w:color="auto" w:sz="4" w:space="0"/>
              <w:right w:val="single" w:color="auto" w:sz="4" w:space="0"/>
            </w:tcBorders>
            <w:noWrap w:val="0"/>
            <w:vAlign w:val="center"/>
          </w:tcPr>
          <w:p w14:paraId="4FCC2208">
            <w:pPr>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top w:val="single" w:color="auto" w:sz="4" w:space="0"/>
              <w:left w:val="single" w:color="auto" w:sz="4" w:space="0"/>
              <w:right w:val="single" w:color="auto" w:sz="4" w:space="0"/>
            </w:tcBorders>
            <w:noWrap w:val="0"/>
            <w:vAlign w:val="center"/>
          </w:tcPr>
          <w:p w14:paraId="2C86F14F">
            <w:pPr>
              <w:pStyle w:val="393"/>
              <w:spacing w:before="0"/>
              <w:ind w:firstLine="0" w:firstLineChars="0"/>
              <w:jc w:val="left"/>
              <w:rPr>
                <w:rFonts w:hint="eastAsia" w:ascii="宋体" w:hAnsi="宋体" w:eastAsia="宋体" w:cs="宋体"/>
                <w:kern w:val="0"/>
                <w:sz w:val="24"/>
                <w:szCs w:val="24"/>
              </w:rPr>
            </w:pPr>
          </w:p>
        </w:tc>
      </w:tr>
      <w:tr w14:paraId="4AEC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tcBorders>
              <w:left w:val="single" w:color="auto" w:sz="4" w:space="0"/>
              <w:right w:val="single" w:color="auto" w:sz="4" w:space="0"/>
            </w:tcBorders>
            <w:noWrap w:val="0"/>
            <w:vAlign w:val="center"/>
          </w:tcPr>
          <w:p w14:paraId="1BDF6493">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7E4DDB89">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管理制度</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6DA6EFF7">
            <w:pPr>
              <w:spacing w:line="360" w:lineRule="auto"/>
              <w:rPr>
                <w:rFonts w:hint="eastAsia" w:ascii="宋体" w:hAnsi="宋体" w:eastAsia="宋体" w:cs="宋体"/>
                <w:sz w:val="24"/>
                <w:szCs w:val="24"/>
              </w:rPr>
            </w:pPr>
            <w:r>
              <w:rPr>
                <w:rFonts w:hint="eastAsia" w:ascii="宋体" w:hAnsi="宋体" w:eastAsia="宋体" w:cs="宋体"/>
                <w:sz w:val="24"/>
                <w:szCs w:val="24"/>
              </w:rPr>
              <w:t>投标供应商内部管理考核制度、员工培训计划等完整、合理、科学的得5分；投标供应商内部管理考核制度、员工培训计划等基本完整、较合理、较科学的得3分；</w:t>
            </w:r>
          </w:p>
          <w:p w14:paraId="33C29F92">
            <w:pPr>
              <w:spacing w:line="360" w:lineRule="auto"/>
              <w:rPr>
                <w:rFonts w:hint="eastAsia" w:ascii="宋体" w:hAnsi="宋体" w:eastAsia="宋体" w:cs="宋体"/>
                <w:sz w:val="24"/>
                <w:szCs w:val="24"/>
              </w:rPr>
            </w:pPr>
            <w:r>
              <w:rPr>
                <w:rFonts w:hint="eastAsia" w:ascii="宋体" w:hAnsi="宋体" w:eastAsia="宋体" w:cs="宋体"/>
                <w:sz w:val="24"/>
                <w:szCs w:val="24"/>
              </w:rPr>
              <w:t>投标供应商内部管理考核制度、员工培训计划等欠完整、欠合理、欠科学的得1分；未提供内部管理考核制度、员工培训计划的不得分。</w:t>
            </w:r>
          </w:p>
        </w:tc>
        <w:tc>
          <w:tcPr>
            <w:tcW w:w="875" w:type="dxa"/>
            <w:tcBorders>
              <w:top w:val="single" w:color="auto" w:sz="4" w:space="0"/>
              <w:left w:val="single" w:color="auto" w:sz="4" w:space="0"/>
              <w:right w:val="single" w:color="auto" w:sz="4" w:space="0"/>
            </w:tcBorders>
            <w:noWrap w:val="0"/>
            <w:vAlign w:val="center"/>
          </w:tcPr>
          <w:p w14:paraId="4EB5970D">
            <w:pPr>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p>
        </w:tc>
        <w:tc>
          <w:tcPr>
            <w:tcW w:w="1038" w:type="dxa"/>
            <w:tcBorders>
              <w:top w:val="single" w:color="auto" w:sz="4" w:space="0"/>
              <w:left w:val="single" w:color="auto" w:sz="4" w:space="0"/>
              <w:right w:val="single" w:color="auto" w:sz="4" w:space="0"/>
            </w:tcBorders>
            <w:noWrap w:val="0"/>
            <w:vAlign w:val="center"/>
          </w:tcPr>
          <w:p w14:paraId="333FBEEE">
            <w:pPr>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top w:val="single" w:color="auto" w:sz="4" w:space="0"/>
              <w:left w:val="single" w:color="auto" w:sz="4" w:space="0"/>
              <w:right w:val="single" w:color="auto" w:sz="4" w:space="0"/>
            </w:tcBorders>
            <w:noWrap w:val="0"/>
            <w:vAlign w:val="center"/>
          </w:tcPr>
          <w:p w14:paraId="2AEFBCF0">
            <w:pPr>
              <w:pStyle w:val="393"/>
              <w:spacing w:before="0"/>
              <w:ind w:firstLine="0" w:firstLineChars="0"/>
              <w:jc w:val="left"/>
              <w:rPr>
                <w:rFonts w:hint="eastAsia" w:ascii="宋体" w:hAnsi="宋体" w:eastAsia="宋体" w:cs="宋体"/>
                <w:kern w:val="0"/>
                <w:sz w:val="24"/>
                <w:szCs w:val="24"/>
              </w:rPr>
            </w:pPr>
          </w:p>
        </w:tc>
      </w:tr>
      <w:tr w14:paraId="230B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restart"/>
            <w:tcBorders>
              <w:left w:val="single" w:color="auto" w:sz="4" w:space="0"/>
              <w:right w:val="single" w:color="auto" w:sz="4" w:space="0"/>
            </w:tcBorders>
            <w:noWrap w:val="0"/>
            <w:vAlign w:val="center"/>
          </w:tcPr>
          <w:p w14:paraId="3E0DCE53">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853" w:type="dxa"/>
            <w:vMerge w:val="restart"/>
            <w:tcBorders>
              <w:top w:val="single" w:color="auto" w:sz="4" w:space="0"/>
              <w:left w:val="single" w:color="auto" w:sz="4" w:space="0"/>
              <w:right w:val="single" w:color="auto" w:sz="4" w:space="0"/>
            </w:tcBorders>
            <w:noWrap w:val="0"/>
            <w:vAlign w:val="center"/>
          </w:tcPr>
          <w:p w14:paraId="716F00E2">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保证项目实施的人员团队实力和人力资源安排</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625E4058">
            <w:pPr>
              <w:spacing w:line="360" w:lineRule="auto"/>
              <w:rPr>
                <w:rFonts w:hint="eastAsia" w:ascii="宋体" w:hAnsi="宋体" w:eastAsia="宋体" w:cs="宋体"/>
                <w:sz w:val="24"/>
                <w:szCs w:val="24"/>
              </w:rPr>
            </w:pPr>
            <w:r>
              <w:rPr>
                <w:rFonts w:hint="eastAsia" w:ascii="宋体" w:hAnsi="宋体" w:eastAsia="宋体" w:cs="宋体"/>
                <w:sz w:val="24"/>
                <w:szCs w:val="24"/>
              </w:rPr>
              <w:t>评标委员会根据各供应商提供的人员团队实力进行打分，人员团队实力雄厚得5分，一般得3分，差得1分。</w:t>
            </w:r>
          </w:p>
        </w:tc>
        <w:tc>
          <w:tcPr>
            <w:tcW w:w="875" w:type="dxa"/>
            <w:tcBorders>
              <w:top w:val="single" w:color="auto" w:sz="4" w:space="0"/>
              <w:left w:val="single" w:color="auto" w:sz="4" w:space="0"/>
              <w:right w:val="single" w:color="auto" w:sz="4" w:space="0"/>
            </w:tcBorders>
            <w:noWrap w:val="0"/>
            <w:vAlign w:val="center"/>
          </w:tcPr>
          <w:p w14:paraId="108CF796">
            <w:pPr>
              <w:pStyle w:val="393"/>
              <w:spacing w:before="0"/>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1038" w:type="dxa"/>
            <w:tcBorders>
              <w:top w:val="single" w:color="auto" w:sz="4" w:space="0"/>
              <w:left w:val="single" w:color="auto" w:sz="4" w:space="0"/>
              <w:right w:val="single" w:color="auto" w:sz="4" w:space="0"/>
            </w:tcBorders>
            <w:noWrap w:val="0"/>
            <w:vAlign w:val="center"/>
          </w:tcPr>
          <w:p w14:paraId="481B448B">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top w:val="single" w:color="auto" w:sz="4" w:space="0"/>
              <w:left w:val="single" w:color="auto" w:sz="4" w:space="0"/>
              <w:right w:val="single" w:color="auto" w:sz="4" w:space="0"/>
            </w:tcBorders>
            <w:noWrap w:val="0"/>
            <w:vAlign w:val="center"/>
          </w:tcPr>
          <w:p w14:paraId="367DD236">
            <w:pPr>
              <w:pStyle w:val="393"/>
              <w:spacing w:before="0"/>
              <w:ind w:firstLine="0" w:firstLineChars="0"/>
              <w:jc w:val="center"/>
              <w:rPr>
                <w:rFonts w:hint="eastAsia" w:ascii="宋体" w:hAnsi="宋体" w:eastAsia="宋体" w:cs="宋体"/>
                <w:kern w:val="0"/>
                <w:sz w:val="24"/>
                <w:szCs w:val="24"/>
              </w:rPr>
            </w:pPr>
          </w:p>
        </w:tc>
      </w:tr>
      <w:tr w14:paraId="7435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02" w:type="dxa"/>
            <w:vMerge w:val="continue"/>
            <w:tcBorders>
              <w:left w:val="single" w:color="auto" w:sz="4" w:space="0"/>
              <w:right w:val="single" w:color="auto" w:sz="4" w:space="0"/>
            </w:tcBorders>
            <w:noWrap w:val="0"/>
            <w:vAlign w:val="center"/>
          </w:tcPr>
          <w:p w14:paraId="41A8CB13">
            <w:pPr>
              <w:spacing w:line="360" w:lineRule="auto"/>
              <w:jc w:val="center"/>
              <w:rPr>
                <w:rFonts w:hint="eastAsia" w:ascii="宋体" w:hAnsi="宋体" w:eastAsia="宋体" w:cs="宋体"/>
                <w:sz w:val="24"/>
                <w:szCs w:val="24"/>
              </w:rPr>
            </w:pPr>
          </w:p>
        </w:tc>
        <w:tc>
          <w:tcPr>
            <w:tcW w:w="853" w:type="dxa"/>
            <w:vMerge w:val="continue"/>
            <w:tcBorders>
              <w:left w:val="single" w:color="auto" w:sz="4" w:space="0"/>
              <w:right w:val="single" w:color="auto" w:sz="4" w:space="0"/>
            </w:tcBorders>
            <w:noWrap w:val="0"/>
            <w:vAlign w:val="center"/>
          </w:tcPr>
          <w:p w14:paraId="421408BC">
            <w:pPr>
              <w:spacing w:line="360" w:lineRule="auto"/>
              <w:jc w:val="center"/>
              <w:rPr>
                <w:rFonts w:hint="eastAsia" w:ascii="宋体" w:hAnsi="宋体" w:eastAsia="宋体" w:cs="宋体"/>
                <w:sz w:val="24"/>
                <w:szCs w:val="24"/>
              </w:rPr>
            </w:pPr>
          </w:p>
        </w:tc>
        <w:tc>
          <w:tcPr>
            <w:tcW w:w="5147" w:type="dxa"/>
            <w:tcBorders>
              <w:top w:val="single" w:color="auto" w:sz="4" w:space="0"/>
              <w:left w:val="single" w:color="auto" w:sz="4" w:space="0"/>
              <w:bottom w:val="single" w:color="auto" w:sz="4" w:space="0"/>
              <w:right w:val="single" w:color="auto" w:sz="4" w:space="0"/>
            </w:tcBorders>
            <w:noWrap w:val="0"/>
            <w:vAlign w:val="center"/>
          </w:tcPr>
          <w:p w14:paraId="479B5C51">
            <w:pPr>
              <w:spacing w:line="360" w:lineRule="auto"/>
              <w:rPr>
                <w:rFonts w:hint="eastAsia" w:ascii="宋体" w:hAnsi="宋体" w:eastAsia="宋体" w:cs="宋体"/>
                <w:sz w:val="24"/>
                <w:szCs w:val="24"/>
              </w:rPr>
            </w:pPr>
            <w:r>
              <w:rPr>
                <w:rFonts w:hint="eastAsia" w:ascii="宋体" w:hAnsi="宋体" w:eastAsia="宋体" w:cs="宋体"/>
                <w:sz w:val="24"/>
                <w:szCs w:val="24"/>
              </w:rPr>
              <w:t>评标委员会根据各供应商提供的人员团队实力进行打分，人员分工明确完整得5分，一般得3分，差得1分。</w:t>
            </w:r>
          </w:p>
        </w:tc>
        <w:tc>
          <w:tcPr>
            <w:tcW w:w="875" w:type="dxa"/>
            <w:tcBorders>
              <w:left w:val="single" w:color="auto" w:sz="4" w:space="0"/>
              <w:right w:val="single" w:color="auto" w:sz="4" w:space="0"/>
            </w:tcBorders>
            <w:noWrap w:val="0"/>
            <w:vAlign w:val="center"/>
          </w:tcPr>
          <w:p w14:paraId="08D71905">
            <w:pPr>
              <w:pStyle w:val="393"/>
              <w:spacing w:before="0"/>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5</w:t>
            </w:r>
          </w:p>
        </w:tc>
        <w:tc>
          <w:tcPr>
            <w:tcW w:w="1038" w:type="dxa"/>
            <w:tcBorders>
              <w:left w:val="single" w:color="auto" w:sz="4" w:space="0"/>
              <w:right w:val="single" w:color="auto" w:sz="4" w:space="0"/>
            </w:tcBorders>
            <w:noWrap w:val="0"/>
            <w:vAlign w:val="center"/>
          </w:tcPr>
          <w:p w14:paraId="0B15924A">
            <w:pPr>
              <w:pStyle w:val="393"/>
              <w:spacing w:before="0"/>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主观分</w:t>
            </w:r>
          </w:p>
        </w:tc>
        <w:tc>
          <w:tcPr>
            <w:tcW w:w="1463" w:type="dxa"/>
            <w:tcBorders>
              <w:left w:val="single" w:color="auto" w:sz="4" w:space="0"/>
              <w:right w:val="single" w:color="auto" w:sz="4" w:space="0"/>
            </w:tcBorders>
            <w:noWrap w:val="0"/>
            <w:vAlign w:val="center"/>
          </w:tcPr>
          <w:p w14:paraId="35765546">
            <w:pPr>
              <w:spacing w:line="360" w:lineRule="auto"/>
              <w:rPr>
                <w:rFonts w:hint="eastAsia" w:ascii="宋体" w:hAnsi="宋体" w:eastAsia="宋体" w:cs="宋体"/>
                <w:sz w:val="24"/>
                <w:szCs w:val="24"/>
              </w:rPr>
            </w:pPr>
          </w:p>
        </w:tc>
      </w:tr>
      <w:tr w14:paraId="47A2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02" w:type="dxa"/>
            <w:vMerge w:val="continue"/>
            <w:tcBorders>
              <w:left w:val="single" w:color="auto" w:sz="4" w:space="0"/>
              <w:right w:val="single" w:color="auto" w:sz="4" w:space="0"/>
            </w:tcBorders>
            <w:noWrap w:val="0"/>
            <w:vAlign w:val="center"/>
          </w:tcPr>
          <w:p w14:paraId="53EC0C02">
            <w:pPr>
              <w:spacing w:line="360" w:lineRule="auto"/>
              <w:jc w:val="center"/>
              <w:rPr>
                <w:rFonts w:hint="eastAsia" w:ascii="宋体" w:hAnsi="宋体" w:eastAsia="宋体" w:cs="宋体"/>
                <w:sz w:val="24"/>
                <w:szCs w:val="24"/>
              </w:rPr>
            </w:pPr>
          </w:p>
        </w:tc>
        <w:tc>
          <w:tcPr>
            <w:tcW w:w="853" w:type="dxa"/>
            <w:vMerge w:val="continue"/>
            <w:tcBorders>
              <w:left w:val="single" w:color="auto" w:sz="4" w:space="0"/>
              <w:right w:val="single" w:color="auto" w:sz="4" w:space="0"/>
            </w:tcBorders>
            <w:noWrap w:val="0"/>
            <w:vAlign w:val="center"/>
          </w:tcPr>
          <w:p w14:paraId="7D526B6B">
            <w:pPr>
              <w:spacing w:line="360" w:lineRule="auto"/>
              <w:jc w:val="center"/>
              <w:rPr>
                <w:rFonts w:hint="eastAsia" w:ascii="宋体" w:hAnsi="宋体" w:eastAsia="宋体" w:cs="宋体"/>
                <w:sz w:val="24"/>
                <w:szCs w:val="24"/>
              </w:rPr>
            </w:pPr>
          </w:p>
        </w:tc>
        <w:tc>
          <w:tcPr>
            <w:tcW w:w="5147" w:type="dxa"/>
            <w:tcBorders>
              <w:top w:val="single" w:color="auto" w:sz="4" w:space="0"/>
              <w:left w:val="single" w:color="auto" w:sz="4" w:space="0"/>
              <w:bottom w:val="single" w:color="auto" w:sz="4" w:space="0"/>
              <w:right w:val="single" w:color="auto" w:sz="4" w:space="0"/>
            </w:tcBorders>
            <w:noWrap w:val="0"/>
            <w:vAlign w:val="center"/>
          </w:tcPr>
          <w:p w14:paraId="1AC32605">
            <w:pPr>
              <w:spacing w:line="360" w:lineRule="auto"/>
              <w:rPr>
                <w:rFonts w:hint="eastAsia" w:ascii="宋体" w:hAnsi="宋体" w:eastAsia="宋体" w:cs="宋体"/>
                <w:sz w:val="24"/>
                <w:szCs w:val="24"/>
              </w:rPr>
            </w:pPr>
            <w:r>
              <w:rPr>
                <w:rFonts w:hint="eastAsia" w:ascii="宋体" w:hAnsi="宋体" w:eastAsia="宋体" w:cs="宋体"/>
                <w:sz w:val="24"/>
                <w:szCs w:val="24"/>
              </w:rPr>
              <w:t>评标委员会根据各供应商提供的人员团队实力进行打分，项目组工作人员经验丰富得5分，一般得3分，差得1分。</w:t>
            </w:r>
          </w:p>
        </w:tc>
        <w:tc>
          <w:tcPr>
            <w:tcW w:w="875" w:type="dxa"/>
            <w:tcBorders>
              <w:left w:val="single" w:color="auto" w:sz="4" w:space="0"/>
              <w:right w:val="single" w:color="auto" w:sz="4" w:space="0"/>
            </w:tcBorders>
            <w:noWrap w:val="0"/>
            <w:vAlign w:val="center"/>
          </w:tcPr>
          <w:p w14:paraId="12CE1C48">
            <w:pPr>
              <w:pStyle w:val="393"/>
              <w:spacing w:before="0"/>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5</w:t>
            </w:r>
          </w:p>
        </w:tc>
        <w:tc>
          <w:tcPr>
            <w:tcW w:w="1038" w:type="dxa"/>
            <w:tcBorders>
              <w:left w:val="single" w:color="auto" w:sz="4" w:space="0"/>
              <w:right w:val="single" w:color="auto" w:sz="4" w:space="0"/>
            </w:tcBorders>
            <w:noWrap w:val="0"/>
            <w:vAlign w:val="center"/>
          </w:tcPr>
          <w:p w14:paraId="32093198">
            <w:pPr>
              <w:pStyle w:val="393"/>
              <w:spacing w:before="0"/>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主观分</w:t>
            </w:r>
          </w:p>
        </w:tc>
        <w:tc>
          <w:tcPr>
            <w:tcW w:w="1463" w:type="dxa"/>
            <w:tcBorders>
              <w:left w:val="single" w:color="auto" w:sz="4" w:space="0"/>
              <w:right w:val="single" w:color="auto" w:sz="4" w:space="0"/>
            </w:tcBorders>
            <w:noWrap w:val="0"/>
            <w:vAlign w:val="center"/>
          </w:tcPr>
          <w:p w14:paraId="09A58DEC">
            <w:pPr>
              <w:spacing w:line="360" w:lineRule="auto"/>
              <w:rPr>
                <w:rFonts w:hint="eastAsia" w:ascii="宋体" w:hAnsi="宋体" w:eastAsia="宋体" w:cs="宋体"/>
                <w:sz w:val="24"/>
                <w:szCs w:val="24"/>
              </w:rPr>
            </w:pPr>
          </w:p>
        </w:tc>
      </w:tr>
      <w:tr w14:paraId="7C1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02" w:type="dxa"/>
            <w:vMerge w:val="continue"/>
            <w:tcBorders>
              <w:left w:val="single" w:color="auto" w:sz="4" w:space="0"/>
              <w:right w:val="single" w:color="auto" w:sz="4" w:space="0"/>
            </w:tcBorders>
            <w:noWrap w:val="0"/>
            <w:vAlign w:val="center"/>
          </w:tcPr>
          <w:p w14:paraId="61813AC2">
            <w:pPr>
              <w:spacing w:line="360" w:lineRule="auto"/>
              <w:jc w:val="center"/>
              <w:rPr>
                <w:rFonts w:hint="eastAsia" w:ascii="宋体" w:hAnsi="宋体" w:eastAsia="宋体" w:cs="宋体"/>
                <w:sz w:val="24"/>
                <w:szCs w:val="24"/>
              </w:rPr>
            </w:pPr>
          </w:p>
        </w:tc>
        <w:tc>
          <w:tcPr>
            <w:tcW w:w="853" w:type="dxa"/>
            <w:vMerge w:val="continue"/>
            <w:tcBorders>
              <w:left w:val="single" w:color="auto" w:sz="4" w:space="0"/>
              <w:bottom w:val="single" w:color="auto" w:sz="4" w:space="0"/>
              <w:right w:val="single" w:color="auto" w:sz="4" w:space="0"/>
            </w:tcBorders>
            <w:noWrap w:val="0"/>
            <w:vAlign w:val="center"/>
          </w:tcPr>
          <w:p w14:paraId="618CA175">
            <w:pPr>
              <w:spacing w:line="360" w:lineRule="auto"/>
              <w:jc w:val="center"/>
              <w:rPr>
                <w:rFonts w:hint="eastAsia" w:ascii="宋体" w:hAnsi="宋体" w:eastAsia="宋体" w:cs="宋体"/>
                <w:sz w:val="24"/>
                <w:szCs w:val="24"/>
              </w:rPr>
            </w:pPr>
          </w:p>
        </w:tc>
        <w:tc>
          <w:tcPr>
            <w:tcW w:w="5147" w:type="dxa"/>
            <w:tcBorders>
              <w:top w:val="single" w:color="auto" w:sz="4" w:space="0"/>
              <w:left w:val="single" w:color="auto" w:sz="4" w:space="0"/>
              <w:bottom w:val="single" w:color="auto" w:sz="4" w:space="0"/>
              <w:right w:val="single" w:color="auto" w:sz="4" w:space="0"/>
            </w:tcBorders>
            <w:noWrap w:val="0"/>
            <w:vAlign w:val="center"/>
          </w:tcPr>
          <w:p w14:paraId="56EFC125">
            <w:pPr>
              <w:spacing w:line="360" w:lineRule="auto"/>
              <w:rPr>
                <w:rFonts w:hint="eastAsia" w:ascii="宋体" w:hAnsi="宋体" w:eastAsia="宋体" w:cs="宋体"/>
                <w:sz w:val="24"/>
                <w:szCs w:val="24"/>
              </w:rPr>
            </w:pPr>
            <w:r>
              <w:rPr>
                <w:rFonts w:hint="eastAsia" w:ascii="宋体" w:hAnsi="宋体" w:eastAsia="宋体" w:cs="宋体"/>
                <w:sz w:val="24"/>
                <w:szCs w:val="24"/>
              </w:rPr>
              <w:t>评标委员会根据各供应商提供的人员团队实力进行打分，项目组人数充足且充分满足项目需求得5分，一般得3分，差得1分。</w:t>
            </w:r>
          </w:p>
        </w:tc>
        <w:tc>
          <w:tcPr>
            <w:tcW w:w="875" w:type="dxa"/>
            <w:tcBorders>
              <w:left w:val="single" w:color="auto" w:sz="4" w:space="0"/>
              <w:right w:val="single" w:color="auto" w:sz="4" w:space="0"/>
            </w:tcBorders>
            <w:noWrap w:val="0"/>
            <w:vAlign w:val="center"/>
          </w:tcPr>
          <w:p w14:paraId="6270E772">
            <w:pPr>
              <w:pStyle w:val="393"/>
              <w:spacing w:before="0"/>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5</w:t>
            </w:r>
          </w:p>
        </w:tc>
        <w:tc>
          <w:tcPr>
            <w:tcW w:w="1038" w:type="dxa"/>
            <w:tcBorders>
              <w:left w:val="single" w:color="auto" w:sz="4" w:space="0"/>
              <w:right w:val="single" w:color="auto" w:sz="4" w:space="0"/>
            </w:tcBorders>
            <w:noWrap w:val="0"/>
            <w:vAlign w:val="center"/>
          </w:tcPr>
          <w:p w14:paraId="7DE7D2D2">
            <w:pPr>
              <w:pStyle w:val="393"/>
              <w:spacing w:before="0"/>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主观分</w:t>
            </w:r>
          </w:p>
        </w:tc>
        <w:tc>
          <w:tcPr>
            <w:tcW w:w="1463" w:type="dxa"/>
            <w:tcBorders>
              <w:left w:val="single" w:color="auto" w:sz="4" w:space="0"/>
              <w:right w:val="single" w:color="auto" w:sz="4" w:space="0"/>
            </w:tcBorders>
            <w:noWrap w:val="0"/>
            <w:vAlign w:val="center"/>
          </w:tcPr>
          <w:p w14:paraId="1758EC7B">
            <w:pPr>
              <w:spacing w:line="360" w:lineRule="auto"/>
              <w:rPr>
                <w:rFonts w:hint="eastAsia" w:ascii="宋体" w:hAnsi="宋体" w:eastAsia="宋体" w:cs="宋体"/>
                <w:sz w:val="24"/>
                <w:szCs w:val="24"/>
              </w:rPr>
            </w:pPr>
          </w:p>
        </w:tc>
      </w:tr>
      <w:tr w14:paraId="2D25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tcBorders>
              <w:left w:val="single" w:color="auto" w:sz="4" w:space="0"/>
              <w:right w:val="single" w:color="auto" w:sz="4" w:space="0"/>
            </w:tcBorders>
            <w:noWrap w:val="0"/>
            <w:vAlign w:val="center"/>
          </w:tcPr>
          <w:p w14:paraId="46A6C0A5">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4CE2593">
            <w:pPr>
              <w:pStyle w:val="633"/>
              <w:jc w:val="center"/>
              <w:rPr>
                <w:rFonts w:hint="eastAsia" w:ascii="宋体" w:hAnsi="宋体" w:eastAsia="宋体" w:cs="宋体"/>
                <w:sz w:val="24"/>
                <w:szCs w:val="24"/>
              </w:rPr>
            </w:pPr>
            <w:r>
              <w:rPr>
                <w:rFonts w:hint="eastAsia" w:ascii="宋体" w:hAnsi="宋体" w:eastAsia="宋体" w:cs="宋体"/>
                <w:sz w:val="24"/>
                <w:szCs w:val="24"/>
              </w:rPr>
              <w:t>重难点分析</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54FB7DE4">
            <w:pPr>
              <w:spacing w:line="360" w:lineRule="auto"/>
              <w:rPr>
                <w:rFonts w:hint="eastAsia" w:ascii="宋体" w:hAnsi="宋体" w:eastAsia="宋体" w:cs="宋体"/>
                <w:sz w:val="24"/>
                <w:szCs w:val="24"/>
              </w:rPr>
            </w:pPr>
            <w:r>
              <w:rPr>
                <w:rFonts w:hint="eastAsia" w:ascii="宋体" w:hAnsi="宋体" w:eastAsia="宋体" w:cs="宋体"/>
                <w:sz w:val="24"/>
                <w:szCs w:val="24"/>
              </w:rPr>
              <w:t>根据重点难点分析及相应方案进行评审：</w:t>
            </w:r>
          </w:p>
          <w:p w14:paraId="2E3A43CC">
            <w:pPr>
              <w:spacing w:line="360" w:lineRule="auto"/>
              <w:rPr>
                <w:rFonts w:hint="eastAsia" w:ascii="宋体" w:hAnsi="宋体" w:eastAsia="宋体" w:cs="宋体"/>
                <w:sz w:val="24"/>
                <w:szCs w:val="24"/>
              </w:rPr>
            </w:pPr>
            <w:r>
              <w:rPr>
                <w:rFonts w:hint="eastAsia" w:ascii="宋体" w:hAnsi="宋体" w:eastAsia="宋体" w:cs="宋体"/>
                <w:sz w:val="24"/>
                <w:szCs w:val="24"/>
              </w:rPr>
              <w:t>分析到位、提出的方案具有针对性的得5分；分析基本到位、方案基本能够满足采购人需求的得3分；分析不够到位或方案缺乏合理性的得1分；未提供重难点分析的不得分。</w:t>
            </w:r>
          </w:p>
        </w:tc>
        <w:tc>
          <w:tcPr>
            <w:tcW w:w="875" w:type="dxa"/>
            <w:tcBorders>
              <w:top w:val="single" w:color="auto" w:sz="4" w:space="0"/>
              <w:left w:val="single" w:color="auto" w:sz="4" w:space="0"/>
              <w:right w:val="single" w:color="auto" w:sz="4" w:space="0"/>
            </w:tcBorders>
            <w:noWrap w:val="0"/>
            <w:vAlign w:val="center"/>
          </w:tcPr>
          <w:p w14:paraId="3EB7D98A">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p>
        </w:tc>
        <w:tc>
          <w:tcPr>
            <w:tcW w:w="1038" w:type="dxa"/>
            <w:tcBorders>
              <w:top w:val="single" w:color="auto" w:sz="4" w:space="0"/>
              <w:left w:val="single" w:color="auto" w:sz="4" w:space="0"/>
              <w:right w:val="single" w:color="auto" w:sz="4" w:space="0"/>
            </w:tcBorders>
            <w:noWrap w:val="0"/>
            <w:vAlign w:val="center"/>
          </w:tcPr>
          <w:p w14:paraId="01BC5DE0">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top w:val="single" w:color="auto" w:sz="4" w:space="0"/>
              <w:left w:val="single" w:color="auto" w:sz="4" w:space="0"/>
              <w:right w:val="single" w:color="auto" w:sz="4" w:space="0"/>
            </w:tcBorders>
            <w:noWrap w:val="0"/>
            <w:vAlign w:val="center"/>
          </w:tcPr>
          <w:p w14:paraId="18734A6E">
            <w:pPr>
              <w:pStyle w:val="393"/>
              <w:spacing w:before="0"/>
              <w:ind w:firstLine="0" w:firstLineChars="0"/>
              <w:jc w:val="center"/>
              <w:rPr>
                <w:rFonts w:hint="eastAsia" w:ascii="宋体" w:hAnsi="宋体" w:eastAsia="宋体" w:cs="宋体"/>
                <w:kern w:val="0"/>
                <w:sz w:val="24"/>
                <w:szCs w:val="24"/>
              </w:rPr>
            </w:pPr>
          </w:p>
        </w:tc>
      </w:tr>
      <w:tr w14:paraId="68F6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tcBorders>
              <w:left w:val="single" w:color="auto" w:sz="4" w:space="0"/>
              <w:right w:val="single" w:color="auto" w:sz="4" w:space="0"/>
            </w:tcBorders>
            <w:noWrap w:val="0"/>
            <w:vAlign w:val="center"/>
          </w:tcPr>
          <w:p w14:paraId="42384483">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BFFCE6A">
            <w:pPr>
              <w:pStyle w:val="633"/>
              <w:jc w:val="center"/>
              <w:rPr>
                <w:rFonts w:hint="eastAsia" w:ascii="宋体" w:hAnsi="宋体" w:eastAsia="宋体" w:cs="宋体"/>
                <w:sz w:val="24"/>
                <w:szCs w:val="24"/>
              </w:rPr>
            </w:pPr>
            <w:r>
              <w:rPr>
                <w:rFonts w:hint="eastAsia" w:ascii="宋体" w:hAnsi="宋体" w:eastAsia="宋体" w:cs="宋体"/>
                <w:sz w:val="24"/>
                <w:szCs w:val="24"/>
              </w:rPr>
              <w:t>合理化建议</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3102C09F">
            <w:pPr>
              <w:pStyle w:val="393"/>
              <w:spacing w:before="0"/>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根据服务方案（包括服务内容、工作流程、工作标准、员工排班计划等）相关意见建议进行评审：意见建议详尽，具有针对性、可操作性的得5分；意见建议较详细，较合理的得3分；意见建议不太具有针对性，不太有可操作性的得1分；未提供意见建议的不得分。</w:t>
            </w:r>
          </w:p>
        </w:tc>
        <w:tc>
          <w:tcPr>
            <w:tcW w:w="875" w:type="dxa"/>
            <w:tcBorders>
              <w:top w:val="single" w:color="auto" w:sz="4" w:space="0"/>
              <w:left w:val="single" w:color="auto" w:sz="4" w:space="0"/>
              <w:right w:val="single" w:color="auto" w:sz="4" w:space="0"/>
            </w:tcBorders>
            <w:noWrap w:val="0"/>
            <w:vAlign w:val="center"/>
          </w:tcPr>
          <w:p w14:paraId="15BABDBC">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p>
        </w:tc>
        <w:tc>
          <w:tcPr>
            <w:tcW w:w="1038" w:type="dxa"/>
            <w:tcBorders>
              <w:top w:val="single" w:color="auto" w:sz="4" w:space="0"/>
              <w:left w:val="single" w:color="auto" w:sz="4" w:space="0"/>
              <w:right w:val="single" w:color="auto" w:sz="4" w:space="0"/>
            </w:tcBorders>
            <w:noWrap w:val="0"/>
            <w:vAlign w:val="center"/>
          </w:tcPr>
          <w:p w14:paraId="62BD511F">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top w:val="single" w:color="auto" w:sz="4" w:space="0"/>
              <w:left w:val="single" w:color="auto" w:sz="4" w:space="0"/>
              <w:right w:val="single" w:color="auto" w:sz="4" w:space="0"/>
            </w:tcBorders>
            <w:noWrap w:val="0"/>
            <w:vAlign w:val="center"/>
          </w:tcPr>
          <w:p w14:paraId="7284ADC1">
            <w:pPr>
              <w:pStyle w:val="393"/>
              <w:spacing w:before="0"/>
              <w:ind w:firstLine="0" w:firstLineChars="0"/>
              <w:jc w:val="left"/>
              <w:rPr>
                <w:rFonts w:hint="eastAsia" w:ascii="宋体" w:hAnsi="宋体" w:eastAsia="宋体" w:cs="宋体"/>
                <w:kern w:val="0"/>
                <w:sz w:val="24"/>
                <w:szCs w:val="24"/>
              </w:rPr>
            </w:pPr>
          </w:p>
        </w:tc>
      </w:tr>
      <w:tr w14:paraId="1C56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tcBorders>
              <w:left w:val="single" w:color="auto" w:sz="4" w:space="0"/>
              <w:right w:val="single" w:color="auto" w:sz="4" w:space="0"/>
            </w:tcBorders>
            <w:noWrap w:val="0"/>
            <w:vAlign w:val="center"/>
          </w:tcPr>
          <w:p w14:paraId="54934DCF">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21C3E04C">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324C9096">
            <w:pPr>
              <w:spacing w:line="360" w:lineRule="auto"/>
              <w:rPr>
                <w:rFonts w:hint="eastAsia" w:ascii="宋体" w:hAnsi="宋体" w:eastAsia="宋体" w:cs="宋体"/>
                <w:sz w:val="24"/>
                <w:szCs w:val="24"/>
              </w:rPr>
            </w:pPr>
            <w:r>
              <w:rPr>
                <w:rFonts w:hint="eastAsia" w:ascii="宋体" w:hAnsi="宋体" w:eastAsia="宋体" w:cs="宋体"/>
                <w:sz w:val="24"/>
                <w:szCs w:val="24"/>
              </w:rPr>
              <w:t>根据供应商可以向采购人提供的额外服务或其他资源进行评审：</w:t>
            </w:r>
          </w:p>
          <w:p w14:paraId="493CB280">
            <w:pPr>
              <w:spacing w:line="360" w:lineRule="auto"/>
              <w:rPr>
                <w:rFonts w:hint="eastAsia" w:ascii="宋体" w:hAnsi="宋体" w:eastAsia="宋体" w:cs="宋体"/>
                <w:sz w:val="24"/>
                <w:szCs w:val="24"/>
              </w:rPr>
            </w:pPr>
            <w:r>
              <w:rPr>
                <w:rFonts w:hint="eastAsia" w:ascii="宋体" w:hAnsi="宋体" w:eastAsia="宋体" w:cs="宋体"/>
                <w:sz w:val="24"/>
                <w:szCs w:val="24"/>
              </w:rPr>
              <w:t>额外服务或其他资源合理、可行，对提高本次服务起到作用的得4分；额外服务或其他资源基本可行，能对本次服务起到一定作用的得2分；额外服务或其他资源基本对本次服务起到很少作用的得1分。额外服务或其他资源未提供或不可行或不能对本次服务起到作用的不得分。</w:t>
            </w:r>
          </w:p>
        </w:tc>
        <w:tc>
          <w:tcPr>
            <w:tcW w:w="875" w:type="dxa"/>
            <w:tcBorders>
              <w:top w:val="single" w:color="auto" w:sz="4" w:space="0"/>
              <w:left w:val="single" w:color="auto" w:sz="4" w:space="0"/>
              <w:right w:val="single" w:color="auto" w:sz="4" w:space="0"/>
            </w:tcBorders>
            <w:noWrap w:val="0"/>
            <w:vAlign w:val="center"/>
          </w:tcPr>
          <w:p w14:paraId="7480F696">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p>
        </w:tc>
        <w:tc>
          <w:tcPr>
            <w:tcW w:w="1038" w:type="dxa"/>
            <w:tcBorders>
              <w:top w:val="single" w:color="auto" w:sz="4" w:space="0"/>
              <w:left w:val="single" w:color="auto" w:sz="4" w:space="0"/>
              <w:right w:val="single" w:color="auto" w:sz="4" w:space="0"/>
            </w:tcBorders>
            <w:noWrap w:val="0"/>
            <w:vAlign w:val="center"/>
          </w:tcPr>
          <w:p w14:paraId="7963BC0E">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主观分</w:t>
            </w:r>
          </w:p>
        </w:tc>
        <w:tc>
          <w:tcPr>
            <w:tcW w:w="1463" w:type="dxa"/>
            <w:tcBorders>
              <w:top w:val="single" w:color="auto" w:sz="4" w:space="0"/>
              <w:left w:val="single" w:color="auto" w:sz="4" w:space="0"/>
              <w:right w:val="single" w:color="auto" w:sz="4" w:space="0"/>
            </w:tcBorders>
            <w:noWrap w:val="0"/>
            <w:vAlign w:val="center"/>
          </w:tcPr>
          <w:p w14:paraId="2F8A8FCB">
            <w:pPr>
              <w:pStyle w:val="393"/>
              <w:spacing w:before="0"/>
              <w:ind w:firstLine="0" w:firstLineChars="0"/>
              <w:jc w:val="center"/>
              <w:rPr>
                <w:rFonts w:hint="eastAsia" w:ascii="宋体" w:hAnsi="宋体" w:eastAsia="宋体" w:cs="宋体"/>
                <w:kern w:val="0"/>
                <w:sz w:val="24"/>
                <w:szCs w:val="24"/>
              </w:rPr>
            </w:pPr>
          </w:p>
        </w:tc>
      </w:tr>
      <w:tr w14:paraId="6744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2E255447">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415EAD9">
            <w:pPr>
              <w:pStyle w:val="393"/>
              <w:spacing w:before="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报价</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776E9837">
            <w:pPr>
              <w:pStyle w:val="393"/>
              <w:spacing w:before="0"/>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各有效投标人的评标价中，取最低者作为基准价，其评分统一按下列公示计算：价格评分 =（基准价÷投标价）×15。评分计算精确到小数点后2位（四舍五入)。</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E6D71B7">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460B5C3E">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2281E0F">
            <w:pPr>
              <w:pStyle w:val="393"/>
              <w:spacing w:before="0"/>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color w:val="auto"/>
        </w:rPr>
      </w:pP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94"/>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95" w:name="第五部分"/>
      <w:bookmarkStart w:id="96"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2"/>
        <w:rPr>
          <w:rFonts w:asciiTheme="minorEastAsia" w:hAnsiTheme="minorEastAsia" w:eastAsiaTheme="minorEastAsia"/>
          <w:color w:val="auto"/>
          <w:szCs w:val="24"/>
        </w:rPr>
      </w:pPr>
    </w:p>
    <w:p w14:paraId="0A4884B3">
      <w:pPr>
        <w:pStyle w:val="282"/>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7"/>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浙江省林业科学研究院</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浙江省林业科学研究院食堂托管服务</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浙江省林业科学研究院</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97" w:name="_Toc20421"/>
      <w:bookmarkStart w:id="98" w:name="_Toc15367"/>
      <w:bookmarkStart w:id="99" w:name="_Toc22967"/>
      <w:bookmarkStart w:id="100" w:name="_Toc28855"/>
      <w:bookmarkStart w:id="101" w:name="_Toc19273"/>
      <w:r>
        <w:rPr>
          <w:rFonts w:ascii="宋体" w:hAnsi="宋体"/>
          <w:b/>
          <w:color w:val="auto"/>
          <w:sz w:val="24"/>
        </w:rPr>
        <w:t xml:space="preserve">1.1 </w:t>
      </w:r>
      <w:r>
        <w:rPr>
          <w:rFonts w:hint="eastAsia" w:ascii="宋体" w:hAnsi="宋体"/>
          <w:b/>
          <w:color w:val="auto"/>
          <w:sz w:val="24"/>
        </w:rPr>
        <w:t>合同组成部分</w:t>
      </w:r>
      <w:bookmarkEnd w:id="97"/>
      <w:bookmarkEnd w:id="98"/>
      <w:bookmarkEnd w:id="99"/>
      <w:bookmarkEnd w:id="100"/>
      <w:bookmarkEnd w:id="101"/>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102" w:name="_Toc18585"/>
      <w:bookmarkStart w:id="103" w:name="_Toc22185"/>
      <w:bookmarkStart w:id="104" w:name="_Toc2918"/>
      <w:bookmarkStart w:id="105" w:name="_Toc6311"/>
      <w:bookmarkStart w:id="106" w:name="_Toc6773"/>
      <w:r>
        <w:rPr>
          <w:rFonts w:ascii="宋体" w:hAnsi="宋体"/>
          <w:b/>
          <w:color w:val="auto"/>
          <w:sz w:val="24"/>
        </w:rPr>
        <w:t xml:space="preserve">1.2 </w:t>
      </w:r>
      <w:r>
        <w:rPr>
          <w:rFonts w:hint="eastAsia" w:ascii="宋体" w:hAnsi="宋体"/>
          <w:b/>
          <w:color w:val="auto"/>
          <w:sz w:val="24"/>
        </w:rPr>
        <w:t>标的</w:t>
      </w:r>
      <w:bookmarkEnd w:id="102"/>
      <w:bookmarkEnd w:id="103"/>
      <w:bookmarkEnd w:id="104"/>
      <w:bookmarkEnd w:id="105"/>
      <w:bookmarkEnd w:id="106"/>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107" w:name="_Toc13918"/>
      <w:bookmarkStart w:id="108" w:name="_Toc5635"/>
      <w:bookmarkStart w:id="109" w:name="_Toc1386"/>
      <w:bookmarkStart w:id="110" w:name="_Toc21124"/>
      <w:bookmarkStart w:id="111"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107"/>
      <w:bookmarkEnd w:id="108"/>
      <w:bookmarkEnd w:id="109"/>
      <w:bookmarkEnd w:id="110"/>
      <w:bookmarkEnd w:id="111"/>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2"/>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2"/>
              <w:spacing w:line="560" w:lineRule="exact"/>
              <w:ind w:firstLine="200"/>
              <w:jc w:val="center"/>
              <w:rPr>
                <w:rFonts w:hAnsi="宋体"/>
                <w:color w:val="auto"/>
                <w:sz w:val="24"/>
                <w:szCs w:val="24"/>
              </w:rPr>
            </w:pPr>
          </w:p>
        </w:tc>
        <w:tc>
          <w:tcPr>
            <w:tcW w:w="3402" w:type="dxa"/>
            <w:vAlign w:val="center"/>
          </w:tcPr>
          <w:p w14:paraId="1AE19EBA">
            <w:pPr>
              <w:pStyle w:val="622"/>
              <w:spacing w:line="560" w:lineRule="exact"/>
              <w:ind w:firstLine="200"/>
              <w:jc w:val="center"/>
              <w:rPr>
                <w:rFonts w:hAnsi="宋体"/>
                <w:color w:val="auto"/>
                <w:sz w:val="24"/>
                <w:szCs w:val="24"/>
              </w:rPr>
            </w:pPr>
          </w:p>
        </w:tc>
        <w:tc>
          <w:tcPr>
            <w:tcW w:w="2552" w:type="dxa"/>
            <w:vAlign w:val="center"/>
          </w:tcPr>
          <w:p w14:paraId="0AA780BB">
            <w:pPr>
              <w:pStyle w:val="622"/>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2"/>
              <w:spacing w:line="560" w:lineRule="exact"/>
              <w:ind w:firstLine="200"/>
              <w:jc w:val="center"/>
              <w:rPr>
                <w:rFonts w:hAnsi="宋体"/>
                <w:color w:val="auto"/>
                <w:sz w:val="24"/>
                <w:szCs w:val="24"/>
              </w:rPr>
            </w:pPr>
          </w:p>
        </w:tc>
        <w:tc>
          <w:tcPr>
            <w:tcW w:w="3402" w:type="dxa"/>
            <w:vAlign w:val="center"/>
          </w:tcPr>
          <w:p w14:paraId="55798985">
            <w:pPr>
              <w:pStyle w:val="622"/>
              <w:spacing w:line="560" w:lineRule="exact"/>
              <w:ind w:firstLine="200"/>
              <w:jc w:val="center"/>
              <w:rPr>
                <w:rFonts w:hAnsi="宋体"/>
                <w:color w:val="auto"/>
                <w:sz w:val="24"/>
                <w:szCs w:val="24"/>
              </w:rPr>
            </w:pPr>
          </w:p>
        </w:tc>
        <w:tc>
          <w:tcPr>
            <w:tcW w:w="2552" w:type="dxa"/>
            <w:vAlign w:val="center"/>
          </w:tcPr>
          <w:p w14:paraId="6DFC9FC3">
            <w:pPr>
              <w:pStyle w:val="622"/>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2"/>
              <w:spacing w:line="560" w:lineRule="exact"/>
              <w:ind w:firstLine="200"/>
              <w:jc w:val="center"/>
              <w:rPr>
                <w:rFonts w:hAnsi="宋体"/>
                <w:color w:val="auto"/>
                <w:sz w:val="24"/>
                <w:szCs w:val="24"/>
              </w:rPr>
            </w:pPr>
          </w:p>
        </w:tc>
        <w:tc>
          <w:tcPr>
            <w:tcW w:w="3402" w:type="dxa"/>
            <w:vAlign w:val="center"/>
          </w:tcPr>
          <w:p w14:paraId="7278CA47">
            <w:pPr>
              <w:pStyle w:val="622"/>
              <w:spacing w:line="560" w:lineRule="exact"/>
              <w:ind w:firstLine="200"/>
              <w:jc w:val="center"/>
              <w:rPr>
                <w:rFonts w:hAnsi="宋体"/>
                <w:color w:val="auto"/>
                <w:sz w:val="24"/>
                <w:szCs w:val="24"/>
              </w:rPr>
            </w:pPr>
          </w:p>
        </w:tc>
        <w:tc>
          <w:tcPr>
            <w:tcW w:w="2552" w:type="dxa"/>
            <w:vAlign w:val="center"/>
          </w:tcPr>
          <w:p w14:paraId="66F6196C">
            <w:pPr>
              <w:pStyle w:val="622"/>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2"/>
              <w:spacing w:line="560" w:lineRule="exact"/>
              <w:ind w:firstLine="200"/>
              <w:jc w:val="center"/>
              <w:rPr>
                <w:rFonts w:hAnsi="宋体"/>
                <w:color w:val="auto"/>
                <w:sz w:val="24"/>
                <w:szCs w:val="24"/>
              </w:rPr>
            </w:pPr>
          </w:p>
        </w:tc>
        <w:tc>
          <w:tcPr>
            <w:tcW w:w="3402" w:type="dxa"/>
            <w:vAlign w:val="center"/>
          </w:tcPr>
          <w:p w14:paraId="5A5674AE">
            <w:pPr>
              <w:pStyle w:val="622"/>
              <w:spacing w:line="560" w:lineRule="exact"/>
              <w:ind w:firstLine="200"/>
              <w:jc w:val="center"/>
              <w:rPr>
                <w:rFonts w:hAnsi="宋体"/>
                <w:color w:val="auto"/>
                <w:sz w:val="24"/>
                <w:szCs w:val="24"/>
              </w:rPr>
            </w:pPr>
          </w:p>
        </w:tc>
        <w:tc>
          <w:tcPr>
            <w:tcW w:w="2552" w:type="dxa"/>
            <w:vAlign w:val="center"/>
          </w:tcPr>
          <w:p w14:paraId="3CD79D60">
            <w:pPr>
              <w:pStyle w:val="622"/>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2"/>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112" w:name="_Toc30506"/>
      <w:bookmarkStart w:id="113" w:name="_Toc26916"/>
      <w:bookmarkStart w:id="114" w:name="_Toc30158"/>
      <w:bookmarkStart w:id="115" w:name="_Toc3654"/>
      <w:bookmarkStart w:id="116"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6"/>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112"/>
    <w:bookmarkEnd w:id="113"/>
    <w:bookmarkEnd w:id="114"/>
    <w:bookmarkEnd w:id="115"/>
    <w:bookmarkEnd w:id="116"/>
    <w:p w14:paraId="028AAC60">
      <w:pPr>
        <w:pStyle w:val="630"/>
        <w:spacing w:before="0" w:beforeAutospacing="0" w:after="0" w:afterAutospacing="0" w:line="360" w:lineRule="auto"/>
        <w:ind w:firstLine="480"/>
        <w:rPr>
          <w:b/>
          <w:color w:val="auto"/>
        </w:rPr>
      </w:pPr>
      <w:bookmarkStart w:id="117" w:name="_Toc10340"/>
      <w:bookmarkStart w:id="118" w:name="_Toc1814"/>
      <w:bookmarkStart w:id="119" w:name="_Toc22618"/>
      <w:bookmarkStart w:id="120" w:name="_Toc8772"/>
      <w:bookmarkStart w:id="121" w:name="_Toc11108"/>
      <w:bookmarkStart w:id="122" w:name="_Toc3625"/>
      <w:bookmarkStart w:id="123" w:name="_Toc4760"/>
      <w:bookmarkStart w:id="124" w:name="_Toc31421"/>
      <w:r>
        <w:rPr>
          <w:rFonts w:hint="eastAsia"/>
          <w:b/>
          <w:color w:val="auto"/>
        </w:rPr>
        <w:t>1.4履约保证金</w:t>
      </w:r>
    </w:p>
    <w:p w14:paraId="3840F63A">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6"/>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117"/>
      <w:bookmarkEnd w:id="118"/>
      <w:bookmarkEnd w:id="119"/>
      <w:r>
        <w:rPr>
          <w:rFonts w:hint="eastAsia" w:ascii="宋体" w:hAnsi="宋体" w:cs="宋体"/>
          <w:b/>
          <w:color w:val="auto"/>
          <w:sz w:val="24"/>
        </w:rPr>
        <w:t>预付款</w:t>
      </w:r>
    </w:p>
    <w:p w14:paraId="4A8F86C9">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0"/>
        <w:spacing w:before="0" w:beforeAutospacing="0" w:after="0" w:afterAutospacing="0" w:line="360" w:lineRule="auto"/>
        <w:ind w:firstLine="480"/>
        <w:rPr>
          <w:b/>
          <w:bCs/>
          <w:color w:val="auto"/>
        </w:rPr>
      </w:pPr>
      <w:r>
        <w:rPr>
          <w:rFonts w:hint="eastAsia"/>
          <w:b/>
          <w:bCs/>
          <w:color w:val="auto"/>
        </w:rPr>
        <w:t>1.6资金支付</w:t>
      </w:r>
    </w:p>
    <w:p w14:paraId="3A3C220D">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120"/>
      <w:bookmarkEnd w:id="121"/>
      <w:bookmarkEnd w:id="122"/>
      <w:bookmarkEnd w:id="123"/>
      <w:bookmarkEnd w:id="124"/>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125" w:name="_Toc2375"/>
      <w:bookmarkStart w:id="126" w:name="_Toc3079"/>
      <w:bookmarkStart w:id="127" w:name="_Toc5698"/>
      <w:bookmarkStart w:id="128" w:name="_Toc8586"/>
      <w:bookmarkStart w:id="129" w:name="_Toc24662"/>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125"/>
      <w:bookmarkEnd w:id="126"/>
      <w:bookmarkEnd w:id="127"/>
      <w:bookmarkEnd w:id="128"/>
      <w:bookmarkEnd w:id="129"/>
    </w:p>
    <w:p w14:paraId="0BA372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pStyle w:val="6"/>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30" w:name="_Toc32454"/>
      <w:bookmarkStart w:id="131" w:name="_Toc26807"/>
      <w:bookmarkStart w:id="132" w:name="_Toc30329"/>
      <w:bookmarkStart w:id="133" w:name="_Toc9497"/>
      <w:bookmarkStart w:id="134"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30"/>
    <w:bookmarkEnd w:id="131"/>
    <w:bookmarkEnd w:id="132"/>
    <w:bookmarkEnd w:id="133"/>
    <w:bookmarkEnd w:id="134"/>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35" w:name="_Toc25079"/>
      <w:bookmarkStart w:id="136" w:name="_Toc5228"/>
      <w:bookmarkStart w:id="137" w:name="_Toc14021"/>
      <w:bookmarkStart w:id="138" w:name="_Toc31297"/>
      <w:bookmarkStart w:id="139" w:name="_Toc19680"/>
      <w:r>
        <w:rPr>
          <w:rFonts w:ascii="宋体" w:hAnsi="宋体"/>
          <w:b/>
          <w:color w:val="auto"/>
          <w:sz w:val="24"/>
        </w:rPr>
        <w:t>2.1 定义</w:t>
      </w:r>
      <w:bookmarkEnd w:id="135"/>
      <w:bookmarkEnd w:id="136"/>
      <w:bookmarkEnd w:id="137"/>
      <w:bookmarkEnd w:id="138"/>
      <w:bookmarkEnd w:id="139"/>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40" w:name="_Toc19539"/>
      <w:bookmarkStart w:id="141" w:name="_Toc3769"/>
      <w:bookmarkStart w:id="142" w:name="_Toc23289"/>
      <w:bookmarkStart w:id="143" w:name="_Toc16752"/>
      <w:bookmarkStart w:id="144" w:name="_Toc31402"/>
      <w:r>
        <w:rPr>
          <w:rFonts w:ascii="宋体" w:hAnsi="宋体"/>
          <w:b/>
          <w:color w:val="auto"/>
          <w:sz w:val="24"/>
        </w:rPr>
        <w:t>2.2 技术规范</w:t>
      </w:r>
      <w:bookmarkEnd w:id="140"/>
      <w:bookmarkEnd w:id="141"/>
      <w:bookmarkEnd w:id="142"/>
      <w:bookmarkEnd w:id="143"/>
      <w:bookmarkEnd w:id="144"/>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45" w:name="_Toc13673"/>
      <w:bookmarkStart w:id="146" w:name="_Toc12412"/>
      <w:bookmarkStart w:id="147" w:name="_Toc9161"/>
      <w:bookmarkStart w:id="148" w:name="_Toc27945"/>
      <w:bookmarkStart w:id="149" w:name="_Toc4133"/>
      <w:r>
        <w:rPr>
          <w:rFonts w:ascii="宋体" w:hAnsi="宋体"/>
          <w:b/>
          <w:color w:val="auto"/>
          <w:sz w:val="24"/>
        </w:rPr>
        <w:t>2.3 知识产权</w:t>
      </w:r>
      <w:bookmarkEnd w:id="145"/>
      <w:bookmarkEnd w:id="146"/>
      <w:bookmarkEnd w:id="147"/>
      <w:bookmarkEnd w:id="148"/>
      <w:bookmarkEnd w:id="149"/>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50" w:name="_Toc32670"/>
      <w:bookmarkStart w:id="151" w:name="_Toc22011"/>
      <w:bookmarkStart w:id="152" w:name="_Toc31233"/>
      <w:bookmarkStart w:id="153" w:name="_Toc15447"/>
      <w:bookmarkStart w:id="154" w:name="_Toc26555"/>
      <w:r>
        <w:rPr>
          <w:rFonts w:ascii="宋体" w:hAnsi="宋体"/>
          <w:b/>
          <w:color w:val="auto"/>
          <w:sz w:val="24"/>
        </w:rPr>
        <w:t>2.5 结算方式和付款条件</w:t>
      </w:r>
      <w:bookmarkEnd w:id="150"/>
      <w:bookmarkEnd w:id="151"/>
      <w:bookmarkEnd w:id="152"/>
      <w:bookmarkEnd w:id="153"/>
      <w:bookmarkEnd w:id="154"/>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55" w:name="_Toc13467"/>
      <w:bookmarkStart w:id="156" w:name="_Toc16163"/>
      <w:bookmarkStart w:id="157" w:name="_Toc30507"/>
      <w:bookmarkStart w:id="158" w:name="_Toc18990"/>
      <w:bookmarkStart w:id="159" w:name="_Toc13154"/>
      <w:r>
        <w:rPr>
          <w:rFonts w:ascii="宋体" w:hAnsi="宋体"/>
          <w:b/>
          <w:color w:val="auto"/>
          <w:sz w:val="24"/>
        </w:rPr>
        <w:t>2.6 技术资料和保密义务</w:t>
      </w:r>
      <w:bookmarkEnd w:id="155"/>
      <w:bookmarkEnd w:id="156"/>
      <w:bookmarkEnd w:id="157"/>
      <w:bookmarkEnd w:id="158"/>
      <w:bookmarkEnd w:id="159"/>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60" w:name="_Toc19069"/>
      <w:r>
        <w:rPr>
          <w:rFonts w:ascii="宋体" w:hAnsi="宋体"/>
          <w:b/>
          <w:color w:val="auto"/>
          <w:sz w:val="24"/>
        </w:rPr>
        <w:t xml:space="preserve">2.7 </w:t>
      </w:r>
      <w:r>
        <w:rPr>
          <w:rFonts w:hint="eastAsia" w:ascii="宋体" w:hAnsi="宋体"/>
          <w:b/>
          <w:color w:val="auto"/>
          <w:sz w:val="24"/>
        </w:rPr>
        <w:t>质量保证</w:t>
      </w:r>
      <w:bookmarkEnd w:id="160"/>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61" w:name="_Toc22267"/>
      <w:r>
        <w:rPr>
          <w:rFonts w:ascii="宋体" w:hAnsi="宋体"/>
          <w:b/>
          <w:color w:val="auto"/>
          <w:sz w:val="24"/>
        </w:rPr>
        <w:t xml:space="preserve">2.8 </w:t>
      </w:r>
      <w:r>
        <w:rPr>
          <w:rFonts w:hint="eastAsia" w:ascii="宋体" w:hAnsi="宋体"/>
          <w:b/>
          <w:color w:val="auto"/>
          <w:sz w:val="24"/>
        </w:rPr>
        <w:t>延迟履行</w:t>
      </w:r>
      <w:bookmarkEnd w:id="161"/>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62" w:name="_Toc10611"/>
      <w:r>
        <w:rPr>
          <w:rFonts w:ascii="宋体" w:hAnsi="宋体"/>
          <w:b/>
          <w:color w:val="auto"/>
          <w:sz w:val="24"/>
        </w:rPr>
        <w:t xml:space="preserve">2.9 </w:t>
      </w:r>
      <w:r>
        <w:rPr>
          <w:rFonts w:hint="eastAsia" w:ascii="宋体" w:hAnsi="宋体"/>
          <w:b/>
          <w:color w:val="auto"/>
          <w:sz w:val="24"/>
        </w:rPr>
        <w:t>合同变更</w:t>
      </w:r>
      <w:bookmarkEnd w:id="162"/>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63" w:name="_Toc10663"/>
      <w:bookmarkStart w:id="164" w:name="_Toc42"/>
      <w:bookmarkStart w:id="165" w:name="_Toc23368"/>
      <w:bookmarkStart w:id="166" w:name="_Toc21830"/>
      <w:bookmarkStart w:id="167" w:name="_Toc26689"/>
      <w:r>
        <w:rPr>
          <w:rFonts w:ascii="宋体" w:hAnsi="宋体"/>
          <w:b/>
          <w:color w:val="auto"/>
          <w:sz w:val="24"/>
        </w:rPr>
        <w:t>2.10 合同转让和分包</w:t>
      </w:r>
      <w:bookmarkEnd w:id="163"/>
      <w:bookmarkEnd w:id="164"/>
      <w:bookmarkEnd w:id="165"/>
      <w:bookmarkEnd w:id="166"/>
      <w:bookmarkEnd w:id="167"/>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68" w:name="_Toc4720"/>
      <w:bookmarkStart w:id="169" w:name="_Toc32494"/>
      <w:bookmarkStart w:id="170" w:name="_Toc26633"/>
      <w:bookmarkStart w:id="171" w:name="_Toc14371"/>
      <w:bookmarkStart w:id="172" w:name="_Toc25571"/>
      <w:r>
        <w:rPr>
          <w:rFonts w:ascii="宋体" w:hAnsi="宋体"/>
          <w:b/>
          <w:color w:val="auto"/>
          <w:sz w:val="24"/>
        </w:rPr>
        <w:t>2.11 不可抗力</w:t>
      </w:r>
      <w:bookmarkEnd w:id="168"/>
      <w:bookmarkEnd w:id="169"/>
      <w:bookmarkEnd w:id="170"/>
      <w:bookmarkEnd w:id="171"/>
      <w:bookmarkEnd w:id="172"/>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73" w:name="_Toc3638"/>
      <w:bookmarkStart w:id="174" w:name="_Toc24465"/>
      <w:bookmarkStart w:id="175" w:name="_Toc14115"/>
      <w:bookmarkStart w:id="176" w:name="_Toc23854"/>
      <w:bookmarkStart w:id="177" w:name="_Toc25783"/>
      <w:r>
        <w:rPr>
          <w:rFonts w:ascii="宋体" w:hAnsi="宋体"/>
          <w:b/>
          <w:color w:val="auto"/>
          <w:sz w:val="24"/>
        </w:rPr>
        <w:t>2.12 税费</w:t>
      </w:r>
      <w:bookmarkEnd w:id="173"/>
      <w:bookmarkEnd w:id="174"/>
      <w:bookmarkEnd w:id="175"/>
      <w:bookmarkEnd w:id="176"/>
      <w:bookmarkEnd w:id="177"/>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78" w:name="_Toc25525"/>
      <w:bookmarkStart w:id="179" w:name="_Toc30105"/>
      <w:bookmarkStart w:id="180" w:name="_Toc7315"/>
      <w:bookmarkStart w:id="181" w:name="_Toc26883"/>
      <w:bookmarkStart w:id="182" w:name="_Toc14814"/>
      <w:r>
        <w:rPr>
          <w:rFonts w:ascii="宋体" w:hAnsi="宋体"/>
          <w:b/>
          <w:color w:val="auto"/>
          <w:sz w:val="24"/>
        </w:rPr>
        <w:t>2.13 乙方破产</w:t>
      </w:r>
      <w:bookmarkEnd w:id="178"/>
      <w:bookmarkEnd w:id="179"/>
      <w:bookmarkEnd w:id="180"/>
      <w:bookmarkEnd w:id="181"/>
      <w:bookmarkEnd w:id="182"/>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83" w:name="_Toc23323"/>
      <w:bookmarkStart w:id="184" w:name="_Toc2016"/>
      <w:bookmarkStart w:id="185" w:name="_Toc1123"/>
      <w:r>
        <w:rPr>
          <w:rFonts w:ascii="宋体" w:hAnsi="宋体"/>
          <w:b/>
          <w:color w:val="auto"/>
          <w:sz w:val="24"/>
        </w:rPr>
        <w:t>2.14 合同中止、终止</w:t>
      </w:r>
      <w:bookmarkEnd w:id="183"/>
      <w:bookmarkEnd w:id="184"/>
      <w:bookmarkEnd w:id="185"/>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86" w:name="_Toc17363"/>
      <w:bookmarkStart w:id="187" w:name="_Toc14525"/>
      <w:bookmarkStart w:id="188" w:name="_Toc1969"/>
      <w:r>
        <w:rPr>
          <w:rFonts w:ascii="宋体" w:hAnsi="宋体"/>
          <w:b/>
          <w:color w:val="auto"/>
          <w:sz w:val="24"/>
        </w:rPr>
        <w:t>2.15 检验和验收</w:t>
      </w:r>
      <w:bookmarkEnd w:id="186"/>
      <w:bookmarkEnd w:id="187"/>
      <w:bookmarkEnd w:id="188"/>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89" w:name="_Toc25198"/>
      <w:bookmarkStart w:id="190" w:name="_Toc9808"/>
      <w:bookmarkStart w:id="191" w:name="_Toc2308"/>
      <w:bookmarkStart w:id="192" w:name="_Toc12666"/>
      <w:bookmarkStart w:id="193" w:name="_Toc31892"/>
      <w:r>
        <w:rPr>
          <w:rFonts w:ascii="宋体" w:hAnsi="宋体"/>
          <w:b/>
          <w:color w:val="auto"/>
          <w:sz w:val="24"/>
        </w:rPr>
        <w:t>2.16 通知和送达</w:t>
      </w:r>
      <w:bookmarkEnd w:id="189"/>
      <w:bookmarkEnd w:id="190"/>
      <w:bookmarkEnd w:id="191"/>
      <w:bookmarkEnd w:id="192"/>
      <w:bookmarkEnd w:id="193"/>
    </w:p>
    <w:p w14:paraId="53F924AC">
      <w:pPr>
        <w:spacing w:line="560" w:lineRule="exact"/>
        <w:ind w:firstLine="480" w:firstLineChars="200"/>
        <w:rPr>
          <w:rFonts w:ascii="宋体" w:hAnsi="宋体"/>
          <w:color w:val="auto"/>
          <w:sz w:val="24"/>
        </w:rPr>
      </w:pPr>
      <w:bookmarkStart w:id="194" w:name="_Toc18401"/>
      <w:bookmarkStart w:id="195"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94"/>
      <w:bookmarkEnd w:id="195"/>
    </w:p>
    <w:p w14:paraId="6CB0F3AB">
      <w:pPr>
        <w:spacing w:line="560" w:lineRule="exact"/>
        <w:ind w:firstLine="482" w:firstLineChars="200"/>
        <w:outlineLvl w:val="0"/>
        <w:rPr>
          <w:rFonts w:ascii="宋体" w:hAnsi="宋体"/>
          <w:b/>
          <w:color w:val="auto"/>
          <w:sz w:val="24"/>
        </w:rPr>
      </w:pPr>
      <w:bookmarkStart w:id="196" w:name="_Toc5063"/>
      <w:bookmarkStart w:id="197" w:name="_Toc27644"/>
      <w:bookmarkStart w:id="198" w:name="_Toc20808"/>
      <w:bookmarkStart w:id="199" w:name="_Toc12254"/>
      <w:bookmarkStart w:id="200"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96"/>
      <w:bookmarkEnd w:id="197"/>
      <w:bookmarkEnd w:id="198"/>
      <w:bookmarkEnd w:id="199"/>
      <w:bookmarkEnd w:id="200"/>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549C1F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51DEF471">
            <w:pPr>
              <w:spacing w:line="360" w:lineRule="auto"/>
              <w:rPr>
                <w:rFonts w:ascii="宋体" w:hAnsi="宋体" w:cs="宋体"/>
                <w:color w:val="auto"/>
                <w:sz w:val="24"/>
              </w:rPr>
            </w:pP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07CACE8D">
            <w:pPr>
              <w:spacing w:line="360" w:lineRule="auto"/>
              <w:rPr>
                <w:rFonts w:ascii="宋体" w:hAnsi="宋体" w:cs="宋体"/>
                <w:color w:val="auto"/>
                <w:sz w:val="24"/>
              </w:rPr>
            </w:pP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1548CB24">
            <w:pPr>
              <w:spacing w:line="360" w:lineRule="auto"/>
              <w:rPr>
                <w:rFonts w:ascii="宋体" w:hAnsi="宋体" w:cs="宋体"/>
                <w:color w:val="auto"/>
                <w:sz w:val="24"/>
              </w:rPr>
            </w:pP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5E59728A">
            <w:pPr>
              <w:spacing w:line="360" w:lineRule="auto"/>
              <w:rPr>
                <w:rFonts w:ascii="宋体" w:hAnsi="宋体" w:cs="宋体"/>
                <w:color w:val="auto"/>
                <w:sz w:val="24"/>
              </w:rPr>
            </w:pP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375C90C">
            <w:pPr>
              <w:spacing w:line="360" w:lineRule="auto"/>
              <w:rPr>
                <w:rFonts w:ascii="宋体" w:hAnsi="宋体" w:cs="宋体"/>
                <w:color w:val="auto"/>
                <w:sz w:val="24"/>
              </w:rPr>
            </w:pP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167459DC">
            <w:pPr>
              <w:spacing w:line="360" w:lineRule="auto"/>
              <w:rPr>
                <w:rFonts w:ascii="宋体" w:hAnsi="宋体" w:cs="宋体"/>
                <w:color w:val="auto"/>
                <w:sz w:val="24"/>
              </w:rPr>
            </w:pP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405C4C93">
            <w:pPr>
              <w:spacing w:line="360" w:lineRule="auto"/>
              <w:rPr>
                <w:rFonts w:ascii="宋体" w:hAnsi="宋体" w:cs="宋体"/>
                <w:color w:val="auto"/>
                <w:sz w:val="24"/>
              </w:rPr>
            </w:pP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578488ED">
            <w:pPr>
              <w:spacing w:line="360" w:lineRule="auto"/>
              <w:rPr>
                <w:rFonts w:ascii="宋体" w:hAnsi="宋体" w:cs="宋体"/>
                <w:color w:val="auto"/>
                <w:sz w:val="24"/>
              </w:rPr>
            </w:pP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F76D279">
            <w:pPr>
              <w:spacing w:line="360" w:lineRule="auto"/>
              <w:rPr>
                <w:rFonts w:ascii="宋体" w:hAnsi="宋体" w:cs="宋体"/>
                <w:color w:val="auto"/>
                <w:sz w:val="24"/>
              </w:rPr>
            </w:pP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19D9759">
            <w:pPr>
              <w:spacing w:line="360" w:lineRule="auto"/>
              <w:rPr>
                <w:rFonts w:ascii="宋体" w:hAnsi="宋体" w:cs="宋体"/>
                <w:color w:val="auto"/>
                <w:sz w:val="24"/>
              </w:rPr>
            </w:pP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FE5A676">
            <w:pPr>
              <w:spacing w:line="360" w:lineRule="auto"/>
              <w:rPr>
                <w:rFonts w:ascii="宋体" w:hAnsi="宋体" w:cs="宋体"/>
                <w:color w:val="auto"/>
                <w:sz w:val="24"/>
              </w:rPr>
            </w:pP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AE1023E">
            <w:pPr>
              <w:spacing w:line="360" w:lineRule="auto"/>
              <w:rPr>
                <w:rFonts w:ascii="宋体" w:hAnsi="宋体" w:cs="宋体"/>
                <w:color w:val="auto"/>
                <w:sz w:val="24"/>
              </w:rPr>
            </w:pP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5732E44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6D9C7848">
            <w:pPr>
              <w:spacing w:line="360" w:lineRule="auto"/>
              <w:rPr>
                <w:rFonts w:ascii="宋体" w:hAnsi="宋体" w:cs="宋体"/>
                <w:color w:val="auto"/>
                <w:sz w:val="24"/>
              </w:rPr>
            </w:pP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6886BC07">
            <w:pPr>
              <w:spacing w:line="360" w:lineRule="auto"/>
              <w:rPr>
                <w:rFonts w:ascii="宋体" w:hAnsi="宋体" w:cs="宋体"/>
                <w:color w:val="auto"/>
                <w:sz w:val="24"/>
              </w:rPr>
            </w:pP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4C9B316">
            <w:pPr>
              <w:spacing w:line="360" w:lineRule="auto"/>
              <w:rPr>
                <w:rFonts w:ascii="宋体" w:hAnsi="宋体" w:cs="宋体"/>
                <w:color w:val="auto"/>
                <w:sz w:val="24"/>
              </w:rPr>
            </w:pP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FE4007C">
            <w:pPr>
              <w:spacing w:line="360" w:lineRule="auto"/>
              <w:ind w:left="-420" w:leftChars="-200" w:right="-420" w:rightChars="-200" w:firstLine="480" w:firstLineChars="200"/>
              <w:rPr>
                <w:rFonts w:ascii="宋体" w:hAnsi="宋体" w:cs="宋体"/>
                <w:color w:val="auto"/>
                <w:sz w:val="24"/>
              </w:rPr>
            </w:pP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81ADA47">
            <w:pPr>
              <w:spacing w:line="360" w:lineRule="auto"/>
              <w:ind w:left="-420" w:leftChars="-200" w:right="-420" w:rightChars="-200" w:firstLine="480" w:firstLineChars="200"/>
              <w:rPr>
                <w:rFonts w:ascii="宋体" w:hAnsi="宋体" w:cs="宋体"/>
                <w:color w:val="auto"/>
                <w:sz w:val="24"/>
              </w:rPr>
            </w:pP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5B17D61">
            <w:pPr>
              <w:spacing w:line="360" w:lineRule="auto"/>
              <w:rPr>
                <w:rFonts w:ascii="宋体" w:hAnsi="宋体" w:cs="宋体"/>
                <w:color w:val="auto"/>
                <w:sz w:val="24"/>
              </w:rPr>
            </w:pP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9BBBDEE">
            <w:pPr>
              <w:spacing w:line="360" w:lineRule="auto"/>
              <w:rPr>
                <w:rFonts w:ascii="宋体" w:hAnsi="宋体" w:cs="宋体"/>
                <w:color w:val="auto"/>
                <w:sz w:val="24"/>
              </w:rPr>
            </w:pP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1A53CF9F">
            <w:pPr>
              <w:spacing w:line="360" w:lineRule="auto"/>
              <w:rPr>
                <w:rFonts w:ascii="宋体" w:hAnsi="宋体" w:cs="宋体"/>
                <w:color w:val="auto"/>
                <w:sz w:val="24"/>
              </w:rPr>
            </w:pP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6557939">
            <w:pPr>
              <w:spacing w:line="360" w:lineRule="auto"/>
              <w:rPr>
                <w:rFonts w:ascii="宋体" w:hAnsi="宋体" w:cs="宋体"/>
                <w:color w:val="auto"/>
                <w:sz w:val="24"/>
              </w:rPr>
            </w:pP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99456B6">
            <w:pPr>
              <w:spacing w:line="360" w:lineRule="auto"/>
              <w:rPr>
                <w:rFonts w:ascii="宋体" w:hAnsi="宋体" w:cs="宋体"/>
                <w:color w:val="auto"/>
                <w:sz w:val="24"/>
              </w:rPr>
            </w:pPr>
          </w:p>
        </w:tc>
      </w:tr>
    </w:tbl>
    <w:p w14:paraId="5399B8B8">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95"/>
      <w:r>
        <w:rPr>
          <w:rFonts w:hint="eastAsia" w:cs="仿宋_GB2312" w:asciiTheme="minorEastAsia" w:hAnsiTheme="minorEastAsia" w:eastAsiaTheme="minorEastAsia"/>
          <w:b/>
          <w:color w:val="auto"/>
          <w:sz w:val="36"/>
          <w:szCs w:val="20"/>
        </w:rPr>
        <w:t xml:space="preserve">  </w:t>
      </w:r>
      <w:bookmarkEnd w:id="96"/>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浙江省林业科学研究院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浙江浙坤工程管理有限公司</w:t>
      </w:r>
      <w:r>
        <w:rPr>
          <w:rFonts w:hint="eastAsia" w:cs="仿宋_GB2312" w:asciiTheme="minorEastAsia" w:hAnsiTheme="minorEastAsia" w:eastAsiaTheme="minorEastAsia"/>
          <w:color w:val="auto"/>
          <w:sz w:val="24"/>
        </w:rPr>
        <w:t>：</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浙江省林业科学研究院食堂托管服务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ZKGC2025-XH-030</w:t>
      </w:r>
      <w:r>
        <w:rPr>
          <w:rFonts w:hint="eastAsia" w:cs="仿宋_GB2312" w:asciiTheme="minorEastAsia" w:hAnsiTheme="minorEastAsia" w:eastAsiaTheme="minorEastAsia"/>
          <w:color w:val="auto"/>
          <w:sz w:val="24"/>
        </w:rPr>
        <w:t>】的有关活动，并对此项目进行响应。为此：</w:t>
      </w:r>
    </w:p>
    <w:p w14:paraId="60C04568">
      <w:pPr>
        <w:pStyle w:val="105"/>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0"/>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1"/>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rPr>
      </w:pP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浙江省林业科学研究院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浙江浙坤工程管理有限公司</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浙江省林业科学研究院食堂托管服务</w:t>
      </w:r>
      <w:r>
        <w:rPr>
          <w:rFonts w:hint="eastAsia" w:cs="仿宋_GB2312" w:asciiTheme="minorEastAsia" w:hAnsiTheme="minorEastAsia" w:eastAsiaTheme="minorEastAsia"/>
          <w:color w:val="auto"/>
          <w:kern w:val="0"/>
          <w:sz w:val="24"/>
          <w:lang w:val="zh-CN"/>
        </w:rPr>
        <w:t>【项目编号：ZKGC2025-XH-030】</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浙江省林业科学研究院食堂托管服务</w:t>
      </w:r>
      <w:r>
        <w:rPr>
          <w:rFonts w:hint="eastAsia" w:cs="仿宋_GB2312" w:asciiTheme="minorEastAsia" w:hAnsiTheme="minorEastAsia" w:eastAsiaTheme="minorEastAsia"/>
          <w:color w:val="auto"/>
          <w:kern w:val="0"/>
          <w:sz w:val="24"/>
          <w:lang w:val="zh-CN"/>
        </w:rPr>
        <w:t>【项目编号：ZKGC2025-XH-030】响应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201"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201"/>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202"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202"/>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203"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203"/>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0390D0C8">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浙江省林业科学研究院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浙江浙坤工程管理有限公司</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浙江省林业科学研究院食堂托管服务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ZKGC2025-XH-030</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浙江省林业科学研究院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浙江浙坤工程管理有限公司</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浙江省林业科学研究院食堂托管服务</w:t>
      </w:r>
      <w:r>
        <w:rPr>
          <w:rFonts w:hint="eastAsia" w:cs="仿宋_GB2312" w:asciiTheme="minorEastAsia" w:hAnsiTheme="minorEastAsia" w:eastAsiaTheme="minorEastAsia"/>
          <w:color w:val="auto"/>
          <w:kern w:val="0"/>
          <w:sz w:val="24"/>
          <w:lang w:val="zh-CN"/>
        </w:rPr>
        <w:t>【项目编号：ZKGC2025-XH-030】政府采购响应的一切事项，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19"/>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浙江省林业科学研究院食堂托管服务</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ZKGC2025-XH-030</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6"/>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2"/>
              <w:spacing w:line="360" w:lineRule="auto"/>
              <w:jc w:val="center"/>
              <w:rPr>
                <w:rFonts w:cs="仿宋_GB2312" w:asciiTheme="minorEastAsia" w:hAnsiTheme="minorEastAsia" w:eastAsiaTheme="minorEastAsia"/>
                <w:color w:val="auto"/>
                <w:sz w:val="24"/>
              </w:rPr>
            </w:pPr>
          </w:p>
        </w:tc>
        <w:tc>
          <w:tcPr>
            <w:tcW w:w="1900" w:type="dxa"/>
          </w:tcPr>
          <w:p w14:paraId="4F3E0BEE">
            <w:pPr>
              <w:pStyle w:val="32"/>
              <w:spacing w:line="360" w:lineRule="auto"/>
              <w:jc w:val="center"/>
              <w:rPr>
                <w:rFonts w:cs="仿宋_GB2312" w:asciiTheme="minorEastAsia" w:hAnsiTheme="minorEastAsia" w:eastAsiaTheme="minorEastAsia"/>
                <w:color w:val="auto"/>
                <w:sz w:val="24"/>
              </w:rPr>
            </w:pPr>
          </w:p>
        </w:tc>
        <w:tc>
          <w:tcPr>
            <w:tcW w:w="1800" w:type="dxa"/>
          </w:tcPr>
          <w:p w14:paraId="34E051D9">
            <w:pPr>
              <w:pStyle w:val="32"/>
              <w:spacing w:line="360" w:lineRule="auto"/>
              <w:jc w:val="center"/>
              <w:rPr>
                <w:rFonts w:cs="仿宋_GB2312" w:asciiTheme="minorEastAsia" w:hAnsiTheme="minorEastAsia" w:eastAsiaTheme="minorEastAsia"/>
                <w:color w:val="auto"/>
                <w:sz w:val="24"/>
              </w:rPr>
            </w:pPr>
          </w:p>
        </w:tc>
        <w:tc>
          <w:tcPr>
            <w:tcW w:w="2880" w:type="dxa"/>
          </w:tcPr>
          <w:p w14:paraId="2BC47641">
            <w:pPr>
              <w:pStyle w:val="32"/>
              <w:spacing w:line="360" w:lineRule="auto"/>
              <w:jc w:val="center"/>
              <w:rPr>
                <w:rFonts w:cs="仿宋_GB2312" w:asciiTheme="minorEastAsia" w:hAnsiTheme="minorEastAsia" w:eastAsiaTheme="minorEastAsia"/>
                <w:color w:val="auto"/>
                <w:sz w:val="24"/>
              </w:rPr>
            </w:pPr>
          </w:p>
        </w:tc>
        <w:tc>
          <w:tcPr>
            <w:tcW w:w="1332" w:type="dxa"/>
          </w:tcPr>
          <w:p w14:paraId="6B34937C">
            <w:pPr>
              <w:pStyle w:val="32"/>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2"/>
              <w:spacing w:line="360" w:lineRule="auto"/>
              <w:jc w:val="center"/>
              <w:rPr>
                <w:rFonts w:cs="仿宋_GB2312" w:asciiTheme="minorEastAsia" w:hAnsiTheme="minorEastAsia" w:eastAsiaTheme="minorEastAsia"/>
                <w:color w:val="auto"/>
                <w:sz w:val="24"/>
              </w:rPr>
            </w:pPr>
          </w:p>
        </w:tc>
        <w:tc>
          <w:tcPr>
            <w:tcW w:w="1900" w:type="dxa"/>
          </w:tcPr>
          <w:p w14:paraId="45455C94">
            <w:pPr>
              <w:pStyle w:val="32"/>
              <w:spacing w:line="360" w:lineRule="auto"/>
              <w:jc w:val="center"/>
              <w:rPr>
                <w:rFonts w:cs="仿宋_GB2312" w:asciiTheme="minorEastAsia" w:hAnsiTheme="minorEastAsia" w:eastAsiaTheme="minorEastAsia"/>
                <w:color w:val="auto"/>
                <w:sz w:val="24"/>
              </w:rPr>
            </w:pPr>
          </w:p>
        </w:tc>
        <w:tc>
          <w:tcPr>
            <w:tcW w:w="1800" w:type="dxa"/>
          </w:tcPr>
          <w:p w14:paraId="5D93ADB1">
            <w:pPr>
              <w:pStyle w:val="32"/>
              <w:spacing w:line="360" w:lineRule="auto"/>
              <w:jc w:val="center"/>
              <w:rPr>
                <w:rFonts w:cs="仿宋_GB2312" w:asciiTheme="minorEastAsia" w:hAnsiTheme="minorEastAsia" w:eastAsiaTheme="minorEastAsia"/>
                <w:color w:val="auto"/>
                <w:sz w:val="24"/>
              </w:rPr>
            </w:pPr>
          </w:p>
        </w:tc>
        <w:tc>
          <w:tcPr>
            <w:tcW w:w="2880" w:type="dxa"/>
          </w:tcPr>
          <w:p w14:paraId="6A070FEB">
            <w:pPr>
              <w:pStyle w:val="32"/>
              <w:spacing w:line="360" w:lineRule="auto"/>
              <w:jc w:val="center"/>
              <w:rPr>
                <w:rFonts w:cs="仿宋_GB2312" w:asciiTheme="minorEastAsia" w:hAnsiTheme="minorEastAsia" w:eastAsiaTheme="minorEastAsia"/>
                <w:color w:val="auto"/>
                <w:sz w:val="24"/>
              </w:rPr>
            </w:pPr>
          </w:p>
        </w:tc>
        <w:tc>
          <w:tcPr>
            <w:tcW w:w="1332" w:type="dxa"/>
          </w:tcPr>
          <w:p w14:paraId="7B10F6F5">
            <w:pPr>
              <w:pStyle w:val="32"/>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2"/>
              <w:spacing w:line="360" w:lineRule="auto"/>
              <w:jc w:val="center"/>
              <w:rPr>
                <w:rFonts w:cs="仿宋_GB2312" w:asciiTheme="minorEastAsia" w:hAnsiTheme="minorEastAsia" w:eastAsiaTheme="minorEastAsia"/>
                <w:color w:val="auto"/>
                <w:sz w:val="24"/>
              </w:rPr>
            </w:pPr>
          </w:p>
        </w:tc>
        <w:tc>
          <w:tcPr>
            <w:tcW w:w="1900" w:type="dxa"/>
          </w:tcPr>
          <w:p w14:paraId="288D92EB">
            <w:pPr>
              <w:pStyle w:val="32"/>
              <w:spacing w:line="360" w:lineRule="auto"/>
              <w:jc w:val="center"/>
              <w:rPr>
                <w:rFonts w:cs="仿宋_GB2312" w:asciiTheme="minorEastAsia" w:hAnsiTheme="minorEastAsia" w:eastAsiaTheme="minorEastAsia"/>
                <w:color w:val="auto"/>
                <w:sz w:val="24"/>
              </w:rPr>
            </w:pPr>
          </w:p>
        </w:tc>
        <w:tc>
          <w:tcPr>
            <w:tcW w:w="1800" w:type="dxa"/>
          </w:tcPr>
          <w:p w14:paraId="585357CB">
            <w:pPr>
              <w:pStyle w:val="32"/>
              <w:spacing w:line="360" w:lineRule="auto"/>
              <w:jc w:val="center"/>
              <w:rPr>
                <w:rFonts w:cs="仿宋_GB2312" w:asciiTheme="minorEastAsia" w:hAnsiTheme="minorEastAsia" w:eastAsiaTheme="minorEastAsia"/>
                <w:color w:val="auto"/>
                <w:sz w:val="24"/>
              </w:rPr>
            </w:pPr>
          </w:p>
        </w:tc>
        <w:tc>
          <w:tcPr>
            <w:tcW w:w="2880" w:type="dxa"/>
          </w:tcPr>
          <w:p w14:paraId="573D3395">
            <w:pPr>
              <w:pStyle w:val="32"/>
              <w:spacing w:line="360" w:lineRule="auto"/>
              <w:jc w:val="center"/>
              <w:rPr>
                <w:rFonts w:cs="仿宋_GB2312" w:asciiTheme="minorEastAsia" w:hAnsiTheme="minorEastAsia" w:eastAsiaTheme="minorEastAsia"/>
                <w:color w:val="auto"/>
                <w:sz w:val="24"/>
              </w:rPr>
            </w:pPr>
          </w:p>
        </w:tc>
        <w:tc>
          <w:tcPr>
            <w:tcW w:w="1332" w:type="dxa"/>
          </w:tcPr>
          <w:p w14:paraId="5BFCE30E">
            <w:pPr>
              <w:pStyle w:val="32"/>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2"/>
              <w:spacing w:line="360" w:lineRule="auto"/>
              <w:jc w:val="center"/>
              <w:rPr>
                <w:rFonts w:cs="仿宋_GB2312" w:asciiTheme="minorEastAsia" w:hAnsiTheme="minorEastAsia" w:eastAsiaTheme="minorEastAsia"/>
                <w:color w:val="auto"/>
                <w:sz w:val="24"/>
              </w:rPr>
            </w:pPr>
          </w:p>
        </w:tc>
        <w:tc>
          <w:tcPr>
            <w:tcW w:w="1900" w:type="dxa"/>
          </w:tcPr>
          <w:p w14:paraId="23194971">
            <w:pPr>
              <w:pStyle w:val="32"/>
              <w:spacing w:line="360" w:lineRule="auto"/>
              <w:jc w:val="center"/>
              <w:rPr>
                <w:rFonts w:cs="仿宋_GB2312" w:asciiTheme="minorEastAsia" w:hAnsiTheme="minorEastAsia" w:eastAsiaTheme="minorEastAsia"/>
                <w:color w:val="auto"/>
                <w:sz w:val="24"/>
              </w:rPr>
            </w:pPr>
          </w:p>
        </w:tc>
        <w:tc>
          <w:tcPr>
            <w:tcW w:w="1800" w:type="dxa"/>
          </w:tcPr>
          <w:p w14:paraId="6BFDB07E">
            <w:pPr>
              <w:pStyle w:val="32"/>
              <w:spacing w:line="360" w:lineRule="auto"/>
              <w:jc w:val="center"/>
              <w:rPr>
                <w:rFonts w:cs="仿宋_GB2312" w:asciiTheme="minorEastAsia" w:hAnsiTheme="minorEastAsia" w:eastAsiaTheme="minorEastAsia"/>
                <w:color w:val="auto"/>
                <w:sz w:val="24"/>
              </w:rPr>
            </w:pPr>
          </w:p>
        </w:tc>
        <w:tc>
          <w:tcPr>
            <w:tcW w:w="2880" w:type="dxa"/>
          </w:tcPr>
          <w:p w14:paraId="06A284D4">
            <w:pPr>
              <w:pStyle w:val="32"/>
              <w:spacing w:line="360" w:lineRule="auto"/>
              <w:jc w:val="center"/>
              <w:rPr>
                <w:rFonts w:cs="仿宋_GB2312" w:asciiTheme="minorEastAsia" w:hAnsiTheme="minorEastAsia" w:eastAsiaTheme="minorEastAsia"/>
                <w:color w:val="auto"/>
                <w:sz w:val="24"/>
              </w:rPr>
            </w:pPr>
          </w:p>
        </w:tc>
        <w:tc>
          <w:tcPr>
            <w:tcW w:w="1332" w:type="dxa"/>
          </w:tcPr>
          <w:p w14:paraId="0E226CE9">
            <w:pPr>
              <w:pStyle w:val="32"/>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2"/>
              <w:spacing w:line="360" w:lineRule="auto"/>
              <w:jc w:val="center"/>
              <w:rPr>
                <w:rFonts w:cs="仿宋_GB2312" w:asciiTheme="minorEastAsia" w:hAnsiTheme="minorEastAsia" w:eastAsiaTheme="minorEastAsia"/>
                <w:color w:val="auto"/>
                <w:sz w:val="24"/>
              </w:rPr>
            </w:pPr>
          </w:p>
        </w:tc>
        <w:tc>
          <w:tcPr>
            <w:tcW w:w="1900" w:type="dxa"/>
          </w:tcPr>
          <w:p w14:paraId="7CDA8FDA">
            <w:pPr>
              <w:pStyle w:val="32"/>
              <w:spacing w:line="360" w:lineRule="auto"/>
              <w:jc w:val="center"/>
              <w:rPr>
                <w:rFonts w:cs="仿宋_GB2312" w:asciiTheme="minorEastAsia" w:hAnsiTheme="minorEastAsia" w:eastAsiaTheme="minorEastAsia"/>
                <w:color w:val="auto"/>
                <w:sz w:val="24"/>
              </w:rPr>
            </w:pPr>
          </w:p>
        </w:tc>
        <w:tc>
          <w:tcPr>
            <w:tcW w:w="1800" w:type="dxa"/>
          </w:tcPr>
          <w:p w14:paraId="04467D2A">
            <w:pPr>
              <w:pStyle w:val="32"/>
              <w:spacing w:line="360" w:lineRule="auto"/>
              <w:jc w:val="center"/>
              <w:rPr>
                <w:rFonts w:cs="仿宋_GB2312" w:asciiTheme="minorEastAsia" w:hAnsiTheme="minorEastAsia" w:eastAsiaTheme="minorEastAsia"/>
                <w:color w:val="auto"/>
                <w:sz w:val="24"/>
              </w:rPr>
            </w:pPr>
          </w:p>
        </w:tc>
        <w:tc>
          <w:tcPr>
            <w:tcW w:w="2880" w:type="dxa"/>
          </w:tcPr>
          <w:p w14:paraId="377B2673">
            <w:pPr>
              <w:pStyle w:val="32"/>
              <w:spacing w:line="360" w:lineRule="auto"/>
              <w:jc w:val="center"/>
              <w:rPr>
                <w:rFonts w:cs="仿宋_GB2312" w:asciiTheme="minorEastAsia" w:hAnsiTheme="minorEastAsia" w:eastAsiaTheme="minorEastAsia"/>
                <w:color w:val="auto"/>
                <w:sz w:val="24"/>
              </w:rPr>
            </w:pPr>
          </w:p>
        </w:tc>
        <w:tc>
          <w:tcPr>
            <w:tcW w:w="1332" w:type="dxa"/>
          </w:tcPr>
          <w:p w14:paraId="3BE51CF0">
            <w:pPr>
              <w:pStyle w:val="32"/>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2"/>
              <w:spacing w:line="360" w:lineRule="auto"/>
              <w:rPr>
                <w:rFonts w:cs="仿宋_GB2312" w:asciiTheme="minorEastAsia" w:hAnsiTheme="minorEastAsia" w:eastAsiaTheme="minorEastAsia"/>
                <w:color w:val="auto"/>
                <w:sz w:val="24"/>
              </w:rPr>
            </w:pPr>
          </w:p>
        </w:tc>
        <w:tc>
          <w:tcPr>
            <w:tcW w:w="1900" w:type="dxa"/>
          </w:tcPr>
          <w:p w14:paraId="43EEAD2E">
            <w:pPr>
              <w:pStyle w:val="32"/>
              <w:spacing w:line="360" w:lineRule="auto"/>
              <w:jc w:val="center"/>
              <w:rPr>
                <w:rFonts w:cs="仿宋_GB2312" w:asciiTheme="minorEastAsia" w:hAnsiTheme="minorEastAsia" w:eastAsiaTheme="minorEastAsia"/>
                <w:color w:val="auto"/>
                <w:sz w:val="24"/>
              </w:rPr>
            </w:pPr>
          </w:p>
        </w:tc>
        <w:tc>
          <w:tcPr>
            <w:tcW w:w="1800" w:type="dxa"/>
          </w:tcPr>
          <w:p w14:paraId="2633FF68">
            <w:pPr>
              <w:pStyle w:val="32"/>
              <w:spacing w:line="360" w:lineRule="auto"/>
              <w:jc w:val="center"/>
              <w:rPr>
                <w:rFonts w:cs="仿宋_GB2312" w:asciiTheme="minorEastAsia" w:hAnsiTheme="minorEastAsia" w:eastAsiaTheme="minorEastAsia"/>
                <w:color w:val="auto"/>
                <w:sz w:val="24"/>
              </w:rPr>
            </w:pPr>
          </w:p>
        </w:tc>
        <w:tc>
          <w:tcPr>
            <w:tcW w:w="2880" w:type="dxa"/>
          </w:tcPr>
          <w:p w14:paraId="566C5169">
            <w:pPr>
              <w:pStyle w:val="32"/>
              <w:spacing w:line="360" w:lineRule="auto"/>
              <w:jc w:val="center"/>
              <w:rPr>
                <w:rFonts w:cs="仿宋_GB2312" w:asciiTheme="minorEastAsia" w:hAnsiTheme="minorEastAsia" w:eastAsiaTheme="minorEastAsia"/>
                <w:color w:val="auto"/>
                <w:sz w:val="24"/>
              </w:rPr>
            </w:pPr>
          </w:p>
        </w:tc>
        <w:tc>
          <w:tcPr>
            <w:tcW w:w="1332" w:type="dxa"/>
          </w:tcPr>
          <w:p w14:paraId="680771E7">
            <w:pPr>
              <w:pStyle w:val="32"/>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2"/>
              <w:spacing w:line="360" w:lineRule="auto"/>
              <w:jc w:val="center"/>
              <w:rPr>
                <w:rFonts w:cs="仿宋_GB2312" w:asciiTheme="minorEastAsia" w:hAnsiTheme="minorEastAsia" w:eastAsiaTheme="minorEastAsia"/>
                <w:color w:val="auto"/>
                <w:sz w:val="24"/>
              </w:rPr>
            </w:pPr>
          </w:p>
        </w:tc>
        <w:tc>
          <w:tcPr>
            <w:tcW w:w="1900" w:type="dxa"/>
          </w:tcPr>
          <w:p w14:paraId="73C593D1">
            <w:pPr>
              <w:pStyle w:val="32"/>
              <w:spacing w:line="360" w:lineRule="auto"/>
              <w:jc w:val="center"/>
              <w:rPr>
                <w:rFonts w:cs="仿宋_GB2312" w:asciiTheme="minorEastAsia" w:hAnsiTheme="minorEastAsia" w:eastAsiaTheme="minorEastAsia"/>
                <w:color w:val="auto"/>
                <w:sz w:val="24"/>
              </w:rPr>
            </w:pPr>
          </w:p>
        </w:tc>
        <w:tc>
          <w:tcPr>
            <w:tcW w:w="1800" w:type="dxa"/>
          </w:tcPr>
          <w:p w14:paraId="50F516DE">
            <w:pPr>
              <w:pStyle w:val="32"/>
              <w:spacing w:line="360" w:lineRule="auto"/>
              <w:jc w:val="center"/>
              <w:rPr>
                <w:rFonts w:cs="仿宋_GB2312" w:asciiTheme="minorEastAsia" w:hAnsiTheme="minorEastAsia" w:eastAsiaTheme="minorEastAsia"/>
                <w:color w:val="auto"/>
                <w:sz w:val="24"/>
              </w:rPr>
            </w:pPr>
          </w:p>
        </w:tc>
        <w:tc>
          <w:tcPr>
            <w:tcW w:w="2880" w:type="dxa"/>
          </w:tcPr>
          <w:p w14:paraId="17FB997C">
            <w:pPr>
              <w:pStyle w:val="32"/>
              <w:spacing w:line="360" w:lineRule="auto"/>
              <w:jc w:val="center"/>
              <w:rPr>
                <w:rFonts w:cs="仿宋_GB2312" w:asciiTheme="minorEastAsia" w:hAnsiTheme="minorEastAsia" w:eastAsiaTheme="minorEastAsia"/>
                <w:color w:val="auto"/>
                <w:sz w:val="24"/>
              </w:rPr>
            </w:pPr>
          </w:p>
        </w:tc>
        <w:tc>
          <w:tcPr>
            <w:tcW w:w="1332" w:type="dxa"/>
          </w:tcPr>
          <w:p w14:paraId="51DBF068">
            <w:pPr>
              <w:pStyle w:val="32"/>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浙江省林业科学研究院</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570CB6EF">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浙江省林业科学研究院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浙江浙坤工程管理有限公司</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浙江省林业科学研究院食堂托管服务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ZKGC2025-XH-030</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907D12F">
      <w:pPr>
        <w:spacing w:line="360" w:lineRule="auto"/>
        <w:ind w:firstLine="480" w:firstLineChars="200"/>
        <w:rPr>
          <w:rFonts w:cs="仿宋_GB2312" w:asciiTheme="minorEastAsia" w:hAnsiTheme="minorEastAsia" w:eastAsiaTheme="minorEastAsia"/>
          <w:color w:val="auto"/>
          <w:kern w:val="0"/>
          <w:sz w:val="24"/>
          <w:u w:val="single"/>
          <w:lang w:val="zh-CN"/>
        </w:rPr>
      </w:pP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6695FBCD">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204"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204"/>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浙江省林业科学研究院</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浙江省林业科学研究院食堂托管服务</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浙江省林业科学研究院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浙江浙坤工程管理有限公司</w:t>
      </w:r>
      <w:r>
        <w:rPr>
          <w:rFonts w:hint="eastAsia" w:cs="仿宋_GB2312" w:asciiTheme="minorEastAsia" w:hAnsiTheme="minorEastAsia" w:eastAsiaTheme="minorEastAsia"/>
          <w:color w:val="auto"/>
          <w:sz w:val="24"/>
        </w:rPr>
        <w:t>：</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浙江省林业科学研究院食堂托管服务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ZKGC2025-XH-030</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浙江省林业科学研究院</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浙江省林业科学研究院食堂托管服务</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10E86E7">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NumberOnly"/>
    <w:panose1 w:val="020B0502040504020204"/>
    <w:charset w:val="00"/>
    <w:family w:val="auto"/>
    <w:pitch w:val="default"/>
    <w:sig w:usb0="00000000" w:usb1="00000000" w:usb2="00000008" w:usb3="00000000" w:csb0="00000041" w:csb1="0008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Nimbus Roman No9 L">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文泉驿微米黑">
    <w:altName w:val="黑体"/>
    <w:panose1 w:val="020B0606030804020204"/>
    <w:charset w:val="86"/>
    <w:family w:val="auto"/>
    <w:pitch w:val="default"/>
    <w:sig w:usb0="00000000" w:usb1="00000000" w:usb2="00800036" w:usb3="00000000" w:csb0="603E019F" w:csb1="DFD7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NumberOnly">
    <w:panose1 w:val="020B0500000000000000"/>
    <w:charset w:val="00"/>
    <w:family w:val="auto"/>
    <w:pitch w:val="default"/>
    <w:sig w:usb0="8000002F" w:usb1="10000048" w:usb2="00000000" w:usb3="00000000" w:csb0="00000111" w:csb1="4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8"/>
      <w:framePr w:wrap="around" w:vAnchor="text" w:hAnchor="margin" w:xAlign="right" w:y="1"/>
      <w:rPr>
        <w:rStyle w:val="64"/>
      </w:rPr>
    </w:pPr>
    <w:r>
      <w:fldChar w:fldCharType="begin"/>
    </w:r>
    <w:r>
      <w:rPr>
        <w:rStyle w:val="64"/>
      </w:rPr>
      <w:instrText xml:space="preserve">PAGE  </w:instrText>
    </w:r>
    <w:r>
      <w:fldChar w:fldCharType="end"/>
    </w:r>
  </w:p>
  <w:p w14:paraId="3F34B94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8"/>
      <w:framePr w:wrap="around" w:vAnchor="text" w:hAnchor="margin" w:xAlign="right" w:y="1"/>
      <w:rPr>
        <w:rStyle w:val="64"/>
      </w:rPr>
    </w:pPr>
    <w:r>
      <w:fldChar w:fldCharType="begin"/>
    </w:r>
    <w:r>
      <w:rPr>
        <w:rStyle w:val="64"/>
      </w:rPr>
      <w:instrText xml:space="preserve">PAGE  </w:instrText>
    </w:r>
    <w:r>
      <w:fldChar w:fldCharType="end"/>
    </w:r>
  </w:p>
  <w:p w14:paraId="49CD9CF1">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205" w:name="_Toc91899912"/>
    <w:bookmarkStart w:id="206" w:name="_Toc131845147"/>
    <w:bookmarkStart w:id="207" w:name="_Toc36110187"/>
    <w:bookmarkStart w:id="208" w:name="_Toc164085800"/>
    <w:r>
      <w:rPr>
        <w:rFonts w:hint="eastAsia" w:ascii="仿宋_GB2312" w:eastAsia="仿宋_GB2312"/>
        <w:kern w:val="0"/>
        <w:szCs w:val="21"/>
      </w:rPr>
      <w:t xml:space="preserve"> 页</w:t>
    </w:r>
    <w:bookmarkEnd w:id="205"/>
    <w:bookmarkEnd w:id="206"/>
    <w:bookmarkEnd w:id="207"/>
    <w:bookmarkEnd w:id="2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7"/>
      <w:ind w:firstLine="180" w:firstLineChars="100"/>
      <w:jc w:val="both"/>
      <w:rPr>
        <w:rFonts w:hint="default" w:ascii="仿宋_GB2312" w:eastAsia="宋体"/>
        <w:b w:val="0"/>
        <w:i/>
        <w:sz w:val="18"/>
        <w:u w:val="single"/>
        <w:lang w:val="en-US" w:eastAsia="zh-CN"/>
      </w:rPr>
    </w:pPr>
    <w:r>
      <w:rPr>
        <w:rFonts w:hint="eastAsia" w:eastAsia="仿宋_GB2312"/>
        <w:b w:val="0"/>
        <w:i/>
        <w:sz w:val="18"/>
        <w:u w:val="single"/>
      </w:rPr>
      <w:t xml:space="preserve">                                                                      </w:t>
    </w:r>
    <w:r>
      <w:rPr>
        <w:rFonts w:hint="eastAsia"/>
        <w:b w:val="0"/>
        <w:sz w:val="18"/>
        <w:u w:val="single"/>
      </w:rPr>
      <w:t xml:space="preserve"> </w:t>
    </w:r>
    <w:r>
      <w:rPr>
        <w:rFonts w:hint="eastAsia"/>
        <w:b w:val="0"/>
        <w:sz w:val="18"/>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9"/>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83452C"/>
    <w:rsid w:val="065A6178"/>
    <w:rsid w:val="074E5106"/>
    <w:rsid w:val="075562B7"/>
    <w:rsid w:val="07F6164B"/>
    <w:rsid w:val="087A1B7A"/>
    <w:rsid w:val="096B2097"/>
    <w:rsid w:val="0A5B7E63"/>
    <w:rsid w:val="0ACD4199"/>
    <w:rsid w:val="0C87121B"/>
    <w:rsid w:val="0DF702FE"/>
    <w:rsid w:val="0E3F698B"/>
    <w:rsid w:val="0F21508F"/>
    <w:rsid w:val="0F816ACD"/>
    <w:rsid w:val="0FB94501"/>
    <w:rsid w:val="10B047CF"/>
    <w:rsid w:val="10FC16EA"/>
    <w:rsid w:val="118963A1"/>
    <w:rsid w:val="127723A9"/>
    <w:rsid w:val="13072A44"/>
    <w:rsid w:val="132F6A72"/>
    <w:rsid w:val="145044FA"/>
    <w:rsid w:val="186742B0"/>
    <w:rsid w:val="1B2A271F"/>
    <w:rsid w:val="1B890139"/>
    <w:rsid w:val="1D266CE1"/>
    <w:rsid w:val="1D3963AF"/>
    <w:rsid w:val="1E714A66"/>
    <w:rsid w:val="1FE868A9"/>
    <w:rsid w:val="211E26D6"/>
    <w:rsid w:val="21283D08"/>
    <w:rsid w:val="25B440B3"/>
    <w:rsid w:val="2AA1365A"/>
    <w:rsid w:val="2DC46415"/>
    <w:rsid w:val="2DD15014"/>
    <w:rsid w:val="2FB44A0F"/>
    <w:rsid w:val="2FD25781"/>
    <w:rsid w:val="319C6071"/>
    <w:rsid w:val="31A905EB"/>
    <w:rsid w:val="322E1CFE"/>
    <w:rsid w:val="32DB72BE"/>
    <w:rsid w:val="342E63AB"/>
    <w:rsid w:val="345D260B"/>
    <w:rsid w:val="365302AE"/>
    <w:rsid w:val="37F142D2"/>
    <w:rsid w:val="39A13F14"/>
    <w:rsid w:val="3B6A5AD3"/>
    <w:rsid w:val="3B79C5FC"/>
    <w:rsid w:val="3C5F759A"/>
    <w:rsid w:val="3D5C78D4"/>
    <w:rsid w:val="3FFF72A6"/>
    <w:rsid w:val="42103979"/>
    <w:rsid w:val="42E1381E"/>
    <w:rsid w:val="43FB717C"/>
    <w:rsid w:val="451E447A"/>
    <w:rsid w:val="45345B76"/>
    <w:rsid w:val="45B44352"/>
    <w:rsid w:val="47307808"/>
    <w:rsid w:val="486F747C"/>
    <w:rsid w:val="4A4C6FB8"/>
    <w:rsid w:val="4AC62A0B"/>
    <w:rsid w:val="4D861CF6"/>
    <w:rsid w:val="4E4D5946"/>
    <w:rsid w:val="51A0432A"/>
    <w:rsid w:val="527140E5"/>
    <w:rsid w:val="5292508F"/>
    <w:rsid w:val="52A96B6F"/>
    <w:rsid w:val="545735C7"/>
    <w:rsid w:val="550764A4"/>
    <w:rsid w:val="551926E0"/>
    <w:rsid w:val="553D0290"/>
    <w:rsid w:val="561279B9"/>
    <w:rsid w:val="56515F3B"/>
    <w:rsid w:val="5676E2BD"/>
    <w:rsid w:val="572B71CA"/>
    <w:rsid w:val="57E958DA"/>
    <w:rsid w:val="58AE4F0C"/>
    <w:rsid w:val="5A2A7C7B"/>
    <w:rsid w:val="5BE02A4F"/>
    <w:rsid w:val="5C80234E"/>
    <w:rsid w:val="5E261785"/>
    <w:rsid w:val="5FCC5339"/>
    <w:rsid w:val="5FE70807"/>
    <w:rsid w:val="60E53485"/>
    <w:rsid w:val="61054A27"/>
    <w:rsid w:val="611D2366"/>
    <w:rsid w:val="612A3574"/>
    <w:rsid w:val="62885958"/>
    <w:rsid w:val="64CE2EAA"/>
    <w:rsid w:val="662E75B1"/>
    <w:rsid w:val="66342C2E"/>
    <w:rsid w:val="663E784C"/>
    <w:rsid w:val="685867EC"/>
    <w:rsid w:val="6E8E12EF"/>
    <w:rsid w:val="71D43752"/>
    <w:rsid w:val="72A11F2B"/>
    <w:rsid w:val="72FFFA5B"/>
    <w:rsid w:val="73DD6243"/>
    <w:rsid w:val="749C4185"/>
    <w:rsid w:val="75DA2C18"/>
    <w:rsid w:val="775319EF"/>
    <w:rsid w:val="782D083A"/>
    <w:rsid w:val="790F1C77"/>
    <w:rsid w:val="7A67303B"/>
    <w:rsid w:val="7AAB1D04"/>
    <w:rsid w:val="7ABA4368"/>
    <w:rsid w:val="7B257FFD"/>
    <w:rsid w:val="7C2B1DA5"/>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501"/>
    <w:qFormat/>
    <w:uiPriority w:val="0"/>
    <w:pPr>
      <w:adjustRightInd/>
      <w:spacing w:after="120" w:line="240" w:lineRule="auto"/>
      <w:ind w:left="420" w:leftChars="200" w:firstLine="210"/>
    </w:pPr>
    <w:rPr>
      <w:sz w:val="21"/>
    </w:rPr>
  </w:style>
  <w:style w:type="paragraph" w:styleId="3">
    <w:name w:val="Body Text Indent"/>
    <w:basedOn w:val="1"/>
    <w:next w:val="1"/>
    <w:link w:val="474"/>
    <w:qFormat/>
    <w:uiPriority w:val="0"/>
    <w:pPr>
      <w:spacing w:line="480" w:lineRule="exact"/>
      <w:ind w:firstLine="480" w:firstLineChars="200"/>
    </w:pPr>
    <w:rPr>
      <w:rFonts w:ascii="宋体" w:hAnsi="宋体"/>
      <w:sz w:val="24"/>
    </w:rPr>
  </w:style>
  <w:style w:type="paragraph" w:styleId="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3"/>
    <w:qFormat/>
    <w:uiPriority w:val="99"/>
    <w:pPr>
      <w:jc w:val="left"/>
    </w:pPr>
  </w:style>
  <w:style w:type="paragraph" w:styleId="23">
    <w:name w:val="Salutation"/>
    <w:basedOn w:val="1"/>
    <w:next w:val="1"/>
    <w:link w:val="481"/>
    <w:qFormat/>
    <w:uiPriority w:val="0"/>
    <w:rPr>
      <w:rFonts w:ascii="仿宋_GB2312" w:eastAsia="仿宋_GB2312"/>
      <w:sz w:val="28"/>
      <w:szCs w:val="20"/>
    </w:rPr>
  </w:style>
  <w:style w:type="paragraph" w:styleId="24">
    <w:name w:val="Body Text 3"/>
    <w:basedOn w:val="1"/>
    <w:link w:val="580"/>
    <w:qFormat/>
    <w:uiPriority w:val="0"/>
    <w:pPr>
      <w:jc w:val="center"/>
    </w:pPr>
    <w:rPr>
      <w:szCs w:val="20"/>
    </w:rPr>
  </w:style>
  <w:style w:type="paragraph" w:styleId="25">
    <w:name w:val="Body Text"/>
    <w:basedOn w:val="1"/>
    <w:next w:val="1"/>
    <w:link w:val="511"/>
    <w:qFormat/>
    <w:uiPriority w:val="0"/>
    <w:pPr>
      <w:autoSpaceDE w:val="0"/>
      <w:autoSpaceDN w:val="0"/>
      <w:spacing w:line="360" w:lineRule="auto"/>
    </w:pPr>
    <w:rPr>
      <w:rFonts w:ascii="宋体"/>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8"/>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w:basedOn w:val="25"/>
    <w:link w:val="544"/>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8"/>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8"/>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7"/>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7"/>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8"/>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9"/>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9"/>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5"/>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5"/>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2"/>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1"/>
    <w:qFormat/>
    <w:uiPriority w:val="0"/>
    <w:rPr>
      <w:b/>
      <w:bCs/>
      <w:kern w:val="2"/>
      <w:sz w:val="24"/>
      <w:szCs w:val="24"/>
    </w:rPr>
  </w:style>
  <w:style w:type="character" w:customStyle="1" w:styleId="481">
    <w:name w:val="称呼 Char"/>
    <w:link w:val="23"/>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3"/>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5"/>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9"/>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4"/>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8"/>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10"/>
    <w:qFormat/>
    <w:uiPriority w:val="0"/>
    <w:rPr>
      <w:rFonts w:ascii="Arial" w:hAnsi="Arial" w:eastAsia="黑体"/>
      <w:b/>
      <w:bCs/>
      <w:kern w:val="2"/>
      <w:sz w:val="24"/>
      <w:szCs w:val="24"/>
    </w:rPr>
  </w:style>
  <w:style w:type="character" w:customStyle="1" w:styleId="612">
    <w:name w:val="正文缩进 Char2"/>
    <w:link w:val="18"/>
    <w:qFormat/>
    <w:uiPriority w:val="0"/>
    <w:rPr>
      <w:rFonts w:ascii="宋体" w:eastAsia="宋体"/>
      <w:snapToGrid w:val="0"/>
      <w:color w:val="000000"/>
      <w:kern w:val="28"/>
      <w:sz w:val="28"/>
      <w:lang w:val="en-US" w:eastAsia="zh-CN" w:bidi="ar-SA"/>
    </w:rPr>
  </w:style>
  <w:style w:type="character" w:customStyle="1" w:styleId="613">
    <w:name w:val="批注文字 Char1"/>
    <w:link w:val="22"/>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Normal]"/>
    <w:qFormat/>
    <w:uiPriority w:val="0"/>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321</Words>
  <Characters>347</Characters>
  <Lines>379</Lines>
  <Paragraphs>106</Paragraphs>
  <TotalTime>2</TotalTime>
  <ScaleCrop>false</ScaleCrop>
  <LinksUpToDate>false</LinksUpToDate>
  <CharactersWithSpaces>460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就叫西瓜吧</cp:lastModifiedBy>
  <cp:lastPrinted>2021-10-23T18:37:00Z</cp:lastPrinted>
  <dcterms:modified xsi:type="dcterms:W3CDTF">2025-03-05T03:09:02Z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50B4BF5B81FB67EEACC9BA67F7A46BBE_43</vt:lpwstr>
  </property>
  <property fmtid="{D5CDD505-2E9C-101B-9397-08002B2CF9AE}" pid="4" name="KSOTemplateDocerSaveRecord">
    <vt:lpwstr>eyJoZGlkIjoiN2YzNjBkOTgyNWQ1YTMxYzM3MzMwNWFiODNmOWIzYWMiLCJ1c2VySWQiOiI0MjA4OTE4NDAifQ==</vt:lpwstr>
  </property>
</Properties>
</file>