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sz w:val="48"/>
          <w:szCs w:val="48"/>
          <w:lang w:eastAsia="zh-CN"/>
        </w:rPr>
      </w:pPr>
      <w:r>
        <w:rPr>
          <w:rFonts w:hint="eastAsia" w:ascii="宋体" w:hAnsi="宋体" w:cs="宋体"/>
          <w:sz w:val="48"/>
          <w:szCs w:val="48"/>
          <w:lang w:eastAsia="zh-CN"/>
        </w:rPr>
        <w:t>滨康区块地下空间堆积物清理项目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ZKGC2025-BJ-005</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both"/>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杭州市滨江区人民政府西兴街道办事处</w:t>
      </w:r>
    </w:p>
    <w:p>
      <w:pPr>
        <w:spacing w:line="360" w:lineRule="auto"/>
        <w:jc w:val="center"/>
        <w:rPr>
          <w:rFonts w:ascii="宋体" w:hAnsi="宋体" w:cs="宋体"/>
          <w:bCs/>
          <w:sz w:val="32"/>
          <w:szCs w:val="32"/>
        </w:rPr>
      </w:pPr>
      <w:r>
        <w:rPr>
          <w:rFonts w:hint="eastAsia" w:ascii="宋体" w:hAnsi="宋体" w:cs="宋体"/>
          <w:bCs/>
          <w:sz w:val="32"/>
          <w:szCs w:val="32"/>
        </w:rPr>
        <w:t>浙江浙坤工程管理有限公司</w:t>
      </w:r>
    </w:p>
    <w:p>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二〇二四年</w:t>
      </w:r>
      <w:r>
        <w:rPr>
          <w:rFonts w:hint="eastAsia" w:ascii="宋体" w:hAnsi="宋体" w:cs="宋体"/>
          <w:bCs/>
          <w:sz w:val="32"/>
          <w:szCs w:val="32"/>
          <w:highlight w:val="none"/>
          <w:lang w:val="en-US" w:eastAsia="zh-CN"/>
        </w:rPr>
        <w:t>十二</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三十</w:t>
      </w:r>
      <w:r>
        <w:rPr>
          <w:rFonts w:hint="eastAsia" w:ascii="宋体" w:hAnsi="宋体" w:cs="宋体"/>
          <w:bCs/>
          <w:sz w:val="32"/>
          <w:szCs w:val="32"/>
          <w:highlight w:val="none"/>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6"/>
        <w:outlineLvl w:val="9"/>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滨康区块地下空间堆积物清理项目</w:t>
      </w:r>
      <w:r>
        <w:rPr>
          <w:rFonts w:hint="eastAsia" w:ascii="宋体" w:hAnsi="宋体" w:cs="宋体"/>
          <w:sz w:val="24"/>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1月23日13点30分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ZKGC2025-BJ-005</w:t>
      </w:r>
    </w:p>
    <w:p>
      <w:pPr>
        <w:spacing w:line="360" w:lineRule="auto"/>
        <w:ind w:firstLine="480"/>
        <w:rPr>
          <w:rFonts w:hint="eastAsia" w:ascii="宋体" w:hAnsi="宋体" w:cs="宋体"/>
          <w:b/>
          <w:sz w:val="24"/>
        </w:rPr>
      </w:pPr>
      <w:r>
        <w:rPr>
          <w:rFonts w:hint="eastAsia" w:ascii="宋体" w:hAnsi="宋体" w:cs="宋体"/>
          <w:b/>
          <w:sz w:val="24"/>
        </w:rPr>
        <w:t>项目名称：</w:t>
      </w:r>
      <w:r>
        <w:rPr>
          <w:rFonts w:hint="eastAsia" w:ascii="宋体" w:hAnsi="宋体" w:cs="宋体"/>
          <w:sz w:val="24"/>
          <w:lang w:eastAsia="zh-CN"/>
        </w:rPr>
        <w:t>滨康区块地下空间堆积物清理项目</w:t>
      </w:r>
      <w:r>
        <w:rPr>
          <w:rFonts w:hint="eastAsia" w:ascii="宋体" w:hAnsi="宋体" w:cs="宋体"/>
          <w:sz w:val="24"/>
        </w:rPr>
        <w:t xml:space="preserve">   </w:t>
      </w:r>
      <w:r>
        <w:rPr>
          <w:rFonts w:hint="eastAsia" w:ascii="宋体" w:hAnsi="宋体" w:cs="宋体"/>
          <w:b/>
          <w:sz w:val="24"/>
        </w:rPr>
        <w:t xml:space="preserve"> </w:t>
      </w:r>
    </w:p>
    <w:p>
      <w:pPr>
        <w:spacing w:line="360" w:lineRule="auto"/>
        <w:ind w:firstLine="480"/>
        <w:rPr>
          <w:rFonts w:ascii="宋体" w:hAnsi="宋体" w:cs="宋体"/>
          <w:sz w:val="24"/>
        </w:rPr>
      </w:pPr>
      <w:r>
        <w:rPr>
          <w:rFonts w:hint="eastAsia" w:ascii="宋体" w:hAnsi="宋体" w:cs="宋体"/>
          <w:b/>
          <w:sz w:val="24"/>
        </w:rPr>
        <w:t>预算金额（元）：</w:t>
      </w:r>
      <w:r>
        <w:rPr>
          <w:rFonts w:hint="eastAsia" w:ascii="宋体" w:hAnsi="宋体" w:cs="宋体"/>
          <w:b/>
          <w:sz w:val="24"/>
          <w:lang w:eastAsia="zh-CN"/>
        </w:rPr>
        <w:t>900000</w:t>
      </w:r>
      <w:r>
        <w:rPr>
          <w:rFonts w:ascii="宋体" w:hAnsi="宋体" w:cs="宋体"/>
          <w:sz w:val="24"/>
        </w:rPr>
        <w:t xml:space="preserve"> </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eastAsia="zh-CN"/>
        </w:rPr>
        <w:t>900000</w:t>
      </w:r>
      <w:r>
        <w:rPr>
          <w:rFonts w:ascii="宋体" w:hAnsi="宋体" w:cs="宋体"/>
          <w:sz w:val="24"/>
        </w:rPr>
        <w:t xml:space="preserve"> </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hAnsi="宋体" w:cs="宋体" w:eastAsiaTheme="minorEastAsia"/>
          <w:bCs/>
          <w:color w:val="auto"/>
          <w:sz w:val="24"/>
          <w:lang w:eastAsia="zh-CN"/>
        </w:rPr>
        <w:t>滨康区块地下空间堆积物清理项目</w:t>
      </w:r>
      <w:r>
        <w:rPr>
          <w:rFonts w:hint="eastAsia" w:hAnsi="宋体" w:cs="宋体"/>
          <w:bCs/>
          <w:color w:val="auto"/>
          <w:sz w:val="24"/>
        </w:rPr>
        <w:t>主要内容：滨康区块（滨康小区、滨康二苑）部分地下室被业主分隔，堆积大量杂物，且违规给电动自行车充电，存在消防安全隐患，需对隔断进行拆除，并将杂物、建筑垃圾外运。</w:t>
      </w:r>
      <w:r>
        <w:rPr>
          <w:rFonts w:hint="eastAsia" w:cs="仿宋_GB2312" w:asciiTheme="minorEastAsia" w:hAnsiTheme="minorEastAsia" w:eastAsiaTheme="minorEastAsia"/>
          <w:b/>
          <w:color w:val="auto"/>
          <w:sz w:val="24"/>
        </w:rPr>
        <w:t>详见</w:t>
      </w:r>
      <w:r>
        <w:rPr>
          <w:rFonts w:hint="eastAsia" w:cs="仿宋_GB2312" w:asciiTheme="minorEastAsia" w:hAnsiTheme="minorEastAsia" w:eastAsiaTheme="minorEastAsia"/>
          <w:b/>
          <w:color w:val="auto"/>
          <w:sz w:val="24"/>
          <w:lang w:eastAsia="zh-CN"/>
        </w:rPr>
        <w:t>招标</w:t>
      </w:r>
      <w:r>
        <w:rPr>
          <w:rFonts w:hint="eastAsia" w:cs="仿宋_GB2312" w:asciiTheme="minorEastAsia" w:hAnsiTheme="minorEastAsia" w:eastAsiaTheme="minorEastAsia"/>
          <w:b/>
          <w:color w:val="auto"/>
          <w:sz w:val="24"/>
        </w:rPr>
        <w:t>文件。</w:t>
      </w:r>
    </w:p>
    <w:p>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none"/>
        </w:rPr>
        <w:t>3个月（具体以实际情况为准）</w:t>
      </w:r>
      <w:r>
        <w:rPr>
          <w:rFonts w:hint="eastAsia" w:asciiTheme="minorEastAsia" w:hAnsiTheme="minorEastAsia" w:eastAsiaTheme="minorEastAsia"/>
          <w:color w:val="auto"/>
          <w:sz w:val="24"/>
          <w:highlight w:val="none"/>
          <w:u w:val="none"/>
          <w:lang w:eastAsia="zh-CN"/>
        </w:rPr>
        <w:t>。</w:t>
      </w:r>
    </w:p>
    <w:p>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p>
    <w:p>
      <w:pPr>
        <w:spacing w:line="360" w:lineRule="auto"/>
        <w:ind w:firstLine="480" w:firstLineChars="200"/>
        <w:rPr>
          <w:rFonts w:cs="宋体" w:asciiTheme="minorEastAsia" w:hAnsiTheme="minorEastAsia" w:eastAsiaTheme="minorEastAsia"/>
          <w:color w:val="auto"/>
          <w:sz w:val="24"/>
        </w:rPr>
      </w:pPr>
      <w:bookmarkStart w:id="11" w:name="_Toc28359090"/>
      <w:bookmarkStart w:id="12" w:name="_Toc28359013"/>
      <w:bookmarkStart w:id="13" w:name="_Toc35393630"/>
      <w:bookmarkStart w:id="14" w:name="_Toc35393799"/>
      <w:r>
        <w:rPr>
          <w:rFonts w:hint="eastAsia" w:cs="宋体" w:asciiTheme="minorEastAsia" w:hAnsiTheme="minorEastAsia" w:eastAsiaTheme="minorEastAsia"/>
          <w:color w:val="auto"/>
          <w:sz w:val="24"/>
        </w:rPr>
        <w:t>二、申请人的资格要求：</w:t>
      </w:r>
      <w:bookmarkEnd w:id="11"/>
      <w:bookmarkEnd w:id="12"/>
      <w:bookmarkEnd w:id="13"/>
      <w:bookmarkEnd w:id="14"/>
    </w:p>
    <w:p>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w:t>
      </w:r>
    </w:p>
    <w:p>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4</w:t>
      </w:r>
      <w:r>
        <w:rPr>
          <w:rFonts w:hint="eastAsia" w:cs="宋体" w:asciiTheme="minorEastAsia" w:hAnsiTheme="minorEastAsia" w:eastAsiaTheme="minorEastAsia"/>
          <w:color w:val="auto"/>
          <w:sz w:val="24"/>
        </w:rPr>
        <w:t>.本项目的特定资格要求：无；</w:t>
      </w:r>
    </w:p>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color w:val="auto"/>
          <w:sz w:val="24"/>
        </w:rPr>
      </w:pPr>
      <w:bookmarkStart w:id="15" w:name="_Toc35393800"/>
      <w:bookmarkStart w:id="16" w:name="_Toc35393631"/>
      <w:bookmarkStart w:id="17" w:name="_Toc28359091"/>
      <w:bookmarkStart w:id="18" w:name="_Toc28359014"/>
      <w:r>
        <w:rPr>
          <w:rFonts w:hint="eastAsia" w:cs="宋体" w:asciiTheme="minorEastAsia" w:hAnsiTheme="minorEastAsia" w:eastAsiaTheme="minorEastAsia"/>
          <w:color w:val="auto"/>
          <w:sz w:val="24"/>
        </w:rPr>
        <w:t>三、获取（下载）采购文件</w:t>
      </w:r>
      <w:bookmarkEnd w:id="15"/>
      <w:bookmarkEnd w:id="16"/>
      <w:bookmarkEnd w:id="17"/>
      <w:bookmarkEnd w:id="18"/>
    </w:p>
    <w:p>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1月23日</w:t>
      </w:r>
      <w:r>
        <w:rPr>
          <w:rFonts w:hint="eastAsia" w:cs="宋体" w:asciiTheme="minorEastAsia" w:hAnsiTheme="minorEastAsia" w:eastAsiaTheme="minorEastAsia"/>
          <w:color w:val="auto"/>
          <w:sz w:val="24"/>
        </w:rPr>
        <w:t>，每天上午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76"/>
          <w:rFonts w:hint="eastAsia" w:cs="仿宋_GB2312" w:asciiTheme="minorEastAsia" w:hAnsiTheme="minorEastAsia" w:eastAsiaTheme="minorEastAsia"/>
          <w:b/>
          <w:color w:val="auto"/>
          <w:sz w:val="24"/>
        </w:rPr>
        <w:t>https://www.zcygov.cn/</w:t>
      </w:r>
      <w:r>
        <w:rPr>
          <w:rStyle w:val="76"/>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pPr>
        <w:pStyle w:val="3"/>
        <w:numPr>
          <w:ilvl w:val="0"/>
          <w:numId w:val="0"/>
        </w:numPr>
        <w:ind w:left="432" w:hanging="432"/>
        <w:rPr>
          <w:rFonts w:cs="宋体" w:asciiTheme="minorEastAsia" w:hAnsiTheme="minorEastAsia" w:eastAsiaTheme="minorEastAsia"/>
          <w:color w:val="auto"/>
          <w:sz w:val="24"/>
          <w:szCs w:val="24"/>
        </w:rPr>
      </w:pPr>
      <w:bookmarkStart w:id="19" w:name="_Toc28359015"/>
      <w:bookmarkStart w:id="20" w:name="_Toc35393801"/>
      <w:bookmarkStart w:id="21" w:name="_Toc28359092"/>
      <w:bookmarkStart w:id="22" w:name="_Toc35393632"/>
      <w:r>
        <w:rPr>
          <w:rFonts w:hint="eastAsia" w:cs="宋体" w:asciiTheme="minorEastAsia" w:hAnsiTheme="minorEastAsia" w:eastAsiaTheme="minorEastAsia"/>
          <w:color w:val="auto"/>
          <w:sz w:val="24"/>
          <w:szCs w:val="24"/>
        </w:rPr>
        <w:t>四、响应文件提交</w:t>
      </w:r>
      <w:bookmarkEnd w:id="19"/>
      <w:bookmarkEnd w:id="20"/>
      <w:bookmarkEnd w:id="21"/>
      <w:bookmarkEnd w:id="22"/>
      <w:r>
        <w:rPr>
          <w:rFonts w:hint="eastAsia" w:cs="宋体" w:asciiTheme="minorEastAsia" w:hAnsiTheme="minorEastAsia" w:eastAsiaTheme="minorEastAsia"/>
          <w:color w:val="auto"/>
          <w:sz w:val="24"/>
          <w:szCs w:val="24"/>
        </w:rPr>
        <w:t>（上传）</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1月23日13点30分</w:t>
      </w:r>
      <w:r>
        <w:rPr>
          <w:rFonts w:hint="eastAsia" w:asciiTheme="minorEastAsia" w:hAnsiTheme="minorEastAsia" w:eastAsiaTheme="minorEastAsia"/>
          <w:bCs/>
          <w:color w:val="auto"/>
          <w:sz w:val="24"/>
          <w:u w:val="single"/>
        </w:rPr>
        <w:t>00秒</w:t>
      </w:r>
      <w:r>
        <w:rPr>
          <w:rFonts w:hint="eastAsia" w:asciiTheme="minorEastAsia" w:hAnsiTheme="minorEastAsia" w:eastAsiaTheme="minorEastAsia"/>
          <w:bCs/>
          <w:color w:val="auto"/>
          <w:sz w:val="24"/>
        </w:rPr>
        <w:t>（北京时间）</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76"/>
          <w:rFonts w:hint="eastAsia" w:cs="仿宋_GB2312" w:asciiTheme="minorEastAsia" w:hAnsiTheme="minorEastAsia" w:eastAsiaTheme="minorEastAsia"/>
          <w:b/>
          <w:color w:val="auto"/>
          <w:kern w:val="2"/>
          <w:sz w:val="24"/>
          <w:szCs w:val="24"/>
        </w:rPr>
        <w:t>https://www.zcygov.cn/</w:t>
      </w:r>
      <w:r>
        <w:rPr>
          <w:rStyle w:val="76"/>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pPr>
        <w:pStyle w:val="3"/>
        <w:numPr>
          <w:ilvl w:val="0"/>
          <w:numId w:val="0"/>
        </w:numPr>
        <w:ind w:left="432" w:hanging="432"/>
        <w:rPr>
          <w:rFonts w:cs="宋体" w:asciiTheme="minorEastAsia" w:hAnsiTheme="minorEastAsia" w:eastAsiaTheme="minorEastAsia"/>
          <w:color w:val="auto"/>
          <w:sz w:val="24"/>
          <w:szCs w:val="24"/>
        </w:rPr>
      </w:pPr>
      <w:bookmarkStart w:id="23" w:name="_Toc35393633"/>
      <w:bookmarkStart w:id="24" w:name="_Toc28359016"/>
      <w:bookmarkStart w:id="25" w:name="_Toc28359093"/>
      <w:bookmarkStart w:id="26" w:name="_Toc35393802"/>
      <w:r>
        <w:rPr>
          <w:rFonts w:hint="eastAsia" w:cs="宋体" w:asciiTheme="minorEastAsia" w:hAnsiTheme="minorEastAsia" w:eastAsiaTheme="minorEastAsia"/>
          <w:color w:val="auto"/>
          <w:sz w:val="24"/>
          <w:szCs w:val="24"/>
        </w:rPr>
        <w:t>五、响应文件开启</w:t>
      </w:r>
      <w:bookmarkEnd w:id="23"/>
      <w:bookmarkEnd w:id="24"/>
      <w:bookmarkEnd w:id="25"/>
      <w:bookmarkEnd w:id="26"/>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1月23日</w:t>
      </w:r>
      <w:bookmarkStart w:id="556" w:name="_GoBack"/>
      <w:bookmarkEnd w:id="556"/>
      <w:r>
        <w:rPr>
          <w:rFonts w:hint="eastAsia" w:asciiTheme="minorEastAsia" w:hAnsiTheme="minorEastAsia" w:eastAsiaTheme="minorEastAsia"/>
          <w:bCs/>
          <w:color w:val="auto"/>
          <w:sz w:val="24"/>
          <w:u w:val="single"/>
          <w:lang w:val="en-US" w:eastAsia="zh-CN"/>
        </w:rPr>
        <w:t>13点30分</w:t>
      </w:r>
      <w:r>
        <w:rPr>
          <w:rFonts w:hint="eastAsia" w:asciiTheme="minorEastAsia" w:hAnsiTheme="minorEastAsia" w:eastAsiaTheme="minorEastAsia"/>
          <w:bCs/>
          <w:color w:val="auto"/>
          <w:sz w:val="24"/>
          <w:u w:val="single"/>
        </w:rPr>
        <w:t>00秒</w:t>
      </w:r>
      <w:r>
        <w:rPr>
          <w:rFonts w:hint="eastAsia" w:asciiTheme="minorEastAsia" w:hAnsiTheme="minorEastAsia" w:eastAsiaTheme="minorEastAsia"/>
          <w:bCs/>
          <w:color w:val="auto"/>
          <w:sz w:val="24"/>
        </w:rPr>
        <w:t>（北京时间）</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政采云平台（https://www.zcygov.cn/）。</w:t>
      </w:r>
    </w:p>
    <w:p>
      <w:pPr>
        <w:pStyle w:val="3"/>
        <w:numPr>
          <w:ilvl w:val="0"/>
          <w:numId w:val="0"/>
        </w:numPr>
        <w:ind w:left="432" w:hanging="432"/>
        <w:rPr>
          <w:rFonts w:cs="宋体" w:asciiTheme="minorEastAsia" w:hAnsiTheme="minorEastAsia" w:eastAsiaTheme="minorEastAsia"/>
          <w:color w:val="auto"/>
          <w:sz w:val="24"/>
          <w:szCs w:val="24"/>
        </w:rPr>
      </w:pPr>
      <w:bookmarkStart w:id="27" w:name="_Toc35393634"/>
      <w:bookmarkStart w:id="28" w:name="_Toc35393803"/>
      <w:bookmarkStart w:id="29" w:name="_Toc28359017"/>
      <w:bookmarkStart w:id="30" w:name="_Toc28359094"/>
      <w:r>
        <w:rPr>
          <w:rFonts w:hint="eastAsia" w:cs="宋体" w:asciiTheme="minorEastAsia" w:hAnsiTheme="minorEastAsia" w:eastAsiaTheme="minorEastAsia"/>
          <w:color w:val="auto"/>
          <w:sz w:val="24"/>
          <w:szCs w:val="24"/>
        </w:rPr>
        <w:t>六、公告期限</w:t>
      </w:r>
      <w:bookmarkEnd w:id="27"/>
      <w:bookmarkEnd w:id="28"/>
      <w:bookmarkEnd w:id="29"/>
      <w:bookmarkEnd w:id="30"/>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pPr>
        <w:pStyle w:val="3"/>
        <w:numPr>
          <w:ilvl w:val="0"/>
          <w:numId w:val="0"/>
        </w:numPr>
        <w:ind w:left="432" w:hanging="432"/>
        <w:rPr>
          <w:rFonts w:cs="宋体" w:asciiTheme="minorEastAsia" w:hAnsiTheme="minorEastAsia" w:eastAsiaTheme="minorEastAsia"/>
          <w:color w:val="auto"/>
          <w:sz w:val="24"/>
          <w:szCs w:val="24"/>
        </w:rPr>
      </w:pPr>
      <w:bookmarkStart w:id="31" w:name="_Toc35393804"/>
      <w:bookmarkStart w:id="32" w:name="_Toc35393635"/>
      <w:r>
        <w:rPr>
          <w:rFonts w:hint="eastAsia" w:cs="宋体" w:asciiTheme="minorEastAsia" w:hAnsiTheme="minorEastAsia" w:eastAsiaTheme="minorEastAsia"/>
          <w:color w:val="auto"/>
          <w:sz w:val="24"/>
          <w:szCs w:val="24"/>
        </w:rPr>
        <w:t>七、其他补充事宜</w:t>
      </w:r>
      <w:bookmarkEnd w:id="31"/>
      <w:bookmarkEnd w:id="32"/>
    </w:p>
    <w:p>
      <w:pPr>
        <w:spacing w:line="360" w:lineRule="auto"/>
        <w:ind w:firstLine="480" w:firstLineChars="200"/>
        <w:rPr>
          <w:rFonts w:ascii="宋体" w:hAnsi="宋体" w:cs="宋体"/>
          <w:sz w:val="24"/>
        </w:rPr>
      </w:pPr>
      <w:bookmarkStart w:id="33" w:name="_Toc28359095"/>
      <w:bookmarkStart w:id="34" w:name="_Toc28359018"/>
      <w:bookmarkStart w:id="35" w:name="_Toc35393636"/>
      <w:bookmarkStart w:id="36" w:name="_Toc35393805"/>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pStyle w:val="3"/>
        <w:numPr>
          <w:ilvl w:val="0"/>
          <w:numId w:val="0"/>
        </w:numPr>
        <w:ind w:left="432" w:hanging="432"/>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3"/>
      <w:bookmarkEnd w:id="34"/>
      <w:bookmarkEnd w:id="35"/>
      <w:bookmarkEnd w:id="36"/>
    </w:p>
    <w:p>
      <w:pPr>
        <w:pStyle w:val="3"/>
        <w:numPr>
          <w:ilvl w:val="0"/>
          <w:numId w:val="0"/>
        </w:numPr>
        <w:ind w:left="432" w:hanging="432"/>
        <w:rPr>
          <w:rFonts w:cs="宋体" w:asciiTheme="minorEastAsia" w:hAnsiTheme="minorEastAsia" w:eastAsiaTheme="minorEastAsia"/>
          <w:color w:val="auto"/>
          <w:sz w:val="24"/>
          <w:szCs w:val="24"/>
        </w:rPr>
      </w:pPr>
      <w:bookmarkStart w:id="37" w:name="_Toc35393637"/>
      <w:bookmarkStart w:id="38" w:name="_Toc28359096"/>
      <w:bookmarkStart w:id="39" w:name="_Toc28359019"/>
      <w:bookmarkStart w:id="40" w:name="_Toc35393806"/>
      <w:r>
        <w:rPr>
          <w:rFonts w:hint="eastAsia" w:cs="宋体" w:asciiTheme="minorEastAsia" w:hAnsiTheme="minorEastAsia" w:eastAsiaTheme="minorEastAsia"/>
          <w:color w:val="auto"/>
          <w:sz w:val="24"/>
          <w:szCs w:val="24"/>
        </w:rPr>
        <w:t>1.采购人信息</w:t>
      </w:r>
      <w:bookmarkEnd w:id="37"/>
      <w:bookmarkEnd w:id="38"/>
      <w:bookmarkEnd w:id="39"/>
      <w:bookmarkEnd w:id="40"/>
      <w:r>
        <w:rPr>
          <w:rFonts w:hint="eastAsia" w:cs="宋体" w:asciiTheme="minorEastAsia" w:hAnsiTheme="minorEastAsia" w:eastAsiaTheme="minorEastAsia"/>
          <w:color w:val="auto"/>
          <w:sz w:val="24"/>
          <w:szCs w:val="24"/>
        </w:rPr>
        <w:t>：</w:t>
      </w:r>
    </w:p>
    <w:p>
      <w:pPr>
        <w:spacing w:line="360" w:lineRule="auto"/>
        <w:rPr>
          <w:rFonts w:ascii="宋体" w:hAnsi="宋体" w:cs="宋体"/>
          <w:color w:val="auto"/>
          <w:sz w:val="24"/>
        </w:rPr>
      </w:pPr>
      <w:r>
        <w:rPr>
          <w:rFonts w:hint="eastAsia" w:ascii="宋体" w:hAnsi="宋体" w:cs="宋体"/>
          <w:color w:val="auto"/>
          <w:sz w:val="24"/>
        </w:rPr>
        <w:t xml:space="preserve">    名    称：杭州市滨江区人民政府西兴街道办事处 </w:t>
      </w:r>
    </w:p>
    <w:p>
      <w:pPr>
        <w:spacing w:line="360" w:lineRule="auto"/>
        <w:rPr>
          <w:rFonts w:ascii="宋体" w:hAnsi="宋体" w:cs="宋体"/>
          <w:color w:val="auto"/>
          <w:sz w:val="24"/>
        </w:rPr>
      </w:pPr>
      <w:r>
        <w:rPr>
          <w:rFonts w:hint="eastAsia" w:ascii="宋体" w:hAnsi="宋体" w:cs="宋体"/>
          <w:color w:val="auto"/>
          <w:sz w:val="24"/>
        </w:rPr>
        <w:t xml:space="preserve">    地    址：杭州市滨江区官河路1号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项目联系人（询问）：杨主任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项目联系方式（询问）：0571-89521819</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w:t>
      </w:r>
      <w:r>
        <w:rPr>
          <w:rFonts w:hint="eastAsia" w:asciiTheme="minorEastAsia" w:hAnsiTheme="minorEastAsia" w:eastAsiaTheme="minorEastAsia"/>
          <w:color w:val="auto"/>
          <w:sz w:val="24"/>
          <w:lang w:val="en-US" w:eastAsia="zh-CN"/>
        </w:rPr>
        <w:t>陈主任</w:t>
      </w:r>
      <w:r>
        <w:rPr>
          <w:rFonts w:hint="eastAsia" w:asciiTheme="minorEastAsia" w:hAnsiTheme="minorEastAsia" w:eastAsiaTheme="minorEastAsia"/>
          <w:color w:val="auto"/>
          <w:sz w:val="24"/>
        </w:rPr>
        <w:t xml:space="preserve"> </w:t>
      </w:r>
    </w:p>
    <w:p>
      <w:pPr>
        <w:spacing w:line="360" w:lineRule="auto"/>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 xml:space="preserve">    质疑联系方式：0571-89521819</w:t>
      </w:r>
      <w:r>
        <w:rPr>
          <w:rFonts w:hint="eastAsia" w:asciiTheme="minorEastAsia" w:hAnsiTheme="minorEastAsia" w:eastAsiaTheme="minorEastAsia"/>
          <w:color w:val="auto"/>
          <w:sz w:val="24"/>
          <w:lang w:val="en-US" w:eastAsia="zh-CN"/>
        </w:rPr>
        <w:t xml:space="preserve">              </w:t>
      </w:r>
    </w:p>
    <w:p>
      <w:pPr>
        <w:pStyle w:val="3"/>
        <w:numPr>
          <w:ilvl w:val="0"/>
          <w:numId w:val="0"/>
        </w:numPr>
        <w:ind w:left="432" w:hanging="432"/>
        <w:rPr>
          <w:rFonts w:cs="宋体" w:asciiTheme="minorEastAsia" w:hAnsiTheme="minorEastAsia" w:eastAsiaTheme="minorEastAsia"/>
          <w:color w:val="auto"/>
          <w:sz w:val="24"/>
        </w:rPr>
      </w:pPr>
      <w:bookmarkStart w:id="41" w:name="_Toc35393807"/>
      <w:bookmarkStart w:id="42" w:name="_Toc35393638"/>
      <w:bookmarkStart w:id="43" w:name="_Toc28359097"/>
      <w:bookmarkStart w:id="44" w:name="_Toc28359020"/>
      <w:r>
        <w:rPr>
          <w:rFonts w:hint="eastAsia" w:cs="宋体" w:asciiTheme="minorEastAsia" w:hAnsiTheme="minorEastAsia" w:eastAsiaTheme="minorEastAsia"/>
          <w:color w:val="auto"/>
          <w:sz w:val="24"/>
          <w:szCs w:val="24"/>
        </w:rPr>
        <w:t>2.采购代理机构信息</w:t>
      </w:r>
      <w:bookmarkEnd w:id="41"/>
      <w:bookmarkEnd w:id="42"/>
      <w:bookmarkEnd w:id="43"/>
      <w:bookmarkEnd w:id="44"/>
      <w:r>
        <w:rPr>
          <w:rFonts w:hint="eastAsia" w:cs="宋体" w:asciiTheme="minorEastAsia" w:hAnsiTheme="minorEastAsia" w:eastAsiaTheme="minorEastAsia"/>
          <w:color w:val="auto"/>
          <w:sz w:val="24"/>
          <w:szCs w:val="24"/>
        </w:rPr>
        <w:t>：</w:t>
      </w:r>
    </w:p>
    <w:p>
      <w:pPr>
        <w:spacing w:line="360" w:lineRule="auto"/>
        <w:ind w:firstLine="480"/>
        <w:rPr>
          <w:rFonts w:ascii="宋体" w:hAnsi="宋体" w:cs="宋体"/>
          <w:color w:val="auto"/>
          <w:sz w:val="24"/>
        </w:rPr>
      </w:pPr>
      <w:bookmarkStart w:id="45" w:name="_Toc35393808"/>
      <w:bookmarkStart w:id="46" w:name="_Toc28359098"/>
      <w:bookmarkStart w:id="47" w:name="_Toc28359021"/>
      <w:bookmarkStart w:id="48" w:name="_Toc35393639"/>
      <w:r>
        <w:rPr>
          <w:rFonts w:hint="eastAsia" w:ascii="宋体" w:hAnsi="宋体" w:cs="宋体"/>
          <w:color w:val="auto"/>
          <w:sz w:val="24"/>
        </w:rPr>
        <w:t>名    称：浙江浙坤工程管理有限公司</w:t>
      </w:r>
    </w:p>
    <w:p>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地    址：</w:t>
      </w:r>
      <w:r>
        <w:rPr>
          <w:rFonts w:hint="eastAsia" w:ascii="宋体" w:hAnsi="宋体" w:cs="宋体"/>
          <w:color w:val="auto"/>
          <w:sz w:val="24"/>
          <w:lang w:eastAsia="zh-CN"/>
        </w:rPr>
        <w:t>杭州市拱墅区祥兴路18号</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项目联系人（询问）：张工 </w:t>
      </w:r>
    </w:p>
    <w:p>
      <w:pPr>
        <w:spacing w:line="360" w:lineRule="auto"/>
        <w:rPr>
          <w:rFonts w:ascii="宋体" w:hAnsi="宋体" w:cs="宋体"/>
          <w:color w:val="auto"/>
          <w:sz w:val="24"/>
        </w:rPr>
      </w:pPr>
      <w:r>
        <w:rPr>
          <w:rFonts w:hint="eastAsia" w:ascii="宋体" w:hAnsi="宋体" w:cs="宋体"/>
          <w:color w:val="auto"/>
          <w:sz w:val="24"/>
        </w:rPr>
        <w:t xml:space="preserve">    项目联系方式（询问）：18768106829</w:t>
      </w:r>
    </w:p>
    <w:p>
      <w:pPr>
        <w:spacing w:line="360" w:lineRule="auto"/>
        <w:rPr>
          <w:rFonts w:ascii="宋体" w:hAnsi="宋体" w:cs="宋体"/>
          <w:color w:val="auto"/>
          <w:sz w:val="24"/>
        </w:rPr>
      </w:pPr>
      <w:r>
        <w:rPr>
          <w:rFonts w:hint="eastAsia" w:ascii="宋体" w:hAnsi="宋体" w:cs="宋体"/>
          <w:color w:val="auto"/>
          <w:sz w:val="24"/>
        </w:rPr>
        <w:t xml:space="preserve">    质疑联系人： 陆工</w:t>
      </w:r>
    </w:p>
    <w:p>
      <w:pPr>
        <w:spacing w:line="360" w:lineRule="auto"/>
        <w:rPr>
          <w:rFonts w:ascii="宋体" w:hAnsi="宋体" w:cs="宋体"/>
          <w:color w:val="auto"/>
          <w:sz w:val="24"/>
        </w:rPr>
      </w:pPr>
      <w:r>
        <w:rPr>
          <w:rFonts w:hint="eastAsia" w:ascii="宋体" w:hAnsi="宋体" w:cs="宋体"/>
          <w:color w:val="auto"/>
          <w:sz w:val="24"/>
        </w:rPr>
        <w:t xml:space="preserve">    质疑联系方式：0571</w:t>
      </w:r>
      <w:r>
        <w:rPr>
          <w:rFonts w:hint="eastAsia" w:ascii="宋体" w:hAnsi="宋体" w:cs="宋体"/>
          <w:color w:val="auto"/>
          <w:sz w:val="24"/>
          <w:lang w:val="en-US" w:eastAsia="zh-CN"/>
        </w:rPr>
        <w:t>-</w:t>
      </w:r>
      <w:r>
        <w:rPr>
          <w:rFonts w:hint="eastAsia" w:ascii="宋体" w:hAnsi="宋体" w:cs="宋体"/>
          <w:color w:val="auto"/>
          <w:sz w:val="24"/>
        </w:rPr>
        <w:t>87180816</w:t>
      </w:r>
    </w:p>
    <w:p>
      <w:pPr>
        <w:spacing w:line="360" w:lineRule="auto"/>
        <w:ind w:firstLine="480"/>
        <w:rPr>
          <w:rFonts w:asciiTheme="minorEastAsia" w:hAnsiTheme="minorEastAsia" w:eastAsiaTheme="minorEastAsia"/>
          <w:b/>
          <w:color w:val="auto"/>
          <w:sz w:val="24"/>
        </w:rPr>
      </w:pPr>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bookmarkEnd w:id="45"/>
    <w:bookmarkEnd w:id="46"/>
    <w:bookmarkEnd w:id="47"/>
    <w:bookmarkEnd w:id="48"/>
    <w:p>
      <w:pPr>
        <w:spacing w:line="360" w:lineRule="auto"/>
        <w:rPr>
          <w:rFonts w:ascii="宋体" w:hAnsi="宋体" w:cs="宋体"/>
          <w:color w:val="auto"/>
          <w:sz w:val="24"/>
        </w:rPr>
      </w:pPr>
      <w:r>
        <w:rPr>
          <w:rFonts w:hint="eastAsia" w:ascii="宋体" w:hAnsi="宋体" w:cs="宋体"/>
          <w:color w:val="auto"/>
          <w:sz w:val="24"/>
        </w:rPr>
        <w:t xml:space="preserve">    名    称：杭州市滨江区财政局/浙江省政府采购行政裁决服务中心（杭州）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址：杭州市上城区清泰街549号城建综合大楼11楼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ind w:firstLine="480"/>
        <w:rPr>
          <w:rFonts w:hint="eastAsia" w:ascii="宋体" w:hAnsi="宋体" w:cs="宋体"/>
          <w:color w:val="auto"/>
          <w:sz w:val="24"/>
        </w:rPr>
      </w:pPr>
      <w:r>
        <w:rPr>
          <w:rFonts w:hint="eastAsia" w:ascii="宋体" w:hAnsi="宋体" w:cs="宋体"/>
          <w:color w:val="auto"/>
          <w:sz w:val="24"/>
        </w:rPr>
        <w:t>监督投诉电话：0571-87227671,0571-87800218</w:t>
      </w:r>
    </w:p>
    <w:p>
      <w:pPr>
        <w:spacing w:line="360" w:lineRule="auto"/>
        <w:ind w:firstLine="480"/>
        <w:rPr>
          <w:rFonts w:ascii="宋体" w:hAnsi="宋体" w:cs="宋体"/>
          <w:color w:val="auto"/>
          <w:sz w:val="24"/>
        </w:rPr>
      </w:pPr>
      <w:r>
        <w:rPr>
          <w:rFonts w:hint="eastAsia" w:ascii="宋体" w:hAnsi="宋体" w:cs="宋体"/>
          <w:color w:val="auto"/>
          <w:sz w:val="24"/>
          <w:lang w:val="en-US" w:eastAsia="zh-CN"/>
        </w:rPr>
        <w:t>政策咨询：陈先生、厉先生，0571-89580460、89580456</w:t>
      </w:r>
      <w:r>
        <w:rPr>
          <w:rFonts w:hint="eastAsia" w:ascii="宋体" w:hAnsi="宋体" w:cs="宋体"/>
          <w:color w:val="auto"/>
          <w:sz w:val="24"/>
        </w:rPr>
        <w:t xml:space="preserve">    </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pPr>
        <w:spacing w:line="360" w:lineRule="auto"/>
        <w:ind w:firstLine="480" w:firstLineChars="200"/>
        <w:rPr>
          <w:rFonts w:asciiTheme="minorEastAsia" w:hAnsiTheme="minorEastAsia" w:eastAsiaTheme="minorEastAsia"/>
          <w:color w:val="auto"/>
          <w:sz w:val="24"/>
        </w:rPr>
      </w:pPr>
    </w:p>
    <w:p>
      <w:pPr>
        <w:widowControl/>
        <w:adjustRightInd/>
        <w:jc w:val="left"/>
        <w:rPr>
          <w:rFonts w:ascii="宋体" w:hAnsi="宋体" w:cs="宋体"/>
          <w:b/>
          <w:sz w:val="36"/>
          <w:szCs w:val="20"/>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r>
        <w:rPr>
          <w:rFonts w:hint="eastAsia" w:asciiTheme="minorEastAsia" w:hAnsiTheme="minorEastAsia" w:eastAsiaTheme="minorEastAsia"/>
          <w:color w:val="auto"/>
          <w:sz w:val="24"/>
          <w:lang w:eastAsia="zh-CN"/>
        </w:rPr>
        <w:t>。</w:t>
      </w: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标的：</w:t>
            </w:r>
            <w:r>
              <w:rPr>
                <w:rFonts w:hint="eastAsia" w:ascii="宋体" w:hAnsi="宋体" w:cs="宋体"/>
                <w:kern w:val="0"/>
                <w:sz w:val="24"/>
                <w:u w:val="single"/>
              </w:rPr>
              <w:t xml:space="preserve"> </w:t>
            </w:r>
            <w:r>
              <w:rPr>
                <w:rFonts w:hint="eastAsia" w:ascii="宋体" w:hAnsi="宋体" w:cs="宋体"/>
                <w:kern w:val="0"/>
                <w:sz w:val="24"/>
                <w:u w:val="single"/>
                <w:lang w:eastAsia="zh-CN"/>
              </w:rPr>
              <w:t>滨康区块地下空间堆积物清理项目</w:t>
            </w:r>
            <w:r>
              <w:rPr>
                <w:rFonts w:hint="eastAsia" w:ascii="宋体" w:hAnsi="宋体" w:cs="宋体"/>
                <w:kern w:val="0"/>
                <w:sz w:val="24"/>
                <w:u w:val="single"/>
              </w:rPr>
              <w:t xml:space="preserve"> </w:t>
            </w:r>
            <w:r>
              <w:rPr>
                <w:rFonts w:hint="eastAsia" w:ascii="宋体" w:hAnsi="宋体" w:cs="宋体"/>
                <w:kern w:val="0"/>
                <w:sz w:val="24"/>
              </w:rPr>
              <w:t>，属于其他未列明行业；</w:t>
            </w:r>
          </w:p>
          <w:p>
            <w:pPr>
              <w:pStyle w:val="3"/>
              <w:ind w:left="0" w:firstLine="0"/>
              <w:rPr>
                <w:rFonts w:ascii="宋体" w:hAnsi="宋体" w:eastAsia="宋体" w:cs="宋体"/>
                <w:lang w:val="en-US"/>
              </w:rPr>
            </w:pPr>
            <w:r>
              <w:rPr>
                <w:rFonts w:hint="eastAsia" w:ascii="宋体" w:hAnsi="宋体" w:eastAsia="宋体" w:cs="宋体"/>
                <w:b w:val="0"/>
                <w:bCs w:val="0"/>
                <w:sz w:val="24"/>
                <w:szCs w:val="24"/>
                <w:lang w:val="en-US"/>
              </w:rPr>
              <w:t>划分标准：从业人员300人以下的为中小微型企业。其中，从业人员100人及以上的为中型企业；从业人员10人及以上的为小型企业；从业人员10人以下的为微型企业。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rPr>
            </w:pPr>
            <w:sdt>
              <w:sdtPr>
                <w:rPr>
                  <w:rFonts w:hint="eastAsia" w:ascii="宋体" w:hAnsi="宋体" w:cs="宋体"/>
                  <w:kern w:val="0"/>
                  <w:sz w:val="24"/>
                </w:rPr>
                <w:id w:val="14745495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4578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0"/>
              </w:rPr>
            </w:pPr>
            <w:sdt>
              <w:sdtPr>
                <w:rPr>
                  <w:rFonts w:hint="eastAsia" w:ascii="宋体" w:hAnsi="宋体" w:cs="宋体"/>
                  <w:kern w:val="0"/>
                  <w:sz w:val="24"/>
                </w:rPr>
                <w:id w:val="14745288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sz w:val="24"/>
              </w:rPr>
            </w:pPr>
            <w:sdt>
              <w:sdtPr>
                <w:rPr>
                  <w:rFonts w:hint="eastAsia" w:ascii="宋体" w:hAnsi="宋体" w:cs="宋体"/>
                  <w:kern w:val="0"/>
                  <w:sz w:val="24"/>
                </w:rPr>
                <w:id w:val="14745228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kern w:val="0"/>
                <w:sz w:val="24"/>
                <w:lang w:val="zh-CN"/>
              </w:rPr>
            </w:pPr>
            <w:sdt>
              <w:sdtPr>
                <w:rPr>
                  <w:rFonts w:hint="eastAsia" w:ascii="宋体" w:hAnsi="宋体" w:cs="宋体"/>
                  <w:kern w:val="0"/>
                  <w:sz w:val="24"/>
                </w:rPr>
                <w:id w:val="14746448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0" w:firstLineChars="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0" w:firstLineChars="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0" w:firstLineChars="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p>
          <w:p>
            <w:pPr>
              <w:spacing w:line="360" w:lineRule="auto"/>
              <w:ind w:firstLine="0" w:firstLineChars="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7"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0" w:firstLineChars="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w:t>
            </w:r>
            <w:r>
              <w:rPr>
                <w:rFonts w:hint="eastAsia" w:hAnsi="宋体" w:cs="宋体"/>
                <w:sz w:val="24"/>
                <w:u w:val="single"/>
                <w:lang w:eastAsia="zh-CN"/>
              </w:rPr>
              <w:t>杭州市拱墅区祥兴路18号</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张工 18768106829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55918"/>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1"/>
        <w:rPr>
          <w:rFonts w:ascii="宋体" w:hAnsi="宋体" w:cs="宋体"/>
          <w:b/>
          <w:sz w:val="32"/>
          <w:szCs w:val="20"/>
        </w:rPr>
      </w:pPr>
      <w:bookmarkStart w:id="49" w:name="_Toc164416483"/>
      <w:bookmarkStart w:id="50" w:name="第三部分"/>
      <w:r>
        <w:rPr>
          <w:rFonts w:hint="eastAsia" w:ascii="宋体" w:hAnsi="宋体" w:cs="宋体"/>
          <w:b/>
          <w:sz w:val="32"/>
          <w:szCs w:val="20"/>
        </w:rPr>
        <w:t>一、总则</w:t>
      </w:r>
    </w:p>
    <w:p>
      <w:pPr>
        <w:snapToGrid w:val="0"/>
        <w:spacing w:line="360" w:lineRule="auto"/>
        <w:ind w:firstLine="482" w:firstLineChars="200"/>
        <w:jc w:val="left"/>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482" w:firstLineChars="2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sz w:val="24"/>
        </w:rPr>
      </w:pPr>
      <w:r>
        <w:rPr>
          <w:rFonts w:hint="eastAsia" w:ascii="宋体" w:hAnsi="宋体" w:cs="宋体"/>
          <w:sz w:val="24"/>
        </w:rPr>
        <w:t>3.4.3 采购人应当贯彻落实知识产权保护相关法律法规，应当采购使用正版软件。</w:t>
      </w:r>
    </w:p>
    <w:p>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rFonts w:hint="eastAsia"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pPr>
        <w:spacing w:line="360" w:lineRule="auto"/>
        <w:ind w:firstLine="482" w:firstLineChars="200"/>
        <w:rPr>
          <w:rFonts w:ascii="宋体" w:hAnsi="宋体" w:cs="宋体"/>
          <w:b/>
          <w:sz w:val="24"/>
        </w:rPr>
      </w:pPr>
      <w:r>
        <w:rPr>
          <w:rFonts w:hint="eastAsia" w:ascii="宋体" w:hAnsi="宋体" w:cs="宋体"/>
          <w:b/>
          <w:sz w:val="24"/>
        </w:rPr>
        <w:t>4. 询问、质疑、投诉、补偿救济</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投标人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0" w:leftChars="0" w:firstLine="480" w:firstLineChars="200"/>
        <w:rPr>
          <w:rFonts w:hint="eastAsia" w:hAnsi="宋体" w:cs="宋体"/>
          <w:sz w:val="24"/>
        </w:rPr>
      </w:pPr>
      <w:r>
        <w:rPr>
          <w:rFonts w:hint="eastAsia" w:hAnsi="宋体" w:cs="宋体"/>
          <w:sz w:val="24"/>
        </w:rPr>
        <w:t>4.3.2.2对采购过程提出质疑的，质疑期限为各采购程序环节结束之日起计算。</w:t>
      </w:r>
    </w:p>
    <w:p>
      <w:pPr>
        <w:pStyle w:val="32"/>
        <w:spacing w:line="360" w:lineRule="auto"/>
        <w:ind w:left="0" w:leftChars="0" w:firstLine="480" w:firstLineChars="200"/>
        <w:rPr>
          <w:rFonts w:hAnsi="宋体" w:cs="宋体"/>
          <w:sz w:val="24"/>
        </w:rPr>
      </w:pPr>
      <w:r>
        <w:rPr>
          <w:rFonts w:hint="eastAsia" w:hAnsi="宋体" w:cs="宋体"/>
          <w:sz w:val="24"/>
        </w:rPr>
        <w:t>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4.3.3.5必要的法律依据；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4.3.3.6提出质疑的日期。</w:t>
      </w:r>
    </w:p>
    <w:p>
      <w:pPr>
        <w:pStyle w:val="888"/>
        <w:shd w:val="clear" w:color="auto" w:fill="FFFFFF"/>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before="0" w:beforeAutospacing="0" w:after="0" w:afterAutospacing="0" w:line="360" w:lineRule="auto"/>
        <w:ind w:firstLine="480" w:firstLineChars="200"/>
        <w:contextualSpacing/>
      </w:pPr>
      <w:r>
        <w:rPr>
          <w:rFonts w:hint="eastAsia"/>
        </w:rPr>
        <w:t>质疑函范本及制作说明详见附件2。</w:t>
      </w:r>
    </w:p>
    <w:p>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80" w:firstLineChars="200"/>
        <w:contextualSpacing/>
        <w:rPr>
          <w:lang w:val="zh-CN"/>
        </w:rPr>
      </w:pPr>
      <w:r>
        <w:rPr>
          <w:rFonts w:hint="eastAsia"/>
          <w:lang w:val="zh-CN"/>
        </w:rPr>
        <w:t>4.5 补偿救济</w:t>
      </w:r>
    </w:p>
    <w:p>
      <w:pPr>
        <w:pStyle w:val="888"/>
        <w:shd w:val="clear" w:color="auto" w:fill="FFFFFF"/>
        <w:snapToGrid w:val="0"/>
        <w:spacing w:after="240" w:afterAutospacing="0" w:line="360" w:lineRule="auto"/>
        <w:ind w:firstLine="400"/>
        <w:contextualSpacing/>
      </w:pPr>
      <w:r>
        <w:rPr>
          <w:rFonts w:hint="eastAsia"/>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00"/>
        <w:contextualSpacing/>
      </w:pPr>
      <w:r>
        <w:rPr>
          <w:rFonts w:hint="eastAsia"/>
        </w:rPr>
        <w:t>投诉书范本及制作说明详见附件3。</w:t>
      </w:r>
    </w:p>
    <w:p>
      <w:pPr>
        <w:adjustRightInd/>
        <w:spacing w:line="360" w:lineRule="auto"/>
        <w:jc w:val="center"/>
        <w:outlineLvl w:val="1"/>
        <w:rPr>
          <w:rFonts w:ascii="宋体" w:hAnsi="宋体" w:cs="宋体"/>
          <w:b/>
          <w:sz w:val="32"/>
          <w:szCs w:val="20"/>
        </w:rPr>
      </w:pPr>
      <w:r>
        <w:rPr>
          <w:rFonts w:hint="eastAsia" w:ascii="宋体" w:hAnsi="宋体" w:cs="宋体"/>
          <w:b/>
          <w:sz w:val="32"/>
          <w:szCs w:val="20"/>
        </w:rPr>
        <w:t>二、招标文件的构成、澄清、修改</w:t>
      </w:r>
    </w:p>
    <w:p>
      <w:pPr>
        <w:pStyle w:val="32"/>
        <w:spacing w:line="360" w:lineRule="auto"/>
        <w:ind w:firstLine="482" w:firstLineChars="200"/>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ind w:firstLine="482" w:firstLineChars="200"/>
        <w:rPr>
          <w:rFonts w:hAnsi="宋体" w:cs="宋体"/>
          <w:b/>
          <w:sz w:val="24"/>
          <w:szCs w:val="24"/>
        </w:rPr>
      </w:pPr>
      <w:r>
        <w:rPr>
          <w:rFonts w:hint="eastAsia" w:hAnsi="宋体" w:cs="宋体"/>
          <w:b/>
          <w:sz w:val="24"/>
          <w:szCs w:val="24"/>
        </w:rPr>
        <w:t>6. 招标文件的澄清、修改</w:t>
      </w:r>
    </w:p>
    <w:p>
      <w:pPr>
        <w:pStyle w:val="131"/>
        <w:snapToGrid w:val="0"/>
        <w:spacing w:before="0"/>
        <w:ind w:firstLine="482"/>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1"/>
        <w:snapToGrid w:val="0"/>
        <w:spacing w:before="0"/>
        <w:ind w:firstLine="482"/>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pPr>
        <w:pStyle w:val="32"/>
        <w:snapToGrid w:val="0"/>
        <w:spacing w:line="360" w:lineRule="auto"/>
        <w:ind w:firstLine="482" w:firstLineChars="200"/>
        <w:rPr>
          <w:rFonts w:hAnsi="宋体" w:cs="宋体"/>
          <w:b/>
          <w:sz w:val="24"/>
          <w:szCs w:val="24"/>
        </w:rPr>
      </w:pPr>
      <w:r>
        <w:rPr>
          <w:rFonts w:hint="eastAsia" w:hAnsi="宋体" w:cs="宋体"/>
          <w:b/>
          <w:sz w:val="24"/>
          <w:szCs w:val="24"/>
        </w:rPr>
        <w:t>7. 招标文件的获取</w:t>
      </w:r>
    </w:p>
    <w:p>
      <w:pPr>
        <w:snapToGrid w:val="0"/>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napToGrid w:val="0"/>
        <w:spacing w:line="360" w:lineRule="auto"/>
        <w:ind w:firstLine="482" w:firstLineChars="200"/>
        <w:rPr>
          <w:rFonts w:hAnsi="宋体" w:cs="宋体"/>
          <w:b/>
          <w:sz w:val="24"/>
          <w:szCs w:val="24"/>
        </w:rPr>
      </w:pPr>
      <w:r>
        <w:rPr>
          <w:rFonts w:hint="eastAsia" w:hAnsi="宋体" w:cs="宋体"/>
          <w:b/>
          <w:sz w:val="24"/>
          <w:szCs w:val="24"/>
        </w:rPr>
        <w:t>8.开标前答疑会或现场考察</w:t>
      </w:r>
    </w:p>
    <w:p>
      <w:pPr>
        <w:pStyle w:val="32"/>
        <w:snapToGrid w:val="0"/>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napToGrid w:val="0"/>
        <w:spacing w:line="360" w:lineRule="auto"/>
        <w:ind w:firstLine="482" w:firstLineChars="200"/>
        <w:rPr>
          <w:rFonts w:hAnsi="宋体" w:cs="宋体"/>
          <w:b/>
          <w:szCs w:val="24"/>
        </w:rPr>
      </w:pPr>
      <w:r>
        <w:rPr>
          <w:rFonts w:hint="eastAsia" w:hAnsi="宋体" w:cs="宋体"/>
          <w:b/>
          <w:kern w:val="28"/>
          <w:sz w:val="24"/>
          <w:szCs w:val="24"/>
        </w:rPr>
        <w:t>9.投标保证金</w:t>
      </w:r>
    </w:p>
    <w:p>
      <w:pPr>
        <w:pStyle w:val="5"/>
        <w:spacing w:line="360" w:lineRule="auto"/>
        <w:ind w:firstLine="480" w:firstLineChars="200"/>
        <w:rPr>
          <w:rFonts w:hAnsi="宋体" w:cs="宋体"/>
          <w:color w:val="auto"/>
          <w:sz w:val="24"/>
        </w:rPr>
      </w:pPr>
      <w:r>
        <w:rPr>
          <w:rFonts w:hint="eastAsia" w:hAnsi="宋体" w:cs="宋体"/>
          <w:color w:val="auto"/>
          <w:sz w:val="24"/>
        </w:rPr>
        <w:t>本项目不需缴纳投标保证金。</w:t>
      </w:r>
    </w:p>
    <w:p>
      <w:pPr>
        <w:pStyle w:val="32"/>
        <w:snapToGrid w:val="0"/>
        <w:spacing w:line="360" w:lineRule="auto"/>
        <w:ind w:firstLine="482" w:firstLineChars="200"/>
        <w:rPr>
          <w:rFonts w:hAnsi="宋体" w:cs="宋体"/>
          <w:b/>
          <w:sz w:val="24"/>
          <w:szCs w:val="24"/>
        </w:rPr>
      </w:pPr>
      <w:r>
        <w:rPr>
          <w:rFonts w:hint="eastAsia" w:hAnsi="宋体" w:cs="宋体"/>
          <w:b/>
          <w:sz w:val="24"/>
          <w:szCs w:val="24"/>
        </w:rPr>
        <w:t>10. 投标文件的语言</w:t>
      </w:r>
    </w:p>
    <w:p>
      <w:pPr>
        <w:autoSpaceDE w:val="0"/>
        <w:autoSpaceDN w:val="0"/>
        <w:snapToGrid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napToGrid w:val="0"/>
        <w:spacing w:line="360" w:lineRule="auto"/>
        <w:ind w:firstLine="482" w:firstLineChars="200"/>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w:t>
      </w:r>
      <w:r>
        <w:rPr>
          <w:rFonts w:hint="eastAsia" w:ascii="宋体" w:hAnsi="宋体" w:cs="宋体"/>
          <w:sz w:val="24"/>
        </w:rPr>
        <w:t>服务全部由符合政策要求的中小企业承接，提供中小企业声明函；</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：无</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0" w:leftChars="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0" w:leftChars="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 报价情况说明（如供应商报价低于项目预算50%的，应当提交本文档，详细阐述不影响产品质量或者诚信履约的具体原因）。</w:t>
      </w:r>
    </w:p>
    <w:p>
      <w:pPr>
        <w:spacing w:line="360" w:lineRule="auto"/>
        <w:ind w:firstLine="482" w:firstLineChars="2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482" w:firstLineChars="200"/>
        <w:rPr>
          <w:rFonts w:ascii="宋体" w:hAnsi="宋体" w:cs="宋体"/>
          <w:b/>
          <w:sz w:val="24"/>
        </w:rPr>
      </w:pPr>
      <w:r>
        <w:rPr>
          <w:rFonts w:hint="eastAsia" w:ascii="宋体" w:hAnsi="宋体" w:cs="宋体"/>
          <w:b/>
          <w:sz w:val="24"/>
        </w:rPr>
        <w:t>投标人提供虚假材料投标的，投标无效。</w:t>
      </w:r>
    </w:p>
    <w:p>
      <w:pPr>
        <w:spacing w:line="360" w:lineRule="auto"/>
        <w:ind w:firstLine="480" w:firstLineChars="200"/>
      </w:pPr>
      <w:r>
        <w:rPr>
          <w:rFonts w:hint="eastAsia"/>
          <w:sz w:val="24"/>
          <w:shd w:val="clear" w:color="auto" w:fill="FFFFFF"/>
        </w:rPr>
        <w:t>投标人应对投标文件中材料的真实性、合法性负责。</w:t>
      </w:r>
    </w:p>
    <w:p>
      <w:pPr>
        <w:pStyle w:val="131"/>
        <w:snapToGrid w:val="0"/>
        <w:spacing w:before="0"/>
        <w:ind w:firstLine="482" w:firstLineChars="20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宋体" w:hAnsi="宋体" w:cs="宋体"/>
          <w:b/>
          <w:sz w:val="24"/>
        </w:rPr>
      </w:pPr>
      <w:r>
        <w:rPr>
          <w:rFonts w:hint="eastAsia" w:ascii="宋体" w:hAnsi="宋体" w:cs="宋体"/>
          <w:b/>
          <w:sz w:val="24"/>
        </w:rPr>
        <w:t>13.投标文件的签署、盖章</w:t>
      </w:r>
    </w:p>
    <w:p>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1"/>
        <w:snapToGrid w:val="0"/>
        <w:spacing w:before="0"/>
        <w:ind w:firstLine="482" w:firstLineChars="200"/>
        <w:rPr>
          <w:rFonts w:ascii="宋体" w:hAnsi="宋体" w:cs="宋体"/>
          <w:b/>
          <w:szCs w:val="24"/>
        </w:rPr>
      </w:pPr>
      <w:r>
        <w:rPr>
          <w:rFonts w:hint="eastAsia" w:ascii="宋体" w:hAnsi="宋体" w:cs="宋体"/>
          <w:b/>
          <w:szCs w:val="24"/>
        </w:rPr>
        <w:t>14. 投标文件的提交、补充、修改、撤回</w:t>
      </w:r>
    </w:p>
    <w:p>
      <w:pPr>
        <w:pStyle w:val="131"/>
        <w:snapToGrid w:val="0"/>
        <w:spacing w:before="0"/>
        <w:ind w:firstLine="482"/>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napToGrid w:val="0"/>
        <w:spacing w:before="0"/>
        <w:ind w:firstLine="482"/>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napToGrid w:val="0"/>
        <w:spacing w:before="0"/>
        <w:ind w:firstLine="482"/>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napToGrid w:val="0"/>
        <w:spacing w:line="360" w:lineRule="auto"/>
        <w:ind w:firstLine="482" w:firstLineChars="200"/>
        <w:rPr>
          <w:rFonts w:hAnsi="宋体" w:cs="宋体"/>
          <w:b/>
          <w:sz w:val="24"/>
          <w:szCs w:val="24"/>
        </w:rPr>
      </w:pPr>
      <w:r>
        <w:rPr>
          <w:rFonts w:hint="eastAsia" w:hAnsi="宋体" w:cs="宋体"/>
          <w:b/>
          <w:sz w:val="24"/>
          <w:szCs w:val="24"/>
        </w:rPr>
        <w:t>15.备份投标文件</w:t>
      </w:r>
    </w:p>
    <w:p>
      <w:pPr>
        <w:pStyle w:val="32"/>
        <w:snapToGrid w:val="0"/>
        <w:spacing w:line="360" w:lineRule="auto"/>
        <w:ind w:firstLine="480" w:firstLineChars="200"/>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2"/>
        <w:snapToGrid w:val="0"/>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napToGrid w:val="0"/>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napToGrid w:val="0"/>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napToGrid w:val="0"/>
        <w:spacing w:line="360" w:lineRule="auto"/>
        <w:ind w:firstLine="482" w:firstLineChars="200"/>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1"/>
        <w:snapToGrid w:val="0"/>
        <w:spacing w:before="0"/>
        <w:ind w:firstLine="482" w:firstLineChars="200"/>
        <w:rPr>
          <w:rFonts w:ascii="宋体" w:hAnsi="宋体" w:cs="宋体"/>
          <w:b/>
          <w:szCs w:val="24"/>
        </w:rPr>
      </w:pPr>
      <w:r>
        <w:rPr>
          <w:rFonts w:hint="eastAsia" w:ascii="宋体" w:hAnsi="宋体" w:cs="宋体"/>
          <w:b/>
          <w:szCs w:val="24"/>
        </w:rPr>
        <w:t>16.投标文件的无效处理</w:t>
      </w:r>
    </w:p>
    <w:p>
      <w:pPr>
        <w:pStyle w:val="24"/>
        <w:snapToGrid w:val="0"/>
        <w:spacing w:line="360" w:lineRule="auto"/>
        <w:ind w:firstLine="480" w:firstLineChars="200"/>
        <w:rPr>
          <w:rFonts w:hint="eastAsia" w:eastAsia="宋体" w:cs="宋体"/>
          <w:szCs w:val="21"/>
          <w:lang w:eastAsia="zh-CN"/>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pPr>
        <w:pStyle w:val="131"/>
        <w:snapToGrid w:val="0"/>
        <w:spacing w:before="0"/>
        <w:ind w:firstLine="482" w:firstLineChars="200"/>
        <w:rPr>
          <w:rFonts w:ascii="宋体" w:hAnsi="宋体" w:cs="宋体"/>
          <w:b/>
          <w:szCs w:val="24"/>
        </w:rPr>
      </w:pPr>
      <w:r>
        <w:rPr>
          <w:rFonts w:hint="eastAsia" w:ascii="宋体" w:hAnsi="宋体" w:cs="宋体"/>
          <w:b/>
          <w:szCs w:val="24"/>
        </w:rPr>
        <w:t>17.投标有效期</w:t>
      </w:r>
    </w:p>
    <w:p>
      <w:pPr>
        <w:snapToGrid w:val="0"/>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1"/>
        <w:snapToGrid w:val="0"/>
        <w:spacing w:before="0"/>
        <w:ind w:firstLine="482"/>
        <w:rPr>
          <w:rFonts w:ascii="宋体" w:hAnsi="宋体" w:cs="宋体"/>
        </w:rPr>
      </w:pPr>
      <w:r>
        <w:rPr>
          <w:rFonts w:hint="eastAsia" w:ascii="宋体" w:hAnsi="宋体" w:cs="宋体"/>
        </w:rPr>
        <w:t>17.2投标文件合格投递后，自投标截止日期起，在投标有效期内有效。</w:t>
      </w:r>
    </w:p>
    <w:p>
      <w:pPr>
        <w:pStyle w:val="131"/>
        <w:snapToGrid w:val="0"/>
        <w:spacing w:before="0"/>
        <w:ind w:firstLine="482"/>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pPr>
        <w:pStyle w:val="556"/>
        <w:snapToGrid w:val="0"/>
        <w:spacing w:before="0" w:line="360" w:lineRule="auto"/>
        <w:ind w:left="0" w:firstLine="482" w:firstLineChars="2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6"/>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6"/>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18.2开标时，电子交易平台按开标时间自动提取所有投标文件。采购代理机构依托电子交易平台发起开始解密指令，投标人按照平台提示和招标文件的规定在半小时内完成在线解密。</w:t>
      </w:r>
    </w:p>
    <w:p>
      <w:pPr>
        <w:pStyle w:val="556"/>
        <w:snapToGrid w:val="0"/>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napToGrid w:val="0"/>
        <w:spacing w:before="0" w:beforeAutospacing="0" w:after="0" w:line="360" w:lineRule="auto"/>
        <w:ind w:firstLine="482" w:firstLineChars="200"/>
        <w:jc w:val="left"/>
        <w:rPr>
          <w:rFonts w:ascii="宋体" w:hAnsi="宋体" w:cs="宋体"/>
          <w:b/>
          <w:sz w:val="24"/>
          <w:szCs w:val="20"/>
        </w:rPr>
      </w:pPr>
      <w:r>
        <w:rPr>
          <w:rFonts w:hint="eastAsia" w:ascii="宋体" w:hAnsi="宋体" w:cs="宋体"/>
          <w:b/>
          <w:sz w:val="24"/>
          <w:szCs w:val="20"/>
        </w:rPr>
        <w:t>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1"/>
        <w:snapToGrid w:val="0"/>
        <w:spacing w:before="0"/>
        <w:ind w:firstLine="482"/>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1"/>
        <w:snapToGrid w:val="0"/>
        <w:spacing w:before="0"/>
        <w:ind w:firstLine="482"/>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1"/>
        <w:snapToGrid w:val="0"/>
        <w:spacing w:before="0"/>
        <w:ind w:firstLine="482"/>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1"/>
        <w:snapToGrid w:val="0"/>
        <w:spacing w:before="0"/>
        <w:ind w:firstLine="482"/>
        <w:rPr>
          <w:rFonts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snapToGrid w:val="0"/>
        <w:spacing w:before="0"/>
        <w:ind w:firstLine="482" w:firstLineChars="200"/>
        <w:rPr>
          <w:rFonts w:ascii="宋体" w:hAnsi="宋体" w:cs="宋体"/>
          <w:b/>
          <w:szCs w:val="24"/>
        </w:rPr>
      </w:pPr>
      <w:r>
        <w:rPr>
          <w:rFonts w:hint="eastAsia" w:ascii="宋体" w:hAnsi="宋体" w:cs="宋体"/>
          <w:b/>
          <w:szCs w:val="24"/>
        </w:rPr>
        <w:t>20、信用信息查询</w:t>
      </w:r>
    </w:p>
    <w:p>
      <w:pPr>
        <w:pStyle w:val="131"/>
        <w:snapToGrid w:val="0"/>
        <w:spacing w:before="0"/>
        <w:ind w:firstLine="480" w:firstLineChars="20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1"/>
        <w:snapToGrid w:val="0"/>
        <w:spacing w:before="0"/>
        <w:ind w:firstLine="480" w:firstLineChars="20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1"/>
        <w:snapToGrid w:val="0"/>
        <w:spacing w:before="0"/>
        <w:ind w:firstLine="480" w:firstLineChars="20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1"/>
        <w:snapToGrid w:val="0"/>
        <w:spacing w:before="0"/>
        <w:ind w:firstLine="482"/>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pPr>
        <w:spacing w:line="360" w:lineRule="auto"/>
        <w:ind w:firstLine="482" w:firstLineChars="200"/>
        <w:rPr>
          <w:rFonts w:ascii="宋体" w:hAnsi="宋体" w:cs="宋体"/>
          <w:b/>
          <w:sz w:val="24"/>
        </w:rPr>
      </w:pPr>
      <w:bookmarkStart w:id="51"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pPr>
        <w:pStyle w:val="24"/>
        <w:spacing w:line="360" w:lineRule="auto"/>
        <w:ind w:left="0" w:firstLine="482" w:firstLineChars="200"/>
        <w:rPr>
          <w:rFonts w:cs="宋体"/>
          <w:b/>
        </w:rPr>
      </w:pPr>
      <w:r>
        <w:rPr>
          <w:rFonts w:hint="eastAsia" w:cs="宋体"/>
          <w:b/>
        </w:rPr>
        <w:t>22. 确定中标供应商</w:t>
      </w:r>
    </w:p>
    <w:p>
      <w:pPr>
        <w:pStyle w:val="131"/>
        <w:snapToGrid w:val="0"/>
        <w:spacing w:before="0"/>
        <w:ind w:firstLine="482"/>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1"/>
        <w:snapToGrid w:val="0"/>
        <w:spacing w:before="0"/>
        <w:ind w:firstLine="482" w:firstLineChars="20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52" w:name="_Hlk101184471"/>
      <w:r>
        <w:rPr>
          <w:rFonts w:hint="eastAsia" w:ascii="宋体" w:hAnsi="宋体" w:cs="宋体"/>
          <w:sz w:val="24"/>
        </w:rPr>
        <w:t>资格审查情况、评审专家抽取规则、符合性审查情况、</w:t>
      </w:r>
      <w:bookmarkEnd w:id="52"/>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23.3公告期限为1个工作日。</w:t>
      </w:r>
    </w:p>
    <w:p>
      <w:pPr>
        <w:pStyle w:val="131"/>
        <w:snapToGrid w:val="0"/>
        <w:spacing w:before="0"/>
        <w:ind w:firstLine="482"/>
        <w:rPr>
          <w:rStyle w:val="78"/>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pPr>
        <w:snapToGrid w:val="0"/>
        <w:spacing w:line="360" w:lineRule="auto"/>
        <w:jc w:val="center"/>
        <w:outlineLvl w:val="1"/>
        <w:rPr>
          <w:rFonts w:ascii="宋体" w:hAnsi="宋体" w:cs="宋体"/>
          <w:b/>
          <w:sz w:val="32"/>
        </w:rPr>
      </w:pPr>
      <w:r>
        <w:rPr>
          <w:rFonts w:hint="eastAsia" w:ascii="宋体" w:hAnsi="宋体" w:cs="宋体"/>
          <w:b/>
          <w:sz w:val="32"/>
        </w:rPr>
        <w:t>七、合同授予</w:t>
      </w:r>
    </w:p>
    <w:p>
      <w:pPr>
        <w:pStyle w:val="24"/>
        <w:snapToGrid w:val="0"/>
        <w:spacing w:line="360" w:lineRule="auto"/>
        <w:ind w:left="0" w:firstLine="482" w:firstLineChars="200"/>
        <w:rPr>
          <w:rFonts w:cs="宋体"/>
          <w:b/>
        </w:rPr>
      </w:pPr>
      <w:r>
        <w:rPr>
          <w:rFonts w:hint="eastAsia" w:cs="宋体"/>
          <w:b/>
        </w:rPr>
        <w:t xml:space="preserve">24. </w:t>
      </w:r>
      <w:r>
        <w:rPr>
          <w:rFonts w:hint="eastAsia" w:cs="宋体"/>
        </w:rPr>
        <w:t>合同主要条款详见第五部分拟签订的合同文本。</w:t>
      </w:r>
    </w:p>
    <w:p>
      <w:pPr>
        <w:pStyle w:val="24"/>
        <w:snapToGrid w:val="0"/>
        <w:spacing w:line="360" w:lineRule="auto"/>
        <w:ind w:left="0" w:firstLine="482" w:firstLineChars="200"/>
        <w:rPr>
          <w:rFonts w:cs="宋体"/>
          <w:b/>
        </w:rPr>
      </w:pPr>
      <w:r>
        <w:rPr>
          <w:rFonts w:hint="eastAsia" w:cs="宋体"/>
          <w:b/>
        </w:rPr>
        <w:t>25. 合同的签订</w:t>
      </w:r>
    </w:p>
    <w:p>
      <w:pPr>
        <w:widowControl/>
        <w:shd w:val="clear" w:color="auto" w:fill="FFFFFF"/>
        <w:snapToGrid w:val="0"/>
        <w:spacing w:line="360" w:lineRule="auto"/>
        <w:ind w:firstLine="480" w:firstLineChars="200"/>
        <w:jc w:val="both"/>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2"/>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2"/>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1"/>
        <w:snapToGrid w:val="0"/>
        <w:spacing w:before="0"/>
        <w:ind w:firstLine="482"/>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0"/>
        <w:ind w:firstLine="482"/>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napToGrid w:val="0"/>
        <w:spacing w:line="360" w:lineRule="auto"/>
        <w:ind w:left="0" w:firstLine="482" w:firstLineChars="200"/>
        <w:rPr>
          <w:rFonts w:cs="宋体"/>
          <w:b/>
        </w:rPr>
      </w:pPr>
      <w:r>
        <w:rPr>
          <w:rFonts w:hint="eastAsia" w:cs="宋体"/>
          <w:b/>
        </w:rPr>
        <w:t>26. 履约保证金</w:t>
      </w:r>
    </w:p>
    <w:p>
      <w:pPr>
        <w:tabs>
          <w:tab w:val="left" w:pos="0"/>
        </w:tabs>
        <w:snapToGrid w:val="0"/>
        <w:spacing w:line="360" w:lineRule="auto"/>
        <w:ind w:firstLine="480" w:firstLineChars="200"/>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napToGrid w:val="0"/>
        <w:spacing w:line="360" w:lineRule="auto"/>
        <w:ind w:left="0" w:firstLine="482" w:firstLineChars="200"/>
        <w:rPr>
          <w:rFonts w:cs="宋体"/>
          <w:b/>
        </w:rPr>
      </w:pPr>
      <w:r>
        <w:rPr>
          <w:rFonts w:hint="eastAsia" w:cs="宋体"/>
          <w:b/>
        </w:rPr>
        <w:t>27.预付款</w:t>
      </w:r>
    </w:p>
    <w:p>
      <w:pPr>
        <w:adjustRightInd w:val="0"/>
        <w:snapToGrid w:val="0"/>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snapToGrid w:val="0"/>
        <w:spacing w:line="360" w:lineRule="auto"/>
        <w:jc w:val="center"/>
        <w:outlineLvl w:val="1"/>
        <w:rPr>
          <w:rFonts w:ascii="宋体" w:hAnsi="宋体" w:cs="宋体"/>
          <w:b/>
          <w:sz w:val="24"/>
        </w:rPr>
      </w:pPr>
      <w:r>
        <w:rPr>
          <w:rFonts w:hint="eastAsia" w:ascii="宋体" w:hAnsi="宋体" w:cs="宋体"/>
          <w:b/>
          <w:sz w:val="32"/>
        </w:rPr>
        <w:t>八、电子交易活动的中止</w:t>
      </w:r>
    </w:p>
    <w:p>
      <w:pPr>
        <w:pStyle w:val="131"/>
        <w:snapToGrid w:val="0"/>
        <w:spacing w:before="0"/>
        <w:ind w:firstLine="482" w:firstLineChars="20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1"/>
        <w:snapToGrid w:val="0"/>
        <w:spacing w:before="0"/>
        <w:ind w:firstLine="482"/>
        <w:rPr>
          <w:rFonts w:ascii="宋体" w:hAnsi="宋体" w:cs="宋体"/>
        </w:rPr>
      </w:pPr>
      <w:r>
        <w:rPr>
          <w:rFonts w:hint="eastAsia" w:ascii="宋体" w:hAnsi="宋体" w:cs="宋体"/>
        </w:rPr>
        <w:t xml:space="preserve">28.1电子交易平台发生故障而无法登录访问的； </w:t>
      </w:r>
    </w:p>
    <w:p>
      <w:pPr>
        <w:pStyle w:val="131"/>
        <w:snapToGrid w:val="0"/>
        <w:spacing w:before="0"/>
        <w:ind w:firstLine="482"/>
        <w:rPr>
          <w:rFonts w:ascii="宋体" w:hAnsi="宋体" w:cs="宋体"/>
        </w:rPr>
      </w:pPr>
      <w:r>
        <w:rPr>
          <w:rFonts w:hint="eastAsia" w:ascii="宋体" w:hAnsi="宋体" w:cs="宋体"/>
        </w:rPr>
        <w:t>28.2电子交易平台应用或数据库出现错误，不能进行正常操作的；</w:t>
      </w:r>
    </w:p>
    <w:p>
      <w:pPr>
        <w:pStyle w:val="131"/>
        <w:snapToGrid w:val="0"/>
        <w:spacing w:before="0"/>
        <w:ind w:firstLine="482"/>
        <w:rPr>
          <w:rFonts w:ascii="宋体" w:hAnsi="宋体" w:cs="宋体"/>
        </w:rPr>
      </w:pPr>
      <w:r>
        <w:rPr>
          <w:rFonts w:hint="eastAsia" w:ascii="宋体" w:hAnsi="宋体" w:cs="宋体"/>
        </w:rPr>
        <w:t>28.3电子交易平台发现严重安全漏洞，有潜在泄密危险的；</w:t>
      </w:r>
    </w:p>
    <w:p>
      <w:pPr>
        <w:pStyle w:val="131"/>
        <w:snapToGrid w:val="0"/>
        <w:spacing w:before="0"/>
        <w:ind w:firstLine="482"/>
        <w:rPr>
          <w:rFonts w:ascii="宋体" w:hAnsi="宋体" w:cs="宋体"/>
        </w:rPr>
      </w:pPr>
      <w:r>
        <w:rPr>
          <w:rFonts w:hint="eastAsia" w:ascii="宋体" w:hAnsi="宋体" w:cs="宋体"/>
        </w:rPr>
        <w:t xml:space="preserve">28.4病毒发作导致不能进行正常操作的； </w:t>
      </w:r>
    </w:p>
    <w:p>
      <w:pPr>
        <w:pStyle w:val="131"/>
        <w:snapToGrid w:val="0"/>
        <w:spacing w:before="0"/>
        <w:ind w:firstLine="482"/>
        <w:rPr>
          <w:rFonts w:ascii="宋体" w:hAnsi="宋体" w:cs="宋体"/>
        </w:rPr>
      </w:pPr>
      <w:r>
        <w:rPr>
          <w:rFonts w:hint="eastAsia" w:ascii="宋体" w:hAnsi="宋体" w:cs="宋体"/>
        </w:rPr>
        <w:t>28.5其他无法保证电子交易的公平、公正和安全的情况。</w:t>
      </w:r>
    </w:p>
    <w:p>
      <w:pPr>
        <w:pStyle w:val="131"/>
        <w:snapToGrid w:val="0"/>
        <w:spacing w:before="0"/>
        <w:ind w:firstLine="480" w:firstLineChars="200"/>
        <w:rPr>
          <w:rFonts w:ascii="宋体" w:hAnsi="宋体" w:cs="宋体"/>
        </w:rPr>
      </w:pPr>
      <w:r>
        <w:rPr>
          <w:rFonts w:hint="eastAsia" w:ascii="宋体" w:hAnsi="宋体" w:cs="宋体"/>
        </w:rPr>
        <w:t>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0" w:leftChars="0" w:firstLine="0" w:firstLineChars="0"/>
        <w:jc w:val="center"/>
        <w:outlineLvl w:val="1"/>
        <w:rPr>
          <w:rFonts w:ascii="宋体" w:hAnsi="宋体" w:cs="宋体"/>
          <w:b/>
          <w:sz w:val="32"/>
        </w:rPr>
      </w:pPr>
      <w:r>
        <w:rPr>
          <w:rFonts w:hint="eastAsia" w:ascii="宋体" w:hAnsi="宋体" w:cs="宋体"/>
          <w:b/>
          <w:sz w:val="32"/>
        </w:rPr>
        <w:t>九、验收</w:t>
      </w:r>
    </w:p>
    <w:p>
      <w:pPr>
        <w:pStyle w:val="24"/>
        <w:spacing w:line="360" w:lineRule="auto"/>
        <w:ind w:firstLine="482" w:firstLineChars="200"/>
        <w:rPr>
          <w:rFonts w:cs="宋体"/>
          <w:b/>
        </w:rPr>
      </w:pPr>
      <w:r>
        <w:rPr>
          <w:rFonts w:hint="eastAsia" w:cs="宋体"/>
          <w:b/>
        </w:rPr>
        <w:t>30.验收</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79"/>
      </w:pPr>
    </w:p>
    <w:bookmarkEnd w:id="51"/>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53" w:name="_Hlt74714665"/>
      <w:bookmarkEnd w:id="53"/>
      <w:bookmarkStart w:id="54" w:name="_Hlt68403820"/>
      <w:bookmarkEnd w:id="54"/>
      <w:bookmarkStart w:id="55" w:name="_Hlt75236011"/>
      <w:bookmarkEnd w:id="55"/>
      <w:bookmarkStart w:id="56" w:name="_Hlt68073093"/>
      <w:bookmarkEnd w:id="56"/>
      <w:bookmarkStart w:id="57" w:name="_Hlt68072998"/>
      <w:bookmarkEnd w:id="57"/>
      <w:bookmarkStart w:id="58" w:name="_Hlt68072990"/>
      <w:bookmarkEnd w:id="58"/>
      <w:bookmarkStart w:id="59" w:name="_Hlt75236101"/>
      <w:bookmarkEnd w:id="59"/>
      <w:bookmarkStart w:id="60" w:name="_Hlt74730295"/>
      <w:bookmarkEnd w:id="60"/>
      <w:bookmarkStart w:id="61" w:name="_Hlt74729768"/>
      <w:bookmarkEnd w:id="61"/>
      <w:bookmarkStart w:id="62" w:name="_Hlt68057669"/>
      <w:bookmarkEnd w:id="62"/>
      <w:bookmarkStart w:id="63" w:name="_Hlt74707468"/>
      <w:bookmarkEnd w:id="63"/>
      <w:bookmarkStart w:id="64" w:name="_Hlt75236290"/>
      <w:bookmarkEnd w:id="64"/>
    </w:p>
    <w:bookmarkEnd w:id="49"/>
    <w:bookmarkEnd w:id="50"/>
    <w:p>
      <w:pPr>
        <w:spacing w:line="360" w:lineRule="auto"/>
        <w:jc w:val="center"/>
        <w:outlineLvl w:val="0"/>
        <w:rPr>
          <w:rFonts w:ascii="宋体" w:hAnsi="宋体" w:cs="宋体"/>
          <w:b/>
          <w:sz w:val="36"/>
          <w:szCs w:val="36"/>
        </w:rPr>
      </w:pPr>
      <w:bookmarkStart w:id="65" w:name="第四部分"/>
      <w:r>
        <w:rPr>
          <w:rFonts w:hint="eastAsia" w:ascii="宋体" w:hAnsi="宋体" w:cs="宋体"/>
          <w:b/>
          <w:sz w:val="36"/>
          <w:szCs w:val="36"/>
        </w:rPr>
        <w:t>第三部分 采购需求</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一、项目概况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为切实做好《滨江区消防安全委员会办公室工作提示单(7)》(滨消安委办【2024】58号)提示问题整改工作</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进一步加强居民小区地下空间消防安全综合整治，预防和减少火灾事故发生。滨康区块(滨康小区、滨康二苑)部分地下室被业主分隔</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堆积大量杂物</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且违规给电动自行车充电</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存在消防安全隐患，需对隔断进行拆除</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并将杂物、建筑垃圾外运。</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二、项目需求</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（一）服务内容及范围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对</w:t>
      </w:r>
      <w:r>
        <w:rPr>
          <w:rFonts w:hint="eastAsia" w:ascii="宋体" w:hAnsi="宋体" w:eastAsia="宋体" w:cs="宋体"/>
          <w:color w:val="auto"/>
          <w:kern w:val="0"/>
          <w:sz w:val="24"/>
          <w:szCs w:val="24"/>
        </w:rPr>
        <w:t>滨康区块堆积的杂物进行清理外运</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涉及 17 幢楼、约 400 间隔断</w:t>
      </w:r>
      <w:r>
        <w:rPr>
          <w:rFonts w:hint="eastAsia" w:ascii="宋体" w:hAnsi="宋体" w:eastAsia="宋体" w:cs="宋体"/>
          <w:color w:val="auto"/>
          <w:kern w:val="0"/>
          <w:sz w:val="24"/>
          <w:szCs w:val="24"/>
          <w:lang w:eastAsia="zh-CN"/>
        </w:rPr>
        <w:t>。</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（二）服务要求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1.大件废弃物及</w:t>
      </w:r>
      <w:r>
        <w:rPr>
          <w:rFonts w:hint="eastAsia" w:ascii="宋体" w:hAnsi="宋体" w:eastAsia="宋体" w:cs="宋体"/>
          <w:color w:val="auto"/>
          <w:sz w:val="24"/>
          <w:szCs w:val="24"/>
        </w:rPr>
        <w:t>地下室的</w:t>
      </w:r>
      <w:r>
        <w:rPr>
          <w:rFonts w:hint="eastAsia" w:ascii="宋体" w:hAnsi="宋体" w:eastAsia="宋体" w:cs="宋体"/>
          <w:color w:val="auto"/>
          <w:kern w:val="0"/>
          <w:sz w:val="24"/>
          <w:szCs w:val="24"/>
        </w:rPr>
        <w:t>堆积物收集、清运过程中，服务单位应做好垃圾分类工作，应做到集中清运，集中处置；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2.服务单位接到采购人有关部门的通知，必须立即安排清运车辆、作业人员第一时间进行清理，并及时将垃圾清理前后对比照片发至采购人相应的管理工作群中。</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3.在接到小区物业、居委会等相关通知后一天内进行清理，不得拖延；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4.大件废弃物及堆积物清运过程中，应自觉将其周围清扫彻底到位，并保证清运沿途无垃圾</w:t>
      </w:r>
      <w:r>
        <w:rPr>
          <w:rFonts w:hint="eastAsia" w:ascii="宋体" w:hAnsi="宋体" w:eastAsia="宋体" w:cs="宋体"/>
          <w:color w:val="auto"/>
          <w:kern w:val="0"/>
          <w:sz w:val="24"/>
          <w:szCs w:val="24"/>
          <w:lang w:eastAsia="zh-CN"/>
        </w:rPr>
        <w:t>洒落</w:t>
      </w:r>
      <w:r>
        <w:rPr>
          <w:rFonts w:hint="eastAsia" w:ascii="宋体" w:hAnsi="宋体" w:eastAsia="宋体" w:cs="宋体"/>
          <w:color w:val="auto"/>
          <w:kern w:val="0"/>
          <w:sz w:val="24"/>
          <w:szCs w:val="24"/>
        </w:rPr>
        <w:t>，保证无二次污染，污水无滴漏，收集完毕后必须将场地清扫、清洗干净；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5.背街小巷大件废弃物及堆积物清运时，须根据实际情况安排好作业人员、车辆进行清理，并保证清运沿途无垃圾</w:t>
      </w:r>
      <w:r>
        <w:rPr>
          <w:rFonts w:hint="eastAsia" w:ascii="宋体" w:hAnsi="宋体" w:eastAsia="宋体" w:cs="宋体"/>
          <w:color w:val="auto"/>
          <w:kern w:val="0"/>
          <w:sz w:val="24"/>
          <w:szCs w:val="24"/>
          <w:lang w:eastAsia="zh-CN"/>
        </w:rPr>
        <w:t>洒落</w:t>
      </w:r>
      <w:r>
        <w:rPr>
          <w:rFonts w:hint="eastAsia" w:ascii="宋体" w:hAnsi="宋体" w:eastAsia="宋体" w:cs="宋体"/>
          <w:color w:val="auto"/>
          <w:kern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6.服务单位应科学合理安排收运路线，避免</w:t>
      </w:r>
      <w:r>
        <w:rPr>
          <w:rFonts w:hint="eastAsia" w:ascii="宋体" w:hAnsi="宋体" w:eastAsia="宋体" w:cs="宋体"/>
          <w:color w:val="auto"/>
          <w:kern w:val="0"/>
          <w:sz w:val="24"/>
          <w:szCs w:val="24"/>
          <w:lang w:eastAsia="zh-CN"/>
        </w:rPr>
        <w:t>噪声</w:t>
      </w:r>
      <w:r>
        <w:rPr>
          <w:rFonts w:hint="eastAsia" w:ascii="宋体" w:hAnsi="宋体" w:eastAsia="宋体" w:cs="宋体"/>
          <w:color w:val="auto"/>
          <w:kern w:val="0"/>
          <w:sz w:val="24"/>
          <w:szCs w:val="24"/>
        </w:rPr>
        <w:t>扰民等现象；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7.服务期间若遇上级检查或</w:t>
      </w:r>
      <w:r>
        <w:rPr>
          <w:rFonts w:hint="eastAsia" w:ascii="宋体" w:hAnsi="宋体" w:eastAsia="宋体" w:cs="宋体"/>
          <w:color w:val="auto"/>
          <w:kern w:val="0"/>
          <w:sz w:val="24"/>
          <w:szCs w:val="24"/>
          <w:lang w:eastAsia="zh-CN"/>
        </w:rPr>
        <w:t>其他</w:t>
      </w:r>
      <w:r>
        <w:rPr>
          <w:rFonts w:hint="eastAsia" w:ascii="宋体" w:hAnsi="宋体" w:eastAsia="宋体" w:cs="宋体"/>
          <w:color w:val="auto"/>
          <w:kern w:val="0"/>
          <w:sz w:val="24"/>
          <w:szCs w:val="24"/>
        </w:rPr>
        <w:t>突击任务等特殊情况，应无条件服从采购人调配和安排；</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8.服务单位必须定期对相关作业人员进行安全教育，在运输过程中发生的任何交通事故均由服务单位负责，并应及时通知采购人相关人员；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9.服务单位应建立针对本项目服务的相应管理制度；</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（三）运输机械要求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1.本项目应投入机械清运车辆（核定载货量不得超过3T的货车）</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铲车</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小型车辆用于清理工作。车辆驾驶员必须持有效驾驶证上岗。服务期内，垃圾专运车辆清洗及停放，由投标人自行负责；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2.垃圾专运车辆车容必须保持整洁，车辆必须按照采购人要求粘贴明显的标识、标志，不得随处乱停放，不得违反交通规则；</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▲3.所有清运车辆保险手续齐全，第三者责任险保额不得低于100万元，且车辆保险未生效前，不得上路作业；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4.垃圾专运车要求为封闭式车辆或毡布覆盖，车辆在作业过程中必须进行全覆盖，车厢外不得有垃圾拖挂，沿途禁止抛洒滴漏，严禁超载超限运输；</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（四）作业人员要求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1.清运人员要求统一着装，服装应有明显标识；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2.投标人须根据本项目的特点及要求，配置合理的作业人员；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3.投标人须派一名项目管理人员作为本项目的负责人，负责承包区域内的日常管理工作，并承担联系、沟通及协调经营中发生的问题，负责人不得随意更换，若确需更换的，须得到采购人许可。</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三、其他要求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1.项目服务期限：</w:t>
      </w:r>
      <w:r>
        <w:rPr>
          <w:rFonts w:hint="eastAsia" w:ascii="宋体" w:hAnsi="宋体" w:eastAsia="宋体" w:cs="宋体"/>
          <w:color w:val="auto"/>
          <w:kern w:val="0"/>
          <w:sz w:val="24"/>
          <w:szCs w:val="24"/>
          <w:highlight w:val="none"/>
          <w:lang w:val="en-US" w:eastAsia="zh-CN"/>
        </w:rPr>
        <w:t>3个月（具体以实际情况为准）</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2.中标单位不得将本项目转包给他人完成；</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采购人将对服务单位进行监督检查，考核以日常检查和不定期检查相结合的方式进行，考核内容主要包括：劳动纪律、车辆管理、垃圾收集、垃圾运输清运等4个方面内容。具体考核标准详见考核制度，考核制度作为合同签订时的合同附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4.因服务单位清运不到位、达不到作业标准而发生需其他单位“代清运”的，“代清运”的费用从中标单位的合同承包经费中扣除。</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四、考核制度</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（一）考核标准</w:t>
      </w:r>
    </w:p>
    <w:tbl>
      <w:tblPr>
        <w:tblStyle w:val="62"/>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28" w:type="dxa"/>
          <w:bottom w:w="15" w:type="dxa"/>
          <w:right w:w="28" w:type="dxa"/>
        </w:tblCellMar>
      </w:tblPr>
      <w:tblGrid>
        <w:gridCol w:w="645"/>
        <w:gridCol w:w="1095"/>
        <w:gridCol w:w="7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28" w:type="dxa"/>
            <w:bottom w:w="15" w:type="dxa"/>
            <w:right w:w="28" w:type="dxa"/>
          </w:tblCellMar>
        </w:tblPrEx>
        <w:trPr>
          <w:trHeight w:val="454" w:hRule="atLeast"/>
        </w:trPr>
        <w:tc>
          <w:tcPr>
            <w:tcW w:w="645" w:type="dxa"/>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095" w:type="dxa"/>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考核内容</w:t>
            </w:r>
          </w:p>
        </w:tc>
        <w:tc>
          <w:tcPr>
            <w:tcW w:w="7533" w:type="dxa"/>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考核要点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28" w:type="dxa"/>
            <w:bottom w:w="15" w:type="dxa"/>
            <w:right w:w="28" w:type="dxa"/>
          </w:tblCellMar>
        </w:tblPrEx>
        <w:trPr>
          <w:trHeight w:val="454" w:hRule="atLeast"/>
        </w:trPr>
        <w:tc>
          <w:tcPr>
            <w:tcW w:w="645" w:type="dxa"/>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95" w:type="dxa"/>
            <w:vMerge w:val="restart"/>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劳动纪律</w:t>
            </w:r>
          </w:p>
        </w:tc>
        <w:tc>
          <w:tcPr>
            <w:tcW w:w="7533" w:type="dxa"/>
            <w:vAlign w:val="center"/>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运人员作业时间为：上午6:00-11:00；下午13:00-17:30。作业单位必须严格按照不少于上述作业时间的要求开展建筑垃圾及大件杂物清扫工作，如遇垃圾量较多的情况，作业单位必须无条件服从采购人工作安排，主动安排人员加班加点完成清理任务。在规定的作业时间内，作业单位不得安排非合同职责范围内的工作。若发现公司擅自更改作息时间或擅自从事非职责范围内的工作，根据情况，酌情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28" w:type="dxa"/>
            <w:bottom w:w="15" w:type="dxa"/>
            <w:right w:w="28" w:type="dxa"/>
          </w:tblCellMar>
        </w:tblPrEx>
        <w:trPr>
          <w:trHeight w:val="1190" w:hRule="atLeast"/>
        </w:trPr>
        <w:tc>
          <w:tcPr>
            <w:tcW w:w="645" w:type="dxa"/>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95" w:type="dxa"/>
            <w:vMerge w:val="continue"/>
            <w:vAlign w:val="center"/>
          </w:tcPr>
          <w:p>
            <w:pPr>
              <w:keepNext w:val="0"/>
              <w:keepLines w:val="0"/>
              <w:pageBreakBefore w:val="0"/>
              <w:kinsoku/>
              <w:wordWrap/>
              <w:overflowPunct/>
              <w:topLinePunct w:val="0"/>
              <w:autoSpaceDE/>
              <w:autoSpaceDN/>
              <w:bidi w:val="0"/>
              <w:snapToGrid/>
              <w:spacing w:line="360" w:lineRule="auto"/>
              <w:ind w:firstLine="480" w:firstLineChars="200"/>
              <w:jc w:val="center"/>
              <w:textAlignment w:val="auto"/>
              <w:rPr>
                <w:rFonts w:hint="eastAsia" w:ascii="宋体" w:hAnsi="宋体" w:eastAsia="宋体" w:cs="宋体"/>
                <w:color w:val="auto"/>
                <w:kern w:val="0"/>
                <w:sz w:val="24"/>
                <w:szCs w:val="24"/>
                <w:highlight w:val="none"/>
              </w:rPr>
            </w:pPr>
          </w:p>
        </w:tc>
        <w:tc>
          <w:tcPr>
            <w:tcW w:w="7533" w:type="dxa"/>
            <w:vAlign w:val="center"/>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运人员上班期间，应统一着装，必须按规定着防护标志服帽，不得将防护服斜搭在肩上，系在腰间或挂在别处；上班期间严禁做与工作无关的事情，不得与他人在承包作业路段闲聊、逗留，甚至成群坐岗。如发现上述情况，视情节每人每次扣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28" w:type="dxa"/>
            <w:bottom w:w="15" w:type="dxa"/>
            <w:right w:w="28" w:type="dxa"/>
          </w:tblCellMar>
        </w:tblPrEx>
        <w:trPr>
          <w:trHeight w:val="930" w:hRule="atLeast"/>
        </w:trPr>
        <w:tc>
          <w:tcPr>
            <w:tcW w:w="645" w:type="dxa"/>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095" w:type="dxa"/>
            <w:vMerge w:val="continue"/>
            <w:vAlign w:val="center"/>
          </w:tcPr>
          <w:p>
            <w:pPr>
              <w:keepNext w:val="0"/>
              <w:keepLines w:val="0"/>
              <w:pageBreakBefore w:val="0"/>
              <w:kinsoku/>
              <w:wordWrap/>
              <w:overflowPunct/>
              <w:topLinePunct w:val="0"/>
              <w:autoSpaceDE/>
              <w:autoSpaceDN/>
              <w:bidi w:val="0"/>
              <w:snapToGrid/>
              <w:spacing w:line="360" w:lineRule="auto"/>
              <w:ind w:firstLine="480" w:firstLineChars="200"/>
              <w:jc w:val="center"/>
              <w:textAlignment w:val="auto"/>
              <w:rPr>
                <w:rFonts w:hint="eastAsia" w:ascii="宋体" w:hAnsi="宋体" w:eastAsia="宋体" w:cs="宋体"/>
                <w:color w:val="auto"/>
                <w:kern w:val="0"/>
                <w:sz w:val="24"/>
                <w:szCs w:val="24"/>
                <w:highlight w:val="none"/>
              </w:rPr>
            </w:pPr>
          </w:p>
        </w:tc>
        <w:tc>
          <w:tcPr>
            <w:tcW w:w="7533" w:type="dxa"/>
            <w:vAlign w:val="center"/>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清运人员严禁旷工、迟到、早退。发现旷工一次，扣考核分4分，迟到10分钟以内扣0.5分，迟到10-30分钟扣1分，迟到30分钟以上扣2分，迟到2小时以上视作旷工处理。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28" w:type="dxa"/>
            <w:bottom w:w="15" w:type="dxa"/>
            <w:right w:w="28" w:type="dxa"/>
          </w:tblCellMar>
        </w:tblPrEx>
        <w:trPr>
          <w:trHeight w:val="454" w:hRule="atLeast"/>
        </w:trPr>
        <w:tc>
          <w:tcPr>
            <w:tcW w:w="645" w:type="dxa"/>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095" w:type="dxa"/>
            <w:vMerge w:val="restart"/>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清运车辆管理</w:t>
            </w:r>
          </w:p>
        </w:tc>
        <w:tc>
          <w:tcPr>
            <w:tcW w:w="7533" w:type="dxa"/>
            <w:vAlign w:val="center"/>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筑垃圾专运车辆车容必须保持整洁，车辆必须按照采购人要求粘贴明显的标识、标志，不得随处乱停放，不得违反交通规则。发现车容不整洁的或未按要求粘贴标识标志的，每次扣1分，屡教不改的，加倍扣分。发现车辆违反交通规则的，每次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28" w:type="dxa"/>
            <w:bottom w:w="15" w:type="dxa"/>
            <w:right w:w="28" w:type="dxa"/>
          </w:tblCellMar>
        </w:tblPrEx>
        <w:trPr>
          <w:trHeight w:val="454" w:hRule="atLeast"/>
        </w:trPr>
        <w:tc>
          <w:tcPr>
            <w:tcW w:w="645" w:type="dxa"/>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095" w:type="dxa"/>
            <w:vMerge w:val="continue"/>
            <w:vAlign w:val="center"/>
          </w:tcPr>
          <w:p>
            <w:pPr>
              <w:keepNext w:val="0"/>
              <w:keepLines w:val="0"/>
              <w:pageBreakBefore w:val="0"/>
              <w:kinsoku/>
              <w:wordWrap/>
              <w:overflowPunct/>
              <w:topLinePunct w:val="0"/>
              <w:autoSpaceDE/>
              <w:autoSpaceDN/>
              <w:bidi w:val="0"/>
              <w:snapToGrid/>
              <w:spacing w:line="360" w:lineRule="auto"/>
              <w:ind w:firstLine="480" w:firstLineChars="200"/>
              <w:jc w:val="center"/>
              <w:textAlignment w:val="auto"/>
              <w:rPr>
                <w:rFonts w:hint="eastAsia" w:ascii="宋体" w:hAnsi="宋体" w:eastAsia="宋体" w:cs="宋体"/>
                <w:color w:val="auto"/>
                <w:kern w:val="0"/>
                <w:sz w:val="24"/>
                <w:szCs w:val="24"/>
                <w:highlight w:val="none"/>
              </w:rPr>
            </w:pPr>
          </w:p>
        </w:tc>
        <w:tc>
          <w:tcPr>
            <w:tcW w:w="7533" w:type="dxa"/>
            <w:vAlign w:val="center"/>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所有车辆</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车辆保险手续齐全，第三者责任险保额不得低于100万元，且车辆保险未生效前，不得上路作业。合同签订后未按要求安装GPS定位系统的，扣5分；保险手续不齐全的，扣2-10分，并责令该车辆停止作业，待手续办理齐全后方可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28" w:type="dxa"/>
            <w:bottom w:w="15" w:type="dxa"/>
            <w:right w:w="28" w:type="dxa"/>
          </w:tblCellMar>
        </w:tblPrEx>
        <w:trPr>
          <w:trHeight w:val="454" w:hRule="atLeast"/>
        </w:trPr>
        <w:tc>
          <w:tcPr>
            <w:tcW w:w="645" w:type="dxa"/>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095" w:type="dxa"/>
            <w:vMerge w:val="continue"/>
            <w:vAlign w:val="center"/>
          </w:tcPr>
          <w:p>
            <w:pPr>
              <w:keepNext w:val="0"/>
              <w:keepLines w:val="0"/>
              <w:pageBreakBefore w:val="0"/>
              <w:kinsoku/>
              <w:wordWrap/>
              <w:overflowPunct/>
              <w:topLinePunct w:val="0"/>
              <w:autoSpaceDE/>
              <w:autoSpaceDN/>
              <w:bidi w:val="0"/>
              <w:snapToGrid/>
              <w:spacing w:line="360" w:lineRule="auto"/>
              <w:ind w:firstLine="480" w:firstLineChars="200"/>
              <w:jc w:val="center"/>
              <w:textAlignment w:val="auto"/>
              <w:rPr>
                <w:rFonts w:hint="eastAsia" w:ascii="宋体" w:hAnsi="宋体" w:eastAsia="宋体" w:cs="宋体"/>
                <w:color w:val="auto"/>
                <w:kern w:val="0"/>
                <w:sz w:val="24"/>
                <w:szCs w:val="24"/>
                <w:highlight w:val="none"/>
              </w:rPr>
            </w:pPr>
          </w:p>
        </w:tc>
        <w:tc>
          <w:tcPr>
            <w:tcW w:w="7533" w:type="dxa"/>
            <w:vAlign w:val="center"/>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筑垃圾专运车要求为封闭式车辆或毡布覆盖，车辆在作业过程中必须进行全覆盖，车厢外不得有垃圾拖挂，沿途禁止抛洒滴漏，严禁超载超限运输。车辆未按要求进行覆盖的，每次扣除考核分3分；在收集、运输过程中，车厢外有垃圾拖挂现象，每次扣1分；车辆超载超限运输的，一经发现，扣除考核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28" w:type="dxa"/>
            <w:bottom w:w="15" w:type="dxa"/>
            <w:right w:w="28" w:type="dxa"/>
          </w:tblCellMar>
        </w:tblPrEx>
        <w:trPr>
          <w:trHeight w:val="454" w:hRule="atLeast"/>
        </w:trPr>
        <w:tc>
          <w:tcPr>
            <w:tcW w:w="645" w:type="dxa"/>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095" w:type="dxa"/>
            <w:vMerge w:val="restart"/>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垃圾收集</w:t>
            </w:r>
          </w:p>
        </w:tc>
        <w:tc>
          <w:tcPr>
            <w:tcW w:w="7533" w:type="dxa"/>
            <w:vAlign w:val="center"/>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建筑垃圾、大件废弃物收集过程中，应当做好粗分类工作，按照建筑垃圾；大件杂物；进行粗分类，分类完以后运至相应的处理厂处理。未按要求进行垃圾分类的，每次扣2分。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28" w:type="dxa"/>
            <w:bottom w:w="15" w:type="dxa"/>
            <w:right w:w="28" w:type="dxa"/>
          </w:tblCellMar>
        </w:tblPrEx>
        <w:trPr>
          <w:trHeight w:val="454" w:hRule="atLeast"/>
        </w:trPr>
        <w:tc>
          <w:tcPr>
            <w:tcW w:w="645" w:type="dxa"/>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095" w:type="dxa"/>
            <w:vMerge w:val="continue"/>
            <w:vAlign w:val="center"/>
          </w:tcPr>
          <w:p>
            <w:pPr>
              <w:keepNext w:val="0"/>
              <w:keepLines w:val="0"/>
              <w:pageBreakBefore w:val="0"/>
              <w:kinsoku/>
              <w:wordWrap/>
              <w:overflowPunct/>
              <w:topLinePunct w:val="0"/>
              <w:autoSpaceDE/>
              <w:autoSpaceDN/>
              <w:bidi w:val="0"/>
              <w:snapToGrid/>
              <w:spacing w:line="360" w:lineRule="auto"/>
              <w:ind w:firstLine="480" w:firstLineChars="200"/>
              <w:jc w:val="center"/>
              <w:textAlignment w:val="auto"/>
              <w:rPr>
                <w:rFonts w:hint="eastAsia" w:ascii="宋体" w:hAnsi="宋体" w:eastAsia="宋体" w:cs="宋体"/>
                <w:color w:val="auto"/>
                <w:kern w:val="0"/>
                <w:sz w:val="24"/>
                <w:szCs w:val="24"/>
                <w:highlight w:val="none"/>
              </w:rPr>
            </w:pPr>
          </w:p>
        </w:tc>
        <w:tc>
          <w:tcPr>
            <w:tcW w:w="7533" w:type="dxa"/>
            <w:vAlign w:val="center"/>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制定专人对辖区范围内建筑垃圾、大件废弃物进行巡查，作业单位接到采购人有关部门的通知，必须立即安排清运车辆、人员第一时间进行清理，并及时将垃圾清理前后对比照片发至采购人相应的管理工作群中。同时，必须保证主次街道建筑垃圾、大件废弃物日产日清，除主次街道外的背街小巷、无物业小区等处的建筑垃圾、大件废弃物要求在48小时内完成清理。逾期未清理的，每次每处扣1-3分，逾期未清理且不积极安排加班清理的或逾期48小时未完成清理的加倍扣分；未按要求上传清理前后照片的，每次扣1分；连续造成承包区域范围内建筑垃圾及大件杂物</w:t>
            </w:r>
            <w:r>
              <w:rPr>
                <w:rFonts w:hint="eastAsia" w:ascii="宋体" w:hAnsi="宋体" w:eastAsia="宋体" w:cs="宋体"/>
                <w:color w:val="auto"/>
                <w:kern w:val="0"/>
                <w:sz w:val="24"/>
                <w:szCs w:val="24"/>
                <w:highlight w:val="none"/>
                <w:lang w:eastAsia="zh-CN"/>
              </w:rPr>
              <w:t>积压</w:t>
            </w:r>
            <w:r>
              <w:rPr>
                <w:rFonts w:hint="eastAsia" w:ascii="宋体" w:hAnsi="宋体" w:eastAsia="宋体" w:cs="宋体"/>
                <w:color w:val="auto"/>
                <w:kern w:val="0"/>
                <w:sz w:val="24"/>
                <w:szCs w:val="24"/>
                <w:highlight w:val="none"/>
              </w:rPr>
              <w:t>，不能完成清运任务的，采购人有权单方终止合同，扣除履约保证金。（清理任务较轻时，除主次街道外的背街小巷、无物业小区等处的建筑垃圾、大件杂物必须于24小时内完成清理任务，若未完成的，按上述条款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28" w:type="dxa"/>
            <w:bottom w:w="15" w:type="dxa"/>
            <w:right w:w="28" w:type="dxa"/>
          </w:tblCellMar>
        </w:tblPrEx>
        <w:trPr>
          <w:trHeight w:val="454" w:hRule="atLeast"/>
        </w:trPr>
        <w:tc>
          <w:tcPr>
            <w:tcW w:w="645" w:type="dxa"/>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095" w:type="dxa"/>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垃圾清运</w:t>
            </w:r>
          </w:p>
        </w:tc>
        <w:tc>
          <w:tcPr>
            <w:tcW w:w="7533" w:type="dxa"/>
            <w:vAlign w:val="center"/>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在接到区域范围内小区物业、居委会等相关通知后一天内进行清理，不得拖延。接到通知后，逾期未清理的，每次每处扣除考核分3分。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28" w:type="dxa"/>
            <w:bottom w:w="15" w:type="dxa"/>
            <w:right w:w="28" w:type="dxa"/>
          </w:tblCellMar>
        </w:tblPrEx>
        <w:trPr>
          <w:trHeight w:val="454" w:hRule="atLeast"/>
        </w:trPr>
        <w:tc>
          <w:tcPr>
            <w:tcW w:w="645" w:type="dxa"/>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095" w:type="dxa"/>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垃圾运输</w:t>
            </w:r>
          </w:p>
        </w:tc>
        <w:tc>
          <w:tcPr>
            <w:tcW w:w="7533" w:type="dxa"/>
            <w:vAlign w:val="center"/>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筑垃圾应运至中转点。同时，垃圾运至相应的场所后，服从相应场所工作人员的管理，并应将运输单据交由相应场所工作人员签字确认。未按要求将分类好的垃圾运至指定处理场所的或随处倾倒的，每次扣除考核分5分。不服从垃圾处理场所工作制度管理的或未按要求签字确认运输单据的，每次扣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28" w:type="dxa"/>
            <w:bottom w:w="15" w:type="dxa"/>
            <w:right w:w="28" w:type="dxa"/>
          </w:tblCellMar>
        </w:tblPrEx>
        <w:trPr>
          <w:trHeight w:val="454" w:hRule="atLeast"/>
        </w:trPr>
        <w:tc>
          <w:tcPr>
            <w:tcW w:w="645" w:type="dxa"/>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095" w:type="dxa"/>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7533" w:type="dxa"/>
            <w:vAlign w:val="center"/>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市卫生检查和文明创建等重大活动中，因作业单位责任被上级通报批评的，或采购人所安排工作无故拒不执行而造成失分或被通报批评的，视当月考核不合格，每项扣罚考核分5分；情节严重的，采购人将单方解除合同。</w:t>
            </w:r>
          </w:p>
        </w:tc>
      </w:tr>
    </w:tbl>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（二）考核结果运用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1.采购人负责对作业单位业务指导、工作检查和考核，作业单位必须服从采购人管理，接受检查和考核，采购人对作业单位实行日检、月考制度，由采购人组成的考核小组采取不定时抽查考核。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2.除合同约定扣罚金额外，考核分数另行处罚。考核实行100分制，月底前结算每月考核分数，低于95分的，按每分扣罚300元。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3.每月累计扣分超过15次（含15次）或30分以上视为当月考核不合格；累计三个月考核不合格的，采购人有权单方解除合同，并要求作业单位赔偿相关损失。</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五、商务要求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付款方式：</w:t>
      </w:r>
      <w:r>
        <w:rPr>
          <w:rFonts w:hint="eastAsia" w:ascii="宋体" w:hAnsi="宋体" w:eastAsia="宋体" w:cs="宋体"/>
          <w:color w:val="auto"/>
          <w:kern w:val="0"/>
          <w:sz w:val="24"/>
          <w:szCs w:val="24"/>
          <w:highlight w:val="none"/>
        </w:rPr>
        <w:t>合同生效以及具备实施条件后7个工作日内支付合同总价的40%；</w:t>
      </w:r>
      <w:r>
        <w:rPr>
          <w:rFonts w:hint="eastAsia" w:ascii="宋体" w:hAnsi="宋体" w:cs="宋体"/>
          <w:color w:val="auto"/>
          <w:kern w:val="0"/>
          <w:sz w:val="24"/>
          <w:szCs w:val="24"/>
          <w:highlight w:val="none"/>
          <w:lang w:val="en-US" w:eastAsia="zh-CN"/>
        </w:rPr>
        <w:t>剩余合同款项</w:t>
      </w:r>
      <w:r>
        <w:rPr>
          <w:rFonts w:hint="eastAsia" w:ascii="宋体" w:hAnsi="宋体" w:eastAsia="宋体" w:cs="宋体"/>
          <w:color w:val="auto"/>
          <w:kern w:val="0"/>
          <w:sz w:val="24"/>
          <w:szCs w:val="24"/>
          <w:highlight w:val="none"/>
        </w:rPr>
        <w:t>根据实际完成的工作量</w:t>
      </w:r>
      <w:r>
        <w:rPr>
          <w:rFonts w:hint="eastAsia" w:ascii="宋体" w:hAnsi="宋体" w:cs="宋体"/>
          <w:color w:val="auto"/>
          <w:kern w:val="0"/>
          <w:sz w:val="24"/>
          <w:szCs w:val="24"/>
          <w:highlight w:val="none"/>
          <w:lang w:val="en-US" w:eastAsia="zh-CN"/>
        </w:rPr>
        <w:t>进行结算。结算方式：其他费根据甲方清单最终据实结算。</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供应商提供车次清运清单，经采购人审核确认后，支付实际产生经费；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2.支付说明：采购人在收到供应商开具的符合法律法规规</w:t>
      </w:r>
      <w:r>
        <w:rPr>
          <w:rFonts w:hint="eastAsia" w:ascii="宋体" w:hAnsi="宋体" w:eastAsia="宋体" w:cs="宋体"/>
          <w:color w:val="auto"/>
          <w:kern w:val="0"/>
          <w:sz w:val="24"/>
          <w:szCs w:val="24"/>
          <w:highlight w:val="none"/>
          <w:lang w:eastAsia="zh-CN"/>
        </w:rPr>
        <w:t>定的</w:t>
      </w:r>
      <w:r>
        <w:rPr>
          <w:rFonts w:hint="eastAsia" w:ascii="宋体" w:hAnsi="宋体" w:eastAsia="宋体" w:cs="宋体"/>
          <w:color w:val="auto"/>
          <w:kern w:val="0"/>
          <w:sz w:val="24"/>
          <w:szCs w:val="24"/>
          <w:highlight w:val="none"/>
        </w:rPr>
        <w:t>发票后，以转账支付的方式，支付给供应商服务费。供应商逾期开具发票或开具的发票不符合采购人要求的，采购人有权延迟付款时间，且该行为不视为违约。</w:t>
      </w:r>
    </w:p>
    <w:p>
      <w:pPr>
        <w:spacing w:line="360" w:lineRule="auto"/>
        <w:ind w:firstLine="181" w:firstLineChars="50"/>
        <w:rPr>
          <w:rFonts w:ascii="宋体" w:hAnsi="宋体" w:cs="宋体"/>
          <w:b/>
          <w:sz w:val="36"/>
          <w:szCs w:val="36"/>
        </w:rPr>
      </w:pPr>
    </w:p>
    <w:p>
      <w:pPr>
        <w:spacing w:line="360" w:lineRule="auto"/>
        <w:rPr>
          <w:rFonts w:ascii="宋体" w:hAnsi="宋体" w:cs="宋体"/>
          <w:sz w:val="24"/>
        </w:rPr>
      </w:pPr>
    </w:p>
    <w:p>
      <w:pPr>
        <w:widowControl/>
        <w:ind w:firstLine="720" w:firstLineChars="300"/>
        <w:jc w:val="left"/>
        <w:rPr>
          <w:rFonts w:ascii="宋体" w:hAnsi="宋体" w:cs="宋体"/>
          <w:bCs/>
          <w:sz w:val="24"/>
        </w:rPr>
      </w:pPr>
    </w:p>
    <w:p>
      <w:pPr>
        <w:rPr>
          <w:rFonts w:ascii="宋体" w:hAnsi="宋体" w:cs="宋体"/>
          <w:snapToGrid w:val="0"/>
          <w:kern w:val="0"/>
          <w:sz w:val="24"/>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66" w:name="_Toc184308089"/>
      <w:bookmarkEnd w:id="66"/>
      <w:bookmarkStart w:id="67" w:name="_Toc184312126"/>
      <w:bookmarkEnd w:id="67"/>
      <w:bookmarkStart w:id="68" w:name="_Toc184308090"/>
      <w:bookmarkEnd w:id="68"/>
      <w:bookmarkStart w:id="69" w:name="_Toc184313238"/>
      <w:bookmarkEnd w:id="69"/>
      <w:bookmarkStart w:id="70" w:name="_Toc184313246"/>
      <w:bookmarkEnd w:id="70"/>
      <w:bookmarkStart w:id="71" w:name="_Toc184310291"/>
      <w:bookmarkEnd w:id="71"/>
      <w:bookmarkStart w:id="72" w:name="_Toc184312067"/>
      <w:bookmarkEnd w:id="72"/>
      <w:bookmarkStart w:id="73" w:name="_Toc184313269"/>
      <w:bookmarkEnd w:id="73"/>
      <w:bookmarkStart w:id="74" w:name="_Toc184313274"/>
      <w:bookmarkEnd w:id="74"/>
      <w:bookmarkStart w:id="75" w:name="_Toc184310280"/>
      <w:bookmarkEnd w:id="75"/>
      <w:bookmarkStart w:id="76" w:name="_Toc184312084"/>
      <w:bookmarkEnd w:id="76"/>
      <w:bookmarkStart w:id="77" w:name="_Toc184310327"/>
      <w:bookmarkEnd w:id="77"/>
      <w:bookmarkStart w:id="78" w:name="_Toc184308066"/>
      <w:bookmarkEnd w:id="78"/>
      <w:bookmarkStart w:id="79" w:name="_Toc184314454"/>
      <w:bookmarkEnd w:id="79"/>
      <w:bookmarkStart w:id="80" w:name="_Toc184312073"/>
      <w:bookmarkEnd w:id="80"/>
      <w:bookmarkStart w:id="81" w:name="_Toc184308100"/>
      <w:bookmarkEnd w:id="81"/>
      <w:bookmarkStart w:id="82" w:name="_Toc184314443"/>
      <w:bookmarkEnd w:id="82"/>
      <w:bookmarkStart w:id="83" w:name="_Toc184312091"/>
      <w:bookmarkEnd w:id="83"/>
      <w:bookmarkStart w:id="84" w:name="_Toc184312121"/>
      <w:bookmarkEnd w:id="84"/>
      <w:bookmarkStart w:id="85" w:name="_Toc184310333"/>
      <w:bookmarkEnd w:id="85"/>
      <w:bookmarkStart w:id="86" w:name="_Toc184314463"/>
      <w:bookmarkEnd w:id="86"/>
      <w:bookmarkStart w:id="87" w:name="_Toc184314422"/>
      <w:bookmarkEnd w:id="87"/>
      <w:bookmarkStart w:id="88" w:name="_Toc184313247"/>
      <w:bookmarkEnd w:id="88"/>
      <w:bookmarkStart w:id="89" w:name="_Toc184310339"/>
      <w:bookmarkEnd w:id="89"/>
      <w:bookmarkStart w:id="90" w:name="_Toc184310282"/>
      <w:bookmarkEnd w:id="90"/>
      <w:bookmarkStart w:id="91" w:name="_Toc184312137"/>
      <w:bookmarkEnd w:id="91"/>
      <w:bookmarkStart w:id="92" w:name="_Toc184314475"/>
      <w:bookmarkEnd w:id="92"/>
      <w:bookmarkStart w:id="93" w:name="_Toc184308056"/>
      <w:bookmarkEnd w:id="93"/>
      <w:bookmarkStart w:id="94" w:name="_Toc184314424"/>
      <w:bookmarkEnd w:id="94"/>
      <w:bookmarkStart w:id="95" w:name="_Toc184314431"/>
      <w:bookmarkEnd w:id="95"/>
      <w:bookmarkStart w:id="96" w:name="_Toc184308102"/>
      <w:bookmarkEnd w:id="96"/>
      <w:bookmarkStart w:id="97" w:name="_Toc184314478"/>
      <w:bookmarkEnd w:id="97"/>
      <w:bookmarkStart w:id="98" w:name="_Toc184313286"/>
      <w:bookmarkEnd w:id="98"/>
      <w:bookmarkStart w:id="99" w:name="_Toc184310322"/>
      <w:bookmarkEnd w:id="99"/>
      <w:bookmarkStart w:id="100" w:name="_Toc184308051"/>
      <w:bookmarkEnd w:id="100"/>
      <w:bookmarkStart w:id="101" w:name="_Toc184314455"/>
      <w:bookmarkEnd w:id="101"/>
      <w:bookmarkStart w:id="102" w:name="_Toc184312113"/>
      <w:bookmarkEnd w:id="102"/>
      <w:bookmarkStart w:id="103" w:name="_Toc184308045"/>
      <w:bookmarkEnd w:id="103"/>
      <w:bookmarkStart w:id="104" w:name="_Toc184312130"/>
      <w:bookmarkEnd w:id="104"/>
      <w:bookmarkStart w:id="105" w:name="_Toc184308058"/>
      <w:bookmarkEnd w:id="105"/>
      <w:bookmarkStart w:id="106" w:name="_Toc184312074"/>
      <w:bookmarkEnd w:id="106"/>
      <w:bookmarkStart w:id="107" w:name="_Toc184310332"/>
      <w:bookmarkEnd w:id="107"/>
      <w:bookmarkStart w:id="108" w:name="_Toc184313288"/>
      <w:bookmarkEnd w:id="108"/>
      <w:bookmarkStart w:id="109" w:name="_Toc184310287"/>
      <w:bookmarkEnd w:id="109"/>
      <w:bookmarkStart w:id="110" w:name="_Toc184310326"/>
      <w:bookmarkEnd w:id="110"/>
      <w:bookmarkStart w:id="111" w:name="_Toc184312082"/>
      <w:bookmarkEnd w:id="111"/>
      <w:bookmarkStart w:id="112" w:name="_Toc184308108"/>
      <w:bookmarkEnd w:id="112"/>
      <w:bookmarkStart w:id="113" w:name="_Toc184308098"/>
      <w:bookmarkEnd w:id="113"/>
      <w:bookmarkStart w:id="114" w:name="_Toc184314472"/>
      <w:bookmarkEnd w:id="114"/>
      <w:bookmarkStart w:id="115" w:name="_Toc184313259"/>
      <w:bookmarkEnd w:id="115"/>
      <w:bookmarkStart w:id="116" w:name="_Toc184312075"/>
      <w:bookmarkEnd w:id="116"/>
      <w:bookmarkStart w:id="117" w:name="_Toc184314461"/>
      <w:bookmarkEnd w:id="117"/>
      <w:bookmarkStart w:id="118" w:name="_Toc184310329"/>
      <w:bookmarkEnd w:id="118"/>
      <w:bookmarkStart w:id="119" w:name="_Toc184308052"/>
      <w:bookmarkEnd w:id="119"/>
      <w:bookmarkStart w:id="120" w:name="_Toc184313299"/>
      <w:bookmarkEnd w:id="120"/>
      <w:bookmarkStart w:id="121" w:name="_Toc184314437"/>
      <w:bookmarkEnd w:id="121"/>
      <w:bookmarkStart w:id="122" w:name="_Toc184310314"/>
      <w:bookmarkEnd w:id="122"/>
      <w:bookmarkStart w:id="123" w:name="_Toc184312134"/>
      <w:bookmarkEnd w:id="123"/>
      <w:bookmarkStart w:id="124" w:name="_Toc184313280"/>
      <w:bookmarkEnd w:id="124"/>
      <w:bookmarkStart w:id="125" w:name="_Toc184310277"/>
      <w:bookmarkEnd w:id="125"/>
      <w:bookmarkStart w:id="126" w:name="_Toc184312076"/>
      <w:bookmarkEnd w:id="126"/>
      <w:bookmarkStart w:id="127" w:name="_Toc184313292"/>
      <w:bookmarkEnd w:id="127"/>
      <w:bookmarkStart w:id="128" w:name="_Toc184310307"/>
      <w:bookmarkEnd w:id="128"/>
      <w:bookmarkStart w:id="129" w:name="_Toc184310292"/>
      <w:bookmarkEnd w:id="129"/>
      <w:bookmarkStart w:id="130" w:name="_Toc184314471"/>
      <w:bookmarkEnd w:id="130"/>
      <w:bookmarkStart w:id="131" w:name="_Toc184308081"/>
      <w:bookmarkEnd w:id="131"/>
      <w:bookmarkStart w:id="132" w:name="_Toc184312071"/>
      <w:bookmarkEnd w:id="132"/>
      <w:bookmarkStart w:id="133" w:name="_Toc184314451"/>
      <w:bookmarkEnd w:id="133"/>
      <w:bookmarkStart w:id="134" w:name="_Toc184314459"/>
      <w:bookmarkEnd w:id="134"/>
      <w:bookmarkStart w:id="135" w:name="_Toc184314416"/>
      <w:bookmarkEnd w:id="135"/>
      <w:bookmarkStart w:id="136" w:name="_Toc184308104"/>
      <w:bookmarkEnd w:id="136"/>
      <w:bookmarkStart w:id="137" w:name="_Toc184308049"/>
      <w:bookmarkEnd w:id="137"/>
      <w:bookmarkStart w:id="138" w:name="_Toc184313305"/>
      <w:bookmarkEnd w:id="138"/>
      <w:bookmarkStart w:id="139" w:name="_Toc184308046"/>
      <w:bookmarkEnd w:id="139"/>
      <w:bookmarkStart w:id="140" w:name="_Toc184312136"/>
      <w:bookmarkEnd w:id="140"/>
      <w:bookmarkStart w:id="141" w:name="_Toc184314460"/>
      <w:bookmarkEnd w:id="141"/>
      <w:bookmarkStart w:id="142" w:name="_Toc184314440"/>
      <w:bookmarkEnd w:id="142"/>
      <w:bookmarkStart w:id="143" w:name="_Toc184310330"/>
      <w:bookmarkEnd w:id="143"/>
      <w:bookmarkStart w:id="144" w:name="_Toc184314418"/>
      <w:bookmarkEnd w:id="144"/>
      <w:bookmarkStart w:id="145" w:name="_Toc184314465"/>
      <w:bookmarkEnd w:id="145"/>
      <w:bookmarkStart w:id="146" w:name="_Toc184313268"/>
      <w:bookmarkEnd w:id="146"/>
      <w:bookmarkStart w:id="147" w:name="_Toc184310325"/>
      <w:bookmarkEnd w:id="147"/>
      <w:bookmarkStart w:id="148" w:name="_Toc184310324"/>
      <w:bookmarkEnd w:id="148"/>
      <w:bookmarkStart w:id="149" w:name="_Toc184312107"/>
      <w:bookmarkEnd w:id="149"/>
      <w:bookmarkStart w:id="150" w:name="_Toc184310302"/>
      <w:bookmarkEnd w:id="150"/>
      <w:bookmarkStart w:id="151" w:name="_Toc184312095"/>
      <w:bookmarkEnd w:id="151"/>
      <w:bookmarkStart w:id="152" w:name="_Toc184308068"/>
      <w:bookmarkEnd w:id="152"/>
      <w:bookmarkStart w:id="153" w:name="_Toc184313252"/>
      <w:bookmarkEnd w:id="153"/>
      <w:bookmarkStart w:id="154" w:name="_Toc184312087"/>
      <w:bookmarkEnd w:id="154"/>
      <w:bookmarkStart w:id="155" w:name="_Toc184312116"/>
      <w:bookmarkEnd w:id="155"/>
      <w:bookmarkStart w:id="156" w:name="_Toc184313293"/>
      <w:bookmarkEnd w:id="156"/>
      <w:bookmarkStart w:id="157" w:name="_Toc184314470"/>
      <w:bookmarkEnd w:id="157"/>
      <w:bookmarkStart w:id="158" w:name="_Toc184310335"/>
      <w:bookmarkEnd w:id="158"/>
      <w:bookmarkStart w:id="159" w:name="_Toc184313239"/>
      <w:bookmarkEnd w:id="159"/>
      <w:bookmarkStart w:id="160" w:name="_Toc184310298"/>
      <w:bookmarkEnd w:id="160"/>
      <w:bookmarkStart w:id="161" w:name="_Toc184313291"/>
      <w:bookmarkEnd w:id="161"/>
      <w:bookmarkStart w:id="162" w:name="_Toc184308047"/>
      <w:bookmarkEnd w:id="162"/>
      <w:bookmarkStart w:id="163" w:name="_Toc184308086"/>
      <w:bookmarkEnd w:id="163"/>
      <w:bookmarkStart w:id="164" w:name="_Toc184310310"/>
      <w:bookmarkEnd w:id="164"/>
      <w:bookmarkStart w:id="165" w:name="_Toc184313278"/>
      <w:bookmarkEnd w:id="165"/>
      <w:bookmarkStart w:id="166" w:name="_Toc184312119"/>
      <w:bookmarkEnd w:id="166"/>
      <w:bookmarkStart w:id="167" w:name="_Toc184308071"/>
      <w:bookmarkEnd w:id="167"/>
      <w:bookmarkStart w:id="168" w:name="_Toc184308039"/>
      <w:bookmarkEnd w:id="168"/>
      <w:bookmarkStart w:id="169" w:name="_Toc184313307"/>
      <w:bookmarkEnd w:id="169"/>
      <w:bookmarkStart w:id="170" w:name="_Toc184313254"/>
      <w:bookmarkEnd w:id="170"/>
      <w:bookmarkStart w:id="171" w:name="_Toc184312079"/>
      <w:bookmarkEnd w:id="171"/>
      <w:bookmarkStart w:id="172" w:name="_Toc184314432"/>
      <w:bookmarkEnd w:id="172"/>
      <w:bookmarkStart w:id="173" w:name="_Toc184310316"/>
      <w:bookmarkEnd w:id="173"/>
      <w:bookmarkStart w:id="174" w:name="_Toc184308065"/>
      <w:bookmarkEnd w:id="174"/>
      <w:bookmarkStart w:id="175" w:name="_Toc184310285"/>
      <w:bookmarkEnd w:id="175"/>
      <w:bookmarkStart w:id="176" w:name="_Toc184310319"/>
      <w:bookmarkEnd w:id="176"/>
      <w:bookmarkStart w:id="177" w:name="_Toc184310331"/>
      <w:bookmarkEnd w:id="177"/>
      <w:bookmarkStart w:id="178" w:name="_Toc184314433"/>
      <w:bookmarkEnd w:id="178"/>
      <w:bookmarkStart w:id="179" w:name="_Toc184314421"/>
      <w:bookmarkEnd w:id="179"/>
      <w:bookmarkStart w:id="180" w:name="_Toc184312133"/>
      <w:bookmarkEnd w:id="180"/>
      <w:bookmarkStart w:id="181" w:name="_Toc184310293"/>
      <w:bookmarkEnd w:id="181"/>
      <w:bookmarkStart w:id="182" w:name="_Toc184310309"/>
      <w:bookmarkEnd w:id="182"/>
      <w:bookmarkStart w:id="183" w:name="_Toc184313284"/>
      <w:bookmarkEnd w:id="183"/>
      <w:bookmarkStart w:id="184" w:name="_Toc184310311"/>
      <w:bookmarkEnd w:id="184"/>
      <w:bookmarkStart w:id="185" w:name="_Toc184310306"/>
      <w:bookmarkEnd w:id="185"/>
      <w:bookmarkStart w:id="186" w:name="_Toc184308038"/>
      <w:bookmarkEnd w:id="186"/>
      <w:bookmarkStart w:id="187" w:name="_Toc184310274"/>
      <w:bookmarkEnd w:id="187"/>
      <w:bookmarkStart w:id="188" w:name="_Toc184313244"/>
      <w:bookmarkEnd w:id="188"/>
      <w:bookmarkStart w:id="189" w:name="_Toc184314411"/>
      <w:bookmarkEnd w:id="189"/>
      <w:bookmarkStart w:id="190" w:name="_Toc184314436"/>
      <w:bookmarkEnd w:id="190"/>
      <w:bookmarkStart w:id="191" w:name="_Toc184314438"/>
      <w:bookmarkEnd w:id="191"/>
      <w:bookmarkStart w:id="192" w:name="_Toc184308060"/>
      <w:bookmarkEnd w:id="192"/>
      <w:bookmarkStart w:id="193" w:name="_Toc184313255"/>
      <w:bookmarkEnd w:id="193"/>
      <w:bookmarkStart w:id="194" w:name="_Toc184308037"/>
      <w:bookmarkEnd w:id="194"/>
      <w:bookmarkStart w:id="195" w:name="_Toc184314412"/>
      <w:bookmarkEnd w:id="195"/>
      <w:bookmarkStart w:id="196" w:name="_Toc184312099"/>
      <w:bookmarkEnd w:id="196"/>
      <w:bookmarkStart w:id="197" w:name="_Toc184310321"/>
      <w:bookmarkEnd w:id="197"/>
      <w:bookmarkStart w:id="198" w:name="_Toc184310275"/>
      <w:bookmarkEnd w:id="198"/>
      <w:bookmarkStart w:id="199" w:name="_Toc184310295"/>
      <w:bookmarkEnd w:id="199"/>
      <w:bookmarkStart w:id="200" w:name="_Toc184308079"/>
      <w:bookmarkEnd w:id="200"/>
      <w:bookmarkStart w:id="201" w:name="_Toc184308053"/>
      <w:bookmarkEnd w:id="201"/>
      <w:bookmarkStart w:id="202" w:name="_Toc184313253"/>
      <w:bookmarkEnd w:id="202"/>
      <w:bookmarkStart w:id="203" w:name="_Toc184310305"/>
      <w:bookmarkEnd w:id="203"/>
      <w:bookmarkStart w:id="204" w:name="_Toc184314482"/>
      <w:bookmarkEnd w:id="204"/>
      <w:bookmarkStart w:id="205" w:name="_Toc184310303"/>
      <w:bookmarkEnd w:id="205"/>
      <w:bookmarkStart w:id="206" w:name="_Toc184313271"/>
      <w:bookmarkEnd w:id="206"/>
      <w:bookmarkStart w:id="207" w:name="_Toc184312125"/>
      <w:bookmarkEnd w:id="207"/>
      <w:bookmarkStart w:id="208" w:name="_Toc184314479"/>
      <w:bookmarkEnd w:id="208"/>
      <w:bookmarkStart w:id="209" w:name="_Toc184314413"/>
      <w:bookmarkEnd w:id="209"/>
      <w:bookmarkStart w:id="210" w:name="_Toc184310300"/>
      <w:bookmarkEnd w:id="210"/>
      <w:bookmarkStart w:id="211" w:name="_Toc184313262"/>
      <w:bookmarkEnd w:id="211"/>
      <w:bookmarkStart w:id="212" w:name="_Toc184314428"/>
      <w:bookmarkEnd w:id="212"/>
      <w:bookmarkStart w:id="213" w:name="_Toc184308088"/>
      <w:bookmarkEnd w:id="213"/>
      <w:bookmarkStart w:id="214" w:name="_Toc184313297"/>
      <w:bookmarkEnd w:id="214"/>
      <w:bookmarkStart w:id="215" w:name="_Toc184310313"/>
      <w:bookmarkEnd w:id="215"/>
      <w:bookmarkStart w:id="216" w:name="_Toc184310288"/>
      <w:bookmarkEnd w:id="216"/>
      <w:bookmarkStart w:id="217" w:name="_Toc184314476"/>
      <w:bookmarkEnd w:id="217"/>
      <w:bookmarkStart w:id="218" w:name="_Toc184314467"/>
      <w:bookmarkEnd w:id="218"/>
      <w:bookmarkStart w:id="219" w:name="_Toc184313290"/>
      <w:bookmarkEnd w:id="219"/>
      <w:bookmarkStart w:id="220" w:name="_Toc184313263"/>
      <w:bookmarkEnd w:id="220"/>
      <w:bookmarkStart w:id="221" w:name="_Toc184312120"/>
      <w:bookmarkEnd w:id="221"/>
      <w:bookmarkStart w:id="222" w:name="_Toc184313241"/>
      <w:bookmarkEnd w:id="222"/>
      <w:bookmarkStart w:id="223" w:name="_Toc184314414"/>
      <w:bookmarkEnd w:id="223"/>
      <w:bookmarkStart w:id="224" w:name="_Toc184310283"/>
      <w:bookmarkEnd w:id="224"/>
      <w:bookmarkStart w:id="225" w:name="_Toc184310342"/>
      <w:bookmarkEnd w:id="225"/>
      <w:bookmarkStart w:id="226" w:name="_Toc184308078"/>
      <w:bookmarkEnd w:id="226"/>
      <w:bookmarkStart w:id="227" w:name="_Toc184313277"/>
      <w:bookmarkEnd w:id="227"/>
      <w:bookmarkStart w:id="228" w:name="_Toc184313260"/>
      <w:bookmarkEnd w:id="228"/>
      <w:bookmarkStart w:id="229" w:name="_Toc184313279"/>
      <w:bookmarkEnd w:id="229"/>
      <w:bookmarkStart w:id="230" w:name="_Toc184314426"/>
      <w:bookmarkEnd w:id="230"/>
      <w:bookmarkStart w:id="231" w:name="_Toc184312132"/>
      <w:bookmarkEnd w:id="231"/>
      <w:bookmarkStart w:id="232" w:name="_Toc184314452"/>
      <w:bookmarkEnd w:id="232"/>
      <w:bookmarkStart w:id="233" w:name="_Toc184308075"/>
      <w:bookmarkEnd w:id="233"/>
      <w:bookmarkStart w:id="234" w:name="_Toc184313310"/>
      <w:bookmarkEnd w:id="234"/>
      <w:bookmarkStart w:id="235" w:name="_Toc184313283"/>
      <w:bookmarkEnd w:id="235"/>
      <w:bookmarkStart w:id="236" w:name="_Toc184308076"/>
      <w:bookmarkEnd w:id="236"/>
      <w:bookmarkStart w:id="237" w:name="_Toc184310286"/>
      <w:bookmarkEnd w:id="237"/>
      <w:bookmarkStart w:id="238" w:name="_Toc184313282"/>
      <w:bookmarkEnd w:id="238"/>
      <w:bookmarkStart w:id="239" w:name="_Toc184314456"/>
      <w:bookmarkEnd w:id="239"/>
      <w:bookmarkStart w:id="240" w:name="_Toc184312118"/>
      <w:bookmarkEnd w:id="240"/>
      <w:bookmarkStart w:id="241" w:name="_Toc184314419"/>
      <w:bookmarkEnd w:id="241"/>
      <w:bookmarkStart w:id="242" w:name="_Toc184312070"/>
      <w:bookmarkEnd w:id="242"/>
      <w:bookmarkStart w:id="243" w:name="_Toc184308083"/>
      <w:bookmarkEnd w:id="243"/>
      <w:bookmarkStart w:id="244" w:name="_Toc184313276"/>
      <w:bookmarkEnd w:id="244"/>
      <w:bookmarkStart w:id="245" w:name="_Toc184310343"/>
      <w:bookmarkEnd w:id="245"/>
      <w:bookmarkStart w:id="246" w:name="_Toc184314425"/>
      <w:bookmarkEnd w:id="246"/>
      <w:bookmarkStart w:id="247" w:name="_Toc184308042"/>
      <w:bookmarkEnd w:id="247"/>
      <w:bookmarkStart w:id="248" w:name="_Toc184310336"/>
      <w:bookmarkEnd w:id="248"/>
      <w:bookmarkStart w:id="249" w:name="_Toc184313300"/>
      <w:bookmarkEnd w:id="249"/>
      <w:bookmarkStart w:id="250" w:name="_Toc184312111"/>
      <w:bookmarkEnd w:id="250"/>
      <w:bookmarkStart w:id="251" w:name="_Toc184313295"/>
      <w:bookmarkEnd w:id="251"/>
      <w:bookmarkStart w:id="252" w:name="_Toc184312101"/>
      <w:bookmarkEnd w:id="252"/>
      <w:bookmarkStart w:id="253" w:name="_Toc184312100"/>
      <w:bookmarkEnd w:id="253"/>
      <w:bookmarkStart w:id="254" w:name="_Toc184312086"/>
      <w:bookmarkEnd w:id="254"/>
      <w:bookmarkStart w:id="255" w:name="_Toc184313301"/>
      <w:bookmarkEnd w:id="255"/>
      <w:bookmarkStart w:id="256" w:name="_Toc184312110"/>
      <w:bookmarkEnd w:id="256"/>
      <w:bookmarkStart w:id="257" w:name="_Toc184312129"/>
      <w:bookmarkEnd w:id="257"/>
      <w:bookmarkStart w:id="258" w:name="_Toc184312068"/>
      <w:bookmarkEnd w:id="258"/>
      <w:bookmarkStart w:id="259" w:name="_Toc184308103"/>
      <w:bookmarkEnd w:id="259"/>
      <w:bookmarkStart w:id="260" w:name="_Toc184314434"/>
      <w:bookmarkEnd w:id="260"/>
      <w:bookmarkStart w:id="261" w:name="_Toc184313304"/>
      <w:bookmarkEnd w:id="261"/>
      <w:bookmarkStart w:id="262" w:name="_Toc184314444"/>
      <w:bookmarkEnd w:id="262"/>
      <w:bookmarkStart w:id="263" w:name="_Toc184313258"/>
      <w:bookmarkEnd w:id="263"/>
      <w:bookmarkStart w:id="264" w:name="_Toc184314447"/>
      <w:bookmarkEnd w:id="264"/>
      <w:bookmarkStart w:id="265" w:name="_Toc184314481"/>
      <w:bookmarkEnd w:id="265"/>
      <w:bookmarkStart w:id="266" w:name="_Toc184310284"/>
      <w:bookmarkEnd w:id="266"/>
      <w:bookmarkStart w:id="267" w:name="_Toc184310279"/>
      <w:bookmarkEnd w:id="267"/>
      <w:bookmarkStart w:id="268" w:name="_Toc184314474"/>
      <w:bookmarkEnd w:id="268"/>
      <w:bookmarkStart w:id="269" w:name="_Toc184308106"/>
      <w:bookmarkEnd w:id="269"/>
      <w:bookmarkStart w:id="270" w:name="_Toc184314466"/>
      <w:bookmarkEnd w:id="270"/>
      <w:bookmarkStart w:id="271" w:name="_Toc184312138"/>
      <w:bookmarkEnd w:id="271"/>
      <w:bookmarkStart w:id="272" w:name="_Toc184313275"/>
      <w:bookmarkEnd w:id="272"/>
      <w:bookmarkStart w:id="273" w:name="_Toc184308050"/>
      <w:bookmarkEnd w:id="273"/>
      <w:bookmarkStart w:id="274" w:name="_Toc184308074"/>
      <w:bookmarkEnd w:id="274"/>
      <w:bookmarkStart w:id="275" w:name="_Toc184312080"/>
      <w:bookmarkEnd w:id="275"/>
      <w:bookmarkStart w:id="276" w:name="_Toc184310344"/>
      <w:bookmarkEnd w:id="276"/>
      <w:bookmarkStart w:id="277" w:name="_Toc184308043"/>
      <w:bookmarkEnd w:id="277"/>
      <w:bookmarkStart w:id="278" w:name="_Toc184313250"/>
      <w:bookmarkEnd w:id="278"/>
      <w:bookmarkStart w:id="279" w:name="_Toc184314417"/>
      <w:bookmarkEnd w:id="279"/>
      <w:bookmarkStart w:id="280" w:name="_Toc184314442"/>
      <w:bookmarkEnd w:id="280"/>
      <w:bookmarkStart w:id="281" w:name="_Toc184314469"/>
      <w:bookmarkEnd w:id="281"/>
      <w:bookmarkStart w:id="282" w:name="_Toc184313296"/>
      <w:bookmarkEnd w:id="282"/>
      <w:bookmarkStart w:id="283" w:name="_Toc184313289"/>
      <w:bookmarkEnd w:id="283"/>
      <w:bookmarkStart w:id="284" w:name="_Toc184312114"/>
      <w:bookmarkEnd w:id="284"/>
      <w:bookmarkStart w:id="285" w:name="_Toc184312131"/>
      <w:bookmarkEnd w:id="285"/>
      <w:bookmarkStart w:id="286" w:name="_Toc184313287"/>
      <w:bookmarkEnd w:id="286"/>
      <w:bookmarkStart w:id="287" w:name="_Toc184308041"/>
      <w:bookmarkEnd w:id="287"/>
      <w:bookmarkStart w:id="288" w:name="_Toc184312103"/>
      <w:bookmarkEnd w:id="288"/>
      <w:bookmarkStart w:id="289" w:name="_Toc184314410"/>
      <w:bookmarkEnd w:id="289"/>
      <w:bookmarkStart w:id="290" w:name="_Toc184310301"/>
      <w:bookmarkEnd w:id="290"/>
      <w:bookmarkStart w:id="291" w:name="_Toc184308064"/>
      <w:bookmarkEnd w:id="291"/>
      <w:bookmarkStart w:id="292" w:name="_Toc184313270"/>
      <w:bookmarkEnd w:id="292"/>
      <w:bookmarkStart w:id="293" w:name="_Toc184314468"/>
      <w:bookmarkEnd w:id="293"/>
      <w:bookmarkStart w:id="294" w:name="_Toc184312089"/>
      <w:bookmarkEnd w:id="294"/>
      <w:bookmarkStart w:id="295" w:name="_Toc184310276"/>
      <w:bookmarkEnd w:id="295"/>
      <w:bookmarkStart w:id="296" w:name="_Toc184310294"/>
      <w:bookmarkEnd w:id="296"/>
      <w:bookmarkStart w:id="297" w:name="_Toc184310337"/>
      <w:bookmarkEnd w:id="297"/>
      <w:bookmarkStart w:id="298" w:name="_Toc184313294"/>
      <w:bookmarkEnd w:id="298"/>
      <w:bookmarkStart w:id="299" w:name="_Toc184312069"/>
      <w:bookmarkEnd w:id="299"/>
      <w:bookmarkStart w:id="300" w:name="_Toc184310299"/>
      <w:bookmarkEnd w:id="300"/>
      <w:bookmarkStart w:id="301" w:name="_Toc184308073"/>
      <w:bookmarkEnd w:id="301"/>
      <w:bookmarkStart w:id="302" w:name="_Toc184314464"/>
      <w:bookmarkEnd w:id="302"/>
      <w:bookmarkStart w:id="303" w:name="_Toc184308069"/>
      <w:bookmarkEnd w:id="303"/>
      <w:bookmarkStart w:id="304" w:name="_Toc184308084"/>
      <w:bookmarkEnd w:id="304"/>
      <w:bookmarkStart w:id="305" w:name="_Toc184313261"/>
      <w:bookmarkEnd w:id="305"/>
      <w:bookmarkStart w:id="306" w:name="_Toc184314445"/>
      <w:bookmarkEnd w:id="306"/>
      <w:bookmarkStart w:id="307" w:name="_Toc184312124"/>
      <w:bookmarkEnd w:id="307"/>
      <w:bookmarkStart w:id="308" w:name="_Toc184312117"/>
      <w:bookmarkEnd w:id="308"/>
      <w:bookmarkStart w:id="309" w:name="_Toc184312094"/>
      <w:bookmarkEnd w:id="309"/>
      <w:bookmarkStart w:id="310" w:name="_Toc184308059"/>
      <w:bookmarkEnd w:id="310"/>
      <w:bookmarkStart w:id="311" w:name="_Toc184313265"/>
      <w:bookmarkEnd w:id="311"/>
      <w:bookmarkStart w:id="312" w:name="_Toc184314453"/>
      <w:bookmarkEnd w:id="312"/>
      <w:bookmarkStart w:id="313" w:name="_Toc184313248"/>
      <w:bookmarkEnd w:id="313"/>
      <w:bookmarkStart w:id="314" w:name="_Toc184312085"/>
      <w:bookmarkEnd w:id="314"/>
      <w:bookmarkStart w:id="315" w:name="_Toc184310317"/>
      <w:bookmarkEnd w:id="315"/>
      <w:bookmarkStart w:id="316" w:name="_Toc184313249"/>
      <w:bookmarkEnd w:id="316"/>
      <w:bookmarkStart w:id="317" w:name="_Toc184310338"/>
      <w:bookmarkEnd w:id="317"/>
      <w:bookmarkStart w:id="318" w:name="_Toc184313303"/>
      <w:bookmarkEnd w:id="318"/>
      <w:bookmarkStart w:id="319" w:name="_Toc184310328"/>
      <w:bookmarkEnd w:id="319"/>
      <w:bookmarkStart w:id="320" w:name="_Toc184312088"/>
      <w:bookmarkEnd w:id="320"/>
      <w:bookmarkStart w:id="321" w:name="_Toc184313267"/>
      <w:bookmarkEnd w:id="321"/>
      <w:bookmarkStart w:id="322" w:name="_Toc184314441"/>
      <w:bookmarkEnd w:id="322"/>
      <w:bookmarkStart w:id="323" w:name="_Toc184312102"/>
      <w:bookmarkEnd w:id="323"/>
      <w:bookmarkStart w:id="324" w:name="_Toc184308096"/>
      <w:bookmarkEnd w:id="324"/>
      <w:bookmarkStart w:id="325" w:name="_Toc184308057"/>
      <w:bookmarkEnd w:id="325"/>
      <w:bookmarkStart w:id="326" w:name="_Toc184310320"/>
      <w:bookmarkEnd w:id="326"/>
      <w:bookmarkStart w:id="327" w:name="_Toc184308107"/>
      <w:bookmarkEnd w:id="327"/>
      <w:bookmarkStart w:id="328" w:name="_Toc184312115"/>
      <w:bookmarkEnd w:id="328"/>
      <w:bookmarkStart w:id="329" w:name="_Toc184308085"/>
      <w:bookmarkEnd w:id="329"/>
      <w:bookmarkStart w:id="330" w:name="_Toc184308099"/>
      <w:bookmarkEnd w:id="330"/>
      <w:bookmarkStart w:id="331" w:name="_Toc184310273"/>
      <w:bookmarkEnd w:id="331"/>
      <w:bookmarkStart w:id="332" w:name="_Toc184310278"/>
      <w:bookmarkEnd w:id="332"/>
      <w:bookmarkStart w:id="333" w:name="_Toc184308054"/>
      <w:bookmarkEnd w:id="333"/>
      <w:bookmarkStart w:id="334" w:name="_Toc184308105"/>
      <w:bookmarkEnd w:id="334"/>
      <w:bookmarkStart w:id="335" w:name="_Toc184313257"/>
      <w:bookmarkEnd w:id="335"/>
      <w:bookmarkStart w:id="336" w:name="_Toc184313243"/>
      <w:bookmarkEnd w:id="336"/>
      <w:bookmarkStart w:id="337" w:name="_Toc184312128"/>
      <w:bookmarkEnd w:id="337"/>
      <w:bookmarkStart w:id="338" w:name="_Toc184314477"/>
      <w:bookmarkEnd w:id="338"/>
      <w:bookmarkStart w:id="339" w:name="_Toc184312098"/>
      <w:bookmarkEnd w:id="339"/>
      <w:bookmarkStart w:id="340" w:name="_Toc184314480"/>
      <w:bookmarkEnd w:id="340"/>
      <w:bookmarkStart w:id="341" w:name="_Toc184314448"/>
      <w:bookmarkEnd w:id="341"/>
      <w:bookmarkStart w:id="342" w:name="_Toc184308062"/>
      <w:bookmarkEnd w:id="342"/>
      <w:bookmarkStart w:id="343" w:name="_Toc184314435"/>
      <w:bookmarkEnd w:id="343"/>
      <w:bookmarkStart w:id="344" w:name="_Toc184313245"/>
      <w:bookmarkEnd w:id="344"/>
      <w:bookmarkStart w:id="345" w:name="_Toc184308070"/>
      <w:bookmarkEnd w:id="345"/>
      <w:bookmarkStart w:id="346" w:name="_Toc184312109"/>
      <w:bookmarkEnd w:id="346"/>
      <w:bookmarkStart w:id="347" w:name="_Toc184310281"/>
      <w:bookmarkEnd w:id="347"/>
      <w:bookmarkStart w:id="348" w:name="_Toc184314458"/>
      <w:bookmarkEnd w:id="348"/>
      <w:bookmarkStart w:id="349" w:name="_Toc184312135"/>
      <w:bookmarkEnd w:id="349"/>
      <w:bookmarkStart w:id="350" w:name="_Toc184310272"/>
      <w:bookmarkEnd w:id="350"/>
      <w:bookmarkStart w:id="351" w:name="_Toc184313273"/>
      <w:bookmarkEnd w:id="351"/>
      <w:bookmarkStart w:id="352" w:name="_Toc184308091"/>
      <w:bookmarkEnd w:id="352"/>
      <w:bookmarkStart w:id="353" w:name="_Toc184313272"/>
      <w:bookmarkEnd w:id="353"/>
      <w:bookmarkStart w:id="354" w:name="_Toc184312072"/>
      <w:bookmarkEnd w:id="354"/>
      <w:bookmarkStart w:id="355" w:name="_Toc184312106"/>
      <w:bookmarkEnd w:id="355"/>
      <w:bookmarkStart w:id="356" w:name="_Toc184313251"/>
      <w:bookmarkEnd w:id="356"/>
      <w:bookmarkStart w:id="357" w:name="_Toc184314462"/>
      <w:bookmarkEnd w:id="357"/>
      <w:bookmarkStart w:id="358" w:name="_Toc184312104"/>
      <w:bookmarkEnd w:id="358"/>
      <w:bookmarkStart w:id="359" w:name="_Toc184314450"/>
      <w:bookmarkEnd w:id="359"/>
      <w:bookmarkStart w:id="360" w:name="_Toc184313240"/>
      <w:bookmarkEnd w:id="360"/>
      <w:bookmarkStart w:id="361" w:name="_Toc184308072"/>
      <w:bookmarkEnd w:id="361"/>
      <w:bookmarkStart w:id="362" w:name="_Toc184308067"/>
      <w:bookmarkEnd w:id="362"/>
      <w:bookmarkStart w:id="363" w:name="_Toc184312122"/>
      <w:bookmarkEnd w:id="363"/>
      <w:bookmarkStart w:id="364" w:name="_Toc184310312"/>
      <w:bookmarkEnd w:id="364"/>
      <w:bookmarkStart w:id="365" w:name="_Toc184310318"/>
      <w:bookmarkEnd w:id="365"/>
      <w:bookmarkStart w:id="366" w:name="_Toc184308082"/>
      <w:bookmarkEnd w:id="366"/>
      <w:bookmarkStart w:id="367" w:name="_Toc184312105"/>
      <w:bookmarkEnd w:id="367"/>
      <w:bookmarkStart w:id="368" w:name="_Toc184310297"/>
      <w:bookmarkEnd w:id="368"/>
      <w:bookmarkStart w:id="369" w:name="_Toc184314415"/>
      <w:bookmarkEnd w:id="369"/>
      <w:bookmarkStart w:id="370" w:name="_Toc184308061"/>
      <w:bookmarkEnd w:id="370"/>
      <w:bookmarkStart w:id="371" w:name="_Toc184314427"/>
      <w:bookmarkEnd w:id="371"/>
      <w:bookmarkStart w:id="372" w:name="_Toc184308094"/>
      <w:bookmarkEnd w:id="372"/>
      <w:bookmarkStart w:id="373" w:name="_Toc184310304"/>
      <w:bookmarkEnd w:id="373"/>
      <w:bookmarkStart w:id="374" w:name="_Toc184313298"/>
      <w:bookmarkEnd w:id="374"/>
      <w:bookmarkStart w:id="375" w:name="_Toc184308101"/>
      <w:bookmarkEnd w:id="375"/>
      <w:bookmarkStart w:id="376" w:name="_Toc184314457"/>
      <w:bookmarkEnd w:id="376"/>
      <w:bookmarkStart w:id="377" w:name="_Toc184308077"/>
      <w:bookmarkEnd w:id="377"/>
      <w:bookmarkStart w:id="378" w:name="_Toc184310296"/>
      <w:bookmarkEnd w:id="378"/>
      <w:bookmarkStart w:id="379" w:name="_Toc184312078"/>
      <w:bookmarkEnd w:id="379"/>
      <w:bookmarkStart w:id="380" w:name="_Toc184314429"/>
      <w:bookmarkEnd w:id="380"/>
      <w:bookmarkStart w:id="381" w:name="_Toc184314420"/>
      <w:bookmarkEnd w:id="381"/>
      <w:bookmarkStart w:id="382" w:name="_Toc184314439"/>
      <w:bookmarkEnd w:id="382"/>
      <w:bookmarkStart w:id="383" w:name="_Toc184312108"/>
      <w:bookmarkEnd w:id="383"/>
      <w:bookmarkStart w:id="384" w:name="_Toc184312096"/>
      <w:bookmarkEnd w:id="384"/>
      <w:bookmarkStart w:id="385" w:name="_Toc184310323"/>
      <w:bookmarkEnd w:id="385"/>
      <w:bookmarkStart w:id="386" w:name="_Toc184310334"/>
      <w:bookmarkEnd w:id="386"/>
      <w:bookmarkStart w:id="387" w:name="_Toc184313285"/>
      <w:bookmarkEnd w:id="387"/>
      <w:bookmarkStart w:id="388" w:name="_Toc184314449"/>
      <w:bookmarkEnd w:id="388"/>
      <w:bookmarkStart w:id="389" w:name="_Toc184312090"/>
      <w:bookmarkEnd w:id="389"/>
      <w:bookmarkStart w:id="390" w:name="_Toc184308040"/>
      <w:bookmarkEnd w:id="390"/>
      <w:bookmarkStart w:id="391" w:name="_Toc184310289"/>
      <w:bookmarkEnd w:id="391"/>
      <w:bookmarkStart w:id="392" w:name="_Toc184312127"/>
      <w:bookmarkEnd w:id="392"/>
      <w:bookmarkStart w:id="393" w:name="_Toc184310341"/>
      <w:bookmarkEnd w:id="393"/>
      <w:bookmarkStart w:id="394" w:name="_Toc184310290"/>
      <w:bookmarkEnd w:id="394"/>
      <w:bookmarkStart w:id="395" w:name="_Toc184308044"/>
      <w:bookmarkEnd w:id="395"/>
      <w:bookmarkStart w:id="396" w:name="_Toc184308036"/>
      <w:bookmarkEnd w:id="396"/>
      <w:bookmarkStart w:id="397" w:name="_Toc184313242"/>
      <w:bookmarkEnd w:id="397"/>
      <w:bookmarkStart w:id="398" w:name="_Toc184313306"/>
      <w:bookmarkEnd w:id="398"/>
      <w:bookmarkStart w:id="399" w:name="_Toc184312083"/>
      <w:bookmarkEnd w:id="399"/>
      <w:bookmarkStart w:id="400" w:name="_Toc184313264"/>
      <w:bookmarkEnd w:id="400"/>
      <w:bookmarkStart w:id="401" w:name="_Toc184308097"/>
      <w:bookmarkEnd w:id="401"/>
      <w:bookmarkStart w:id="402" w:name="_Toc184314430"/>
      <w:bookmarkEnd w:id="402"/>
      <w:bookmarkStart w:id="403" w:name="_Toc184312112"/>
      <w:bookmarkEnd w:id="403"/>
      <w:bookmarkStart w:id="404" w:name="_Toc184313266"/>
      <w:bookmarkEnd w:id="404"/>
      <w:bookmarkStart w:id="405" w:name="_Toc184313256"/>
      <w:bookmarkEnd w:id="405"/>
      <w:bookmarkStart w:id="406" w:name="_Toc184314446"/>
      <w:bookmarkEnd w:id="406"/>
      <w:bookmarkStart w:id="407" w:name="_Toc184308087"/>
      <w:bookmarkEnd w:id="407"/>
      <w:bookmarkStart w:id="408" w:name="_Toc184308063"/>
      <w:bookmarkEnd w:id="408"/>
      <w:bookmarkStart w:id="409" w:name="_Toc184310340"/>
      <w:bookmarkEnd w:id="409"/>
      <w:bookmarkStart w:id="410" w:name="_Toc184308093"/>
      <w:bookmarkEnd w:id="410"/>
      <w:bookmarkStart w:id="411" w:name="_Toc184313281"/>
      <w:bookmarkEnd w:id="411"/>
      <w:bookmarkStart w:id="412" w:name="_Toc184312093"/>
      <w:bookmarkEnd w:id="412"/>
      <w:bookmarkStart w:id="413" w:name="_Toc184312139"/>
      <w:bookmarkEnd w:id="413"/>
      <w:bookmarkStart w:id="414" w:name="_Toc184313309"/>
      <w:bookmarkEnd w:id="414"/>
      <w:bookmarkStart w:id="415" w:name="_Toc184308055"/>
      <w:bookmarkEnd w:id="415"/>
      <w:bookmarkStart w:id="416" w:name="_Toc184314423"/>
      <w:bookmarkEnd w:id="416"/>
      <w:bookmarkStart w:id="417" w:name="_Toc184312092"/>
      <w:bookmarkEnd w:id="417"/>
      <w:bookmarkStart w:id="418" w:name="_Toc184313308"/>
      <w:bookmarkEnd w:id="418"/>
      <w:bookmarkStart w:id="419" w:name="_Toc184308092"/>
      <w:bookmarkEnd w:id="419"/>
      <w:bookmarkStart w:id="420" w:name="_Toc184310308"/>
      <w:bookmarkEnd w:id="420"/>
      <w:bookmarkStart w:id="421" w:name="_Toc184308095"/>
      <w:bookmarkEnd w:id="421"/>
      <w:bookmarkStart w:id="422" w:name="_Toc184312123"/>
      <w:bookmarkEnd w:id="422"/>
      <w:bookmarkStart w:id="423" w:name="_Toc184314473"/>
      <w:bookmarkEnd w:id="423"/>
      <w:bookmarkStart w:id="424" w:name="_Toc184312077"/>
      <w:bookmarkEnd w:id="424"/>
      <w:bookmarkStart w:id="425" w:name="_Toc184312081"/>
      <w:bookmarkEnd w:id="425"/>
      <w:bookmarkStart w:id="426" w:name="_Toc184312097"/>
      <w:bookmarkEnd w:id="426"/>
      <w:bookmarkStart w:id="427" w:name="_Toc184313302"/>
      <w:bookmarkEnd w:id="427"/>
      <w:bookmarkStart w:id="428" w:name="_Toc184308048"/>
      <w:bookmarkEnd w:id="428"/>
      <w:bookmarkStart w:id="429" w:name="_Toc184308080"/>
      <w:bookmarkEnd w:id="429"/>
      <w:bookmarkStart w:id="430" w:name="_Toc184310315"/>
      <w:bookmarkEnd w:id="430"/>
      <w:r>
        <w:rPr>
          <w:rFonts w:hint="eastAsia" w:ascii="宋体" w:hAnsi="宋体" w:cs="宋体"/>
          <w:b/>
          <w:sz w:val="36"/>
          <w:szCs w:val="36"/>
        </w:rPr>
        <w:t>评标办法</w:t>
      </w: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评标办法前附表</w:t>
      </w:r>
    </w:p>
    <w:tbl>
      <w:tblPr>
        <w:tblStyle w:val="63"/>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5218"/>
        <w:gridCol w:w="992"/>
        <w:gridCol w:w="1134"/>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5218" w:type="dxa"/>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评审</w:t>
            </w:r>
            <w:r>
              <w:rPr>
                <w:rFonts w:hint="eastAsia" w:ascii="宋体" w:hAnsi="宋体" w:eastAsia="宋体" w:cs="宋体"/>
                <w:b w:val="0"/>
                <w:bCs w:val="0"/>
                <w:color w:val="auto"/>
                <w:kern w:val="0"/>
                <w:sz w:val="24"/>
                <w:szCs w:val="24"/>
                <w:highlight w:val="none"/>
              </w:rPr>
              <w:t>标准</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权重</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主观分/客观分属性</w:t>
            </w:r>
          </w:p>
        </w:tc>
        <w:tc>
          <w:tcPr>
            <w:tcW w:w="1526"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文件中评审标准相应的商务技术资料目录</w:t>
            </w:r>
            <w:r>
              <w:rPr>
                <w:rFonts w:hint="eastAsia" w:ascii="宋体" w:hAnsi="宋体" w:eastAsia="宋体" w:cs="宋体"/>
                <w:b w:val="0"/>
                <w:bCs w:val="0"/>
                <w:color w:val="auto"/>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218" w:type="dxa"/>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企业业绩：</w:t>
            </w:r>
            <w:r>
              <w:rPr>
                <w:rFonts w:hint="eastAsia" w:ascii="宋体" w:hAnsi="宋体" w:eastAsia="宋体" w:cs="宋体"/>
                <w:color w:val="auto"/>
                <w:kern w:val="0"/>
                <w:sz w:val="24"/>
                <w:szCs w:val="24"/>
                <w:highlight w:val="none"/>
              </w:rPr>
              <w:t>供应商自202</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年1月1日（以合同签订时间为准）以来具有类似项目业绩，每个得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分，最高得1分。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证明材料：提供合同</w:t>
            </w:r>
            <w:r>
              <w:rPr>
                <w:rFonts w:hint="eastAsia" w:ascii="宋体" w:hAnsi="宋体" w:cs="宋体"/>
                <w:b/>
                <w:bCs/>
                <w:color w:val="auto"/>
                <w:kern w:val="0"/>
                <w:sz w:val="24"/>
                <w:szCs w:val="24"/>
                <w:highlight w:val="none"/>
                <w:lang w:val="en-US" w:eastAsia="zh-CN"/>
              </w:rPr>
              <w:t>或</w:t>
            </w:r>
            <w:r>
              <w:rPr>
                <w:rFonts w:hint="eastAsia" w:ascii="宋体" w:hAnsi="宋体" w:eastAsia="宋体" w:cs="宋体"/>
                <w:b/>
                <w:bCs/>
                <w:color w:val="auto"/>
                <w:kern w:val="0"/>
                <w:sz w:val="24"/>
                <w:szCs w:val="24"/>
                <w:highlight w:val="none"/>
              </w:rPr>
              <w:t>中标通知书复印件加盖公章，未提供不得分。</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c>
          <w:tcPr>
            <w:tcW w:w="1526" w:type="dxa"/>
          </w:tcPr>
          <w:p>
            <w:pPr>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218" w:type="dxa"/>
            <w:vAlign w:val="center"/>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供应商具有有效的质量管理体系认证证书、环境管理体系认证证书、职业健康安全管理体系认证证书的并在有效期内的，每个证书得1分。    </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证明材料：提供证书复印件并加盖公章，未提供不得分。</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c>
          <w:tcPr>
            <w:tcW w:w="1526" w:type="dxa"/>
          </w:tcPr>
          <w:p>
            <w:pPr>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5218" w:type="dxa"/>
            <w:vAlign w:val="center"/>
          </w:tcPr>
          <w:p>
            <w:pPr>
              <w:pageBreakBefore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bCs/>
                <w:caps/>
                <w:color w:val="auto"/>
                <w:sz w:val="24"/>
                <w:szCs w:val="24"/>
                <w:highlight w:val="none"/>
                <w:lang w:eastAsia="zh-CN"/>
              </w:rPr>
            </w:pPr>
            <w:r>
              <w:rPr>
                <w:rFonts w:hint="eastAsia" w:ascii="宋体" w:hAnsi="宋体" w:eastAsia="宋体" w:cs="宋体"/>
                <w:bCs/>
                <w:caps/>
                <w:color w:val="auto"/>
                <w:sz w:val="24"/>
                <w:szCs w:val="24"/>
                <w:highlight w:val="none"/>
              </w:rPr>
              <w:t>结合采购需求提供的拟派人员的数量、资格等级、职称、所获得相关职业证书、获奖证书、类似服务经验、人员出勤率承诺等情况进行综合评价</w:t>
            </w:r>
            <w:r>
              <w:rPr>
                <w:rFonts w:hint="eastAsia" w:ascii="宋体" w:hAnsi="宋体" w:eastAsia="宋体" w:cs="宋体"/>
                <w:bCs/>
                <w:caps/>
                <w:color w:val="auto"/>
                <w:sz w:val="24"/>
                <w:szCs w:val="24"/>
                <w:highlight w:val="none"/>
                <w:lang w:eastAsia="zh-CN"/>
              </w:rPr>
              <w:t>。</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①方案全面、科学且有效，与采购需求完全相适应的得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②方案详细且与采购需求相适应，但存在不足的得3分；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③方案基本与采购需求相适应，但存在欠缺的得2分；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④方案与采购需求不适应的得1分；</w:t>
            </w:r>
          </w:p>
          <w:p>
            <w:pPr>
              <w:pageBreakBefore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bCs/>
                <w:caps/>
                <w:color w:val="auto"/>
                <w:sz w:val="24"/>
                <w:szCs w:val="24"/>
                <w:highlight w:val="none"/>
                <w:lang w:eastAsia="zh-CN"/>
              </w:rPr>
            </w:pPr>
            <w:r>
              <w:rPr>
                <w:rFonts w:hint="eastAsia" w:ascii="宋体" w:hAnsi="宋体" w:eastAsia="宋体" w:cs="宋体"/>
                <w:color w:val="auto"/>
                <w:kern w:val="0"/>
                <w:sz w:val="24"/>
                <w:szCs w:val="24"/>
                <w:highlight w:val="none"/>
              </w:rPr>
              <w:t>⑤未提供的得0分。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Cs/>
                <w:caps/>
                <w:color w:val="auto"/>
                <w:sz w:val="24"/>
                <w:szCs w:val="24"/>
                <w:highlight w:val="none"/>
              </w:rPr>
              <w:t>注：提供相应证明材料及在缴社保证明</w:t>
            </w:r>
            <w:r>
              <w:rPr>
                <w:rFonts w:hint="eastAsia" w:ascii="宋体" w:hAnsi="宋体" w:cs="宋体"/>
                <w:bCs/>
                <w:caps/>
                <w:color w:val="auto"/>
                <w:sz w:val="24"/>
                <w:szCs w:val="24"/>
                <w:highlight w:val="none"/>
                <w:lang w:eastAsia="zh-CN"/>
              </w:rPr>
              <w:t>。</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主观分</w:t>
            </w:r>
          </w:p>
        </w:tc>
        <w:tc>
          <w:tcPr>
            <w:tcW w:w="1526" w:type="dxa"/>
          </w:tcPr>
          <w:p>
            <w:pPr>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p>
        </w:tc>
        <w:tc>
          <w:tcPr>
            <w:tcW w:w="5218" w:type="dxa"/>
            <w:vAlign w:val="center"/>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针对本项目重点、难点及相应解决措施：</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根据供应商对项目现状、存在的问题和垃圾清运服务的难点、要点等问题进行调查剖析，并针对性的提出克服难点和要点技术措施方案具有科学性和有效性进行打分。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①方案全面、科学且有效，与采购需求完全相适应的得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②方案详细且与采购需求相适应，但存在不足的得3分；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③方案基本与采购需求相适应，但存在欠缺的得2分；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④方案与采购需求不适应的得1分；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⑤未提供的得0分。</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526" w:type="dxa"/>
          </w:tcPr>
          <w:p>
            <w:pPr>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5218" w:type="dxa"/>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清运作业管理办法：</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供应商提供的清运作业管理办法的具有科学性和有效性进行打分。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①方案全面、科学且有效，与采购需求完全相适应的得5分；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②方案详细且与采购需求相适应，但存在不足的得4分；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③方案基本与采购需求相适应，但存在欠缺的得3分；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④方案存在缺项的得2分；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⑤方案与采购需求不适应的得1分；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⑥未提供的得0分。</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526" w:type="dxa"/>
          </w:tcPr>
          <w:p>
            <w:pPr>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w:t>
            </w:r>
          </w:p>
        </w:tc>
        <w:tc>
          <w:tcPr>
            <w:tcW w:w="5218" w:type="dxa"/>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收集、清运服务实施方案：</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（1）供应商提供的收集、清运服务实施方案（整体设想与构成）方案详尽、准确、针对性强且合理可行性进行打分。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①方案详尽、准确、合理可行且针对性强，与采购需求完全相适应的得5分；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②方案详细且与采购需求相适应，但存在不足的得4分；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③方案基本与采购需求相适应，但存在欠缺的得3分；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④方案存在缺项的得2分；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⑤方案与采购需求不适应的得1分；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⑥未提供的得0分。</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526" w:type="dxa"/>
          </w:tcPr>
          <w:p>
            <w:pPr>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5218" w:type="dxa"/>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收集、清运服务实施方案：</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（2）供应商提供的劳动力投入计划，工作机制、保障配置方案安排合理、操作性强进行打分。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①方案全面、合理可行且操作强，与采购需求完全相适应的得5分；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②方案详细且与采购需求相适应，但存在不足的得4分；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③方案基本与采购需求相适应，但存在欠缺的得3分；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④方案存在缺项的得2分；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⑤方案与采购需求不适应的得1分；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⑥未提供的得0分。</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526" w:type="dxa"/>
          </w:tcPr>
          <w:p>
            <w:pPr>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5218" w:type="dxa"/>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突击性任务应急方案：</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供应商提供的突击性任务应急方案、清运人员安排预案及其保障措施、工作流程、方案（或预案）对本项目具有针对性、适用性、可操作性、可行性强进行打分。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①方案全面且针对性、适用性、可操作性、可行性强，与采购需求完全相适应的得5分；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②方案详细且与采购需求相适应，但存在不足的得4分；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③方案基本与采购需求相适应，但存在欠缺的得3分；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④方案存在缺项的得2分；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⑤方案与采购需求不适应的得1分；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⑥未提供的得0分。</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526" w:type="dxa"/>
          </w:tcPr>
          <w:p>
            <w:pPr>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5218" w:type="dxa"/>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
                <w:bCs w:val="0"/>
                <w:caps/>
                <w:color w:val="auto"/>
                <w:sz w:val="24"/>
                <w:szCs w:val="24"/>
                <w:highlight w:val="none"/>
              </w:rPr>
            </w:pPr>
            <w:r>
              <w:rPr>
                <w:rFonts w:hint="eastAsia" w:ascii="宋体" w:hAnsi="宋体" w:eastAsia="宋体" w:cs="宋体"/>
                <w:b/>
                <w:bCs w:val="0"/>
                <w:caps/>
                <w:color w:val="auto"/>
                <w:sz w:val="24"/>
                <w:szCs w:val="24"/>
                <w:highlight w:val="none"/>
              </w:rPr>
              <w:t>对突发事件（包括发生灾害性天气及其他事件）时的紧急预案。</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①方案全面且针对性、适用性、可操作性、可行性强，与采购需求完全相适应的得5分；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②方案详细且与采购需求相适应，但存在不足的得4分；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③方案基本与采购需求相适应，但存在欠缺的得3分；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④方案存在缺项的得2分；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⑤方案与采购需求不适应的得1分；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⑥未提供的得0分。</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526" w:type="dxa"/>
          </w:tcPr>
          <w:p>
            <w:pPr>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5218" w:type="dxa"/>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b/>
                <w:bCs w:val="0"/>
                <w:caps/>
                <w:color w:val="auto"/>
                <w:sz w:val="24"/>
                <w:szCs w:val="24"/>
                <w:highlight w:val="none"/>
              </w:rPr>
              <w:t>对服务区域内防疫措施、消防措施等紧急预案。</w:t>
            </w:r>
            <w:r>
              <w:rPr>
                <w:rFonts w:hint="eastAsia" w:ascii="宋体" w:hAnsi="宋体" w:eastAsia="宋体" w:cs="宋体"/>
                <w:color w:val="auto"/>
                <w:kern w:val="0"/>
                <w:sz w:val="24"/>
                <w:szCs w:val="24"/>
                <w:highlight w:val="none"/>
              </w:rPr>
              <w:t>①方案全面且针对性、适用性、可操作性、可行性强，与采购需求完全相适应的得5分；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②方案详细且与采购需求相适应，但存在不足的得4分；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③方案基本与采购需求相适应，但存在欠缺的得3分；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④方案存在缺项的得2分；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⑤方案与采购需求不适应的得1分；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⑥未提供的得0分。</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526" w:type="dxa"/>
          </w:tcPr>
          <w:p>
            <w:pPr>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5218" w:type="dxa"/>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收集、清运工作的安全保证措施及服务质量保证措施：</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供应商提供的收集、清运工作的安全保证措施及服务质量保证措施、工作流程、安全保证方案（或预案）及服务质量保证措施本项目具有针对性、适用性、可操作性、可行性强进行打分。 </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①方案全面且针对性、适用性、可操作性、可行性强，与采购需求完全相适应的得5分；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②方案详细且与采购需求相适应，但存在不足的得4分；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③方案基本与采购需求相适应，但存在欠缺的得3分；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④方案存在缺项的得2分；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⑤方案与采购需求不适应的得1分；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⑥未提供的得0分。</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526" w:type="dxa"/>
          </w:tcPr>
          <w:p>
            <w:pPr>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2</w:t>
            </w:r>
          </w:p>
        </w:tc>
        <w:tc>
          <w:tcPr>
            <w:tcW w:w="5218" w:type="dxa"/>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作业机具配备情况： </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合理配备机具，并提供机具配置计划表的，详尽、准确、针对性强且合理可行的进行打分。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①方案详尽、准确、合理且针对性强，与采购需求完全相适应的得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②方案详细且与采购需求相适应，但存在不足的得3分；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③方案基本与采购需求相适应，但存在欠缺的得2分；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④方案与采购需求不适应的得1分；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⑤未提供的得0分。</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526" w:type="dxa"/>
          </w:tcPr>
          <w:p>
            <w:pPr>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w:t>
            </w:r>
          </w:p>
        </w:tc>
        <w:tc>
          <w:tcPr>
            <w:tcW w:w="5218" w:type="dxa"/>
          </w:tcPr>
          <w:p>
            <w:pPr>
              <w:pStyle w:val="3"/>
              <w:pageBreakBefore w:val="0"/>
              <w:numPr>
                <w:ilvl w:val="0"/>
                <w:numId w:val="0"/>
              </w:numPr>
              <w:kinsoku/>
              <w:wordWrap/>
              <w:overflowPunct/>
              <w:topLinePunct w:val="0"/>
              <w:autoSpaceDE/>
              <w:autoSpaceDN/>
              <w:bidi w:val="0"/>
              <w:spacing w:before="0" w:after="0"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工作运行机制</w:t>
            </w:r>
            <w:r>
              <w:rPr>
                <w:rFonts w:hint="eastAsia" w:ascii="宋体" w:hAnsi="宋体" w:eastAsia="宋体" w:cs="宋体"/>
                <w:color w:val="auto"/>
                <w:sz w:val="24"/>
                <w:szCs w:val="24"/>
                <w:highlight w:val="none"/>
                <w:lang w:eastAsia="zh-CN"/>
              </w:rPr>
              <w:t>：</w:t>
            </w:r>
          </w:p>
          <w:p>
            <w:pPr>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供应商针对本项目运行提出的相关机制</w:t>
            </w:r>
            <w:r>
              <w:rPr>
                <w:rFonts w:hint="eastAsia" w:ascii="宋体" w:hAnsi="宋体" w:eastAsia="宋体" w:cs="宋体"/>
                <w:color w:val="auto"/>
                <w:kern w:val="0"/>
                <w:sz w:val="24"/>
                <w:szCs w:val="24"/>
                <w:highlight w:val="none"/>
              </w:rPr>
              <w:t>具有合理性及可行性，安排合理、可行性强进行打分。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①方案全面、合理且可行性强，与采购需求完全相适应的得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②方案详细且与采购需求相适应，但存在不足的得3分；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③方案基本与采购需求相适应，但存在欠缺的得2分；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④方案与采购需求不适应的得1分；</w:t>
            </w:r>
          </w:p>
          <w:p>
            <w:pPr>
              <w:pStyle w:val="3"/>
              <w:pageBreakBefore w:val="0"/>
              <w:numPr>
                <w:ilvl w:val="0"/>
                <w:numId w:val="0"/>
              </w:numPr>
              <w:kinsoku/>
              <w:wordWrap/>
              <w:overflowPunct/>
              <w:topLinePunct w:val="0"/>
              <w:autoSpaceDE/>
              <w:autoSpaceDN/>
              <w:bidi w:val="0"/>
              <w:spacing w:before="0" w:after="0"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0"/>
                <w:sz w:val="24"/>
                <w:szCs w:val="24"/>
                <w:highlight w:val="none"/>
              </w:rPr>
              <w:t>⑤未提供的得0分。</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主观分</w:t>
            </w:r>
          </w:p>
        </w:tc>
        <w:tc>
          <w:tcPr>
            <w:tcW w:w="1526" w:type="dxa"/>
          </w:tcPr>
          <w:p>
            <w:pPr>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4</w:t>
            </w:r>
          </w:p>
        </w:tc>
        <w:tc>
          <w:tcPr>
            <w:tcW w:w="5218" w:type="dxa"/>
            <w:vAlign w:val="center"/>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层级管理以及组织构架：</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供应商的层级管理以及组织构架、保证管理具有合理性及可行性，安排合理、可行性强进行打分。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①方案全面、合理且可行性强，与采购需求完全相适应的得5分；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②方案详细且与采购需求相适应，但存在不足的得4分；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③方案基本与采购需求相适应，但存在欠缺的得3分；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④方案存在缺项的得2分；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⑤方案与采购需求不适应的得1分；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⑥未提供的得0分。</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526" w:type="dxa"/>
          </w:tcPr>
          <w:p>
            <w:pPr>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c>
          <w:tcPr>
            <w:tcW w:w="5218" w:type="dxa"/>
            <w:vAlign w:val="center"/>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内部管理制度和员工考核管理办法：</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供应商内部具有管理制度和员工考核管理办法等设定的科学、合理和有效性进行打分。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①方案全面、科学且有效可行，与采购需求完全相适应的得5分；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②方案详细且与采购需求相适应，但存在不足的得4分；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③方案基本与采购需求相适应，但存在欠缺的得3分；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④方案存在缺项的得2分；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⑤方案与采购需求不适应的得1分；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⑥未提供的得0分。</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526" w:type="dxa"/>
          </w:tcPr>
          <w:p>
            <w:pPr>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16</w:t>
            </w:r>
          </w:p>
        </w:tc>
        <w:tc>
          <w:tcPr>
            <w:tcW w:w="5218" w:type="dxa"/>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员工薪资发放是否规范及时，排班时间是否合理，福利保障措施是否到位，方案详尽、准确、针对性强且合理可行进行打分。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①方案全面、科学且有效可行，与采购需求完全相适应的得5分；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②方案详细且与采购需求相适应，但存在不足的得4分；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③方案基本与采购需求相适应，但存在欠缺的得3分；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④方案存在缺项的得2分；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⑤方案与采购需求不适应的得1分；</w:t>
            </w:r>
          </w:p>
          <w:p>
            <w:pPr>
              <w:pStyle w:val="3"/>
              <w:pageBreakBefore w:val="0"/>
              <w:numPr>
                <w:ilvl w:val="0"/>
                <w:numId w:val="0"/>
              </w:numPr>
              <w:tabs>
                <w:tab w:val="clear" w:pos="432"/>
              </w:tabs>
              <w:kinsoku/>
              <w:wordWrap/>
              <w:overflowPunct/>
              <w:topLinePunct w:val="0"/>
              <w:autoSpaceDE/>
              <w:autoSpaceDN/>
              <w:bidi w:val="0"/>
              <w:spacing w:before="0" w:after="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⑥未提供的得0分。</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主观分</w:t>
            </w:r>
          </w:p>
        </w:tc>
        <w:tc>
          <w:tcPr>
            <w:tcW w:w="1526" w:type="dxa"/>
          </w:tcPr>
          <w:p>
            <w:pPr>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7</w:t>
            </w:r>
          </w:p>
        </w:tc>
        <w:tc>
          <w:tcPr>
            <w:tcW w:w="5218" w:type="dxa"/>
            <w:vAlign w:val="center"/>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作业人员培训方案：</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供应商提供完整的建筑垃圾及大件垃圾收集、清运培训方案，包括培训方式、培训内容、培训记录台账记录的合理性操作性进行评分。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①方案全面、合理且操作性强，与采购需求完全相适应的得5分；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②方案详细且与采购需求相适应，但存在不足的得4分；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③方案基本与采购需求相适应，但存在欠缺的得3分；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④方案存在缺项的得2分；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⑤方案与采购需求不适应的得1分；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⑥未提供的得0分。</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526" w:type="dxa"/>
          </w:tcPr>
          <w:p>
            <w:pPr>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8</w:t>
            </w:r>
          </w:p>
        </w:tc>
        <w:tc>
          <w:tcPr>
            <w:tcW w:w="5218" w:type="dxa"/>
            <w:vAlign w:val="center"/>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服务承诺及响应措施：</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根据供应商针对本项目的服务承诺内容(整改措施、质量保证、服从管理、优惠等方面）。</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①方案全面、合理且操作性强，与采购需求完全相适应的得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②方案详细且与采购需求相适应，但存在不足的得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③方案基本与采购需求相适应，但存在欠缺的得1分；</w:t>
            </w:r>
          </w:p>
          <w:p>
            <w:pPr>
              <w:pStyle w:val="3"/>
              <w:pageBreakBefore w:val="0"/>
              <w:numPr>
                <w:ilvl w:val="0"/>
                <w:numId w:val="0"/>
              </w:numPr>
              <w:tabs>
                <w:tab w:val="clear" w:pos="432"/>
              </w:tabs>
              <w:kinsoku/>
              <w:wordWrap/>
              <w:overflowPunct/>
              <w:topLinePunct w:val="0"/>
              <w:autoSpaceDE/>
              <w:autoSpaceDN/>
              <w:bidi w:val="0"/>
              <w:spacing w:before="0" w:after="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④未提供的得0分。</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526" w:type="dxa"/>
          </w:tcPr>
          <w:p>
            <w:pPr>
              <w:pStyle w:val="3"/>
              <w:pageBreakBefore w:val="0"/>
              <w:numPr>
                <w:ilvl w:val="0"/>
                <w:numId w:val="0"/>
              </w:numPr>
              <w:kinsoku/>
              <w:wordWrap/>
              <w:overflowPunct/>
              <w:topLinePunct w:val="0"/>
              <w:autoSpaceDE/>
              <w:autoSpaceDN/>
              <w:bidi w:val="0"/>
              <w:spacing w:before="0" w:after="0" w:line="240" w:lineRule="auto"/>
              <w:textAlignment w:val="auto"/>
              <w:rPr>
                <w:rFonts w:hint="eastAsia" w:ascii="宋体" w:hAnsi="宋体" w:eastAsia="宋体" w:cs="宋体"/>
                <w:b w:val="0"/>
                <w:bCs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19</w:t>
            </w:r>
          </w:p>
        </w:tc>
        <w:tc>
          <w:tcPr>
            <w:tcW w:w="5218" w:type="dxa"/>
            <w:vAlign w:val="center"/>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供应商提供的响应措施、服务能力及服务便捷性等安排合理、操作性强进行打分。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①方案全面、合理且操作性强，与采购需求完全相适应的得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②方案详细且与采购需求相适应，但存在不足的得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③方案基本与采购需求相适应，但存在欠缺的得1分；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④未提供的得0分。</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526" w:type="dxa"/>
          </w:tcPr>
          <w:p>
            <w:pPr>
              <w:pStyle w:val="3"/>
              <w:pageBreakBefore w:val="0"/>
              <w:numPr>
                <w:ilvl w:val="0"/>
                <w:numId w:val="0"/>
              </w:numPr>
              <w:kinsoku/>
              <w:wordWrap/>
              <w:overflowPunct/>
              <w:topLinePunct w:val="0"/>
              <w:autoSpaceDE/>
              <w:autoSpaceDN/>
              <w:bidi w:val="0"/>
              <w:spacing w:before="0" w:after="0" w:line="240" w:lineRule="auto"/>
              <w:textAlignment w:val="auto"/>
              <w:rPr>
                <w:rFonts w:hint="eastAsia" w:ascii="宋体" w:hAnsi="宋体" w:eastAsia="宋体" w:cs="宋体"/>
                <w:b w:val="0"/>
                <w:bCs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w:t>
            </w:r>
          </w:p>
        </w:tc>
        <w:tc>
          <w:tcPr>
            <w:tcW w:w="5218" w:type="dxa"/>
          </w:tcPr>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合理化建议</w:t>
            </w:r>
            <w:r>
              <w:rPr>
                <w:rFonts w:hint="eastAsia" w:ascii="宋体" w:hAnsi="宋体" w:eastAsia="宋体" w:cs="宋体"/>
                <w:b/>
                <w:bCs/>
                <w:color w:val="auto"/>
                <w:kern w:val="0"/>
                <w:sz w:val="24"/>
                <w:szCs w:val="24"/>
                <w:highlight w:val="none"/>
                <w:lang w:eastAsia="zh-CN"/>
              </w:rPr>
              <w:t>：</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投标人针对本项目实际情况提供包括建筑垃圾及大件垃圾收集、清运工作的合理化建议，根据提供方案的合理性及可行性评分。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①方案全面、合理且可行性强，与采购需求完全相适应的得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②方案详细且与采购需求相适应，但存在不足的得3分；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③方案基本与采购需求相适应，但存在欠缺的得2分；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④方案与采购需求不适应的得1分；</w:t>
            </w:r>
          </w:p>
          <w:p>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⑤未提供的得0分。</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526" w:type="dxa"/>
          </w:tcPr>
          <w:p>
            <w:pPr>
              <w:pStyle w:val="3"/>
              <w:pageBreakBefore w:val="0"/>
              <w:numPr>
                <w:ilvl w:val="0"/>
                <w:numId w:val="0"/>
              </w:numPr>
              <w:kinsoku/>
              <w:wordWrap/>
              <w:overflowPunct/>
              <w:topLinePunct w:val="0"/>
              <w:autoSpaceDE/>
              <w:autoSpaceDN/>
              <w:bidi w:val="0"/>
              <w:spacing w:before="0" w:after="0" w:line="240" w:lineRule="auto"/>
              <w:textAlignment w:val="auto"/>
              <w:rPr>
                <w:rFonts w:hint="eastAsia" w:ascii="宋体" w:hAnsi="宋体" w:eastAsia="宋体" w:cs="宋体"/>
                <w:b w:val="0"/>
                <w:bCs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pPr>
              <w:pageBreakBefore w:val="0"/>
              <w:kinsoku/>
              <w:wordWrap/>
              <w:overflowPunct/>
              <w:topLinePunct w:val="0"/>
              <w:autoSpaceDE/>
              <w:autoSpaceDN/>
              <w:bidi w:val="0"/>
              <w:spacing w:line="240" w:lineRule="auto"/>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21</w:t>
            </w:r>
          </w:p>
        </w:tc>
        <w:tc>
          <w:tcPr>
            <w:tcW w:w="5218" w:type="dxa"/>
          </w:tcPr>
          <w:p>
            <w:pPr>
              <w:pageBreakBefore w:val="0"/>
              <w:kinsoku/>
              <w:wordWrap/>
              <w:overflowPunct/>
              <w:topLinePunct w:val="0"/>
              <w:autoSpaceDE/>
              <w:autoSpaceDN/>
              <w:bidi w:val="0"/>
              <w:spacing w:line="24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有效最后报价的最低价作为评审基准价，其最低报价为满分；按［最后报价得分=（评审基准价/最后报价）*10］的计算公式计算。</w:t>
            </w:r>
          </w:p>
          <w:p>
            <w:pPr>
              <w:pageBreakBefore w:val="0"/>
              <w:widowControl/>
              <w:shd w:val="clear" w:color="auto" w:fill="FFFFFF"/>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评审过程中，不得去掉报价中的最高报价和最低报价。</w:t>
            </w:r>
          </w:p>
        </w:tc>
        <w:tc>
          <w:tcPr>
            <w:tcW w:w="992" w:type="dxa"/>
            <w:vAlign w:val="center"/>
          </w:tcPr>
          <w:p>
            <w:pPr>
              <w:pageBreakBefore w:val="0"/>
              <w:kinsoku/>
              <w:wordWrap/>
              <w:overflowPunct/>
              <w:topLinePunct w:val="0"/>
              <w:autoSpaceDE/>
              <w:autoSpaceDN/>
              <w:bidi w:val="0"/>
              <w:spacing w:line="240" w:lineRule="auto"/>
              <w:ind w:firstLine="0" w:firstLineChars="0"/>
              <w:jc w:val="center"/>
              <w:textAlignment w:val="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134" w:type="dxa"/>
            <w:vAlign w:val="center"/>
          </w:tcPr>
          <w:p>
            <w:pPr>
              <w:pageBreakBefore w:val="0"/>
              <w:kinsoku/>
              <w:wordWrap/>
              <w:overflowPunct/>
              <w:topLinePunct w:val="0"/>
              <w:autoSpaceDE/>
              <w:autoSpaceDN/>
              <w:bidi w:val="0"/>
              <w:spacing w:line="240" w:lineRule="auto"/>
              <w:ind w:firstLine="0" w:firstLineChars="0"/>
              <w:jc w:val="center"/>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c>
          <w:tcPr>
            <w:tcW w:w="1526" w:type="dxa"/>
            <w:vAlign w:val="center"/>
          </w:tcPr>
          <w:p>
            <w:pPr>
              <w:pageBreakBefore w:val="0"/>
              <w:kinsoku/>
              <w:wordWrap/>
              <w:overflowPunct/>
              <w:topLinePunct w:val="0"/>
              <w:autoSpaceDE/>
              <w:autoSpaceDN/>
              <w:bidi w:val="0"/>
              <w:spacing w:line="240" w:lineRule="auto"/>
              <w:ind w:firstLine="0" w:firstLineChars="0"/>
              <w:textAlignment w:val="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r>
    </w:tbl>
    <w:p>
      <w:pPr>
        <w:snapToGrid w:val="0"/>
        <w:spacing w:line="360" w:lineRule="auto"/>
        <w:outlineLvl w:val="1"/>
        <w:rPr>
          <w:rFonts w:hint="eastAsia" w:ascii="宋体" w:hAnsi="宋体" w:cs="宋体"/>
          <w:b/>
          <w:sz w:val="24"/>
          <w:szCs w:val="24"/>
        </w:rPr>
      </w:pPr>
      <w:r>
        <w:rPr>
          <w:rFonts w:hint="eastAsia" w:ascii="宋体" w:hAnsi="宋体" w:cs="宋体"/>
          <w:b/>
          <w:sz w:val="24"/>
          <w:szCs w:val="24"/>
        </w:rPr>
        <w:t>“*”备注：供应商编制响应文件时，建议按此目录（序号和内容）提供评审标准相应的商务技术资料。</w:t>
      </w:r>
    </w:p>
    <w:p>
      <w:pPr>
        <w:snapToGrid w:val="0"/>
        <w:spacing w:line="360" w:lineRule="auto"/>
        <w:outlineLvl w:val="1"/>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1"/>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tabs>
          <w:tab w:val="left" w:pos="432"/>
        </w:tabs>
        <w:ind w:left="430" w:leftChars="205"/>
        <w:rPr>
          <w:rFonts w:ascii="宋体" w:hAnsi="宋体" w:cs="宋体"/>
          <w:kern w:val="0"/>
          <w:sz w:val="24"/>
        </w:rPr>
      </w:pPr>
      <w:r>
        <w:rPr>
          <w:rFonts w:hint="eastAsia" w:ascii="宋体" w:hAnsi="宋体" w:cs="宋体"/>
          <w:kern w:val="0"/>
          <w:sz w:val="24"/>
        </w:rPr>
        <w:t>4.2.13 投标文件不满足招标文件的其他实质性要求的；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5.1符合专业条件的供应商或者对招标文件做实质响应的供应商不足3家的；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废标后，采购代理机构应当将废标理由通知所有投标人。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65"/>
    <w:p>
      <w:pPr>
        <w:spacing w:line="360" w:lineRule="auto"/>
        <w:ind w:left="720" w:leftChars="343" w:firstLine="1084" w:firstLineChars="300"/>
        <w:rPr>
          <w:rFonts w:ascii="宋体" w:hAnsi="宋体" w:cs="宋体"/>
          <w:b/>
          <w:sz w:val="36"/>
          <w:szCs w:val="36"/>
        </w:rPr>
      </w:pPr>
      <w:bookmarkStart w:id="431" w:name="第五部分"/>
      <w:bookmarkStart w:id="432" w:name="_Toc86217003"/>
    </w:p>
    <w:p>
      <w:pPr>
        <w:spacing w:line="360" w:lineRule="auto"/>
        <w:ind w:left="720" w:leftChars="343" w:firstLine="1084" w:firstLineChars="30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1"/>
        <w:ind w:firstLine="2843" w:firstLineChars="1180"/>
        <w:outlineLvl w:val="1"/>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tabs>
          <w:tab w:val="left" w:pos="432"/>
        </w:tabs>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8"/>
        <w:spacing w:before="120" w:line="22" w:lineRule="atLeast"/>
        <w:rPr>
          <w:rFonts w:ascii="宋体" w:hAnsi="宋体" w:eastAsia="宋体" w:cs="宋体"/>
          <w:szCs w:val="24"/>
        </w:rPr>
      </w:pPr>
    </w:p>
    <w:p>
      <w:pPr>
        <w:pStyle w:val="598"/>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杭州市滨江区人民政府西兴街道办事处</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lang w:eastAsia="zh-CN"/>
        </w:rPr>
        <w:t>滨康区块地下空间堆积物清理项目</w:t>
      </w:r>
      <w:r>
        <w:rPr>
          <w:rFonts w:hint="eastAsia" w:ascii="宋体" w:hAnsi="宋体" w:cs="宋体"/>
          <w:sz w:val="24"/>
          <w:u w:val="single"/>
        </w:rPr>
        <w:t>、</w:t>
      </w:r>
      <w:r>
        <w:rPr>
          <w:rFonts w:hint="eastAsia" w:ascii="宋体" w:hAnsi="宋体" w:cs="宋体"/>
          <w:sz w:val="24"/>
          <w:u w:val="single"/>
          <w:lang w:eastAsia="zh-CN"/>
        </w:rPr>
        <w:t>ZKGC2025-BJ-005</w:t>
      </w:r>
      <w:r>
        <w:rPr>
          <w:rFonts w:hint="eastAsia" w:ascii="宋体" w:hAnsi="宋体" w:cs="宋体"/>
          <w:sz w:val="24"/>
          <w:u w:val="single"/>
        </w:rPr>
        <w:t xml:space="preserve">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360" w:lineRule="auto"/>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w:t>
      </w:r>
      <w:r>
        <w:rPr>
          <w:rFonts w:hint="eastAsia" w:ascii="宋体" w:hAnsi="宋体"/>
          <w:sz w:val="24"/>
          <w:lang w:val="en-US" w:eastAsia="zh-CN"/>
        </w:rPr>
        <w:t>竞争</w:t>
      </w:r>
      <w:r>
        <w:rPr>
          <w:rFonts w:hint="eastAsia" w:ascii="宋体" w:hAnsi="宋体"/>
          <w:sz w:val="24"/>
          <w:lang w:val="zh-CN"/>
        </w:rPr>
        <w:t>和诚实信用的原则，经</w:t>
      </w:r>
      <w:r>
        <w:rPr>
          <w:rFonts w:ascii="宋体" w:hAnsi="宋体"/>
          <w:sz w:val="24"/>
          <w:u w:val="single"/>
        </w:rPr>
        <w:t xml:space="preserve">   </w:t>
      </w:r>
      <w:r>
        <w:rPr>
          <w:rFonts w:hint="eastAsia" w:ascii="宋体" w:hAnsi="宋体"/>
          <w:sz w:val="24"/>
          <w:u w:val="single"/>
        </w:rPr>
        <w:t>杭州市滨江区人民政府西兴街道办事处</w:t>
      </w:r>
      <w:r>
        <w:rPr>
          <w:rFonts w:ascii="宋体" w:hAnsi="宋体"/>
          <w:sz w:val="24"/>
          <w:u w:val="single"/>
        </w:rPr>
        <w:t xml:space="preserve">   </w:t>
      </w:r>
      <w:r>
        <w:rPr>
          <w:rFonts w:hint="eastAsia" w:ascii="宋体" w:hAnsi="宋体"/>
          <w:sz w:val="24"/>
          <w:u w:val="single"/>
        </w:rPr>
        <w:t>（</w:t>
      </w:r>
      <w:r>
        <w:rPr>
          <w:rFonts w:ascii="宋体" w:hAnsi="宋体"/>
          <w:sz w:val="24"/>
          <w:lang w:val="zh-CN"/>
        </w:rPr>
        <w:t>以下简称：甲方</w:t>
      </w:r>
      <w:r>
        <w:rPr>
          <w:rFonts w:hint="eastAsia" w:ascii="宋体" w:hAnsi="宋体"/>
          <w:sz w:val="24"/>
          <w:lang w:val="zh-CN"/>
        </w:rPr>
        <w:t>）</w:t>
      </w:r>
      <w:r>
        <w:rPr>
          <w:rFonts w:ascii="宋体" w:hAnsi="宋体"/>
          <w:sz w:val="24"/>
          <w:lang w:val="zh-CN"/>
        </w:rPr>
        <w:t>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hint="eastAsia" w:ascii="宋体" w:hAnsi="宋体"/>
          <w:sz w:val="24"/>
          <w:u w:val="single"/>
        </w:rPr>
        <w:t>（</w:t>
      </w:r>
      <w:r>
        <w:rPr>
          <w:rFonts w:ascii="宋体" w:hAnsi="宋体"/>
          <w:sz w:val="24"/>
          <w:lang w:val="zh-CN"/>
        </w:rPr>
        <w:t>以下简称：乙方</w:t>
      </w:r>
      <w:r>
        <w:rPr>
          <w:rFonts w:hint="eastAsia" w:ascii="宋体" w:hAnsi="宋体"/>
          <w:sz w:val="24"/>
          <w:lang w:val="zh-CN"/>
        </w:rPr>
        <w:t>）</w:t>
      </w:r>
      <w:r>
        <w:rPr>
          <w:rFonts w:ascii="宋体" w:hAnsi="宋体"/>
          <w:sz w:val="24"/>
          <w:lang w:val="zh-CN"/>
        </w:rPr>
        <w:t>协商一致，约定以下合同</w:t>
      </w:r>
      <w:r>
        <w:rPr>
          <w:rFonts w:hint="eastAsia" w:ascii="宋体" w:hAnsi="宋体"/>
          <w:sz w:val="24"/>
        </w:rPr>
        <w:t>条款，以兹共同遵守、全面履行。</w:t>
      </w:r>
    </w:p>
    <w:p>
      <w:pPr>
        <w:spacing w:line="360" w:lineRule="auto"/>
        <w:ind w:firstLine="482" w:firstLineChars="200"/>
        <w:rPr>
          <w:rFonts w:ascii="宋体" w:hAnsi="宋体"/>
          <w:sz w:val="24"/>
        </w:rPr>
      </w:pPr>
      <w:bookmarkStart w:id="433" w:name="_Toc15367"/>
      <w:bookmarkStart w:id="434" w:name="_Toc20421"/>
      <w:bookmarkStart w:id="435" w:name="_Toc28855"/>
      <w:bookmarkStart w:id="436" w:name="_Toc22967"/>
      <w:bookmarkStart w:id="437" w:name="_Toc19273"/>
      <w:r>
        <w:rPr>
          <w:rFonts w:ascii="宋体" w:hAnsi="宋体"/>
          <w:b/>
          <w:sz w:val="24"/>
        </w:rPr>
        <w:t xml:space="preserve">1.1 </w:t>
      </w:r>
      <w:r>
        <w:rPr>
          <w:rFonts w:hint="eastAsia" w:ascii="宋体" w:hAnsi="宋体"/>
          <w:b/>
          <w:sz w:val="24"/>
        </w:rPr>
        <w:t>合同组成部分</w:t>
      </w:r>
      <w:bookmarkEnd w:id="433"/>
      <w:bookmarkEnd w:id="434"/>
      <w:bookmarkEnd w:id="435"/>
      <w:bookmarkEnd w:id="436"/>
      <w:bookmarkEnd w:id="437"/>
    </w:p>
    <w:p>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pPr>
        <w:spacing w:line="360" w:lineRule="auto"/>
        <w:ind w:firstLine="480" w:firstLineChars="200"/>
        <w:rPr>
          <w:rFonts w:hint="eastAsia" w:ascii="宋体" w:hAnsi="宋体" w:eastAsia="宋体"/>
          <w:sz w:val="24"/>
          <w:lang w:eastAsia="zh-CN"/>
        </w:rPr>
      </w:pPr>
      <w:r>
        <w:rPr>
          <w:rFonts w:ascii="宋体" w:hAnsi="宋体"/>
          <w:sz w:val="24"/>
        </w:rPr>
        <w:t xml:space="preserve">1.1.1 </w:t>
      </w:r>
      <w:r>
        <w:rPr>
          <w:rFonts w:hint="eastAsia" w:ascii="宋体" w:hAnsi="宋体"/>
          <w:sz w:val="24"/>
        </w:rPr>
        <w:t>本合同及其补充合同、变更协议</w:t>
      </w:r>
      <w:r>
        <w:rPr>
          <w:rFonts w:hint="eastAsia" w:ascii="宋体" w:hAnsi="宋体"/>
          <w:sz w:val="24"/>
          <w:lang w:eastAsia="zh-CN"/>
        </w:rPr>
        <w:t>。</w:t>
      </w:r>
    </w:p>
    <w:p>
      <w:pPr>
        <w:spacing w:line="360" w:lineRule="auto"/>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r>
        <w:rPr>
          <w:rFonts w:hint="eastAsia" w:ascii="宋体" w:hAnsi="宋体"/>
          <w:sz w:val="24"/>
          <w:lang w:eastAsia="zh-CN"/>
        </w:rPr>
        <w:t>。</w:t>
      </w:r>
    </w:p>
    <w:p>
      <w:pPr>
        <w:spacing w:line="360" w:lineRule="auto"/>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r>
        <w:rPr>
          <w:rFonts w:hint="eastAsia" w:ascii="宋体" w:hAnsi="宋体"/>
          <w:sz w:val="24"/>
          <w:lang w:eastAsia="zh-CN"/>
        </w:rPr>
        <w:t>。</w:t>
      </w:r>
    </w:p>
    <w:p>
      <w:pPr>
        <w:spacing w:line="360" w:lineRule="auto"/>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r>
        <w:rPr>
          <w:rFonts w:hint="eastAsia" w:ascii="宋体" w:hAnsi="宋体"/>
          <w:sz w:val="24"/>
          <w:lang w:eastAsia="zh-CN"/>
        </w:rPr>
        <w:t>。</w:t>
      </w:r>
    </w:p>
    <w:p>
      <w:pPr>
        <w:spacing w:line="360" w:lineRule="auto"/>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360" w:lineRule="auto"/>
        <w:ind w:firstLine="482" w:firstLineChars="200"/>
        <w:rPr>
          <w:rFonts w:ascii="宋体" w:hAnsi="宋体"/>
          <w:b/>
          <w:sz w:val="24"/>
        </w:rPr>
      </w:pPr>
      <w:bookmarkStart w:id="438" w:name="_Toc2918"/>
      <w:bookmarkStart w:id="439" w:name="_Toc6773"/>
      <w:bookmarkStart w:id="440" w:name="_Toc6311"/>
      <w:bookmarkStart w:id="441" w:name="_Toc18585"/>
      <w:bookmarkStart w:id="442" w:name="_Toc22185"/>
      <w:r>
        <w:rPr>
          <w:rFonts w:ascii="宋体" w:hAnsi="宋体"/>
          <w:b/>
          <w:sz w:val="24"/>
        </w:rPr>
        <w:t xml:space="preserve">1.2 </w:t>
      </w:r>
      <w:r>
        <w:rPr>
          <w:rFonts w:hint="eastAsia" w:ascii="宋体" w:hAnsi="宋体"/>
          <w:b/>
          <w:sz w:val="24"/>
        </w:rPr>
        <w:t>标的</w:t>
      </w:r>
      <w:bookmarkEnd w:id="438"/>
      <w:bookmarkEnd w:id="439"/>
      <w:bookmarkEnd w:id="440"/>
      <w:bookmarkEnd w:id="441"/>
      <w:bookmarkEnd w:id="442"/>
    </w:p>
    <w:p>
      <w:pPr>
        <w:spacing w:line="360" w:lineRule="auto"/>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lang w:eastAsia="zh-CN"/>
        </w:rPr>
        <w:t>。</w:t>
      </w:r>
    </w:p>
    <w:p>
      <w:pPr>
        <w:spacing w:line="360" w:lineRule="auto"/>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lang w:eastAsia="zh-CN"/>
        </w:rPr>
        <w:t>。</w:t>
      </w:r>
    </w:p>
    <w:p>
      <w:pPr>
        <w:spacing w:line="360" w:lineRule="auto"/>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lang w:eastAsia="zh-CN"/>
        </w:rPr>
        <w:t>。</w:t>
      </w:r>
    </w:p>
    <w:p>
      <w:pPr>
        <w:spacing w:line="360" w:lineRule="auto"/>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lang w:eastAsia="zh-CN"/>
        </w:rPr>
        <w:t>。</w:t>
      </w:r>
    </w:p>
    <w:p>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pPr>
        <w:spacing w:line="360" w:lineRule="auto"/>
        <w:ind w:firstLine="480" w:firstLineChars="200"/>
        <w:rPr>
          <w:rFonts w:ascii="宋体" w:hAnsi="宋体" w:cs="宋体"/>
          <w:sz w:val="24"/>
          <w:u w:val="single"/>
        </w:rPr>
      </w:pPr>
      <w:bookmarkStart w:id="443" w:name="_Toc13918"/>
      <w:bookmarkStart w:id="444" w:name="_Toc21124"/>
      <w:bookmarkStart w:id="445" w:name="_Toc4929"/>
      <w:bookmarkStart w:id="446" w:name="_Toc5635"/>
      <w:bookmarkStart w:id="447"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sz w:val="24"/>
          <w:lang w:eastAsia="zh-CN"/>
        </w:rPr>
        <w:t>。</w:t>
      </w:r>
    </w:p>
    <w:p>
      <w:pPr>
        <w:spacing w:line="360" w:lineRule="auto"/>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sz w:val="24"/>
          <w:lang w:eastAsia="zh-CN"/>
        </w:rPr>
        <w:t>。</w:t>
      </w:r>
    </w:p>
    <w:p>
      <w:pPr>
        <w:spacing w:line="360" w:lineRule="auto"/>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sz w:val="24"/>
          <w:lang w:eastAsia="zh-CN"/>
        </w:rPr>
        <w:t>。</w:t>
      </w:r>
    </w:p>
    <w:p>
      <w:pPr>
        <w:spacing w:line="360" w:lineRule="auto"/>
        <w:ind w:firstLine="482" w:firstLineChars="200"/>
        <w:rPr>
          <w:rFonts w:ascii="宋体" w:hAnsi="宋体"/>
          <w:b/>
          <w:sz w:val="24"/>
        </w:rPr>
      </w:pPr>
      <w:r>
        <w:rPr>
          <w:rFonts w:ascii="宋体" w:hAnsi="宋体"/>
          <w:b/>
          <w:sz w:val="24"/>
        </w:rPr>
        <w:t>1.3 价款</w:t>
      </w:r>
      <w:bookmarkEnd w:id="443"/>
      <w:bookmarkEnd w:id="444"/>
      <w:bookmarkEnd w:id="445"/>
      <w:bookmarkEnd w:id="446"/>
      <w:bookmarkEnd w:id="447"/>
    </w:p>
    <w:p>
      <w:pPr>
        <w:spacing w:line="360" w:lineRule="auto"/>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360" w:lineRule="auto"/>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319"/>
              <w:spacing w:line="360" w:lineRule="auto"/>
              <w:jc w:val="center"/>
              <w:rPr>
                <w:rFonts w:hAnsi="宋体"/>
                <w:sz w:val="24"/>
                <w:szCs w:val="24"/>
              </w:rPr>
            </w:pPr>
            <w:r>
              <w:rPr>
                <w:rFonts w:hAnsi="宋体"/>
                <w:sz w:val="24"/>
                <w:szCs w:val="24"/>
              </w:rPr>
              <w:t>序号</w:t>
            </w:r>
          </w:p>
        </w:tc>
        <w:tc>
          <w:tcPr>
            <w:tcW w:w="3402" w:type="dxa"/>
            <w:vAlign w:val="center"/>
          </w:tcPr>
          <w:p>
            <w:pPr>
              <w:pStyle w:val="319"/>
              <w:spacing w:line="360" w:lineRule="auto"/>
              <w:ind w:firstLine="200"/>
              <w:jc w:val="center"/>
              <w:rPr>
                <w:rFonts w:hAnsi="宋体"/>
                <w:sz w:val="24"/>
                <w:szCs w:val="24"/>
              </w:rPr>
            </w:pPr>
            <w:r>
              <w:rPr>
                <w:rFonts w:hint="eastAsia" w:hAnsi="宋体"/>
                <w:sz w:val="24"/>
                <w:szCs w:val="24"/>
              </w:rPr>
              <w:t>分项名称</w:t>
            </w:r>
          </w:p>
        </w:tc>
        <w:tc>
          <w:tcPr>
            <w:tcW w:w="2552" w:type="dxa"/>
            <w:vAlign w:val="center"/>
          </w:tcPr>
          <w:p>
            <w:pPr>
              <w:pStyle w:val="319"/>
              <w:spacing w:line="360" w:lineRule="auto"/>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360" w:lineRule="auto"/>
              <w:ind w:firstLine="200"/>
              <w:jc w:val="center"/>
              <w:rPr>
                <w:rFonts w:hAnsi="宋体"/>
                <w:sz w:val="24"/>
                <w:szCs w:val="24"/>
              </w:rPr>
            </w:pPr>
          </w:p>
        </w:tc>
        <w:tc>
          <w:tcPr>
            <w:tcW w:w="3402" w:type="dxa"/>
            <w:vAlign w:val="center"/>
          </w:tcPr>
          <w:p>
            <w:pPr>
              <w:pStyle w:val="319"/>
              <w:spacing w:line="360" w:lineRule="auto"/>
              <w:ind w:firstLine="200"/>
              <w:jc w:val="center"/>
              <w:rPr>
                <w:rFonts w:hAnsi="宋体"/>
                <w:sz w:val="24"/>
                <w:szCs w:val="24"/>
              </w:rPr>
            </w:pPr>
          </w:p>
        </w:tc>
        <w:tc>
          <w:tcPr>
            <w:tcW w:w="2552" w:type="dxa"/>
            <w:vAlign w:val="center"/>
          </w:tcPr>
          <w:p>
            <w:pPr>
              <w:pStyle w:val="319"/>
              <w:spacing w:line="360" w:lineRule="auto"/>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319"/>
              <w:spacing w:line="360" w:lineRule="auto"/>
              <w:ind w:firstLine="200"/>
              <w:jc w:val="center"/>
              <w:rPr>
                <w:rFonts w:hAnsi="宋体"/>
                <w:sz w:val="24"/>
                <w:szCs w:val="24"/>
              </w:rPr>
            </w:pPr>
          </w:p>
        </w:tc>
        <w:tc>
          <w:tcPr>
            <w:tcW w:w="3402" w:type="dxa"/>
            <w:vAlign w:val="center"/>
          </w:tcPr>
          <w:p>
            <w:pPr>
              <w:pStyle w:val="319"/>
              <w:spacing w:line="360" w:lineRule="auto"/>
              <w:ind w:firstLine="200"/>
              <w:jc w:val="center"/>
              <w:rPr>
                <w:rFonts w:hAnsi="宋体"/>
                <w:sz w:val="24"/>
                <w:szCs w:val="24"/>
              </w:rPr>
            </w:pPr>
          </w:p>
        </w:tc>
        <w:tc>
          <w:tcPr>
            <w:tcW w:w="2552" w:type="dxa"/>
            <w:vAlign w:val="center"/>
          </w:tcPr>
          <w:p>
            <w:pPr>
              <w:pStyle w:val="319"/>
              <w:spacing w:line="360" w:lineRule="auto"/>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319"/>
              <w:spacing w:line="360" w:lineRule="auto"/>
              <w:ind w:firstLine="200"/>
              <w:jc w:val="center"/>
              <w:rPr>
                <w:rFonts w:hAnsi="宋体"/>
                <w:sz w:val="24"/>
                <w:szCs w:val="24"/>
              </w:rPr>
            </w:pPr>
          </w:p>
        </w:tc>
        <w:tc>
          <w:tcPr>
            <w:tcW w:w="3402" w:type="dxa"/>
            <w:vAlign w:val="center"/>
          </w:tcPr>
          <w:p>
            <w:pPr>
              <w:pStyle w:val="319"/>
              <w:spacing w:line="360" w:lineRule="auto"/>
              <w:ind w:firstLine="200"/>
              <w:jc w:val="center"/>
              <w:rPr>
                <w:rFonts w:hAnsi="宋体"/>
                <w:sz w:val="24"/>
                <w:szCs w:val="24"/>
              </w:rPr>
            </w:pPr>
          </w:p>
        </w:tc>
        <w:tc>
          <w:tcPr>
            <w:tcW w:w="2552" w:type="dxa"/>
            <w:vAlign w:val="center"/>
          </w:tcPr>
          <w:p>
            <w:pPr>
              <w:pStyle w:val="319"/>
              <w:spacing w:line="360" w:lineRule="auto"/>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360" w:lineRule="auto"/>
              <w:ind w:firstLine="200"/>
              <w:jc w:val="center"/>
              <w:rPr>
                <w:rFonts w:hAnsi="宋体"/>
                <w:sz w:val="24"/>
                <w:szCs w:val="24"/>
              </w:rPr>
            </w:pPr>
          </w:p>
        </w:tc>
        <w:tc>
          <w:tcPr>
            <w:tcW w:w="3402" w:type="dxa"/>
            <w:vAlign w:val="center"/>
          </w:tcPr>
          <w:p>
            <w:pPr>
              <w:pStyle w:val="319"/>
              <w:spacing w:line="360" w:lineRule="auto"/>
              <w:ind w:firstLine="200"/>
              <w:jc w:val="center"/>
              <w:rPr>
                <w:rFonts w:hAnsi="宋体"/>
                <w:sz w:val="24"/>
                <w:szCs w:val="24"/>
              </w:rPr>
            </w:pPr>
          </w:p>
        </w:tc>
        <w:tc>
          <w:tcPr>
            <w:tcW w:w="2552" w:type="dxa"/>
            <w:vAlign w:val="center"/>
          </w:tcPr>
          <w:p>
            <w:pPr>
              <w:pStyle w:val="319"/>
              <w:spacing w:line="360" w:lineRule="auto"/>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360" w:lineRule="auto"/>
              <w:ind w:firstLine="200"/>
              <w:jc w:val="center"/>
              <w:rPr>
                <w:rFonts w:hAnsi="宋体"/>
                <w:sz w:val="24"/>
                <w:szCs w:val="24"/>
              </w:rPr>
            </w:pPr>
            <w:r>
              <w:rPr>
                <w:rFonts w:hint="eastAsia" w:hAnsi="宋体"/>
                <w:sz w:val="24"/>
                <w:szCs w:val="24"/>
              </w:rPr>
              <w:t>总价</w:t>
            </w:r>
          </w:p>
        </w:tc>
        <w:tc>
          <w:tcPr>
            <w:tcW w:w="2552" w:type="dxa"/>
            <w:vAlign w:val="center"/>
          </w:tcPr>
          <w:p>
            <w:pPr>
              <w:pStyle w:val="319"/>
              <w:spacing w:line="360" w:lineRule="auto"/>
              <w:ind w:firstLine="200"/>
              <w:jc w:val="center"/>
              <w:rPr>
                <w:rFonts w:hAnsi="宋体"/>
                <w:sz w:val="24"/>
                <w:szCs w:val="24"/>
              </w:rPr>
            </w:pPr>
          </w:p>
        </w:tc>
      </w:tr>
    </w:tbl>
    <w:p>
      <w:pPr>
        <w:spacing w:line="360" w:lineRule="auto"/>
        <w:ind w:firstLine="480" w:firstLineChars="200"/>
        <w:rPr>
          <w:rFonts w:ascii="宋体" w:hAnsi="宋体"/>
          <w:sz w:val="24"/>
        </w:rPr>
      </w:pPr>
      <w:bookmarkStart w:id="448" w:name="_Toc30506"/>
      <w:bookmarkStart w:id="449" w:name="_Toc30158"/>
      <w:bookmarkStart w:id="450" w:name="_Toc3654"/>
      <w:bookmarkStart w:id="451" w:name="_Toc26916"/>
      <w:bookmarkStart w:id="452"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tabs>
          <w:tab w:val="left" w:pos="432"/>
        </w:tabs>
        <w:spacing w:line="360" w:lineRule="auto"/>
      </w:pPr>
      <w:r>
        <w:rPr>
          <w:rFonts w:hint="eastAsia" w:ascii="宋体" w:hAnsi="宋体"/>
          <w:sz w:val="24"/>
        </w:rPr>
        <w:t xml:space="preserve">    </w:t>
      </w:r>
      <w:r>
        <w:rPr>
          <w:rFonts w:hint="eastAsia" w:ascii="宋体" w:hAnsi="宋体" w:cs="宋体"/>
          <w:sz w:val="24"/>
        </w:rPr>
        <w:t>1.3.3其他计价方式：</w:t>
      </w:r>
      <w:r>
        <w:rPr>
          <w:rFonts w:hint="eastAsia" w:ascii="宋体" w:hAnsi="宋体" w:cs="宋体"/>
          <w:sz w:val="24"/>
          <w:u w:val="single"/>
        </w:rPr>
        <w:t xml:space="preserve">                   </w:t>
      </w:r>
      <w:r>
        <w:rPr>
          <w:rFonts w:hint="eastAsia" w:ascii="宋体" w:hAnsi="宋体" w:cs="宋体"/>
          <w:sz w:val="24"/>
        </w:rPr>
        <w:t>。</w:t>
      </w:r>
    </w:p>
    <w:bookmarkEnd w:id="448"/>
    <w:bookmarkEnd w:id="449"/>
    <w:bookmarkEnd w:id="450"/>
    <w:bookmarkEnd w:id="451"/>
    <w:bookmarkEnd w:id="452"/>
    <w:p>
      <w:pPr>
        <w:pStyle w:val="959"/>
        <w:spacing w:before="0" w:beforeAutospacing="0" w:after="0" w:afterAutospacing="0" w:line="360" w:lineRule="auto"/>
        <w:ind w:firstLine="480"/>
        <w:rPr>
          <w:b/>
        </w:rPr>
      </w:pPr>
      <w:bookmarkStart w:id="453" w:name="_Toc22618"/>
      <w:bookmarkStart w:id="454" w:name="_Toc1814"/>
      <w:bookmarkStart w:id="455" w:name="_Toc10340"/>
      <w:bookmarkStart w:id="456" w:name="_Toc11108"/>
      <w:bookmarkStart w:id="457" w:name="_Toc3625"/>
      <w:bookmarkStart w:id="458" w:name="_Toc8772"/>
      <w:bookmarkStart w:id="459" w:name="_Toc31421"/>
      <w:bookmarkStart w:id="460" w:name="_Toc4760"/>
      <w:r>
        <w:rPr>
          <w:rFonts w:hint="eastAsia"/>
          <w:b/>
        </w:rPr>
        <w:t>1.4履约保证金</w:t>
      </w:r>
    </w:p>
    <w:p>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360" w:lineRule="auto"/>
        <w:ind w:firstLine="480" w:firstLineChars="20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sz w:val="24"/>
          <w:lang w:eastAsia="zh-CN"/>
        </w:rPr>
        <w:t>。</w:t>
      </w:r>
    </w:p>
    <w:p>
      <w:pPr>
        <w:tabs>
          <w:tab w:val="left" w:pos="0"/>
          <w:tab w:val="left" w:pos="432"/>
        </w:tabs>
        <w:spacing w:line="360" w:lineRule="auto"/>
        <w:ind w:firstLine="480" w:firstLineChars="200"/>
      </w:pPr>
      <w:r>
        <w:rPr>
          <w:rFonts w:hint="eastAsia" w:ascii="宋体" w:hAnsi="宋体"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r>
        <w:rPr>
          <w:rFonts w:hint="eastAsia" w:ascii="宋体" w:hAnsi="宋体"/>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360" w:lineRule="auto"/>
        <w:ind w:firstLine="482" w:firstLineChars="200"/>
        <w:rPr>
          <w:rFonts w:ascii="宋体" w:hAnsi="宋体" w:cs="宋体"/>
          <w:b/>
          <w:sz w:val="24"/>
        </w:rPr>
      </w:pPr>
      <w:r>
        <w:rPr>
          <w:rFonts w:hint="eastAsia" w:ascii="宋体" w:hAnsi="宋体" w:cs="宋体"/>
          <w:b/>
          <w:sz w:val="24"/>
        </w:rPr>
        <w:t>1.5</w:t>
      </w:r>
      <w:bookmarkEnd w:id="453"/>
      <w:bookmarkEnd w:id="454"/>
      <w:bookmarkEnd w:id="455"/>
      <w:r>
        <w:rPr>
          <w:rFonts w:hint="eastAsia" w:ascii="宋体" w:hAnsi="宋体" w:cs="宋体"/>
          <w:b/>
          <w:sz w:val="24"/>
        </w:rPr>
        <w:t>预付款</w:t>
      </w:r>
    </w:p>
    <w:p>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sz w:val="24"/>
          <w:lang w:eastAsia="zh-CN"/>
        </w:rPr>
        <w:t>。</w:t>
      </w:r>
    </w:p>
    <w:p>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ascii="宋体" w:hAnsi="宋体"/>
          <w:sz w:val="24"/>
          <w:lang w:eastAsia="zh-CN"/>
        </w:rPr>
        <w:t>。</w:t>
      </w:r>
    </w:p>
    <w:p>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9"/>
        <w:spacing w:before="0" w:beforeAutospacing="0" w:after="0" w:afterAutospacing="0" w:line="360" w:lineRule="auto"/>
        <w:ind w:firstLine="480"/>
        <w:rPr>
          <w:b/>
          <w:bCs/>
        </w:rPr>
      </w:pPr>
      <w:r>
        <w:rPr>
          <w:rFonts w:hint="eastAsia"/>
          <w:b/>
          <w:bCs/>
        </w:rPr>
        <w:t>1.6资金支付</w:t>
      </w:r>
    </w:p>
    <w:p>
      <w:pPr>
        <w:pStyle w:val="959"/>
        <w:spacing w:before="0" w:beforeAutospacing="0" w:after="0" w:afterAutospacing="0" w:line="360" w:lineRule="auto"/>
        <w:ind w:firstLine="480"/>
      </w:pPr>
      <w:r>
        <w:rPr>
          <w:rFonts w:hint="eastAsia"/>
        </w:rPr>
        <w:t>1.6.1甲方应严格履行合同，及时组织验收，验收合格后及时将合同款支付完毕。</w:t>
      </w:r>
    </w:p>
    <w:p>
      <w:pPr>
        <w:spacing w:line="360" w:lineRule="auto"/>
        <w:ind w:firstLine="480" w:firstLineChars="20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56"/>
      <w:bookmarkEnd w:id="457"/>
      <w:bookmarkEnd w:id="458"/>
      <w:bookmarkEnd w:id="459"/>
      <w:bookmarkEnd w:id="460"/>
    </w:p>
    <w:p>
      <w:pPr>
        <w:spacing w:line="360" w:lineRule="auto"/>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lang w:eastAsia="zh-CN"/>
        </w:rPr>
        <w:t>。</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lang w:eastAsia="zh-CN"/>
        </w:rPr>
        <w:t>。</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360" w:lineRule="auto"/>
        <w:ind w:firstLine="480" w:firstLineChars="200"/>
        <w:rPr>
          <w:rFonts w:ascii="宋体" w:hAnsi="宋体"/>
          <w:bCs/>
          <w:sz w:val="24"/>
        </w:rPr>
      </w:pPr>
      <w:bookmarkStart w:id="461" w:name="_Toc8586"/>
      <w:bookmarkStart w:id="462" w:name="_Toc3079"/>
      <w:bookmarkStart w:id="463" w:name="_Toc5698"/>
      <w:bookmarkStart w:id="464" w:name="_Toc24662"/>
      <w:bookmarkStart w:id="465" w:name="_Toc2375"/>
      <w:r>
        <w:rPr>
          <w:rFonts w:hint="eastAsia" w:ascii="宋体" w:hAnsi="宋体"/>
          <w:bCs/>
          <w:sz w:val="24"/>
        </w:rPr>
        <w:t>1.7.4若服务</w:t>
      </w:r>
      <w:r>
        <w:rPr>
          <w:rFonts w:hint="eastAsia"/>
          <w:bCs/>
          <w:sz w:val="24"/>
        </w:rPr>
        <w:t>涉及货物的，则货物的：</w:t>
      </w:r>
    </w:p>
    <w:p>
      <w:pPr>
        <w:spacing w:line="360" w:lineRule="auto"/>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sz w:val="24"/>
          <w:lang w:eastAsia="zh-CN"/>
        </w:rPr>
        <w:t>。</w:t>
      </w:r>
    </w:p>
    <w:p>
      <w:pPr>
        <w:spacing w:line="360" w:lineRule="auto"/>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sz w:val="24"/>
          <w:lang w:eastAsia="zh-CN"/>
        </w:rPr>
        <w:t>。</w:t>
      </w:r>
    </w:p>
    <w:p>
      <w:pPr>
        <w:spacing w:line="360" w:lineRule="auto"/>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rPr>
          <w:rFonts w:ascii="宋体" w:hAnsi="宋体"/>
          <w:sz w:val="24"/>
          <w:u w:val="single"/>
        </w:rPr>
      </w:pPr>
      <w:r>
        <w:rPr>
          <w:rFonts w:ascii="宋体" w:hAnsi="宋体"/>
          <w:b/>
          <w:sz w:val="24"/>
        </w:rPr>
        <w:t>1.</w:t>
      </w:r>
      <w:r>
        <w:rPr>
          <w:rFonts w:hint="eastAsia" w:ascii="宋体" w:hAnsi="宋体"/>
          <w:b/>
          <w:sz w:val="24"/>
        </w:rPr>
        <w:t>8违约责任</w:t>
      </w:r>
      <w:bookmarkEnd w:id="461"/>
      <w:bookmarkEnd w:id="462"/>
      <w:bookmarkEnd w:id="463"/>
      <w:bookmarkEnd w:id="464"/>
      <w:bookmarkEnd w:id="465"/>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lang w:eastAsia="zh-CN"/>
        </w:rPr>
        <w:t>。</w:t>
      </w:r>
    </w:p>
    <w:p>
      <w:pPr>
        <w:tabs>
          <w:tab w:val="left" w:pos="432"/>
        </w:tabs>
        <w:spacing w:line="360" w:lineRule="auto"/>
        <w:ind w:firstLine="480" w:firstLineChars="200"/>
        <w:rPr>
          <w:rFonts w:ascii="宋体" w:hAnsi="宋体" w:cs="宋体"/>
          <w:sz w:val="24"/>
        </w:rPr>
      </w:pPr>
      <w:r>
        <w:rPr>
          <w:rFonts w:hint="eastAsia" w:ascii="宋体" w:hAnsi="宋体" w:cs="宋体"/>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0.05（可根据情况修改）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r>
        <w:rPr>
          <w:rFonts w:hint="eastAsia" w:ascii="宋体" w:hAnsi="宋体"/>
          <w:sz w:val="24"/>
          <w:lang w:eastAsia="zh-CN"/>
        </w:rPr>
        <w:t>。</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lang w:eastAsia="zh-CN"/>
        </w:rPr>
        <w:t>。</w:t>
      </w:r>
    </w:p>
    <w:p>
      <w:pPr>
        <w:spacing w:line="360" w:lineRule="auto"/>
        <w:ind w:firstLine="480" w:firstLineChars="200"/>
        <w:rPr>
          <w:rFonts w:ascii="宋体" w:hAnsi="宋体" w:cs="宋体"/>
          <w:sz w:val="24"/>
        </w:rPr>
      </w:pPr>
      <w:bookmarkStart w:id="466" w:name="_Toc30329"/>
      <w:bookmarkStart w:id="467" w:name="_Toc18683"/>
      <w:bookmarkStart w:id="468" w:name="_Toc26807"/>
      <w:bookmarkStart w:id="469" w:name="_Toc9497"/>
      <w:bookmarkStart w:id="470"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宋体" w:hAnsi="宋体"/>
          <w:sz w:val="24"/>
          <w:lang w:eastAsia="zh-CN"/>
        </w:rPr>
        <w:t>。</w:t>
      </w:r>
    </w:p>
    <w:p>
      <w:pPr>
        <w:spacing w:line="360" w:lineRule="auto"/>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r>
        <w:rPr>
          <w:rFonts w:hint="eastAsia" w:ascii="宋体" w:hAnsi="宋体"/>
          <w:sz w:val="24"/>
          <w:lang w:eastAsia="zh-CN"/>
        </w:rPr>
        <w:t>。</w:t>
      </w:r>
    </w:p>
    <w:p>
      <w:pPr>
        <w:spacing w:line="360" w:lineRule="auto"/>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66"/>
    <w:bookmarkEnd w:id="467"/>
    <w:bookmarkEnd w:id="468"/>
    <w:bookmarkEnd w:id="469"/>
    <w:bookmarkEnd w:id="470"/>
    <w:p>
      <w:pPr>
        <w:spacing w:line="360" w:lineRule="auto"/>
        <w:ind w:firstLine="482" w:firstLineChars="200"/>
        <w:rPr>
          <w:rFonts w:ascii="宋体" w:hAnsi="宋体" w:cs="宋体"/>
          <w:b/>
          <w:sz w:val="24"/>
        </w:rPr>
      </w:pPr>
      <w:bookmarkStart w:id="471" w:name="_Toc28375"/>
      <w:bookmarkStart w:id="472" w:name="_Toc15583"/>
      <w:bookmarkStart w:id="473" w:name="_Toc16021"/>
      <w:r>
        <w:rPr>
          <w:rFonts w:hint="eastAsia" w:ascii="宋体" w:hAnsi="宋体" w:cs="宋体"/>
          <w:b/>
          <w:sz w:val="24"/>
        </w:rPr>
        <w:t>1.9合同争议的解决</w:t>
      </w:r>
      <w:bookmarkEnd w:id="471"/>
      <w:bookmarkEnd w:id="472"/>
      <w:bookmarkEnd w:id="473"/>
    </w:p>
    <w:p>
      <w:pPr>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360" w:lineRule="auto"/>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r>
        <w:rPr>
          <w:rFonts w:hint="eastAsia" w:ascii="宋体" w:hAnsi="宋体"/>
          <w:sz w:val="24"/>
          <w:lang w:eastAsia="zh-CN"/>
        </w:rPr>
        <w:t>。</w:t>
      </w:r>
    </w:p>
    <w:p>
      <w:pPr>
        <w:spacing w:line="360" w:lineRule="auto"/>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360" w:lineRule="auto"/>
        <w:ind w:firstLine="482" w:firstLineChars="200"/>
        <w:rPr>
          <w:rFonts w:ascii="宋体" w:hAnsi="宋体" w:cs="宋体"/>
          <w:b/>
          <w:sz w:val="24"/>
        </w:rPr>
      </w:pPr>
      <w:bookmarkStart w:id="474" w:name="_Toc7245"/>
      <w:bookmarkStart w:id="475" w:name="_Toc15322"/>
      <w:bookmarkStart w:id="476" w:name="_Toc11173"/>
      <w:r>
        <w:rPr>
          <w:rFonts w:hint="eastAsia" w:ascii="宋体" w:hAnsi="宋体" w:cs="宋体"/>
          <w:b/>
          <w:sz w:val="24"/>
        </w:rPr>
        <w:t>2.0 合同生效</w:t>
      </w:r>
      <w:bookmarkEnd w:id="474"/>
      <w:bookmarkEnd w:id="475"/>
      <w:bookmarkEnd w:id="476"/>
    </w:p>
    <w:p>
      <w:pPr>
        <w:spacing w:line="360" w:lineRule="auto"/>
        <w:ind w:firstLine="480" w:firstLineChars="200"/>
        <w:rPr>
          <w:rFonts w:hint="eastAsia" w:ascii="宋体" w:hAnsi="宋体" w:cs="宋体"/>
          <w:sz w:val="24"/>
        </w:rPr>
      </w:pPr>
      <w:r>
        <w:rPr>
          <w:rFonts w:hint="eastAsia" w:ascii="宋体" w:hAnsi="宋体" w:cs="宋体"/>
          <w:sz w:val="24"/>
        </w:rPr>
        <w:t>本合同自双方当事人签字盖章时生效。</w:t>
      </w:r>
    </w:p>
    <w:p>
      <w:pPr>
        <w:pStyle w:val="3"/>
        <w:ind w:left="434" w:leftChars="202" w:hanging="10" w:hangingChars="4"/>
        <w:rPr>
          <w:rFonts w:hint="eastAsia" w:eastAsia="仿宋_GB2312"/>
          <w:lang w:eastAsia="zh-CN"/>
        </w:rPr>
      </w:pPr>
      <w:r>
        <w:rPr>
          <w:rFonts w:hint="eastAsia" w:ascii="宋体" w:hAnsi="宋体" w:cs="宋体"/>
          <w:sz w:val="24"/>
          <w:lang w:eastAsia="zh-CN"/>
        </w:rPr>
        <w:t>（</w:t>
      </w:r>
      <w:r>
        <w:rPr>
          <w:rFonts w:hint="eastAsia" w:ascii="宋体" w:hAnsi="宋体" w:cs="宋体"/>
          <w:sz w:val="24"/>
          <w:lang w:val="en-US" w:eastAsia="zh-CN"/>
        </w:rPr>
        <w:t>下接签署页</w:t>
      </w:r>
      <w:r>
        <w:rPr>
          <w:rFonts w:hint="eastAsia" w:ascii="宋体" w:hAnsi="宋体" w:cs="宋体"/>
          <w:sz w:val="24"/>
          <w:lang w:eastAsia="zh-CN"/>
        </w:rPr>
        <w:t>）</w:t>
      </w:r>
    </w:p>
    <w:p>
      <w:pPr>
        <w:autoSpaceDE w:val="0"/>
        <w:autoSpaceDN w:val="0"/>
        <w:spacing w:line="560" w:lineRule="exact"/>
        <w:rPr>
          <w:rFonts w:ascii="宋体" w:hAnsi="宋体"/>
          <w:sz w:val="24"/>
          <w:lang w:val="zh-CN"/>
        </w:rPr>
      </w:pPr>
    </w:p>
    <w:p>
      <w:pPr>
        <w:pStyle w:val="3"/>
        <w:rPr>
          <w:rFonts w:ascii="宋体" w:hAnsi="宋体"/>
          <w:sz w:val="24"/>
          <w:lang w:val="zh-CN"/>
        </w:rPr>
      </w:pPr>
    </w:p>
    <w:p>
      <w:pPr>
        <w:rPr>
          <w:rFonts w:ascii="宋体" w:hAnsi="宋体"/>
          <w:sz w:val="24"/>
          <w:lang w:val="zh-CN"/>
        </w:rPr>
      </w:pPr>
    </w:p>
    <w:p>
      <w:pPr>
        <w:pStyle w:val="3"/>
        <w:rPr>
          <w:rFonts w:ascii="宋体" w:hAnsi="宋体"/>
          <w:sz w:val="24"/>
          <w:lang w:val="zh-CN"/>
        </w:rPr>
      </w:pPr>
    </w:p>
    <w:p>
      <w:pPr>
        <w:rPr>
          <w:rFonts w:ascii="宋体" w:hAnsi="宋体"/>
          <w:sz w:val="24"/>
          <w:lang w:val="zh-CN"/>
        </w:rPr>
      </w:pPr>
    </w:p>
    <w:p>
      <w:pPr>
        <w:pStyle w:val="3"/>
        <w:rPr>
          <w:rFonts w:ascii="宋体" w:hAnsi="宋体"/>
          <w:sz w:val="24"/>
          <w:lang w:val="zh-CN"/>
        </w:rPr>
      </w:pPr>
    </w:p>
    <w:p>
      <w:pPr>
        <w:rPr>
          <w:rFonts w:ascii="宋体" w:hAnsi="宋体"/>
          <w:sz w:val="24"/>
          <w:lang w:val="zh-CN"/>
        </w:rPr>
      </w:pPr>
    </w:p>
    <w:p>
      <w:pPr>
        <w:pStyle w:val="3"/>
        <w:rPr>
          <w:rFonts w:ascii="宋体" w:hAnsi="宋体"/>
          <w:sz w:val="24"/>
          <w:lang w:val="zh-CN"/>
        </w:rPr>
      </w:pPr>
    </w:p>
    <w:p>
      <w:pPr>
        <w:rPr>
          <w:rFonts w:ascii="宋体" w:hAnsi="宋体"/>
          <w:sz w:val="24"/>
          <w:lang w:val="zh-CN"/>
        </w:rPr>
      </w:pPr>
    </w:p>
    <w:p>
      <w:pPr>
        <w:rPr>
          <w:lang w:val="zh-CN"/>
        </w:rPr>
      </w:pPr>
    </w:p>
    <w:p>
      <w:pPr>
        <w:pStyle w:val="3"/>
        <w:rPr>
          <w:lang w:val="zh-CN"/>
        </w:rPr>
      </w:pPr>
    </w:p>
    <w:p>
      <w:pPr>
        <w:rPr>
          <w:rFonts w:ascii="宋体" w:hAnsi="宋体"/>
          <w:sz w:val="24"/>
          <w:lang w:val="zh-CN"/>
        </w:rPr>
      </w:pPr>
    </w:p>
    <w:p>
      <w:pPr>
        <w:pStyle w:val="3"/>
        <w:rPr>
          <w:rFonts w:hint="default" w:eastAsia="仿宋_GB2312"/>
          <w:lang w:val="en-US" w:eastAsia="zh-CN"/>
        </w:rPr>
      </w:pPr>
      <w:r>
        <w:rPr>
          <w:rFonts w:hint="eastAsia" w:ascii="宋体" w:hAnsi="宋体"/>
          <w:sz w:val="24"/>
          <w:lang w:val="en-US" w:eastAsia="zh-CN"/>
        </w:rPr>
        <w:t xml:space="preserve">    （本页为签署页）</w:t>
      </w: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w:t>
      </w:r>
      <w:r>
        <w:rPr>
          <w:rFonts w:hint="eastAsia" w:ascii="宋体" w:hAnsi="宋体"/>
          <w:sz w:val="24"/>
          <w:lang w:val="zh-CN"/>
        </w:rPr>
        <w:t>：</w:t>
      </w:r>
      <w:r>
        <w:rPr>
          <w:rFonts w:ascii="宋体" w:hAnsi="宋体"/>
          <w:sz w:val="24"/>
          <w:lang w:val="zh-CN"/>
        </w:rPr>
        <w:t xml:space="preserve">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w:t>
      </w:r>
      <w:r>
        <w:rPr>
          <w:rFonts w:hint="eastAsia" w:ascii="宋体" w:hAnsi="宋体"/>
          <w:sz w:val="24"/>
          <w:lang w:val="zh-CN"/>
        </w:rPr>
        <w:t>：</w:t>
      </w:r>
      <w:r>
        <w:rPr>
          <w:rFonts w:ascii="宋体" w:hAnsi="宋体"/>
          <w:sz w:val="24"/>
          <w:lang w:val="zh-CN"/>
        </w:rPr>
        <w:t xml:space="preserve">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701"/>
        <w:spacing w:line="560" w:lineRule="exact"/>
        <w:ind w:left="0" w:leftChars="0" w:firstLine="0" w:firstLineChars="0"/>
        <w:jc w:val="center"/>
        <w:outlineLvl w:val="1"/>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360" w:lineRule="auto"/>
        <w:ind w:firstLine="482" w:firstLineChars="200"/>
        <w:rPr>
          <w:rFonts w:ascii="宋体" w:hAnsi="宋体"/>
          <w:b/>
          <w:sz w:val="24"/>
        </w:rPr>
      </w:pPr>
      <w:bookmarkStart w:id="477" w:name="_Toc14021"/>
      <w:bookmarkStart w:id="478" w:name="_Toc31297"/>
      <w:bookmarkStart w:id="479" w:name="_Toc25079"/>
      <w:bookmarkStart w:id="480" w:name="_Toc19680"/>
      <w:bookmarkStart w:id="481" w:name="_Toc5228"/>
      <w:r>
        <w:rPr>
          <w:rFonts w:ascii="宋体" w:hAnsi="宋体"/>
          <w:b/>
          <w:sz w:val="24"/>
        </w:rPr>
        <w:t>2.1 定义</w:t>
      </w:r>
      <w:bookmarkEnd w:id="477"/>
      <w:bookmarkEnd w:id="478"/>
      <w:bookmarkEnd w:id="479"/>
      <w:bookmarkEnd w:id="480"/>
      <w:bookmarkEnd w:id="481"/>
    </w:p>
    <w:p>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360" w:lineRule="auto"/>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360" w:lineRule="auto"/>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360" w:lineRule="auto"/>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360" w:lineRule="auto"/>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360" w:lineRule="auto"/>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sz w:val="24"/>
        </w:rPr>
      </w:pPr>
      <w:r>
        <w:rPr>
          <w:rFonts w:ascii="宋体" w:hAnsi="宋体"/>
          <w:sz w:val="24"/>
        </w:rPr>
        <w:t>2.1.6 “现场”系指合同约定提供服务的地点。</w:t>
      </w:r>
    </w:p>
    <w:p>
      <w:pPr>
        <w:spacing w:line="360" w:lineRule="auto"/>
        <w:ind w:firstLine="482" w:firstLineChars="200"/>
        <w:rPr>
          <w:rFonts w:ascii="宋体" w:hAnsi="宋体"/>
          <w:b/>
          <w:sz w:val="24"/>
        </w:rPr>
      </w:pPr>
      <w:bookmarkStart w:id="482" w:name="_Toc16752"/>
      <w:bookmarkStart w:id="483" w:name="_Toc19539"/>
      <w:bookmarkStart w:id="484" w:name="_Toc23289"/>
      <w:bookmarkStart w:id="485" w:name="_Toc3769"/>
      <w:bookmarkStart w:id="486" w:name="_Toc31402"/>
      <w:r>
        <w:rPr>
          <w:rFonts w:ascii="宋体" w:hAnsi="宋体"/>
          <w:b/>
          <w:sz w:val="24"/>
        </w:rPr>
        <w:t>2.2 技术规范</w:t>
      </w:r>
      <w:bookmarkEnd w:id="482"/>
      <w:bookmarkEnd w:id="483"/>
      <w:bookmarkEnd w:id="484"/>
      <w:bookmarkEnd w:id="485"/>
      <w:bookmarkEnd w:id="486"/>
    </w:p>
    <w:p>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hint="eastAsia" w:ascii="宋体" w:hAnsi="宋体"/>
          <w:sz w:val="24"/>
        </w:rPr>
        <w:t>（</w:t>
      </w:r>
      <w:r>
        <w:rPr>
          <w:rFonts w:ascii="宋体" w:hAnsi="宋体"/>
          <w:sz w:val="24"/>
        </w:rPr>
        <w:t>如果有的话</w:t>
      </w:r>
      <w:r>
        <w:rPr>
          <w:rFonts w:hint="eastAsia" w:ascii="宋体" w:hAnsi="宋体"/>
          <w:sz w:val="24"/>
        </w:rPr>
        <w:t>）</w:t>
      </w:r>
      <w:r>
        <w:rPr>
          <w:rFonts w:ascii="宋体" w:hAnsi="宋体"/>
          <w:sz w:val="24"/>
        </w:rPr>
        <w:t>及其技术规范偏差表</w:t>
      </w:r>
      <w:r>
        <w:rPr>
          <w:rFonts w:hint="eastAsia" w:ascii="宋体" w:hAnsi="宋体"/>
          <w:sz w:val="24"/>
        </w:rPr>
        <w:t>（</w:t>
      </w:r>
      <w:r>
        <w:rPr>
          <w:rFonts w:ascii="宋体" w:hAnsi="宋体"/>
          <w:sz w:val="24"/>
        </w:rPr>
        <w:t>如果被甲方接受的话</w:t>
      </w:r>
      <w:r>
        <w:rPr>
          <w:rFonts w:hint="eastAsia" w:ascii="宋体" w:hAnsi="宋体"/>
          <w:sz w:val="24"/>
        </w:rPr>
        <w:t>）</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360" w:lineRule="auto"/>
        <w:ind w:firstLine="482" w:firstLineChars="200"/>
        <w:rPr>
          <w:rFonts w:ascii="宋体" w:hAnsi="宋体"/>
          <w:b/>
          <w:sz w:val="24"/>
        </w:rPr>
      </w:pPr>
      <w:bookmarkStart w:id="487" w:name="_Toc12412"/>
      <w:bookmarkStart w:id="488" w:name="_Toc13673"/>
      <w:bookmarkStart w:id="489" w:name="_Toc27945"/>
      <w:bookmarkStart w:id="490" w:name="_Toc9161"/>
      <w:bookmarkStart w:id="491" w:name="_Toc4133"/>
      <w:r>
        <w:rPr>
          <w:rFonts w:ascii="宋体" w:hAnsi="宋体"/>
          <w:b/>
          <w:sz w:val="24"/>
        </w:rPr>
        <w:t>2.3 知识产权</w:t>
      </w:r>
      <w:bookmarkEnd w:id="487"/>
      <w:bookmarkEnd w:id="488"/>
      <w:bookmarkEnd w:id="489"/>
      <w:bookmarkEnd w:id="490"/>
      <w:bookmarkEnd w:id="491"/>
    </w:p>
    <w:p>
      <w:pPr>
        <w:spacing w:line="360" w:lineRule="auto"/>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360" w:lineRule="auto"/>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360" w:lineRule="auto"/>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360" w:lineRule="auto"/>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r>
        <w:rPr>
          <w:rFonts w:hint="eastAsia" w:ascii="宋体" w:hAnsi="宋体"/>
          <w:sz w:val="24"/>
          <w:lang w:eastAsia="zh-CN"/>
        </w:rPr>
        <w:t>。</w:t>
      </w:r>
    </w:p>
    <w:p>
      <w:pPr>
        <w:spacing w:line="360" w:lineRule="auto"/>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360" w:lineRule="auto"/>
        <w:ind w:firstLine="482" w:firstLineChars="200"/>
        <w:rPr>
          <w:rFonts w:ascii="宋体" w:hAnsi="宋体"/>
          <w:b/>
          <w:sz w:val="24"/>
        </w:rPr>
      </w:pPr>
      <w:bookmarkStart w:id="492" w:name="_Toc32670"/>
      <w:bookmarkStart w:id="493" w:name="_Toc15447"/>
      <w:bookmarkStart w:id="494" w:name="_Toc26555"/>
      <w:bookmarkStart w:id="495" w:name="_Toc31233"/>
      <w:bookmarkStart w:id="496" w:name="_Toc22011"/>
      <w:r>
        <w:rPr>
          <w:rFonts w:ascii="宋体" w:hAnsi="宋体"/>
          <w:b/>
          <w:sz w:val="24"/>
        </w:rPr>
        <w:t>2.5 结算方式和付款条件</w:t>
      </w:r>
      <w:bookmarkEnd w:id="492"/>
      <w:bookmarkEnd w:id="493"/>
      <w:bookmarkEnd w:id="494"/>
      <w:bookmarkEnd w:id="495"/>
      <w:bookmarkEnd w:id="496"/>
    </w:p>
    <w:p>
      <w:pPr>
        <w:spacing w:line="360" w:lineRule="auto"/>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360" w:lineRule="auto"/>
        <w:ind w:firstLine="482" w:firstLineChars="200"/>
        <w:rPr>
          <w:rFonts w:ascii="宋体" w:hAnsi="宋体"/>
          <w:b/>
          <w:sz w:val="24"/>
        </w:rPr>
      </w:pPr>
      <w:bookmarkStart w:id="497" w:name="_Toc13154"/>
      <w:bookmarkStart w:id="498" w:name="_Toc13467"/>
      <w:bookmarkStart w:id="499" w:name="_Toc16163"/>
      <w:bookmarkStart w:id="500" w:name="_Toc30507"/>
      <w:bookmarkStart w:id="501" w:name="_Toc18990"/>
      <w:r>
        <w:rPr>
          <w:rFonts w:ascii="宋体" w:hAnsi="宋体"/>
          <w:b/>
          <w:sz w:val="24"/>
        </w:rPr>
        <w:t>2.6 技术资料和保密义务</w:t>
      </w:r>
      <w:bookmarkEnd w:id="497"/>
      <w:bookmarkEnd w:id="498"/>
      <w:bookmarkEnd w:id="499"/>
      <w:bookmarkEnd w:id="500"/>
      <w:bookmarkEnd w:id="501"/>
    </w:p>
    <w:p>
      <w:pPr>
        <w:spacing w:line="360" w:lineRule="auto"/>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r>
        <w:rPr>
          <w:rFonts w:hint="eastAsia" w:ascii="宋体" w:hAnsi="宋体"/>
          <w:sz w:val="24"/>
          <w:lang w:eastAsia="zh-CN"/>
        </w:rPr>
        <w:t>。</w:t>
      </w:r>
    </w:p>
    <w:p>
      <w:pPr>
        <w:spacing w:line="360" w:lineRule="auto"/>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r>
        <w:rPr>
          <w:rFonts w:hint="eastAsia" w:ascii="宋体" w:hAnsi="宋体"/>
          <w:sz w:val="24"/>
          <w:lang w:eastAsia="zh-CN"/>
        </w:rPr>
        <w:t>。</w:t>
      </w:r>
    </w:p>
    <w:p>
      <w:pPr>
        <w:spacing w:line="360" w:lineRule="auto"/>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360" w:lineRule="auto"/>
        <w:ind w:firstLine="482" w:firstLineChars="200"/>
        <w:rPr>
          <w:rFonts w:ascii="宋体" w:hAnsi="宋体"/>
          <w:b/>
          <w:sz w:val="24"/>
        </w:rPr>
      </w:pPr>
      <w:bookmarkStart w:id="502" w:name="_Toc19069"/>
      <w:r>
        <w:rPr>
          <w:rFonts w:ascii="宋体" w:hAnsi="宋体"/>
          <w:b/>
          <w:sz w:val="24"/>
        </w:rPr>
        <w:t xml:space="preserve">2.7 </w:t>
      </w:r>
      <w:r>
        <w:rPr>
          <w:rFonts w:hint="eastAsia" w:ascii="宋体" w:hAnsi="宋体"/>
          <w:b/>
          <w:sz w:val="24"/>
        </w:rPr>
        <w:t>质量保证</w:t>
      </w:r>
      <w:bookmarkEnd w:id="502"/>
    </w:p>
    <w:p>
      <w:pPr>
        <w:spacing w:line="360" w:lineRule="auto"/>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r>
        <w:rPr>
          <w:rFonts w:hint="eastAsia" w:ascii="宋体" w:hAnsi="宋体"/>
          <w:sz w:val="24"/>
          <w:lang w:eastAsia="zh-CN"/>
        </w:rPr>
        <w:t>。</w:t>
      </w:r>
    </w:p>
    <w:p>
      <w:pPr>
        <w:spacing w:line="360" w:lineRule="auto"/>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360" w:lineRule="auto"/>
        <w:ind w:firstLine="482" w:firstLineChars="200"/>
        <w:rPr>
          <w:rFonts w:ascii="宋体" w:hAnsi="宋体"/>
          <w:b/>
          <w:sz w:val="24"/>
        </w:rPr>
      </w:pPr>
      <w:bookmarkStart w:id="503" w:name="_Toc22267"/>
      <w:r>
        <w:rPr>
          <w:rFonts w:ascii="宋体" w:hAnsi="宋体"/>
          <w:b/>
          <w:sz w:val="24"/>
        </w:rPr>
        <w:t xml:space="preserve">2.8 </w:t>
      </w:r>
      <w:r>
        <w:rPr>
          <w:rFonts w:hint="eastAsia" w:ascii="宋体" w:hAnsi="宋体"/>
          <w:b/>
          <w:sz w:val="24"/>
        </w:rPr>
        <w:t>延迟履行</w:t>
      </w:r>
      <w:bookmarkEnd w:id="503"/>
    </w:p>
    <w:p>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360" w:lineRule="auto"/>
        <w:ind w:firstLine="482" w:firstLineChars="200"/>
        <w:rPr>
          <w:rFonts w:ascii="宋体" w:hAnsi="宋体"/>
          <w:b/>
          <w:sz w:val="24"/>
        </w:rPr>
      </w:pPr>
      <w:bookmarkStart w:id="504" w:name="_Toc10611"/>
      <w:r>
        <w:rPr>
          <w:rFonts w:ascii="宋体" w:hAnsi="宋体"/>
          <w:b/>
          <w:sz w:val="24"/>
        </w:rPr>
        <w:t xml:space="preserve">2.9 </w:t>
      </w:r>
      <w:r>
        <w:rPr>
          <w:rFonts w:hint="eastAsia" w:ascii="宋体" w:hAnsi="宋体"/>
          <w:b/>
          <w:sz w:val="24"/>
        </w:rPr>
        <w:t>合同变更</w:t>
      </w:r>
      <w:bookmarkEnd w:id="504"/>
    </w:p>
    <w:p>
      <w:pPr>
        <w:spacing w:line="360" w:lineRule="auto"/>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ascii="宋体" w:hAnsi="宋体"/>
          <w:b/>
          <w:sz w:val="24"/>
        </w:rPr>
      </w:pPr>
      <w:bookmarkStart w:id="505" w:name="_Toc10663"/>
      <w:bookmarkStart w:id="506" w:name="_Toc42"/>
      <w:bookmarkStart w:id="507" w:name="_Toc21830"/>
      <w:bookmarkStart w:id="508" w:name="_Toc26689"/>
      <w:bookmarkStart w:id="509" w:name="_Toc23368"/>
      <w:r>
        <w:rPr>
          <w:rFonts w:ascii="宋体" w:hAnsi="宋体"/>
          <w:b/>
          <w:sz w:val="24"/>
        </w:rPr>
        <w:t>2.10 合同转让和分包</w:t>
      </w:r>
      <w:bookmarkEnd w:id="505"/>
      <w:bookmarkEnd w:id="506"/>
      <w:bookmarkEnd w:id="507"/>
      <w:bookmarkEnd w:id="508"/>
      <w:bookmarkEnd w:id="509"/>
    </w:p>
    <w:p>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360" w:lineRule="auto"/>
        <w:ind w:firstLine="482" w:firstLineChars="200"/>
        <w:rPr>
          <w:rFonts w:ascii="宋体" w:hAnsi="宋体"/>
          <w:b/>
          <w:sz w:val="24"/>
        </w:rPr>
      </w:pPr>
      <w:bookmarkStart w:id="510" w:name="_Toc25571"/>
      <w:bookmarkStart w:id="511" w:name="_Toc14371"/>
      <w:bookmarkStart w:id="512" w:name="_Toc32494"/>
      <w:bookmarkStart w:id="513" w:name="_Toc26633"/>
      <w:bookmarkStart w:id="514" w:name="_Toc4720"/>
      <w:r>
        <w:rPr>
          <w:rFonts w:ascii="宋体" w:hAnsi="宋体"/>
          <w:b/>
          <w:sz w:val="24"/>
        </w:rPr>
        <w:t>2.11 不可抗力</w:t>
      </w:r>
      <w:bookmarkEnd w:id="510"/>
      <w:bookmarkEnd w:id="511"/>
      <w:bookmarkEnd w:id="512"/>
      <w:bookmarkEnd w:id="513"/>
      <w:bookmarkEnd w:id="514"/>
    </w:p>
    <w:p>
      <w:pPr>
        <w:spacing w:line="360" w:lineRule="auto"/>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lang w:eastAsia="zh-CN"/>
        </w:rPr>
        <w:t>。</w:t>
      </w:r>
    </w:p>
    <w:p>
      <w:pPr>
        <w:spacing w:line="360" w:lineRule="auto"/>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r>
        <w:rPr>
          <w:rFonts w:hint="eastAsia" w:ascii="宋体" w:hAnsi="宋体"/>
          <w:sz w:val="24"/>
          <w:lang w:eastAsia="zh-CN"/>
        </w:rPr>
        <w:t>。</w:t>
      </w:r>
    </w:p>
    <w:p>
      <w:pPr>
        <w:spacing w:line="360" w:lineRule="auto"/>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lang w:eastAsia="zh-CN"/>
        </w:rPr>
        <w:t>。</w:t>
      </w:r>
    </w:p>
    <w:p>
      <w:pPr>
        <w:spacing w:line="360" w:lineRule="auto"/>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rPr>
          <w:rFonts w:ascii="宋体" w:hAnsi="宋体"/>
          <w:b/>
          <w:sz w:val="24"/>
        </w:rPr>
      </w:pPr>
      <w:bookmarkStart w:id="515" w:name="_Toc14115"/>
      <w:bookmarkStart w:id="516" w:name="_Toc24465"/>
      <w:bookmarkStart w:id="517" w:name="_Toc3638"/>
      <w:bookmarkStart w:id="518" w:name="_Toc23854"/>
      <w:bookmarkStart w:id="519" w:name="_Toc25783"/>
      <w:r>
        <w:rPr>
          <w:rFonts w:ascii="宋体" w:hAnsi="宋体"/>
          <w:b/>
          <w:sz w:val="24"/>
        </w:rPr>
        <w:t>2.12 税费</w:t>
      </w:r>
      <w:bookmarkEnd w:id="515"/>
      <w:bookmarkEnd w:id="516"/>
      <w:bookmarkEnd w:id="517"/>
      <w:bookmarkEnd w:id="518"/>
      <w:bookmarkEnd w:id="519"/>
    </w:p>
    <w:p>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360" w:lineRule="auto"/>
        <w:ind w:firstLine="482" w:firstLineChars="200"/>
        <w:rPr>
          <w:rFonts w:ascii="宋体" w:hAnsi="宋体"/>
          <w:b/>
          <w:sz w:val="24"/>
        </w:rPr>
      </w:pPr>
      <w:bookmarkStart w:id="520" w:name="_Toc7315"/>
      <w:bookmarkStart w:id="521" w:name="_Toc25525"/>
      <w:bookmarkStart w:id="522" w:name="_Toc26883"/>
      <w:bookmarkStart w:id="523" w:name="_Toc14814"/>
      <w:bookmarkStart w:id="524" w:name="_Toc30105"/>
      <w:r>
        <w:rPr>
          <w:rFonts w:ascii="宋体" w:hAnsi="宋体"/>
          <w:b/>
          <w:sz w:val="24"/>
        </w:rPr>
        <w:t>2.13 乙方破产</w:t>
      </w:r>
      <w:bookmarkEnd w:id="520"/>
      <w:bookmarkEnd w:id="521"/>
      <w:bookmarkEnd w:id="522"/>
      <w:bookmarkEnd w:id="523"/>
      <w:bookmarkEnd w:id="524"/>
    </w:p>
    <w:p>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360" w:lineRule="auto"/>
        <w:ind w:firstLine="482" w:firstLineChars="200"/>
        <w:rPr>
          <w:rFonts w:ascii="宋体" w:hAnsi="宋体"/>
          <w:b/>
          <w:sz w:val="24"/>
        </w:rPr>
      </w:pPr>
      <w:bookmarkStart w:id="525" w:name="_Toc1123"/>
      <w:bookmarkStart w:id="526" w:name="_Toc23323"/>
      <w:bookmarkStart w:id="527" w:name="_Toc2016"/>
      <w:r>
        <w:rPr>
          <w:rFonts w:ascii="宋体" w:hAnsi="宋体"/>
          <w:b/>
          <w:sz w:val="24"/>
        </w:rPr>
        <w:t>2.14 合同中止、终止</w:t>
      </w:r>
      <w:bookmarkEnd w:id="525"/>
      <w:bookmarkEnd w:id="526"/>
      <w:bookmarkEnd w:id="527"/>
    </w:p>
    <w:p>
      <w:pPr>
        <w:spacing w:line="360" w:lineRule="auto"/>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r>
        <w:rPr>
          <w:rFonts w:hint="eastAsia" w:ascii="宋体" w:hAnsi="宋体"/>
          <w:sz w:val="24"/>
          <w:lang w:eastAsia="zh-CN"/>
        </w:rPr>
        <w:t>。</w:t>
      </w:r>
    </w:p>
    <w:p>
      <w:pPr>
        <w:spacing w:line="360" w:lineRule="auto"/>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宋体" w:hAnsi="宋体"/>
          <w:b/>
          <w:sz w:val="24"/>
        </w:rPr>
      </w:pPr>
      <w:bookmarkStart w:id="528" w:name="_Toc1969"/>
      <w:bookmarkStart w:id="529" w:name="_Toc17363"/>
      <w:bookmarkStart w:id="530" w:name="_Toc14525"/>
      <w:r>
        <w:rPr>
          <w:rFonts w:ascii="宋体" w:hAnsi="宋体"/>
          <w:b/>
          <w:sz w:val="24"/>
        </w:rPr>
        <w:t>2.15 检验和验收</w:t>
      </w:r>
      <w:bookmarkEnd w:id="528"/>
      <w:bookmarkEnd w:id="529"/>
      <w:bookmarkEnd w:id="530"/>
    </w:p>
    <w:p>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lang w:eastAsia="zh-CN"/>
        </w:rPr>
        <w:t>。</w:t>
      </w:r>
    </w:p>
    <w:p>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r>
        <w:rPr>
          <w:rFonts w:hint="eastAsia" w:ascii="宋体" w:hAnsi="宋体"/>
          <w:sz w:val="24"/>
          <w:lang w:eastAsia="zh-CN"/>
        </w:rPr>
        <w:t>。</w:t>
      </w:r>
    </w:p>
    <w:p>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360" w:lineRule="auto"/>
        <w:ind w:firstLine="482" w:firstLineChars="200"/>
        <w:rPr>
          <w:rFonts w:ascii="宋体" w:hAnsi="宋体"/>
          <w:b/>
          <w:sz w:val="24"/>
        </w:rPr>
      </w:pPr>
      <w:bookmarkStart w:id="531" w:name="_Toc25198"/>
      <w:bookmarkStart w:id="532" w:name="_Toc9808"/>
      <w:bookmarkStart w:id="533" w:name="_Toc31892"/>
      <w:bookmarkStart w:id="534" w:name="_Toc12666"/>
      <w:bookmarkStart w:id="535" w:name="_Toc2308"/>
      <w:r>
        <w:rPr>
          <w:rFonts w:ascii="宋体" w:hAnsi="宋体"/>
          <w:b/>
          <w:sz w:val="24"/>
        </w:rPr>
        <w:t>2.16 通知和送达</w:t>
      </w:r>
      <w:bookmarkEnd w:id="531"/>
      <w:bookmarkEnd w:id="532"/>
      <w:bookmarkEnd w:id="533"/>
      <w:bookmarkEnd w:id="534"/>
      <w:bookmarkEnd w:id="535"/>
    </w:p>
    <w:p>
      <w:pPr>
        <w:spacing w:line="360" w:lineRule="auto"/>
        <w:ind w:firstLine="480" w:firstLineChars="200"/>
        <w:rPr>
          <w:rFonts w:ascii="宋体" w:hAnsi="宋体"/>
          <w:sz w:val="24"/>
        </w:rPr>
      </w:pPr>
      <w:bookmarkStart w:id="536" w:name="_Toc27674"/>
      <w:bookmarkStart w:id="537"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36"/>
      <w:bookmarkEnd w:id="537"/>
    </w:p>
    <w:p>
      <w:pPr>
        <w:spacing w:line="360" w:lineRule="auto"/>
        <w:ind w:firstLine="482" w:firstLineChars="200"/>
        <w:rPr>
          <w:rFonts w:ascii="宋体" w:hAnsi="宋体"/>
          <w:b/>
          <w:sz w:val="24"/>
        </w:rPr>
      </w:pPr>
      <w:bookmarkStart w:id="538" w:name="_Toc27644"/>
      <w:bookmarkStart w:id="539" w:name="_Toc20808"/>
      <w:bookmarkStart w:id="540" w:name="_Toc5063"/>
      <w:bookmarkStart w:id="541" w:name="_Toc28906"/>
      <w:bookmarkStart w:id="542"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38"/>
      <w:bookmarkEnd w:id="539"/>
      <w:bookmarkEnd w:id="540"/>
      <w:bookmarkEnd w:id="541"/>
      <w:bookmarkEnd w:id="542"/>
    </w:p>
    <w:p>
      <w:pPr>
        <w:spacing w:line="360" w:lineRule="auto"/>
        <w:ind w:firstLine="480" w:firstLineChars="200"/>
        <w:rPr>
          <w:rFonts w:ascii="宋体" w:hAnsi="宋体"/>
          <w:sz w:val="24"/>
        </w:rPr>
      </w:pPr>
      <w:r>
        <w:rPr>
          <w:rFonts w:ascii="宋体" w:hAnsi="宋体"/>
          <w:sz w:val="24"/>
        </w:rPr>
        <w:t>2.17.1 合同使用汉语</w:t>
      </w:r>
      <w:r>
        <w:rPr>
          <w:rFonts w:hint="eastAsia" w:ascii="宋体" w:hAnsi="宋体"/>
          <w:sz w:val="24"/>
        </w:rPr>
        <w:t>书写、</w:t>
      </w:r>
      <w:r>
        <w:rPr>
          <w:rFonts w:ascii="宋体" w:hAnsi="宋体"/>
          <w:sz w:val="24"/>
        </w:rPr>
        <w:t>变更和解释</w:t>
      </w:r>
      <w:r>
        <w:rPr>
          <w:rFonts w:hint="eastAsia" w:ascii="宋体" w:hAnsi="宋体"/>
          <w:sz w:val="24"/>
          <w:lang w:eastAsia="zh-CN"/>
        </w:rPr>
        <w:t>。</w:t>
      </w:r>
    </w:p>
    <w:p>
      <w:pPr>
        <w:spacing w:line="360" w:lineRule="auto"/>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360" w:lineRule="auto"/>
        <w:ind w:firstLine="482" w:firstLineChars="200"/>
        <w:rPr>
          <w:rFonts w:ascii="宋体" w:hAnsi="宋体" w:cs="宋体"/>
          <w:b/>
          <w:sz w:val="24"/>
        </w:rPr>
      </w:pPr>
      <w:bookmarkStart w:id="543" w:name="_Toc30599"/>
      <w:bookmarkStart w:id="544" w:name="_Toc18540"/>
      <w:bookmarkStart w:id="545" w:name="_Toc4355"/>
      <w:r>
        <w:rPr>
          <w:rFonts w:hint="eastAsia" w:ascii="宋体" w:hAnsi="宋体" w:cs="宋体"/>
          <w:b/>
          <w:sz w:val="24"/>
        </w:rPr>
        <w:t>2.18 计量单位</w:t>
      </w:r>
      <w:bookmarkEnd w:id="543"/>
      <w:bookmarkEnd w:id="544"/>
      <w:bookmarkEnd w:id="545"/>
    </w:p>
    <w:p>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360" w:lineRule="auto"/>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1"/>
        <w:rPr>
          <w:rFonts w:ascii="宋体" w:hAnsi="宋体" w:cs="宋体"/>
          <w:b/>
          <w:sz w:val="24"/>
        </w:rPr>
      </w:pPr>
      <w:r>
        <w:rPr>
          <w:rFonts w:hint="eastAsia" w:ascii="宋体" w:hAnsi="宋体" w:cs="宋体"/>
          <w:kern w:val="0"/>
        </w:rPr>
        <w:br w:type="page"/>
      </w:r>
      <w:r>
        <w:rPr>
          <w:rFonts w:hint="eastAsia" w:ascii="宋体" w:hAnsi="宋体" w:cs="宋体"/>
          <w:b/>
          <w:sz w:val="24"/>
        </w:rPr>
        <w:t>第三部分  合同专用条款</w:t>
      </w:r>
    </w:p>
    <w:p>
      <w:pPr>
        <w:spacing w:line="360" w:lineRule="auto"/>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rPr>
          <w:rFonts w:ascii="宋体" w:hAnsi="宋体" w:cs="宋体"/>
          <w:sz w:val="24"/>
        </w:rPr>
      </w:pPr>
    </w:p>
    <w:p>
      <w:pPr>
        <w:widowControl/>
        <w:adjustRightInd/>
        <w:jc w:val="center"/>
        <w:outlineLvl w:val="0"/>
        <w:rPr>
          <w:rFonts w:ascii="宋体" w:hAnsi="宋体" w:cs="宋体"/>
          <w:b/>
          <w:sz w:val="36"/>
          <w:szCs w:val="20"/>
        </w:rPr>
      </w:pPr>
      <w:r>
        <w:rPr>
          <w:rFonts w:hint="eastAsia" w:ascii="宋体" w:hAnsi="宋体" w:cs="宋体"/>
          <w:b/>
          <w:sz w:val="36"/>
          <w:szCs w:val="20"/>
        </w:rPr>
        <w:t>第六部分</w:t>
      </w:r>
      <w:bookmarkEnd w:id="431"/>
      <w:r>
        <w:rPr>
          <w:rFonts w:hint="eastAsia" w:ascii="宋体" w:hAnsi="宋体" w:cs="宋体"/>
          <w:b/>
          <w:sz w:val="36"/>
          <w:szCs w:val="20"/>
        </w:rPr>
        <w:t xml:space="preserve"> </w:t>
      </w:r>
      <w:bookmarkEnd w:id="432"/>
      <w:r>
        <w:rPr>
          <w:rFonts w:hint="eastAsia" w:ascii="宋体" w:hAnsi="宋体" w:cs="宋体"/>
          <w:b/>
          <w:sz w:val="36"/>
          <w:szCs w:val="20"/>
        </w:rPr>
        <w:t>应提交的有关格式范例</w:t>
      </w:r>
    </w:p>
    <w:p>
      <w:pPr>
        <w:spacing w:line="360" w:lineRule="auto"/>
        <w:jc w:val="center"/>
        <w:rPr>
          <w:rFonts w:ascii="宋体" w:hAnsi="宋体" w:cs="宋体"/>
          <w:b/>
          <w:kern w:val="0"/>
          <w:sz w:val="36"/>
          <w:szCs w:val="36"/>
        </w:rPr>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outlineLvl w:val="2"/>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杭州市滨江区人民政府西兴街道办事处、浙江浙坤工程管理有限公司：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滨康区块地下空间堆积物清理项目</w:t>
      </w:r>
      <w:r>
        <w:rPr>
          <w:rFonts w:hint="eastAsia" w:ascii="宋体" w:hAnsi="宋体" w:cs="宋体"/>
          <w:sz w:val="24"/>
        </w:rPr>
        <w:t>【招标编号：</w:t>
      </w:r>
      <w:r>
        <w:rPr>
          <w:rFonts w:hint="eastAsia" w:ascii="宋体" w:hAnsi="宋体" w:cs="宋体"/>
          <w:sz w:val="24"/>
          <w:lang w:eastAsia="zh-CN"/>
        </w:rPr>
        <w:t>ZKGC2025-BJ-005</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outlineLvl w:val="2"/>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outlineLvl w:val="2"/>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outlineLvl w:val="2"/>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outlineLvl w:val="1"/>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rPr>
          <w:rFonts w:ascii="宋体" w:hAnsi="宋体" w:cs="宋体"/>
          <w:b/>
          <w:kern w:val="0"/>
          <w:sz w:val="24"/>
        </w:rPr>
      </w:pPr>
    </w:p>
    <w:p>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2"/>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杭州市滨江区人民政府西兴街道办事处、浙江浙坤工程管理有限公司：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滨康区块地下空间堆积物清理项目</w:t>
      </w:r>
      <w:r>
        <w:rPr>
          <w:rFonts w:hint="eastAsia" w:ascii="宋体" w:hAnsi="宋体" w:cs="宋体"/>
          <w:sz w:val="24"/>
        </w:rPr>
        <w:t>【招标编号：</w:t>
      </w:r>
      <w:r>
        <w:rPr>
          <w:rFonts w:hint="eastAsia" w:ascii="宋体" w:hAnsi="宋体" w:cs="宋体"/>
          <w:sz w:val="24"/>
          <w:lang w:eastAsia="zh-CN"/>
        </w:rPr>
        <w:t>ZKGC2025-BJ-005</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46" w:name="_Hlk101257010"/>
      <w:r>
        <w:rPr>
          <w:rFonts w:hint="eastAsia" w:ascii="宋体" w:hAnsi="宋体" w:cs="宋体"/>
          <w:sz w:val="24"/>
        </w:rPr>
        <w:t>（如果有）</w:t>
      </w:r>
      <w:bookmarkEnd w:id="546"/>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落实政府采购政策需满足的资格要求：服务全部由符合政策要求的中小企业承接，提供中小企业声明函；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本项目的特定资格要求：无。</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pacing w:line="360" w:lineRule="auto"/>
        <w:ind w:left="420" w:leftChars="200" w:firstLine="480" w:firstLineChars="200"/>
        <w:rPr>
          <w:rFonts w:ascii="宋体" w:hAnsi="宋体" w:cs="宋体"/>
          <w:sz w:val="24"/>
        </w:rPr>
      </w:pPr>
      <w:r>
        <w:rPr>
          <w:rFonts w:hint="eastAsia" w:ascii="宋体" w:hAnsi="宋体" w:cs="宋体"/>
          <w:sz w:val="24"/>
        </w:rPr>
        <w:t>2.3.2 报价情况说明（如果有）。</w:t>
      </w:r>
    </w:p>
    <w:p>
      <w:pPr>
        <w:pStyle w:val="79"/>
        <w:spacing w:line="360" w:lineRule="auto"/>
        <w:ind w:firstLine="960" w:firstLineChars="400"/>
        <w:rPr>
          <w:rFonts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tabs>
          <w:tab w:val="left" w:pos="432"/>
        </w:tabs>
      </w:pPr>
    </w:p>
    <w:p>
      <w:pPr>
        <w:rPr>
          <w:rFonts w:ascii="宋体" w:hAnsi="宋体" w:cs="宋体"/>
          <w:b/>
          <w:kern w:val="0"/>
          <w:sz w:val="32"/>
          <w:szCs w:val="32"/>
        </w:rPr>
      </w:pPr>
      <w:r>
        <w:rPr>
          <w:rFonts w:hint="eastAsia" w:ascii="宋体" w:hAnsi="宋体" w:cs="宋体"/>
          <w:b/>
          <w:kern w:val="0"/>
          <w:sz w:val="32"/>
          <w:szCs w:val="32"/>
        </w:rPr>
        <w:br w:type="page"/>
      </w:r>
    </w:p>
    <w:p>
      <w:pPr>
        <w:jc w:val="center"/>
        <w:outlineLvl w:val="2"/>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杭州市滨江区人民政府西兴街道办事处、浙江浙坤工程管理有限公司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滨康区块地下空间堆积物清理项目</w:t>
      </w:r>
      <w:r>
        <w:rPr>
          <w:rFonts w:hint="eastAsia" w:ascii="宋体" w:hAnsi="宋体" w:cs="宋体"/>
          <w:sz w:val="24"/>
        </w:rPr>
        <w:t>【招标编号：</w:t>
      </w:r>
      <w:r>
        <w:rPr>
          <w:rFonts w:hint="eastAsia" w:ascii="宋体" w:hAnsi="宋体" w:cs="宋体"/>
          <w:sz w:val="24"/>
          <w:lang w:eastAsia="zh-CN"/>
        </w:rPr>
        <w:t>ZKGC2025-BJ-005</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杭州市滨江区人民政府西兴街道办事处、浙江浙坤工程管理有限公司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滨康区块地下空间堆积物清理项目</w:t>
      </w:r>
      <w:r>
        <w:rPr>
          <w:rFonts w:hint="eastAsia" w:ascii="宋体" w:hAnsi="宋体" w:cs="宋体"/>
          <w:sz w:val="24"/>
        </w:rPr>
        <w:t>【招标编号：</w:t>
      </w:r>
      <w:r>
        <w:rPr>
          <w:rFonts w:hint="eastAsia" w:ascii="宋体" w:hAnsi="宋体" w:cs="宋体"/>
          <w:sz w:val="24"/>
          <w:lang w:eastAsia="zh-CN"/>
        </w:rPr>
        <w:t>ZKGC2025-BJ-005</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9"/>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sz w:val="24"/>
              </w:rPr>
            </w:pPr>
            <w:r>
              <w:rPr>
                <w:rFonts w:hint="eastAsia" w:hAnsi="宋体" w:cs="宋体"/>
                <w:bCs/>
                <w:sz w:val="24"/>
              </w:rPr>
              <w:t>正面：                                 反面：</w:t>
            </w:r>
          </w:p>
          <w:p>
            <w:pPr>
              <w:pStyle w:val="14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outlineLvl w:val="2"/>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outlineLvl w:val="2"/>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投标文件满足招标文件的其他实质性要求。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系指实质性要求条款，招标文件无其他实质性要求的，无需提供）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outlineLvl w:val="2"/>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outlineLvl w:val="2"/>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outlineLvl w:val="2"/>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outlineLvl w:val="2"/>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杭州市滨江区人民政府西兴街道办事处、浙江浙坤工程管理有限公司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rPr>
          <w:rFonts w:ascii="宋体" w:hAnsi="宋体" w:cs="宋体"/>
          <w:b/>
          <w:kern w:val="0"/>
          <w:sz w:val="36"/>
          <w:szCs w:val="36"/>
        </w:rPr>
      </w:pPr>
    </w:p>
    <w:p>
      <w:pPr>
        <w:numPr>
          <w:ilvl w:val="0"/>
          <w:numId w:val="1"/>
        </w:numPr>
        <w:snapToGrid w:val="0"/>
        <w:spacing w:line="360" w:lineRule="auto"/>
        <w:rPr>
          <w:rFonts w:ascii="宋体" w:hAnsi="宋体" w:cs="宋体"/>
          <w:sz w:val="24"/>
        </w:rPr>
      </w:pPr>
      <w:r>
        <w:rPr>
          <w:rFonts w:hint="eastAsia" w:ascii="宋体" w:hAnsi="宋体" w:cs="宋体"/>
          <w:sz w:val="24"/>
        </w:rPr>
        <w:t>开标一览表（报价表）………………………………………………………（页码）</w:t>
      </w:r>
    </w:p>
    <w:p>
      <w:pPr>
        <w:spacing w:line="360" w:lineRule="auto"/>
        <w:rPr>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pPr>
        <w:pStyle w:val="79"/>
      </w:pPr>
    </w:p>
    <w:p>
      <w:pPr>
        <w:pStyle w:val="79"/>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2"/>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杭州市滨江区人民政府西兴街道办事处、浙江浙坤工程管理有限公司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滨康区块地下空间堆积物清理项目</w:t>
      </w:r>
      <w:r>
        <w:rPr>
          <w:rFonts w:hint="eastAsia" w:ascii="宋体" w:hAnsi="宋体" w:cs="宋体"/>
          <w:kern w:val="0"/>
          <w:sz w:val="24"/>
          <w:lang w:val="zh-CN"/>
        </w:rPr>
        <w:t>【招标编号：</w:t>
      </w:r>
      <w:r>
        <w:rPr>
          <w:rFonts w:hint="eastAsia" w:ascii="宋体" w:hAnsi="宋体" w:cs="宋体"/>
          <w:sz w:val="24"/>
          <w:lang w:eastAsia="zh-CN"/>
        </w:rPr>
        <w:t>ZKGC2025-BJ-005</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76"/>
        <w:gridCol w:w="1684"/>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576"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684"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17" w:type="dxa"/>
            <w:vAlign w:val="center"/>
          </w:tcPr>
          <w:p>
            <w:pPr>
              <w:spacing w:line="360" w:lineRule="auto"/>
              <w:jc w:val="center"/>
              <w:rPr>
                <w:rFonts w:ascii="宋体" w:hAnsi="宋体" w:cs="宋体"/>
                <w:sz w:val="24"/>
              </w:rPr>
            </w:pPr>
            <w:r>
              <w:rPr>
                <w:rFonts w:hint="eastAsia" w:cs="宋体" w:asciiTheme="minorEastAsia" w:hAnsiTheme="minorEastAsia" w:eastAsiaTheme="minorEastAsia"/>
                <w:color w:val="auto"/>
                <w:sz w:val="24"/>
              </w:rPr>
              <w:t>1</w:t>
            </w:r>
          </w:p>
        </w:tc>
        <w:tc>
          <w:tcPr>
            <w:tcW w:w="1576" w:type="dxa"/>
            <w:vAlign w:val="center"/>
          </w:tcPr>
          <w:p>
            <w:pPr>
              <w:snapToGrid w:val="0"/>
              <w:spacing w:line="360" w:lineRule="auto"/>
              <w:jc w:val="center"/>
              <w:rPr>
                <w:rFonts w:ascii="宋体" w:hAnsi="宋体" w:cs="宋体"/>
                <w:sz w:val="24"/>
              </w:rPr>
            </w:pPr>
            <w:r>
              <w:rPr>
                <w:rFonts w:hint="eastAsia" w:cs="宋体" w:asciiTheme="minorEastAsia" w:hAnsiTheme="minorEastAsia" w:eastAsiaTheme="minorEastAsia"/>
                <w:color w:val="auto"/>
                <w:sz w:val="24"/>
                <w:lang w:val="en-US" w:eastAsia="zh-CN"/>
              </w:rPr>
              <w:t>拆除清运费</w:t>
            </w:r>
          </w:p>
        </w:tc>
        <w:tc>
          <w:tcPr>
            <w:tcW w:w="1684"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vAlign w:val="top"/>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cs="宋体" w:asciiTheme="minorEastAsia" w:hAnsiTheme="minorEastAsia" w:eastAsiaTheme="minorEastAsia"/>
                <w:color w:val="auto"/>
                <w:sz w:val="24"/>
              </w:rPr>
              <w:t>2</w:t>
            </w:r>
          </w:p>
        </w:tc>
        <w:tc>
          <w:tcPr>
            <w:tcW w:w="1576" w:type="dxa"/>
            <w:vAlign w:val="center"/>
          </w:tcPr>
          <w:p>
            <w:pPr>
              <w:snapToGrid w:val="0"/>
              <w:spacing w:line="360" w:lineRule="auto"/>
              <w:jc w:val="center"/>
              <w:rPr>
                <w:rFonts w:ascii="宋体" w:hAnsi="宋体" w:cs="宋体"/>
                <w:sz w:val="24"/>
              </w:rPr>
            </w:pPr>
            <w:r>
              <w:rPr>
                <w:rFonts w:hint="eastAsia" w:cs="宋体" w:asciiTheme="minorEastAsia" w:hAnsiTheme="minorEastAsia" w:eastAsiaTheme="minorEastAsia"/>
                <w:color w:val="auto"/>
                <w:sz w:val="24"/>
                <w:lang w:val="en-US" w:eastAsia="zh-CN"/>
              </w:rPr>
              <w:t>其他费</w:t>
            </w:r>
          </w:p>
        </w:tc>
        <w:tc>
          <w:tcPr>
            <w:tcW w:w="1684"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vAlign w:val="top"/>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r>
              <w:rPr>
                <w:rFonts w:hint="eastAsia" w:cs="宋体" w:asciiTheme="minorEastAsia" w:hAnsiTheme="minorEastAsia" w:eastAsiaTheme="minorEastAsia"/>
                <w:color w:val="auto"/>
                <w:sz w:val="24"/>
                <w:lang w:val="en-US" w:eastAsia="zh-CN"/>
              </w:rPr>
              <w:t>本项为不可竞争费用，金额为50万元人民币。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w:t>
            </w:r>
          </w:p>
        </w:tc>
        <w:tc>
          <w:tcPr>
            <w:tcW w:w="1576" w:type="dxa"/>
            <w:vAlign w:val="center"/>
          </w:tcPr>
          <w:p>
            <w:pPr>
              <w:snapToGrid w:val="0"/>
              <w:spacing w:line="360" w:lineRule="auto"/>
              <w:jc w:val="center"/>
              <w:rPr>
                <w:rFonts w:ascii="宋体" w:hAnsi="宋体" w:cs="宋体"/>
                <w:sz w:val="24"/>
              </w:rPr>
            </w:pPr>
          </w:p>
        </w:tc>
        <w:tc>
          <w:tcPr>
            <w:tcW w:w="1684"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1576" w:type="dxa"/>
            <w:vAlign w:val="center"/>
          </w:tcPr>
          <w:p>
            <w:pPr>
              <w:snapToGrid w:val="0"/>
              <w:spacing w:line="360" w:lineRule="auto"/>
              <w:jc w:val="center"/>
              <w:rPr>
                <w:rFonts w:ascii="宋体" w:hAnsi="宋体" w:cs="宋体"/>
                <w:sz w:val="24"/>
              </w:rPr>
            </w:pPr>
          </w:p>
        </w:tc>
        <w:tc>
          <w:tcPr>
            <w:tcW w:w="1684"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1576" w:type="dxa"/>
            <w:vAlign w:val="center"/>
          </w:tcPr>
          <w:p>
            <w:pPr>
              <w:snapToGrid w:val="0"/>
              <w:spacing w:line="360" w:lineRule="auto"/>
              <w:jc w:val="center"/>
              <w:rPr>
                <w:rFonts w:ascii="宋体" w:hAnsi="宋体" w:cs="宋体"/>
                <w:sz w:val="24"/>
              </w:rPr>
            </w:pPr>
          </w:p>
        </w:tc>
        <w:tc>
          <w:tcPr>
            <w:tcW w:w="1684"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numPr>
          <w:ilvl w:val="0"/>
          <w:numId w:val="2"/>
        </w:numPr>
        <w:tabs>
          <w:tab w:val="clear" w:pos="720"/>
        </w:tabs>
        <w:snapToGrid w:val="0"/>
        <w:spacing w:before="120" w:after="120"/>
        <w:ind w:firstLine="643"/>
        <w:outlineLvl w:val="2"/>
        <w:rPr>
          <w:rFonts w:ascii="宋体" w:hAnsi="宋体" w:eastAsia="宋体" w:cs="宋体"/>
          <w:kern w:val="2"/>
          <w:sz w:val="32"/>
          <w:szCs w:val="32"/>
        </w:rPr>
      </w:pPr>
      <w:r>
        <w:rPr>
          <w:rFonts w:hint="eastAsia" w:ascii="宋体" w:hAnsi="宋体" w:eastAsia="宋体" w:cs="宋体"/>
          <w:kern w:val="2"/>
          <w:sz w:val="32"/>
          <w:szCs w:val="32"/>
        </w:rPr>
        <w:t>报价情况说明（如果有）</w:t>
      </w:r>
    </w:p>
    <w:p>
      <w:pPr>
        <w:pStyle w:val="3"/>
        <w:keepNext w:val="0"/>
        <w:numPr>
          <w:ilvl w:val="255"/>
          <w:numId w:val="0"/>
        </w:numPr>
        <w:snapToGrid w:val="0"/>
        <w:spacing w:before="120" w:after="120"/>
        <w:rPr>
          <w:rFonts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outlineLvl w:val="1"/>
        <w:rPr>
          <w:rFonts w:ascii="宋体" w:hAnsi="宋体" w:cs="宋体"/>
          <w:b/>
          <w:spacing w:val="6"/>
          <w:sz w:val="32"/>
          <w:szCs w:val="32"/>
        </w:rPr>
      </w:pPr>
      <w:r>
        <w:rPr>
          <w:rFonts w:hint="eastAsia" w:ascii="宋体" w:hAnsi="宋体" w:cs="宋体"/>
          <w:b/>
          <w:spacing w:val="6"/>
          <w:sz w:val="32"/>
          <w:szCs w:val="32"/>
        </w:rPr>
        <w:t>附件1：残疾人福利性单位声明函</w:t>
      </w:r>
    </w:p>
    <w:p>
      <w:pPr>
        <w:spacing w:line="360" w:lineRule="auto"/>
        <w:jc w:val="center"/>
        <w:rPr>
          <w:rFonts w:ascii="宋体" w:hAnsi="宋体" w:cs="宋体"/>
          <w:b/>
          <w:spacing w:val="6"/>
          <w:sz w:val="32"/>
          <w:szCs w:val="32"/>
        </w:rPr>
      </w:pPr>
      <w:bookmarkStart w:id="547" w:name="OLE_LINK14"/>
      <w:bookmarkStart w:id="548" w:name="OLE_LINK13"/>
      <w:r>
        <w:rPr>
          <w:rFonts w:hint="eastAsia" w:ascii="宋体" w:hAnsi="宋体" w:cs="宋体"/>
          <w:b/>
          <w:spacing w:val="6"/>
          <w:sz w:val="32"/>
          <w:szCs w:val="32"/>
        </w:rPr>
        <w:t>残疾人福利性单位声明函</w:t>
      </w:r>
    </w:p>
    <w:bookmarkEnd w:id="547"/>
    <w:bookmarkEnd w:id="548"/>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141号）的规定，本单位为符合条件的残疾人福利性单位，且本单位参加杭州市滨江区人民政府西兴街道办事处单位的</w:t>
      </w:r>
      <w:r>
        <w:rPr>
          <w:rFonts w:hint="eastAsia" w:ascii="宋体" w:hAnsi="宋体" w:cs="宋体"/>
          <w:sz w:val="24"/>
          <w:u w:val="single"/>
          <w:lang w:eastAsia="zh-CN"/>
        </w:rPr>
        <w:t>滨康区块地下空间堆积物清理项目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rPr>
          <w:rFonts w:ascii="宋体" w:hAnsi="宋体" w:cs="宋体"/>
          <w:b/>
          <w:spacing w:val="6"/>
          <w:sz w:val="32"/>
          <w:szCs w:val="32"/>
        </w:rPr>
      </w:pPr>
      <w:r>
        <w:rPr>
          <w:rFonts w:hint="eastAsia" w:ascii="宋体" w:hAnsi="宋体" w:cs="宋体"/>
          <w:b/>
          <w:spacing w:val="6"/>
          <w:sz w:val="32"/>
          <w:szCs w:val="32"/>
        </w:rPr>
        <w:br w:type="page"/>
      </w:r>
    </w:p>
    <w:p>
      <w:pPr>
        <w:spacing w:line="360" w:lineRule="auto"/>
        <w:jc w:val="left"/>
        <w:outlineLvl w:val="1"/>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outlineLvl w:val="1"/>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outlineLvl w:val="1"/>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杭州市滨江区人民政府西兴街道办事处、浙江浙坤工程管理有限公司：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滨康区块地下空间堆积物清理项目</w:t>
      </w:r>
      <w:r>
        <w:rPr>
          <w:rFonts w:hint="eastAsia" w:ascii="宋体" w:hAnsi="宋体" w:cs="宋体"/>
          <w:sz w:val="24"/>
        </w:rPr>
        <w:t>【招标编号：</w:t>
      </w:r>
      <w:r>
        <w:rPr>
          <w:rFonts w:hint="eastAsia" w:ascii="宋体" w:hAnsi="宋体" w:cs="宋体"/>
          <w:sz w:val="24"/>
          <w:lang w:eastAsia="zh-CN"/>
        </w:rPr>
        <w:t>ZKGC2025-BJ-005</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rPr>
          <w:rFonts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outlineLvl w:val="1"/>
        <w:rPr>
          <w:rFonts w:ascii="宋体" w:hAnsi="宋体" w:cs="宋体"/>
          <w:b/>
          <w:spacing w:val="6"/>
          <w:sz w:val="32"/>
          <w:szCs w:val="32"/>
          <w:lang w:val="zh-CN"/>
        </w:rPr>
      </w:pPr>
      <w:r>
        <w:rPr>
          <w:rFonts w:hint="eastAsia" w:ascii="宋体" w:hAnsi="宋体" w:cs="宋体"/>
          <w:b/>
          <w:spacing w:val="6"/>
          <w:sz w:val="32"/>
          <w:szCs w:val="32"/>
        </w:rPr>
        <w:t>附件5：</w:t>
      </w:r>
      <w:r>
        <w:rPr>
          <w:rFonts w:hint="eastAsia" w:ascii="宋体" w:hAnsi="宋体" w:cs="宋体"/>
          <w:b/>
          <w:spacing w:val="6"/>
          <w:sz w:val="32"/>
          <w:szCs w:val="32"/>
          <w:lang w:val="zh-CN"/>
        </w:rPr>
        <w:t>联合协议</w:t>
      </w:r>
    </w:p>
    <w:p>
      <w:pPr>
        <w:widowControl/>
        <w:spacing w:line="360" w:lineRule="auto"/>
        <w:ind w:firstLine="482" w:firstLineChars="200"/>
        <w:jc w:val="left"/>
        <w:rPr>
          <w:rFonts w:ascii="宋体" w:hAnsi="宋体" w:cs="宋体"/>
          <w:b/>
          <w:sz w:val="24"/>
        </w:rPr>
      </w:pP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滨康区块地下空间堆积物清理项目</w:t>
      </w:r>
      <w:r>
        <w:rPr>
          <w:rFonts w:hint="eastAsia" w:ascii="宋体" w:hAnsi="宋体" w:cs="宋体"/>
          <w:sz w:val="24"/>
        </w:rPr>
        <w:t>【招标编号：</w:t>
      </w:r>
      <w:r>
        <w:rPr>
          <w:rFonts w:hint="eastAsia" w:ascii="宋体" w:hAnsi="宋体" w:cs="宋体"/>
          <w:sz w:val="24"/>
          <w:lang w:eastAsia="zh-CN"/>
        </w:rPr>
        <w:t>ZKGC2025-BJ-005</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49"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4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50"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50"/>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51"/>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jc w:val="center"/>
        <w:outlineLvl w:val="1"/>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滨康区块地下空间堆积物清理项目</w:t>
      </w:r>
      <w:r>
        <w:rPr>
          <w:rFonts w:hint="eastAsia" w:ascii="宋体" w:hAnsi="宋体" w:cs="宋体"/>
          <w:sz w:val="24"/>
        </w:rPr>
        <w:t>【招标编号：</w:t>
      </w:r>
      <w:r>
        <w:rPr>
          <w:rFonts w:hint="eastAsia" w:ascii="宋体" w:hAnsi="宋体" w:cs="宋体"/>
          <w:sz w:val="24"/>
          <w:lang w:eastAsia="zh-CN"/>
        </w:rPr>
        <w:t>ZKGC2025-BJ-005</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tabs>
          <w:tab w:val="left" w:pos="432"/>
        </w:tabs>
        <w:ind w:left="664" w:leftChars="316" w:firstLine="228" w:firstLineChars="95"/>
        <w:rPr>
          <w:rFonts w:ascii="宋体" w:hAnsi="宋体" w:cs="宋体"/>
          <w:kern w:val="0"/>
          <w:sz w:val="24"/>
        </w:rPr>
      </w:pPr>
      <w:r>
        <w:rPr>
          <w:rFonts w:hint="eastAsia" w:ascii="宋体" w:hAnsi="宋体" w:cs="宋体"/>
          <w:kern w:val="0"/>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u w:val="single"/>
        </w:rPr>
      </w:pPr>
      <w:r>
        <w:rPr>
          <w:rFonts w:hint="eastAsia" w:ascii="宋体" w:hAnsi="宋体" w:cs="宋体"/>
          <w:kern w:val="0"/>
          <w:sz w:val="24"/>
          <w:lang w:val="zh-CN"/>
        </w:rPr>
        <w:t>三、分包工作履行期限、地点、方式</w:t>
      </w: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五、价款或者报酬</w:t>
      </w: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六、违约责任</w:t>
      </w: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left"/>
        <w:outlineLvl w:val="1"/>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杭州市滨江区人民政府西兴街道办事处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滨康区块地下空间堆积物清理项目</w:t>
      </w:r>
      <w:r>
        <w:rPr>
          <w:rFonts w:hint="eastAsia" w:ascii="宋体" w:hAnsi="宋体" w:cs="宋体"/>
          <w:sz w:val="24"/>
          <w:u w:val="single"/>
        </w:rPr>
        <w:t xml:space="preserve"> </w:t>
      </w:r>
      <w:r>
        <w:rPr>
          <w:rFonts w:hint="eastAsia" w:ascii="宋体" w:hAnsi="宋体" w:cs="宋体"/>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tabs>
          <w:tab w:val="left" w:pos="432"/>
        </w:tabs>
        <w:rPr>
          <w:rFonts w:ascii="宋体" w:hAnsi="宋体" w:cs="宋体"/>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552" w:name="_Toc36110187"/>
    <w:bookmarkStart w:id="553" w:name="_Toc164085800"/>
    <w:bookmarkStart w:id="554" w:name="_Toc131845147"/>
    <w:bookmarkStart w:id="555" w:name="_Toc91899912"/>
    <w:r>
      <w:rPr>
        <w:rFonts w:hint="eastAsia" w:ascii="仿宋_GB2312" w:eastAsia="仿宋_GB2312"/>
        <w:kern w:val="0"/>
        <w:szCs w:val="21"/>
      </w:rPr>
      <w:t xml:space="preserve"> 页</w:t>
    </w:r>
    <w:bookmarkEnd w:id="552"/>
    <w:bookmarkEnd w:id="553"/>
    <w:bookmarkEnd w:id="554"/>
    <w:bookmarkEnd w:id="55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OGI0MDBkMzgxZTY1OGUzOWI2MWE3MWZmNDVhY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A64"/>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E19"/>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293"/>
    <w:rsid w:val="002A7748"/>
    <w:rsid w:val="002A7ED3"/>
    <w:rsid w:val="002A7FB1"/>
    <w:rsid w:val="002A7FC9"/>
    <w:rsid w:val="002B139C"/>
    <w:rsid w:val="002B1881"/>
    <w:rsid w:val="002B1F61"/>
    <w:rsid w:val="002B2070"/>
    <w:rsid w:val="002B2906"/>
    <w:rsid w:val="002B2A44"/>
    <w:rsid w:val="002B2C66"/>
    <w:rsid w:val="002B314B"/>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A2E"/>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48B"/>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2DB2"/>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BCE"/>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034"/>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118"/>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54E"/>
    <w:rsid w:val="005A1861"/>
    <w:rsid w:val="005A1A31"/>
    <w:rsid w:val="005A361D"/>
    <w:rsid w:val="005A36C2"/>
    <w:rsid w:val="005A3719"/>
    <w:rsid w:val="005A3DD7"/>
    <w:rsid w:val="005A40FA"/>
    <w:rsid w:val="005A4C20"/>
    <w:rsid w:val="005A4F48"/>
    <w:rsid w:val="005A54F1"/>
    <w:rsid w:val="005A57B8"/>
    <w:rsid w:val="005A593B"/>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AA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5BE"/>
    <w:rsid w:val="00681E43"/>
    <w:rsid w:val="00683068"/>
    <w:rsid w:val="00683DAD"/>
    <w:rsid w:val="00684592"/>
    <w:rsid w:val="00684963"/>
    <w:rsid w:val="00685033"/>
    <w:rsid w:val="00685148"/>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621"/>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9AD"/>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964"/>
    <w:rsid w:val="008C3A4E"/>
    <w:rsid w:val="008C5371"/>
    <w:rsid w:val="008C623D"/>
    <w:rsid w:val="008C65F4"/>
    <w:rsid w:val="008C6683"/>
    <w:rsid w:val="008C6E0C"/>
    <w:rsid w:val="008C7273"/>
    <w:rsid w:val="008C78F8"/>
    <w:rsid w:val="008C7E9A"/>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D8E"/>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73"/>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D1D"/>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803"/>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D5B"/>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3F8"/>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51F"/>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3F"/>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CAD"/>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0748D7"/>
    <w:rsid w:val="0326446A"/>
    <w:rsid w:val="032D5555"/>
    <w:rsid w:val="036634D2"/>
    <w:rsid w:val="03DD35E4"/>
    <w:rsid w:val="04076900"/>
    <w:rsid w:val="041A5A3B"/>
    <w:rsid w:val="042311BA"/>
    <w:rsid w:val="042B157A"/>
    <w:rsid w:val="048F763B"/>
    <w:rsid w:val="049F330E"/>
    <w:rsid w:val="04AA775C"/>
    <w:rsid w:val="04AF1889"/>
    <w:rsid w:val="04F66F48"/>
    <w:rsid w:val="05062595"/>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0961D3"/>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9E18B8"/>
    <w:rsid w:val="14A7619D"/>
    <w:rsid w:val="150536C3"/>
    <w:rsid w:val="150C1963"/>
    <w:rsid w:val="151447A0"/>
    <w:rsid w:val="154A6454"/>
    <w:rsid w:val="15762120"/>
    <w:rsid w:val="16A8729C"/>
    <w:rsid w:val="16B33777"/>
    <w:rsid w:val="16BC70A7"/>
    <w:rsid w:val="16C6339E"/>
    <w:rsid w:val="1716195D"/>
    <w:rsid w:val="172F2D79"/>
    <w:rsid w:val="17557BEF"/>
    <w:rsid w:val="17D349C1"/>
    <w:rsid w:val="1830729E"/>
    <w:rsid w:val="1870062C"/>
    <w:rsid w:val="187447AF"/>
    <w:rsid w:val="18817102"/>
    <w:rsid w:val="18830A15"/>
    <w:rsid w:val="18852B28"/>
    <w:rsid w:val="188B5321"/>
    <w:rsid w:val="19932372"/>
    <w:rsid w:val="19A20DD5"/>
    <w:rsid w:val="19AE03F1"/>
    <w:rsid w:val="1A033953"/>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CED517C"/>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131DEA"/>
    <w:rsid w:val="3A3651E5"/>
    <w:rsid w:val="3A744481"/>
    <w:rsid w:val="3A8C7BEF"/>
    <w:rsid w:val="3A906246"/>
    <w:rsid w:val="3AC44E0C"/>
    <w:rsid w:val="3B2349B7"/>
    <w:rsid w:val="3B616CFF"/>
    <w:rsid w:val="3B6259F6"/>
    <w:rsid w:val="3B976654"/>
    <w:rsid w:val="3B994C0F"/>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FA306"/>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66B3C"/>
    <w:rsid w:val="460E7DA5"/>
    <w:rsid w:val="46422483"/>
    <w:rsid w:val="4659254A"/>
    <w:rsid w:val="465B0637"/>
    <w:rsid w:val="465E3F0D"/>
    <w:rsid w:val="466A16E6"/>
    <w:rsid w:val="46893F2B"/>
    <w:rsid w:val="46C4686E"/>
    <w:rsid w:val="47654DB9"/>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2D202B"/>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E45A2"/>
    <w:rsid w:val="5397158E"/>
    <w:rsid w:val="53D8236C"/>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D776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1D3BD0"/>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22076"/>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653E94"/>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64A9A"/>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3F16D3"/>
    <w:rsid w:val="7F715AF2"/>
    <w:rsid w:val="7F886E69"/>
    <w:rsid w:val="AF7B58E2"/>
    <w:rsid w:val="B7FC3740"/>
    <w:rsid w:val="BB7FA927"/>
    <w:rsid w:val="C45F8022"/>
    <w:rsid w:val="ED7E8816"/>
    <w:rsid w:val="F5FFD31F"/>
    <w:rsid w:val="F9EDA6AA"/>
    <w:rsid w:val="FB3B06DC"/>
    <w:rsid w:val="FFFF8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标题 1 Char"/>
    <w:link w:val="2"/>
    <w:qFormat/>
    <w:uiPriority w:val="9"/>
    <w:rPr>
      <w:b/>
      <w:bCs/>
      <w:kern w:val="44"/>
      <w:sz w:val="44"/>
      <w:szCs w:val="4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w:qFormat/>
    <w:uiPriority w:val="0"/>
    <w:rPr>
      <w:rFonts w:ascii="宋体" w:hAnsi="宋体" w:eastAsia="Calibri"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2749</Words>
  <Characters>3122</Characters>
  <Lines>331</Lines>
  <Paragraphs>93</Paragraphs>
  <TotalTime>0</TotalTime>
  <ScaleCrop>false</ScaleCrop>
  <LinksUpToDate>false</LinksUpToDate>
  <CharactersWithSpaces>3370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ZhuanZ</cp:lastModifiedBy>
  <cp:lastPrinted>2021-12-28T11:06:00Z</cp:lastPrinted>
  <dcterms:modified xsi:type="dcterms:W3CDTF">2025-01-02T02:47:05Z</dcterms:modified>
  <dc:title>杭州市市民卡扩大发卡工程</dc:title>
  <cp:revision>334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ECADB6AE9E1A442A9A197326759FB190_13</vt:lpwstr>
  </property>
  <property fmtid="{D5CDD505-2E9C-101B-9397-08002B2CF9AE}" pid="5" name="KSOTemplateDocerSaveRecord">
    <vt:lpwstr>eyJoZGlkIjoiN2YzNjBkOTgyNWQ1YTMxYzM3MzMwNWFiODNmOWIzYWMiLCJ1c2VySWQiOiI0MjA4OTE4NDAifQ==</vt:lpwstr>
  </property>
</Properties>
</file>