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杭州殡仪馆2025年安保服务项目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：ZKGC-HZBYG2024-075</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杭州殡仪馆</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浙江浙坤工程管理有限公司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9"/>
        <w:outlineLvl w:val="9"/>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杭州殡仪馆2025年安保服务项目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12</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ZKGC-HZBYG2024-075</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杭州殡仪馆2025年安保服务项目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2500000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2500000</w:t>
      </w:r>
      <w:r>
        <w:rPr>
          <w:rFonts w:ascii="宋体" w:hAnsi="宋体" w:cs="宋体"/>
          <w:color w:val="auto"/>
          <w:sz w:val="24"/>
        </w:rPr>
        <w:t xml:space="preserve"> </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杭州殡仪馆2025年安保服务项目</w:t>
      </w:r>
      <w:r>
        <w:rPr>
          <w:rFonts w:hint="eastAsia" w:hAnsi="宋体" w:cs="宋体"/>
          <w:bCs/>
          <w:snapToGrid/>
          <w:color w:val="auto"/>
          <w:kern w:val="2"/>
          <w:sz w:val="24"/>
          <w:szCs w:val="24"/>
        </w:rPr>
        <w:t>主要内容：根据杭州殡仪馆日常需求提供优质的安保服务。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4"/>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2025年1月1日至2025年12月31日</w:t>
      </w:r>
      <w:r>
        <w:rPr>
          <w:rFonts w:hint="eastAsia" w:ascii="宋体" w:hAnsi="宋体" w:cs="宋体"/>
          <w:b/>
          <w:color w:val="auto"/>
          <w:highlight w:val="none"/>
          <w:lang w:eastAsia="zh-CN"/>
        </w:rPr>
        <w:t>。</w:t>
      </w:r>
      <w:r>
        <w:rPr>
          <w:rFonts w:ascii="宋体" w:hAnsi="宋体" w:cs="宋体"/>
          <w:color w:val="auto"/>
          <w:highlight w:val="none"/>
        </w:rPr>
        <w:t xml:space="preserve"> </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t>
      </w:r>
      <w:r>
        <w:rPr>
          <w:rFonts w:hint="eastAsia" w:ascii="宋体" w:hAnsi="宋体" w:cs="宋体"/>
          <w:snapToGrid w:val="0"/>
          <w:color w:val="auto"/>
          <w:kern w:val="28"/>
          <w:sz w:val="24"/>
          <w:szCs w:val="20"/>
          <w:lang w:val="en-US" w:eastAsia="zh-CN"/>
        </w:rPr>
        <w:t>(</w:t>
      </w:r>
      <w:r>
        <w:rPr>
          <w:rFonts w:hint="eastAsia" w:ascii="宋体" w:hAnsi="宋体" w:cs="宋体"/>
          <w:snapToGrid w:val="0"/>
          <w:color w:val="auto"/>
          <w:kern w:val="28"/>
          <w:sz w:val="24"/>
          <w:szCs w:val="20"/>
        </w:rPr>
        <w:t>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lang w:eastAsia="zh-CN"/>
        </w:rPr>
        <w:t>：</w:t>
      </w:r>
      <w:r>
        <w:rPr>
          <w:rFonts w:hint="eastAsia" w:ascii="宋体" w:hAnsi="宋体" w:cs="宋体"/>
          <w:color w:val="auto"/>
          <w:sz w:val="24"/>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ind w:firstLine="480"/>
        <w:rPr>
          <w:rFonts w:hint="eastAsia" w:ascii="宋体" w:hAnsi="宋体" w:cs="宋体"/>
          <w:color w:val="auto"/>
          <w:sz w:val="24"/>
        </w:rPr>
      </w:pPr>
      <w:r>
        <w:rPr>
          <w:rFonts w:hint="eastAsia" w:ascii="宋体" w:hAnsi="宋体" w:cs="宋体"/>
          <w:color w:val="auto"/>
          <w:sz w:val="24"/>
        </w:rPr>
        <w:t>名    称：杭州殡仪馆 </w:t>
      </w:r>
    </w:p>
    <w:p>
      <w:pPr>
        <w:spacing w:line="360" w:lineRule="auto"/>
        <w:ind w:firstLine="480"/>
        <w:rPr>
          <w:rFonts w:hint="eastAsia" w:ascii="宋体" w:hAnsi="宋体" w:cs="宋体"/>
          <w:color w:val="auto"/>
          <w:sz w:val="24"/>
        </w:rPr>
      </w:pPr>
      <w:r>
        <w:rPr>
          <w:rFonts w:hint="eastAsia" w:ascii="宋体" w:hAnsi="宋体" w:cs="宋体"/>
          <w:color w:val="auto"/>
          <w:sz w:val="24"/>
        </w:rPr>
        <w:t>地    址：杭州市西湖区西溪路731号 </w:t>
      </w:r>
    </w:p>
    <w:p>
      <w:pPr>
        <w:spacing w:line="360" w:lineRule="auto"/>
        <w:ind w:firstLine="480"/>
        <w:rPr>
          <w:rFonts w:hint="eastAsia" w:ascii="宋体" w:hAnsi="宋体" w:cs="宋体"/>
          <w:color w:val="auto"/>
          <w:sz w:val="24"/>
        </w:rPr>
      </w:pPr>
      <w:r>
        <w:rPr>
          <w:rFonts w:hint="eastAsia" w:ascii="宋体" w:hAnsi="宋体" w:cs="宋体"/>
          <w:color w:val="auto"/>
          <w:sz w:val="24"/>
        </w:rPr>
        <w:t>传    真：/  </w:t>
      </w:r>
    </w:p>
    <w:p>
      <w:pPr>
        <w:spacing w:line="360" w:lineRule="auto"/>
        <w:ind w:firstLine="480"/>
        <w:rPr>
          <w:rFonts w:hint="eastAsia" w:ascii="宋体" w:hAnsi="宋体" w:cs="宋体"/>
          <w:color w:val="auto"/>
          <w:sz w:val="24"/>
        </w:rPr>
      </w:pPr>
      <w:r>
        <w:rPr>
          <w:rFonts w:hint="eastAsia" w:ascii="宋体" w:hAnsi="宋体" w:cs="宋体"/>
          <w:color w:val="auto"/>
          <w:sz w:val="24"/>
        </w:rPr>
        <w:t>项目联系人（询问）：张先生  </w:t>
      </w:r>
    </w:p>
    <w:p>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项目联系方式（询问）：0571-8522</w:t>
      </w:r>
      <w:r>
        <w:rPr>
          <w:rFonts w:hint="eastAsia" w:ascii="宋体" w:hAnsi="宋体" w:cs="宋体"/>
          <w:color w:val="auto"/>
          <w:sz w:val="24"/>
          <w:lang w:val="en-US" w:eastAsia="zh-CN"/>
        </w:rPr>
        <w:t>4611</w:t>
      </w:r>
      <w:r>
        <w:rPr>
          <w:rFonts w:hint="eastAsia" w:ascii="宋体" w:hAnsi="宋体" w:cs="宋体"/>
          <w:color w:val="auto"/>
          <w:sz w:val="24"/>
        </w:rPr>
        <w:t> </w:t>
      </w:r>
    </w:p>
    <w:p>
      <w:pPr>
        <w:spacing w:line="360" w:lineRule="auto"/>
        <w:ind w:firstLine="480"/>
        <w:rPr>
          <w:rFonts w:hint="eastAsia" w:ascii="宋体" w:hAnsi="宋体" w:cs="宋体"/>
          <w:color w:val="auto"/>
          <w:sz w:val="24"/>
        </w:rPr>
      </w:pPr>
      <w:r>
        <w:rPr>
          <w:rFonts w:hint="eastAsia" w:ascii="宋体" w:hAnsi="宋体" w:cs="宋体"/>
          <w:color w:val="auto"/>
          <w:sz w:val="24"/>
        </w:rPr>
        <w:t>质疑联系人：张先生    </w:t>
      </w:r>
    </w:p>
    <w:p>
      <w:pPr>
        <w:spacing w:line="360" w:lineRule="auto"/>
        <w:ind w:firstLine="480"/>
        <w:rPr>
          <w:rFonts w:hint="eastAsia" w:ascii="宋体" w:hAnsi="宋体" w:cs="宋体"/>
          <w:color w:val="auto"/>
          <w:sz w:val="24"/>
        </w:rPr>
      </w:pPr>
      <w:r>
        <w:rPr>
          <w:rFonts w:hint="eastAsia" w:ascii="宋体" w:hAnsi="宋体" w:cs="宋体"/>
          <w:color w:val="auto"/>
          <w:sz w:val="24"/>
        </w:rPr>
        <w:t>质疑联系方式：0571-85223060 </w:t>
      </w:r>
    </w:p>
    <w:p>
      <w:pPr>
        <w:spacing w:line="360" w:lineRule="auto"/>
        <w:ind w:firstLine="420" w:firstLineChars="0"/>
        <w:rPr>
          <w:rFonts w:ascii="宋体" w:hAnsi="宋体" w:cs="宋体"/>
          <w:color w:val="auto"/>
          <w:sz w:val="24"/>
        </w:rPr>
      </w:pPr>
      <w:r>
        <w:rPr>
          <w:rFonts w:hint="eastAsia" w:ascii="宋体" w:hAnsi="宋体" w:cs="宋体"/>
          <w:color w:val="auto"/>
          <w:sz w:val="24"/>
        </w:rPr>
        <w:t xml:space="preserve">2.采购代理机构信息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称：</w:t>
      </w:r>
      <w:r>
        <w:rPr>
          <w:rFonts w:hint="eastAsia" w:ascii="宋体" w:hAnsi="宋体" w:cs="宋体"/>
          <w:color w:val="auto"/>
          <w:sz w:val="24"/>
          <w:lang w:val="en-US" w:eastAsia="zh-CN"/>
        </w:rPr>
        <w:t>浙江浙坤工程管理有限公司</w:t>
      </w:r>
    </w:p>
    <w:p>
      <w:pPr>
        <w:spacing w:line="360" w:lineRule="auto"/>
        <w:ind w:firstLine="480"/>
        <w:rPr>
          <w:rFonts w:ascii="宋体" w:hAnsi="宋体" w:cs="宋体"/>
          <w:color w:val="auto"/>
          <w:sz w:val="24"/>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址：杭州市拱墅区祥兴路18号</w:t>
      </w:r>
      <w:r>
        <w:rPr>
          <w:rFonts w:hint="eastAsia" w:ascii="宋体" w:hAnsi="宋体" w:cs="宋体"/>
          <w:color w:val="auto"/>
          <w:sz w:val="24"/>
          <w:lang w:eastAsia="zh-CN"/>
        </w:rPr>
        <w:t>磐景智造</w:t>
      </w:r>
      <w:r>
        <w:rPr>
          <w:rFonts w:hint="eastAsia" w:ascii="宋体" w:hAnsi="宋体" w:cs="宋体"/>
          <w:color w:val="auto"/>
          <w:sz w:val="24"/>
        </w:rPr>
        <w:t>3幢5楼501室</w:t>
      </w:r>
    </w:p>
    <w:p>
      <w:pPr>
        <w:spacing w:line="360" w:lineRule="auto"/>
        <w:rPr>
          <w:rFonts w:ascii="宋体" w:hAnsi="宋体" w:cs="宋体"/>
          <w:color w:val="auto"/>
          <w:sz w:val="24"/>
        </w:rPr>
      </w:pPr>
      <w:r>
        <w:rPr>
          <w:rFonts w:hint="eastAsia" w:ascii="宋体" w:hAnsi="宋体" w:cs="宋体"/>
          <w:color w:val="auto"/>
          <w:sz w:val="24"/>
        </w:rPr>
        <w:t xml:space="preserve">    传</w:t>
      </w:r>
      <w:r>
        <w:rPr>
          <w:rFonts w:hint="eastAsia" w:ascii="宋体" w:hAnsi="宋体" w:cs="宋体"/>
          <w:color w:val="auto"/>
          <w:sz w:val="24"/>
          <w:lang w:val="en-US" w:eastAsia="zh-CN"/>
        </w:rPr>
        <w:t xml:space="preserve">  </w:t>
      </w:r>
      <w:r>
        <w:rPr>
          <w:rFonts w:hint="eastAsia" w:ascii="宋体" w:hAnsi="宋体" w:cs="宋体"/>
          <w:color w:val="auto"/>
          <w:sz w:val="24"/>
        </w:rPr>
        <w:t>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陆工</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项目联系方式（询问）：0571-87180816</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张工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i w:val="0"/>
          <w:iCs w:val="0"/>
          <w:caps w:val="0"/>
          <w:color w:val="auto"/>
          <w:spacing w:val="0"/>
          <w:sz w:val="24"/>
          <w:szCs w:val="24"/>
        </w:rPr>
        <w:t>0571-87180816</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监督投诉电话：0571-87227671,0571-87800218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杭州殡仪馆2025年安保服务项目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租赁和商务服务业</w:t>
            </w:r>
            <w:r>
              <w:rPr>
                <w:rFonts w:hint="eastAsia" w:ascii="宋体" w:hAnsi="宋体" w:cs="宋体"/>
                <w:color w:val="auto"/>
                <w:kern w:val="0"/>
                <w:sz w:val="24"/>
              </w:rPr>
              <w:t>；</w:t>
            </w:r>
          </w:p>
          <w:p>
            <w:pPr>
              <w:pStyle w:val="5"/>
              <w:keepNext/>
              <w:keepLines/>
              <w:pageBreakBefore w:val="0"/>
              <w:widowControl w:val="0"/>
              <w:shd w:val="clear"/>
              <w:kinsoku/>
              <w:wordWrap/>
              <w:overflowPunct/>
              <w:topLinePunct w:val="0"/>
              <w:autoSpaceDE/>
              <w:autoSpaceDN/>
              <w:bidi w:val="0"/>
              <w:adjustRightInd/>
              <w:snapToGrid/>
              <w:spacing w:line="360" w:lineRule="auto"/>
              <w:ind w:left="0" w:firstLine="0"/>
              <w:textAlignment w:val="auto"/>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3"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eastAsia="宋体" w:cs="宋体"/>
                <w:i w:val="0"/>
                <w:iCs w:val="0"/>
                <w:caps w:val="0"/>
                <w:color w:val="auto"/>
                <w:spacing w:val="0"/>
                <w:kern w:val="28"/>
                <w:sz w:val="24"/>
                <w:szCs w:val="24"/>
                <w:u w:val="single"/>
              </w:rPr>
              <w:t>杭州市拱墅区祥兴路18号</w:t>
            </w:r>
            <w:r>
              <w:rPr>
                <w:rFonts w:hint="eastAsia" w:hAnsi="宋体" w:cs="宋体"/>
                <w:i w:val="0"/>
                <w:iCs w:val="0"/>
                <w:caps w:val="0"/>
                <w:color w:val="auto"/>
                <w:spacing w:val="0"/>
                <w:kern w:val="28"/>
                <w:sz w:val="24"/>
                <w:szCs w:val="24"/>
                <w:u w:val="single"/>
                <w:lang w:eastAsia="zh-CN"/>
              </w:rPr>
              <w:t>磐景智造</w:t>
            </w:r>
            <w:r>
              <w:rPr>
                <w:rFonts w:hint="eastAsia" w:ascii="宋体" w:hAnsi="宋体" w:eastAsia="宋体" w:cs="宋体"/>
                <w:i w:val="0"/>
                <w:iCs w:val="0"/>
                <w:caps w:val="0"/>
                <w:color w:val="auto"/>
                <w:spacing w:val="0"/>
                <w:kern w:val="28"/>
                <w:sz w:val="24"/>
                <w:szCs w:val="24"/>
                <w:u w:val="single"/>
              </w:rPr>
              <w:t>3幢5楼501室</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lang w:val="en-US" w:eastAsia="zh-CN"/>
              </w:rPr>
              <w:t>陆工</w:t>
            </w:r>
            <w:r>
              <w:rPr>
                <w:rFonts w:hint="eastAsia" w:ascii="宋体" w:hAnsi="宋体" w:eastAsia="宋体" w:cs="宋体"/>
                <w:i w:val="0"/>
                <w:iCs w:val="0"/>
                <w:caps w:val="0"/>
                <w:color w:val="auto"/>
                <w:spacing w:val="0"/>
                <w:kern w:val="28"/>
                <w:sz w:val="24"/>
                <w:szCs w:val="24"/>
                <w:u w:val="single"/>
              </w:rPr>
              <w:t>0571-87180816</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b/>
                <w:color w:val="auto"/>
                <w:kern w:val="2"/>
                <w:sz w:val="24"/>
                <w:szCs w:val="24"/>
                <w:lang w:val="en-US" w:eastAsia="zh-CN" w:bidi="ar-SA"/>
              </w:rPr>
            </w:pPr>
            <w:r>
              <w:rPr>
                <w:rFonts w:hint="eastAsia" w:ascii="宋体" w:hAnsi="宋体" w:cs="宋体"/>
                <w:b/>
                <w:color w:val="auto"/>
                <w:sz w:val="24"/>
                <w:lang w:val="en-US" w:eastAsia="zh-CN"/>
              </w:rPr>
              <w:t>其他</w:t>
            </w:r>
          </w:p>
        </w:tc>
        <w:tc>
          <w:tcPr>
            <w:tcW w:w="6095" w:type="dxa"/>
            <w:tcBorders>
              <w:top w:val="single" w:color="000000" w:sz="8" w:space="0"/>
              <w:left w:val="single" w:color="auto" w:sz="4" w:space="0"/>
              <w:bottom w:val="single" w:color="000000" w:sz="8" w:space="0"/>
              <w:right w:val="single" w:color="000000" w:sz="8" w:space="0"/>
            </w:tcBorders>
            <w:shd w:val="clear" w:color="auto" w:fill="auto"/>
            <w:vAlign w:val="center"/>
          </w:tcPr>
          <w:p>
            <w:pPr>
              <w:pStyle w:val="33"/>
              <w:spacing w:line="360" w:lineRule="auto"/>
              <w:rPr>
                <w:rFonts w:hint="eastAsia" w:ascii="宋体" w:hAnsi="宋体" w:eastAsia="宋体" w:cs="宋体"/>
                <w:b/>
                <w:bCs/>
                <w:kern w:val="28"/>
                <w:sz w:val="24"/>
                <w:szCs w:val="24"/>
              </w:rPr>
            </w:pPr>
            <w:r>
              <w:rPr>
                <w:rFonts w:hint="eastAsia" w:ascii="宋体" w:hAnsi="宋体" w:eastAsia="宋体" w:cs="宋体"/>
                <w:b/>
                <w:bCs/>
                <w:kern w:val="28"/>
                <w:sz w:val="24"/>
                <w:szCs w:val="24"/>
              </w:rPr>
              <w:t>1、本项目代理服务费：以中标金额为基数，按照国家收费标准“国家计委〔2002〕1980号文件” 收费标准的</w:t>
            </w:r>
            <w:r>
              <w:rPr>
                <w:rFonts w:hint="eastAsia" w:ascii="宋体" w:hAnsi="宋体" w:eastAsia="宋体" w:cs="宋体"/>
                <w:b/>
                <w:bCs/>
                <w:kern w:val="28"/>
                <w:sz w:val="24"/>
                <w:szCs w:val="24"/>
                <w:lang w:val="en-US" w:eastAsia="zh-CN"/>
              </w:rPr>
              <w:t>48</w:t>
            </w:r>
            <w:r>
              <w:rPr>
                <w:rFonts w:hint="eastAsia" w:ascii="宋体" w:hAnsi="宋体" w:eastAsia="宋体" w:cs="宋体"/>
                <w:b/>
                <w:bCs/>
                <w:kern w:val="28"/>
                <w:sz w:val="24"/>
                <w:szCs w:val="24"/>
              </w:rPr>
              <w:t>%收取，由中标人支付。中标人应在领取中标通知书时一次性向采购代理机构支付代理服务费。</w:t>
            </w:r>
          </w:p>
          <w:p>
            <w:pPr>
              <w:pStyle w:val="33"/>
              <w:spacing w:line="36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b/>
                <w:bCs/>
                <w:kern w:val="28"/>
                <w:sz w:val="24"/>
                <w:szCs w:val="24"/>
                <w:lang w:val="en-US" w:eastAsia="zh-CN"/>
              </w:rPr>
              <w:t>2、</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须在领取成交通知书的同时，提供与线上递交的“电子加密响应文件”一致的纸质响应文件并装订成册一正</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红章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三副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可复印件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给采购代理机构</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1"/>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9"/>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pPr>
        <w:adjustRightInd/>
        <w:spacing w:line="360" w:lineRule="auto"/>
        <w:outlineLvl w:val="9"/>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w:t>
      </w:r>
      <w:r>
        <w:rPr>
          <w:rFonts w:hint="eastAsia" w:ascii="宋体" w:hAnsi="宋体" w:cs="宋体"/>
          <w:color w:val="auto"/>
          <w:kern w:val="0"/>
          <w:sz w:val="24"/>
          <w:lang w:val="en-US" w:eastAsia="zh-CN"/>
        </w:rPr>
        <w:t>劳动法</w:t>
      </w:r>
      <w:r>
        <w:rPr>
          <w:rFonts w:hint="eastAsia" w:ascii="宋体" w:hAnsi="宋体" w:cs="宋体"/>
          <w:color w:val="auto"/>
          <w:kern w:val="0"/>
          <w:sz w:val="24"/>
        </w:rPr>
        <w:t>》订立劳动合同的从业人员。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lang w:eastAsia="zh-CN"/>
        </w:rPr>
        <w:t>—</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lang w:eastAsia="zh-CN"/>
        </w:rPr>
        <w:t>—</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rPr>
        <w:t xml:space="preserve">3.4.3 </w:t>
      </w:r>
      <w:r>
        <w:rPr>
          <w:rFonts w:hint="eastAsia" w:ascii="宋体" w:hAnsi="宋体" w:eastAsia="宋体" w:cs="宋体"/>
          <w:color w:val="auto"/>
          <w:sz w:val="24"/>
          <w:lang w:val="en-US" w:eastAsia="zh-CN"/>
        </w:rPr>
        <w:t>采购人应当贯彻落实知识产权保护相关法律法规，</w:t>
      </w:r>
      <w:r>
        <w:rPr>
          <w:rFonts w:hint="eastAsia" w:ascii="宋体" w:hAnsi="宋体" w:eastAsia="宋体" w:cs="宋体"/>
          <w:color w:val="auto"/>
          <w:sz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eastAsia="宋体" w:cs="宋体"/>
          <w:b/>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lang w:eastAsia="zh-CN"/>
        </w:rPr>
        <w:t>，</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4.5 补偿救济</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采购人（行政机关）因政策变化、规划调整而不履行政府采购合同的，供应商可依据《杭州市涉企补偿救济实施办法（试行）》向采购人（行政机关）提起补偿申请。</w:t>
      </w:r>
    </w:p>
    <w:p>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lang w:eastAsia="zh-CN"/>
        </w:rPr>
        <w:t>：</w:t>
      </w:r>
      <w:r>
        <w:rPr>
          <w:rFonts w:hint="eastAsia" w:ascii="宋体" w:hAnsi="宋体" w:cs="宋体"/>
          <w:color w:val="auto"/>
          <w:sz w:val="24"/>
        </w:rPr>
        <w:t>服务全部由符合政策要求的中小企业承接，提供中小企业声明函；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rPr>
        <w:t>11.3.</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color w:val="auto"/>
          <w:sz w:val="24"/>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4"/>
        <w:snapToGrid w:val="0"/>
        <w:spacing w:before="0"/>
        <w:ind w:firstLine="0" w:firstLineChars="0"/>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4"/>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4"/>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pPr>
        <w:pStyle w:val="55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4"/>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4"/>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4"/>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www.creditchina.gov.cn)、中国政府采购网(www.ccgp.gov.cn)渠道查询投标人接受资格时的信用记录。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rPr>
          <w:rFonts w:cs="宋体"/>
          <w:b/>
          <w:color w:val="auto"/>
        </w:rPr>
      </w:pPr>
      <w:r>
        <w:rPr>
          <w:rFonts w:hint="eastAsia" w:cs="宋体"/>
          <w:b/>
          <w:color w:val="auto"/>
        </w:rPr>
        <w:t>22. 确定中标供应商</w:t>
      </w:r>
    </w:p>
    <w:p>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4"/>
        <w:adjustRightInd w:val="0"/>
        <w:snapToGrid w:val="0"/>
        <w:spacing w:before="0"/>
        <w:ind w:firstLine="482" w:firstLineChars="200"/>
        <w:rPr>
          <w:rStyle w:val="79"/>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snapToGrid w:val="0"/>
        <w:spacing w:line="360" w:lineRule="auto"/>
        <w:ind w:left="0" w:leftChars="0" w:firstLine="0" w:firstLineChars="0"/>
        <w:jc w:val="center"/>
        <w:outlineLvl w:val="1"/>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0"/>
        </w:tabs>
        <w:spacing w:line="360" w:lineRule="auto"/>
        <w:ind w:firstLine="482"/>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lang w:val="en-US"/>
        </w:rPr>
        <w:t>可</w:t>
      </w:r>
      <w:r>
        <w:rPr>
          <w:rFonts w:hint="eastAsia" w:ascii="宋体" w:hAnsi="宋体" w:eastAsia="宋体" w:cs="宋体"/>
          <w:color w:val="auto"/>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ind w:firstLine="0" w:firstLineChars="0"/>
        <w:jc w:val="center"/>
        <w:outlineLvl w:val="1"/>
        <w:rPr>
          <w:rFonts w:ascii="宋体" w:hAnsi="宋体" w:cs="宋体"/>
          <w:b/>
          <w:color w:val="auto"/>
          <w:sz w:val="24"/>
        </w:rPr>
      </w:pPr>
      <w:r>
        <w:rPr>
          <w:rFonts w:hint="eastAsia" w:ascii="宋体" w:hAnsi="宋体" w:cs="宋体"/>
          <w:b/>
          <w:color w:val="auto"/>
          <w:sz w:val="32"/>
        </w:rPr>
        <w:t>八、电子交易活动的中止</w:t>
      </w:r>
    </w:p>
    <w:p>
      <w:pPr>
        <w:pStyle w:val="134"/>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4"/>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lang w:val="en-US" w:eastAsia="zh-CN"/>
        </w:rPr>
        <w:t>合同管理</w:t>
      </w:r>
      <w:r>
        <w:rPr>
          <w:rFonts w:hint="eastAsia" w:ascii="宋体" w:hAnsi="宋体" w:eastAsia="宋体" w:cs="宋体"/>
          <w:color w:val="auto"/>
          <w:kern w:val="0"/>
          <w:sz w:val="24"/>
          <w:lang w:val="en-US"/>
        </w:rPr>
        <w:t>-支付管理。对于供应商提起在线支付申请的，采购</w:t>
      </w:r>
      <w:r>
        <w:rPr>
          <w:rFonts w:hint="eastAsia" w:ascii="宋体" w:hAnsi="宋体" w:eastAsia="宋体" w:cs="宋体"/>
          <w:color w:val="auto"/>
          <w:kern w:val="0"/>
          <w:sz w:val="24"/>
          <w:lang w:val="en-US" w:eastAsia="zh-CN"/>
        </w:rPr>
        <w:t>人</w:t>
      </w:r>
      <w:r>
        <w:rPr>
          <w:rFonts w:hint="eastAsia" w:ascii="宋体" w:hAnsi="宋体" w:eastAsia="宋体" w:cs="宋体"/>
          <w:color w:val="auto"/>
          <w:kern w:val="0"/>
          <w:sz w:val="24"/>
          <w:lang w:val="en-US"/>
        </w:rPr>
        <w:t>应当</w:t>
      </w:r>
      <w:r>
        <w:rPr>
          <w:rFonts w:hint="eastAsia" w:ascii="宋体" w:hAnsi="宋体" w:eastAsia="宋体" w:cs="宋体"/>
          <w:color w:val="auto"/>
          <w:kern w:val="0"/>
          <w:sz w:val="24"/>
          <w:lang w:val="en-US" w:eastAsia="zh-CN"/>
        </w:rPr>
        <w:t>按规定</w:t>
      </w:r>
      <w:r>
        <w:rPr>
          <w:rFonts w:hint="eastAsia" w:ascii="宋体" w:hAnsi="宋体" w:eastAsia="宋体" w:cs="宋体"/>
          <w:color w:val="auto"/>
          <w:kern w:val="0"/>
          <w:sz w:val="24"/>
          <w:lang w:val="en-US"/>
        </w:rPr>
        <w:t>做好审核并完成支付。</w:t>
      </w:r>
    </w:p>
    <w:p>
      <w:pPr>
        <w:pStyle w:val="82"/>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14665"/>
      <w:bookmarkEnd w:id="16"/>
      <w:bookmarkStart w:id="17" w:name="_Hlt68072990"/>
      <w:bookmarkEnd w:id="17"/>
      <w:bookmarkStart w:id="18" w:name="_Hlt74729768"/>
      <w:bookmarkEnd w:id="18"/>
      <w:bookmarkStart w:id="19" w:name="_Hlt75236290"/>
      <w:bookmarkEnd w:id="19"/>
      <w:bookmarkStart w:id="20" w:name="_Hlt68073093"/>
      <w:bookmarkEnd w:id="20"/>
      <w:bookmarkStart w:id="21" w:name="_Hlt74730295"/>
      <w:bookmarkEnd w:id="21"/>
      <w:bookmarkStart w:id="22" w:name="_Hlt68057669"/>
      <w:bookmarkEnd w:id="22"/>
      <w:bookmarkStart w:id="23" w:name="_Hlt68072998"/>
      <w:bookmarkEnd w:id="23"/>
      <w:bookmarkStart w:id="24" w:name="_Hlt74707468"/>
      <w:bookmarkEnd w:id="24"/>
      <w:bookmarkStart w:id="25" w:name="_Hlt68403820"/>
      <w:bookmarkEnd w:id="25"/>
      <w:bookmarkStart w:id="26" w:name="_Hlt75236101"/>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一、物业管理项目</w:t>
      </w:r>
      <w:r>
        <w:rPr>
          <w:rFonts w:hint="eastAsia" w:ascii="宋体" w:hAnsi="宋体" w:eastAsia="宋体" w:cs="宋体"/>
          <w:b/>
          <w:color w:val="auto"/>
          <w:sz w:val="24"/>
          <w:szCs w:val="24"/>
          <w:highlight w:val="none"/>
          <w:lang w:val="en-US" w:eastAsia="zh-CN"/>
        </w:rPr>
        <w:t>服务内容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（一）安保（</w:t>
      </w:r>
      <w:r>
        <w:rPr>
          <w:rFonts w:hint="eastAsia" w:ascii="宋体" w:hAnsi="宋体" w:eastAsia="宋体" w:cs="宋体"/>
          <w:color w:val="auto"/>
          <w:sz w:val="24"/>
          <w:szCs w:val="24"/>
          <w:highlight w:val="none"/>
          <w:lang w:val="en-US" w:eastAsia="zh-CN"/>
        </w:rPr>
        <w:t>杭州殡仪馆辖区范围内的</w:t>
      </w:r>
      <w:r>
        <w:rPr>
          <w:rFonts w:hint="eastAsia" w:ascii="宋体" w:hAnsi="宋体" w:eastAsia="宋体" w:cs="宋体"/>
          <w:color w:val="auto"/>
          <w:sz w:val="24"/>
          <w:szCs w:val="24"/>
          <w:highlight w:val="none"/>
        </w:rPr>
        <w:t>安保、消防、传达、秩序管理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重点部位如油库</w:t>
      </w:r>
      <w:r>
        <w:rPr>
          <w:rFonts w:hint="eastAsia" w:ascii="宋体" w:hAnsi="宋体" w:eastAsia="宋体" w:cs="宋体"/>
          <w:color w:val="auto"/>
          <w:sz w:val="24"/>
          <w:szCs w:val="24"/>
          <w:highlight w:val="none"/>
          <w:lang w:val="en-US" w:eastAsia="zh-CN"/>
        </w:rPr>
        <w:t>等的隐患排查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排水沟及屋顶</w:t>
      </w:r>
      <w:r>
        <w:rPr>
          <w:rFonts w:hint="eastAsia" w:ascii="宋体" w:hAnsi="宋体" w:eastAsia="宋体" w:cs="宋体"/>
          <w:color w:val="auto"/>
          <w:sz w:val="24"/>
          <w:szCs w:val="24"/>
          <w:highlight w:val="none"/>
          <w:lang w:val="en-US" w:eastAsia="zh-CN"/>
        </w:rPr>
        <w:t>天沟</w:t>
      </w:r>
      <w:r>
        <w:rPr>
          <w:rFonts w:hint="eastAsia" w:ascii="宋体" w:hAnsi="宋体" w:eastAsia="宋体" w:cs="宋体"/>
          <w:color w:val="auto"/>
          <w:sz w:val="24"/>
          <w:szCs w:val="24"/>
          <w:highlight w:val="none"/>
        </w:rPr>
        <w:t>落叶清理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危险物</w:t>
      </w:r>
      <w:r>
        <w:rPr>
          <w:rFonts w:hint="eastAsia" w:ascii="宋体" w:hAnsi="宋体" w:eastAsia="宋体" w:cs="宋体"/>
          <w:color w:val="auto"/>
          <w:sz w:val="24"/>
          <w:szCs w:val="24"/>
          <w:highlight w:val="none"/>
        </w:rPr>
        <w:t>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大件物品搬运</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（二）监控管理。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其他临时性交办的工作。</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二、项目概况介绍及服务范围分布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采购人名称：杭州殡仪馆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物业类型：花园式平层综合体</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坐落：杭州市西湖区西溪路731号、</w:t>
      </w:r>
      <w:r>
        <w:rPr>
          <w:rFonts w:hint="eastAsia" w:ascii="宋体" w:hAnsi="宋体" w:eastAsia="宋体" w:cs="宋体"/>
          <w:color w:val="auto"/>
          <w:sz w:val="24"/>
          <w:szCs w:val="24"/>
          <w:highlight w:val="none"/>
          <w:lang w:val="en-US" w:eastAsia="zh-CN"/>
        </w:rPr>
        <w:t>834号、</w:t>
      </w:r>
      <w:r>
        <w:rPr>
          <w:rFonts w:hint="eastAsia" w:ascii="宋体" w:hAnsi="宋体" w:eastAsia="宋体" w:cs="宋体"/>
          <w:color w:val="auto"/>
          <w:sz w:val="24"/>
          <w:szCs w:val="24"/>
          <w:highlight w:val="none"/>
        </w:rPr>
        <w:t>850号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870号等</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三、岗位工作时间及</w:t>
      </w:r>
      <w:r>
        <w:rPr>
          <w:rFonts w:hint="eastAsia" w:ascii="宋体" w:hAnsi="宋体" w:eastAsia="宋体" w:cs="宋体"/>
          <w:b/>
          <w:color w:val="auto"/>
          <w:sz w:val="24"/>
          <w:szCs w:val="24"/>
          <w:highlight w:val="none"/>
          <w:lang w:val="en-US" w:eastAsia="zh-CN"/>
        </w:rPr>
        <w:t>人员</w:t>
      </w:r>
      <w:r>
        <w:rPr>
          <w:rFonts w:hint="eastAsia" w:ascii="宋体" w:hAnsi="宋体" w:eastAsia="宋体" w:cs="宋体"/>
          <w:b/>
          <w:color w:val="auto"/>
          <w:sz w:val="24"/>
          <w:szCs w:val="24"/>
          <w:highlight w:val="none"/>
        </w:rPr>
        <w:t>数量要求</w:t>
      </w:r>
      <w:r>
        <w:rPr>
          <w:rFonts w:hint="eastAsia" w:ascii="宋体" w:hAnsi="宋体" w:eastAsia="宋体" w:cs="宋体"/>
          <w:b/>
          <w:color w:val="auto"/>
          <w:sz w:val="24"/>
          <w:szCs w:val="24"/>
          <w:highlight w:val="none"/>
          <w:lang w:val="en-US" w:eastAsia="zh-CN"/>
        </w:rPr>
        <w:t>（共计25岗）</w:t>
      </w:r>
    </w:p>
    <w:tbl>
      <w:tblPr>
        <w:tblStyle w:val="6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742"/>
        <w:gridCol w:w="2169"/>
        <w:gridCol w:w="1249"/>
        <w:gridCol w:w="829"/>
        <w:gridCol w:w="247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序号</w:t>
            </w:r>
          </w:p>
        </w:tc>
        <w:tc>
          <w:tcPr>
            <w:tcW w:w="7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职位</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岗位</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位置</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时间</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保安队长</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:30</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承担日常管理和训练领队工作。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4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安保</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西大门白班</w:t>
            </w:r>
            <w:r>
              <w:rPr>
                <w:rFonts w:hint="eastAsia" w:ascii="宋体" w:hAnsi="宋体" w:eastAsia="宋体" w:cs="宋体"/>
                <w:color w:val="auto"/>
                <w:sz w:val="24"/>
                <w:szCs w:val="24"/>
                <w:highlight w:val="none"/>
              </w:rPr>
              <w:t>门岗</w:t>
            </w:r>
            <w:r>
              <w:rPr>
                <w:rFonts w:hint="eastAsia" w:ascii="宋体" w:hAnsi="宋体" w:eastAsia="宋体" w:cs="宋体"/>
                <w:color w:val="auto"/>
                <w:sz w:val="24"/>
                <w:szCs w:val="24"/>
                <w:highlight w:val="none"/>
                <w:lang w:val="en-US" w:eastAsia="zh-CN"/>
              </w:rPr>
              <w:t>、巡逻岗</w:t>
            </w:r>
            <w:r>
              <w:rPr>
                <w:rFonts w:hint="eastAsia" w:ascii="宋体" w:hAnsi="宋体" w:eastAsia="宋体" w:cs="宋体"/>
                <w:color w:val="auto"/>
                <w:sz w:val="24"/>
                <w:szCs w:val="24"/>
                <w:highlight w:val="none"/>
              </w:rPr>
              <w:t>保安</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西大门</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6:30—18:30</w:t>
            </w:r>
          </w:p>
        </w:tc>
        <w:tc>
          <w:tcPr>
            <w:tcW w:w="1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每天</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西大门夜班门岗、</w:t>
            </w:r>
            <w:r>
              <w:rPr>
                <w:rFonts w:hint="eastAsia" w:ascii="宋体" w:hAnsi="宋体" w:eastAsia="宋体" w:cs="宋体"/>
                <w:color w:val="auto"/>
                <w:sz w:val="24"/>
                <w:szCs w:val="24"/>
                <w:highlight w:val="none"/>
              </w:rPr>
              <w:t>巡逻</w:t>
            </w:r>
            <w:r>
              <w:rPr>
                <w:rFonts w:hint="eastAsia" w:ascii="宋体" w:hAnsi="宋体" w:eastAsia="宋体" w:cs="宋体"/>
                <w:color w:val="auto"/>
                <w:sz w:val="24"/>
                <w:szCs w:val="24"/>
                <w:highlight w:val="none"/>
                <w:lang w:val="en-US" w:eastAsia="zh-CN"/>
              </w:rPr>
              <w:t>岗</w:t>
            </w:r>
            <w:r>
              <w:rPr>
                <w:rFonts w:hint="eastAsia" w:ascii="宋体" w:hAnsi="宋体" w:eastAsia="宋体" w:cs="宋体"/>
                <w:color w:val="auto"/>
                <w:sz w:val="24"/>
                <w:szCs w:val="24"/>
                <w:highlight w:val="none"/>
              </w:rPr>
              <w:t>保安</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西大门</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次日早</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东大门白班门岗、巡逻岗保安</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东大门</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6:30—18:30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东大门夜班门岗、巡逻岗保安</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东大门</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18:30—次日早6:30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731号</w:t>
            </w:r>
            <w:r>
              <w:rPr>
                <w:rFonts w:hint="eastAsia" w:ascii="宋体" w:hAnsi="宋体" w:eastAsia="宋体" w:cs="宋体"/>
                <w:color w:val="auto"/>
                <w:sz w:val="24"/>
                <w:szCs w:val="24"/>
                <w:highlight w:val="none"/>
              </w:rPr>
              <w:t>停车场保安</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731号</w:t>
            </w:r>
            <w:r>
              <w:rPr>
                <w:rFonts w:hint="eastAsia" w:ascii="宋体" w:hAnsi="宋体" w:eastAsia="宋体" w:cs="宋体"/>
                <w:color w:val="auto"/>
                <w:sz w:val="24"/>
                <w:szCs w:val="24"/>
                <w:highlight w:val="none"/>
              </w:rPr>
              <w:t>停车场</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服务大厅保安</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服务大厅</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业务区巡逻岗</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业务区</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6:30—18:30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内勤卸运处保安</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内勤卸运处</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6:30—18:30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10</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火化</w:t>
            </w:r>
            <w:r>
              <w:rPr>
                <w:rFonts w:hint="eastAsia" w:ascii="宋体" w:hAnsi="宋体" w:eastAsia="宋体" w:cs="宋体"/>
                <w:color w:val="auto"/>
                <w:sz w:val="24"/>
                <w:szCs w:val="24"/>
                <w:highlight w:val="none"/>
                <w:lang w:val="en-US" w:eastAsia="zh-CN"/>
              </w:rPr>
              <w:t>区域及后通道</w:t>
            </w:r>
            <w:r>
              <w:rPr>
                <w:rFonts w:hint="eastAsia" w:ascii="宋体" w:hAnsi="宋体" w:eastAsia="宋体" w:cs="宋体"/>
                <w:color w:val="auto"/>
                <w:sz w:val="24"/>
                <w:szCs w:val="24"/>
                <w:highlight w:val="none"/>
              </w:rPr>
              <w:t>保安</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火化</w:t>
            </w:r>
            <w:r>
              <w:rPr>
                <w:rFonts w:hint="eastAsia" w:ascii="宋体" w:hAnsi="宋体" w:eastAsia="宋体" w:cs="宋体"/>
                <w:color w:val="auto"/>
                <w:sz w:val="24"/>
                <w:szCs w:val="24"/>
                <w:highlight w:val="none"/>
                <w:lang w:val="en-US" w:eastAsia="zh-CN"/>
              </w:rPr>
              <w:t>区域及后通道</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11</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834号白班门岗</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834号</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6:30—18:30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12</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834号</w:t>
            </w:r>
            <w:r>
              <w:rPr>
                <w:rFonts w:hint="eastAsia" w:ascii="宋体" w:hAnsi="宋体" w:cs="宋体"/>
                <w:color w:val="auto"/>
                <w:sz w:val="24"/>
                <w:szCs w:val="24"/>
                <w:highlight w:val="none"/>
                <w:lang w:val="en-US" w:eastAsia="zh-CN"/>
              </w:rPr>
              <w:t>夜</w:t>
            </w:r>
            <w:r>
              <w:rPr>
                <w:rFonts w:hint="eastAsia" w:ascii="宋体" w:hAnsi="宋体" w:eastAsia="宋体" w:cs="宋体"/>
                <w:color w:val="auto"/>
                <w:sz w:val="24"/>
                <w:szCs w:val="24"/>
                <w:highlight w:val="none"/>
                <w:lang w:val="en-US" w:eastAsia="zh-CN"/>
              </w:rPr>
              <w:t>班门岗</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834号</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次日早</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13</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870号白班门岗</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870号</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6:30—18:30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14</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870号夜班门岗</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870号</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次日早</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15</w:t>
            </w:r>
          </w:p>
        </w:tc>
        <w:tc>
          <w:tcPr>
            <w:tcW w:w="74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监控</w:t>
            </w: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监控</w:t>
            </w:r>
            <w:r>
              <w:rPr>
                <w:rFonts w:hint="eastAsia" w:ascii="宋体" w:hAnsi="宋体" w:eastAsia="宋体" w:cs="宋体"/>
                <w:color w:val="auto"/>
                <w:sz w:val="24"/>
                <w:szCs w:val="24"/>
                <w:highlight w:val="none"/>
              </w:rPr>
              <w:t>白班</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监控室</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:30</w:t>
            </w:r>
          </w:p>
        </w:tc>
        <w:tc>
          <w:tcPr>
            <w:tcW w:w="14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24小时工作制，每天3岗。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16</w:t>
            </w:r>
          </w:p>
        </w:tc>
        <w:tc>
          <w:tcPr>
            <w:tcW w:w="7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16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监控夜班</w:t>
            </w:r>
          </w:p>
        </w:tc>
        <w:tc>
          <w:tcPr>
            <w:tcW w:w="124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监控室</w:t>
            </w:r>
          </w:p>
        </w:tc>
        <w:tc>
          <w:tcPr>
            <w:tcW w:w="82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:30—次日早</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0</w:t>
            </w:r>
          </w:p>
        </w:tc>
        <w:tc>
          <w:tcPr>
            <w:tcW w:w="14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517"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8"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如遇清明、冬至、抗台、抗震、抗雪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临时工作</w:t>
            </w:r>
            <w:r>
              <w:rPr>
                <w:rFonts w:hint="eastAsia" w:ascii="宋体" w:hAnsi="宋体" w:eastAsia="宋体" w:cs="宋体"/>
                <w:color w:val="auto"/>
                <w:sz w:val="24"/>
                <w:szCs w:val="24"/>
                <w:highlight w:val="none"/>
              </w:rPr>
              <w:t>等特殊情况，</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配合采购人，</w:t>
            </w:r>
            <w:r>
              <w:rPr>
                <w:rFonts w:hint="eastAsia" w:ascii="宋体" w:hAnsi="宋体" w:eastAsia="宋体" w:cs="宋体"/>
                <w:color w:val="auto"/>
                <w:sz w:val="24"/>
                <w:szCs w:val="24"/>
                <w:highlight w:val="none"/>
                <w:lang w:val="en-US" w:eastAsia="zh-CN"/>
              </w:rPr>
              <w:t>临时</w:t>
            </w:r>
            <w:r>
              <w:rPr>
                <w:rFonts w:hint="eastAsia" w:ascii="宋体" w:hAnsi="宋体" w:eastAsia="宋体" w:cs="宋体"/>
                <w:color w:val="auto"/>
                <w:sz w:val="24"/>
                <w:szCs w:val="24"/>
                <w:highlight w:val="none"/>
              </w:rPr>
              <w:t>增加</w:t>
            </w:r>
            <w:r>
              <w:rPr>
                <w:rFonts w:hint="eastAsia" w:ascii="宋体" w:hAnsi="宋体" w:eastAsia="宋体" w:cs="宋体"/>
                <w:color w:val="auto"/>
                <w:sz w:val="24"/>
                <w:szCs w:val="24"/>
                <w:highlight w:val="none"/>
                <w:lang w:val="en-US" w:eastAsia="zh-CN"/>
              </w:rPr>
              <w:t>服务人员数量或工作时间，</w:t>
            </w:r>
            <w:r>
              <w:rPr>
                <w:rFonts w:hint="eastAsia" w:ascii="宋体" w:hAnsi="宋体" w:eastAsia="宋体" w:cs="宋体"/>
                <w:color w:val="auto"/>
                <w:sz w:val="24"/>
                <w:szCs w:val="24"/>
                <w:highlight w:val="none"/>
              </w:rPr>
              <w:t>保证服务质量，</w:t>
            </w:r>
            <w:r>
              <w:rPr>
                <w:rFonts w:hint="eastAsia" w:ascii="宋体" w:hAns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rPr>
              <w:t>24小时到场服务。</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四、管理人员要求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（一）要求</w:t>
      </w:r>
      <w:r>
        <w:rPr>
          <w:rFonts w:hint="eastAsia" w:ascii="宋体" w:hAnsi="宋体" w:eastAsia="宋体" w:cs="宋体"/>
          <w:color w:val="auto"/>
          <w:sz w:val="24"/>
          <w:szCs w:val="24"/>
          <w:highlight w:val="none"/>
          <w:lang w:val="en-US" w:eastAsia="zh-CN"/>
        </w:rPr>
        <w:t>保安队长</w:t>
      </w:r>
      <w:r>
        <w:rPr>
          <w:rFonts w:hint="eastAsia" w:ascii="宋体" w:hAnsi="宋体" w:eastAsia="宋体" w:cs="宋体"/>
          <w:color w:val="auto"/>
          <w:sz w:val="24"/>
          <w:szCs w:val="24"/>
          <w:highlight w:val="none"/>
        </w:rPr>
        <w:t>设1个岗位，并向采购人备案。全面负责该项目日常管理运营及与采购人业务对接、汇报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落实</w:t>
      </w:r>
      <w:r>
        <w:rPr>
          <w:rFonts w:hint="eastAsia" w:ascii="宋体" w:hAnsi="宋体" w:eastAsia="宋体" w:cs="宋体"/>
          <w:color w:val="auto"/>
          <w:sz w:val="24"/>
          <w:szCs w:val="24"/>
          <w:highlight w:val="none"/>
        </w:rPr>
        <w:t>相关的保安管理制度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具有物业管理经验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能够</w:t>
      </w:r>
      <w:r>
        <w:rPr>
          <w:rFonts w:hint="eastAsia" w:ascii="宋体" w:hAnsi="宋体" w:eastAsia="宋体" w:cs="宋体"/>
          <w:color w:val="auto"/>
          <w:sz w:val="24"/>
          <w:szCs w:val="24"/>
          <w:highlight w:val="none"/>
        </w:rPr>
        <w:t>提出合理化的建议和思路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熟练掌握电脑操作技能</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）政治上可靠，遵纪守法，敬业爱岗，身体素质好，无不良行为记录，知晓岗位服务礼仪。</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）检查、巡视管理范围的服务，建立完善</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行之有效的安保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监控</w:t>
      </w:r>
      <w:r>
        <w:rPr>
          <w:rFonts w:hint="eastAsia" w:ascii="宋体" w:hAnsi="宋体" w:eastAsia="宋体" w:cs="宋体"/>
          <w:color w:val="auto"/>
          <w:sz w:val="24"/>
          <w:szCs w:val="24"/>
          <w:highlight w:val="none"/>
        </w:rPr>
        <w:t>服务管理</w:t>
      </w:r>
      <w:r>
        <w:rPr>
          <w:rFonts w:hint="eastAsia" w:ascii="宋体" w:hAnsi="宋体" w:eastAsia="宋体" w:cs="宋体"/>
          <w:color w:val="auto"/>
          <w:sz w:val="24"/>
          <w:szCs w:val="24"/>
          <w:highlight w:val="none"/>
          <w:lang w:val="en-US" w:eastAsia="zh-CN"/>
        </w:rPr>
        <w:t>制度，定期组织员工开展工作总结、业务培训，积极参加采购人的培训工作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）负责监督检查各岗位队员的值勤情况，发现队员中有违反规定，严格按照规定处理，做好纠正教育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并根据情况进行</w:t>
      </w: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val="en-US" w:eastAsia="zh-CN"/>
        </w:rPr>
        <w:t>处罚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出现人事变动，应及时上报采购人，对于新聘用人员需完成岗前培训，经采购人同意后方可上岗。</w:t>
      </w:r>
    </w:p>
    <w:p>
      <w:pPr>
        <w:pStyle w:val="261"/>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）做好该项目各岗位</w:t>
      </w:r>
      <w:r>
        <w:rPr>
          <w:rFonts w:hint="eastAsia" w:ascii="宋体" w:hAnsi="宋体" w:eastAsia="宋体" w:cs="宋体"/>
          <w:color w:val="auto"/>
          <w:sz w:val="24"/>
          <w:szCs w:val="24"/>
          <w:highlight w:val="none"/>
          <w:lang w:val="en-US" w:eastAsia="zh-CN"/>
        </w:rPr>
        <w:t>日常考勤考核以及工作</w:t>
      </w:r>
      <w:r>
        <w:rPr>
          <w:rFonts w:hint="eastAsia" w:ascii="宋体" w:hAnsi="宋体" w:eastAsia="宋体" w:cs="宋体"/>
          <w:color w:val="auto"/>
          <w:sz w:val="24"/>
          <w:szCs w:val="24"/>
          <w:highlight w:val="none"/>
        </w:rPr>
        <w:t>台账整理，定期接受采购人检查。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）遇到突发事件，</w:t>
      </w:r>
      <w:r>
        <w:rPr>
          <w:rFonts w:hint="eastAsia" w:ascii="宋体" w:hAnsi="宋体" w:eastAsia="宋体" w:cs="宋体"/>
          <w:color w:val="auto"/>
          <w:sz w:val="24"/>
          <w:szCs w:val="24"/>
          <w:highlight w:val="none"/>
          <w:lang w:val="en-US" w:eastAsia="zh-CN"/>
        </w:rPr>
        <w:t>第一时间到达现场，</w:t>
      </w:r>
      <w:r>
        <w:rPr>
          <w:rFonts w:hint="eastAsia" w:ascii="宋体" w:hAnsi="宋体" w:eastAsia="宋体" w:cs="宋体"/>
          <w:color w:val="auto"/>
          <w:sz w:val="24"/>
          <w:szCs w:val="24"/>
          <w:highlight w:val="none"/>
        </w:rPr>
        <w:t>了解情况、控制场面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及时汇报采购人</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）如有事请假或外出须经采购人批准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不得私自离岗外出</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）及时完成</w:t>
      </w:r>
      <w:r>
        <w:rPr>
          <w:rFonts w:hint="eastAsia" w:ascii="宋体" w:hAnsi="宋体" w:eastAsia="宋体" w:cs="宋体"/>
          <w:color w:val="auto"/>
          <w:sz w:val="24"/>
          <w:szCs w:val="24"/>
          <w:highlight w:val="none"/>
          <w:lang w:val="en-US" w:eastAsia="zh-CN"/>
        </w:rPr>
        <w:t>临时</w:t>
      </w:r>
      <w:r>
        <w:rPr>
          <w:rFonts w:hint="eastAsia" w:ascii="宋体" w:hAnsi="宋体" w:eastAsia="宋体" w:cs="宋体"/>
          <w:color w:val="auto"/>
          <w:sz w:val="24"/>
          <w:szCs w:val="24"/>
          <w:highlight w:val="none"/>
        </w:rPr>
        <w:t>交办的各项任务。</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）安保（传达、秩序维护等）；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（1）保安员应拥护党的路线、方针、政策，尊重领导和服务对象，服从安排，听从指挥，身心健康，无违法犯罪记录等。遵守及执行保安行业制度及</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的有关制度。有一定的普通话基础，能听懂杭州方言，语言沟通无障碍。身高不得低于1.68米、18周岁以上</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周岁以下的男性。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）岗位培训：供应商应对其</w:t>
      </w:r>
      <w:r>
        <w:rPr>
          <w:rFonts w:hint="eastAsia" w:ascii="宋体" w:hAnsi="宋体" w:eastAsia="宋体" w:cs="宋体"/>
          <w:color w:val="auto"/>
          <w:sz w:val="24"/>
          <w:szCs w:val="24"/>
          <w:highlight w:val="none"/>
          <w:lang w:val="en-US" w:eastAsia="zh-CN"/>
        </w:rPr>
        <w:t>安保人员</w:t>
      </w:r>
      <w:r>
        <w:rPr>
          <w:rFonts w:hint="eastAsia" w:ascii="宋体" w:hAnsi="宋体" w:eastAsia="宋体" w:cs="宋体"/>
          <w:color w:val="auto"/>
          <w:sz w:val="24"/>
          <w:szCs w:val="24"/>
          <w:highlight w:val="none"/>
        </w:rPr>
        <w:t>进行包括但不仅限于安全、消防、行为规范、法律等知识的上岗培训，培训合格经采购人认可后持证上岗。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）保安员着装及执勤规范要求：供应商应为每位保安员发放采购人认可的保安员制服。保安员执勤时应统一着装（保安员服装由供应商制作，费用由供应商承担），</w:t>
      </w:r>
      <w:r>
        <w:rPr>
          <w:rFonts w:hint="eastAsia" w:ascii="宋体" w:hAnsi="宋体" w:eastAsia="宋体" w:cs="宋体"/>
          <w:color w:val="auto"/>
          <w:sz w:val="24"/>
          <w:szCs w:val="24"/>
          <w:highlight w:val="none"/>
          <w:lang w:eastAsia="zh-CN"/>
        </w:rPr>
        <w:t>佩戴</w:t>
      </w:r>
      <w:r>
        <w:rPr>
          <w:rFonts w:hint="eastAsia" w:ascii="宋体" w:hAnsi="宋体" w:eastAsia="宋体" w:cs="宋体"/>
          <w:color w:val="auto"/>
          <w:sz w:val="24"/>
          <w:szCs w:val="24"/>
          <w:highlight w:val="none"/>
        </w:rPr>
        <w:t>保安标志和值勤证件（保安标志和值勤证件由供应商提供并承担费用），做到仪表端正、着装干净，整齐。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）熟悉</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环境，能处理和应对</w:t>
      </w:r>
      <w:r>
        <w:rPr>
          <w:rFonts w:hint="eastAsia" w:ascii="宋体" w:hAnsi="宋体" w:eastAsia="宋体" w:cs="宋体"/>
          <w:color w:val="auto"/>
          <w:sz w:val="24"/>
          <w:szCs w:val="24"/>
          <w:highlight w:val="none"/>
          <w:lang w:val="en-US" w:eastAsia="zh-CN"/>
        </w:rPr>
        <w:t>馆</w:t>
      </w:r>
      <w:r>
        <w:rPr>
          <w:rFonts w:hint="eastAsia" w:ascii="宋体" w:hAnsi="宋体" w:eastAsia="宋体" w:cs="宋体"/>
          <w:color w:val="auto"/>
          <w:sz w:val="24"/>
          <w:szCs w:val="24"/>
          <w:highlight w:val="none"/>
        </w:rPr>
        <w:t>内公共秩序维护工作，能正确使用各类消防、物防、技防器械和设备，</w:t>
      </w:r>
      <w:r>
        <w:rPr>
          <w:rFonts w:hint="eastAsia" w:ascii="宋体" w:hAnsi="宋体" w:eastAsia="宋体" w:cs="宋体"/>
          <w:color w:val="auto"/>
          <w:sz w:val="24"/>
          <w:szCs w:val="24"/>
          <w:highlight w:val="none"/>
          <w:lang w:val="en-US" w:eastAsia="zh-CN"/>
        </w:rPr>
        <w:t>了解采购人相关应急预案内容，能够有效应对各类突发事件。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）上岗时佩戴统一标志，按需求穿戴统一制服（精致），装备佩戴规范，仪容仪表规范整齐，当值时坐姿挺直，站岗时不倚不靠。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）文明执勤，训练有素，言语规范，认真负责；配备对讲装置和其他必备的安全护卫器械。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保安服务内容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（1）维护馆内正常工作秩序（包括</w:t>
      </w:r>
      <w:r>
        <w:rPr>
          <w:rFonts w:hint="eastAsia" w:ascii="宋体" w:hAnsi="宋体" w:eastAsia="宋体" w:cs="宋体"/>
          <w:color w:val="auto"/>
          <w:sz w:val="24"/>
          <w:szCs w:val="24"/>
          <w:highlight w:val="none"/>
          <w:lang w:val="en-US" w:eastAsia="zh-CN"/>
        </w:rPr>
        <w:t>阻止</w:t>
      </w:r>
      <w:r>
        <w:rPr>
          <w:rFonts w:hint="eastAsia" w:ascii="宋体" w:hAnsi="宋体" w:eastAsia="宋体" w:cs="宋体"/>
          <w:color w:val="auto"/>
          <w:sz w:val="24"/>
          <w:szCs w:val="24"/>
          <w:highlight w:val="none"/>
        </w:rPr>
        <w:t>丧户闹事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杜绝</w:t>
      </w:r>
      <w:r>
        <w:rPr>
          <w:rFonts w:hint="eastAsia" w:ascii="宋体" w:hAnsi="宋体" w:eastAsia="宋体" w:cs="宋体"/>
          <w:color w:val="auto"/>
          <w:sz w:val="24"/>
          <w:szCs w:val="24"/>
          <w:highlight w:val="none"/>
        </w:rPr>
        <w:t>外来</w:t>
      </w:r>
      <w:r>
        <w:rPr>
          <w:rFonts w:hint="eastAsia" w:ascii="宋体" w:hAnsi="宋体" w:eastAsia="宋体" w:cs="宋体"/>
          <w:color w:val="auto"/>
          <w:sz w:val="24"/>
          <w:szCs w:val="24"/>
          <w:highlight w:val="none"/>
          <w:lang w:val="en-US" w:eastAsia="zh-CN"/>
        </w:rPr>
        <w:t>殡葬中介</w:t>
      </w:r>
      <w:r>
        <w:rPr>
          <w:rFonts w:hint="eastAsia" w:ascii="宋体" w:hAnsi="宋体" w:eastAsia="宋体" w:cs="宋体"/>
          <w:color w:val="auto"/>
          <w:sz w:val="24"/>
          <w:szCs w:val="24"/>
          <w:highlight w:val="none"/>
        </w:rPr>
        <w:t>在馆内随意</w:t>
      </w:r>
      <w:r>
        <w:rPr>
          <w:rFonts w:hint="eastAsia" w:ascii="宋体" w:hAnsi="宋体" w:eastAsia="宋体" w:cs="宋体"/>
          <w:color w:val="auto"/>
          <w:sz w:val="24"/>
          <w:szCs w:val="24"/>
          <w:highlight w:val="none"/>
          <w:lang w:val="en-US" w:eastAsia="zh-CN"/>
        </w:rPr>
        <w:t>摆放、</w:t>
      </w:r>
      <w:r>
        <w:rPr>
          <w:rFonts w:hint="eastAsia" w:ascii="宋体" w:hAnsi="宋体" w:eastAsia="宋体" w:cs="宋体"/>
          <w:color w:val="auto"/>
          <w:sz w:val="24"/>
          <w:szCs w:val="24"/>
          <w:highlight w:val="none"/>
        </w:rPr>
        <w:t>兜售</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，防止或减少不法侵害及突发事件的发生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落实花圈以租代售的日常管理等）</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负责落实馆内</w:t>
      </w:r>
      <w:r>
        <w:rPr>
          <w:rFonts w:hint="eastAsia" w:ascii="宋体" w:hAnsi="宋体" w:eastAsia="宋体" w:cs="宋体"/>
          <w:strike w:val="0"/>
          <w:dstrike w:val="0"/>
          <w:color w:val="auto"/>
          <w:sz w:val="24"/>
          <w:szCs w:val="24"/>
          <w:highlight w:val="none"/>
          <w:lang w:val="en-US" w:eastAsia="zh-CN"/>
        </w:rPr>
        <w:t>常态化</w:t>
      </w:r>
      <w:r>
        <w:rPr>
          <w:rFonts w:hint="eastAsia" w:ascii="宋体" w:hAnsi="宋体" w:eastAsia="宋体" w:cs="宋体"/>
          <w:color w:val="auto"/>
          <w:sz w:val="24"/>
          <w:szCs w:val="24"/>
          <w:highlight w:val="none"/>
          <w:lang w:val="en-US" w:eastAsia="zh-CN"/>
        </w:rPr>
        <w:t>卫生消杀工作，做好台账记录。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）负责馆内治安、消防设施设备的巡查，做好</w:t>
      </w:r>
      <w:r>
        <w:rPr>
          <w:rFonts w:hint="eastAsia" w:ascii="宋体" w:hAnsi="宋体" w:eastAsia="宋体" w:cs="宋体"/>
          <w:color w:val="auto"/>
          <w:sz w:val="24"/>
          <w:szCs w:val="24"/>
          <w:highlight w:val="none"/>
          <w:lang w:val="en-US" w:eastAsia="zh-CN"/>
        </w:rPr>
        <w:t>台账</w:t>
      </w:r>
      <w:r>
        <w:rPr>
          <w:rFonts w:hint="eastAsia" w:ascii="宋体" w:hAnsi="宋体" w:eastAsia="宋体" w:cs="宋体"/>
          <w:color w:val="auto"/>
          <w:sz w:val="24"/>
          <w:szCs w:val="24"/>
          <w:highlight w:val="none"/>
        </w:rPr>
        <w:t>记录，消除各种不安全隐患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（3）负责</w:t>
      </w:r>
      <w:r>
        <w:rPr>
          <w:rFonts w:hint="eastAsia" w:ascii="宋体" w:hAnsi="宋体" w:eastAsia="宋体" w:cs="宋体"/>
          <w:color w:val="auto"/>
          <w:sz w:val="24"/>
          <w:szCs w:val="24"/>
          <w:highlight w:val="none"/>
          <w:lang w:val="en-US" w:eastAsia="zh-CN"/>
        </w:rPr>
        <w:t>馆内安全</w:t>
      </w:r>
      <w:r>
        <w:rPr>
          <w:rFonts w:hint="eastAsia" w:ascii="宋体" w:hAnsi="宋体" w:eastAsia="宋体" w:cs="宋体"/>
          <w:color w:val="auto"/>
          <w:sz w:val="24"/>
          <w:szCs w:val="24"/>
          <w:highlight w:val="none"/>
        </w:rPr>
        <w:t>巡逻，确保馆内工作人员和公共财产安全，处置突发事件应急处理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（4）馆内发生纠纷等突发事件，迅速组织人员到</w:t>
      </w:r>
      <w:r>
        <w:rPr>
          <w:rFonts w:hint="eastAsia" w:ascii="宋体" w:hAnsi="宋体" w:eastAsia="宋体" w:cs="宋体"/>
          <w:color w:val="auto"/>
          <w:sz w:val="24"/>
          <w:szCs w:val="24"/>
          <w:highlight w:val="none"/>
          <w:lang w:val="en-US" w:eastAsia="zh-CN"/>
        </w:rPr>
        <w:t>达</w:t>
      </w:r>
      <w:r>
        <w:rPr>
          <w:rFonts w:hint="eastAsia" w:ascii="宋体" w:hAnsi="宋体" w:eastAsia="宋体" w:cs="宋体"/>
          <w:color w:val="auto"/>
          <w:sz w:val="24"/>
          <w:szCs w:val="24"/>
          <w:highlight w:val="none"/>
        </w:rPr>
        <w:t>现场并妥善处置。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（5）服从领导指派的各项临时性突发任务</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、一般执勤要求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（1）保安员必须加强法制观念，自觉遵守国家的法律、法规和条例，遵守工作纪律、采购人的各项规章制度和员工守则</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w:t>
      </w:r>
      <w:r>
        <w:rPr>
          <w:rFonts w:hint="eastAsia" w:ascii="宋体" w:hAnsi="宋体" w:eastAsia="宋体" w:cs="宋体"/>
          <w:color w:val="auto"/>
          <w:sz w:val="24"/>
          <w:szCs w:val="24"/>
          <w:highlight w:val="none"/>
          <w:lang w:val="en-US" w:eastAsia="zh-CN"/>
        </w:rPr>
        <w:t>群众</w:t>
      </w:r>
      <w:r>
        <w:rPr>
          <w:rFonts w:hint="eastAsia" w:ascii="宋体" w:hAnsi="宋体" w:eastAsia="宋体" w:cs="宋体"/>
          <w:color w:val="auto"/>
          <w:sz w:val="24"/>
          <w:szCs w:val="24"/>
          <w:highlight w:val="none"/>
        </w:rPr>
        <w:t>为中心，全心全意为</w:t>
      </w:r>
      <w:r>
        <w:rPr>
          <w:rFonts w:hint="eastAsia" w:ascii="宋体" w:hAnsi="宋体" w:eastAsia="宋体" w:cs="宋体"/>
          <w:color w:val="auto"/>
          <w:sz w:val="24"/>
          <w:szCs w:val="24"/>
          <w:highlight w:val="none"/>
          <w:lang w:val="en-US" w:eastAsia="zh-CN"/>
        </w:rPr>
        <w:t>治丧</w:t>
      </w:r>
      <w:r>
        <w:rPr>
          <w:rFonts w:hint="eastAsia" w:ascii="宋体" w:hAnsi="宋体" w:eastAsia="宋体" w:cs="宋体"/>
          <w:color w:val="auto"/>
          <w:sz w:val="24"/>
          <w:szCs w:val="24"/>
          <w:highlight w:val="none"/>
        </w:rPr>
        <w:t>家属服务，不得以工作之便收受好处。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员执勤期间，应接受采购人的领导和监督。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（5）保安员执勤应爱岗敬业，恪尽职守，遵纪守法，文明执勤，礼貌待人，紧要关头能够挺身而出敢于同违法犯罪现象作斗争。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（6）保安</w:t>
      </w:r>
      <w:r>
        <w:rPr>
          <w:rFonts w:hint="eastAsia" w:ascii="宋体" w:hAnsi="宋体" w:eastAsia="宋体" w:cs="宋体"/>
          <w:color w:val="auto"/>
          <w:sz w:val="24"/>
          <w:szCs w:val="24"/>
          <w:highlight w:val="none"/>
          <w:lang w:val="en-US" w:eastAsia="zh-CN"/>
        </w:rPr>
        <w:t>人员工作</w:t>
      </w:r>
      <w:r>
        <w:rPr>
          <w:rFonts w:hint="eastAsia" w:ascii="宋体" w:hAnsi="宋体" w:eastAsia="宋体" w:cs="宋体"/>
          <w:color w:val="auto"/>
          <w:sz w:val="24"/>
          <w:szCs w:val="24"/>
          <w:highlight w:val="none"/>
        </w:rPr>
        <w:t>做到不迟到、不早退、不串岗、不脱岗、不漏更、不旷工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当班期间不得睡觉、玩手机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不得饮酒，严禁赌博。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（7）保安</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员应认真做好交接</w:t>
      </w:r>
      <w:r>
        <w:rPr>
          <w:rFonts w:hint="eastAsia" w:ascii="宋体" w:hAnsi="宋体" w:eastAsia="宋体" w:cs="宋体"/>
          <w:color w:val="auto"/>
          <w:sz w:val="24"/>
          <w:szCs w:val="24"/>
          <w:highlight w:val="none"/>
          <w:lang w:val="en-US" w:eastAsia="zh-CN"/>
        </w:rPr>
        <w:t>班</w:t>
      </w:r>
      <w:r>
        <w:rPr>
          <w:rFonts w:hint="eastAsia" w:ascii="宋体" w:hAnsi="宋体" w:eastAsia="宋体" w:cs="宋体"/>
          <w:color w:val="auto"/>
          <w:sz w:val="24"/>
          <w:szCs w:val="24"/>
          <w:highlight w:val="none"/>
        </w:rPr>
        <w:t>工作，交接事项应详尽、准确记录</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）如有事请假或外出须经采购人批准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不得私自离岗外出</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、突发事件处理</w:t>
      </w:r>
      <w:r>
        <w:rPr>
          <w:rFonts w:hint="eastAsia" w:ascii="宋体" w:hAnsi="宋体" w:eastAsia="宋体" w:cs="宋体"/>
          <w:color w:val="auto"/>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（1）按照要求制订</w:t>
      </w:r>
      <w:r>
        <w:rPr>
          <w:rFonts w:hint="eastAsia" w:ascii="宋体" w:hAnsi="宋体" w:eastAsia="宋体" w:cs="宋体"/>
          <w:color w:val="auto"/>
          <w:sz w:val="24"/>
          <w:szCs w:val="24"/>
          <w:highlight w:val="none"/>
          <w:lang w:val="en-US" w:eastAsia="zh-CN"/>
        </w:rPr>
        <w:t>安保服务</w:t>
      </w:r>
      <w:r>
        <w:rPr>
          <w:rFonts w:hint="eastAsia" w:ascii="宋体" w:hAnsi="宋体" w:eastAsia="宋体" w:cs="宋体"/>
          <w:color w:val="auto"/>
          <w:sz w:val="24"/>
          <w:szCs w:val="24"/>
          <w:highlight w:val="none"/>
        </w:rPr>
        <w:t>突发事件应急预案（报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备案）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须根据应急预案内容每月组织安保操练，每季度</w:t>
      </w:r>
      <w:r>
        <w:rPr>
          <w:rFonts w:hint="eastAsia" w:ascii="宋体" w:hAnsi="宋体" w:eastAsia="宋体" w:cs="宋体"/>
          <w:color w:val="auto"/>
          <w:sz w:val="24"/>
          <w:szCs w:val="24"/>
          <w:highlight w:val="none"/>
        </w:rPr>
        <w:t>组织突发事件应急演习。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台风、暴雨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暴雪</w:t>
      </w:r>
      <w:r>
        <w:rPr>
          <w:rFonts w:hint="eastAsia" w:ascii="宋体" w:hAnsi="宋体" w:eastAsia="宋体" w:cs="宋体"/>
          <w:color w:val="auto"/>
          <w:sz w:val="24"/>
          <w:szCs w:val="24"/>
          <w:highlight w:val="none"/>
        </w:rPr>
        <w:t>等灾害性天气</w:t>
      </w:r>
      <w:r>
        <w:rPr>
          <w:rFonts w:hint="eastAsia" w:ascii="宋体" w:hAnsi="宋体" w:eastAsia="宋体" w:cs="宋体"/>
          <w:color w:val="auto"/>
          <w:sz w:val="24"/>
          <w:szCs w:val="24"/>
          <w:highlight w:val="none"/>
          <w:lang w:val="en-US" w:eastAsia="zh-CN"/>
        </w:rPr>
        <w:t>到来前</w:t>
      </w:r>
      <w:r>
        <w:rPr>
          <w:rFonts w:hint="eastAsia" w:ascii="宋体" w:hAnsi="宋体" w:eastAsia="宋体" w:cs="宋体"/>
          <w:color w:val="auto"/>
          <w:sz w:val="24"/>
          <w:szCs w:val="24"/>
          <w:highlight w:val="none"/>
        </w:rPr>
        <w:t>，应对设备机房、停车场、广告牌、电线杆等露天设施进行检查和加固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定期清理屋面、沟沿、下水道淤泥与枯枝落叶，修剪树木多余枝条，合理管理、运用防汛、抗寒等的应急物资，如有缺失，应立即上报采购人采购</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出现人员纠纷等情况，应</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当事</w:t>
      </w:r>
      <w:r>
        <w:rPr>
          <w:rFonts w:hint="eastAsia" w:ascii="宋体" w:hAnsi="宋体" w:eastAsia="宋体" w:cs="宋体"/>
          <w:color w:val="auto"/>
          <w:sz w:val="24"/>
          <w:szCs w:val="24"/>
          <w:highlight w:val="none"/>
        </w:rPr>
        <w:t>人做到耐心说服，</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及时报告有关部门予以妥善处置。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）完成我馆交办的其它工作。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、门岗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1）保障</w:t>
      </w:r>
      <w:r>
        <w:rPr>
          <w:rFonts w:hint="eastAsia" w:ascii="宋体" w:hAnsi="宋体" w:eastAsia="宋体" w:cs="宋体"/>
          <w:color w:val="auto"/>
          <w:sz w:val="24"/>
          <w:szCs w:val="24"/>
          <w:highlight w:val="none"/>
        </w:rPr>
        <w:t>大门出入口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24小时值班看守。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有详细完整的交接班记录。（接班人员未到，当班人不得擅自离开岗位）。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引导车辆有序</w:t>
      </w:r>
      <w:r>
        <w:rPr>
          <w:rFonts w:hint="eastAsia" w:ascii="宋体" w:hAnsi="宋体" w:eastAsia="宋体" w:cs="宋体"/>
          <w:color w:val="auto"/>
          <w:sz w:val="24"/>
          <w:szCs w:val="24"/>
          <w:highlight w:val="none"/>
          <w:lang w:val="en-US" w:eastAsia="zh-CN"/>
        </w:rPr>
        <w:t>入馆</w:t>
      </w:r>
      <w:r>
        <w:rPr>
          <w:rFonts w:hint="eastAsia" w:ascii="宋体" w:hAnsi="宋体" w:eastAsia="宋体" w:cs="宋体"/>
          <w:color w:val="auto"/>
          <w:sz w:val="24"/>
          <w:szCs w:val="24"/>
          <w:highlight w:val="none"/>
        </w:rPr>
        <w:t>，维护好</w:t>
      </w:r>
      <w:r>
        <w:rPr>
          <w:rFonts w:hint="eastAsia" w:ascii="宋体" w:hAnsi="宋体" w:eastAsia="宋体" w:cs="宋体"/>
          <w:color w:val="auto"/>
          <w:sz w:val="24"/>
          <w:szCs w:val="24"/>
          <w:highlight w:val="none"/>
          <w:lang w:val="en-US" w:eastAsia="zh-CN"/>
        </w:rPr>
        <w:t>入口</w:t>
      </w:r>
      <w:r>
        <w:rPr>
          <w:rFonts w:hint="eastAsia" w:ascii="宋体" w:hAnsi="宋体" w:eastAsia="宋体" w:cs="宋体"/>
          <w:color w:val="auto"/>
          <w:sz w:val="24"/>
          <w:szCs w:val="24"/>
          <w:highlight w:val="none"/>
        </w:rPr>
        <w:t>秩序及安全。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物品进出实施分类管理，实行进出审验制度，杜绝危险物品进入。对大型物件搬出实行确认制度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并进行记录。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5）负责各部门的</w:t>
      </w:r>
      <w:r>
        <w:rPr>
          <w:rFonts w:hint="eastAsia" w:ascii="宋体" w:hAnsi="宋体" w:eastAsia="宋体" w:cs="宋体"/>
          <w:color w:val="auto"/>
          <w:sz w:val="24"/>
          <w:szCs w:val="24"/>
          <w:highlight w:val="none"/>
        </w:rPr>
        <w:t>报刊、信件、快件等收发，并负责送到职工办公室，做到及时准确。挂号信件、邮件、快件做到登记、领取手续齐全。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根据殡仪馆需要做好其它工作。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、巡逻岗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1）西溪路731号</w:t>
      </w:r>
      <w:r>
        <w:rPr>
          <w:rFonts w:hint="eastAsia" w:ascii="宋体" w:hAnsi="宋体" w:eastAsia="宋体" w:cs="宋体"/>
          <w:color w:val="auto"/>
          <w:sz w:val="24"/>
          <w:szCs w:val="24"/>
          <w:highlight w:val="none"/>
        </w:rPr>
        <w:t>、850号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870号工作区域内白天（6:30-18:30）不定时</w:t>
      </w:r>
      <w:r>
        <w:rPr>
          <w:rFonts w:hint="eastAsia" w:ascii="宋体" w:hAnsi="宋体" w:eastAsia="宋体" w:cs="宋体"/>
          <w:color w:val="auto"/>
          <w:sz w:val="24"/>
          <w:szCs w:val="24"/>
          <w:highlight w:val="none"/>
        </w:rPr>
        <w:t>巡逻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做到及时发现情况，及时处置。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2）西溪路731号</w:t>
      </w:r>
      <w:r>
        <w:rPr>
          <w:rFonts w:hint="eastAsia" w:ascii="宋体" w:hAnsi="宋体" w:eastAsia="宋体" w:cs="宋体"/>
          <w:color w:val="auto"/>
          <w:sz w:val="24"/>
          <w:szCs w:val="24"/>
          <w:highlight w:val="none"/>
        </w:rPr>
        <w:t>、850号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870号工作区域内晚间（18:30－次日6:30）</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小时巡查一次，重点部位、重点区域每1小时巡逻一次。发现问题及时</w:t>
      </w:r>
      <w:r>
        <w:rPr>
          <w:rFonts w:hint="eastAsia" w:ascii="宋体" w:hAnsi="宋体" w:eastAsia="宋体" w:cs="宋体"/>
          <w:color w:val="auto"/>
          <w:sz w:val="24"/>
          <w:szCs w:val="24"/>
          <w:highlight w:val="none"/>
          <w:lang w:val="en-US" w:eastAsia="zh-CN"/>
        </w:rPr>
        <w:t>汇报并处置，</w:t>
      </w:r>
      <w:r>
        <w:rPr>
          <w:rFonts w:hint="eastAsia" w:ascii="宋体" w:hAnsi="宋体" w:eastAsia="宋体" w:cs="宋体"/>
          <w:color w:val="auto"/>
          <w:sz w:val="24"/>
          <w:szCs w:val="24"/>
          <w:highlight w:val="none"/>
        </w:rPr>
        <w:t>做好相关记录。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3）夜间</w:t>
      </w:r>
      <w:r>
        <w:rPr>
          <w:rFonts w:hint="eastAsia" w:ascii="宋体" w:hAnsi="宋体" w:eastAsia="宋体" w:cs="宋体"/>
          <w:color w:val="auto"/>
          <w:sz w:val="24"/>
          <w:szCs w:val="24"/>
          <w:highlight w:val="none"/>
        </w:rPr>
        <w:t>巡逻</w:t>
      </w:r>
      <w:r>
        <w:rPr>
          <w:rFonts w:hint="eastAsia" w:ascii="宋体" w:hAnsi="宋体" w:eastAsia="宋体" w:cs="宋体"/>
          <w:color w:val="auto"/>
          <w:sz w:val="24"/>
          <w:szCs w:val="24"/>
          <w:highlight w:val="none"/>
          <w:lang w:val="en-US" w:eastAsia="zh-CN"/>
        </w:rPr>
        <w:t>与监控室进行远程沟通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每月2次消防检查，发现问题及时报告并做好消防巡查台账。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在殡仪馆丧户或职工需要帮助时，应主动热情地提供帮助，不能解决的则负责联系服务大厅或其他相关部门。在遇到紧急求助时，五分钟内赶到现场，采取相应措施。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6）夜间巡逻期间</w:t>
      </w:r>
      <w:r>
        <w:rPr>
          <w:rFonts w:hint="eastAsia" w:ascii="宋体" w:hAnsi="宋体" w:eastAsia="宋体" w:cs="宋体"/>
          <w:color w:val="auto"/>
          <w:sz w:val="24"/>
          <w:szCs w:val="24"/>
          <w:highlight w:val="none"/>
        </w:rPr>
        <w:t>遇见</w:t>
      </w:r>
      <w:r>
        <w:rPr>
          <w:rFonts w:hint="eastAsia" w:ascii="宋体" w:hAnsi="宋体" w:eastAsia="宋体" w:cs="宋体"/>
          <w:color w:val="auto"/>
          <w:sz w:val="24"/>
          <w:szCs w:val="24"/>
          <w:highlight w:val="none"/>
          <w:lang w:val="en-US" w:eastAsia="zh-CN"/>
        </w:rPr>
        <w:t>可疑人员应主动上前询问</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非治丧人员应</w:t>
      </w:r>
      <w:r>
        <w:rPr>
          <w:rFonts w:hint="eastAsia" w:ascii="宋体" w:hAnsi="宋体" w:eastAsia="宋体" w:cs="宋体"/>
          <w:color w:val="auto"/>
          <w:sz w:val="24"/>
          <w:szCs w:val="24"/>
          <w:highlight w:val="none"/>
        </w:rPr>
        <w:t>及时劝离殡仪馆。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应急响应：接到火警、警情及遇到异常情况时，五分钟内到达现场，并</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报</w:t>
      </w:r>
      <w:r>
        <w:rPr>
          <w:rFonts w:hint="eastAsia" w:ascii="宋体" w:hAnsi="宋体" w:eastAsia="宋体" w:cs="宋体"/>
          <w:color w:val="auto"/>
          <w:sz w:val="24"/>
          <w:szCs w:val="24"/>
          <w:highlight w:val="none"/>
          <w:lang w:val="en-US" w:eastAsia="zh-CN"/>
        </w:rPr>
        <w:t>保安队长和后勤部门</w:t>
      </w:r>
      <w:r>
        <w:rPr>
          <w:rFonts w:hint="eastAsia" w:ascii="宋体" w:hAnsi="宋体" w:eastAsia="宋体" w:cs="宋体"/>
          <w:color w:val="auto"/>
          <w:sz w:val="24"/>
          <w:szCs w:val="24"/>
          <w:highlight w:val="none"/>
        </w:rPr>
        <w:t>，协助采取有关措施。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每日治安、消防安全检查，做好巡查记录。发现各种不安全隐患，及时报告。遇重大突发事件或发生纠纷时，保安员应全力稳定局势，并立即向</w:t>
      </w:r>
      <w:r>
        <w:rPr>
          <w:rFonts w:hint="eastAsia" w:ascii="宋体" w:hAnsi="宋体" w:eastAsia="宋体" w:cs="宋体"/>
          <w:color w:val="auto"/>
          <w:sz w:val="24"/>
          <w:szCs w:val="24"/>
          <w:highlight w:val="none"/>
          <w:lang w:val="en-US" w:eastAsia="zh-CN"/>
        </w:rPr>
        <w:t>后勤保障部门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保安队长</w:t>
      </w:r>
      <w:r>
        <w:rPr>
          <w:rFonts w:hint="eastAsia" w:ascii="宋体" w:hAnsi="宋体" w:eastAsia="宋体" w:cs="宋体"/>
          <w:color w:val="auto"/>
          <w:sz w:val="24"/>
          <w:szCs w:val="24"/>
          <w:highlight w:val="none"/>
        </w:rPr>
        <w:t>报告。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负责火化间、服务大厅及油库等重点部位安全、消防管理，要求24小时监管及日常巡视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夜间巡逻</w:t>
      </w:r>
      <w:r>
        <w:rPr>
          <w:rFonts w:hint="eastAsia" w:ascii="宋体" w:hAnsi="宋体" w:eastAsia="宋体" w:cs="宋体"/>
          <w:color w:val="auto"/>
          <w:sz w:val="24"/>
          <w:szCs w:val="24"/>
          <w:highlight w:val="none"/>
        </w:rPr>
        <w:t>要求每小时打点一次，以巡更信息为准。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val="en-US" w:eastAsia="zh-CN"/>
        </w:rPr>
        <w:t>部门</w:t>
      </w:r>
      <w:r>
        <w:rPr>
          <w:rFonts w:hint="eastAsia" w:ascii="宋体" w:hAnsi="宋体" w:eastAsia="宋体" w:cs="宋体"/>
          <w:color w:val="auto"/>
          <w:sz w:val="24"/>
          <w:szCs w:val="24"/>
          <w:highlight w:val="none"/>
        </w:rPr>
        <w:t>下班后，巡逻员应及时检查办公室、仓库门锁。检查门禁是否正常关闭，发现异常情况应立即报告</w:t>
      </w:r>
      <w:r>
        <w:rPr>
          <w:rFonts w:hint="eastAsia" w:ascii="宋体" w:hAnsi="宋体" w:eastAsia="宋体" w:cs="宋体"/>
          <w:color w:val="auto"/>
          <w:sz w:val="24"/>
          <w:szCs w:val="24"/>
          <w:highlight w:val="none"/>
          <w:lang w:val="en-US" w:eastAsia="zh-CN"/>
        </w:rPr>
        <w:t>保安队长</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（11）负责馆区范围内所有施工区域及其周边的安全隐患检查，</w:t>
      </w:r>
      <w:r>
        <w:rPr>
          <w:rFonts w:hint="eastAsia" w:ascii="宋体" w:hAnsi="宋体" w:eastAsia="宋体" w:cs="宋体"/>
          <w:color w:val="auto"/>
          <w:sz w:val="24"/>
          <w:szCs w:val="24"/>
          <w:highlight w:val="none"/>
        </w:rPr>
        <w:t>发现各种不安全隐患，及时报告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并协助相关科室落实隐患消除。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、车辆管理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机动车按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指定区域停放，引导进出，保证停放有序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道路通畅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提醒车主带好贵重物品，锁好车门、窗。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非机动车按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指定停放区域停放，引导进出，做到停放有序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道路通畅；</w:t>
      </w:r>
      <w:r>
        <w:rPr>
          <w:rFonts w:hint="eastAsia" w:ascii="宋体" w:hAnsi="宋体" w:eastAsia="宋体" w:cs="宋体"/>
          <w:color w:val="auto"/>
          <w:sz w:val="24"/>
          <w:szCs w:val="24"/>
          <w:highlight w:val="none"/>
          <w:lang w:val="en-US" w:eastAsia="zh-CN"/>
        </w:rPr>
        <w:t>提醒车主带好贵重物品，锁好车辆，不得私拉乱接充电线</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对临时停车、送货或办事的车辆（含非机动车），态度和善，耐心说服引导，不能影响</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的整体</w:t>
      </w:r>
      <w:r>
        <w:rPr>
          <w:rFonts w:hint="eastAsia" w:ascii="宋体" w:hAnsi="宋体" w:eastAsia="宋体" w:cs="宋体"/>
          <w:color w:val="auto"/>
          <w:sz w:val="24"/>
          <w:szCs w:val="24"/>
          <w:highlight w:val="none"/>
          <w:lang w:val="en-US" w:eastAsia="zh-CN"/>
        </w:rPr>
        <w:t>形象</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对进出殡仪馆的车辆严格控制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保证车位合理利用</w:t>
      </w:r>
      <w:r>
        <w:rPr>
          <w:rFonts w:hint="eastAsia" w:ascii="宋体" w:hAnsi="宋体" w:eastAsia="宋体" w:cs="宋体"/>
          <w:color w:val="auto"/>
          <w:sz w:val="24"/>
          <w:szCs w:val="24"/>
          <w:highlight w:val="none"/>
        </w:rPr>
        <w:t>，引导车辆有序通行、停放。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每日于</w:t>
      </w:r>
      <w:r>
        <w:rPr>
          <w:rFonts w:hint="eastAsia" w:ascii="宋体" w:hAnsi="宋体" w:eastAsia="宋体" w:cs="宋体"/>
          <w:color w:val="auto"/>
          <w:sz w:val="24"/>
          <w:szCs w:val="24"/>
          <w:highlight w:val="none"/>
          <w:u w:val="single"/>
        </w:rPr>
        <w:t>16</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至次日</w:t>
      </w:r>
      <w:r>
        <w:rPr>
          <w:rFonts w:hint="eastAsia" w:ascii="宋体" w:hAnsi="宋体" w:eastAsia="宋体" w:cs="宋体"/>
          <w:color w:val="auto"/>
          <w:sz w:val="24"/>
          <w:szCs w:val="24"/>
          <w:highlight w:val="none"/>
          <w:u w:val="single"/>
        </w:rPr>
        <w:t>06:30</w:t>
      </w:r>
      <w:r>
        <w:rPr>
          <w:rFonts w:hint="eastAsia" w:ascii="宋体" w:hAnsi="宋体" w:eastAsia="宋体" w:cs="宋体"/>
          <w:color w:val="auto"/>
          <w:sz w:val="24"/>
          <w:szCs w:val="24"/>
          <w:highlight w:val="none"/>
        </w:rPr>
        <w:t>将大门道闸关闭。必须对驶入车辆进行询问来由，如遇办理丧事业务、守灵厅守灵丧属及110、</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119等特殊车辆</w:t>
      </w:r>
      <w:r>
        <w:rPr>
          <w:rFonts w:hint="eastAsia" w:ascii="宋体" w:hAnsi="宋体" w:eastAsia="宋体" w:cs="宋体"/>
          <w:color w:val="auto"/>
          <w:sz w:val="24"/>
          <w:szCs w:val="24"/>
          <w:highlight w:val="none"/>
          <w:lang w:val="en-US" w:eastAsia="zh-CN"/>
        </w:rPr>
        <w:t>经确认后</w:t>
      </w:r>
      <w:r>
        <w:rPr>
          <w:rFonts w:hint="eastAsia" w:ascii="宋体" w:hAnsi="宋体" w:eastAsia="宋体" w:cs="宋体"/>
          <w:color w:val="auto"/>
          <w:sz w:val="24"/>
          <w:szCs w:val="24"/>
          <w:highlight w:val="none"/>
        </w:rPr>
        <w:t>准予放行。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对垃圾清运、油料运输及110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120、119</w:t>
      </w:r>
      <w:r>
        <w:rPr>
          <w:rFonts w:hint="eastAsia" w:ascii="宋体" w:hAnsi="宋体" w:eastAsia="宋体" w:cs="宋体"/>
          <w:color w:val="auto"/>
          <w:sz w:val="24"/>
          <w:szCs w:val="24"/>
          <w:highlight w:val="none"/>
        </w:rPr>
        <w:t>等特殊车辆安保人员使用遥控器开启道闸放行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保证通行</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大厅秩序维护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主要负责服务大厅家属询问、咨询</w:t>
      </w:r>
      <w:r>
        <w:rPr>
          <w:rFonts w:hint="eastAsia" w:ascii="宋体" w:hAnsi="宋体" w:eastAsia="宋体" w:cs="宋体"/>
          <w:color w:val="auto"/>
          <w:sz w:val="24"/>
          <w:szCs w:val="24"/>
          <w:highlight w:val="none"/>
          <w:lang w:val="en-US" w:eastAsia="zh-CN"/>
        </w:rPr>
        <w:t>以及日常秩序维护</w:t>
      </w:r>
      <w:r>
        <w:rPr>
          <w:rFonts w:hint="eastAsia" w:ascii="宋体" w:hAnsi="宋体" w:eastAsia="宋体" w:cs="宋体"/>
          <w:color w:val="auto"/>
          <w:sz w:val="24"/>
          <w:szCs w:val="24"/>
          <w:highlight w:val="none"/>
        </w:rPr>
        <w:t>等相关工作。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负责服务大厅内巡查、发现问题及时</w:t>
      </w:r>
      <w:r>
        <w:rPr>
          <w:rFonts w:hint="eastAsia" w:ascii="宋体" w:hAnsi="宋体" w:eastAsia="宋体" w:cs="宋体"/>
          <w:color w:val="auto"/>
          <w:sz w:val="24"/>
          <w:szCs w:val="24"/>
          <w:highlight w:val="none"/>
          <w:lang w:val="en-US" w:eastAsia="zh-CN"/>
        </w:rPr>
        <w:t>上报、</w:t>
      </w:r>
      <w:r>
        <w:rPr>
          <w:rFonts w:hint="eastAsia" w:ascii="宋体" w:hAnsi="宋体" w:eastAsia="宋体" w:cs="宋体"/>
          <w:color w:val="auto"/>
          <w:sz w:val="24"/>
          <w:szCs w:val="24"/>
          <w:highlight w:val="none"/>
        </w:rPr>
        <w:t>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人员年龄为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0岁以下男性，形象好，身高不低于1.75m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普通话标准，能听懂杭州方言，有良好的沟通能力和应变能力。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4）懂得基础性业务知识，</w:t>
      </w:r>
      <w:r>
        <w:rPr>
          <w:rFonts w:hint="eastAsia" w:ascii="宋体" w:hAnsi="宋体" w:eastAsia="宋体" w:cs="宋体"/>
          <w:color w:val="auto"/>
          <w:sz w:val="24"/>
          <w:szCs w:val="24"/>
          <w:highlight w:val="none"/>
        </w:rPr>
        <w:t>能做好咨询引导，</w:t>
      </w:r>
      <w:r>
        <w:rPr>
          <w:rFonts w:hint="eastAsia" w:ascii="宋体" w:hAnsi="宋体" w:eastAsia="宋体" w:cs="宋体"/>
          <w:color w:val="auto"/>
          <w:sz w:val="24"/>
          <w:szCs w:val="24"/>
          <w:highlight w:val="none"/>
          <w:lang w:val="en-US" w:eastAsia="zh-CN"/>
        </w:rPr>
        <w:t>能够</w:t>
      </w:r>
      <w:r>
        <w:rPr>
          <w:rFonts w:hint="eastAsia" w:ascii="宋体" w:hAnsi="宋体" w:eastAsia="宋体" w:cs="宋体"/>
          <w:color w:val="auto"/>
          <w:sz w:val="24"/>
          <w:szCs w:val="24"/>
          <w:highlight w:val="none"/>
        </w:rPr>
        <w:t>熟练操作票据自助打印机等设备。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遗体卸运处秩序维护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负责卸运通道的</w:t>
      </w:r>
      <w:r>
        <w:rPr>
          <w:rFonts w:hint="eastAsia" w:ascii="宋体" w:hAnsi="宋体" w:eastAsia="宋体" w:cs="宋体"/>
          <w:color w:val="auto"/>
          <w:sz w:val="24"/>
          <w:szCs w:val="24"/>
          <w:highlight w:val="none"/>
        </w:rPr>
        <w:t>秩序</w:t>
      </w:r>
      <w:r>
        <w:rPr>
          <w:rFonts w:hint="eastAsia" w:ascii="宋体" w:hAnsi="宋体" w:eastAsia="宋体" w:cs="宋体"/>
          <w:color w:val="auto"/>
          <w:sz w:val="24"/>
          <w:szCs w:val="24"/>
          <w:highlight w:val="none"/>
          <w:lang w:val="en-US" w:eastAsia="zh-CN"/>
        </w:rPr>
        <w:t>维护，协助内勤工作人员做好认尸人数控制，避免人群聚集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（2）维护</w:t>
      </w:r>
      <w:r>
        <w:rPr>
          <w:rFonts w:hint="eastAsia" w:ascii="宋体" w:hAnsi="宋体" w:eastAsia="宋体" w:cs="宋体"/>
          <w:color w:val="auto"/>
          <w:sz w:val="24"/>
          <w:szCs w:val="24"/>
          <w:highlight w:val="none"/>
          <w:lang w:val="en-US" w:eastAsia="zh-CN"/>
        </w:rPr>
        <w:t>内勤处</w:t>
      </w:r>
      <w:r>
        <w:rPr>
          <w:rFonts w:hint="eastAsia" w:ascii="宋体" w:hAnsi="宋体" w:eastAsia="宋体" w:cs="宋体"/>
          <w:color w:val="auto"/>
          <w:sz w:val="24"/>
          <w:szCs w:val="24"/>
          <w:highlight w:val="none"/>
        </w:rPr>
        <w:t>正常工作秩序（包括</w:t>
      </w:r>
      <w:r>
        <w:rPr>
          <w:rFonts w:hint="eastAsia" w:ascii="宋体" w:hAnsi="宋体" w:eastAsia="宋体" w:cs="宋体"/>
          <w:color w:val="auto"/>
          <w:sz w:val="24"/>
          <w:szCs w:val="24"/>
          <w:highlight w:val="none"/>
          <w:lang w:val="en-US" w:eastAsia="zh-CN"/>
        </w:rPr>
        <w:t>阻止</w:t>
      </w:r>
      <w:r>
        <w:rPr>
          <w:rFonts w:hint="eastAsia" w:ascii="宋体" w:hAnsi="宋体" w:eastAsia="宋体" w:cs="宋体"/>
          <w:color w:val="auto"/>
          <w:sz w:val="24"/>
          <w:szCs w:val="24"/>
          <w:highlight w:val="none"/>
        </w:rPr>
        <w:t>丧户闹事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杜绝</w:t>
      </w:r>
      <w:r>
        <w:rPr>
          <w:rFonts w:hint="eastAsia" w:ascii="宋体" w:hAnsi="宋体" w:eastAsia="宋体" w:cs="宋体"/>
          <w:color w:val="auto"/>
          <w:sz w:val="24"/>
          <w:szCs w:val="24"/>
          <w:highlight w:val="none"/>
        </w:rPr>
        <w:t>外来</w:t>
      </w:r>
      <w:r>
        <w:rPr>
          <w:rFonts w:hint="eastAsia" w:ascii="宋体" w:hAnsi="宋体" w:eastAsia="宋体" w:cs="宋体"/>
          <w:color w:val="auto"/>
          <w:sz w:val="24"/>
          <w:szCs w:val="24"/>
          <w:highlight w:val="none"/>
          <w:lang w:val="en-US" w:eastAsia="zh-CN"/>
        </w:rPr>
        <w:t>殡葬中介进入操作间</w:t>
      </w:r>
      <w:r>
        <w:rPr>
          <w:rFonts w:hint="eastAsia" w:ascii="宋体" w:hAnsi="宋体" w:eastAsia="宋体" w:cs="宋体"/>
          <w:color w:val="auto"/>
          <w:sz w:val="24"/>
          <w:szCs w:val="24"/>
          <w:highlight w:val="none"/>
        </w:rPr>
        <w:t>，防止或减少不法侵害及突发事件的发生</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（3）对非我馆殡仪车辆严格控制，禁止非我馆殡仪车辆进入，做到耐心和善、文明劝导。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（4）普通话标准，能听懂杭州方言，有良好的沟通能力和应变能力。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、火化间秩序维护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（1）负责火化间内家属劝导等工作。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）维护火化间休息室正常秩序。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（3）人员年龄为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0岁以下男性，形象好，身高不低于1.7m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高中以上学历，普通话标准，能听懂杭州方言，有良好的沟通能力和应变能力。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（四）监控管理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（1）身体健康，</w:t>
      </w:r>
      <w:r>
        <w:rPr>
          <w:rFonts w:hint="eastAsia" w:ascii="宋体" w:hAnsi="宋体" w:eastAsia="宋体" w:cs="宋体"/>
          <w:color w:val="auto"/>
          <w:sz w:val="24"/>
          <w:szCs w:val="24"/>
          <w:highlight w:val="none"/>
          <w:lang w:val="en-US" w:eastAsia="zh-CN"/>
        </w:rPr>
        <w:t>熟练操作电脑，</w:t>
      </w:r>
      <w:r>
        <w:rPr>
          <w:rFonts w:hint="eastAsia" w:ascii="宋体" w:hAnsi="宋体" w:eastAsia="宋体" w:cs="宋体"/>
          <w:color w:val="auto"/>
          <w:sz w:val="24"/>
          <w:szCs w:val="24"/>
          <w:highlight w:val="none"/>
        </w:rPr>
        <w:t>年龄均不得超过</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）从业人员必须持与本岗位相匹配的</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工作认真负责并定期接受培训。</w:t>
      </w:r>
    </w:p>
    <w:p>
      <w:pPr>
        <w:pStyle w:val="261"/>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）上岗时佩戴统一标志，按需求穿戴统一制服（精致），装备佩戴规范，仪容仪表规范整齐。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2、岗位要求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保障监控设备正常运转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24小时值守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值班人员必须持证上岗，注视各设备所传达的信息。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应急处理能力强，</w:t>
      </w:r>
      <w:r>
        <w:rPr>
          <w:rFonts w:hint="eastAsia" w:ascii="宋体" w:hAnsi="宋体" w:eastAsia="宋体" w:cs="宋体"/>
          <w:color w:val="auto"/>
          <w:sz w:val="24"/>
          <w:szCs w:val="24"/>
          <w:highlight w:val="none"/>
        </w:rPr>
        <w:t>接到报警中心报警信号后，</w:t>
      </w:r>
      <w:r>
        <w:rPr>
          <w:rFonts w:hint="eastAsia" w:ascii="宋体" w:hAnsi="宋体" w:eastAsia="宋体" w:cs="宋体"/>
          <w:color w:val="auto"/>
          <w:sz w:val="24"/>
          <w:szCs w:val="24"/>
          <w:highlight w:val="none"/>
          <w:lang w:val="en-US" w:eastAsia="zh-CN"/>
        </w:rPr>
        <w:t>能够</w:t>
      </w:r>
      <w:r>
        <w:rPr>
          <w:rFonts w:hint="eastAsia" w:ascii="宋体" w:hAnsi="宋体" w:eastAsia="宋体" w:cs="宋体"/>
          <w:color w:val="auto"/>
          <w:sz w:val="24"/>
          <w:szCs w:val="24"/>
          <w:highlight w:val="none"/>
        </w:rPr>
        <w:t>及时呼叫巡逻岗赶</w:t>
      </w:r>
      <w:r>
        <w:rPr>
          <w:rFonts w:hint="eastAsia" w:ascii="宋体" w:hAnsi="宋体" w:eastAsia="宋体" w:cs="宋体"/>
          <w:color w:val="auto"/>
          <w:sz w:val="24"/>
          <w:szCs w:val="24"/>
          <w:highlight w:val="none"/>
          <w:lang w:val="en-US" w:eastAsia="zh-CN"/>
        </w:rPr>
        <w:t>往</w:t>
      </w:r>
      <w:r>
        <w:rPr>
          <w:rFonts w:hint="eastAsia" w:ascii="宋体" w:hAnsi="宋体" w:eastAsia="宋体" w:cs="宋体"/>
          <w:color w:val="auto"/>
          <w:sz w:val="24"/>
          <w:szCs w:val="24"/>
          <w:highlight w:val="none"/>
        </w:rPr>
        <w:t>现场进行处理。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每季度</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配合安保力量开展</w:t>
      </w:r>
      <w:r>
        <w:rPr>
          <w:rFonts w:hint="eastAsia" w:ascii="宋体" w:hAnsi="宋体" w:eastAsia="宋体" w:cs="宋体"/>
          <w:color w:val="auto"/>
          <w:sz w:val="24"/>
          <w:szCs w:val="24"/>
          <w:highlight w:val="none"/>
        </w:rPr>
        <w:t>应急预案演习。当发生台风、暴雨等灾害性天气和其他突发事件时，应</w:t>
      </w:r>
      <w:r>
        <w:rPr>
          <w:rFonts w:hint="eastAsia" w:ascii="宋体" w:hAnsi="宋体" w:eastAsia="宋体" w:cs="宋体"/>
          <w:color w:val="auto"/>
          <w:sz w:val="24"/>
          <w:szCs w:val="24"/>
          <w:highlight w:val="none"/>
          <w:lang w:val="en-US" w:eastAsia="zh-CN"/>
        </w:rPr>
        <w:t>做到加倍警戒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重点关注各重要区域的实时动态，</w:t>
      </w:r>
      <w:r>
        <w:rPr>
          <w:rFonts w:hint="eastAsia" w:ascii="宋体" w:hAnsi="宋体" w:eastAsia="宋体" w:cs="宋体"/>
          <w:color w:val="auto"/>
          <w:sz w:val="24"/>
          <w:szCs w:val="24"/>
          <w:highlight w:val="none"/>
        </w:rPr>
        <w:t>保证采购人</w:t>
      </w:r>
      <w:r>
        <w:rPr>
          <w:rFonts w:hint="eastAsia" w:ascii="宋体" w:hAnsi="宋体" w:eastAsia="宋体" w:cs="宋体"/>
          <w:color w:val="auto"/>
          <w:sz w:val="24"/>
          <w:szCs w:val="24"/>
          <w:highlight w:val="none"/>
          <w:lang w:val="en-US" w:eastAsia="zh-CN"/>
        </w:rPr>
        <w:t>的人员财产</w:t>
      </w:r>
      <w:r>
        <w:rPr>
          <w:rFonts w:hint="eastAsia" w:ascii="宋体" w:hAnsi="宋体" w:eastAsia="宋体" w:cs="宋体"/>
          <w:color w:val="auto"/>
          <w:sz w:val="24"/>
          <w:szCs w:val="24"/>
          <w:highlight w:val="none"/>
        </w:rPr>
        <w:t>安全。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夜间值班巡逻期间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突发紧急情况，应</w:t>
      </w:r>
      <w:r>
        <w:rPr>
          <w:rFonts w:hint="eastAsia" w:ascii="宋体" w:hAnsi="宋体" w:eastAsia="宋体" w:cs="宋体"/>
          <w:color w:val="auto"/>
          <w:sz w:val="24"/>
          <w:szCs w:val="24"/>
          <w:highlight w:val="none"/>
        </w:rPr>
        <w:t>第一时间通知</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值班</w:t>
      </w:r>
      <w:r>
        <w:rPr>
          <w:rFonts w:hint="eastAsia" w:ascii="宋体" w:hAnsi="宋体" w:eastAsia="宋体" w:cs="宋体"/>
          <w:color w:val="auto"/>
          <w:sz w:val="24"/>
          <w:szCs w:val="24"/>
          <w:highlight w:val="none"/>
          <w:lang w:val="en-US" w:eastAsia="zh-CN"/>
        </w:rPr>
        <w:t>干部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详细汇报</w:t>
      </w:r>
      <w:r>
        <w:rPr>
          <w:rFonts w:hint="eastAsia" w:ascii="宋体" w:hAnsi="宋体" w:eastAsia="宋体" w:cs="宋体"/>
          <w:color w:val="auto"/>
          <w:sz w:val="24"/>
          <w:szCs w:val="24"/>
          <w:highlight w:val="none"/>
        </w:rPr>
        <w:t>所发生的情况，同时</w:t>
      </w:r>
      <w:r>
        <w:rPr>
          <w:rFonts w:hint="eastAsia" w:ascii="宋体" w:hAnsi="宋体" w:eastAsia="宋体" w:cs="宋体"/>
          <w:color w:val="auto"/>
          <w:sz w:val="24"/>
          <w:szCs w:val="24"/>
          <w:highlight w:val="none"/>
          <w:lang w:val="en-US" w:eastAsia="zh-CN"/>
        </w:rPr>
        <w:t>通知夜班巡逻岗赶赴现场</w:t>
      </w:r>
      <w:r>
        <w:rPr>
          <w:rFonts w:hint="eastAsia" w:ascii="宋体" w:hAnsi="宋体" w:eastAsia="宋体" w:cs="宋体"/>
          <w:color w:val="auto"/>
          <w:sz w:val="24"/>
          <w:szCs w:val="24"/>
          <w:highlight w:val="none"/>
        </w:rPr>
        <w:t>，并做好登记</w:t>
      </w:r>
      <w:r>
        <w:rPr>
          <w:rFonts w:hint="eastAsia" w:ascii="宋体" w:hAnsi="宋体" w:eastAsia="宋体" w:cs="宋体"/>
          <w:color w:val="auto"/>
          <w:sz w:val="24"/>
          <w:szCs w:val="24"/>
          <w:highlight w:val="none"/>
          <w:lang w:val="en-US" w:eastAsia="zh-CN"/>
        </w:rPr>
        <w:t>和后期协助</w:t>
      </w:r>
      <w:r>
        <w:rPr>
          <w:rFonts w:hint="eastAsia" w:ascii="宋体" w:hAnsi="宋体" w:eastAsia="宋体" w:cs="宋体"/>
          <w:color w:val="auto"/>
          <w:sz w:val="24"/>
          <w:szCs w:val="24"/>
          <w:highlight w:val="none"/>
        </w:rPr>
        <w:t>工作。</w:t>
      </w:r>
    </w:p>
    <w:p>
      <w:pPr>
        <w:pStyle w:val="261"/>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）当值时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高度警惕，盯住视屏，发现可疑动态或收到周界报警立即通报相应岗位人员，并做好记录</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）做好监控室保密工作</w:t>
      </w:r>
      <w:r>
        <w:rPr>
          <w:rFonts w:hint="eastAsia" w:ascii="宋体" w:hAnsi="宋体" w:eastAsia="宋体" w:cs="宋体"/>
          <w:color w:val="auto"/>
          <w:sz w:val="24"/>
          <w:szCs w:val="24"/>
          <w:highlight w:val="none"/>
          <w:lang w:val="en-US" w:eastAsia="zh-CN"/>
        </w:rPr>
        <w:t>和日常台账整理</w:t>
      </w:r>
      <w:r>
        <w:rPr>
          <w:rFonts w:hint="eastAsia" w:ascii="宋体" w:hAnsi="宋体" w:eastAsia="宋体" w:cs="宋体"/>
          <w:color w:val="auto"/>
          <w:sz w:val="24"/>
          <w:szCs w:val="24"/>
          <w:highlight w:val="none"/>
        </w:rPr>
        <w:t>，妥善保存有关数据及资料。查询</w:t>
      </w:r>
      <w:r>
        <w:rPr>
          <w:rFonts w:hint="eastAsia" w:ascii="宋体" w:hAnsi="宋体" w:eastAsia="宋体" w:cs="宋体"/>
          <w:color w:val="auto"/>
          <w:sz w:val="24"/>
          <w:szCs w:val="24"/>
          <w:highlight w:val="none"/>
          <w:lang w:val="en-US" w:eastAsia="zh-CN"/>
        </w:rPr>
        <w:t>视频监控</w:t>
      </w:r>
      <w:r>
        <w:rPr>
          <w:rFonts w:hint="eastAsia" w:ascii="宋体" w:hAnsi="宋体" w:eastAsia="宋体" w:cs="宋体"/>
          <w:color w:val="auto"/>
          <w:sz w:val="24"/>
          <w:szCs w:val="24"/>
          <w:highlight w:val="none"/>
        </w:rPr>
        <w:t>记录</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须经</w:t>
      </w:r>
      <w:r>
        <w:rPr>
          <w:rFonts w:hint="eastAsia" w:ascii="宋体" w:hAnsi="宋体" w:eastAsia="宋体" w:cs="宋体"/>
          <w:color w:val="auto"/>
          <w:sz w:val="24"/>
          <w:szCs w:val="24"/>
          <w:highlight w:val="none"/>
          <w:lang w:val="en-US" w:eastAsia="zh-CN"/>
        </w:rPr>
        <w:t>采购人授权审批</w:t>
      </w:r>
      <w:r>
        <w:rPr>
          <w:rFonts w:hint="eastAsia" w:ascii="宋体" w:hAnsi="宋体" w:eastAsia="宋体" w:cs="宋体"/>
          <w:color w:val="auto"/>
          <w:sz w:val="24"/>
          <w:szCs w:val="24"/>
          <w:highlight w:val="none"/>
        </w:rPr>
        <w:t>，外来人员查询报警记录须</w:t>
      </w:r>
      <w:r>
        <w:rPr>
          <w:rFonts w:hint="eastAsia" w:ascii="宋体" w:hAnsi="宋体" w:eastAsia="宋体" w:cs="宋体"/>
          <w:color w:val="auto"/>
          <w:sz w:val="24"/>
          <w:szCs w:val="24"/>
          <w:highlight w:val="none"/>
          <w:lang w:val="en-US" w:eastAsia="zh-CN"/>
        </w:rPr>
        <w:t>由采购人指定人员代为查询。</w:t>
      </w:r>
    </w:p>
    <w:p>
      <w:pPr>
        <w:pStyle w:val="261"/>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）严禁打瞌睡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吃零食、嬉笑打闹等</w:t>
      </w:r>
      <w:r>
        <w:rPr>
          <w:rFonts w:hint="eastAsia" w:ascii="宋体" w:hAnsi="宋体" w:eastAsia="宋体" w:cs="宋体"/>
          <w:color w:val="auto"/>
          <w:sz w:val="24"/>
          <w:szCs w:val="24"/>
          <w:highlight w:val="none"/>
        </w:rPr>
        <w:t>与工作无关的事情</w:t>
      </w:r>
      <w:r>
        <w:rPr>
          <w:rFonts w:hint="eastAsia" w:ascii="宋体" w:hAnsi="宋体" w:eastAsia="宋体" w:cs="宋体"/>
          <w:color w:val="auto"/>
          <w:sz w:val="24"/>
          <w:szCs w:val="24"/>
          <w:highlight w:val="none"/>
          <w:lang w:eastAsia="zh-CN"/>
        </w:rPr>
        <w:t>。</w:t>
      </w:r>
    </w:p>
    <w:p>
      <w:pPr>
        <w:pStyle w:val="261"/>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掌握基础的操作技能，能够</w:t>
      </w:r>
      <w:r>
        <w:rPr>
          <w:rFonts w:hint="eastAsia" w:ascii="宋体" w:hAnsi="宋体" w:eastAsia="宋体" w:cs="宋体"/>
          <w:strike w:val="0"/>
          <w:dstrike w:val="0"/>
          <w:color w:val="auto"/>
          <w:sz w:val="24"/>
          <w:szCs w:val="24"/>
          <w:highlight w:val="none"/>
          <w:lang w:val="en-US" w:eastAsia="zh-CN"/>
        </w:rPr>
        <w:t>完成基础的维护保养工作</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设备出现</w:t>
      </w:r>
      <w:r>
        <w:rPr>
          <w:rFonts w:hint="eastAsia" w:ascii="宋体" w:hAnsi="宋体" w:eastAsia="宋体" w:cs="宋体"/>
          <w:color w:val="auto"/>
          <w:sz w:val="24"/>
          <w:szCs w:val="24"/>
          <w:highlight w:val="none"/>
          <w:lang w:val="en-US" w:eastAsia="zh-CN"/>
        </w:rPr>
        <w:t>硬件</w:t>
      </w:r>
      <w:r>
        <w:rPr>
          <w:rFonts w:hint="eastAsia" w:ascii="宋体" w:hAnsi="宋体" w:eastAsia="宋体" w:cs="宋体"/>
          <w:color w:val="auto"/>
          <w:sz w:val="24"/>
          <w:szCs w:val="24"/>
          <w:highlight w:val="none"/>
        </w:rPr>
        <w:t>故障，</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及时</w:t>
      </w:r>
      <w:r>
        <w:rPr>
          <w:rFonts w:hint="eastAsia" w:ascii="宋体" w:hAnsi="宋体" w:eastAsia="宋体" w:cs="宋体"/>
          <w:color w:val="auto"/>
          <w:sz w:val="24"/>
          <w:szCs w:val="24"/>
          <w:highlight w:val="none"/>
          <w:lang w:val="en-US" w:eastAsia="zh-CN"/>
        </w:rPr>
        <w:t>上报主管部门并</w:t>
      </w:r>
      <w:r>
        <w:rPr>
          <w:rFonts w:hint="eastAsia" w:ascii="宋体" w:hAnsi="宋体" w:eastAsia="宋体" w:cs="宋体"/>
          <w:color w:val="auto"/>
          <w:sz w:val="24"/>
          <w:szCs w:val="24"/>
          <w:highlight w:val="none"/>
        </w:rPr>
        <w:t>填写</w:t>
      </w:r>
      <w:r>
        <w:rPr>
          <w:rFonts w:hint="eastAsia" w:ascii="宋体" w:hAnsi="宋体" w:eastAsia="宋体" w:cs="宋体"/>
          <w:color w:val="auto"/>
          <w:sz w:val="24"/>
          <w:szCs w:val="24"/>
          <w:highlight w:val="none"/>
          <w:lang w:val="en-US" w:eastAsia="zh-CN"/>
        </w:rPr>
        <w:t>维修保修</w:t>
      </w:r>
      <w:r>
        <w:rPr>
          <w:rFonts w:hint="eastAsia" w:ascii="宋体" w:hAnsi="宋体" w:eastAsia="宋体" w:cs="宋体"/>
          <w:color w:val="auto"/>
          <w:sz w:val="24"/>
          <w:szCs w:val="24"/>
          <w:highlight w:val="none"/>
        </w:rPr>
        <w:t>单报修</w:t>
      </w:r>
      <w:r>
        <w:rPr>
          <w:rFonts w:hint="eastAsia" w:ascii="宋体" w:hAnsi="宋体" w:eastAsia="宋体" w:cs="宋体"/>
          <w:color w:val="auto"/>
          <w:sz w:val="24"/>
          <w:szCs w:val="24"/>
          <w:highlight w:val="none"/>
          <w:lang w:eastAsia="zh-CN"/>
        </w:rPr>
        <w:t>。</w:t>
      </w:r>
    </w:p>
    <w:p>
      <w:pPr>
        <w:pStyle w:val="261"/>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）完成我馆交办的其它工作。</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馆内举行</w:t>
      </w:r>
      <w:r>
        <w:rPr>
          <w:rFonts w:hint="eastAsia" w:ascii="宋体" w:hAnsi="宋体" w:eastAsia="宋体" w:cs="宋体"/>
          <w:color w:val="auto"/>
          <w:sz w:val="24"/>
          <w:szCs w:val="24"/>
          <w:highlight w:val="none"/>
        </w:rPr>
        <w:t>大型活动：根据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val="en-US" w:eastAsia="zh-CN"/>
        </w:rPr>
        <w:t>临时增加人手保障活动开展</w:t>
      </w:r>
      <w:r>
        <w:rPr>
          <w:rFonts w:hint="eastAsia" w:ascii="宋体" w:hAnsi="宋体" w:eastAsia="宋体" w:cs="宋体"/>
          <w:color w:val="auto"/>
          <w:sz w:val="24"/>
          <w:szCs w:val="24"/>
          <w:highlight w:val="none"/>
        </w:rPr>
        <w:t>（费用要求</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含在总报价中）。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完成定期天沟清理、临时杂物清理及搬运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通知、协助消防</w:t>
      </w:r>
      <w:r>
        <w:rPr>
          <w:rFonts w:hint="eastAsia" w:ascii="宋体" w:hAnsi="宋体" w:eastAsia="宋体" w:cs="宋体"/>
          <w:color w:val="auto"/>
          <w:sz w:val="24"/>
          <w:szCs w:val="24"/>
          <w:highlight w:val="none"/>
          <w:lang w:val="en-US" w:eastAsia="zh-CN"/>
        </w:rPr>
        <w:t>部门</w:t>
      </w:r>
      <w:r>
        <w:rPr>
          <w:rFonts w:hint="eastAsia" w:ascii="宋体" w:hAnsi="宋体" w:eastAsia="宋体" w:cs="宋体"/>
          <w:color w:val="auto"/>
          <w:sz w:val="24"/>
          <w:szCs w:val="24"/>
          <w:highlight w:val="none"/>
        </w:rPr>
        <w:t>完成马蜂窝的清理工作</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）如遇防汛、抗台、抗雪值班和窗口加班等应急事件在安排</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人员全程服务的基础上，应安排一定力量做好防汛、抗台、抗雪检查、24小时值班和抢险救灾工作，事态严重的要配备充足增援力量。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）供应商应制订具体的质量保证措施及质量保证及相关服务的承诺。如因服务质量未达到目标，供应商应因此承担责任和经济赔偿。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）供应商须在合同签订前须提供</w:t>
      </w:r>
      <w:r>
        <w:rPr>
          <w:rFonts w:hint="eastAsia" w:ascii="宋体" w:hAnsi="宋体" w:eastAsia="宋体" w:cs="宋体"/>
          <w:color w:val="auto"/>
          <w:sz w:val="24"/>
          <w:szCs w:val="24"/>
          <w:highlight w:val="none"/>
          <w:lang w:val="en-US" w:eastAsia="zh-CN"/>
        </w:rPr>
        <w:t>保安队长</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安保人员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监控</w:t>
      </w:r>
      <w:r>
        <w:rPr>
          <w:rFonts w:hint="eastAsia" w:ascii="宋体" w:hAnsi="宋体" w:eastAsia="宋体" w:cs="宋体"/>
          <w:color w:val="auto"/>
          <w:sz w:val="24"/>
          <w:szCs w:val="24"/>
          <w:highlight w:val="none"/>
        </w:rPr>
        <w:t>人员等</w:t>
      </w:r>
      <w:r>
        <w:rPr>
          <w:rFonts w:hint="eastAsia" w:ascii="宋体" w:hAnsi="宋体" w:eastAsia="宋体" w:cs="宋体"/>
          <w:color w:val="auto"/>
          <w:sz w:val="24"/>
          <w:szCs w:val="24"/>
          <w:highlight w:val="none"/>
          <w:lang w:val="en-US" w:eastAsia="zh-CN"/>
        </w:rPr>
        <w:t>所有上岗</w:t>
      </w:r>
      <w:r>
        <w:rPr>
          <w:rFonts w:hint="eastAsia" w:ascii="宋体" w:hAnsi="宋体" w:eastAsia="宋体" w:cs="宋体"/>
          <w:color w:val="auto"/>
          <w:sz w:val="24"/>
          <w:szCs w:val="24"/>
          <w:highlight w:val="none"/>
        </w:rPr>
        <w:t>人员的相关有效证件和联系方式提供给采购人，</w:t>
      </w:r>
      <w:r>
        <w:rPr>
          <w:rFonts w:hint="eastAsia" w:ascii="宋体" w:hAnsi="宋体" w:eastAsia="宋体" w:cs="宋体"/>
          <w:color w:val="auto"/>
          <w:sz w:val="24"/>
          <w:szCs w:val="24"/>
          <w:highlight w:val="none"/>
          <w:lang w:val="en-US" w:eastAsia="zh-CN"/>
        </w:rPr>
        <w:t>后期如有人事变动，应及时补齐新进人员相关资料。</w:t>
      </w:r>
      <w:r>
        <w:rPr>
          <w:rFonts w:hint="eastAsia" w:ascii="宋体" w:hAnsi="宋体" w:eastAsia="宋体" w:cs="宋体"/>
          <w:color w:val="auto"/>
          <w:sz w:val="24"/>
          <w:szCs w:val="24"/>
          <w:highlight w:val="none"/>
        </w:rPr>
        <w:t>供应商不能提供</w:t>
      </w:r>
      <w:r>
        <w:rPr>
          <w:rFonts w:hint="eastAsia" w:ascii="宋体" w:hAnsi="宋体" w:eastAsia="宋体" w:cs="宋体"/>
          <w:color w:val="auto"/>
          <w:sz w:val="24"/>
          <w:szCs w:val="24"/>
          <w:highlight w:val="none"/>
          <w:lang w:val="en-US" w:eastAsia="zh-CN"/>
        </w:rPr>
        <w:t>上岗人员资料的</w:t>
      </w:r>
      <w:r>
        <w:rPr>
          <w:rFonts w:hint="eastAsia" w:ascii="宋体" w:hAnsi="宋体" w:eastAsia="宋体" w:cs="宋体"/>
          <w:color w:val="auto"/>
          <w:sz w:val="24"/>
          <w:szCs w:val="24"/>
          <w:highlight w:val="none"/>
        </w:rPr>
        <w:t>，则采购人有权终止合同签订。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）全部服务人员</w:t>
      </w:r>
      <w:r>
        <w:rPr>
          <w:rFonts w:hint="eastAsia" w:ascii="宋体" w:hAnsi="宋体" w:eastAsia="宋体" w:cs="宋体"/>
          <w:color w:val="auto"/>
          <w:sz w:val="24"/>
          <w:szCs w:val="24"/>
          <w:highlight w:val="none"/>
          <w:lang w:val="en-US" w:eastAsia="zh-CN"/>
        </w:rPr>
        <w:t>上岗前</w:t>
      </w:r>
      <w:r>
        <w:rPr>
          <w:rFonts w:hint="eastAsia" w:ascii="宋体" w:hAnsi="宋体" w:eastAsia="宋体" w:cs="宋体"/>
          <w:color w:val="auto"/>
          <w:sz w:val="24"/>
          <w:szCs w:val="24"/>
          <w:highlight w:val="none"/>
        </w:rPr>
        <w:t>都</w:t>
      </w:r>
      <w:r>
        <w:rPr>
          <w:rFonts w:hint="eastAsia" w:ascii="宋体" w:hAnsi="宋体" w:eastAsia="宋体" w:cs="宋体"/>
          <w:color w:val="auto"/>
          <w:sz w:val="24"/>
          <w:szCs w:val="24"/>
          <w:highlight w:val="none"/>
          <w:lang w:val="en-US" w:eastAsia="zh-CN"/>
        </w:rPr>
        <w:t>应提供健康证明及无犯罪记录证明</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rPr>
        <w:t>采购人免费提供</w:t>
      </w:r>
      <w:r>
        <w:rPr>
          <w:rFonts w:hint="eastAsia" w:ascii="宋体" w:hAnsi="宋体" w:eastAsia="宋体" w:cs="宋体"/>
          <w:snapToGrid w:val="0"/>
          <w:color w:val="auto"/>
          <w:kern w:val="0"/>
          <w:sz w:val="24"/>
          <w:szCs w:val="24"/>
          <w:highlight w:val="none"/>
          <w:lang w:val="en-US" w:eastAsia="zh-CN"/>
        </w:rPr>
        <w:t>安保</w:t>
      </w:r>
      <w:r>
        <w:rPr>
          <w:rFonts w:hint="eastAsia" w:ascii="宋体" w:hAnsi="宋体" w:eastAsia="宋体" w:cs="宋体"/>
          <w:snapToGrid w:val="0"/>
          <w:color w:val="auto"/>
          <w:kern w:val="0"/>
          <w:sz w:val="24"/>
          <w:szCs w:val="24"/>
          <w:highlight w:val="none"/>
        </w:rPr>
        <w:t>管理的办公场地，但办公用品（指</w:t>
      </w:r>
      <w:r>
        <w:rPr>
          <w:rFonts w:hint="eastAsia" w:ascii="宋体" w:hAnsi="宋体" w:cs="宋体"/>
          <w:snapToGrid w:val="0"/>
          <w:color w:val="auto"/>
          <w:kern w:val="0"/>
          <w:sz w:val="24"/>
          <w:szCs w:val="24"/>
          <w:highlight w:val="none"/>
          <w:lang w:val="en-US" w:eastAsia="zh-CN"/>
        </w:rPr>
        <w:t>电子考勤机、</w:t>
      </w:r>
      <w:r>
        <w:rPr>
          <w:rFonts w:hint="eastAsia" w:ascii="宋体" w:hAnsi="宋体" w:eastAsia="宋体" w:cs="宋体"/>
          <w:snapToGrid w:val="0"/>
          <w:color w:val="auto"/>
          <w:kern w:val="0"/>
          <w:sz w:val="24"/>
          <w:szCs w:val="24"/>
          <w:highlight w:val="none"/>
        </w:rPr>
        <w:t>办公桌、电脑、打印机、对讲机、文件柜等自身使用的办公用品）由供应商自行解决</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）按要求和事项发生量及时配备足够胜任的相关管理和服务人员，并保持人员的稳定。遇调动或辞职时，管理总负责人提前一个月、保安提前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天告知采购人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得到同意后</w:t>
      </w:r>
      <w:r>
        <w:rPr>
          <w:rFonts w:hint="eastAsia" w:ascii="宋体" w:hAnsi="宋体" w:eastAsia="宋体" w:cs="宋体"/>
          <w:color w:val="auto"/>
          <w:sz w:val="24"/>
          <w:szCs w:val="24"/>
          <w:highlight w:val="none"/>
          <w:lang w:val="en-US" w:eastAsia="zh-CN"/>
        </w:rPr>
        <w:t>方可</w:t>
      </w:r>
      <w:r>
        <w:rPr>
          <w:rFonts w:hint="eastAsia" w:ascii="宋体" w:hAnsi="宋体" w:eastAsia="宋体" w:cs="宋体"/>
          <w:color w:val="auto"/>
          <w:sz w:val="24"/>
          <w:szCs w:val="24"/>
          <w:highlight w:val="none"/>
        </w:rPr>
        <w:t>更换</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）按要求及时补充相应人员，提前做好交接班。对采购人认为无能力、工作失职或不合适人员，应立即更换。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）按国家和当地政府有关劳动法规、条例，向服务人员提供相应工种的劳动工资、加班工资、劳动保护等待遇。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）供应商工作人员按岗位要求统一着装，服装样式体现岗位特色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方便不同岗位操作。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）供应商工作人员须遵守殡仪馆相关规章制度规定</w:t>
      </w:r>
      <w:r>
        <w:rPr>
          <w:rFonts w:hint="eastAsia" w:ascii="宋体" w:hAnsi="宋体" w:eastAsia="宋体" w:cs="宋体"/>
          <w:color w:val="auto"/>
          <w:sz w:val="24"/>
          <w:szCs w:val="24"/>
          <w:highlight w:val="none"/>
          <w:lang w:val="en-US" w:eastAsia="zh-CN"/>
        </w:rPr>
        <w:t>，各岗位人员请假、外出等均应提前告知采购人，不得私自离岗外出。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需负责工作人员</w:t>
      </w:r>
      <w:r>
        <w:rPr>
          <w:rFonts w:hint="eastAsia" w:ascii="宋体" w:hAnsi="宋体" w:eastAsia="宋体" w:cs="宋体"/>
          <w:color w:val="auto"/>
          <w:sz w:val="24"/>
          <w:szCs w:val="24"/>
          <w:highlight w:val="none"/>
          <w:lang w:val="en-US" w:eastAsia="zh-CN"/>
        </w:rPr>
        <w:t>服装、安保器械</w:t>
      </w:r>
      <w:r>
        <w:rPr>
          <w:rFonts w:hint="eastAsia" w:ascii="宋体" w:hAnsi="宋体" w:eastAsia="宋体" w:cs="宋体"/>
          <w:color w:val="auto"/>
          <w:sz w:val="24"/>
          <w:szCs w:val="24"/>
          <w:highlight w:val="none"/>
        </w:rPr>
        <w:t>、劳保福利等</w:t>
      </w:r>
      <w:r>
        <w:rPr>
          <w:rFonts w:hint="eastAsia" w:ascii="宋体" w:hAnsi="宋体" w:eastAsia="宋体" w:cs="宋体"/>
          <w:color w:val="auto"/>
          <w:sz w:val="24"/>
          <w:szCs w:val="24"/>
          <w:highlight w:val="none"/>
          <w:lang w:val="en-US" w:eastAsia="zh-CN"/>
        </w:rPr>
        <w:t>的配置</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十四</w:t>
      </w:r>
      <w:r>
        <w:rPr>
          <w:rFonts w:hint="eastAsia" w:ascii="宋体" w:hAnsi="宋体" w:eastAsia="宋体" w:cs="宋体"/>
          <w:color w:val="auto"/>
          <w:sz w:val="24"/>
          <w:szCs w:val="24"/>
          <w:highlight w:val="none"/>
        </w:rPr>
        <w:t>）服务人员在服务期间按岗位要求进行定期短期培训。需要时，应接受采购人对服务人员的集中培训。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rPr>
        <w:t>）供应商需建立上岗前培训制度，经采购人准许或备案上岗。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十六</w:t>
      </w:r>
      <w:r>
        <w:rPr>
          <w:rFonts w:hint="eastAsia" w:ascii="宋体" w:hAnsi="宋体" w:eastAsia="宋体" w:cs="宋体"/>
          <w:color w:val="auto"/>
          <w:sz w:val="24"/>
          <w:szCs w:val="24"/>
          <w:highlight w:val="none"/>
        </w:rPr>
        <w:t>）供应商应承诺在合同期内，为承包区域内提供以上</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服务，并承担由此带来的一切风险。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十七</w:t>
      </w:r>
      <w:r>
        <w:rPr>
          <w:rFonts w:hint="eastAsia" w:ascii="宋体" w:hAnsi="宋体" w:eastAsia="宋体" w:cs="宋体"/>
          <w:color w:val="auto"/>
          <w:sz w:val="24"/>
          <w:szCs w:val="24"/>
          <w:highlight w:val="none"/>
        </w:rPr>
        <w:t>）供应商应制订具体的质量保证措施及质量保证和相关服务承诺。供应商所有的工作除应按内部流程实施外还应接受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或第三方的检查。达不到要求及各项服务承诺，采购人有权要求其整改，直至</w:t>
      </w:r>
      <w:r>
        <w:rPr>
          <w:rFonts w:hint="eastAsia" w:ascii="宋体" w:hAnsi="宋体" w:eastAsia="宋体" w:cs="宋体"/>
          <w:color w:val="auto"/>
          <w:sz w:val="24"/>
          <w:szCs w:val="24"/>
          <w:highlight w:val="none"/>
          <w:lang w:val="en-US" w:eastAsia="zh-CN"/>
        </w:rPr>
        <w:t>符合采购人要求</w:t>
      </w:r>
      <w:r>
        <w:rPr>
          <w:rFonts w:hint="eastAsia" w:ascii="宋体" w:hAnsi="宋体" w:eastAsia="宋体" w:cs="宋体"/>
          <w:color w:val="auto"/>
          <w:sz w:val="24"/>
          <w:szCs w:val="24"/>
          <w:highlight w:val="none"/>
        </w:rPr>
        <w:t>或终止合同。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十八</w:t>
      </w:r>
      <w:r>
        <w:rPr>
          <w:rFonts w:hint="eastAsia" w:ascii="宋体" w:hAnsi="宋体" w:eastAsia="宋体" w:cs="宋体"/>
          <w:color w:val="auto"/>
          <w:sz w:val="24"/>
          <w:szCs w:val="24"/>
          <w:highlight w:val="none"/>
        </w:rPr>
        <w:t>）供应商在合同</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，需到保险公司办理第三者责任保险，在服务期间因服务不到位导致办事群众人身受到伤害的，由供应商自行承担责任，采购人概不负责。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十九</w:t>
      </w:r>
      <w:r>
        <w:rPr>
          <w:rFonts w:hint="eastAsia" w:ascii="宋体" w:hAnsi="宋体" w:eastAsia="宋体" w:cs="宋体"/>
          <w:color w:val="auto"/>
          <w:sz w:val="24"/>
          <w:szCs w:val="24"/>
          <w:highlight w:val="none"/>
        </w:rPr>
        <w:t>）采购人对供应商服务情况进行考核，并可随时要求供应商进行满意率调查。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）供应商应对入场工作人员以及第三方全权负责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如供应商应投保第三责任险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，在供应商的责任区内由于供应商原因导致自己员工或第三方</w:t>
      </w:r>
      <w:r>
        <w:rPr>
          <w:rFonts w:hint="eastAsia" w:ascii="宋体" w:hAnsi="宋体" w:eastAsia="宋体" w:cs="宋体"/>
          <w:color w:val="auto"/>
          <w:sz w:val="24"/>
          <w:szCs w:val="24"/>
          <w:highlight w:val="none"/>
          <w:lang w:val="en-US" w:eastAsia="zh-CN"/>
        </w:rPr>
        <w:t>受伤</w:t>
      </w:r>
      <w:r>
        <w:rPr>
          <w:rFonts w:hint="eastAsia" w:ascii="宋体" w:hAnsi="宋体" w:eastAsia="宋体" w:cs="宋体"/>
          <w:color w:val="auto"/>
          <w:sz w:val="24"/>
          <w:szCs w:val="24"/>
          <w:highlight w:val="none"/>
        </w:rPr>
        <w:t>的事故由供应商负责，采购人不承担任何责任。如采购人因此承担法律责任，可以向供应商进行追偿。采购人可以将应付款项用于支付被侵权人的医疗费、赔偿金等。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二十一</w:t>
      </w:r>
      <w:r>
        <w:rPr>
          <w:rFonts w:hint="eastAsia" w:ascii="宋体" w:hAnsi="宋体" w:eastAsia="宋体" w:cs="宋体"/>
          <w:color w:val="auto"/>
          <w:sz w:val="24"/>
          <w:szCs w:val="24"/>
          <w:highlight w:val="none"/>
        </w:rPr>
        <w:t>）在承包期内，供应商应对其员工投保人身意外险、工伤保险，以保证采购人在供应商工作人员索赔时不受任何责任的约束。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二十二</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中华人民共和国劳动法</w:t>
      </w:r>
      <w:r>
        <w:rPr>
          <w:rFonts w:hint="eastAsia" w:ascii="宋体" w:hAnsi="宋体" w:eastAsia="宋体" w:cs="宋体"/>
          <w:color w:val="auto"/>
          <w:sz w:val="24"/>
          <w:szCs w:val="24"/>
          <w:highlight w:val="none"/>
        </w:rPr>
        <w:t>》和政府有关部门规定为全体服务人员交纳所有相关的社会保险及其他相关费用。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二十三</w:t>
      </w:r>
      <w:r>
        <w:rPr>
          <w:rFonts w:hint="eastAsia" w:ascii="宋体" w:hAnsi="宋体" w:eastAsia="宋体" w:cs="宋体"/>
          <w:color w:val="auto"/>
          <w:sz w:val="24"/>
          <w:szCs w:val="24"/>
          <w:highlight w:val="none"/>
        </w:rPr>
        <w:t>）协助</w:t>
      </w:r>
      <w:r>
        <w:rPr>
          <w:rFonts w:hint="eastAsia" w:ascii="宋体" w:hAnsi="宋体" w:eastAsia="宋体" w:cs="宋体"/>
          <w:color w:val="auto"/>
          <w:sz w:val="24"/>
          <w:szCs w:val="24"/>
          <w:highlight w:val="none"/>
          <w:lang w:val="en-US" w:eastAsia="zh-CN"/>
        </w:rPr>
        <w:t>完成临时性</w:t>
      </w:r>
      <w:r>
        <w:rPr>
          <w:rFonts w:hint="eastAsia" w:ascii="宋体" w:hAnsi="宋体" w:eastAsia="宋体" w:cs="宋体"/>
          <w:color w:val="auto"/>
          <w:sz w:val="24"/>
          <w:szCs w:val="24"/>
          <w:highlight w:val="none"/>
        </w:rPr>
        <w:t>人工搬运物资、大型会议</w:t>
      </w:r>
      <w:r>
        <w:rPr>
          <w:rFonts w:hint="eastAsia" w:ascii="宋体" w:hAnsi="宋体" w:eastAsia="宋体" w:cs="宋体"/>
          <w:color w:val="auto"/>
          <w:sz w:val="24"/>
          <w:szCs w:val="24"/>
          <w:highlight w:val="none"/>
          <w:lang w:val="en-US" w:eastAsia="zh-CN"/>
        </w:rPr>
        <w:t>布置</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各类</w:t>
      </w:r>
      <w:r>
        <w:rPr>
          <w:rFonts w:hint="eastAsia" w:ascii="宋体" w:hAnsi="宋体" w:eastAsia="宋体" w:cs="宋体"/>
          <w:color w:val="auto"/>
          <w:sz w:val="24"/>
          <w:szCs w:val="24"/>
          <w:highlight w:val="none"/>
        </w:rPr>
        <w:t>服务（费用要求</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含在总报价中）。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二十四</w:t>
      </w:r>
      <w:r>
        <w:rPr>
          <w:rFonts w:hint="eastAsia" w:ascii="宋体" w:hAnsi="宋体" w:eastAsia="宋体" w:cs="宋体"/>
          <w:color w:val="auto"/>
          <w:sz w:val="24"/>
          <w:szCs w:val="24"/>
          <w:highlight w:val="none"/>
        </w:rPr>
        <w:t>）服务人员工作时间应严格按国家有关法律、法规要求的标准执行，因工作原因产生的加班（含节假日加班）应严格按国家有关法律、法规要求的标准给付员工加班薪资（费用要求</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含在总报价中）。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有责任配合采购人接受上级领导部门的监督、检查，提供必须的资料。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二十六</w:t>
      </w:r>
      <w:r>
        <w:rPr>
          <w:rFonts w:hint="eastAsia" w:ascii="宋体" w:hAnsi="宋体" w:eastAsia="宋体" w:cs="宋体"/>
          <w:color w:val="auto"/>
          <w:sz w:val="24"/>
          <w:szCs w:val="24"/>
          <w:highlight w:val="none"/>
        </w:rPr>
        <w:t>）采购人不接受供应商任何因遗漏报价而发生的费用追加，因供应商违反《</w:t>
      </w:r>
      <w:r>
        <w:rPr>
          <w:rFonts w:hint="eastAsia" w:ascii="宋体" w:hAnsi="宋体" w:eastAsia="宋体" w:cs="宋体"/>
          <w:color w:val="auto"/>
          <w:sz w:val="24"/>
          <w:szCs w:val="24"/>
          <w:highlight w:val="none"/>
          <w:lang w:eastAsia="zh-CN"/>
        </w:rPr>
        <w:t>中华人民共和国劳动法</w:t>
      </w:r>
      <w:r>
        <w:rPr>
          <w:rFonts w:hint="eastAsia" w:ascii="宋体" w:hAnsi="宋体" w:eastAsia="宋体" w:cs="宋体"/>
          <w:color w:val="auto"/>
          <w:sz w:val="24"/>
          <w:szCs w:val="24"/>
          <w:highlight w:val="none"/>
        </w:rPr>
        <w:t>》等法律法规而造成采购人的连带责任和损失全部由供应商承担。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供应商应</w:t>
      </w:r>
      <w:r>
        <w:rPr>
          <w:rFonts w:hint="eastAsia" w:ascii="宋体" w:hAnsi="宋体" w:eastAsia="宋体" w:cs="宋体"/>
          <w:color w:val="auto"/>
          <w:sz w:val="24"/>
          <w:szCs w:val="24"/>
          <w:highlight w:val="none"/>
        </w:rPr>
        <w:t>配置采购人认可的装备（包括对讲装置、必备的安全护卫器械及设备维修费用等）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并提交相应的装备清单给采购人，用于后期采购人的日常检查考核</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二十八</w:t>
      </w:r>
      <w:r>
        <w:rPr>
          <w:rFonts w:hint="eastAsia" w:ascii="宋体" w:hAnsi="宋体" w:eastAsia="宋体" w:cs="宋体"/>
          <w:color w:val="auto"/>
          <w:sz w:val="24"/>
          <w:szCs w:val="24"/>
          <w:highlight w:val="none"/>
        </w:rPr>
        <w:t>）未经采购人同意，</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不得在合同期限内将本项目的管理权转包或分包。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二十九</w:t>
      </w:r>
      <w:r>
        <w:rPr>
          <w:rFonts w:hint="eastAsia" w:ascii="宋体" w:hAnsi="宋体" w:eastAsia="宋体" w:cs="宋体"/>
          <w:color w:val="auto"/>
          <w:sz w:val="24"/>
          <w:szCs w:val="24"/>
          <w:highlight w:val="none"/>
        </w:rPr>
        <w:t>）根据采购人发展特点，在不同阶段对</w:t>
      </w:r>
      <w:r>
        <w:rPr>
          <w:rFonts w:hint="eastAsia" w:ascii="宋体" w:hAnsi="宋体" w:eastAsia="宋体" w:cs="宋体"/>
          <w:color w:val="auto"/>
          <w:sz w:val="24"/>
          <w:szCs w:val="24"/>
          <w:highlight w:val="none"/>
          <w:lang w:val="en-US" w:eastAsia="zh-CN"/>
        </w:rPr>
        <w:t>物业</w:t>
      </w:r>
      <w:r>
        <w:rPr>
          <w:rFonts w:hint="eastAsia" w:ascii="宋体" w:hAnsi="宋体" w:eastAsia="宋体" w:cs="宋体"/>
          <w:color w:val="auto"/>
          <w:sz w:val="24"/>
          <w:szCs w:val="24"/>
          <w:highlight w:val="none"/>
        </w:rPr>
        <w:t>人员数量有不同要求，</w:t>
      </w:r>
      <w:r>
        <w:rPr>
          <w:rFonts w:hint="eastAsia" w:ascii="宋体" w:hAnsi="宋体" w:eastAsia="宋体" w:cs="宋体"/>
          <w:color w:val="auto"/>
          <w:sz w:val="24"/>
          <w:szCs w:val="24"/>
          <w:highlight w:val="none"/>
          <w:lang w:val="en-US" w:eastAsia="zh-CN"/>
        </w:rPr>
        <w:t>在保持岗位总数不变的情况下，</w:t>
      </w:r>
      <w:r>
        <w:rPr>
          <w:rFonts w:hint="eastAsia" w:ascii="宋体" w:hAnsi="宋体" w:eastAsia="宋体" w:cs="宋体"/>
          <w:color w:val="auto"/>
          <w:sz w:val="24"/>
          <w:szCs w:val="24"/>
          <w:highlight w:val="none"/>
        </w:rPr>
        <w:t>采购人根据实际情况</w:t>
      </w:r>
      <w:r>
        <w:rPr>
          <w:rFonts w:hint="eastAsia" w:ascii="宋体" w:hAnsi="宋体" w:eastAsia="宋体" w:cs="宋体"/>
          <w:color w:val="auto"/>
          <w:sz w:val="24"/>
          <w:szCs w:val="24"/>
          <w:highlight w:val="none"/>
          <w:lang w:val="en-US" w:eastAsia="zh-CN"/>
        </w:rPr>
        <w:t>调整各岗位分配</w:t>
      </w:r>
      <w:r>
        <w:rPr>
          <w:rFonts w:hint="eastAsia" w:ascii="宋体" w:hAnsi="宋体" w:eastAsia="宋体" w:cs="宋体"/>
          <w:color w:val="auto"/>
          <w:sz w:val="24"/>
          <w:szCs w:val="24"/>
          <w:highlight w:val="none"/>
        </w:rPr>
        <w:t>，中标人须</w:t>
      </w:r>
      <w:r>
        <w:rPr>
          <w:rFonts w:hint="eastAsia" w:ascii="宋体" w:hAnsi="宋体" w:eastAsia="宋体" w:cs="宋体"/>
          <w:color w:val="auto"/>
          <w:sz w:val="24"/>
          <w:szCs w:val="24"/>
          <w:highlight w:val="none"/>
          <w:lang w:val="en-US" w:eastAsia="zh-CN"/>
        </w:rPr>
        <w:t>予以积极配合</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人员排班不得违反劳动法。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（三十一）项目人员在岗及休息期间所发生的一切意外情况（包括但不限于工伤，项目人员过失，人身财产意外及第三人侵权导致），均由供应商自行承担责任，采购人概不负责。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（三十二）供应商需安排自身投标文件明确的项目负责人及保安队长对接本项目，如需变动，须提前申请，得到采购人认可后方可更换。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（三十三）项目人员服务期间应努力维持采购人公共形象，做到服务态度和善，如因项目人员服务态度恶劣等原因导致采购人被投诉的，由此造成的一切责任和损失</w:t>
      </w:r>
      <w:r>
        <w:rPr>
          <w:rFonts w:hint="eastAsia" w:ascii="宋体" w:hAnsi="宋体" w:eastAsia="宋体" w:cs="宋体"/>
          <w:color w:val="auto"/>
          <w:sz w:val="24"/>
          <w:szCs w:val="24"/>
          <w:highlight w:val="none"/>
        </w:rPr>
        <w:t>全部由供应商承担。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（三十四）项目人员服务期间违反采购人廉政风险管理相关制度的，采购人可要求立即更换相关服务人员，由此造成的一切责任和损失</w:t>
      </w:r>
      <w:r>
        <w:rPr>
          <w:rFonts w:hint="eastAsia" w:ascii="宋体" w:hAnsi="宋体" w:eastAsia="宋体" w:cs="宋体"/>
          <w:color w:val="auto"/>
          <w:sz w:val="24"/>
          <w:szCs w:val="24"/>
          <w:highlight w:val="none"/>
        </w:rPr>
        <w:t>全部由供应商承担。</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、文书要求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（一）提供全年工作总计划，培训计划，安全保卫，消防安全预案等，并落实到位。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）进场一周内提供</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管理人员任命书（包括</w:t>
      </w:r>
      <w:r>
        <w:rPr>
          <w:rFonts w:hint="eastAsia" w:ascii="宋体" w:hAnsi="宋体" w:eastAsia="宋体" w:cs="宋体"/>
          <w:color w:val="auto"/>
          <w:sz w:val="24"/>
          <w:szCs w:val="24"/>
          <w:highlight w:val="none"/>
          <w:lang w:val="en-US" w:eastAsia="zh-CN"/>
        </w:rPr>
        <w:t>安保管理员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保安队长</w:t>
      </w:r>
      <w:r>
        <w:rPr>
          <w:rFonts w:hint="eastAsia" w:ascii="宋体" w:hAnsi="宋体" w:eastAsia="宋体" w:cs="宋体"/>
          <w:color w:val="auto"/>
          <w:sz w:val="24"/>
          <w:szCs w:val="24"/>
          <w:highlight w:val="none"/>
        </w:rPr>
        <w:t>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）进场一周内提供</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人员的基本信息（姓名、籍贯、学历、政治面貌、身份证号码、持证情况、联系电话等）。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）对采购人单位下发的整改通知单在5个工作日内完成，如不能完成，必须以书面的形式递交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工作人员及服务对象提出的意见，在5个工作日内答复。</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、管理服务费用及财务管理要求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管理服务费用及结算方式以签订的合同为准。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本项目预算为人民币 </w:t>
      </w:r>
      <w:r>
        <w:rPr>
          <w:rFonts w:hint="eastAsia" w:ascii="宋体" w:hAnsi="宋体" w:eastAsia="宋体" w:cs="宋体"/>
          <w:color w:val="auto"/>
          <w:sz w:val="24"/>
          <w:szCs w:val="24"/>
          <w:highlight w:val="none"/>
          <w:u w:val="single"/>
          <w:lang w:val="en-US" w:eastAsia="zh-CN"/>
        </w:rPr>
        <w:t>250</w:t>
      </w:r>
      <w:r>
        <w:rPr>
          <w:rFonts w:hint="eastAsia" w:ascii="宋体" w:hAnsi="宋体" w:eastAsia="宋体" w:cs="宋体"/>
          <w:color w:val="auto"/>
          <w:sz w:val="24"/>
          <w:szCs w:val="24"/>
          <w:highlight w:val="none"/>
          <w:lang w:val="zh-CN"/>
        </w:rPr>
        <w:t>万元/年。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）供应商需承担相关所需</w:t>
      </w:r>
      <w:r>
        <w:rPr>
          <w:rFonts w:hint="eastAsia" w:ascii="宋体" w:hAnsi="宋体" w:eastAsia="宋体" w:cs="宋体"/>
          <w:color w:val="auto"/>
          <w:sz w:val="24"/>
          <w:szCs w:val="24"/>
          <w:highlight w:val="none"/>
          <w:lang w:val="en-US" w:eastAsia="zh-CN"/>
        </w:rPr>
        <w:t>安保器械配置及维护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）服务人员缺岗的，由采购人按其岗位平均每月人员开支的标准扣除服务费。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建立绩效奖励考核体系，每月安排2000元经费用以物业安保服务项目人员日常工作的额外考核奖励，考核发放前须经采购人确认。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人员收入不得低于杭州市最低工资收入标准。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、服务期限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2025年1月1日至2025年12月31日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、相关场地提供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rPr>
      </w:pPr>
      <w:r>
        <w:rPr>
          <w:rFonts w:hint="eastAsia" w:ascii="宋体" w:hAnsi="宋体" w:eastAsia="宋体" w:cs="宋体"/>
          <w:color w:val="auto"/>
          <w:sz w:val="24"/>
          <w:szCs w:val="24"/>
          <w:highlight w:val="none"/>
        </w:rPr>
        <w:t>采购人免费提供</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管理的办公场地，但办公用品</w:t>
      </w:r>
      <w:r>
        <w:rPr>
          <w:rFonts w:hint="eastAsia" w:ascii="宋体" w:hAnsi="宋体" w:eastAsia="宋体" w:cs="宋体"/>
          <w:color w:val="auto"/>
          <w:sz w:val="24"/>
          <w:szCs w:val="24"/>
          <w:highlight w:val="none"/>
          <w:lang w:val="en-US" w:eastAsia="zh-CN"/>
        </w:rPr>
        <w:t>等日常用品</w:t>
      </w:r>
      <w:r>
        <w:rPr>
          <w:rFonts w:hint="eastAsia" w:ascii="宋体" w:hAnsi="宋体" w:eastAsia="宋体" w:cs="宋体"/>
          <w:color w:val="auto"/>
          <w:sz w:val="24"/>
          <w:szCs w:val="24"/>
          <w:highlight w:val="none"/>
        </w:rPr>
        <w:t>由供应商自行解决。</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十一、付款方式</w:t>
      </w:r>
    </w:p>
    <w:tbl>
      <w:tblPr>
        <w:tblStyle w:val="63"/>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97"/>
        <w:gridCol w:w="1775"/>
        <w:gridCol w:w="551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05" w:type="pct"/>
            <w:shd w:val="clear" w:color="auto" w:fill="auto"/>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序号</w:t>
            </w:r>
          </w:p>
        </w:tc>
        <w:tc>
          <w:tcPr>
            <w:tcW w:w="1045" w:type="pct"/>
            <w:shd w:val="clear" w:color="auto" w:fill="auto"/>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付款比例（%）</w:t>
            </w:r>
          </w:p>
        </w:tc>
        <w:tc>
          <w:tcPr>
            <w:tcW w:w="3249" w:type="pct"/>
            <w:shd w:val="clear" w:color="auto" w:fill="auto"/>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仿宋_GB2312"/>
                <w:color w:val="auto"/>
                <w:sz w:val="24"/>
                <w:highlight w:val="none"/>
              </w:rPr>
            </w:pPr>
            <w:r>
              <w:rPr>
                <w:rFonts w:hint="eastAsia" w:ascii="宋体" w:hAnsi="宋体" w:cs="仿宋_GB2312"/>
                <w:color w:val="auto"/>
                <w:sz w:val="24"/>
                <w:highlight w:val="none"/>
              </w:rPr>
              <w:t>1</w:t>
            </w:r>
          </w:p>
        </w:tc>
        <w:tc>
          <w:tcPr>
            <w:tcW w:w="104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324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合同生效以及具备实施条件后</w:t>
            </w:r>
            <w:r>
              <w:rPr>
                <w:rFonts w:hint="eastAsia" w:ascii="宋体" w:hAnsi="宋体" w:cs="仿宋_GB2312"/>
                <w:color w:val="auto"/>
                <w:sz w:val="24"/>
                <w:highlight w:val="none"/>
                <w:lang w:val="en-US" w:eastAsia="zh-CN"/>
              </w:rPr>
              <w:t>7个工作</w:t>
            </w:r>
            <w:r>
              <w:rPr>
                <w:rFonts w:hint="eastAsia" w:ascii="宋体" w:hAnsi="宋体" w:cs="仿宋_GB2312"/>
                <w:color w:val="auto"/>
                <w:sz w:val="24"/>
                <w:highlight w:val="none"/>
              </w:rPr>
              <w:t>日内，由甲方支付合同金额的</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0%预付款</w:t>
            </w:r>
            <w:r>
              <w:rPr>
                <w:rFonts w:hint="eastAsia" w:ascii="宋体" w:hAnsi="宋体" w:cs="仿宋_GB2312"/>
                <w:color w:val="auto"/>
                <w:sz w:val="24"/>
                <w:highlight w:val="none"/>
                <w:lang w:eastAsia="zh-CN"/>
              </w:rPr>
              <w:t>。预付款在后期计算</w:t>
            </w:r>
            <w:r>
              <w:rPr>
                <w:rFonts w:hint="eastAsia" w:ascii="宋体" w:hAnsi="宋体" w:cs="仿宋_GB2312"/>
                <w:color w:val="auto"/>
                <w:sz w:val="24"/>
                <w:highlight w:val="none"/>
                <w:lang w:val="en-US" w:eastAsia="zh-CN"/>
              </w:rPr>
              <w:t>每季度支付款项</w:t>
            </w:r>
            <w:r>
              <w:rPr>
                <w:rFonts w:hint="eastAsia" w:ascii="宋体" w:hAnsi="宋体" w:cs="仿宋_GB2312"/>
                <w:color w:val="auto"/>
                <w:sz w:val="24"/>
                <w:highlight w:val="none"/>
                <w:lang w:eastAsia="zh-CN"/>
              </w:rPr>
              <w:t>时予以扣除。</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仿宋_GB2312"/>
                <w:color w:val="auto"/>
                <w:sz w:val="24"/>
                <w:highlight w:val="none"/>
              </w:rPr>
            </w:pPr>
            <w:r>
              <w:rPr>
                <w:rFonts w:hint="eastAsia" w:ascii="宋体" w:hAnsi="宋体" w:cs="仿宋_GB2312"/>
                <w:color w:val="auto"/>
                <w:sz w:val="24"/>
                <w:highlight w:val="none"/>
              </w:rPr>
              <w:t>2</w:t>
            </w:r>
          </w:p>
        </w:tc>
        <w:tc>
          <w:tcPr>
            <w:tcW w:w="104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60</w:t>
            </w:r>
          </w:p>
        </w:tc>
        <w:tc>
          <w:tcPr>
            <w:tcW w:w="324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合同总款项根据季度进行分配，按季度支付，优先从40%预付款中予以扣除，甲方在</w:t>
            </w:r>
            <w:r>
              <w:rPr>
                <w:rFonts w:hint="eastAsia" w:ascii="宋体" w:hAnsi="宋体"/>
                <w:color w:val="auto"/>
                <w:sz w:val="24"/>
                <w:highlight w:val="none"/>
              </w:rPr>
              <w:t>组织对服务情况考核</w:t>
            </w:r>
            <w:r>
              <w:rPr>
                <w:rFonts w:hint="eastAsia" w:ascii="宋体" w:hAnsi="宋体"/>
                <w:color w:val="auto"/>
                <w:sz w:val="24"/>
                <w:highlight w:val="none"/>
                <w:lang w:val="en-US" w:eastAsia="zh-CN"/>
              </w:rPr>
              <w:t>后支付第四季度款项。</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十二、后期监管（含履约要求、考核标准、违约处罚等）：</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宋体" w:hAnsi="宋体"/>
          <w:b/>
          <w:color w:val="auto"/>
          <w:sz w:val="24"/>
          <w:highlight w:val="none"/>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宋体" w:hAnsi="宋体"/>
          <w:b/>
          <w:color w:val="auto"/>
          <w:sz w:val="24"/>
          <w:highlight w:val="none"/>
          <w:lang w:val="en-US" w:eastAsia="zh-CN"/>
        </w:rPr>
        <w:t>一</w:t>
      </w:r>
      <w:r>
        <w:rPr>
          <w:rFonts w:hint="eastAsia" w:ascii="宋体" w:hAnsi="宋体"/>
          <w:b/>
          <w:color w:val="auto"/>
          <w:sz w:val="24"/>
          <w:highlight w:val="none"/>
        </w:rPr>
        <w:t>、检查与考核</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bookmarkStart w:id="28" w:name="_Hlt75083405"/>
      <w:bookmarkEnd w:id="28"/>
      <w:bookmarkStart w:id="29" w:name="_Hlt67893520"/>
      <w:bookmarkEnd w:id="29"/>
      <w:bookmarkStart w:id="30" w:name="_Hlt74129072"/>
      <w:bookmarkEnd w:id="30"/>
      <w:bookmarkStart w:id="31" w:name="_Hlt68057770"/>
      <w:bookmarkEnd w:id="31"/>
      <w:bookmarkStart w:id="32" w:name="_Hlt68073103"/>
      <w:bookmarkEnd w:id="32"/>
      <w:bookmarkStart w:id="33" w:name="_Toc42917088"/>
      <w:bookmarkEnd w:id="33"/>
      <w:bookmarkStart w:id="34" w:name="_Toc42923541"/>
      <w:bookmarkEnd w:id="34"/>
      <w:bookmarkStart w:id="35" w:name="_Hlt67996952"/>
      <w:bookmarkEnd w:id="35"/>
      <w:r>
        <w:rPr>
          <w:rFonts w:hint="eastAsia" w:ascii="宋体" w:hAnsi="宋体"/>
          <w:color w:val="auto"/>
          <w:sz w:val="24"/>
          <w:highlight w:val="none"/>
        </w:rPr>
        <w:t>（一）供应商应制订具体的质量保证措施及质量保证和相关服务承诺。供应商所有的工作除应按供应商的内部流程实施外，还应接受采购人或第三方的随时检查。如因质量未达到目标，采购人有权要求其整改，同时供应商应承担责任和经济赔偿（</w:t>
      </w:r>
      <w:r>
        <w:rPr>
          <w:rFonts w:hint="eastAsia" w:ascii="宋体" w:hAnsi="宋体"/>
          <w:color w:val="auto"/>
          <w:sz w:val="24"/>
          <w:highlight w:val="none"/>
          <w:lang w:val="en-US" w:eastAsia="zh-CN"/>
        </w:rPr>
        <w:t>罚</w:t>
      </w:r>
      <w:r>
        <w:rPr>
          <w:rFonts w:hint="eastAsia" w:ascii="宋体" w:hAnsi="宋体"/>
          <w:color w:val="auto"/>
          <w:sz w:val="24"/>
          <w:highlight w:val="none"/>
        </w:rPr>
        <w:t>款或终止合同）。</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）采购人定期（每月）、不定期地对供应商管理服务进行检查和抽查，检查记录和整改时限反馈</w:t>
      </w:r>
      <w:r>
        <w:rPr>
          <w:rFonts w:hint="eastAsia" w:ascii="宋体" w:hAnsi="宋体"/>
          <w:color w:val="auto"/>
          <w:sz w:val="24"/>
          <w:highlight w:val="none"/>
          <w:lang w:val="en-US" w:eastAsia="zh-CN"/>
        </w:rPr>
        <w:t>安保公司</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w:t>
      </w:r>
      <w:r>
        <w:rPr>
          <w:rFonts w:hint="eastAsia" w:ascii="宋体" w:hAnsi="宋体"/>
          <w:color w:val="auto"/>
          <w:sz w:val="24"/>
          <w:highlight w:val="none"/>
          <w:lang w:val="en-US" w:eastAsia="zh-CN"/>
        </w:rPr>
        <w:t>考核</w:t>
      </w:r>
      <w:r>
        <w:rPr>
          <w:rFonts w:hint="eastAsia" w:ascii="宋体" w:hAnsi="宋体"/>
          <w:color w:val="auto"/>
          <w:sz w:val="24"/>
          <w:highlight w:val="none"/>
        </w:rPr>
        <w:t>扣分依据材料（或图片）</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经采购人负责人</w:t>
      </w:r>
      <w:r>
        <w:rPr>
          <w:rFonts w:hint="eastAsia" w:ascii="宋体" w:hAnsi="宋体"/>
          <w:color w:val="auto"/>
          <w:sz w:val="24"/>
          <w:highlight w:val="none"/>
        </w:rPr>
        <w:t>签字确认后，通报</w:t>
      </w:r>
      <w:r>
        <w:rPr>
          <w:rFonts w:hint="eastAsia" w:ascii="宋体" w:hAnsi="宋体"/>
          <w:color w:val="auto"/>
          <w:sz w:val="24"/>
          <w:highlight w:val="none"/>
          <w:lang w:val="en-US" w:eastAsia="zh-CN"/>
        </w:rPr>
        <w:t>物业公司</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）考核时间为每月一次，次月10日前组织对上月服务情况考核。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color w:val="auto"/>
          <w:sz w:val="24"/>
          <w:highlight w:val="none"/>
        </w:rPr>
        <w:t>）</w:t>
      </w:r>
      <w:r>
        <w:rPr>
          <w:rFonts w:hint="eastAsia" w:ascii="宋体" w:hAnsi="宋体"/>
          <w:b w:val="0"/>
          <w:bCs/>
          <w:color w:val="auto"/>
          <w:sz w:val="24"/>
          <w:highlight w:val="none"/>
          <w:lang w:val="en-US" w:eastAsia="zh-CN"/>
        </w:rPr>
        <w:t>杭州殡仪馆月度安保服务考核表：</w:t>
      </w:r>
    </w:p>
    <w:p>
      <w:pPr>
        <w:jc w:val="center"/>
        <w:rPr>
          <w:rFonts w:hint="eastAsia" w:ascii="黑体" w:hAnsi="黑体" w:eastAsia="黑体"/>
          <w:b/>
          <w:color w:val="auto"/>
          <w:sz w:val="32"/>
          <w:szCs w:val="32"/>
          <w:highlight w:val="none"/>
          <w:lang w:val="en-US" w:eastAsia="zh-CN"/>
        </w:rPr>
      </w:pPr>
      <w:r>
        <w:rPr>
          <w:rFonts w:hint="eastAsia" w:ascii="黑体" w:hAnsi="黑体" w:eastAsia="黑体"/>
          <w:b/>
          <w:color w:val="auto"/>
          <w:sz w:val="32"/>
          <w:szCs w:val="32"/>
          <w:highlight w:val="none"/>
          <w:lang w:val="en-US" w:eastAsia="zh-CN"/>
        </w:rPr>
        <w:br w:type="page"/>
      </w:r>
    </w:p>
    <w:tbl>
      <w:tblPr>
        <w:tblStyle w:val="63"/>
        <w:tblW w:w="5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82"/>
        <w:gridCol w:w="1140"/>
        <w:gridCol w:w="4627"/>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000" w:type="pct"/>
            <w:gridSpan w:val="5"/>
            <w:tcBorders>
              <w:top w:val="nil"/>
              <w:left w:val="nil"/>
              <w:bottom w:val="single" w:color="auto" w:sz="4" w:space="0"/>
              <w:right w:val="nil"/>
            </w:tcBorders>
            <w:noWrap w:val="0"/>
            <w:vAlign w:val="center"/>
          </w:tcPr>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安保</w:t>
            </w:r>
            <w:r>
              <w:rPr>
                <w:rFonts w:hint="eastAsia" w:ascii="宋体" w:hAnsi="宋体" w:eastAsia="宋体" w:cs="宋体"/>
                <w:b/>
                <w:color w:val="auto"/>
                <w:sz w:val="28"/>
                <w:szCs w:val="28"/>
                <w:highlight w:val="none"/>
              </w:rPr>
              <w:t>服务考核表（满分100分）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考核时间：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17"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502" w:type="pct"/>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考评标准</w:t>
            </w:r>
          </w:p>
        </w:tc>
        <w:tc>
          <w:tcPr>
            <w:tcW w:w="2553"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考评标准</w:t>
            </w:r>
          </w:p>
        </w:tc>
        <w:tc>
          <w:tcPr>
            <w:tcW w:w="426"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综合管理</w:t>
            </w: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人员着装，精神风貌（</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着装整齐、精神振作</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人员到岗数量（10分）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人员到岗数量符合要求，出勤良好，无脱岗</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工作配合和</w:t>
            </w:r>
            <w:r>
              <w:rPr>
                <w:rFonts w:hint="eastAsia" w:ascii="宋体" w:hAnsi="宋体" w:eastAsia="宋体" w:cs="宋体"/>
                <w:color w:val="auto"/>
                <w:sz w:val="24"/>
                <w:szCs w:val="24"/>
                <w:highlight w:val="none"/>
                <w:lang w:val="en-US" w:eastAsia="zh-CN"/>
              </w:rPr>
              <w:t>服务态度</w:t>
            </w:r>
            <w:r>
              <w:rPr>
                <w:rFonts w:hint="eastAsia" w:ascii="宋体" w:hAnsi="宋体" w:eastAsia="宋体" w:cs="宋体"/>
                <w:color w:val="auto"/>
                <w:sz w:val="24"/>
                <w:szCs w:val="24"/>
                <w:highlight w:val="none"/>
              </w:rPr>
              <w:t>（10分）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服务态度良好，</w:t>
            </w:r>
            <w:r>
              <w:rPr>
                <w:rFonts w:hint="eastAsia" w:ascii="宋体" w:hAnsi="宋体" w:eastAsia="宋体" w:cs="宋体"/>
                <w:color w:val="auto"/>
                <w:sz w:val="24"/>
                <w:szCs w:val="24"/>
                <w:highlight w:val="none"/>
              </w:rPr>
              <w:t>服从管理，按照要求报送各类台账、报表等</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1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安保管理</w:t>
            </w: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了解保卫目标的基本情况，重点要害部位，并制定和落实工作预案（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主要做好“四防”即防火、防盗、防破坏、防自然灾害，制定工作预案，每月演练一次</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按照规定管理车辆维持</w:t>
            </w:r>
            <w:r>
              <w:rPr>
                <w:rFonts w:hint="eastAsia" w:ascii="宋体" w:hAnsi="宋体" w:eastAsia="宋体" w:cs="宋体"/>
                <w:color w:val="auto"/>
                <w:sz w:val="24"/>
                <w:szCs w:val="24"/>
                <w:highlight w:val="none"/>
                <w:lang w:eastAsia="zh-CN"/>
              </w:rPr>
              <w:t>秩序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机动车按殡仪馆指定的区域停放，引导进出，保证停放有序到位道路通畅。</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值班记录、月小结情况（</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及时、准确、真实、全面的</w:t>
            </w:r>
            <w:r>
              <w:rPr>
                <w:rFonts w:hint="eastAsia" w:ascii="宋体" w:hAnsi="宋体" w:eastAsia="宋体" w:cs="宋体"/>
                <w:color w:val="auto"/>
                <w:sz w:val="24"/>
                <w:szCs w:val="24"/>
                <w:highlight w:val="none"/>
                <w:lang w:eastAsia="zh-CN"/>
              </w:rPr>
              <w:t>反映</w:t>
            </w:r>
            <w:r>
              <w:rPr>
                <w:rFonts w:hint="eastAsia" w:ascii="宋体" w:hAnsi="宋体" w:eastAsia="宋体" w:cs="宋体"/>
                <w:color w:val="auto"/>
                <w:sz w:val="24"/>
                <w:szCs w:val="24"/>
                <w:highlight w:val="none"/>
              </w:rPr>
              <w:t>实况，登记本整洁完整、字迹清楚</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主动与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联系、沟通、汇报工作（</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每月向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汇报安全检查发现的安全隐患，主动听取</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对安全工作要求及建议</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w:t>
            </w:r>
            <w:r>
              <w:rPr>
                <w:rFonts w:hint="eastAsia" w:ascii="宋体" w:hAnsi="宋体" w:eastAsia="宋体" w:cs="宋体"/>
                <w:color w:val="auto"/>
                <w:sz w:val="24"/>
                <w:szCs w:val="24"/>
                <w:highlight w:val="none"/>
                <w:lang w:val="en-US" w:eastAsia="zh-CN"/>
              </w:rPr>
              <w:t>门岗、</w:t>
            </w:r>
            <w:r>
              <w:rPr>
                <w:rFonts w:hint="eastAsia" w:ascii="宋体" w:hAnsi="宋体" w:eastAsia="宋体" w:cs="宋体"/>
                <w:color w:val="auto"/>
                <w:sz w:val="24"/>
                <w:szCs w:val="24"/>
                <w:highlight w:val="none"/>
              </w:rPr>
              <w:t>服务大厅、火化部门相应的工作（</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w:t>
            </w:r>
            <w:r>
              <w:rPr>
                <w:rFonts w:hint="eastAsia" w:ascii="宋体" w:hAnsi="宋体" w:eastAsia="宋体" w:cs="宋体"/>
                <w:color w:val="auto"/>
                <w:sz w:val="24"/>
                <w:szCs w:val="24"/>
                <w:highlight w:val="none"/>
                <w:lang w:val="en-US" w:eastAsia="zh-CN"/>
              </w:rPr>
              <w:t>全馆日常查验、巡逻</w:t>
            </w:r>
            <w:r>
              <w:rPr>
                <w:rFonts w:hint="eastAsia" w:ascii="宋体" w:hAnsi="宋体" w:eastAsia="宋体" w:cs="宋体"/>
                <w:color w:val="auto"/>
                <w:sz w:val="24"/>
                <w:szCs w:val="24"/>
                <w:highlight w:val="none"/>
              </w:rPr>
              <w:t>、引导、秩序维护工作</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监控管理</w:t>
            </w: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高度警惕，做好记录（</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发现可疑动态或收到周界报警立即通报相应岗位人员，并做好记录；</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7" w:type="pct"/>
            <w:vMerge w:val="continue"/>
            <w:noWrap w:val="0"/>
            <w:vAlign w:val="top"/>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c>
          <w:tcPr>
            <w:tcW w:w="1502" w:type="pct"/>
            <w:gridSpan w:val="2"/>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规范操作(</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2553"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按照规范流程操作设备和查阅录像资料</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573" w:type="pct"/>
            <w:gridSpan w:val="4"/>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考评意见：</w:t>
            </w:r>
          </w:p>
        </w:tc>
        <w:tc>
          <w:tcPr>
            <w:tcW w:w="426" w:type="pct"/>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、奖惩办法</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分及以上按正常费用结算， </w:t>
            </w:r>
          </w:p>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分以下的，按照每扣一分，扣当月服务费用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000元。85分以下，按照每扣一分，扣除当月服务费用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000元。扣除费用应在结算当月物业费前先交至我馆财务。</w:t>
            </w:r>
          </w:p>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）经采购人次月初服务考核完毕后方可申请结算。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0" w:type="pct"/>
            <w:gridSpan w:val="2"/>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rPr>
              <w:t>项目相关人员签字：</w:t>
            </w:r>
          </w:p>
        </w:tc>
        <w:tc>
          <w:tcPr>
            <w:tcW w:w="3609" w:type="pct"/>
            <w:gridSpan w:val="3"/>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0" w:type="pct"/>
            <w:gridSpan w:val="2"/>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rPr>
              <w:t>科室负责人签字：</w:t>
            </w:r>
          </w:p>
        </w:tc>
        <w:tc>
          <w:tcPr>
            <w:tcW w:w="3609" w:type="pct"/>
            <w:gridSpan w:val="3"/>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0" w:type="pct"/>
            <w:gridSpan w:val="2"/>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rPr>
              <w:t>分管领导签字：</w:t>
            </w:r>
          </w:p>
        </w:tc>
        <w:tc>
          <w:tcPr>
            <w:tcW w:w="3609" w:type="pct"/>
            <w:gridSpan w:val="3"/>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0" w:type="pct"/>
            <w:gridSpan w:val="2"/>
            <w:noWrap w:val="0"/>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t>财务分管领导签字：</w:t>
            </w:r>
          </w:p>
        </w:tc>
        <w:tc>
          <w:tcPr>
            <w:tcW w:w="3609" w:type="pct"/>
            <w:gridSpan w:val="3"/>
            <w:noWrap w:val="0"/>
            <w:vAlign w:val="center"/>
          </w:tcPr>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sz w:val="24"/>
                <w:szCs w:val="24"/>
                <w:highlight w:val="none"/>
              </w:rPr>
            </w:pPr>
          </w:p>
        </w:tc>
      </w:tr>
    </w:tbl>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6" w:name="_Toc184308059"/>
      <w:bookmarkEnd w:id="36"/>
      <w:bookmarkStart w:id="37" w:name="_Toc184310278"/>
      <w:bookmarkEnd w:id="37"/>
      <w:bookmarkStart w:id="38" w:name="_Toc184314463"/>
      <w:bookmarkEnd w:id="38"/>
      <w:bookmarkStart w:id="39" w:name="_Toc184310328"/>
      <w:bookmarkEnd w:id="39"/>
      <w:bookmarkStart w:id="40" w:name="_Toc184310316"/>
      <w:bookmarkEnd w:id="40"/>
      <w:bookmarkStart w:id="41" w:name="_Toc184313298"/>
      <w:bookmarkEnd w:id="41"/>
      <w:bookmarkStart w:id="42" w:name="_Toc184313289"/>
      <w:bookmarkEnd w:id="42"/>
      <w:bookmarkStart w:id="43" w:name="_Toc184308048"/>
      <w:bookmarkEnd w:id="43"/>
      <w:bookmarkStart w:id="44" w:name="_Toc184314439"/>
      <w:bookmarkEnd w:id="44"/>
      <w:bookmarkStart w:id="45" w:name="_Toc184313285"/>
      <w:bookmarkEnd w:id="45"/>
      <w:bookmarkStart w:id="46" w:name="_Toc184314467"/>
      <w:bookmarkEnd w:id="46"/>
      <w:bookmarkStart w:id="47" w:name="_Toc184313287"/>
      <w:bookmarkEnd w:id="47"/>
      <w:bookmarkStart w:id="48" w:name="_Toc184314480"/>
      <w:bookmarkEnd w:id="48"/>
      <w:bookmarkStart w:id="49" w:name="_Toc184313261"/>
      <w:bookmarkEnd w:id="49"/>
      <w:bookmarkStart w:id="50" w:name="_Toc184313303"/>
      <w:bookmarkEnd w:id="50"/>
      <w:bookmarkStart w:id="51" w:name="_Toc184308061"/>
      <w:bookmarkEnd w:id="51"/>
      <w:bookmarkStart w:id="52" w:name="_Toc184312071"/>
      <w:bookmarkEnd w:id="52"/>
      <w:bookmarkStart w:id="53" w:name="_Toc184313267"/>
      <w:bookmarkEnd w:id="53"/>
      <w:bookmarkStart w:id="54" w:name="_Toc184308065"/>
      <w:bookmarkEnd w:id="54"/>
      <w:bookmarkStart w:id="55" w:name="_Toc184310299"/>
      <w:bookmarkEnd w:id="55"/>
      <w:bookmarkStart w:id="56" w:name="_Toc184308064"/>
      <w:bookmarkEnd w:id="56"/>
      <w:bookmarkStart w:id="57" w:name="_Toc184312109"/>
      <w:bookmarkEnd w:id="57"/>
      <w:bookmarkStart w:id="58" w:name="_Toc184312135"/>
      <w:bookmarkEnd w:id="58"/>
      <w:bookmarkStart w:id="59" w:name="_Toc184312094"/>
      <w:bookmarkEnd w:id="59"/>
      <w:bookmarkStart w:id="60" w:name="_Toc184312113"/>
      <w:bookmarkEnd w:id="60"/>
      <w:bookmarkStart w:id="61" w:name="_Toc184308069"/>
      <w:bookmarkEnd w:id="61"/>
      <w:bookmarkStart w:id="62" w:name="_Toc184310336"/>
      <w:bookmarkEnd w:id="62"/>
      <w:bookmarkStart w:id="63" w:name="_Toc184308086"/>
      <w:bookmarkEnd w:id="63"/>
      <w:bookmarkStart w:id="64" w:name="_Toc184313256"/>
      <w:bookmarkEnd w:id="64"/>
      <w:bookmarkStart w:id="65" w:name="_Toc184313300"/>
      <w:bookmarkEnd w:id="65"/>
      <w:bookmarkStart w:id="66" w:name="_Toc184314458"/>
      <w:bookmarkEnd w:id="66"/>
      <w:bookmarkStart w:id="67" w:name="_Toc184308093"/>
      <w:bookmarkEnd w:id="67"/>
      <w:bookmarkStart w:id="68" w:name="_Toc184308082"/>
      <w:bookmarkEnd w:id="68"/>
      <w:bookmarkStart w:id="69" w:name="_Toc184312118"/>
      <w:bookmarkEnd w:id="69"/>
      <w:bookmarkStart w:id="70" w:name="_Toc184310294"/>
      <w:bookmarkEnd w:id="70"/>
      <w:bookmarkStart w:id="71" w:name="_Toc184310290"/>
      <w:bookmarkEnd w:id="71"/>
      <w:bookmarkStart w:id="72" w:name="_Toc184313239"/>
      <w:bookmarkEnd w:id="72"/>
      <w:bookmarkStart w:id="73" w:name="_Toc184314444"/>
      <w:bookmarkEnd w:id="73"/>
      <w:bookmarkStart w:id="74" w:name="_Toc184310323"/>
      <w:bookmarkEnd w:id="74"/>
      <w:bookmarkStart w:id="75" w:name="_Toc184308074"/>
      <w:bookmarkEnd w:id="75"/>
      <w:bookmarkStart w:id="76" w:name="_Toc184314420"/>
      <w:bookmarkEnd w:id="76"/>
      <w:bookmarkStart w:id="77" w:name="_Toc184314465"/>
      <w:bookmarkEnd w:id="77"/>
      <w:bookmarkStart w:id="78" w:name="_Toc184310341"/>
      <w:bookmarkEnd w:id="78"/>
      <w:bookmarkStart w:id="79" w:name="_Toc184310329"/>
      <w:bookmarkEnd w:id="79"/>
      <w:bookmarkStart w:id="80" w:name="_Toc184308077"/>
      <w:bookmarkEnd w:id="80"/>
      <w:bookmarkStart w:id="81" w:name="_Toc184314448"/>
      <w:bookmarkEnd w:id="81"/>
      <w:bookmarkStart w:id="82" w:name="_Toc184314476"/>
      <w:bookmarkEnd w:id="82"/>
      <w:bookmarkStart w:id="83" w:name="_Toc184310331"/>
      <w:bookmarkEnd w:id="83"/>
      <w:bookmarkStart w:id="84" w:name="_Toc184313275"/>
      <w:bookmarkEnd w:id="84"/>
      <w:bookmarkStart w:id="85" w:name="_Toc184310292"/>
      <w:bookmarkEnd w:id="85"/>
      <w:bookmarkStart w:id="86" w:name="_Toc184310274"/>
      <w:bookmarkEnd w:id="86"/>
      <w:bookmarkStart w:id="87" w:name="_Toc184308101"/>
      <w:bookmarkEnd w:id="87"/>
      <w:bookmarkStart w:id="88" w:name="_Toc184313242"/>
      <w:bookmarkEnd w:id="88"/>
      <w:bookmarkStart w:id="89" w:name="_Toc184313296"/>
      <w:bookmarkEnd w:id="89"/>
      <w:bookmarkStart w:id="90" w:name="_Toc184308056"/>
      <w:bookmarkEnd w:id="90"/>
      <w:bookmarkStart w:id="91" w:name="_Toc184312088"/>
      <w:bookmarkEnd w:id="91"/>
      <w:bookmarkStart w:id="92" w:name="_Toc184310301"/>
      <w:bookmarkEnd w:id="92"/>
      <w:bookmarkStart w:id="93" w:name="_Toc184312107"/>
      <w:bookmarkEnd w:id="93"/>
      <w:bookmarkStart w:id="94" w:name="_Toc184313297"/>
      <w:bookmarkEnd w:id="94"/>
      <w:bookmarkStart w:id="95" w:name="_Toc184308054"/>
      <w:bookmarkEnd w:id="95"/>
      <w:bookmarkStart w:id="96" w:name="_Toc184312101"/>
      <w:bookmarkEnd w:id="96"/>
      <w:bookmarkStart w:id="97" w:name="_Toc184308094"/>
      <w:bookmarkEnd w:id="97"/>
      <w:bookmarkStart w:id="98" w:name="_Toc184308105"/>
      <w:bookmarkEnd w:id="98"/>
      <w:bookmarkStart w:id="99" w:name="_Toc184310300"/>
      <w:bookmarkEnd w:id="99"/>
      <w:bookmarkStart w:id="100" w:name="_Toc184312096"/>
      <w:bookmarkEnd w:id="100"/>
      <w:bookmarkStart w:id="101" w:name="_Toc184312086"/>
      <w:bookmarkEnd w:id="101"/>
      <w:bookmarkStart w:id="102" w:name="_Toc184310272"/>
      <w:bookmarkEnd w:id="102"/>
      <w:bookmarkStart w:id="103" w:name="_Toc184314460"/>
      <w:bookmarkEnd w:id="103"/>
      <w:bookmarkStart w:id="104" w:name="_Toc184314419"/>
      <w:bookmarkEnd w:id="104"/>
      <w:bookmarkStart w:id="105" w:name="_Toc184314454"/>
      <w:bookmarkEnd w:id="105"/>
      <w:bookmarkStart w:id="106" w:name="_Toc184310343"/>
      <w:bookmarkEnd w:id="106"/>
      <w:bookmarkStart w:id="107" w:name="_Toc184312104"/>
      <w:bookmarkEnd w:id="107"/>
      <w:bookmarkStart w:id="108" w:name="_Toc184312128"/>
      <w:bookmarkEnd w:id="108"/>
      <w:bookmarkStart w:id="109" w:name="_Toc184313244"/>
      <w:bookmarkEnd w:id="109"/>
      <w:bookmarkStart w:id="110" w:name="_Toc184312078"/>
      <w:bookmarkEnd w:id="110"/>
      <w:bookmarkStart w:id="111" w:name="_Toc184312114"/>
      <w:bookmarkEnd w:id="111"/>
      <w:bookmarkStart w:id="112" w:name="_Toc184314462"/>
      <w:bookmarkEnd w:id="112"/>
      <w:bookmarkStart w:id="113" w:name="_Toc184313290"/>
      <w:bookmarkEnd w:id="113"/>
      <w:bookmarkStart w:id="114" w:name="_Toc184314470"/>
      <w:bookmarkEnd w:id="114"/>
      <w:bookmarkStart w:id="115" w:name="_Toc184308085"/>
      <w:bookmarkEnd w:id="115"/>
      <w:bookmarkStart w:id="116" w:name="_Toc184314425"/>
      <w:bookmarkEnd w:id="116"/>
      <w:bookmarkStart w:id="117" w:name="_Toc184310284"/>
      <w:bookmarkEnd w:id="117"/>
      <w:bookmarkStart w:id="118" w:name="_Toc184308045"/>
      <w:bookmarkEnd w:id="118"/>
      <w:bookmarkStart w:id="119" w:name="_Toc184312112"/>
      <w:bookmarkEnd w:id="119"/>
      <w:bookmarkStart w:id="120" w:name="_Toc184314478"/>
      <w:bookmarkEnd w:id="120"/>
      <w:bookmarkStart w:id="121" w:name="_Toc184312074"/>
      <w:bookmarkEnd w:id="121"/>
      <w:bookmarkStart w:id="122" w:name="_Toc184312070"/>
      <w:bookmarkEnd w:id="122"/>
      <w:bookmarkStart w:id="123" w:name="_Toc184312110"/>
      <w:bookmarkEnd w:id="123"/>
      <w:bookmarkStart w:id="124" w:name="_Toc184310296"/>
      <w:bookmarkEnd w:id="124"/>
      <w:bookmarkStart w:id="125" w:name="_Toc184313293"/>
      <w:bookmarkEnd w:id="125"/>
      <w:bookmarkStart w:id="126" w:name="_Toc184314477"/>
      <w:bookmarkEnd w:id="126"/>
      <w:bookmarkStart w:id="127" w:name="_Toc184310304"/>
      <w:bookmarkEnd w:id="127"/>
      <w:bookmarkStart w:id="128" w:name="_Toc184312105"/>
      <w:bookmarkEnd w:id="128"/>
      <w:bookmarkStart w:id="129" w:name="_Toc184312087"/>
      <w:bookmarkEnd w:id="129"/>
      <w:bookmarkStart w:id="130" w:name="_Toc184313273"/>
      <w:bookmarkEnd w:id="130"/>
      <w:bookmarkStart w:id="131" w:name="_Toc184312100"/>
      <w:bookmarkEnd w:id="131"/>
      <w:bookmarkStart w:id="132" w:name="_Toc184308039"/>
      <w:bookmarkEnd w:id="132"/>
      <w:bookmarkStart w:id="133" w:name="_Toc184308092"/>
      <w:bookmarkEnd w:id="133"/>
      <w:bookmarkStart w:id="134" w:name="_Toc184312127"/>
      <w:bookmarkEnd w:id="134"/>
      <w:bookmarkStart w:id="135" w:name="_Toc184308055"/>
      <w:bookmarkEnd w:id="135"/>
      <w:bookmarkStart w:id="136" w:name="_Toc184313279"/>
      <w:bookmarkEnd w:id="136"/>
      <w:bookmarkStart w:id="137" w:name="_Toc184310288"/>
      <w:bookmarkEnd w:id="137"/>
      <w:bookmarkStart w:id="138" w:name="_Toc184313260"/>
      <w:bookmarkEnd w:id="138"/>
      <w:bookmarkStart w:id="139" w:name="_Toc184313249"/>
      <w:bookmarkEnd w:id="139"/>
      <w:bookmarkStart w:id="140" w:name="_Toc184308071"/>
      <w:bookmarkEnd w:id="140"/>
      <w:bookmarkStart w:id="141" w:name="_Toc184308051"/>
      <w:bookmarkEnd w:id="141"/>
      <w:bookmarkStart w:id="142" w:name="_Toc184308062"/>
      <w:bookmarkEnd w:id="142"/>
      <w:bookmarkStart w:id="143" w:name="_Toc184310286"/>
      <w:bookmarkEnd w:id="143"/>
      <w:bookmarkStart w:id="144" w:name="_Toc184313245"/>
      <w:bookmarkEnd w:id="144"/>
      <w:bookmarkStart w:id="145" w:name="_Toc184308066"/>
      <w:bookmarkEnd w:id="145"/>
      <w:bookmarkStart w:id="146" w:name="_Toc184314453"/>
      <w:bookmarkEnd w:id="146"/>
      <w:bookmarkStart w:id="147" w:name="_Toc184312137"/>
      <w:bookmarkEnd w:id="147"/>
      <w:bookmarkStart w:id="148" w:name="_Toc184308084"/>
      <w:bookmarkEnd w:id="148"/>
      <w:bookmarkStart w:id="149" w:name="_Toc184313266"/>
      <w:bookmarkEnd w:id="149"/>
      <w:bookmarkStart w:id="150" w:name="_Toc184308040"/>
      <w:bookmarkEnd w:id="150"/>
      <w:bookmarkStart w:id="151" w:name="_Toc184308089"/>
      <w:bookmarkEnd w:id="151"/>
      <w:bookmarkStart w:id="152" w:name="_Toc184308081"/>
      <w:bookmarkEnd w:id="152"/>
      <w:bookmarkStart w:id="153" w:name="_Toc184312072"/>
      <w:bookmarkEnd w:id="153"/>
      <w:bookmarkStart w:id="154" w:name="_Toc184308097"/>
      <w:bookmarkEnd w:id="154"/>
      <w:bookmarkStart w:id="155" w:name="_Toc184314481"/>
      <w:bookmarkEnd w:id="155"/>
      <w:bookmarkStart w:id="156" w:name="_Toc184312115"/>
      <w:bookmarkEnd w:id="156"/>
      <w:bookmarkStart w:id="157" w:name="_Toc184314459"/>
      <w:bookmarkEnd w:id="157"/>
      <w:bookmarkStart w:id="158" w:name="_Toc184312076"/>
      <w:bookmarkEnd w:id="158"/>
      <w:bookmarkStart w:id="159" w:name="_Toc184314433"/>
      <w:bookmarkEnd w:id="159"/>
      <w:bookmarkStart w:id="160" w:name="_Toc184314427"/>
      <w:bookmarkEnd w:id="160"/>
      <w:bookmarkStart w:id="161" w:name="_Toc184313253"/>
      <w:bookmarkEnd w:id="161"/>
      <w:bookmarkStart w:id="162" w:name="_Toc184314432"/>
      <w:bookmarkEnd w:id="162"/>
      <w:bookmarkStart w:id="163" w:name="_Toc184312098"/>
      <w:bookmarkEnd w:id="163"/>
      <w:bookmarkStart w:id="164" w:name="_Toc184308075"/>
      <w:bookmarkEnd w:id="164"/>
      <w:bookmarkStart w:id="165" w:name="_Toc184310326"/>
      <w:bookmarkEnd w:id="165"/>
      <w:bookmarkStart w:id="166" w:name="_Toc184313276"/>
      <w:bookmarkEnd w:id="166"/>
      <w:bookmarkStart w:id="167" w:name="_Toc184310302"/>
      <w:bookmarkEnd w:id="167"/>
      <w:bookmarkStart w:id="168" w:name="_Toc184313299"/>
      <w:bookmarkEnd w:id="168"/>
      <w:bookmarkStart w:id="169" w:name="_Toc184314422"/>
      <w:bookmarkEnd w:id="169"/>
      <w:bookmarkStart w:id="170" w:name="_Toc184313238"/>
      <w:bookmarkEnd w:id="170"/>
      <w:bookmarkStart w:id="171" w:name="_Toc184310291"/>
      <w:bookmarkEnd w:id="171"/>
      <w:bookmarkStart w:id="172" w:name="_Toc184310297"/>
      <w:bookmarkEnd w:id="172"/>
      <w:bookmarkStart w:id="173" w:name="_Toc184312102"/>
      <w:bookmarkEnd w:id="173"/>
      <w:bookmarkStart w:id="174" w:name="_Toc184310338"/>
      <w:bookmarkEnd w:id="174"/>
      <w:bookmarkStart w:id="175" w:name="_Toc184310344"/>
      <w:bookmarkEnd w:id="175"/>
      <w:bookmarkStart w:id="176" w:name="_Toc184312133"/>
      <w:bookmarkEnd w:id="176"/>
      <w:bookmarkStart w:id="177" w:name="_Toc184313264"/>
      <w:bookmarkEnd w:id="177"/>
      <w:bookmarkStart w:id="178" w:name="_Toc184312116"/>
      <w:bookmarkEnd w:id="178"/>
      <w:bookmarkStart w:id="179" w:name="_Toc184310315"/>
      <w:bookmarkEnd w:id="179"/>
      <w:bookmarkStart w:id="180" w:name="_Toc184314447"/>
      <w:bookmarkEnd w:id="180"/>
      <w:bookmarkStart w:id="181" w:name="_Toc184314482"/>
      <w:bookmarkEnd w:id="181"/>
      <w:bookmarkStart w:id="182" w:name="_Toc184312106"/>
      <w:bookmarkEnd w:id="182"/>
      <w:bookmarkStart w:id="183" w:name="_Toc184308078"/>
      <w:bookmarkEnd w:id="183"/>
      <w:bookmarkStart w:id="184" w:name="_Toc184310277"/>
      <w:bookmarkEnd w:id="184"/>
      <w:bookmarkStart w:id="185" w:name="_Toc184314442"/>
      <w:bookmarkEnd w:id="185"/>
      <w:bookmarkStart w:id="186" w:name="_Toc184310308"/>
      <w:bookmarkEnd w:id="186"/>
      <w:bookmarkStart w:id="187" w:name="_Toc184310289"/>
      <w:bookmarkEnd w:id="187"/>
      <w:bookmarkStart w:id="188" w:name="_Toc184310342"/>
      <w:bookmarkEnd w:id="188"/>
      <w:bookmarkStart w:id="189" w:name="_Toc184314449"/>
      <w:bookmarkEnd w:id="189"/>
      <w:bookmarkStart w:id="190" w:name="_Toc184312084"/>
      <w:bookmarkEnd w:id="190"/>
      <w:bookmarkStart w:id="191" w:name="_Toc184308102"/>
      <w:bookmarkEnd w:id="191"/>
      <w:bookmarkStart w:id="192" w:name="_Toc184312122"/>
      <w:bookmarkEnd w:id="192"/>
      <w:bookmarkStart w:id="193" w:name="_Toc184313274"/>
      <w:bookmarkEnd w:id="193"/>
      <w:bookmarkStart w:id="194" w:name="_Toc184308091"/>
      <w:bookmarkEnd w:id="194"/>
      <w:bookmarkStart w:id="195" w:name="_Toc184310273"/>
      <w:bookmarkEnd w:id="195"/>
      <w:bookmarkStart w:id="196" w:name="_Toc184314474"/>
      <w:bookmarkEnd w:id="196"/>
      <w:bookmarkStart w:id="197" w:name="_Toc184310321"/>
      <w:bookmarkEnd w:id="197"/>
      <w:bookmarkStart w:id="198" w:name="_Toc184313281"/>
      <w:bookmarkEnd w:id="198"/>
      <w:bookmarkStart w:id="199" w:name="_Toc184313251"/>
      <w:bookmarkEnd w:id="199"/>
      <w:bookmarkStart w:id="200" w:name="_Toc184310287"/>
      <w:bookmarkEnd w:id="200"/>
      <w:bookmarkStart w:id="201" w:name="_Toc184312077"/>
      <w:bookmarkEnd w:id="201"/>
      <w:bookmarkStart w:id="202" w:name="_Toc184308096"/>
      <w:bookmarkEnd w:id="202"/>
      <w:bookmarkStart w:id="203" w:name="_Toc184308088"/>
      <w:bookmarkEnd w:id="203"/>
      <w:bookmarkStart w:id="204" w:name="_Toc184312067"/>
      <w:bookmarkEnd w:id="204"/>
      <w:bookmarkStart w:id="205" w:name="_Toc184313247"/>
      <w:bookmarkEnd w:id="205"/>
      <w:bookmarkStart w:id="206" w:name="_Toc184314469"/>
      <w:bookmarkEnd w:id="206"/>
      <w:bookmarkStart w:id="207" w:name="_Toc184308038"/>
      <w:bookmarkEnd w:id="207"/>
      <w:bookmarkStart w:id="208" w:name="_Toc184313265"/>
      <w:bookmarkEnd w:id="208"/>
      <w:bookmarkStart w:id="209" w:name="_Toc184313243"/>
      <w:bookmarkEnd w:id="209"/>
      <w:bookmarkStart w:id="210" w:name="_Toc184314410"/>
      <w:bookmarkEnd w:id="210"/>
      <w:bookmarkStart w:id="211" w:name="_Toc184308108"/>
      <w:bookmarkEnd w:id="211"/>
      <w:bookmarkStart w:id="212" w:name="_Toc184314438"/>
      <w:bookmarkEnd w:id="212"/>
      <w:bookmarkStart w:id="213" w:name="_Toc184312095"/>
      <w:bookmarkEnd w:id="213"/>
      <w:bookmarkStart w:id="214" w:name="_Toc184312120"/>
      <w:bookmarkEnd w:id="214"/>
      <w:bookmarkStart w:id="215" w:name="_Toc184310303"/>
      <w:bookmarkEnd w:id="215"/>
      <w:bookmarkStart w:id="216" w:name="_Toc184312069"/>
      <w:bookmarkEnd w:id="216"/>
      <w:bookmarkStart w:id="217" w:name="_Toc184314436"/>
      <w:bookmarkEnd w:id="217"/>
      <w:bookmarkStart w:id="218" w:name="_Toc184310333"/>
      <w:bookmarkEnd w:id="218"/>
      <w:bookmarkStart w:id="219" w:name="_Toc184313263"/>
      <w:bookmarkEnd w:id="219"/>
      <w:bookmarkStart w:id="220" w:name="_Toc184312083"/>
      <w:bookmarkEnd w:id="220"/>
      <w:bookmarkStart w:id="221" w:name="_Toc184314456"/>
      <w:bookmarkEnd w:id="221"/>
      <w:bookmarkStart w:id="222" w:name="_Toc184312121"/>
      <w:bookmarkEnd w:id="222"/>
      <w:bookmarkStart w:id="223" w:name="_Toc184313272"/>
      <w:bookmarkEnd w:id="223"/>
      <w:bookmarkStart w:id="224" w:name="_Toc184314479"/>
      <w:bookmarkEnd w:id="224"/>
      <w:bookmarkStart w:id="225" w:name="_Toc184310325"/>
      <w:bookmarkEnd w:id="225"/>
      <w:bookmarkStart w:id="226" w:name="_Toc184310283"/>
      <w:bookmarkEnd w:id="226"/>
      <w:bookmarkStart w:id="227" w:name="_Toc184313308"/>
      <w:bookmarkEnd w:id="227"/>
      <w:bookmarkStart w:id="228" w:name="_Toc184313254"/>
      <w:bookmarkEnd w:id="228"/>
      <w:bookmarkStart w:id="229" w:name="_Toc184312125"/>
      <w:bookmarkEnd w:id="229"/>
      <w:bookmarkStart w:id="230" w:name="_Toc184310318"/>
      <w:bookmarkEnd w:id="230"/>
      <w:bookmarkStart w:id="231" w:name="_Toc184310317"/>
      <w:bookmarkEnd w:id="231"/>
      <w:bookmarkStart w:id="232" w:name="_Toc184314466"/>
      <w:bookmarkEnd w:id="232"/>
      <w:bookmarkStart w:id="233" w:name="_Toc184312123"/>
      <w:bookmarkEnd w:id="233"/>
      <w:bookmarkStart w:id="234" w:name="_Toc184314468"/>
      <w:bookmarkEnd w:id="234"/>
      <w:bookmarkStart w:id="235" w:name="_Toc184314428"/>
      <w:bookmarkEnd w:id="235"/>
      <w:bookmarkStart w:id="236" w:name="_Toc184314424"/>
      <w:bookmarkEnd w:id="236"/>
      <w:bookmarkStart w:id="237" w:name="_Toc184313248"/>
      <w:bookmarkEnd w:id="237"/>
      <w:bookmarkStart w:id="238" w:name="_Toc184308037"/>
      <w:bookmarkEnd w:id="238"/>
      <w:bookmarkStart w:id="239" w:name="_Toc184310279"/>
      <w:bookmarkEnd w:id="239"/>
      <w:bookmarkStart w:id="240" w:name="_Toc184313304"/>
      <w:bookmarkEnd w:id="240"/>
      <w:bookmarkStart w:id="241" w:name="_Toc184308041"/>
      <w:bookmarkEnd w:id="241"/>
      <w:bookmarkStart w:id="242" w:name="_Toc184310307"/>
      <w:bookmarkEnd w:id="242"/>
      <w:bookmarkStart w:id="243" w:name="_Toc184313257"/>
      <w:bookmarkEnd w:id="243"/>
      <w:bookmarkStart w:id="244" w:name="_Toc184312085"/>
      <w:bookmarkEnd w:id="244"/>
      <w:bookmarkStart w:id="245" w:name="_Toc184308098"/>
      <w:bookmarkEnd w:id="245"/>
      <w:bookmarkStart w:id="246" w:name="_Toc184308042"/>
      <w:bookmarkEnd w:id="246"/>
      <w:bookmarkStart w:id="247" w:name="_Toc184314445"/>
      <w:bookmarkEnd w:id="247"/>
      <w:bookmarkStart w:id="248" w:name="_Toc184314475"/>
      <w:bookmarkEnd w:id="248"/>
      <w:bookmarkStart w:id="249" w:name="_Toc184308044"/>
      <w:bookmarkEnd w:id="249"/>
      <w:bookmarkStart w:id="250" w:name="_Toc184314416"/>
      <w:bookmarkEnd w:id="250"/>
      <w:bookmarkStart w:id="251" w:name="_Toc184310285"/>
      <w:bookmarkEnd w:id="251"/>
      <w:bookmarkStart w:id="252" w:name="_Toc184310337"/>
      <w:bookmarkEnd w:id="252"/>
      <w:bookmarkStart w:id="253" w:name="_Toc184308087"/>
      <w:bookmarkEnd w:id="253"/>
      <w:bookmarkStart w:id="254" w:name="_Toc184314440"/>
      <w:bookmarkEnd w:id="254"/>
      <w:bookmarkStart w:id="255" w:name="_Toc184313294"/>
      <w:bookmarkEnd w:id="255"/>
      <w:bookmarkStart w:id="256" w:name="_Toc184314473"/>
      <w:bookmarkEnd w:id="256"/>
      <w:bookmarkStart w:id="257" w:name="_Toc184313270"/>
      <w:bookmarkEnd w:id="257"/>
      <w:bookmarkStart w:id="258" w:name="_Toc184314412"/>
      <w:bookmarkEnd w:id="258"/>
      <w:bookmarkStart w:id="259" w:name="_Toc184308104"/>
      <w:bookmarkEnd w:id="259"/>
      <w:bookmarkStart w:id="260" w:name="_Toc184314434"/>
      <w:bookmarkEnd w:id="260"/>
      <w:bookmarkStart w:id="261" w:name="_Toc184313268"/>
      <w:bookmarkEnd w:id="261"/>
      <w:bookmarkStart w:id="262" w:name="_Toc184308036"/>
      <w:bookmarkEnd w:id="262"/>
      <w:bookmarkStart w:id="263" w:name="_Toc184313302"/>
      <w:bookmarkEnd w:id="263"/>
      <w:bookmarkStart w:id="264" w:name="_Toc184312124"/>
      <w:bookmarkEnd w:id="264"/>
      <w:bookmarkStart w:id="265" w:name="_Toc184312117"/>
      <w:bookmarkEnd w:id="265"/>
      <w:bookmarkStart w:id="266" w:name="_Toc184314441"/>
      <w:bookmarkEnd w:id="266"/>
      <w:bookmarkStart w:id="267" w:name="_Toc184308100"/>
      <w:bookmarkEnd w:id="267"/>
      <w:bookmarkStart w:id="268" w:name="_Toc184312075"/>
      <w:bookmarkEnd w:id="268"/>
      <w:bookmarkStart w:id="269" w:name="_Toc184312092"/>
      <w:bookmarkEnd w:id="269"/>
      <w:bookmarkStart w:id="270" w:name="_Toc184308050"/>
      <w:bookmarkEnd w:id="270"/>
      <w:bookmarkStart w:id="271" w:name="_Toc184310312"/>
      <w:bookmarkEnd w:id="271"/>
      <w:bookmarkStart w:id="272" w:name="_Toc184313241"/>
      <w:bookmarkEnd w:id="272"/>
      <w:bookmarkStart w:id="273" w:name="_Toc184312130"/>
      <w:bookmarkEnd w:id="273"/>
      <w:bookmarkStart w:id="274" w:name="_Toc184310309"/>
      <w:bookmarkEnd w:id="274"/>
      <w:bookmarkStart w:id="275" w:name="_Toc184308070"/>
      <w:bookmarkEnd w:id="275"/>
      <w:bookmarkStart w:id="276" w:name="_Toc184310275"/>
      <w:bookmarkEnd w:id="276"/>
      <w:bookmarkStart w:id="277" w:name="_Toc184308099"/>
      <w:bookmarkEnd w:id="277"/>
      <w:bookmarkStart w:id="278" w:name="_Toc184308072"/>
      <w:bookmarkEnd w:id="278"/>
      <w:bookmarkStart w:id="279" w:name="_Toc184314414"/>
      <w:bookmarkEnd w:id="279"/>
      <w:bookmarkStart w:id="280" w:name="_Toc184308095"/>
      <w:bookmarkEnd w:id="280"/>
      <w:bookmarkStart w:id="281" w:name="_Toc184314429"/>
      <w:bookmarkEnd w:id="281"/>
      <w:bookmarkStart w:id="282" w:name="_Toc184310311"/>
      <w:bookmarkEnd w:id="282"/>
      <w:bookmarkStart w:id="283" w:name="_Toc184312090"/>
      <w:bookmarkEnd w:id="283"/>
      <w:bookmarkStart w:id="284" w:name="_Toc184308057"/>
      <w:bookmarkEnd w:id="284"/>
      <w:bookmarkStart w:id="285" w:name="_Toc184308047"/>
      <w:bookmarkEnd w:id="285"/>
      <w:bookmarkStart w:id="286" w:name="_Toc184313305"/>
      <w:bookmarkEnd w:id="286"/>
      <w:bookmarkStart w:id="287" w:name="_Toc184314446"/>
      <w:bookmarkEnd w:id="287"/>
      <w:bookmarkStart w:id="288" w:name="_Toc184314421"/>
      <w:bookmarkEnd w:id="288"/>
      <w:bookmarkStart w:id="289" w:name="_Toc184314472"/>
      <w:bookmarkEnd w:id="289"/>
      <w:bookmarkStart w:id="290" w:name="_Toc184310330"/>
      <w:bookmarkEnd w:id="290"/>
      <w:bookmarkStart w:id="291" w:name="_Toc184314443"/>
      <w:bookmarkEnd w:id="291"/>
      <w:bookmarkStart w:id="292" w:name="_Toc184310310"/>
      <w:bookmarkEnd w:id="292"/>
      <w:bookmarkStart w:id="293" w:name="_Toc184312132"/>
      <w:bookmarkEnd w:id="293"/>
      <w:bookmarkStart w:id="294" w:name="_Toc184312097"/>
      <w:bookmarkEnd w:id="294"/>
      <w:bookmarkStart w:id="295" w:name="_Toc184312136"/>
      <w:bookmarkEnd w:id="295"/>
      <w:bookmarkStart w:id="296" w:name="_Toc184312091"/>
      <w:bookmarkEnd w:id="296"/>
      <w:bookmarkStart w:id="297" w:name="_Toc184314415"/>
      <w:bookmarkEnd w:id="297"/>
      <w:bookmarkStart w:id="298" w:name="_Toc184314431"/>
      <w:bookmarkEnd w:id="298"/>
      <w:bookmarkStart w:id="299" w:name="_Toc184310280"/>
      <w:bookmarkEnd w:id="299"/>
      <w:bookmarkStart w:id="300" w:name="_Toc184312103"/>
      <w:bookmarkEnd w:id="300"/>
      <w:bookmarkStart w:id="301" w:name="_Toc184312079"/>
      <w:bookmarkEnd w:id="301"/>
      <w:bookmarkStart w:id="302" w:name="_Toc184308090"/>
      <w:bookmarkEnd w:id="302"/>
      <w:bookmarkStart w:id="303" w:name="_Toc184312126"/>
      <w:bookmarkEnd w:id="303"/>
      <w:bookmarkStart w:id="304" w:name="_Toc184308076"/>
      <w:bookmarkEnd w:id="304"/>
      <w:bookmarkStart w:id="305" w:name="_Toc184308107"/>
      <w:bookmarkEnd w:id="305"/>
      <w:bookmarkStart w:id="306" w:name="_Toc184312073"/>
      <w:bookmarkEnd w:id="306"/>
      <w:bookmarkStart w:id="307" w:name="_Toc184312108"/>
      <w:bookmarkEnd w:id="307"/>
      <w:bookmarkStart w:id="308" w:name="_Toc184313278"/>
      <w:bookmarkEnd w:id="308"/>
      <w:bookmarkStart w:id="309" w:name="_Toc184308068"/>
      <w:bookmarkEnd w:id="309"/>
      <w:bookmarkStart w:id="310" w:name="_Toc184312099"/>
      <w:bookmarkEnd w:id="310"/>
      <w:bookmarkStart w:id="311" w:name="_Toc184310340"/>
      <w:bookmarkEnd w:id="311"/>
      <w:bookmarkStart w:id="312" w:name="_Toc184314450"/>
      <w:bookmarkEnd w:id="312"/>
      <w:bookmarkStart w:id="313" w:name="_Toc184313306"/>
      <w:bookmarkEnd w:id="313"/>
      <w:bookmarkStart w:id="314" w:name="_Toc184308103"/>
      <w:bookmarkEnd w:id="314"/>
      <w:bookmarkStart w:id="315" w:name="_Toc184314457"/>
      <w:bookmarkEnd w:id="315"/>
      <w:bookmarkStart w:id="316" w:name="_Toc184314430"/>
      <w:bookmarkEnd w:id="316"/>
      <w:bookmarkStart w:id="317" w:name="_Toc184313301"/>
      <w:bookmarkEnd w:id="317"/>
      <w:bookmarkStart w:id="318" w:name="_Toc184312093"/>
      <w:bookmarkEnd w:id="318"/>
      <w:bookmarkStart w:id="319" w:name="_Toc184313250"/>
      <w:bookmarkEnd w:id="319"/>
      <w:bookmarkStart w:id="320" w:name="_Toc184310334"/>
      <w:bookmarkEnd w:id="320"/>
      <w:bookmarkStart w:id="321" w:name="_Toc184313269"/>
      <w:bookmarkEnd w:id="321"/>
      <w:bookmarkStart w:id="322" w:name="_Toc184314464"/>
      <w:bookmarkEnd w:id="322"/>
      <w:bookmarkStart w:id="323" w:name="_Toc184312129"/>
      <w:bookmarkEnd w:id="323"/>
      <w:bookmarkStart w:id="324" w:name="_Toc184310327"/>
      <w:bookmarkEnd w:id="324"/>
      <w:bookmarkStart w:id="325" w:name="_Toc184308083"/>
      <w:bookmarkEnd w:id="325"/>
      <w:bookmarkStart w:id="326" w:name="_Toc184313291"/>
      <w:bookmarkEnd w:id="326"/>
      <w:bookmarkStart w:id="327" w:name="_Toc184313284"/>
      <w:bookmarkEnd w:id="327"/>
      <w:bookmarkStart w:id="328" w:name="_Toc184313262"/>
      <w:bookmarkEnd w:id="328"/>
      <w:bookmarkStart w:id="329" w:name="_Toc184313246"/>
      <w:bookmarkEnd w:id="329"/>
      <w:bookmarkStart w:id="330" w:name="_Toc184312089"/>
      <w:bookmarkEnd w:id="330"/>
      <w:bookmarkStart w:id="331" w:name="_Toc184308043"/>
      <w:bookmarkEnd w:id="331"/>
      <w:bookmarkStart w:id="332" w:name="_Toc184314423"/>
      <w:bookmarkEnd w:id="332"/>
      <w:bookmarkStart w:id="333" w:name="_Toc184312080"/>
      <w:bookmarkEnd w:id="333"/>
      <w:bookmarkStart w:id="334" w:name="_Toc184308106"/>
      <w:bookmarkEnd w:id="334"/>
      <w:bookmarkStart w:id="335" w:name="_Toc184313283"/>
      <w:bookmarkEnd w:id="335"/>
      <w:bookmarkStart w:id="336" w:name="_Toc184308058"/>
      <w:bookmarkEnd w:id="336"/>
      <w:bookmarkStart w:id="337" w:name="_Toc184308067"/>
      <w:bookmarkEnd w:id="337"/>
      <w:bookmarkStart w:id="338" w:name="_Toc184310295"/>
      <w:bookmarkEnd w:id="338"/>
      <w:bookmarkStart w:id="339" w:name="_Toc184308046"/>
      <w:bookmarkEnd w:id="339"/>
      <w:bookmarkStart w:id="340" w:name="_Toc184308053"/>
      <w:bookmarkEnd w:id="340"/>
      <w:bookmarkStart w:id="341" w:name="_Toc184310298"/>
      <w:bookmarkEnd w:id="341"/>
      <w:bookmarkStart w:id="342" w:name="_Toc184313307"/>
      <w:bookmarkEnd w:id="342"/>
      <w:bookmarkStart w:id="343" w:name="_Toc184312139"/>
      <w:bookmarkEnd w:id="343"/>
      <w:bookmarkStart w:id="344" w:name="_Toc184313277"/>
      <w:bookmarkEnd w:id="344"/>
      <w:bookmarkStart w:id="345" w:name="_Toc184310305"/>
      <w:bookmarkEnd w:id="345"/>
      <w:bookmarkStart w:id="346" w:name="_Toc184313240"/>
      <w:bookmarkEnd w:id="346"/>
      <w:bookmarkStart w:id="347" w:name="_Toc184310335"/>
      <w:bookmarkEnd w:id="347"/>
      <w:bookmarkStart w:id="348" w:name="_Toc184312119"/>
      <w:bookmarkEnd w:id="348"/>
      <w:bookmarkStart w:id="349" w:name="_Toc184308079"/>
      <w:bookmarkEnd w:id="349"/>
      <w:bookmarkStart w:id="350" w:name="_Toc184310324"/>
      <w:bookmarkEnd w:id="350"/>
      <w:bookmarkStart w:id="351" w:name="_Toc184310314"/>
      <w:bookmarkEnd w:id="351"/>
      <w:bookmarkStart w:id="352" w:name="_Toc184308049"/>
      <w:bookmarkEnd w:id="352"/>
      <w:bookmarkStart w:id="353" w:name="_Toc184312134"/>
      <w:bookmarkEnd w:id="353"/>
      <w:bookmarkStart w:id="354" w:name="_Toc184310313"/>
      <w:bookmarkEnd w:id="354"/>
      <w:bookmarkStart w:id="355" w:name="_Toc184314452"/>
      <w:bookmarkEnd w:id="355"/>
      <w:bookmarkStart w:id="356" w:name="_Toc184310281"/>
      <w:bookmarkEnd w:id="356"/>
      <w:bookmarkStart w:id="357" w:name="_Toc184314435"/>
      <w:bookmarkEnd w:id="357"/>
      <w:bookmarkStart w:id="358" w:name="_Toc184313252"/>
      <w:bookmarkEnd w:id="358"/>
      <w:bookmarkStart w:id="359" w:name="_Toc184313271"/>
      <w:bookmarkEnd w:id="359"/>
      <w:bookmarkStart w:id="360" w:name="_Toc184308063"/>
      <w:bookmarkEnd w:id="360"/>
      <w:bookmarkStart w:id="361" w:name="_Toc184314418"/>
      <w:bookmarkEnd w:id="361"/>
      <w:bookmarkStart w:id="362" w:name="_Toc184313288"/>
      <w:bookmarkEnd w:id="362"/>
      <w:bookmarkStart w:id="363" w:name="_Toc184308060"/>
      <w:bookmarkEnd w:id="363"/>
      <w:bookmarkStart w:id="364" w:name="_Toc184312131"/>
      <w:bookmarkEnd w:id="364"/>
      <w:bookmarkStart w:id="365" w:name="_Toc184310322"/>
      <w:bookmarkEnd w:id="365"/>
      <w:bookmarkStart w:id="366" w:name="_Toc184312068"/>
      <w:bookmarkEnd w:id="366"/>
      <w:bookmarkStart w:id="367" w:name="_Toc184310293"/>
      <w:bookmarkEnd w:id="367"/>
      <w:bookmarkStart w:id="368" w:name="_Toc184313286"/>
      <w:bookmarkEnd w:id="368"/>
      <w:bookmarkStart w:id="369" w:name="_Toc184312111"/>
      <w:bookmarkEnd w:id="369"/>
      <w:bookmarkStart w:id="370" w:name="_Toc184310320"/>
      <w:bookmarkEnd w:id="370"/>
      <w:bookmarkStart w:id="371" w:name="_Toc184314413"/>
      <w:bookmarkEnd w:id="371"/>
      <w:bookmarkStart w:id="372" w:name="_Toc184314451"/>
      <w:bookmarkEnd w:id="372"/>
      <w:bookmarkStart w:id="373" w:name="_Toc184313292"/>
      <w:bookmarkEnd w:id="373"/>
      <w:bookmarkStart w:id="374" w:name="_Toc184313295"/>
      <w:bookmarkEnd w:id="374"/>
      <w:bookmarkStart w:id="375" w:name="_Toc184308080"/>
      <w:bookmarkEnd w:id="375"/>
      <w:bookmarkStart w:id="376" w:name="_Toc184313310"/>
      <w:bookmarkEnd w:id="376"/>
      <w:bookmarkStart w:id="377" w:name="_Toc184310332"/>
      <w:bookmarkEnd w:id="377"/>
      <w:bookmarkStart w:id="378" w:name="_Toc184314471"/>
      <w:bookmarkEnd w:id="378"/>
      <w:bookmarkStart w:id="379" w:name="_Toc184310276"/>
      <w:bookmarkEnd w:id="379"/>
      <w:bookmarkStart w:id="380" w:name="_Toc184313259"/>
      <w:bookmarkEnd w:id="380"/>
      <w:bookmarkStart w:id="381" w:name="_Toc184313255"/>
      <w:bookmarkEnd w:id="381"/>
      <w:bookmarkStart w:id="382" w:name="_Toc184312081"/>
      <w:bookmarkEnd w:id="382"/>
      <w:bookmarkStart w:id="383" w:name="_Toc184313309"/>
      <w:bookmarkEnd w:id="383"/>
      <w:bookmarkStart w:id="384" w:name="_Toc184313282"/>
      <w:bookmarkEnd w:id="384"/>
      <w:bookmarkStart w:id="385" w:name="_Toc184308073"/>
      <w:bookmarkEnd w:id="385"/>
      <w:bookmarkStart w:id="386" w:name="_Toc184310306"/>
      <w:bookmarkEnd w:id="386"/>
      <w:bookmarkStart w:id="387" w:name="_Toc184312138"/>
      <w:bookmarkEnd w:id="387"/>
      <w:bookmarkStart w:id="388" w:name="_Toc184313258"/>
      <w:bookmarkEnd w:id="388"/>
      <w:bookmarkStart w:id="389" w:name="_Toc184310319"/>
      <w:bookmarkEnd w:id="389"/>
      <w:bookmarkStart w:id="390" w:name="_Toc184314455"/>
      <w:bookmarkEnd w:id="390"/>
      <w:bookmarkStart w:id="391" w:name="_Toc184308052"/>
      <w:bookmarkEnd w:id="391"/>
      <w:bookmarkStart w:id="392" w:name="_Toc184314411"/>
      <w:bookmarkEnd w:id="392"/>
      <w:bookmarkStart w:id="393" w:name="_Toc184312082"/>
      <w:bookmarkEnd w:id="393"/>
      <w:bookmarkStart w:id="394" w:name="_Toc184310339"/>
      <w:bookmarkEnd w:id="394"/>
      <w:bookmarkStart w:id="395" w:name="_Toc184314461"/>
      <w:bookmarkEnd w:id="395"/>
      <w:bookmarkStart w:id="396" w:name="_Toc184314437"/>
      <w:bookmarkEnd w:id="396"/>
      <w:bookmarkStart w:id="397" w:name="_Toc184310282"/>
      <w:bookmarkEnd w:id="397"/>
      <w:bookmarkStart w:id="398" w:name="_Toc184314417"/>
      <w:bookmarkEnd w:id="398"/>
      <w:bookmarkStart w:id="399" w:name="_Toc184314426"/>
      <w:bookmarkEnd w:id="399"/>
      <w:bookmarkStart w:id="400" w:name="_Toc184313280"/>
      <w:bookmarkEnd w:id="400"/>
      <w:r>
        <w:rPr>
          <w:rFonts w:hint="eastAsia" w:ascii="宋体" w:hAnsi="宋体" w:cs="宋体"/>
          <w:b/>
          <w:color w:val="auto"/>
          <w:sz w:val="36"/>
          <w:szCs w:val="36"/>
        </w:rPr>
        <w:t>评标办法</w:t>
      </w: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754"/>
        <w:gridCol w:w="982"/>
        <w:gridCol w:w="1074"/>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696"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序号</w:t>
            </w:r>
          </w:p>
        </w:tc>
        <w:tc>
          <w:tcPr>
            <w:tcW w:w="475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评标标准</w:t>
            </w:r>
          </w:p>
        </w:tc>
        <w:tc>
          <w:tcPr>
            <w:tcW w:w="982"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权重</w:t>
            </w:r>
          </w:p>
        </w:tc>
        <w:tc>
          <w:tcPr>
            <w:tcW w:w="1074" w:type="dxa"/>
            <w:vAlign w:val="center"/>
          </w:tcPr>
          <w:p>
            <w:pPr>
              <w:snapToGrid w:val="0"/>
              <w:spacing w:line="360" w:lineRule="auto"/>
              <w:jc w:val="center"/>
              <w:rPr>
                <w:rFonts w:cs="仿宋_GB2312" w:asciiTheme="minorEastAsia" w:hAnsiTheme="minorEastAsia"/>
                <w:bCs/>
                <w:sz w:val="24"/>
              </w:rPr>
            </w:pPr>
            <w:r>
              <w:rPr>
                <w:rFonts w:hint="eastAsia" w:cs="仿宋_GB2312" w:asciiTheme="minorEastAsia" w:hAnsiTheme="minorEastAsia"/>
                <w:bCs/>
                <w:sz w:val="24"/>
              </w:rPr>
              <w:t>主观分/客观分属性</w:t>
            </w:r>
          </w:p>
        </w:tc>
        <w:tc>
          <w:tcPr>
            <w:tcW w:w="1388" w:type="dxa"/>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6" w:type="dxa"/>
            <w:vAlign w:val="center"/>
          </w:tcPr>
          <w:p>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1</w:t>
            </w:r>
          </w:p>
        </w:tc>
        <w:tc>
          <w:tcPr>
            <w:tcW w:w="4754" w:type="dxa"/>
            <w:vAlign w:val="center"/>
          </w:tcPr>
          <w:p>
            <w:pPr>
              <w:snapToGrid w:val="0"/>
              <w:spacing w:line="360" w:lineRule="auto"/>
              <w:rPr>
                <w:rFonts w:cs="仿宋_GB2312" w:asciiTheme="minorEastAsia" w:hAnsiTheme="minorEastAsia"/>
                <w:sz w:val="24"/>
              </w:rPr>
            </w:pPr>
            <w:r>
              <w:rPr>
                <w:rFonts w:hint="eastAsia" w:cs="仿宋" w:asciiTheme="minorEastAsia" w:hAnsiTheme="minorEastAsia"/>
                <w:bCs/>
                <w:caps/>
                <w:sz w:val="24"/>
              </w:rPr>
              <w:t>认证体系</w:t>
            </w:r>
            <w:r>
              <w:rPr>
                <w:rFonts w:hint="eastAsia" w:cs="仿宋" w:asciiTheme="minorEastAsia" w:hAnsiTheme="minorEastAsia"/>
                <w:bCs/>
                <w:caps/>
                <w:sz w:val="24"/>
                <w:lang w:eastAsia="zh-CN"/>
              </w:rPr>
              <w:t>：</w:t>
            </w:r>
            <w:r>
              <w:rPr>
                <w:rFonts w:hint="eastAsia" w:cs="仿宋" w:asciiTheme="minorEastAsia" w:hAnsiTheme="minorEastAsia"/>
                <w:bCs/>
                <w:caps/>
                <w:sz w:val="24"/>
              </w:rPr>
              <w:t>投标人具有ISO质量管理体系认证、环境管理体系认证、职业健康管理体系认证，每通过一个认证且在有效期内的得1分，最高得</w:t>
            </w:r>
            <w:r>
              <w:rPr>
                <w:rFonts w:hint="eastAsia" w:cs="仿宋" w:asciiTheme="minorEastAsia" w:hAnsiTheme="minorEastAsia"/>
                <w:bCs/>
                <w:caps/>
                <w:color w:val="auto"/>
                <w:sz w:val="24"/>
                <w:lang w:val="en-US" w:eastAsia="zh-CN"/>
              </w:rPr>
              <w:t>3</w:t>
            </w:r>
            <w:r>
              <w:rPr>
                <w:rFonts w:hint="eastAsia" w:cs="仿宋" w:asciiTheme="minorEastAsia" w:hAnsiTheme="minorEastAsia"/>
                <w:bCs/>
                <w:caps/>
                <w:sz w:val="24"/>
              </w:rPr>
              <w:t>分。注：提供有效的认证证书复印件</w:t>
            </w:r>
            <w:r>
              <w:rPr>
                <w:rFonts w:hint="eastAsia" w:cs="仿宋" w:asciiTheme="minorEastAsia" w:hAnsiTheme="minorEastAsia"/>
                <w:bCs/>
                <w:caps/>
                <w:sz w:val="24"/>
                <w:lang w:val="en-US" w:eastAsia="zh-CN"/>
              </w:rPr>
              <w:t>及相关网站截图</w:t>
            </w:r>
            <w:r>
              <w:rPr>
                <w:rFonts w:hint="eastAsia" w:cs="仿宋" w:asciiTheme="minorEastAsia" w:hAnsiTheme="minorEastAsia"/>
                <w:bCs/>
                <w:caps/>
                <w:sz w:val="24"/>
              </w:rPr>
              <w:t>。</w:t>
            </w:r>
          </w:p>
        </w:tc>
        <w:tc>
          <w:tcPr>
            <w:tcW w:w="982" w:type="dxa"/>
            <w:vAlign w:val="center"/>
          </w:tcPr>
          <w:p>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客观分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2</w:t>
            </w:r>
          </w:p>
        </w:tc>
        <w:tc>
          <w:tcPr>
            <w:tcW w:w="4754" w:type="dxa"/>
            <w:vAlign w:val="center"/>
          </w:tcPr>
          <w:p>
            <w:pPr>
              <w:snapToGrid w:val="0"/>
              <w:spacing w:line="360" w:lineRule="auto"/>
              <w:rPr>
                <w:rFonts w:cs="仿宋_GB2312" w:asciiTheme="minorEastAsia" w:hAnsiTheme="minorEastAsia"/>
                <w:sz w:val="24"/>
              </w:rPr>
            </w:pPr>
            <w:r>
              <w:rPr>
                <w:rFonts w:hint="eastAsia" w:cs="仿宋" w:asciiTheme="minorEastAsia" w:hAnsiTheme="minorEastAsia"/>
                <w:bCs/>
                <w:caps/>
                <w:sz w:val="24"/>
              </w:rPr>
              <w:t>类似业绩</w:t>
            </w:r>
            <w:r>
              <w:rPr>
                <w:rFonts w:hint="eastAsia" w:cs="仿宋" w:asciiTheme="minorEastAsia" w:hAnsiTheme="minorEastAsia"/>
                <w:bCs/>
                <w:caps/>
                <w:sz w:val="24"/>
                <w:lang w:eastAsia="zh-CN"/>
              </w:rPr>
              <w:t>：</w:t>
            </w:r>
            <w:r>
              <w:rPr>
                <w:rFonts w:hint="eastAsia" w:cs="仿宋" w:asciiTheme="minorEastAsia" w:hAnsiTheme="minorEastAsia"/>
                <w:bCs/>
                <w:caps/>
                <w:sz w:val="24"/>
              </w:rPr>
              <w:t>投标人自2021年1月1日以来具有类似服务项目业绩，每提供一个得</w:t>
            </w:r>
            <w:r>
              <w:rPr>
                <w:rFonts w:hint="eastAsia" w:cs="仿宋" w:asciiTheme="minorEastAsia" w:hAnsiTheme="minorEastAsia"/>
                <w:bCs/>
                <w:caps/>
                <w:color w:val="auto"/>
                <w:sz w:val="24"/>
                <w:lang w:val="en-US" w:eastAsia="zh-CN"/>
              </w:rPr>
              <w:t>0.2</w:t>
            </w:r>
            <w:r>
              <w:rPr>
                <w:rFonts w:hint="eastAsia" w:cs="仿宋" w:asciiTheme="minorEastAsia" w:hAnsiTheme="minorEastAsia"/>
                <w:bCs/>
                <w:caps/>
                <w:sz w:val="24"/>
              </w:rPr>
              <w:t>分，最高得1分。注：提供合同，时间以合同签订的时间为准。</w:t>
            </w:r>
          </w:p>
        </w:tc>
        <w:tc>
          <w:tcPr>
            <w:tcW w:w="982"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1</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客观分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eastAsia" w:eastAsia="宋体" w:cs="宋体" w:asciiTheme="minorEastAsia" w:hAnsiTheme="minorEastAsia"/>
                <w:color w:val="000000"/>
                <w:kern w:val="0"/>
                <w:sz w:val="22"/>
                <w:szCs w:val="22"/>
                <w:lang w:val="en-US" w:eastAsia="zh-CN" w:bidi="ar"/>
              </w:rPr>
            </w:pPr>
            <w:r>
              <w:rPr>
                <w:rFonts w:hint="eastAsia" w:cs="宋体" w:asciiTheme="minorEastAsia" w:hAnsiTheme="minorEastAsia"/>
                <w:color w:val="000000"/>
                <w:kern w:val="0"/>
                <w:sz w:val="22"/>
                <w:szCs w:val="22"/>
                <w:lang w:val="en-US" w:eastAsia="zh-CN" w:bidi="ar"/>
              </w:rPr>
              <w:t>3</w:t>
            </w:r>
          </w:p>
        </w:tc>
        <w:tc>
          <w:tcPr>
            <w:tcW w:w="4754" w:type="dxa"/>
            <w:vAlign w:val="center"/>
          </w:tcPr>
          <w:p>
            <w:pPr>
              <w:snapToGrid w:val="0"/>
              <w:spacing w:line="360" w:lineRule="auto"/>
              <w:rPr>
                <w:rFonts w:hint="default" w:eastAsia="宋体" w:cs="仿宋" w:asciiTheme="minorEastAsia" w:hAnsiTheme="minorEastAsia"/>
                <w:bCs/>
                <w:caps/>
                <w:sz w:val="24"/>
                <w:lang w:val="en-US" w:eastAsia="zh-CN"/>
              </w:rPr>
            </w:pPr>
            <w:r>
              <w:rPr>
                <w:rFonts w:hint="eastAsia" w:cs="仿宋" w:asciiTheme="minorEastAsia" w:hAnsiTheme="minorEastAsia"/>
                <w:bCs/>
                <w:caps/>
                <w:sz w:val="24"/>
                <w:lang w:val="en-US" w:eastAsia="zh-CN"/>
              </w:rPr>
              <w:t>人员情况</w:t>
            </w:r>
          </w:p>
        </w:tc>
        <w:tc>
          <w:tcPr>
            <w:tcW w:w="982" w:type="dxa"/>
            <w:vAlign w:val="center"/>
          </w:tcPr>
          <w:p>
            <w:pPr>
              <w:snapToGrid w:val="0"/>
              <w:spacing w:line="360" w:lineRule="auto"/>
              <w:jc w:val="center"/>
              <w:rPr>
                <w:rFonts w:hint="eastAsia" w:cs="仿宋" w:asciiTheme="minorEastAsia" w:hAnsiTheme="minorEastAsia"/>
                <w:sz w:val="24"/>
              </w:rPr>
            </w:pPr>
          </w:p>
        </w:tc>
        <w:tc>
          <w:tcPr>
            <w:tcW w:w="1074" w:type="dxa"/>
            <w:vAlign w:val="center"/>
          </w:tcPr>
          <w:p>
            <w:pPr>
              <w:snapToGrid w:val="0"/>
              <w:spacing w:line="360" w:lineRule="auto"/>
              <w:jc w:val="center"/>
              <w:rPr>
                <w:rFonts w:hint="eastAsia" w:cs="仿宋_GB2312" w:asciiTheme="minorEastAsia" w:hAnsiTheme="minorEastAsia"/>
                <w:bCs/>
                <w:sz w:val="24"/>
              </w:rPr>
            </w:pP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宋体" w:asciiTheme="minorEastAsia" w:hAnsiTheme="minorEastAsia"/>
                <w:color w:val="000000"/>
                <w:kern w:val="0"/>
                <w:sz w:val="22"/>
                <w:szCs w:val="22"/>
                <w:lang w:bidi="ar"/>
              </w:rPr>
              <w:t>3</w:t>
            </w:r>
            <w:r>
              <w:rPr>
                <w:rFonts w:hint="eastAsia" w:cs="宋体" w:asciiTheme="minorEastAsia" w:hAnsiTheme="minorEastAsia"/>
                <w:color w:val="000000"/>
                <w:kern w:val="0"/>
                <w:sz w:val="22"/>
                <w:szCs w:val="22"/>
                <w:lang w:val="en-US" w:eastAsia="zh-CN" w:bidi="ar"/>
              </w:rPr>
              <w:t>.1</w:t>
            </w:r>
          </w:p>
        </w:tc>
        <w:tc>
          <w:tcPr>
            <w:tcW w:w="4754" w:type="dxa"/>
            <w:vAlign w:val="center"/>
          </w:tcPr>
          <w:p>
            <w:pPr>
              <w:spacing w:line="360" w:lineRule="auto"/>
              <w:jc w:val="left"/>
              <w:rPr>
                <w:rFonts w:cs="仿宋" w:asciiTheme="minorEastAsia" w:hAnsiTheme="minorEastAsia"/>
                <w:bCs/>
                <w:caps/>
                <w:color w:val="auto"/>
                <w:sz w:val="24"/>
              </w:rPr>
            </w:pPr>
            <w:r>
              <w:rPr>
                <w:rFonts w:hint="eastAsia" w:cs="仿宋" w:asciiTheme="minorEastAsia" w:hAnsiTheme="minorEastAsia"/>
                <w:bCs/>
                <w:caps/>
                <w:color w:val="auto"/>
                <w:sz w:val="24"/>
              </w:rPr>
              <w:t>拟派项目负责人</w:t>
            </w:r>
            <w:r>
              <w:rPr>
                <w:rFonts w:hint="eastAsia" w:cs="仿宋" w:asciiTheme="minorEastAsia" w:hAnsiTheme="minorEastAsia"/>
                <w:bCs/>
                <w:caps/>
                <w:color w:val="auto"/>
                <w:sz w:val="24"/>
                <w:lang w:eastAsia="zh-CN"/>
              </w:rPr>
              <w:t>：</w:t>
            </w:r>
          </w:p>
          <w:p>
            <w:pPr>
              <w:spacing w:line="360" w:lineRule="auto"/>
              <w:jc w:val="left"/>
              <w:rPr>
                <w:rFonts w:hint="eastAsia" w:eastAsia="宋体" w:cs="仿宋" w:asciiTheme="minorEastAsia" w:hAnsiTheme="minorEastAsia"/>
                <w:bCs/>
                <w:caps/>
                <w:color w:val="auto"/>
                <w:sz w:val="24"/>
              </w:rPr>
            </w:pPr>
            <w:r>
              <w:rPr>
                <w:rFonts w:hint="eastAsia" w:eastAsia="宋体" w:cs="仿宋" w:asciiTheme="minorEastAsia" w:hAnsiTheme="minorEastAsia"/>
                <w:bCs/>
                <w:caps/>
                <w:color w:val="auto"/>
                <w:sz w:val="24"/>
              </w:rPr>
              <w:fldChar w:fldCharType="begin"/>
            </w:r>
            <w:r>
              <w:rPr>
                <w:rFonts w:hint="eastAsia" w:eastAsia="宋体" w:cs="仿宋" w:asciiTheme="minorEastAsia" w:hAnsiTheme="minorEastAsia"/>
                <w:bCs/>
                <w:caps/>
                <w:color w:val="auto"/>
                <w:sz w:val="24"/>
              </w:rPr>
              <w:instrText xml:space="preserve"> = 1 \* GB3 </w:instrText>
            </w:r>
            <w:r>
              <w:rPr>
                <w:rFonts w:hint="eastAsia" w:eastAsia="宋体" w:cs="仿宋" w:asciiTheme="minorEastAsia" w:hAnsiTheme="minorEastAsia"/>
                <w:bCs/>
                <w:caps/>
                <w:color w:val="auto"/>
                <w:sz w:val="24"/>
              </w:rPr>
              <w:fldChar w:fldCharType="separate"/>
            </w:r>
            <w:r>
              <w:rPr>
                <w:rFonts w:hint="eastAsia" w:eastAsia="宋体" w:cs="仿宋" w:asciiTheme="minorEastAsia" w:hAnsiTheme="minorEastAsia"/>
                <w:bCs/>
                <w:caps/>
                <w:color w:val="auto"/>
                <w:sz w:val="24"/>
              </w:rPr>
              <w:t>①</w:t>
            </w:r>
            <w:r>
              <w:rPr>
                <w:rFonts w:hint="eastAsia" w:eastAsia="宋体" w:cs="仿宋" w:asciiTheme="minorEastAsia" w:hAnsiTheme="minorEastAsia"/>
                <w:bCs/>
                <w:caps/>
                <w:color w:val="auto"/>
                <w:sz w:val="24"/>
              </w:rPr>
              <w:fldChar w:fldCharType="end"/>
            </w:r>
            <w:r>
              <w:rPr>
                <w:rFonts w:hint="eastAsia" w:eastAsia="宋体" w:cs="仿宋" w:asciiTheme="minorEastAsia" w:hAnsiTheme="minorEastAsia"/>
                <w:bCs/>
                <w:caps/>
                <w:color w:val="auto"/>
                <w:sz w:val="24"/>
                <w:lang w:val="en-US" w:eastAsia="zh-CN"/>
              </w:rPr>
              <w:t>50</w:t>
            </w:r>
            <w:r>
              <w:rPr>
                <w:rFonts w:hint="eastAsia" w:eastAsia="宋体" w:cs="仿宋" w:asciiTheme="minorEastAsia" w:hAnsiTheme="minorEastAsia"/>
                <w:bCs/>
                <w:caps/>
                <w:color w:val="auto"/>
                <w:sz w:val="24"/>
              </w:rPr>
              <w:t>周岁</w:t>
            </w:r>
            <w:r>
              <w:rPr>
                <w:rFonts w:hint="eastAsia" w:eastAsia="宋体" w:cs="仿宋" w:asciiTheme="minorEastAsia" w:hAnsiTheme="minorEastAsia"/>
                <w:bCs/>
                <w:caps/>
                <w:color w:val="auto"/>
                <w:sz w:val="24"/>
                <w:lang w:val="en-US" w:eastAsia="zh-CN"/>
              </w:rPr>
              <w:t>及</w:t>
            </w:r>
            <w:r>
              <w:rPr>
                <w:rFonts w:hint="eastAsia" w:eastAsia="宋体" w:cs="仿宋" w:asciiTheme="minorEastAsia" w:hAnsiTheme="minorEastAsia"/>
                <w:bCs/>
                <w:caps/>
                <w:color w:val="auto"/>
                <w:sz w:val="24"/>
              </w:rPr>
              <w:t>以下，具有本科及以上学历得2分，具有大专及以上学历</w:t>
            </w:r>
            <w:r>
              <w:rPr>
                <w:rFonts w:hint="eastAsia" w:eastAsia="宋体" w:cs="仿宋" w:asciiTheme="minorEastAsia" w:hAnsiTheme="minorEastAsia"/>
                <w:bCs/>
                <w:caps/>
                <w:color w:val="auto"/>
                <w:sz w:val="24"/>
                <w:lang w:val="en-US" w:eastAsia="zh-CN"/>
              </w:rPr>
              <w:t>得1分，</w:t>
            </w:r>
            <w:r>
              <w:rPr>
                <w:rFonts w:hint="eastAsia" w:eastAsia="宋体" w:cs="仿宋" w:asciiTheme="minorEastAsia" w:hAnsiTheme="minorEastAsia"/>
                <w:bCs/>
                <w:caps/>
                <w:color w:val="auto"/>
                <w:sz w:val="24"/>
              </w:rPr>
              <w:t>不符合不得分；</w:t>
            </w:r>
          </w:p>
          <w:p>
            <w:pPr>
              <w:spacing w:line="360" w:lineRule="auto"/>
              <w:jc w:val="left"/>
              <w:rPr>
                <w:rFonts w:hint="eastAsia" w:eastAsia="宋体" w:cs="仿宋" w:asciiTheme="minorEastAsia" w:hAnsiTheme="minorEastAsia"/>
                <w:bCs/>
                <w:caps/>
                <w:color w:val="auto"/>
                <w:sz w:val="24"/>
                <w:lang w:eastAsia="zh-CN"/>
              </w:rPr>
            </w:pPr>
            <w:r>
              <w:rPr>
                <w:rFonts w:hint="eastAsia" w:eastAsia="宋体" w:cs="仿宋" w:asciiTheme="minorEastAsia" w:hAnsiTheme="minorEastAsia"/>
                <w:bCs/>
                <w:caps/>
                <w:color w:val="auto"/>
                <w:sz w:val="24"/>
              </w:rPr>
              <w:t>②</w:t>
            </w:r>
            <w:r>
              <w:rPr>
                <w:rFonts w:hint="eastAsia" w:eastAsia="宋体" w:cs="仿宋" w:asciiTheme="minorEastAsia" w:hAnsiTheme="minorEastAsia"/>
                <w:bCs/>
                <w:caps/>
                <w:color w:val="auto"/>
                <w:sz w:val="24"/>
                <w:lang w:val="zh-CN"/>
              </w:rPr>
              <w:t>从事过</w:t>
            </w:r>
            <w:r>
              <w:rPr>
                <w:rFonts w:hint="eastAsia" w:eastAsia="宋体" w:cs="仿宋" w:asciiTheme="minorEastAsia" w:hAnsiTheme="minorEastAsia"/>
                <w:bCs/>
                <w:caps/>
                <w:color w:val="auto"/>
                <w:sz w:val="24"/>
                <w:lang w:val="en-US" w:eastAsia="zh-CN"/>
              </w:rPr>
              <w:t>公共场所安保</w:t>
            </w:r>
            <w:r>
              <w:rPr>
                <w:rFonts w:hint="eastAsia" w:eastAsia="宋体" w:cs="仿宋" w:asciiTheme="minorEastAsia" w:hAnsiTheme="minorEastAsia"/>
                <w:bCs/>
                <w:caps/>
                <w:color w:val="auto"/>
                <w:sz w:val="24"/>
                <w:lang w:val="zh-CN"/>
              </w:rPr>
              <w:t>服务工作五年及以上的得</w:t>
            </w:r>
            <w:r>
              <w:rPr>
                <w:rFonts w:hint="eastAsia" w:eastAsia="宋体" w:cs="仿宋" w:asciiTheme="minorEastAsia" w:hAnsiTheme="minorEastAsia"/>
                <w:bCs/>
                <w:caps/>
                <w:color w:val="auto"/>
                <w:sz w:val="24"/>
              </w:rPr>
              <w:t>3分，</w:t>
            </w:r>
            <w:r>
              <w:rPr>
                <w:rFonts w:hint="eastAsia" w:eastAsia="宋体" w:cs="仿宋" w:asciiTheme="minorEastAsia" w:hAnsiTheme="minorEastAsia"/>
                <w:bCs/>
                <w:caps/>
                <w:color w:val="auto"/>
                <w:sz w:val="24"/>
                <w:lang w:val="en-US" w:eastAsia="zh-CN"/>
              </w:rPr>
              <w:t>三年及以上的得1分，</w:t>
            </w:r>
            <w:r>
              <w:rPr>
                <w:rFonts w:hint="eastAsia" w:eastAsia="宋体" w:cs="仿宋" w:asciiTheme="minorEastAsia" w:hAnsiTheme="minorEastAsia"/>
                <w:bCs/>
                <w:caps/>
                <w:color w:val="auto"/>
                <w:sz w:val="24"/>
              </w:rPr>
              <w:t>不符合不得分</w:t>
            </w:r>
            <w:r>
              <w:rPr>
                <w:rFonts w:hint="eastAsia" w:eastAsia="宋体" w:cs="仿宋" w:asciiTheme="minorEastAsia" w:hAnsiTheme="minorEastAsia"/>
                <w:bCs/>
                <w:caps/>
                <w:color w:val="auto"/>
                <w:sz w:val="24"/>
                <w:lang w:val="zh-CN"/>
              </w:rPr>
              <w:t>；</w:t>
            </w:r>
            <w:r>
              <w:rPr>
                <w:rFonts w:hint="eastAsia" w:eastAsia="宋体" w:cs="仿宋" w:asciiTheme="minorEastAsia" w:hAnsiTheme="minorEastAsia"/>
                <w:bCs/>
                <w:caps/>
                <w:color w:val="auto"/>
                <w:sz w:val="24"/>
                <w:lang w:val="zh-CN"/>
              </w:rPr>
              <w:br w:type="textWrapping"/>
            </w:r>
            <w:r>
              <w:rPr>
                <w:rFonts w:hint="eastAsia" w:eastAsia="宋体" w:cs="仿宋" w:asciiTheme="minorEastAsia" w:hAnsiTheme="minorEastAsia"/>
                <w:bCs/>
                <w:caps/>
                <w:color w:val="auto"/>
                <w:sz w:val="24"/>
              </w:rPr>
              <w:t>③具备计算机基础操作能力，提供承诺书得</w:t>
            </w:r>
            <w:r>
              <w:rPr>
                <w:rFonts w:hint="eastAsia" w:eastAsia="宋体" w:cs="仿宋" w:asciiTheme="minorEastAsia" w:hAnsiTheme="minorEastAsia"/>
                <w:bCs/>
                <w:caps/>
                <w:color w:val="auto"/>
                <w:sz w:val="24"/>
                <w:lang w:val="en-US" w:eastAsia="zh-CN"/>
              </w:rPr>
              <w:t>1</w:t>
            </w:r>
            <w:r>
              <w:rPr>
                <w:rFonts w:hint="eastAsia" w:eastAsia="宋体" w:cs="仿宋" w:asciiTheme="minorEastAsia" w:hAnsiTheme="minorEastAsia"/>
                <w:bCs/>
                <w:caps/>
                <w:color w:val="auto"/>
                <w:sz w:val="24"/>
              </w:rPr>
              <w:t>分，未提供不得分</w:t>
            </w:r>
            <w:r>
              <w:rPr>
                <w:rFonts w:hint="eastAsia" w:eastAsia="宋体" w:cs="仿宋" w:asciiTheme="minorEastAsia" w:hAnsiTheme="minorEastAsia"/>
                <w:bCs/>
                <w:caps/>
                <w:color w:val="auto"/>
                <w:sz w:val="24"/>
                <w:lang w:eastAsia="zh-CN"/>
              </w:rPr>
              <w:t>；</w:t>
            </w:r>
          </w:p>
          <w:p>
            <w:pPr>
              <w:spacing w:line="360" w:lineRule="auto"/>
              <w:jc w:val="left"/>
              <w:rPr>
                <w:rFonts w:hint="default" w:eastAsia="宋体" w:cs="仿宋" w:asciiTheme="minorEastAsia" w:hAnsiTheme="minorEastAsia"/>
                <w:bCs/>
                <w:caps/>
                <w:color w:val="auto"/>
                <w:sz w:val="24"/>
                <w:lang w:val="en-US" w:eastAsia="zh-CN"/>
              </w:rPr>
            </w:pPr>
            <w:r>
              <w:rPr>
                <w:rFonts w:hint="eastAsia" w:eastAsia="宋体" w:cs="仿宋" w:asciiTheme="minorEastAsia" w:hAnsiTheme="minorEastAsia"/>
                <w:bCs/>
                <w:caps/>
                <w:color w:val="auto"/>
                <w:sz w:val="24"/>
                <w:lang w:val="en-US" w:eastAsia="zh-CN"/>
              </w:rPr>
              <w:t>④具备项目期内有效的国家职业资格保安员</w:t>
            </w:r>
            <w:r>
              <w:rPr>
                <w:rFonts w:hint="eastAsia" w:cs="仿宋" w:asciiTheme="minorEastAsia" w:hAnsiTheme="minorEastAsia"/>
                <w:bCs/>
                <w:caps/>
                <w:color w:val="auto"/>
                <w:sz w:val="24"/>
                <w:lang w:val="en-US" w:eastAsia="zh-CN"/>
              </w:rPr>
              <w:t>一</w:t>
            </w:r>
            <w:r>
              <w:rPr>
                <w:rFonts w:hint="eastAsia" w:eastAsia="宋体" w:cs="仿宋" w:asciiTheme="minorEastAsia" w:hAnsiTheme="minorEastAsia"/>
                <w:bCs/>
                <w:caps/>
                <w:color w:val="auto"/>
                <w:sz w:val="24"/>
                <w:lang w:val="en-US" w:eastAsia="zh-CN"/>
              </w:rPr>
              <w:t>级证书的得1分。</w:t>
            </w:r>
          </w:p>
          <w:p>
            <w:pPr>
              <w:spacing w:line="360" w:lineRule="auto"/>
              <w:jc w:val="left"/>
              <w:rPr>
                <w:rFonts w:cs="仿宋_GB2312" w:asciiTheme="minorEastAsia" w:hAnsiTheme="minorEastAsia"/>
                <w:color w:val="auto"/>
                <w:sz w:val="24"/>
              </w:rPr>
            </w:pPr>
            <w:r>
              <w:rPr>
                <w:rFonts w:hint="eastAsia" w:eastAsia="宋体" w:cs="仿宋" w:asciiTheme="minorEastAsia" w:hAnsiTheme="minorEastAsia"/>
                <w:bCs/>
                <w:caps/>
                <w:color w:val="auto"/>
                <w:sz w:val="24"/>
              </w:rPr>
              <w:t>证明材料：投标文件中须提供身份证、学历证书复印件及其他相关证明材料、承诺书，</w:t>
            </w:r>
            <w:r>
              <w:rPr>
                <w:rFonts w:hint="eastAsia" w:cs="仿宋" w:asciiTheme="minorEastAsia" w:hAnsiTheme="minorEastAsia"/>
                <w:bCs/>
                <w:caps/>
                <w:color w:val="auto"/>
                <w:sz w:val="24"/>
              </w:rPr>
              <w:t>提供有效的相关证明材料及近一个月在缴社保证明，</w:t>
            </w:r>
            <w:r>
              <w:rPr>
                <w:rFonts w:hint="eastAsia" w:eastAsia="宋体" w:cs="仿宋" w:asciiTheme="minorEastAsia" w:hAnsiTheme="minorEastAsia"/>
                <w:bCs/>
                <w:caps/>
                <w:color w:val="auto"/>
                <w:sz w:val="24"/>
              </w:rPr>
              <w:t>否则不得分。</w:t>
            </w:r>
          </w:p>
        </w:tc>
        <w:tc>
          <w:tcPr>
            <w:tcW w:w="982" w:type="dxa"/>
            <w:vAlign w:val="center"/>
          </w:tcPr>
          <w:p>
            <w:pPr>
              <w:snapToGrid w:val="0"/>
              <w:spacing w:line="360" w:lineRule="auto"/>
              <w:jc w:val="center"/>
              <w:rPr>
                <w:rFonts w:hint="eastAsia" w:eastAsia="宋体" w:cs="仿宋" w:asciiTheme="minorEastAsia" w:hAnsiTheme="minorEastAsia"/>
                <w:color w:val="auto"/>
                <w:sz w:val="24"/>
                <w:lang w:eastAsia="zh-CN"/>
              </w:rPr>
            </w:pPr>
            <w:r>
              <w:rPr>
                <w:rFonts w:hint="eastAsia" w:cs="仿宋" w:asciiTheme="minorEastAsia" w:hAnsiTheme="minorEastAsia"/>
                <w:color w:val="auto"/>
                <w:sz w:val="24"/>
                <w:lang w:val="en-US" w:eastAsia="zh-CN"/>
              </w:rPr>
              <w:t>7</w:t>
            </w:r>
          </w:p>
        </w:tc>
        <w:tc>
          <w:tcPr>
            <w:tcW w:w="1074" w:type="dxa"/>
            <w:vAlign w:val="center"/>
          </w:tcPr>
          <w:p>
            <w:pPr>
              <w:snapToGrid w:val="0"/>
              <w:spacing w:line="360" w:lineRule="auto"/>
              <w:jc w:val="center"/>
              <w:rPr>
                <w:rFonts w:cs="仿宋_GB2312" w:asciiTheme="minorEastAsia" w:hAnsiTheme="minorEastAsia"/>
                <w:color w:val="auto"/>
                <w:sz w:val="24"/>
              </w:rPr>
            </w:pPr>
            <w:r>
              <w:rPr>
                <w:rFonts w:hint="eastAsia" w:cs="仿宋_GB2312" w:asciiTheme="minorEastAsia" w:hAnsiTheme="minorEastAsia"/>
                <w:bCs/>
                <w:color w:val="auto"/>
                <w:sz w:val="24"/>
              </w:rPr>
              <w:t>客观分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96" w:type="dxa"/>
            <w:vAlign w:val="center"/>
          </w:tcPr>
          <w:p>
            <w:pPr>
              <w:widowControl/>
              <w:jc w:val="center"/>
              <w:textAlignment w:val="center"/>
              <w:rPr>
                <w:rFonts w:hint="default" w:cs="宋体" w:asciiTheme="minorEastAsia" w:hAnsiTheme="minorEastAsia"/>
                <w:color w:val="FF0000"/>
                <w:kern w:val="0"/>
                <w:sz w:val="22"/>
                <w:szCs w:val="22"/>
                <w:lang w:val="en-US" w:eastAsia="zh-CN" w:bidi="ar"/>
              </w:rPr>
            </w:pPr>
            <w:r>
              <w:rPr>
                <w:rFonts w:hint="eastAsia" w:cs="宋体" w:asciiTheme="minorEastAsia" w:hAnsiTheme="minorEastAsia"/>
                <w:color w:val="auto"/>
                <w:kern w:val="0"/>
                <w:sz w:val="22"/>
                <w:szCs w:val="22"/>
                <w:lang w:val="en-US" w:eastAsia="zh-CN" w:bidi="ar"/>
              </w:rPr>
              <w:t>3.2</w:t>
            </w:r>
          </w:p>
        </w:tc>
        <w:tc>
          <w:tcPr>
            <w:tcW w:w="4754" w:type="dxa"/>
            <w:vAlign w:val="center"/>
          </w:tcPr>
          <w:p>
            <w:pPr>
              <w:spacing w:line="360" w:lineRule="auto"/>
              <w:jc w:val="left"/>
              <w:rPr>
                <w:rFonts w:hint="eastAsia" w:eastAsia="宋体" w:cs="仿宋" w:asciiTheme="minorEastAsia" w:hAnsiTheme="minorEastAsia"/>
                <w:bCs/>
                <w:caps/>
                <w:color w:val="auto"/>
                <w:sz w:val="24"/>
              </w:rPr>
            </w:pPr>
            <w:r>
              <w:rPr>
                <w:rFonts w:hint="eastAsia" w:eastAsia="宋体" w:cs="仿宋" w:asciiTheme="minorEastAsia" w:hAnsiTheme="minorEastAsia"/>
                <w:bCs/>
                <w:caps/>
                <w:color w:val="auto"/>
                <w:sz w:val="24"/>
              </w:rPr>
              <w:t>投标人拟派驻人员：</w:t>
            </w:r>
          </w:p>
          <w:p>
            <w:pPr>
              <w:spacing w:line="360" w:lineRule="auto"/>
              <w:jc w:val="left"/>
              <w:rPr>
                <w:rFonts w:hint="eastAsia" w:eastAsia="宋体" w:cs="仿宋" w:asciiTheme="minorEastAsia" w:hAnsiTheme="minorEastAsia"/>
                <w:bCs/>
                <w:caps/>
                <w:color w:val="auto"/>
                <w:sz w:val="24"/>
              </w:rPr>
            </w:pPr>
            <w:r>
              <w:rPr>
                <w:rFonts w:hint="eastAsia" w:eastAsia="宋体" w:cs="仿宋" w:asciiTheme="minorEastAsia" w:hAnsiTheme="minorEastAsia"/>
                <w:bCs/>
                <w:caps/>
                <w:color w:val="auto"/>
                <w:sz w:val="24"/>
              </w:rPr>
              <w:fldChar w:fldCharType="begin"/>
            </w:r>
            <w:r>
              <w:rPr>
                <w:rFonts w:hint="eastAsia" w:eastAsia="宋体" w:cs="仿宋" w:asciiTheme="minorEastAsia" w:hAnsiTheme="minorEastAsia"/>
                <w:bCs/>
                <w:caps/>
                <w:color w:val="auto"/>
                <w:sz w:val="24"/>
              </w:rPr>
              <w:instrText xml:space="preserve"> = 1 \* GB3 </w:instrText>
            </w:r>
            <w:r>
              <w:rPr>
                <w:rFonts w:hint="eastAsia" w:eastAsia="宋体" w:cs="仿宋" w:asciiTheme="minorEastAsia" w:hAnsiTheme="minorEastAsia"/>
                <w:bCs/>
                <w:caps/>
                <w:color w:val="auto"/>
                <w:sz w:val="24"/>
              </w:rPr>
              <w:fldChar w:fldCharType="separate"/>
            </w:r>
            <w:r>
              <w:rPr>
                <w:rFonts w:hint="eastAsia" w:eastAsia="宋体" w:cs="仿宋" w:asciiTheme="minorEastAsia" w:hAnsiTheme="minorEastAsia"/>
                <w:bCs/>
                <w:caps/>
                <w:color w:val="auto"/>
                <w:sz w:val="24"/>
              </w:rPr>
              <w:t>①</w:t>
            </w:r>
            <w:r>
              <w:rPr>
                <w:rFonts w:hint="eastAsia" w:eastAsia="宋体" w:cs="仿宋" w:asciiTheme="minorEastAsia" w:hAnsiTheme="minorEastAsia"/>
                <w:bCs/>
                <w:caps/>
                <w:color w:val="auto"/>
                <w:sz w:val="24"/>
              </w:rPr>
              <w:fldChar w:fldCharType="end"/>
            </w:r>
            <w:r>
              <w:rPr>
                <w:rFonts w:hint="eastAsia" w:eastAsia="宋体" w:cs="仿宋" w:asciiTheme="minorEastAsia" w:hAnsiTheme="minorEastAsia"/>
                <w:bCs/>
                <w:caps/>
                <w:color w:val="auto"/>
                <w:sz w:val="24"/>
              </w:rPr>
              <w:t>本项目拟派</w:t>
            </w:r>
            <w:r>
              <w:rPr>
                <w:rFonts w:hint="eastAsia" w:eastAsia="宋体" w:cs="仿宋" w:asciiTheme="minorEastAsia" w:hAnsiTheme="minorEastAsia"/>
                <w:bCs/>
                <w:caps/>
                <w:color w:val="auto"/>
                <w:sz w:val="24"/>
                <w:lang w:val="en-US" w:eastAsia="zh-CN"/>
              </w:rPr>
              <w:t>队长</w:t>
            </w:r>
            <w:r>
              <w:rPr>
                <w:rFonts w:hint="eastAsia" w:eastAsia="宋体" w:cs="仿宋" w:asciiTheme="minorEastAsia" w:hAnsiTheme="minorEastAsia"/>
                <w:bCs/>
                <w:caps/>
                <w:color w:val="auto"/>
                <w:sz w:val="24"/>
              </w:rPr>
              <w:t>：具有大专及以上学历的得</w:t>
            </w:r>
            <w:r>
              <w:rPr>
                <w:rFonts w:hint="eastAsia" w:eastAsia="宋体" w:cs="仿宋" w:asciiTheme="minorEastAsia" w:hAnsiTheme="minorEastAsia"/>
                <w:bCs/>
                <w:caps/>
                <w:color w:val="auto"/>
                <w:sz w:val="24"/>
                <w:lang w:val="en-US" w:eastAsia="zh-CN"/>
              </w:rPr>
              <w:t>1</w:t>
            </w:r>
            <w:r>
              <w:rPr>
                <w:rFonts w:hint="eastAsia" w:eastAsia="宋体" w:cs="仿宋" w:asciiTheme="minorEastAsia" w:hAnsiTheme="minorEastAsia"/>
                <w:bCs/>
                <w:caps/>
                <w:color w:val="auto"/>
                <w:sz w:val="24"/>
              </w:rPr>
              <w:t>分，不符合不得分；</w:t>
            </w:r>
            <w:r>
              <w:rPr>
                <w:rFonts w:hint="eastAsia" w:eastAsia="宋体" w:cs="仿宋" w:asciiTheme="minorEastAsia" w:hAnsiTheme="minorEastAsia"/>
                <w:bCs/>
                <w:caps/>
                <w:color w:val="auto"/>
                <w:sz w:val="24"/>
                <w:lang w:val="zh-CN"/>
              </w:rPr>
              <w:t>从事过</w:t>
            </w:r>
            <w:r>
              <w:rPr>
                <w:rFonts w:hint="eastAsia" w:eastAsia="宋体" w:cs="仿宋" w:asciiTheme="minorEastAsia" w:hAnsiTheme="minorEastAsia"/>
                <w:bCs/>
                <w:caps/>
                <w:color w:val="auto"/>
                <w:sz w:val="24"/>
                <w:lang w:val="en-US" w:eastAsia="zh-CN"/>
              </w:rPr>
              <w:t>公共场所安保</w:t>
            </w:r>
            <w:r>
              <w:rPr>
                <w:rFonts w:hint="eastAsia" w:eastAsia="宋体" w:cs="仿宋" w:asciiTheme="minorEastAsia" w:hAnsiTheme="minorEastAsia"/>
                <w:bCs/>
                <w:caps/>
                <w:color w:val="auto"/>
                <w:sz w:val="24"/>
                <w:lang w:val="zh-CN"/>
              </w:rPr>
              <w:t>服务工作</w:t>
            </w:r>
            <w:r>
              <w:rPr>
                <w:rFonts w:hint="eastAsia" w:eastAsia="宋体" w:cs="仿宋" w:asciiTheme="minorEastAsia" w:hAnsiTheme="minorEastAsia"/>
                <w:bCs/>
                <w:caps/>
                <w:color w:val="auto"/>
                <w:sz w:val="24"/>
                <w:lang w:val="en-US" w:eastAsia="zh-CN"/>
              </w:rPr>
              <w:t>三</w:t>
            </w:r>
            <w:r>
              <w:rPr>
                <w:rFonts w:hint="eastAsia" w:eastAsia="宋体" w:cs="仿宋" w:asciiTheme="minorEastAsia" w:hAnsiTheme="minorEastAsia"/>
                <w:bCs/>
                <w:caps/>
                <w:color w:val="auto"/>
                <w:sz w:val="24"/>
                <w:lang w:val="zh-CN"/>
              </w:rPr>
              <w:t>年及以上的得</w:t>
            </w:r>
            <w:r>
              <w:rPr>
                <w:rFonts w:hint="eastAsia" w:eastAsia="宋体" w:cs="仿宋" w:asciiTheme="minorEastAsia" w:hAnsiTheme="minorEastAsia"/>
                <w:bCs/>
                <w:caps/>
                <w:color w:val="auto"/>
                <w:sz w:val="24"/>
                <w:lang w:val="en-US" w:eastAsia="zh-CN"/>
              </w:rPr>
              <w:t>2</w:t>
            </w:r>
            <w:r>
              <w:rPr>
                <w:rFonts w:hint="eastAsia" w:eastAsia="宋体" w:cs="仿宋" w:asciiTheme="minorEastAsia" w:hAnsiTheme="minorEastAsia"/>
                <w:bCs/>
                <w:caps/>
                <w:color w:val="auto"/>
                <w:sz w:val="24"/>
              </w:rPr>
              <w:t>分，不符合不得分</w:t>
            </w:r>
            <w:r>
              <w:rPr>
                <w:rFonts w:hint="eastAsia" w:eastAsia="宋体" w:cs="仿宋" w:asciiTheme="minorEastAsia" w:hAnsiTheme="minorEastAsia"/>
                <w:bCs/>
                <w:caps/>
                <w:color w:val="auto"/>
                <w:sz w:val="24"/>
                <w:lang w:val="zh-CN"/>
              </w:rPr>
              <w:t>；</w:t>
            </w:r>
            <w:r>
              <w:rPr>
                <w:rFonts w:hint="eastAsia" w:eastAsia="宋体" w:cs="仿宋" w:asciiTheme="minorEastAsia" w:hAnsiTheme="minorEastAsia"/>
                <w:bCs/>
                <w:caps/>
                <w:color w:val="auto"/>
                <w:sz w:val="24"/>
              </w:rPr>
              <w:t>具备计算机基础操作，提供承诺书得</w:t>
            </w:r>
            <w:r>
              <w:rPr>
                <w:rFonts w:hint="eastAsia" w:eastAsia="宋体" w:cs="仿宋" w:asciiTheme="minorEastAsia" w:hAnsiTheme="minorEastAsia"/>
                <w:bCs/>
                <w:caps/>
                <w:color w:val="auto"/>
                <w:sz w:val="24"/>
                <w:lang w:val="en-US" w:eastAsia="zh-CN"/>
              </w:rPr>
              <w:t>1</w:t>
            </w:r>
            <w:r>
              <w:rPr>
                <w:rFonts w:hint="eastAsia" w:eastAsia="宋体" w:cs="仿宋" w:asciiTheme="minorEastAsia" w:hAnsiTheme="minorEastAsia"/>
                <w:bCs/>
                <w:caps/>
                <w:color w:val="auto"/>
                <w:sz w:val="24"/>
              </w:rPr>
              <w:t>分，未提供不得分。（</w:t>
            </w:r>
            <w:r>
              <w:rPr>
                <w:rFonts w:hint="eastAsia" w:eastAsia="宋体" w:cs="仿宋" w:asciiTheme="minorEastAsia" w:hAnsiTheme="minorEastAsia"/>
                <w:bCs/>
                <w:caps/>
                <w:color w:val="auto"/>
                <w:sz w:val="24"/>
                <w:lang w:val="en-US" w:eastAsia="zh-CN"/>
              </w:rPr>
              <w:t>4</w:t>
            </w:r>
            <w:r>
              <w:rPr>
                <w:rFonts w:hint="eastAsia" w:eastAsia="宋体" w:cs="仿宋" w:asciiTheme="minorEastAsia" w:hAnsiTheme="minorEastAsia"/>
                <w:bCs/>
                <w:caps/>
                <w:color w:val="auto"/>
                <w:sz w:val="24"/>
              </w:rPr>
              <w:t>分）</w:t>
            </w:r>
          </w:p>
          <w:p>
            <w:pPr>
              <w:spacing w:line="360" w:lineRule="auto"/>
              <w:jc w:val="left"/>
              <w:rPr>
                <w:rFonts w:hint="default" w:eastAsia="宋体" w:cs="仿宋" w:asciiTheme="minorEastAsia" w:hAnsiTheme="minorEastAsia"/>
                <w:bCs/>
                <w:caps/>
                <w:color w:val="auto"/>
                <w:sz w:val="24"/>
                <w:lang w:val="en-US"/>
              </w:rPr>
            </w:pPr>
            <w:r>
              <w:rPr>
                <w:rFonts w:hint="eastAsia" w:eastAsia="宋体" w:cs="仿宋" w:asciiTheme="minorEastAsia" w:hAnsiTheme="minorEastAsia"/>
                <w:bCs/>
                <w:caps/>
                <w:color w:val="auto"/>
                <w:sz w:val="24"/>
              </w:rPr>
              <w:t>②除拟派队长以外，本项目拟派安保人员全部具有类似项目经验的，</w:t>
            </w:r>
            <w:r>
              <w:rPr>
                <w:rFonts w:hint="eastAsia" w:eastAsia="宋体" w:cs="仿宋" w:asciiTheme="minorEastAsia" w:hAnsiTheme="minorEastAsia"/>
                <w:bCs/>
                <w:caps/>
                <w:color w:val="auto"/>
                <w:sz w:val="24"/>
                <w:lang w:val="en-US" w:eastAsia="zh-CN"/>
              </w:rPr>
              <w:t>每</w:t>
            </w:r>
            <w:r>
              <w:rPr>
                <w:rFonts w:hint="eastAsia" w:eastAsia="宋体" w:cs="仿宋" w:asciiTheme="minorEastAsia" w:hAnsiTheme="minorEastAsia"/>
                <w:bCs/>
                <w:caps/>
                <w:color w:val="auto"/>
                <w:sz w:val="24"/>
              </w:rPr>
              <w:t>提供</w:t>
            </w:r>
            <w:r>
              <w:rPr>
                <w:rFonts w:hint="eastAsia" w:eastAsia="宋体" w:cs="仿宋" w:asciiTheme="minorEastAsia" w:hAnsiTheme="minorEastAsia"/>
                <w:bCs/>
                <w:caps/>
                <w:color w:val="auto"/>
                <w:sz w:val="24"/>
                <w:lang w:val="en-US" w:eastAsia="zh-CN"/>
              </w:rPr>
              <w:t>一份</w:t>
            </w:r>
            <w:r>
              <w:rPr>
                <w:rFonts w:hint="eastAsia" w:eastAsia="宋体" w:cs="仿宋" w:asciiTheme="minorEastAsia" w:hAnsiTheme="minorEastAsia"/>
                <w:bCs/>
                <w:caps/>
                <w:color w:val="auto"/>
                <w:sz w:val="24"/>
              </w:rPr>
              <w:t>被服务单位证明</w:t>
            </w:r>
            <w:r>
              <w:rPr>
                <w:rFonts w:hint="eastAsia" w:eastAsia="宋体" w:cs="仿宋" w:asciiTheme="minorEastAsia" w:hAnsiTheme="minorEastAsia"/>
                <w:bCs/>
                <w:caps/>
                <w:color w:val="auto"/>
                <w:sz w:val="24"/>
                <w:lang w:val="en-US" w:eastAsia="zh-CN"/>
              </w:rPr>
              <w:t>的</w:t>
            </w:r>
            <w:r>
              <w:rPr>
                <w:rFonts w:hint="eastAsia" w:eastAsia="宋体" w:cs="仿宋" w:asciiTheme="minorEastAsia" w:hAnsiTheme="minorEastAsia"/>
                <w:bCs/>
                <w:caps/>
                <w:color w:val="auto"/>
                <w:sz w:val="24"/>
              </w:rPr>
              <w:t>得</w:t>
            </w:r>
            <w:r>
              <w:rPr>
                <w:rFonts w:hint="eastAsia" w:eastAsia="宋体" w:cs="仿宋" w:asciiTheme="minorEastAsia" w:hAnsiTheme="minorEastAsia"/>
                <w:bCs/>
                <w:caps/>
                <w:color w:val="auto"/>
                <w:sz w:val="24"/>
                <w:lang w:val="en-US" w:eastAsia="zh-CN"/>
              </w:rPr>
              <w:t>0.5</w:t>
            </w:r>
            <w:r>
              <w:rPr>
                <w:rFonts w:hint="eastAsia" w:eastAsia="宋体" w:cs="仿宋" w:asciiTheme="minorEastAsia" w:hAnsiTheme="minorEastAsia"/>
                <w:bCs/>
                <w:caps/>
                <w:color w:val="auto"/>
                <w:sz w:val="24"/>
              </w:rPr>
              <w:t>分，</w:t>
            </w:r>
            <w:r>
              <w:rPr>
                <w:rFonts w:hint="eastAsia" w:eastAsia="宋体" w:cs="仿宋" w:asciiTheme="minorEastAsia" w:hAnsiTheme="minorEastAsia"/>
                <w:bCs/>
                <w:caps/>
                <w:color w:val="auto"/>
                <w:sz w:val="24"/>
                <w:lang w:val="en-US" w:eastAsia="zh-CN"/>
              </w:rPr>
              <w:t>最高得5分。（5分）</w:t>
            </w:r>
          </w:p>
          <w:p>
            <w:pPr>
              <w:spacing w:line="360" w:lineRule="auto"/>
              <w:jc w:val="left"/>
              <w:rPr>
                <w:rFonts w:hint="eastAsia" w:eastAsia="宋体" w:cs="仿宋" w:asciiTheme="minorEastAsia" w:hAnsiTheme="minorEastAsia"/>
                <w:bCs/>
                <w:caps/>
                <w:color w:val="auto"/>
                <w:sz w:val="24"/>
              </w:rPr>
            </w:pPr>
            <w:r>
              <w:rPr>
                <w:rFonts w:hint="eastAsia" w:eastAsia="宋体" w:cs="仿宋" w:asciiTheme="minorEastAsia" w:hAnsiTheme="minorEastAsia"/>
                <w:bCs/>
                <w:caps/>
                <w:color w:val="auto"/>
                <w:sz w:val="24"/>
              </w:rPr>
              <w:t>③拟派本项目的队员中有从军或消防工作经历的，每提供1人得1分，最高得</w:t>
            </w:r>
            <w:r>
              <w:rPr>
                <w:rFonts w:hint="eastAsia" w:eastAsia="宋体" w:cs="仿宋" w:asciiTheme="minorEastAsia" w:hAnsiTheme="minorEastAsia"/>
                <w:bCs/>
                <w:caps/>
                <w:color w:val="auto"/>
                <w:sz w:val="24"/>
                <w:lang w:val="en-US" w:eastAsia="zh-CN"/>
              </w:rPr>
              <w:t>3</w:t>
            </w:r>
            <w:r>
              <w:rPr>
                <w:rFonts w:hint="eastAsia" w:eastAsia="宋体" w:cs="仿宋" w:asciiTheme="minorEastAsia" w:hAnsiTheme="minorEastAsia"/>
                <w:bCs/>
                <w:caps/>
                <w:color w:val="auto"/>
                <w:sz w:val="24"/>
              </w:rPr>
              <w:t>分。（</w:t>
            </w:r>
            <w:r>
              <w:rPr>
                <w:rFonts w:hint="eastAsia" w:eastAsia="宋体" w:cs="仿宋" w:asciiTheme="minorEastAsia" w:hAnsiTheme="minorEastAsia"/>
                <w:bCs/>
                <w:caps/>
                <w:color w:val="auto"/>
                <w:sz w:val="24"/>
                <w:lang w:val="en-US" w:eastAsia="zh-CN"/>
              </w:rPr>
              <w:t>3</w:t>
            </w:r>
            <w:r>
              <w:rPr>
                <w:rFonts w:hint="eastAsia" w:eastAsia="宋体" w:cs="仿宋" w:asciiTheme="minorEastAsia" w:hAnsiTheme="minorEastAsia"/>
                <w:bCs/>
                <w:caps/>
                <w:color w:val="auto"/>
                <w:sz w:val="24"/>
              </w:rPr>
              <w:t>分）</w:t>
            </w:r>
          </w:p>
          <w:p>
            <w:pPr>
              <w:spacing w:line="360" w:lineRule="auto"/>
              <w:jc w:val="left"/>
              <w:rPr>
                <w:rFonts w:hint="eastAsia" w:cs="仿宋" w:asciiTheme="minorEastAsia" w:hAnsiTheme="minorEastAsia"/>
                <w:bCs/>
                <w:caps/>
                <w:color w:val="auto"/>
                <w:sz w:val="24"/>
              </w:rPr>
            </w:pPr>
            <w:r>
              <w:rPr>
                <w:rFonts w:hint="eastAsia" w:eastAsia="宋体" w:cs="仿宋" w:asciiTheme="minorEastAsia" w:hAnsiTheme="minorEastAsia"/>
                <w:bCs/>
                <w:caps/>
                <w:color w:val="auto"/>
                <w:sz w:val="24"/>
              </w:rPr>
              <w:t>证明材料：投标文件中须提供学历证书复印件、承诺书及其他相关证明材料，</w:t>
            </w:r>
            <w:r>
              <w:rPr>
                <w:rFonts w:hint="eastAsia" w:cs="仿宋" w:asciiTheme="minorEastAsia" w:hAnsiTheme="minorEastAsia"/>
                <w:bCs/>
                <w:caps/>
                <w:color w:val="auto"/>
                <w:sz w:val="24"/>
              </w:rPr>
              <w:t>提供有效的相关证明材料及近一个月在缴社保证明，</w:t>
            </w:r>
            <w:r>
              <w:rPr>
                <w:rFonts w:hint="eastAsia" w:eastAsia="宋体" w:cs="仿宋" w:asciiTheme="minorEastAsia" w:hAnsiTheme="minorEastAsia"/>
                <w:bCs/>
                <w:caps/>
                <w:color w:val="auto"/>
                <w:sz w:val="24"/>
              </w:rPr>
              <w:t>否则不得分。</w:t>
            </w:r>
          </w:p>
        </w:tc>
        <w:tc>
          <w:tcPr>
            <w:tcW w:w="982" w:type="dxa"/>
            <w:vAlign w:val="center"/>
          </w:tcPr>
          <w:p>
            <w:pPr>
              <w:snapToGrid w:val="0"/>
              <w:spacing w:line="360" w:lineRule="auto"/>
              <w:jc w:val="center"/>
              <w:rPr>
                <w:rFonts w:hint="default" w:eastAsia="宋体"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12</w:t>
            </w:r>
          </w:p>
        </w:tc>
        <w:tc>
          <w:tcPr>
            <w:tcW w:w="1074" w:type="dxa"/>
            <w:vAlign w:val="center"/>
          </w:tcPr>
          <w:p>
            <w:pPr>
              <w:snapToGrid w:val="0"/>
              <w:spacing w:line="360" w:lineRule="auto"/>
              <w:jc w:val="center"/>
              <w:rPr>
                <w:rFonts w:hint="eastAsia" w:eastAsia="宋体" w:cs="仿宋_GB2312" w:asciiTheme="minorEastAsia" w:hAnsiTheme="minorEastAsia"/>
                <w:bCs/>
                <w:color w:val="auto"/>
                <w:sz w:val="24"/>
                <w:lang w:val="en-US" w:eastAsia="zh-CN"/>
              </w:rPr>
            </w:pPr>
            <w:r>
              <w:rPr>
                <w:rFonts w:hint="eastAsia" w:cs="仿宋_GB2312" w:asciiTheme="minorEastAsia" w:hAnsiTheme="minorEastAsia"/>
                <w:bCs/>
                <w:color w:val="auto"/>
                <w:sz w:val="24"/>
                <w:lang w:val="en-US" w:eastAsia="zh-CN"/>
              </w:rPr>
              <w:t>客观分</w:t>
            </w:r>
          </w:p>
        </w:tc>
        <w:tc>
          <w:tcPr>
            <w:tcW w:w="1388" w:type="dxa"/>
          </w:tcPr>
          <w:p>
            <w:pPr>
              <w:snapToGrid w:val="0"/>
              <w:spacing w:line="360" w:lineRule="auto"/>
              <w:jc w:val="center"/>
              <w:rPr>
                <w:rFonts w:cs="仿宋_GB2312" w:asciiTheme="minorEastAsia" w:hAnsiTheme="minor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6" w:type="dxa"/>
            <w:vAlign w:val="center"/>
          </w:tcPr>
          <w:p>
            <w:pPr>
              <w:widowControl/>
              <w:jc w:val="center"/>
              <w:textAlignment w:val="center"/>
              <w:rPr>
                <w:rFonts w:hint="eastAsia" w:eastAsia="宋体" w:cs="宋体" w:asciiTheme="minorEastAsia" w:hAnsiTheme="minorEastAsia"/>
                <w:color w:val="000000"/>
                <w:kern w:val="0"/>
                <w:sz w:val="22"/>
                <w:szCs w:val="22"/>
                <w:lang w:val="en-US" w:eastAsia="zh-CN" w:bidi="ar"/>
              </w:rPr>
            </w:pPr>
            <w:r>
              <w:rPr>
                <w:rFonts w:hint="eastAsia" w:cs="宋体" w:asciiTheme="minorEastAsia" w:hAnsiTheme="minorEastAsia"/>
                <w:color w:val="000000"/>
                <w:kern w:val="0"/>
                <w:sz w:val="22"/>
                <w:szCs w:val="22"/>
                <w:lang w:val="en-US" w:eastAsia="zh-CN" w:bidi="ar"/>
              </w:rPr>
              <w:t>4</w:t>
            </w:r>
          </w:p>
        </w:tc>
        <w:tc>
          <w:tcPr>
            <w:tcW w:w="4754" w:type="dxa"/>
            <w:vAlign w:val="center"/>
          </w:tcPr>
          <w:p>
            <w:pPr>
              <w:spacing w:line="360" w:lineRule="auto"/>
              <w:jc w:val="left"/>
              <w:rPr>
                <w:rFonts w:hint="eastAsia" w:cs="宋体" w:asciiTheme="minorEastAsia" w:hAnsiTheme="minorEastAsia"/>
                <w:sz w:val="24"/>
              </w:rPr>
            </w:pPr>
            <w:r>
              <w:rPr>
                <w:rFonts w:hint="eastAsia" w:cs="仿宋" w:asciiTheme="minorEastAsia" w:hAnsiTheme="minorEastAsia"/>
                <w:bCs/>
                <w:caps/>
                <w:sz w:val="24"/>
              </w:rPr>
              <w:t>管理制度</w:t>
            </w:r>
          </w:p>
        </w:tc>
        <w:tc>
          <w:tcPr>
            <w:tcW w:w="982" w:type="dxa"/>
            <w:vAlign w:val="center"/>
          </w:tcPr>
          <w:p>
            <w:pPr>
              <w:snapToGrid w:val="0"/>
              <w:spacing w:line="360" w:lineRule="auto"/>
              <w:jc w:val="center"/>
              <w:rPr>
                <w:rFonts w:hint="eastAsia" w:cs="仿宋" w:asciiTheme="minorEastAsia" w:hAnsiTheme="minorEastAsia"/>
                <w:sz w:val="24"/>
              </w:rPr>
            </w:pPr>
          </w:p>
        </w:tc>
        <w:tc>
          <w:tcPr>
            <w:tcW w:w="1074" w:type="dxa"/>
            <w:vAlign w:val="center"/>
          </w:tcPr>
          <w:p>
            <w:pPr>
              <w:snapToGrid w:val="0"/>
              <w:spacing w:line="360" w:lineRule="auto"/>
              <w:jc w:val="center"/>
              <w:rPr>
                <w:rFonts w:hint="eastAsia" w:cs="仿宋_GB2312" w:asciiTheme="minorEastAsia" w:hAnsiTheme="minorEastAsia"/>
                <w:bCs/>
                <w:sz w:val="24"/>
              </w:rPr>
            </w:pP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4.1</w:t>
            </w:r>
          </w:p>
        </w:tc>
        <w:tc>
          <w:tcPr>
            <w:tcW w:w="4754" w:type="dxa"/>
            <w:vAlign w:val="center"/>
          </w:tcPr>
          <w:p>
            <w:pPr>
              <w:spacing w:line="360" w:lineRule="auto"/>
              <w:jc w:val="left"/>
              <w:rPr>
                <w:rFonts w:cs="仿宋" w:asciiTheme="minorEastAsia" w:hAnsiTheme="minorEastAsia"/>
                <w:bCs/>
                <w:caps/>
                <w:sz w:val="24"/>
              </w:rPr>
            </w:pPr>
            <w:r>
              <w:rPr>
                <w:rFonts w:hint="eastAsia" w:cs="仿宋" w:asciiTheme="minorEastAsia" w:hAnsiTheme="minorEastAsia"/>
                <w:bCs/>
                <w:caps/>
                <w:sz w:val="24"/>
              </w:rPr>
              <w:t>工作人员职责制度。</w:t>
            </w:r>
            <w:r>
              <w:rPr>
                <w:rFonts w:hint="eastAsia" w:cs="宋体" w:asciiTheme="minorEastAsia" w:hAnsiTheme="minorEastAsia"/>
                <w:sz w:val="24"/>
              </w:rPr>
              <w:t>制度完善且满足招标需求的得4分，制度较为完善，能够基本满足招标需求的得2分，制度有较小缺失的得1分，制度有较大缺失或者漏洞无法完全满足招标需求的不得分。</w:t>
            </w:r>
          </w:p>
        </w:tc>
        <w:tc>
          <w:tcPr>
            <w:tcW w:w="982"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4.2</w:t>
            </w:r>
          </w:p>
        </w:tc>
        <w:tc>
          <w:tcPr>
            <w:tcW w:w="4754" w:type="dxa"/>
            <w:vAlign w:val="center"/>
          </w:tcPr>
          <w:p>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人员交接班、队伍例会制度。</w:t>
            </w:r>
            <w:r>
              <w:rPr>
                <w:rFonts w:hint="eastAsia" w:cs="宋体" w:asciiTheme="minorEastAsia" w:hAnsiTheme="minorEastAsia"/>
                <w:sz w:val="24"/>
              </w:rPr>
              <w:t>制度完善且满足招标需求的得4分，制度较为完善，能够基本满足招标需求的得2分，制度有较小缺失的得1分，制度有较大缺失或者漏洞无法完全满足招标需求的不得分。</w:t>
            </w:r>
          </w:p>
        </w:tc>
        <w:tc>
          <w:tcPr>
            <w:tcW w:w="982"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4.3</w:t>
            </w:r>
          </w:p>
        </w:tc>
        <w:tc>
          <w:tcPr>
            <w:tcW w:w="4754" w:type="dxa"/>
            <w:vAlign w:val="center"/>
          </w:tcPr>
          <w:p>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队伍招聘、使用、管理、调配和辞退制度、监督考核机制。</w:t>
            </w:r>
            <w:r>
              <w:rPr>
                <w:rFonts w:hint="eastAsia" w:cs="宋体" w:asciiTheme="minorEastAsia" w:hAnsiTheme="minorEastAsia"/>
                <w:sz w:val="24"/>
              </w:rPr>
              <w:t>制度完善且满足招标需求的得4分，制度较为完善，能够基本满足招标需求的得2分，制度有较小缺失的得1分，制度有较大缺失或者漏洞无法完全满足招标需求的不得分。</w:t>
            </w:r>
          </w:p>
        </w:tc>
        <w:tc>
          <w:tcPr>
            <w:tcW w:w="982"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4.4</w:t>
            </w:r>
          </w:p>
        </w:tc>
        <w:tc>
          <w:tcPr>
            <w:tcW w:w="4754" w:type="dxa"/>
            <w:vAlign w:val="center"/>
          </w:tcPr>
          <w:p>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义务消防制度。</w:t>
            </w:r>
            <w:r>
              <w:rPr>
                <w:rFonts w:hint="eastAsia" w:cs="宋体" w:asciiTheme="minorEastAsia" w:hAnsiTheme="minorEastAsia"/>
                <w:sz w:val="24"/>
              </w:rPr>
              <w:t>制度完善且满足招标需求的得4分，制度较为完善，能够基本满足招标需求的得2分，制度有较小缺失的得1分，制度有较大缺失或者漏洞无法完全满足招标需求的不得分。</w:t>
            </w:r>
          </w:p>
        </w:tc>
        <w:tc>
          <w:tcPr>
            <w:tcW w:w="982"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4.5</w:t>
            </w:r>
          </w:p>
        </w:tc>
        <w:tc>
          <w:tcPr>
            <w:tcW w:w="4754" w:type="dxa"/>
            <w:vAlign w:val="center"/>
          </w:tcPr>
          <w:p>
            <w:pPr>
              <w:snapToGrid w:val="0"/>
              <w:spacing w:line="360" w:lineRule="auto"/>
              <w:rPr>
                <w:rFonts w:cs="仿宋" w:asciiTheme="minorEastAsia" w:hAnsiTheme="minorEastAsia"/>
                <w:bCs/>
                <w:caps/>
                <w:sz w:val="24"/>
              </w:rPr>
            </w:pPr>
            <w:r>
              <w:rPr>
                <w:rFonts w:hint="eastAsia" w:cs="仿宋" w:asciiTheme="minorEastAsia" w:hAnsiTheme="minorEastAsia"/>
                <w:bCs/>
                <w:caps/>
                <w:color w:val="auto"/>
                <w:sz w:val="24"/>
                <w:lang w:val="en-US" w:eastAsia="zh-CN"/>
              </w:rPr>
              <w:t>监控室</w:t>
            </w:r>
            <w:r>
              <w:rPr>
                <w:rFonts w:hint="eastAsia" w:cs="仿宋" w:asciiTheme="minorEastAsia" w:hAnsiTheme="minorEastAsia"/>
                <w:bCs/>
                <w:caps/>
                <w:sz w:val="24"/>
              </w:rPr>
              <w:t>管理工作情况。</w:t>
            </w:r>
            <w:r>
              <w:rPr>
                <w:rFonts w:hint="eastAsia" w:cs="宋体" w:asciiTheme="minorEastAsia" w:hAnsiTheme="minorEastAsia"/>
                <w:sz w:val="24"/>
              </w:rPr>
              <w:t>制度完善且满足招标需求的得4分，制度较为完善，能够基本满足招标需求的得2分，制度有较小缺失的得1分，制度有较大缺失或者漏洞无法完全满足招标需求的不得分。</w:t>
            </w:r>
          </w:p>
        </w:tc>
        <w:tc>
          <w:tcPr>
            <w:tcW w:w="982"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5</w:t>
            </w:r>
          </w:p>
        </w:tc>
        <w:tc>
          <w:tcPr>
            <w:tcW w:w="4754" w:type="dxa"/>
            <w:vAlign w:val="center"/>
          </w:tcPr>
          <w:p>
            <w:pPr>
              <w:snapToGrid w:val="0"/>
              <w:spacing w:line="360" w:lineRule="auto"/>
              <w:rPr>
                <w:rFonts w:cs="仿宋" w:asciiTheme="minorEastAsia" w:hAnsiTheme="minorEastAsia"/>
                <w:bCs/>
                <w:caps/>
                <w:color w:val="auto"/>
                <w:sz w:val="24"/>
              </w:rPr>
            </w:pPr>
            <w:r>
              <w:rPr>
                <w:rFonts w:hint="eastAsia" w:cs="仿宋" w:asciiTheme="minorEastAsia" w:hAnsiTheme="minorEastAsia"/>
                <w:bCs/>
                <w:caps/>
                <w:color w:val="auto"/>
                <w:sz w:val="24"/>
              </w:rPr>
              <w:t>服务方案</w:t>
            </w:r>
            <w:r>
              <w:rPr>
                <w:rFonts w:hint="eastAsia" w:cs="仿宋" w:asciiTheme="minorEastAsia" w:hAnsiTheme="minorEastAsia"/>
                <w:bCs/>
                <w:caps/>
                <w:color w:val="auto"/>
                <w:sz w:val="24"/>
                <w:lang w:eastAsia="zh-CN"/>
              </w:rPr>
              <w:t>：</w:t>
            </w:r>
            <w:r>
              <w:rPr>
                <w:rFonts w:hint="eastAsia" w:cs="仿宋" w:asciiTheme="minorEastAsia" w:hAnsiTheme="minorEastAsia"/>
                <w:bCs/>
                <w:caps/>
                <w:color w:val="auto"/>
                <w:sz w:val="24"/>
              </w:rPr>
              <w:t>根据投标人提供的针对本项目配置的详细服务方案分析的可行性、完整性、成熟性进行综合评议。</w:t>
            </w:r>
            <w:r>
              <w:rPr>
                <w:rFonts w:hint="eastAsia" w:cs="宋体" w:asciiTheme="minorEastAsia" w:hAnsiTheme="minorEastAsia"/>
                <w:color w:val="auto"/>
                <w:sz w:val="24"/>
              </w:rPr>
              <w:t>方案完善且满足招标需求的得</w:t>
            </w:r>
            <w:r>
              <w:rPr>
                <w:rFonts w:hint="eastAsia" w:cs="宋体" w:asciiTheme="minorEastAsia" w:hAnsiTheme="minorEastAsia"/>
                <w:color w:val="auto"/>
                <w:sz w:val="24"/>
                <w:lang w:val="en-US" w:eastAsia="zh-CN"/>
              </w:rPr>
              <w:t>4</w:t>
            </w:r>
            <w:r>
              <w:rPr>
                <w:rFonts w:hint="eastAsia" w:cs="宋体" w:asciiTheme="minorEastAsia" w:hAnsiTheme="minorEastAsia"/>
                <w:color w:val="auto"/>
                <w:sz w:val="24"/>
              </w:rPr>
              <w:t>分，方案较为完善，能够基本满足招标需求的得</w:t>
            </w:r>
            <w:r>
              <w:rPr>
                <w:rFonts w:hint="eastAsia" w:cs="宋体" w:asciiTheme="minorEastAsia" w:hAnsiTheme="minorEastAsia"/>
                <w:color w:val="auto"/>
                <w:sz w:val="24"/>
                <w:lang w:val="en-US" w:eastAsia="zh-CN"/>
              </w:rPr>
              <w:t>2</w:t>
            </w:r>
            <w:r>
              <w:rPr>
                <w:rFonts w:hint="eastAsia" w:cs="宋体" w:asciiTheme="minorEastAsia" w:hAnsiTheme="minorEastAsia"/>
                <w:color w:val="auto"/>
                <w:sz w:val="24"/>
              </w:rPr>
              <w:t>分，方案有较小缺失的得1分，方案有较大缺失或者漏洞无法完全满足招标需求的不得分。</w:t>
            </w:r>
          </w:p>
        </w:tc>
        <w:tc>
          <w:tcPr>
            <w:tcW w:w="982" w:type="dxa"/>
            <w:vAlign w:val="center"/>
          </w:tcPr>
          <w:p>
            <w:pPr>
              <w:snapToGrid w:val="0"/>
              <w:spacing w:line="360" w:lineRule="auto"/>
              <w:jc w:val="center"/>
              <w:rPr>
                <w:rFonts w:hint="eastAsia" w:eastAsia="宋体" w:cs="仿宋" w:asciiTheme="minorEastAsia" w:hAnsiTheme="minorEastAsia"/>
                <w:color w:val="auto"/>
                <w:sz w:val="24"/>
                <w:lang w:eastAsia="zh-CN"/>
              </w:rPr>
            </w:pPr>
            <w:r>
              <w:rPr>
                <w:rFonts w:hint="eastAsia" w:cs="仿宋" w:asciiTheme="minorEastAsia" w:hAnsiTheme="minorEastAsia"/>
                <w:color w:val="auto"/>
                <w:sz w:val="24"/>
                <w:lang w:val="en-US" w:eastAsia="zh-CN"/>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cs="仿宋_GB2312" w:asciiTheme="minorEastAsia" w:hAnsiTheme="minorEastAsia"/>
                <w:color w:val="auto"/>
                <w:sz w:val="24"/>
                <w:highlight w:val="none"/>
              </w:rPr>
            </w:pPr>
            <w:r>
              <w:rPr>
                <w:rFonts w:hint="eastAsia" w:cs="宋体" w:asciiTheme="minorEastAsia" w:hAnsiTheme="minorEastAsia"/>
                <w:color w:val="auto"/>
                <w:kern w:val="0"/>
                <w:sz w:val="22"/>
                <w:szCs w:val="22"/>
                <w:highlight w:val="none"/>
                <w:lang w:bidi="ar"/>
              </w:rPr>
              <w:t>6</w:t>
            </w:r>
          </w:p>
        </w:tc>
        <w:tc>
          <w:tcPr>
            <w:tcW w:w="4754" w:type="dxa"/>
            <w:vAlign w:val="center"/>
          </w:tcPr>
          <w:p>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服务承诺及合理化建议：①有对服务期内的服务质量、服务范围、服务态度承诺的得1分，不承诺或承诺的内容不符合要求不得分；</w:t>
            </w:r>
          </w:p>
          <w:p>
            <w:pPr>
              <w:keepNext w:val="0"/>
              <w:keepLines w:val="0"/>
              <w:pageBreakBefore w:val="0"/>
              <w:kinsoku/>
              <w:wordWrap/>
              <w:overflowPunct/>
              <w:topLinePunct w:val="0"/>
              <w:autoSpaceDE/>
              <w:autoSpaceDN/>
              <w:bidi w:val="0"/>
              <w:snapToGrid w:val="0"/>
              <w:spacing w:line="360" w:lineRule="auto"/>
              <w:jc w:val="left"/>
              <w:textAlignment w:val="auto"/>
              <w:rPr>
                <w:rFonts w:hint="default"/>
                <w:color w:val="auto"/>
                <w:lang w:val="en-US"/>
              </w:rPr>
            </w:pPr>
            <w:r>
              <w:rPr>
                <w:rFonts w:hint="eastAsia" w:ascii="宋体" w:hAnsi="宋体" w:eastAsia="宋体" w:cs="宋体"/>
                <w:color w:val="auto"/>
                <w:sz w:val="24"/>
                <w:szCs w:val="24"/>
                <w:highlight w:val="none"/>
                <w:lang w:val="en-US" w:eastAsia="zh-CN"/>
              </w:rPr>
              <w:t>②根据项目情况每提出一条合理建议的的1分，最高得2分。</w:t>
            </w:r>
          </w:p>
        </w:tc>
        <w:tc>
          <w:tcPr>
            <w:tcW w:w="982" w:type="dxa"/>
            <w:vAlign w:val="center"/>
          </w:tcPr>
          <w:p>
            <w:pPr>
              <w:snapToGrid w:val="0"/>
              <w:spacing w:line="360" w:lineRule="auto"/>
              <w:jc w:val="center"/>
              <w:rPr>
                <w:rFonts w:hint="default" w:eastAsia="宋体"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3</w:t>
            </w:r>
          </w:p>
        </w:tc>
        <w:tc>
          <w:tcPr>
            <w:tcW w:w="1074" w:type="dxa"/>
            <w:vAlign w:val="center"/>
          </w:tcPr>
          <w:p>
            <w:pPr>
              <w:snapToGrid w:val="0"/>
              <w:spacing w:line="360"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lang w:val="en-US" w:eastAsia="zh-CN"/>
              </w:rPr>
              <w:t>主</w:t>
            </w:r>
            <w:r>
              <w:rPr>
                <w:rFonts w:hint="eastAsia" w:cs="仿宋_GB2312" w:asciiTheme="minorEastAsia" w:hAnsiTheme="minorEastAsia"/>
                <w:color w:val="auto"/>
                <w:sz w:val="24"/>
                <w:highlight w:val="none"/>
              </w:rPr>
              <w:t>观分</w:t>
            </w:r>
          </w:p>
        </w:tc>
        <w:tc>
          <w:tcPr>
            <w:tcW w:w="1388" w:type="dxa"/>
          </w:tcPr>
          <w:p>
            <w:pPr>
              <w:snapToGrid w:val="0"/>
              <w:spacing w:line="360" w:lineRule="auto"/>
              <w:jc w:val="center"/>
              <w:rPr>
                <w:rFonts w:cs="仿宋_GB2312" w:asciiTheme="minorEastAsia" w:hAnsiTheme="min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6" w:type="dxa"/>
            <w:vAlign w:val="center"/>
          </w:tcPr>
          <w:p>
            <w:pPr>
              <w:widowControl/>
              <w:jc w:val="center"/>
              <w:textAlignment w:val="center"/>
              <w:rPr>
                <w:rFonts w:hint="eastAsia" w:eastAsia="宋体" w:cs="宋体" w:asciiTheme="minorEastAsia" w:hAnsiTheme="minorEastAsia"/>
                <w:color w:val="000000"/>
                <w:kern w:val="0"/>
                <w:sz w:val="22"/>
                <w:szCs w:val="22"/>
                <w:lang w:val="en-US" w:eastAsia="zh-CN" w:bidi="ar"/>
              </w:rPr>
            </w:pPr>
            <w:r>
              <w:rPr>
                <w:rFonts w:hint="eastAsia" w:cs="宋体" w:asciiTheme="minorEastAsia" w:hAnsiTheme="minorEastAsia"/>
                <w:color w:val="000000"/>
                <w:kern w:val="0"/>
                <w:sz w:val="22"/>
                <w:szCs w:val="22"/>
                <w:lang w:val="en-US" w:eastAsia="zh-CN" w:bidi="ar"/>
              </w:rPr>
              <w:t>7</w:t>
            </w:r>
          </w:p>
        </w:tc>
        <w:tc>
          <w:tcPr>
            <w:tcW w:w="4754" w:type="dxa"/>
            <w:vAlign w:val="center"/>
          </w:tcPr>
          <w:p>
            <w:pPr>
              <w:spacing w:line="360" w:lineRule="auto"/>
              <w:jc w:val="left"/>
              <w:rPr>
                <w:rFonts w:hint="eastAsia" w:cs="仿宋" w:asciiTheme="minorEastAsia" w:hAnsiTheme="minorEastAsia"/>
                <w:bCs/>
                <w:caps/>
                <w:sz w:val="24"/>
              </w:rPr>
            </w:pPr>
            <w:r>
              <w:rPr>
                <w:rFonts w:hint="eastAsia" w:cs="仿宋" w:asciiTheme="minorEastAsia" w:hAnsiTheme="minorEastAsia"/>
                <w:bCs/>
                <w:caps/>
                <w:sz w:val="24"/>
              </w:rPr>
              <w:t>培训方案</w:t>
            </w:r>
          </w:p>
        </w:tc>
        <w:tc>
          <w:tcPr>
            <w:tcW w:w="982" w:type="dxa"/>
            <w:vAlign w:val="center"/>
          </w:tcPr>
          <w:p>
            <w:pPr>
              <w:snapToGrid w:val="0"/>
              <w:spacing w:line="360" w:lineRule="auto"/>
              <w:jc w:val="center"/>
              <w:rPr>
                <w:rFonts w:hint="eastAsia" w:cs="仿宋" w:asciiTheme="minorEastAsia" w:hAnsiTheme="minorEastAsia"/>
                <w:sz w:val="24"/>
              </w:rPr>
            </w:pPr>
          </w:p>
        </w:tc>
        <w:tc>
          <w:tcPr>
            <w:tcW w:w="1074" w:type="dxa"/>
            <w:vAlign w:val="center"/>
          </w:tcPr>
          <w:p>
            <w:pPr>
              <w:snapToGrid w:val="0"/>
              <w:spacing w:line="360" w:lineRule="auto"/>
              <w:jc w:val="center"/>
              <w:rPr>
                <w:rFonts w:hint="eastAsia" w:cs="仿宋_GB2312" w:asciiTheme="minorEastAsia" w:hAnsiTheme="minorEastAsia"/>
                <w:bCs/>
                <w:sz w:val="24"/>
              </w:rPr>
            </w:pP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宋体" w:asciiTheme="minorEastAsia" w:hAnsiTheme="minorEastAsia"/>
                <w:color w:val="000000"/>
                <w:kern w:val="0"/>
                <w:sz w:val="22"/>
                <w:szCs w:val="22"/>
                <w:lang w:val="en-US" w:eastAsia="zh-CN" w:bidi="ar"/>
              </w:rPr>
              <w:t>7.1</w:t>
            </w:r>
          </w:p>
        </w:tc>
        <w:tc>
          <w:tcPr>
            <w:tcW w:w="4754" w:type="dxa"/>
            <w:vAlign w:val="center"/>
          </w:tcPr>
          <w:p>
            <w:pPr>
              <w:spacing w:line="360" w:lineRule="auto"/>
              <w:jc w:val="left"/>
              <w:rPr>
                <w:rFonts w:cs="仿宋" w:asciiTheme="minorEastAsia" w:hAnsiTheme="minorEastAsia"/>
                <w:bCs/>
                <w:caps/>
                <w:sz w:val="24"/>
              </w:rPr>
            </w:pPr>
            <w:r>
              <w:rPr>
                <w:rFonts w:hint="eastAsia" w:cs="仿宋" w:asciiTheme="minorEastAsia" w:hAnsiTheme="minorEastAsia"/>
                <w:bCs/>
                <w:caps/>
                <w:sz w:val="24"/>
              </w:rPr>
              <w:t>具备服务团队从业能力的专业知识、安全意识培训，且贴合实际需求的演练。</w:t>
            </w:r>
            <w:r>
              <w:rPr>
                <w:rFonts w:hint="eastAsia" w:cs="宋体" w:asciiTheme="minorEastAsia" w:hAnsiTheme="minorEastAsia"/>
                <w:kern w:val="0"/>
                <w:sz w:val="24"/>
              </w:rPr>
              <w:t>方案完整且切实可行符合采购人需求的得4分，方案完整，可行性一般，基本满足采购人需求的得</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分，方案有所偏离的得1分，方案不能满足招标人需求或无方案的不得分。</w:t>
            </w:r>
          </w:p>
        </w:tc>
        <w:tc>
          <w:tcPr>
            <w:tcW w:w="982"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7.2</w:t>
            </w:r>
          </w:p>
        </w:tc>
        <w:tc>
          <w:tcPr>
            <w:tcW w:w="4754" w:type="dxa"/>
            <w:vAlign w:val="center"/>
          </w:tcPr>
          <w:p>
            <w:pPr>
              <w:spacing w:line="360" w:lineRule="auto"/>
              <w:jc w:val="left"/>
              <w:rPr>
                <w:rFonts w:cs="仿宋" w:asciiTheme="minorEastAsia" w:hAnsiTheme="minorEastAsia"/>
                <w:bCs/>
                <w:caps/>
                <w:color w:val="auto"/>
                <w:sz w:val="24"/>
              </w:rPr>
            </w:pPr>
            <w:r>
              <w:rPr>
                <w:rFonts w:hint="eastAsia" w:cs="仿宋" w:asciiTheme="minorEastAsia" w:hAnsiTheme="minorEastAsia"/>
                <w:bCs/>
                <w:caps/>
                <w:color w:val="auto"/>
                <w:sz w:val="24"/>
              </w:rPr>
              <w:t>有切实可行的每月不少于一次的培训计划</w:t>
            </w:r>
            <w:r>
              <w:rPr>
                <w:rFonts w:hint="eastAsia" w:cs="仿宋" w:asciiTheme="minorEastAsia" w:hAnsiTheme="minorEastAsia"/>
                <w:bCs/>
                <w:caps/>
                <w:color w:val="auto"/>
                <w:sz w:val="24"/>
                <w:lang w:val="en-US" w:eastAsia="zh-CN"/>
              </w:rPr>
              <w:t>和完备的培训内容</w:t>
            </w:r>
            <w:r>
              <w:rPr>
                <w:rFonts w:hint="eastAsia" w:cs="仿宋" w:asciiTheme="minorEastAsia" w:hAnsiTheme="minorEastAsia"/>
                <w:bCs/>
                <w:caps/>
                <w:color w:val="auto"/>
                <w:sz w:val="24"/>
              </w:rPr>
              <w:t>。</w:t>
            </w:r>
            <w:r>
              <w:rPr>
                <w:rFonts w:hint="eastAsia" w:cs="宋体" w:asciiTheme="minorEastAsia" w:hAnsiTheme="minorEastAsia"/>
                <w:color w:val="auto"/>
                <w:kern w:val="0"/>
                <w:sz w:val="24"/>
              </w:rPr>
              <w:t>培训计划完整且切实可行符合采购人需求的得</w:t>
            </w:r>
            <w:r>
              <w:rPr>
                <w:rFonts w:hint="eastAsia" w:cs="宋体" w:asciiTheme="minorEastAsia" w:hAnsiTheme="minorEastAsia"/>
                <w:color w:val="auto"/>
                <w:kern w:val="0"/>
                <w:sz w:val="24"/>
                <w:lang w:val="en-US" w:eastAsia="zh-CN"/>
              </w:rPr>
              <w:t>4</w:t>
            </w:r>
            <w:r>
              <w:rPr>
                <w:rFonts w:hint="eastAsia" w:cs="宋体" w:asciiTheme="minorEastAsia" w:hAnsiTheme="minorEastAsia"/>
                <w:color w:val="auto"/>
                <w:kern w:val="0"/>
                <w:sz w:val="24"/>
              </w:rPr>
              <w:t>分，培训计划完整，可行性一般，基本满足采购人需求的得</w:t>
            </w:r>
            <w:r>
              <w:rPr>
                <w:rFonts w:hint="eastAsia" w:cs="宋体" w:asciiTheme="minorEastAsia" w:hAnsiTheme="minorEastAsia"/>
                <w:color w:val="auto"/>
                <w:kern w:val="0"/>
                <w:sz w:val="24"/>
                <w:lang w:val="en-US" w:eastAsia="zh-CN"/>
              </w:rPr>
              <w:t>2</w:t>
            </w:r>
            <w:r>
              <w:rPr>
                <w:rFonts w:hint="eastAsia" w:cs="宋体" w:asciiTheme="minorEastAsia" w:hAnsiTheme="minorEastAsia"/>
                <w:color w:val="auto"/>
                <w:kern w:val="0"/>
                <w:sz w:val="24"/>
              </w:rPr>
              <w:t>分，方案有所偏离的得1分，方案不能满足招标人需求或无方案的不得分。</w:t>
            </w:r>
          </w:p>
        </w:tc>
        <w:tc>
          <w:tcPr>
            <w:tcW w:w="982" w:type="dxa"/>
            <w:vAlign w:val="center"/>
          </w:tcPr>
          <w:p>
            <w:pPr>
              <w:snapToGrid w:val="0"/>
              <w:spacing w:line="360" w:lineRule="auto"/>
              <w:jc w:val="center"/>
              <w:rPr>
                <w:rFonts w:hint="eastAsia" w:eastAsia="宋体" w:cs="仿宋" w:asciiTheme="minorEastAsia" w:hAnsiTheme="minorEastAsia"/>
                <w:color w:val="auto"/>
                <w:sz w:val="24"/>
                <w:lang w:eastAsia="zh-CN"/>
              </w:rPr>
            </w:pPr>
            <w:r>
              <w:rPr>
                <w:rFonts w:hint="eastAsia" w:cs="仿宋" w:asciiTheme="minorEastAsia" w:hAnsiTheme="minorEastAsia"/>
                <w:color w:val="auto"/>
                <w:sz w:val="24"/>
                <w:lang w:val="en-US" w:eastAsia="zh-CN"/>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eastAsia" w:eastAsia="宋体" w:cs="仿宋_GB2312" w:asciiTheme="minorEastAsia" w:hAnsiTheme="minorEastAsia"/>
                <w:sz w:val="24"/>
                <w:lang w:val="en-US" w:eastAsia="zh-CN"/>
              </w:rPr>
            </w:pPr>
            <w:r>
              <w:rPr>
                <w:rFonts w:hint="eastAsia" w:cs="仿宋_GB2312" w:asciiTheme="minorEastAsia" w:hAnsiTheme="minorEastAsia"/>
                <w:sz w:val="24"/>
                <w:lang w:val="en-US" w:eastAsia="zh-CN"/>
              </w:rPr>
              <w:t>8</w:t>
            </w:r>
          </w:p>
        </w:tc>
        <w:tc>
          <w:tcPr>
            <w:tcW w:w="4754" w:type="dxa"/>
            <w:vAlign w:val="center"/>
          </w:tcPr>
          <w:p>
            <w:pPr>
              <w:snapToGrid w:val="0"/>
              <w:spacing w:line="360" w:lineRule="auto"/>
              <w:rPr>
                <w:rFonts w:hint="eastAsia" w:cs="仿宋" w:asciiTheme="minorEastAsia" w:hAnsiTheme="minorEastAsia"/>
                <w:bCs/>
                <w:caps/>
                <w:sz w:val="24"/>
              </w:rPr>
            </w:pPr>
            <w:r>
              <w:rPr>
                <w:rFonts w:hint="eastAsia" w:cs="仿宋" w:asciiTheme="minorEastAsia" w:hAnsiTheme="minorEastAsia"/>
                <w:bCs/>
                <w:caps/>
                <w:sz w:val="24"/>
              </w:rPr>
              <w:t>应急方案</w:t>
            </w:r>
          </w:p>
        </w:tc>
        <w:tc>
          <w:tcPr>
            <w:tcW w:w="982" w:type="dxa"/>
            <w:vAlign w:val="center"/>
          </w:tcPr>
          <w:p>
            <w:pPr>
              <w:snapToGrid w:val="0"/>
              <w:spacing w:line="360" w:lineRule="auto"/>
              <w:jc w:val="center"/>
              <w:rPr>
                <w:rFonts w:cs="仿宋" w:asciiTheme="minorEastAsia" w:hAnsiTheme="minorEastAsia"/>
                <w:sz w:val="24"/>
              </w:rPr>
            </w:pPr>
          </w:p>
        </w:tc>
        <w:tc>
          <w:tcPr>
            <w:tcW w:w="1074" w:type="dxa"/>
            <w:vAlign w:val="center"/>
          </w:tcPr>
          <w:p>
            <w:pPr>
              <w:snapToGrid w:val="0"/>
              <w:spacing w:line="360" w:lineRule="auto"/>
              <w:jc w:val="center"/>
              <w:rPr>
                <w:rFonts w:hint="eastAsia" w:cs="仿宋_GB2312" w:asciiTheme="minorEastAsia" w:hAnsiTheme="minorEastAsia"/>
                <w:bCs/>
                <w:sz w:val="24"/>
              </w:rPr>
            </w:pP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8.1</w:t>
            </w:r>
          </w:p>
        </w:tc>
        <w:tc>
          <w:tcPr>
            <w:tcW w:w="4754" w:type="dxa"/>
            <w:vAlign w:val="center"/>
          </w:tcPr>
          <w:p>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对于突发事件的响应时间及处理时间的响应承诺情况。</w:t>
            </w:r>
            <w:r>
              <w:rPr>
                <w:rFonts w:hint="eastAsia" w:cs="宋体" w:asciiTheme="minorEastAsia" w:hAnsiTheme="minorEastAsia"/>
                <w:kern w:val="0"/>
                <w:sz w:val="24"/>
              </w:rPr>
              <w:t>方案完整且切实可行符合采购人需求的得</w:t>
            </w:r>
            <w:r>
              <w:rPr>
                <w:rFonts w:hint="eastAsia" w:cs="宋体" w:asciiTheme="minorEastAsia" w:hAnsiTheme="minorEastAsia"/>
                <w:kern w:val="0"/>
                <w:sz w:val="24"/>
                <w:lang w:val="en-US" w:eastAsia="zh-CN"/>
              </w:rPr>
              <w:t>4</w:t>
            </w:r>
            <w:r>
              <w:rPr>
                <w:rFonts w:hint="eastAsia" w:cs="宋体" w:asciiTheme="minorEastAsia" w:hAnsiTheme="minorEastAsia"/>
                <w:kern w:val="0"/>
                <w:sz w:val="24"/>
              </w:rPr>
              <w:t>分，方案完整，可行性一般，基本满足采购人需求的得</w:t>
            </w:r>
            <w:r>
              <w:rPr>
                <w:rFonts w:cs="宋体" w:asciiTheme="minorEastAsia" w:hAnsiTheme="minorEastAsia"/>
                <w:kern w:val="0"/>
                <w:sz w:val="24"/>
              </w:rPr>
              <w:t>2</w:t>
            </w:r>
            <w:r>
              <w:rPr>
                <w:rFonts w:hint="eastAsia" w:cs="宋体" w:asciiTheme="minorEastAsia" w:hAnsiTheme="minorEastAsia"/>
                <w:kern w:val="0"/>
                <w:sz w:val="24"/>
              </w:rPr>
              <w:t>分，方案有所偏离的得1分，方案不能满足招标人需求或无方案的不得分。</w:t>
            </w:r>
          </w:p>
        </w:tc>
        <w:tc>
          <w:tcPr>
            <w:tcW w:w="982" w:type="dxa"/>
            <w:vAlign w:val="center"/>
          </w:tcPr>
          <w:p>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8.2</w:t>
            </w:r>
          </w:p>
        </w:tc>
        <w:tc>
          <w:tcPr>
            <w:tcW w:w="4754" w:type="dxa"/>
            <w:vAlign w:val="center"/>
          </w:tcPr>
          <w:p>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对突发事件（包括发生灾害性天气及其他突发事件）时的紧急预案。</w:t>
            </w:r>
            <w:r>
              <w:rPr>
                <w:rFonts w:hint="eastAsia" w:cs="宋体" w:asciiTheme="minorEastAsia" w:hAnsiTheme="minorEastAsia"/>
                <w:kern w:val="0"/>
                <w:sz w:val="24"/>
              </w:rPr>
              <w:t>方案完整且切实可行符合采购人需求的得</w:t>
            </w:r>
            <w:r>
              <w:rPr>
                <w:rFonts w:hint="eastAsia" w:cs="宋体" w:asciiTheme="minorEastAsia" w:hAnsiTheme="minorEastAsia"/>
                <w:kern w:val="0"/>
                <w:sz w:val="24"/>
                <w:lang w:val="en-US" w:eastAsia="zh-CN"/>
              </w:rPr>
              <w:t>4</w:t>
            </w:r>
            <w:r>
              <w:rPr>
                <w:rFonts w:hint="eastAsia" w:cs="宋体" w:asciiTheme="minorEastAsia" w:hAnsiTheme="minorEastAsia"/>
                <w:kern w:val="0"/>
                <w:sz w:val="24"/>
              </w:rPr>
              <w:t>分，方案完整，可行性一般，基本满足采购人需求的得2分，方案有所偏离的得1分，方案不能满足招标人需求或无方案的不得分。</w:t>
            </w:r>
          </w:p>
        </w:tc>
        <w:tc>
          <w:tcPr>
            <w:tcW w:w="982" w:type="dxa"/>
            <w:vAlign w:val="center"/>
          </w:tcPr>
          <w:p>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8.3</w:t>
            </w:r>
          </w:p>
        </w:tc>
        <w:tc>
          <w:tcPr>
            <w:tcW w:w="4754" w:type="dxa"/>
            <w:vAlign w:val="center"/>
          </w:tcPr>
          <w:p>
            <w:pPr>
              <w:spacing w:line="360" w:lineRule="auto"/>
              <w:jc w:val="left"/>
              <w:rPr>
                <w:rFonts w:cs="仿宋" w:asciiTheme="minorEastAsia" w:hAnsiTheme="minorEastAsia"/>
                <w:bCs/>
                <w:caps/>
                <w:sz w:val="24"/>
              </w:rPr>
            </w:pPr>
            <w:r>
              <w:rPr>
                <w:rFonts w:hint="eastAsia" w:cs="仿宋" w:asciiTheme="minorEastAsia" w:hAnsiTheme="minorEastAsia"/>
                <w:bCs/>
                <w:caps/>
                <w:sz w:val="24"/>
              </w:rPr>
              <w:t>对保安服务区域内安全防范措施、消防等紧急预案。</w:t>
            </w:r>
            <w:r>
              <w:rPr>
                <w:rFonts w:hint="eastAsia" w:cs="宋体" w:asciiTheme="minorEastAsia" w:hAnsiTheme="minorEastAsia"/>
                <w:kern w:val="0"/>
                <w:sz w:val="24"/>
              </w:rPr>
              <w:t>方案完整且切实可行符合采购人需求的得</w:t>
            </w:r>
            <w:r>
              <w:rPr>
                <w:rFonts w:hint="eastAsia" w:cs="宋体" w:asciiTheme="minorEastAsia" w:hAnsiTheme="minorEastAsia"/>
                <w:kern w:val="0"/>
                <w:sz w:val="24"/>
                <w:lang w:val="en-US" w:eastAsia="zh-CN"/>
              </w:rPr>
              <w:t>4</w:t>
            </w:r>
            <w:r>
              <w:rPr>
                <w:rFonts w:hint="eastAsia" w:cs="宋体" w:asciiTheme="minorEastAsia" w:hAnsiTheme="minorEastAsia"/>
                <w:kern w:val="0"/>
                <w:sz w:val="24"/>
              </w:rPr>
              <w:t>分，方案完整，可行性一般，基本满足采购人需求的得2分，方案有所偏离的得1分，方案不能满足招标人需求或无方案的不得分。</w:t>
            </w:r>
          </w:p>
        </w:tc>
        <w:tc>
          <w:tcPr>
            <w:tcW w:w="982" w:type="dxa"/>
            <w:vAlign w:val="center"/>
          </w:tcPr>
          <w:p>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8.4</w:t>
            </w:r>
          </w:p>
        </w:tc>
        <w:tc>
          <w:tcPr>
            <w:tcW w:w="4754" w:type="dxa"/>
            <w:vAlign w:val="center"/>
          </w:tcPr>
          <w:p>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对重大活动或重要接待任务等的应急预案。</w:t>
            </w:r>
            <w:r>
              <w:rPr>
                <w:rFonts w:hint="eastAsia" w:cs="宋体" w:asciiTheme="minorEastAsia" w:hAnsiTheme="minorEastAsia"/>
                <w:kern w:val="0"/>
                <w:sz w:val="24"/>
              </w:rPr>
              <w:t>方案完整且切实可行符合采购人需求的得</w:t>
            </w:r>
            <w:r>
              <w:rPr>
                <w:rFonts w:hint="eastAsia" w:cs="宋体" w:asciiTheme="minorEastAsia" w:hAnsiTheme="minorEastAsia"/>
                <w:kern w:val="0"/>
                <w:sz w:val="24"/>
                <w:lang w:val="en-US" w:eastAsia="zh-CN"/>
              </w:rPr>
              <w:t>4</w:t>
            </w:r>
            <w:r>
              <w:rPr>
                <w:rFonts w:hint="eastAsia" w:cs="宋体" w:asciiTheme="minorEastAsia" w:hAnsiTheme="minorEastAsia"/>
                <w:kern w:val="0"/>
                <w:sz w:val="24"/>
              </w:rPr>
              <w:t>分，方案完整，可行性一般，基本满足采购人需求的得2分，方案有所偏离的得1分，方案不能满足招标人需求或无方案的不得分。</w:t>
            </w:r>
          </w:p>
        </w:tc>
        <w:tc>
          <w:tcPr>
            <w:tcW w:w="982" w:type="dxa"/>
            <w:vAlign w:val="center"/>
          </w:tcPr>
          <w:p>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96" w:type="dxa"/>
            <w:vAlign w:val="center"/>
          </w:tcPr>
          <w:p>
            <w:pPr>
              <w:widowControl/>
              <w:jc w:val="center"/>
              <w:textAlignment w:val="center"/>
              <w:rPr>
                <w:rFonts w:hint="default" w:eastAsia="宋体" w:cs="宋体" w:asciiTheme="minorEastAsia" w:hAnsiTheme="minorEastAsia"/>
                <w:color w:val="000000"/>
                <w:kern w:val="0"/>
                <w:sz w:val="22"/>
                <w:szCs w:val="22"/>
                <w:lang w:val="en-US" w:eastAsia="zh-CN" w:bidi="ar"/>
              </w:rPr>
            </w:pPr>
            <w:r>
              <w:rPr>
                <w:rFonts w:hint="eastAsia" w:cs="宋体" w:asciiTheme="minorEastAsia" w:hAnsiTheme="minorEastAsia"/>
                <w:color w:val="000000"/>
                <w:kern w:val="0"/>
                <w:sz w:val="22"/>
                <w:szCs w:val="22"/>
                <w:lang w:val="en-US" w:eastAsia="zh-CN" w:bidi="ar"/>
              </w:rPr>
              <w:t>9</w:t>
            </w:r>
          </w:p>
        </w:tc>
        <w:tc>
          <w:tcPr>
            <w:tcW w:w="4754" w:type="dxa"/>
            <w:vAlign w:val="center"/>
          </w:tcPr>
          <w:p>
            <w:pPr>
              <w:spacing w:line="360" w:lineRule="auto"/>
              <w:jc w:val="left"/>
              <w:rPr>
                <w:rFonts w:hint="eastAsia" w:eastAsia="宋体" w:cs="仿宋" w:asciiTheme="minorEastAsia" w:hAnsiTheme="minorEastAsia"/>
                <w:bCs/>
                <w:caps/>
                <w:sz w:val="24"/>
                <w:lang w:eastAsia="zh-CN"/>
              </w:rPr>
            </w:pPr>
            <w:r>
              <w:rPr>
                <w:rFonts w:hint="eastAsia" w:cs="仿宋" w:asciiTheme="minorEastAsia" w:hAnsiTheme="minorEastAsia"/>
                <w:bCs/>
                <w:caps/>
                <w:sz w:val="24"/>
              </w:rPr>
              <w:t>应急服务支持能力</w:t>
            </w:r>
            <w:r>
              <w:rPr>
                <w:rFonts w:hint="eastAsia" w:cs="仿宋" w:asciiTheme="minorEastAsia" w:hAnsiTheme="minorEastAsia"/>
                <w:bCs/>
                <w:caps/>
                <w:sz w:val="24"/>
                <w:lang w:eastAsia="zh-CN"/>
              </w:rPr>
              <w:t>：</w:t>
            </w:r>
            <w:r>
              <w:rPr>
                <w:rFonts w:hint="eastAsia" w:cs="仿宋" w:asciiTheme="minorEastAsia" w:hAnsiTheme="minorEastAsia"/>
                <w:bCs/>
                <w:caps/>
                <w:color w:val="auto"/>
                <w:sz w:val="24"/>
              </w:rPr>
              <w:t>在特殊应急需要时，能迅速派出周边驻点足够数量的有经验的增援人员，投标人对应急处置突发能力进行具体阐述。内容</w:t>
            </w:r>
            <w:r>
              <w:rPr>
                <w:rFonts w:hint="eastAsia" w:cs="宋体" w:asciiTheme="minorEastAsia" w:hAnsiTheme="minorEastAsia"/>
                <w:color w:val="auto"/>
                <w:kern w:val="0"/>
                <w:sz w:val="24"/>
              </w:rPr>
              <w:t>完整且切实可行符合采购人需求的得</w:t>
            </w:r>
            <w:r>
              <w:rPr>
                <w:rFonts w:hint="eastAsia" w:cs="宋体" w:asciiTheme="minorEastAsia" w:hAnsiTheme="minorEastAsia"/>
                <w:color w:val="auto"/>
                <w:kern w:val="0"/>
                <w:sz w:val="24"/>
                <w:lang w:val="en-US" w:eastAsia="zh-CN"/>
              </w:rPr>
              <w:t>4</w:t>
            </w:r>
            <w:r>
              <w:rPr>
                <w:rFonts w:hint="eastAsia" w:cs="宋体" w:asciiTheme="minorEastAsia" w:hAnsiTheme="minorEastAsia"/>
                <w:color w:val="auto"/>
                <w:kern w:val="0"/>
                <w:sz w:val="24"/>
              </w:rPr>
              <w:t>分，</w:t>
            </w:r>
            <w:r>
              <w:rPr>
                <w:rFonts w:hint="eastAsia" w:cs="仿宋" w:asciiTheme="minorEastAsia" w:hAnsiTheme="minorEastAsia"/>
                <w:bCs/>
                <w:caps/>
                <w:color w:val="auto"/>
                <w:sz w:val="24"/>
              </w:rPr>
              <w:t>内容</w:t>
            </w:r>
            <w:r>
              <w:rPr>
                <w:rFonts w:hint="eastAsia" w:cs="宋体" w:asciiTheme="minorEastAsia" w:hAnsiTheme="minorEastAsia"/>
                <w:color w:val="auto"/>
                <w:kern w:val="0"/>
                <w:sz w:val="24"/>
              </w:rPr>
              <w:t>完整，可行性一般，基本满足采购人需求的得2分，</w:t>
            </w:r>
            <w:r>
              <w:rPr>
                <w:rFonts w:hint="eastAsia" w:cs="仿宋" w:asciiTheme="minorEastAsia" w:hAnsiTheme="minorEastAsia"/>
                <w:bCs/>
                <w:caps/>
                <w:color w:val="auto"/>
                <w:sz w:val="24"/>
              </w:rPr>
              <w:t>内容</w:t>
            </w:r>
            <w:r>
              <w:rPr>
                <w:rFonts w:hint="eastAsia" w:cs="宋体" w:asciiTheme="minorEastAsia" w:hAnsiTheme="minorEastAsia"/>
                <w:color w:val="auto"/>
                <w:kern w:val="0"/>
                <w:sz w:val="24"/>
              </w:rPr>
              <w:t>有所偏离的得1分，</w:t>
            </w:r>
            <w:r>
              <w:rPr>
                <w:rFonts w:hint="eastAsia" w:cs="仿宋" w:asciiTheme="minorEastAsia" w:hAnsiTheme="minorEastAsia"/>
                <w:bCs/>
                <w:caps/>
                <w:color w:val="auto"/>
                <w:sz w:val="24"/>
              </w:rPr>
              <w:t>内容</w:t>
            </w:r>
            <w:r>
              <w:rPr>
                <w:rFonts w:hint="eastAsia" w:cs="宋体" w:asciiTheme="minorEastAsia" w:hAnsiTheme="minorEastAsia"/>
                <w:color w:val="auto"/>
                <w:kern w:val="0"/>
                <w:sz w:val="24"/>
              </w:rPr>
              <w:t>不能满足招标人需求或无</w:t>
            </w:r>
            <w:r>
              <w:rPr>
                <w:rFonts w:hint="eastAsia" w:cs="仿宋" w:asciiTheme="minorEastAsia" w:hAnsiTheme="minorEastAsia"/>
                <w:bCs/>
                <w:caps/>
                <w:color w:val="auto"/>
                <w:sz w:val="24"/>
              </w:rPr>
              <w:t>内容或未提供相关证明材料</w:t>
            </w:r>
            <w:r>
              <w:rPr>
                <w:rFonts w:hint="eastAsia" w:cs="宋体" w:asciiTheme="minorEastAsia" w:hAnsiTheme="minorEastAsia"/>
                <w:color w:val="auto"/>
                <w:kern w:val="0"/>
                <w:sz w:val="24"/>
              </w:rPr>
              <w:t>的不得分。</w:t>
            </w:r>
          </w:p>
        </w:tc>
        <w:tc>
          <w:tcPr>
            <w:tcW w:w="982" w:type="dxa"/>
            <w:shd w:val="clear" w:color="auto" w:fill="auto"/>
            <w:vAlign w:val="center"/>
          </w:tcPr>
          <w:p>
            <w:pPr>
              <w:snapToGrid w:val="0"/>
              <w:spacing w:line="360" w:lineRule="auto"/>
              <w:jc w:val="center"/>
              <w:rPr>
                <w:rFonts w:hint="eastAsia" w:eastAsia="宋体" w:cs="仿宋" w:asciiTheme="minorEastAsia" w:hAnsiTheme="minorEastAsia"/>
                <w:color w:val="auto"/>
                <w:kern w:val="2"/>
                <w:sz w:val="24"/>
                <w:szCs w:val="24"/>
                <w:lang w:val="en-US" w:eastAsia="zh-CN" w:bidi="ar-SA"/>
              </w:rPr>
            </w:pPr>
            <w:r>
              <w:rPr>
                <w:rFonts w:hint="eastAsia" w:cs="仿宋" w:asciiTheme="minorEastAsia" w:hAnsiTheme="minorEastAsia"/>
                <w:color w:val="auto"/>
                <w:sz w:val="24"/>
                <w:lang w:val="en-US" w:eastAsia="zh-CN"/>
              </w:rPr>
              <w:t>4</w:t>
            </w:r>
          </w:p>
        </w:tc>
        <w:tc>
          <w:tcPr>
            <w:tcW w:w="1074" w:type="dxa"/>
            <w:shd w:val="clear" w:color="auto" w:fill="auto"/>
            <w:vAlign w:val="center"/>
          </w:tcPr>
          <w:p>
            <w:pPr>
              <w:snapToGrid w:val="0"/>
              <w:spacing w:line="360" w:lineRule="auto"/>
              <w:jc w:val="center"/>
              <w:rPr>
                <w:rFonts w:hint="eastAsia" w:eastAsia="宋体" w:cs="仿宋_GB2312" w:asciiTheme="minorEastAsia" w:hAnsiTheme="minorEastAsia"/>
                <w:kern w:val="2"/>
                <w:sz w:val="24"/>
                <w:szCs w:val="24"/>
                <w:lang w:val="en-US" w:eastAsia="zh-CN" w:bidi="ar-SA"/>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eastAsia" w:eastAsia="宋体" w:cs="仿宋_GB2312" w:asciiTheme="minorEastAsia" w:hAnsiTheme="minorEastAsia"/>
                <w:sz w:val="24"/>
                <w:lang w:eastAsia="zh-CN"/>
              </w:rPr>
            </w:pPr>
            <w:r>
              <w:rPr>
                <w:rFonts w:hint="eastAsia" w:cs="宋体" w:asciiTheme="minorEastAsia" w:hAnsiTheme="minorEastAsia"/>
                <w:color w:val="000000"/>
                <w:kern w:val="0"/>
                <w:sz w:val="22"/>
                <w:szCs w:val="22"/>
                <w:lang w:bidi="ar"/>
              </w:rPr>
              <w:t>1</w:t>
            </w:r>
            <w:r>
              <w:rPr>
                <w:rFonts w:hint="eastAsia" w:cs="宋体" w:asciiTheme="minorEastAsia" w:hAnsiTheme="minorEastAsia"/>
                <w:color w:val="000000"/>
                <w:kern w:val="0"/>
                <w:sz w:val="22"/>
                <w:szCs w:val="22"/>
                <w:lang w:val="en-US" w:eastAsia="zh-CN" w:bidi="ar"/>
              </w:rPr>
              <w:t>0</w:t>
            </w:r>
          </w:p>
        </w:tc>
        <w:tc>
          <w:tcPr>
            <w:tcW w:w="4754" w:type="dxa"/>
            <w:vAlign w:val="center"/>
          </w:tcPr>
          <w:p>
            <w:pPr>
              <w:snapToGrid w:val="0"/>
              <w:spacing w:line="360" w:lineRule="auto"/>
              <w:ind w:right="-21" w:rightChars="-10"/>
              <w:rPr>
                <w:rFonts w:cs="仿宋" w:asciiTheme="minorEastAsia" w:hAnsiTheme="minorEastAsia"/>
                <w:color w:val="auto"/>
                <w:sz w:val="24"/>
              </w:rPr>
            </w:pPr>
            <w:r>
              <w:rPr>
                <w:rFonts w:hint="eastAsia" w:cs="仿宋" w:asciiTheme="minorEastAsia" w:hAnsiTheme="minorEastAsia"/>
                <w:bCs/>
                <w:caps/>
                <w:color w:val="auto"/>
                <w:sz w:val="24"/>
              </w:rPr>
              <w:t>节假日员工缺岗、临时换岗调整方案、稳定员工队伍解决方案</w:t>
            </w:r>
            <w:r>
              <w:rPr>
                <w:rFonts w:hint="eastAsia" w:cs="仿宋" w:asciiTheme="minorEastAsia" w:hAnsiTheme="minorEastAsia"/>
                <w:bCs/>
                <w:caps/>
                <w:color w:val="auto"/>
                <w:sz w:val="24"/>
                <w:lang w:eastAsia="zh-CN"/>
              </w:rPr>
              <w:t>：</w:t>
            </w:r>
            <w:r>
              <w:rPr>
                <w:rFonts w:hint="eastAsia" w:cs="仿宋" w:asciiTheme="minorEastAsia" w:hAnsiTheme="minorEastAsia"/>
                <w:bCs/>
                <w:caps/>
                <w:color w:val="auto"/>
                <w:sz w:val="24"/>
              </w:rPr>
              <w:t>根据节假日员工缺岗、临时换岗调整方案、稳定员工队伍解决方案的可行性、可操作性及针对性进行综合评议。内容</w:t>
            </w:r>
            <w:r>
              <w:rPr>
                <w:rFonts w:hint="eastAsia" w:cs="宋体" w:asciiTheme="minorEastAsia" w:hAnsiTheme="minorEastAsia"/>
                <w:color w:val="auto"/>
                <w:kern w:val="0"/>
                <w:sz w:val="24"/>
              </w:rPr>
              <w:t>完整且切实可行符合采购人需求的得</w:t>
            </w:r>
            <w:r>
              <w:rPr>
                <w:rFonts w:hint="eastAsia" w:cs="宋体" w:asciiTheme="minorEastAsia" w:hAnsiTheme="minorEastAsia"/>
                <w:color w:val="auto"/>
                <w:kern w:val="0"/>
                <w:sz w:val="24"/>
                <w:lang w:val="en-US" w:eastAsia="zh-CN"/>
              </w:rPr>
              <w:t>4</w:t>
            </w:r>
            <w:r>
              <w:rPr>
                <w:rFonts w:hint="eastAsia" w:cs="宋体" w:asciiTheme="minorEastAsia" w:hAnsiTheme="minorEastAsia"/>
                <w:color w:val="auto"/>
                <w:kern w:val="0"/>
                <w:sz w:val="24"/>
              </w:rPr>
              <w:t>分，</w:t>
            </w:r>
            <w:r>
              <w:rPr>
                <w:rFonts w:hint="eastAsia" w:cs="仿宋" w:asciiTheme="minorEastAsia" w:hAnsiTheme="minorEastAsia"/>
                <w:bCs/>
                <w:caps/>
                <w:color w:val="auto"/>
                <w:sz w:val="24"/>
              </w:rPr>
              <w:t>内容</w:t>
            </w:r>
            <w:r>
              <w:rPr>
                <w:rFonts w:hint="eastAsia" w:cs="宋体" w:asciiTheme="minorEastAsia" w:hAnsiTheme="minorEastAsia"/>
                <w:color w:val="auto"/>
                <w:kern w:val="0"/>
                <w:sz w:val="24"/>
              </w:rPr>
              <w:t>完整，可行性一般，基本满足采购人需求的得</w:t>
            </w:r>
            <w:r>
              <w:rPr>
                <w:rFonts w:hint="eastAsia" w:cs="宋体" w:asciiTheme="minorEastAsia" w:hAnsiTheme="minorEastAsia"/>
                <w:color w:val="auto"/>
                <w:kern w:val="0"/>
                <w:sz w:val="24"/>
                <w:lang w:val="en-US" w:eastAsia="zh-CN"/>
              </w:rPr>
              <w:t>2</w:t>
            </w:r>
            <w:r>
              <w:rPr>
                <w:rFonts w:hint="eastAsia" w:cs="宋体" w:asciiTheme="minorEastAsia" w:hAnsiTheme="minorEastAsia"/>
                <w:color w:val="auto"/>
                <w:kern w:val="0"/>
                <w:sz w:val="24"/>
              </w:rPr>
              <w:t>分，</w:t>
            </w:r>
            <w:r>
              <w:rPr>
                <w:rFonts w:hint="eastAsia" w:cs="仿宋" w:asciiTheme="minorEastAsia" w:hAnsiTheme="minorEastAsia"/>
                <w:bCs/>
                <w:caps/>
                <w:color w:val="auto"/>
                <w:sz w:val="24"/>
              </w:rPr>
              <w:t>内容</w:t>
            </w:r>
            <w:r>
              <w:rPr>
                <w:rFonts w:hint="eastAsia" w:cs="宋体" w:asciiTheme="minorEastAsia" w:hAnsiTheme="minorEastAsia"/>
                <w:color w:val="auto"/>
                <w:kern w:val="0"/>
                <w:sz w:val="24"/>
              </w:rPr>
              <w:t>有所偏离的得1分，</w:t>
            </w:r>
            <w:r>
              <w:rPr>
                <w:rFonts w:hint="eastAsia" w:cs="仿宋" w:asciiTheme="minorEastAsia" w:hAnsiTheme="minorEastAsia"/>
                <w:bCs/>
                <w:caps/>
                <w:color w:val="auto"/>
                <w:sz w:val="24"/>
              </w:rPr>
              <w:t>内容</w:t>
            </w:r>
            <w:r>
              <w:rPr>
                <w:rFonts w:hint="eastAsia" w:cs="宋体" w:asciiTheme="minorEastAsia" w:hAnsiTheme="minorEastAsia"/>
                <w:color w:val="auto"/>
                <w:kern w:val="0"/>
                <w:sz w:val="24"/>
              </w:rPr>
              <w:t>不能满足招标人需求或无</w:t>
            </w:r>
            <w:r>
              <w:rPr>
                <w:rFonts w:hint="eastAsia" w:cs="仿宋" w:asciiTheme="minorEastAsia" w:hAnsiTheme="minorEastAsia"/>
                <w:bCs/>
                <w:caps/>
                <w:color w:val="auto"/>
                <w:sz w:val="24"/>
              </w:rPr>
              <w:t>内容</w:t>
            </w:r>
            <w:r>
              <w:rPr>
                <w:rFonts w:hint="eastAsia" w:cs="宋体" w:asciiTheme="minorEastAsia" w:hAnsiTheme="minorEastAsia"/>
                <w:color w:val="auto"/>
                <w:kern w:val="0"/>
                <w:sz w:val="24"/>
              </w:rPr>
              <w:t>的不得分。</w:t>
            </w:r>
          </w:p>
        </w:tc>
        <w:tc>
          <w:tcPr>
            <w:tcW w:w="982" w:type="dxa"/>
            <w:vAlign w:val="center"/>
          </w:tcPr>
          <w:p>
            <w:pPr>
              <w:snapToGrid w:val="0"/>
              <w:spacing w:line="360" w:lineRule="auto"/>
              <w:jc w:val="center"/>
              <w:rPr>
                <w:rFonts w:hint="eastAsia" w:eastAsia="宋体" w:cs="仿宋" w:asciiTheme="minorEastAsia" w:hAnsiTheme="minorEastAsia"/>
                <w:color w:val="auto"/>
                <w:sz w:val="24"/>
                <w:lang w:eastAsia="zh-CN"/>
              </w:rPr>
            </w:pPr>
            <w:r>
              <w:rPr>
                <w:rFonts w:hint="eastAsia" w:cs="仿宋" w:asciiTheme="minorEastAsia" w:hAnsiTheme="minorEastAsia"/>
                <w:color w:val="auto"/>
                <w:sz w:val="24"/>
                <w:lang w:val="en-US" w:eastAsia="zh-CN"/>
              </w:rPr>
              <w:t>4</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6" w:type="dxa"/>
            <w:vAlign w:val="center"/>
          </w:tcPr>
          <w:p>
            <w:pPr>
              <w:widowControl/>
              <w:jc w:val="center"/>
              <w:textAlignment w:val="center"/>
              <w:rPr>
                <w:rFonts w:hint="default" w:eastAsia="宋体" w:cs="宋体" w:asciiTheme="minorEastAsia" w:hAnsiTheme="minorEastAsia"/>
                <w:color w:val="000000"/>
                <w:kern w:val="0"/>
                <w:sz w:val="22"/>
                <w:szCs w:val="22"/>
                <w:lang w:val="en-US" w:eastAsia="zh-CN" w:bidi="ar"/>
              </w:rPr>
            </w:pPr>
            <w:r>
              <w:rPr>
                <w:rFonts w:hint="eastAsia" w:cs="宋体" w:asciiTheme="minorEastAsia" w:hAnsiTheme="minorEastAsia"/>
                <w:color w:val="000000"/>
                <w:kern w:val="0"/>
                <w:sz w:val="22"/>
                <w:szCs w:val="22"/>
                <w:lang w:val="en-US" w:eastAsia="zh-CN" w:bidi="ar"/>
              </w:rPr>
              <w:t>11</w:t>
            </w:r>
          </w:p>
        </w:tc>
        <w:tc>
          <w:tcPr>
            <w:tcW w:w="4754" w:type="dxa"/>
            <w:vAlign w:val="center"/>
          </w:tcPr>
          <w:p>
            <w:pPr>
              <w:spacing w:line="360" w:lineRule="auto"/>
              <w:jc w:val="left"/>
              <w:rPr>
                <w:rFonts w:hint="eastAsia" w:cs="仿宋" w:asciiTheme="minorEastAsia" w:hAnsiTheme="minorEastAsia"/>
                <w:bCs/>
                <w:caps/>
                <w:sz w:val="24"/>
              </w:rPr>
            </w:pPr>
            <w:r>
              <w:rPr>
                <w:rFonts w:hint="eastAsia" w:cs="仿宋" w:asciiTheme="minorEastAsia" w:hAnsiTheme="minorEastAsia"/>
                <w:bCs/>
                <w:caps/>
                <w:sz w:val="24"/>
              </w:rPr>
              <w:t>拟投入使用的服装、设备、工器具的储备情况</w:t>
            </w:r>
          </w:p>
        </w:tc>
        <w:tc>
          <w:tcPr>
            <w:tcW w:w="982" w:type="dxa"/>
            <w:vAlign w:val="center"/>
          </w:tcPr>
          <w:p>
            <w:pPr>
              <w:snapToGrid w:val="0"/>
              <w:spacing w:line="360" w:lineRule="auto"/>
              <w:jc w:val="center"/>
              <w:rPr>
                <w:rFonts w:hint="eastAsia" w:cs="仿宋" w:asciiTheme="minorEastAsia" w:hAnsiTheme="minorEastAsia"/>
                <w:sz w:val="24"/>
              </w:rPr>
            </w:pPr>
          </w:p>
        </w:tc>
        <w:tc>
          <w:tcPr>
            <w:tcW w:w="1074" w:type="dxa"/>
            <w:vAlign w:val="center"/>
          </w:tcPr>
          <w:p>
            <w:pPr>
              <w:snapToGrid w:val="0"/>
              <w:spacing w:line="360" w:lineRule="auto"/>
              <w:jc w:val="center"/>
              <w:rPr>
                <w:rFonts w:hint="eastAsia" w:cs="仿宋_GB2312" w:asciiTheme="minorEastAsia" w:hAnsiTheme="minorEastAsia"/>
                <w:bCs/>
                <w:sz w:val="24"/>
              </w:rPr>
            </w:pP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宋体" w:asciiTheme="minorEastAsia" w:hAnsiTheme="minorEastAsia"/>
                <w:color w:val="000000"/>
                <w:kern w:val="0"/>
                <w:sz w:val="22"/>
                <w:szCs w:val="22"/>
                <w:lang w:bidi="ar"/>
              </w:rPr>
              <w:t>1</w:t>
            </w:r>
            <w:r>
              <w:rPr>
                <w:rFonts w:hint="eastAsia" w:cs="宋体" w:asciiTheme="minorEastAsia" w:hAnsiTheme="minorEastAsia"/>
                <w:color w:val="000000"/>
                <w:kern w:val="0"/>
                <w:sz w:val="22"/>
                <w:szCs w:val="22"/>
                <w:lang w:val="en-US" w:eastAsia="zh-CN" w:bidi="ar"/>
              </w:rPr>
              <w:t>1.1</w:t>
            </w:r>
          </w:p>
        </w:tc>
        <w:tc>
          <w:tcPr>
            <w:tcW w:w="4754" w:type="dxa"/>
            <w:vAlign w:val="center"/>
          </w:tcPr>
          <w:p>
            <w:pPr>
              <w:spacing w:line="360" w:lineRule="auto"/>
              <w:jc w:val="left"/>
              <w:rPr>
                <w:rFonts w:cs="仿宋" w:asciiTheme="minorEastAsia" w:hAnsiTheme="minorEastAsia"/>
                <w:sz w:val="24"/>
              </w:rPr>
            </w:pPr>
            <w:r>
              <w:rPr>
                <w:rFonts w:hint="eastAsia" w:cs="仿宋" w:asciiTheme="minorEastAsia" w:hAnsiTheme="minorEastAsia"/>
                <w:bCs/>
                <w:caps/>
                <w:sz w:val="24"/>
              </w:rPr>
              <w:t>人员的各季节服装、防暑防雨用品配备情况。配备完善</w:t>
            </w:r>
            <w:r>
              <w:rPr>
                <w:rFonts w:hint="eastAsia" w:cs="宋体" w:asciiTheme="minorEastAsia" w:hAnsiTheme="minorEastAsia"/>
                <w:kern w:val="0"/>
                <w:sz w:val="24"/>
              </w:rPr>
              <w:t>符合采购人需求的得2分，相关配备基本满足采购人需求的得1分。</w:t>
            </w:r>
          </w:p>
        </w:tc>
        <w:tc>
          <w:tcPr>
            <w:tcW w:w="982"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2</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widowControl/>
              <w:jc w:val="center"/>
              <w:textAlignment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11.2</w:t>
            </w:r>
          </w:p>
        </w:tc>
        <w:tc>
          <w:tcPr>
            <w:tcW w:w="4754" w:type="dxa"/>
            <w:vAlign w:val="center"/>
          </w:tcPr>
          <w:p>
            <w:pPr>
              <w:snapToGrid w:val="0"/>
              <w:spacing w:line="360" w:lineRule="auto"/>
              <w:ind w:right="-21" w:rightChars="-10"/>
              <w:rPr>
                <w:rFonts w:cs="仿宋" w:asciiTheme="minorEastAsia" w:hAnsiTheme="minorEastAsia"/>
                <w:bCs/>
                <w:caps/>
                <w:color w:val="auto"/>
                <w:sz w:val="24"/>
              </w:rPr>
            </w:pPr>
            <w:r>
              <w:rPr>
                <w:rFonts w:hint="eastAsia" w:cs="仿宋" w:asciiTheme="minorEastAsia" w:hAnsiTheme="minorEastAsia"/>
                <w:bCs/>
                <w:caps/>
                <w:color w:val="auto"/>
                <w:sz w:val="24"/>
              </w:rPr>
              <w:t>人员的通讯器材、装备配置情况。配备完善</w:t>
            </w:r>
            <w:r>
              <w:rPr>
                <w:rFonts w:hint="eastAsia" w:cs="宋体" w:asciiTheme="minorEastAsia" w:hAnsiTheme="minorEastAsia"/>
                <w:color w:val="auto"/>
                <w:kern w:val="0"/>
                <w:sz w:val="24"/>
              </w:rPr>
              <w:t>符合采购人需求的得</w:t>
            </w:r>
            <w:r>
              <w:rPr>
                <w:rFonts w:hint="eastAsia" w:cs="宋体" w:asciiTheme="minorEastAsia" w:hAnsiTheme="minorEastAsia"/>
                <w:color w:val="auto"/>
                <w:kern w:val="0"/>
                <w:sz w:val="24"/>
                <w:lang w:val="en-US" w:eastAsia="zh-CN"/>
              </w:rPr>
              <w:t>2</w:t>
            </w:r>
            <w:r>
              <w:rPr>
                <w:rFonts w:hint="eastAsia" w:cs="宋体" w:asciiTheme="minorEastAsia" w:hAnsiTheme="minorEastAsia"/>
                <w:color w:val="auto"/>
                <w:kern w:val="0"/>
                <w:sz w:val="24"/>
              </w:rPr>
              <w:t>分，相关配备基本满足采购人需求的得</w:t>
            </w:r>
            <w:r>
              <w:rPr>
                <w:rFonts w:hint="eastAsia" w:cs="宋体" w:asciiTheme="minorEastAsia" w:hAnsiTheme="minorEastAsia"/>
                <w:color w:val="auto"/>
                <w:kern w:val="0"/>
                <w:sz w:val="24"/>
                <w:lang w:val="en-US" w:eastAsia="zh-CN"/>
              </w:rPr>
              <w:t>1</w:t>
            </w:r>
            <w:r>
              <w:rPr>
                <w:rFonts w:hint="eastAsia" w:cs="宋体" w:asciiTheme="minorEastAsia" w:hAnsiTheme="minorEastAsia"/>
                <w:color w:val="auto"/>
                <w:kern w:val="0"/>
                <w:sz w:val="24"/>
              </w:rPr>
              <w:t>分。</w:t>
            </w:r>
          </w:p>
        </w:tc>
        <w:tc>
          <w:tcPr>
            <w:tcW w:w="982" w:type="dxa"/>
            <w:vAlign w:val="center"/>
          </w:tcPr>
          <w:p>
            <w:pPr>
              <w:snapToGrid w:val="0"/>
              <w:spacing w:line="360" w:lineRule="auto"/>
              <w:jc w:val="center"/>
              <w:rPr>
                <w:rFonts w:hint="eastAsia" w:eastAsia="宋体" w:cs="仿宋" w:asciiTheme="minorEastAsia" w:hAnsiTheme="minorEastAsia"/>
                <w:color w:val="auto"/>
                <w:sz w:val="24"/>
                <w:lang w:eastAsia="zh-CN"/>
              </w:rPr>
            </w:pPr>
            <w:r>
              <w:rPr>
                <w:rFonts w:hint="eastAsia" w:cs="仿宋" w:asciiTheme="minorEastAsia" w:hAnsiTheme="minorEastAsia"/>
                <w:color w:val="auto"/>
                <w:sz w:val="24"/>
                <w:lang w:val="en-US" w:eastAsia="zh-CN"/>
              </w:rPr>
              <w:t>2</w:t>
            </w:r>
          </w:p>
        </w:tc>
        <w:tc>
          <w:tcPr>
            <w:tcW w:w="1074" w:type="dxa"/>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696" w:type="dxa"/>
            <w:vAlign w:val="center"/>
          </w:tcPr>
          <w:p>
            <w:pPr>
              <w:widowControl/>
              <w:jc w:val="center"/>
              <w:textAlignment w:val="center"/>
              <w:rPr>
                <w:rFonts w:hint="default" w:cs="仿宋_GB2312" w:asciiTheme="minorEastAsia" w:hAnsiTheme="minorEastAsia"/>
                <w:sz w:val="24"/>
                <w:lang w:val="en-US" w:eastAsia="zh-CN"/>
              </w:rPr>
            </w:pPr>
            <w:r>
              <w:rPr>
                <w:rFonts w:hint="eastAsia" w:cs="仿宋_GB2312" w:asciiTheme="minorEastAsia" w:hAnsiTheme="minorEastAsia"/>
                <w:sz w:val="24"/>
                <w:lang w:val="en-US" w:eastAsia="zh-CN"/>
              </w:rPr>
              <w:t>12</w:t>
            </w:r>
          </w:p>
        </w:tc>
        <w:tc>
          <w:tcPr>
            <w:tcW w:w="4754" w:type="dxa"/>
            <w:vAlign w:val="center"/>
          </w:tcPr>
          <w:p>
            <w:pPr>
              <w:snapToGrid w:val="0"/>
              <w:spacing w:line="360" w:lineRule="auto"/>
              <w:rPr>
                <w:rFonts w:hint="eastAsia" w:cs="仿宋" w:asciiTheme="minorEastAsia" w:hAnsiTheme="minorEastAsia"/>
                <w:bCs/>
                <w:caps/>
                <w:color w:val="auto"/>
                <w:sz w:val="24"/>
                <w:lang w:val="en-US" w:eastAsia="zh-CN"/>
              </w:rPr>
            </w:pPr>
            <w:r>
              <w:rPr>
                <w:rFonts w:hint="eastAsia" w:cs="仿宋" w:asciiTheme="minorEastAsia" w:hAnsiTheme="minorEastAsia"/>
                <w:bCs/>
                <w:caps/>
                <w:color w:val="auto"/>
                <w:sz w:val="24"/>
                <w:lang w:val="en-US" w:eastAsia="zh-CN"/>
              </w:rPr>
              <w:t>进退场交接方案：</w:t>
            </w:r>
          </w:p>
          <w:p>
            <w:pPr>
              <w:snapToGrid w:val="0"/>
              <w:spacing w:line="360" w:lineRule="auto"/>
              <w:rPr>
                <w:rFonts w:hint="eastAsia" w:cs="仿宋" w:asciiTheme="minorEastAsia" w:hAnsiTheme="minorEastAsia"/>
                <w:bCs/>
                <w:caps/>
                <w:sz w:val="24"/>
              </w:rPr>
            </w:pPr>
            <w:r>
              <w:rPr>
                <w:rFonts w:hint="eastAsia" w:cs="仿宋" w:asciiTheme="minorEastAsia" w:hAnsiTheme="minorEastAsia"/>
                <w:bCs/>
                <w:caps/>
                <w:color w:val="auto"/>
                <w:sz w:val="24"/>
                <w:lang w:val="en-US" w:eastAsia="zh-CN"/>
              </w:rPr>
              <w:t>根据①进场前准备措施②交接处置流程③交接突发情况保障措施等内容进行评分。方案完整且切实可行符合采购人需求的得4分，方案完整，可行性一般，基本满足采购人需求的得2分，方案有所偏离的得1分，方案不能满足招标人需求或无方案的不得分。</w:t>
            </w:r>
          </w:p>
        </w:tc>
        <w:tc>
          <w:tcPr>
            <w:tcW w:w="982" w:type="dxa"/>
            <w:vAlign w:val="center"/>
          </w:tcPr>
          <w:p>
            <w:pPr>
              <w:snapToGrid w:val="0"/>
              <w:spacing w:line="360" w:lineRule="auto"/>
              <w:jc w:val="center"/>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4</w:t>
            </w:r>
          </w:p>
        </w:tc>
        <w:tc>
          <w:tcPr>
            <w:tcW w:w="1074" w:type="dxa"/>
            <w:vAlign w:val="center"/>
          </w:tcPr>
          <w:p>
            <w:pPr>
              <w:snapToGrid w:val="0"/>
              <w:spacing w:line="360" w:lineRule="auto"/>
              <w:jc w:val="center"/>
              <w:rPr>
                <w:rFonts w:hint="eastAsia" w:eastAsia="宋体" w:cs="仿宋_GB2312" w:asciiTheme="minorEastAsia" w:hAnsiTheme="minorEastAsia"/>
                <w:bCs/>
                <w:color w:val="auto"/>
                <w:sz w:val="24"/>
                <w:lang w:val="en-US" w:eastAsia="zh-CN"/>
              </w:rPr>
            </w:pPr>
            <w:r>
              <w:rPr>
                <w:rFonts w:hint="eastAsia" w:cs="仿宋_GB2312" w:asciiTheme="minorEastAsia" w:hAnsiTheme="minorEastAsia"/>
                <w:bCs/>
                <w:color w:val="auto"/>
                <w:sz w:val="24"/>
                <w:lang w:val="en-US" w:eastAsia="zh-CN"/>
              </w:rPr>
              <w:t>主观分</w:t>
            </w:r>
          </w:p>
        </w:tc>
        <w:tc>
          <w:tcPr>
            <w:tcW w:w="1388" w:type="dxa"/>
          </w:tcPr>
          <w:p>
            <w:pPr>
              <w:snapToGrid w:val="0"/>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96" w:type="dxa"/>
            <w:vAlign w:val="center"/>
          </w:tcPr>
          <w:p>
            <w:pPr>
              <w:widowControl/>
              <w:jc w:val="center"/>
              <w:textAlignment w:val="center"/>
              <w:rPr>
                <w:rFonts w:hint="eastAsia" w:eastAsia="宋体" w:cs="仿宋_GB2312" w:asciiTheme="minorEastAsia" w:hAnsiTheme="minorEastAsia"/>
                <w:sz w:val="24"/>
                <w:lang w:val="en-US" w:eastAsia="zh-CN"/>
              </w:rPr>
            </w:pPr>
            <w:r>
              <w:rPr>
                <w:rFonts w:hint="eastAsia" w:cs="宋体" w:asciiTheme="minorEastAsia" w:hAnsiTheme="minorEastAsia"/>
                <w:color w:val="000000"/>
                <w:kern w:val="0"/>
                <w:sz w:val="22"/>
                <w:szCs w:val="22"/>
                <w:lang w:bidi="ar"/>
              </w:rPr>
              <w:t>1</w:t>
            </w:r>
            <w:r>
              <w:rPr>
                <w:rFonts w:hint="eastAsia" w:cs="宋体" w:asciiTheme="minorEastAsia" w:hAnsiTheme="minorEastAsia"/>
                <w:color w:val="000000"/>
                <w:kern w:val="0"/>
                <w:sz w:val="22"/>
                <w:szCs w:val="22"/>
                <w:lang w:val="en-US" w:eastAsia="zh-CN" w:bidi="ar"/>
              </w:rPr>
              <w:t>3</w:t>
            </w:r>
            <w:bookmarkStart w:id="526" w:name="_GoBack"/>
            <w:bookmarkEnd w:id="526"/>
          </w:p>
        </w:tc>
        <w:tc>
          <w:tcPr>
            <w:tcW w:w="4754" w:type="dxa"/>
            <w:vAlign w:val="center"/>
          </w:tcPr>
          <w:p>
            <w:pPr>
              <w:spacing w:line="360" w:lineRule="auto"/>
              <w:outlineLvl w:val="0"/>
              <w:rPr>
                <w:rFonts w:cs="仿宋_GB2312" w:asciiTheme="minorEastAsia" w:hAnsiTheme="minorEastAsia"/>
                <w:sz w:val="24"/>
              </w:rPr>
            </w:pPr>
            <w:r>
              <w:rPr>
                <w:rFonts w:hint="eastAsia" w:cs="仿宋_GB2312" w:asciiTheme="minorEastAsia" w:hAnsiTheme="minorEastAsia"/>
                <w:sz w:val="24"/>
              </w:rPr>
              <w:t>有效投标报价的最低价作为评标基准价，其最低报价为满分；按［投标报价得分</w:t>
            </w:r>
            <w:r>
              <w:rPr>
                <w:rFonts w:cs="仿宋_GB2312" w:asciiTheme="minorEastAsia" w:hAnsiTheme="minorEastAsia"/>
                <w:sz w:val="24"/>
              </w:rPr>
              <w:t>=（评标基准价/投标报价）*</w:t>
            </w:r>
            <w:r>
              <w:rPr>
                <w:rFonts w:hint="eastAsia" w:cs="仿宋_GB2312" w:asciiTheme="minorEastAsia" w:hAnsiTheme="minorEastAsia"/>
                <w:sz w:val="24"/>
              </w:rPr>
              <w:t>10</w:t>
            </w:r>
            <w:r>
              <w:rPr>
                <w:rFonts w:cs="仿宋_GB2312" w:asciiTheme="minorEastAsia" w:hAnsiTheme="minorEastAsia"/>
                <w:sz w:val="24"/>
              </w:rPr>
              <w:t>］的计算公式计算。</w:t>
            </w:r>
          </w:p>
          <w:p>
            <w:pPr>
              <w:widowControl/>
              <w:shd w:val="clear" w:color="auto" w:fill="FFFFFF"/>
              <w:spacing w:after="225" w:line="315" w:lineRule="atLeast"/>
              <w:ind w:firstLine="420"/>
              <w:rPr>
                <w:rFonts w:cs="仿宋_GB2312" w:asciiTheme="minorEastAsia" w:hAnsiTheme="minorEastAsia"/>
                <w:sz w:val="24"/>
              </w:rPr>
            </w:pPr>
            <w:r>
              <w:rPr>
                <w:rFonts w:cs="仿宋_GB2312" w:asciiTheme="minorEastAsia" w:hAnsiTheme="minorEastAsia"/>
                <w:sz w:val="24"/>
              </w:rPr>
              <w:t>评标过程中，不得去掉报价中的最高报价和最低报价</w:t>
            </w:r>
          </w:p>
        </w:tc>
        <w:tc>
          <w:tcPr>
            <w:tcW w:w="982" w:type="dxa"/>
            <w:vAlign w:val="center"/>
          </w:tcPr>
          <w:p>
            <w:pPr>
              <w:spacing w:line="360" w:lineRule="auto"/>
              <w:jc w:val="center"/>
              <w:outlineLvl w:val="0"/>
              <w:rPr>
                <w:rFonts w:cs="仿宋_GB2312" w:asciiTheme="minorEastAsia" w:hAnsiTheme="minorEastAsia"/>
                <w:sz w:val="24"/>
              </w:rPr>
            </w:pPr>
            <w:r>
              <w:rPr>
                <w:rFonts w:hint="eastAsia" w:cs="仿宋_GB2312" w:asciiTheme="minorEastAsia" w:hAnsiTheme="minorEastAsia"/>
                <w:sz w:val="24"/>
              </w:rPr>
              <w:t>10</w:t>
            </w:r>
          </w:p>
        </w:tc>
        <w:tc>
          <w:tcPr>
            <w:tcW w:w="1074" w:type="dxa"/>
            <w:vAlign w:val="center"/>
          </w:tcPr>
          <w:p>
            <w:pPr>
              <w:spacing w:line="360" w:lineRule="auto"/>
              <w:jc w:val="center"/>
              <w:outlineLvl w:val="0"/>
              <w:rPr>
                <w:rFonts w:cs="仿宋_GB2312" w:asciiTheme="minorEastAsia" w:hAnsiTheme="minorEastAsia"/>
                <w:sz w:val="24"/>
              </w:rPr>
            </w:pPr>
            <w:r>
              <w:rPr>
                <w:rFonts w:hint="eastAsia" w:cs="仿宋_GB2312" w:asciiTheme="minorEastAsia" w:hAnsiTheme="minorEastAsia"/>
                <w:sz w:val="24"/>
              </w:rPr>
              <w:t>/</w:t>
            </w:r>
          </w:p>
        </w:tc>
        <w:tc>
          <w:tcPr>
            <w:tcW w:w="1388" w:type="dxa"/>
            <w:vAlign w:val="center"/>
          </w:tcPr>
          <w:p>
            <w:pPr>
              <w:spacing w:line="360" w:lineRule="auto"/>
              <w:jc w:val="center"/>
              <w:outlineLvl w:val="0"/>
              <w:rPr>
                <w:rFonts w:cs="仿宋_GB2312" w:asciiTheme="minorEastAsia" w:hAnsiTheme="minorEastAsia"/>
                <w:sz w:val="24"/>
              </w:rPr>
            </w:pPr>
            <w:r>
              <w:rPr>
                <w:rFonts w:cs="仿宋_GB2312" w:asciiTheme="minorEastAsia" w:hAnsiTheme="minorEastAsia"/>
                <w:sz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lang w:eastAsia="zh-CN"/>
        </w:rPr>
        <w:t>—</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lang w:eastAsia="zh-CN"/>
        </w:rPr>
        <w:t>—</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tabs>
          <w:tab w:val="left" w:pos="432"/>
        </w:tabs>
        <w:ind w:left="430" w:leftChars="205"/>
        <w:outlineLvl w:val="9"/>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rPr>
      </w:pPr>
    </w:p>
    <w:bookmarkEnd w:id="27"/>
    <w:p>
      <w:pPr>
        <w:spacing w:line="360" w:lineRule="auto"/>
        <w:ind w:left="720" w:leftChars="343" w:firstLine="1084" w:firstLineChars="300"/>
        <w:outlineLvl w:val="9"/>
        <w:rPr>
          <w:rFonts w:ascii="宋体" w:hAnsi="宋体" w:cs="宋体"/>
          <w:b/>
          <w:color w:val="auto"/>
          <w:sz w:val="36"/>
          <w:szCs w:val="36"/>
        </w:rPr>
      </w:pPr>
      <w:bookmarkStart w:id="401" w:name="第五部分"/>
      <w:bookmarkStart w:id="402" w:name="_Toc86217003"/>
    </w:p>
    <w:p>
      <w:pPr>
        <w:spacing w:line="360" w:lineRule="auto"/>
        <w:ind w:left="720" w:leftChars="343" w:firstLine="1084" w:firstLineChars="300"/>
        <w:outlineLvl w:val="9"/>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9"/>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3"/>
        <w:ind w:firstLine="2843" w:firstLineChars="1180"/>
        <w:outlineLvl w:val="1"/>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tabs>
          <w:tab w:val="left" w:pos="432"/>
        </w:tabs>
        <w:outlineLvl w:val="9"/>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601"/>
        <w:spacing w:before="120" w:line="22" w:lineRule="atLeast"/>
        <w:rPr>
          <w:rFonts w:ascii="宋体" w:hAnsi="宋体" w:eastAsia="宋体" w:cs="宋体"/>
          <w:color w:val="auto"/>
          <w:szCs w:val="24"/>
        </w:rPr>
      </w:pPr>
    </w:p>
    <w:p>
      <w:pPr>
        <w:pStyle w:val="601"/>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outlineLvl w:val="9"/>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杭州殡仪馆</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杭州殡仪馆2025年安保服务项目、ZKGC-HZBYG2024-075</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outlineLvl w:val="9"/>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杭州殡仪馆</w:t>
      </w:r>
      <w:r>
        <w:rPr>
          <w:rFonts w:ascii="宋体" w:hAnsi="宋体"/>
          <w:color w:val="auto"/>
          <w:sz w:val="24"/>
          <w:u w:val="single"/>
        </w:rPr>
        <w:t xml:space="preserve">   </w:t>
      </w:r>
      <w:r>
        <w:rPr>
          <w:rFonts w:hint="eastAsia" w:ascii="宋体" w:hAnsi="宋体"/>
          <w:color w:val="auto"/>
          <w:sz w:val="24"/>
          <w:u w:val="single"/>
          <w:lang w:eastAsia="zh-CN"/>
        </w:rPr>
        <w:t>（</w:t>
      </w:r>
      <w:r>
        <w:rPr>
          <w:rFonts w:ascii="宋体" w:hAnsi="宋体"/>
          <w:color w:val="auto"/>
          <w:sz w:val="24"/>
          <w:lang w:val="zh-CN"/>
        </w:rPr>
        <w:t>以下简称：甲方</w:t>
      </w:r>
      <w:r>
        <w:rPr>
          <w:rFonts w:hint="eastAsia" w:ascii="宋体" w:hAnsi="宋体"/>
          <w:color w:val="auto"/>
          <w:sz w:val="24"/>
          <w:lang w:val="zh-CN"/>
        </w:rPr>
        <w:t>）</w:t>
      </w:r>
      <w:r>
        <w:rPr>
          <w:rFonts w:ascii="宋体" w:hAnsi="宋体"/>
          <w:color w:val="auto"/>
          <w:sz w:val="24"/>
          <w:lang w:val="zh-CN"/>
        </w:rPr>
        <w:t>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hint="eastAsia" w:ascii="宋体" w:hAnsi="宋体"/>
          <w:color w:val="auto"/>
          <w:sz w:val="24"/>
          <w:u w:val="single"/>
          <w:lang w:eastAsia="zh-CN"/>
        </w:rPr>
        <w:t>（</w:t>
      </w:r>
      <w:r>
        <w:rPr>
          <w:rFonts w:ascii="宋体" w:hAnsi="宋体"/>
          <w:color w:val="auto"/>
          <w:sz w:val="24"/>
          <w:lang w:val="zh-CN"/>
        </w:rPr>
        <w:t>以下简称：乙方</w:t>
      </w:r>
      <w:r>
        <w:rPr>
          <w:rFonts w:hint="eastAsia" w:ascii="宋体" w:hAnsi="宋体"/>
          <w:color w:val="auto"/>
          <w:sz w:val="24"/>
          <w:lang w:val="zh-CN"/>
        </w:rPr>
        <w:t>）</w:t>
      </w:r>
      <w:r>
        <w:rPr>
          <w:rFonts w:ascii="宋体" w:hAnsi="宋体"/>
          <w:color w:val="auto"/>
          <w:sz w:val="24"/>
          <w:lang w:val="zh-CN"/>
        </w:rPr>
        <w:t>协商一致，约定以下合同</w:t>
      </w:r>
      <w:r>
        <w:rPr>
          <w:rFonts w:hint="eastAsia" w:ascii="宋体" w:hAnsi="宋体"/>
          <w:color w:val="auto"/>
          <w:sz w:val="24"/>
        </w:rPr>
        <w:t>条款，以兹共同遵守、全面履行。</w:t>
      </w:r>
    </w:p>
    <w:p>
      <w:pPr>
        <w:spacing w:line="560" w:lineRule="exact"/>
        <w:ind w:firstLine="482" w:firstLineChars="200"/>
        <w:outlineLvl w:val="9"/>
        <w:rPr>
          <w:rFonts w:ascii="宋体" w:hAnsi="宋体"/>
          <w:color w:val="auto"/>
          <w:sz w:val="24"/>
        </w:rPr>
      </w:pPr>
      <w:bookmarkStart w:id="403" w:name="_Toc15367"/>
      <w:bookmarkStart w:id="404" w:name="_Toc20421"/>
      <w:bookmarkStart w:id="405" w:name="_Toc19273"/>
      <w:bookmarkStart w:id="406" w:name="_Toc28855"/>
      <w:bookmarkStart w:id="407" w:name="_Toc22967"/>
      <w:r>
        <w:rPr>
          <w:rFonts w:ascii="宋体" w:hAnsi="宋体"/>
          <w:b/>
          <w:color w:val="auto"/>
          <w:sz w:val="24"/>
        </w:rPr>
        <w:t xml:space="preserve">1.1 </w:t>
      </w:r>
      <w:r>
        <w:rPr>
          <w:rFonts w:hint="eastAsia" w:ascii="宋体" w:hAnsi="宋体"/>
          <w:b/>
          <w:color w:val="auto"/>
          <w:sz w:val="24"/>
        </w:rPr>
        <w:t>合同组成部分</w:t>
      </w:r>
      <w:bookmarkEnd w:id="403"/>
      <w:bookmarkEnd w:id="404"/>
      <w:bookmarkEnd w:id="405"/>
      <w:bookmarkEnd w:id="406"/>
      <w:bookmarkEnd w:id="407"/>
    </w:p>
    <w:p>
      <w:pPr>
        <w:spacing w:line="560" w:lineRule="exact"/>
        <w:ind w:firstLine="480" w:firstLineChars="200"/>
        <w:outlineLvl w:val="9"/>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auto"/>
          <w:sz w:val="24"/>
          <w:lang w:eastAsia="zh-CN"/>
        </w:rPr>
        <w:t>份文件</w:t>
      </w:r>
      <w:r>
        <w:rPr>
          <w:rFonts w:hint="eastAsia" w:ascii="宋体" w:hAnsi="宋体"/>
          <w:color w:val="auto"/>
          <w:sz w:val="24"/>
        </w:rPr>
        <w:t>的优先适用顺序如下：</w:t>
      </w:r>
    </w:p>
    <w:p>
      <w:pPr>
        <w:spacing w:line="560" w:lineRule="exact"/>
        <w:ind w:firstLine="480" w:firstLineChars="200"/>
        <w:outlineLvl w:val="9"/>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outlineLvl w:val="9"/>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outlineLvl w:val="9"/>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outlineLvl w:val="9"/>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outlineLvl w:val="9"/>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9"/>
        <w:rPr>
          <w:rFonts w:ascii="宋体" w:hAnsi="宋体"/>
          <w:b/>
          <w:color w:val="auto"/>
          <w:sz w:val="24"/>
        </w:rPr>
      </w:pPr>
      <w:bookmarkStart w:id="408" w:name="_Toc2918"/>
      <w:bookmarkStart w:id="409" w:name="_Toc6311"/>
      <w:bookmarkStart w:id="410" w:name="_Toc6773"/>
      <w:bookmarkStart w:id="411" w:name="_Toc22185"/>
      <w:bookmarkStart w:id="412" w:name="_Toc18585"/>
      <w:r>
        <w:rPr>
          <w:rFonts w:ascii="宋体" w:hAnsi="宋体"/>
          <w:b/>
          <w:color w:val="auto"/>
          <w:sz w:val="24"/>
        </w:rPr>
        <w:t xml:space="preserve">1.2 </w:t>
      </w:r>
      <w:r>
        <w:rPr>
          <w:rFonts w:hint="eastAsia" w:ascii="宋体" w:hAnsi="宋体"/>
          <w:b/>
          <w:color w:val="auto"/>
          <w:sz w:val="24"/>
        </w:rPr>
        <w:t>标的</w:t>
      </w:r>
      <w:bookmarkEnd w:id="408"/>
      <w:bookmarkEnd w:id="409"/>
      <w:bookmarkEnd w:id="410"/>
      <w:bookmarkEnd w:id="411"/>
      <w:bookmarkEnd w:id="412"/>
    </w:p>
    <w:p>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outlineLvl w:val="9"/>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60"/>
        <w:spacing w:before="0" w:beforeAutospacing="0" w:after="0" w:afterAutospacing="0" w:line="360" w:lineRule="auto"/>
        <w:ind w:firstLine="480"/>
        <w:outlineLvl w:val="9"/>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pPr>
        <w:spacing w:line="560" w:lineRule="exact"/>
        <w:ind w:firstLine="480" w:firstLineChars="200"/>
        <w:outlineLvl w:val="9"/>
        <w:rPr>
          <w:rFonts w:ascii="宋体" w:hAnsi="宋体" w:cs="宋体"/>
          <w:color w:val="auto"/>
          <w:sz w:val="24"/>
          <w:u w:val="single"/>
        </w:rPr>
      </w:pPr>
      <w:bookmarkStart w:id="413" w:name="_Toc5635"/>
      <w:bookmarkStart w:id="414" w:name="_Toc1386"/>
      <w:bookmarkStart w:id="415" w:name="_Toc21124"/>
      <w:bookmarkStart w:id="416" w:name="_Toc4929"/>
      <w:bookmarkStart w:id="417"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9"/>
        <w:rPr>
          <w:rFonts w:ascii="宋体" w:hAnsi="宋体"/>
          <w:b/>
          <w:color w:val="auto"/>
          <w:sz w:val="24"/>
        </w:rPr>
      </w:pPr>
      <w:r>
        <w:rPr>
          <w:rFonts w:ascii="宋体" w:hAnsi="宋体"/>
          <w:b/>
          <w:color w:val="auto"/>
          <w:sz w:val="24"/>
        </w:rPr>
        <w:t>1.3 价款</w:t>
      </w:r>
      <w:bookmarkEnd w:id="413"/>
      <w:bookmarkEnd w:id="414"/>
      <w:bookmarkEnd w:id="415"/>
      <w:bookmarkEnd w:id="416"/>
      <w:bookmarkEnd w:id="417"/>
    </w:p>
    <w:p>
      <w:pPr>
        <w:spacing w:line="560" w:lineRule="exact"/>
        <w:ind w:firstLine="480" w:firstLineChars="200"/>
        <w:outlineLvl w:val="9"/>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outlineLvl w:val="9"/>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22"/>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rPr>
            </w:pPr>
          </w:p>
        </w:tc>
        <w:tc>
          <w:tcPr>
            <w:tcW w:w="3402" w:type="dxa"/>
            <w:vAlign w:val="center"/>
          </w:tcPr>
          <w:p>
            <w:pPr>
              <w:pStyle w:val="322"/>
              <w:spacing w:line="560" w:lineRule="exact"/>
              <w:ind w:firstLine="200"/>
              <w:jc w:val="center"/>
              <w:rPr>
                <w:rFonts w:hAnsi="宋体"/>
                <w:color w:val="auto"/>
                <w:sz w:val="24"/>
                <w:szCs w:val="24"/>
              </w:rPr>
            </w:pPr>
          </w:p>
        </w:tc>
        <w:tc>
          <w:tcPr>
            <w:tcW w:w="2552" w:type="dxa"/>
            <w:vAlign w:val="center"/>
          </w:tcPr>
          <w:p>
            <w:pPr>
              <w:pStyle w:val="3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rPr>
            </w:pPr>
          </w:p>
        </w:tc>
        <w:tc>
          <w:tcPr>
            <w:tcW w:w="3402" w:type="dxa"/>
            <w:vAlign w:val="center"/>
          </w:tcPr>
          <w:p>
            <w:pPr>
              <w:pStyle w:val="322"/>
              <w:spacing w:line="560" w:lineRule="exact"/>
              <w:ind w:firstLine="200"/>
              <w:jc w:val="center"/>
              <w:rPr>
                <w:rFonts w:hAnsi="宋体"/>
                <w:color w:val="auto"/>
                <w:sz w:val="24"/>
                <w:szCs w:val="24"/>
              </w:rPr>
            </w:pPr>
          </w:p>
        </w:tc>
        <w:tc>
          <w:tcPr>
            <w:tcW w:w="2552" w:type="dxa"/>
            <w:vAlign w:val="center"/>
          </w:tcPr>
          <w:p>
            <w:pPr>
              <w:pStyle w:val="3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rPr>
            </w:pPr>
          </w:p>
        </w:tc>
        <w:tc>
          <w:tcPr>
            <w:tcW w:w="3402" w:type="dxa"/>
            <w:vAlign w:val="center"/>
          </w:tcPr>
          <w:p>
            <w:pPr>
              <w:pStyle w:val="322"/>
              <w:spacing w:line="560" w:lineRule="exact"/>
              <w:ind w:firstLine="200"/>
              <w:jc w:val="center"/>
              <w:rPr>
                <w:rFonts w:hAnsi="宋体"/>
                <w:color w:val="auto"/>
                <w:sz w:val="24"/>
                <w:szCs w:val="24"/>
              </w:rPr>
            </w:pPr>
          </w:p>
        </w:tc>
        <w:tc>
          <w:tcPr>
            <w:tcW w:w="2552" w:type="dxa"/>
            <w:vAlign w:val="center"/>
          </w:tcPr>
          <w:p>
            <w:pPr>
              <w:pStyle w:val="3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rPr>
            </w:pPr>
          </w:p>
        </w:tc>
        <w:tc>
          <w:tcPr>
            <w:tcW w:w="3402" w:type="dxa"/>
            <w:vAlign w:val="center"/>
          </w:tcPr>
          <w:p>
            <w:pPr>
              <w:pStyle w:val="322"/>
              <w:spacing w:line="560" w:lineRule="exact"/>
              <w:ind w:firstLine="200"/>
              <w:jc w:val="center"/>
              <w:rPr>
                <w:rFonts w:hAnsi="宋体"/>
                <w:color w:val="auto"/>
                <w:sz w:val="24"/>
                <w:szCs w:val="24"/>
              </w:rPr>
            </w:pPr>
          </w:p>
        </w:tc>
        <w:tc>
          <w:tcPr>
            <w:tcW w:w="2552" w:type="dxa"/>
            <w:vAlign w:val="center"/>
          </w:tcPr>
          <w:p>
            <w:pPr>
              <w:pStyle w:val="3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22"/>
              <w:spacing w:line="560" w:lineRule="exact"/>
              <w:ind w:firstLine="200"/>
              <w:jc w:val="center"/>
              <w:rPr>
                <w:rFonts w:hAnsi="宋体"/>
                <w:color w:val="auto"/>
                <w:sz w:val="24"/>
                <w:szCs w:val="24"/>
              </w:rPr>
            </w:pPr>
          </w:p>
        </w:tc>
      </w:tr>
    </w:tbl>
    <w:p>
      <w:pPr>
        <w:spacing w:line="560" w:lineRule="exact"/>
        <w:ind w:firstLine="480" w:firstLineChars="200"/>
        <w:outlineLvl w:val="9"/>
        <w:rPr>
          <w:rFonts w:ascii="宋体" w:hAnsi="宋体"/>
          <w:color w:val="auto"/>
          <w:sz w:val="24"/>
        </w:rPr>
      </w:pPr>
      <w:bookmarkStart w:id="418" w:name="_Toc30506"/>
      <w:bookmarkStart w:id="419" w:name="_Toc14993"/>
      <w:bookmarkStart w:id="420" w:name="_Toc30158"/>
      <w:bookmarkStart w:id="421" w:name="_Toc26916"/>
      <w:bookmarkStart w:id="422"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tabs>
          <w:tab w:val="left" w:pos="432"/>
        </w:tabs>
        <w:outlineLvl w:val="9"/>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8"/>
    <w:bookmarkEnd w:id="419"/>
    <w:bookmarkEnd w:id="420"/>
    <w:bookmarkEnd w:id="421"/>
    <w:bookmarkEnd w:id="422"/>
    <w:p>
      <w:pPr>
        <w:pStyle w:val="960"/>
        <w:spacing w:before="0" w:beforeAutospacing="0" w:after="0" w:afterAutospacing="0" w:line="360" w:lineRule="auto"/>
        <w:ind w:firstLine="480"/>
        <w:outlineLvl w:val="9"/>
        <w:rPr>
          <w:b/>
          <w:color w:val="auto"/>
        </w:rPr>
      </w:pPr>
      <w:bookmarkStart w:id="423" w:name="_Toc22618"/>
      <w:bookmarkStart w:id="424" w:name="_Toc1814"/>
      <w:bookmarkStart w:id="425" w:name="_Toc10340"/>
      <w:bookmarkStart w:id="426" w:name="_Toc11108"/>
      <w:bookmarkStart w:id="427" w:name="_Toc4760"/>
      <w:bookmarkStart w:id="428" w:name="_Toc31421"/>
      <w:bookmarkStart w:id="429" w:name="_Toc8772"/>
      <w:bookmarkStart w:id="430" w:name="_Toc3625"/>
      <w:r>
        <w:rPr>
          <w:rFonts w:hint="eastAsia"/>
          <w:b/>
          <w:color w:val="auto"/>
        </w:rPr>
        <w:t>1.4履约保证金</w:t>
      </w:r>
    </w:p>
    <w:p>
      <w:pPr>
        <w:pStyle w:val="960"/>
        <w:spacing w:before="0" w:beforeAutospacing="0" w:after="0" w:afterAutospacing="0" w:line="360" w:lineRule="auto"/>
        <w:ind w:firstLine="480"/>
        <w:outlineLvl w:val="9"/>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tabs>
          <w:tab w:val="left" w:pos="0"/>
          <w:tab w:val="left" w:pos="432"/>
        </w:tabs>
        <w:spacing w:line="560" w:lineRule="exact"/>
        <w:ind w:left="0" w:firstLine="480" w:firstLineChars="200"/>
        <w:outlineLvl w:val="9"/>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9"/>
        <w:rPr>
          <w:rFonts w:ascii="宋体" w:hAnsi="宋体" w:cs="宋体"/>
          <w:b/>
          <w:color w:val="auto"/>
          <w:sz w:val="24"/>
        </w:rPr>
      </w:pPr>
      <w:r>
        <w:rPr>
          <w:rFonts w:hint="eastAsia" w:ascii="宋体" w:hAnsi="宋体" w:cs="宋体"/>
          <w:b/>
          <w:color w:val="auto"/>
          <w:sz w:val="24"/>
        </w:rPr>
        <w:t>1.5</w:t>
      </w:r>
      <w:bookmarkEnd w:id="423"/>
      <w:bookmarkEnd w:id="424"/>
      <w:bookmarkEnd w:id="425"/>
      <w:r>
        <w:rPr>
          <w:rFonts w:hint="eastAsia" w:ascii="宋体" w:hAnsi="宋体" w:cs="宋体"/>
          <w:b/>
          <w:color w:val="auto"/>
          <w:sz w:val="24"/>
        </w:rPr>
        <w:t>预付款</w:t>
      </w:r>
    </w:p>
    <w:p>
      <w:pPr>
        <w:pStyle w:val="960"/>
        <w:spacing w:before="0" w:beforeAutospacing="0" w:after="0" w:afterAutospacing="0" w:line="360" w:lineRule="auto"/>
        <w:ind w:firstLine="480"/>
        <w:outlineLvl w:val="9"/>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0"/>
        <w:spacing w:before="0" w:beforeAutospacing="0" w:after="0" w:afterAutospacing="0" w:line="360" w:lineRule="auto"/>
        <w:ind w:firstLine="480"/>
        <w:outlineLvl w:val="9"/>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b/>
          <w:bCs/>
          <w:color w:val="auto"/>
        </w:rPr>
      </w:pPr>
      <w:r>
        <w:rPr>
          <w:rFonts w:hint="eastAsia"/>
          <w:b/>
          <w:bCs/>
          <w:color w:val="auto"/>
        </w:rPr>
        <w:t>1.6资金支付</w:t>
      </w:r>
    </w:p>
    <w:p>
      <w:pPr>
        <w:pStyle w:val="960"/>
        <w:spacing w:before="0" w:beforeAutospacing="0" w:after="0" w:afterAutospacing="0" w:line="360" w:lineRule="auto"/>
        <w:ind w:firstLine="480"/>
        <w:outlineLvl w:val="9"/>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9"/>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6"/>
      <w:bookmarkEnd w:id="427"/>
      <w:bookmarkEnd w:id="428"/>
      <w:bookmarkEnd w:id="429"/>
      <w:bookmarkEnd w:id="430"/>
    </w:p>
    <w:p>
      <w:pPr>
        <w:spacing w:line="560" w:lineRule="exact"/>
        <w:ind w:firstLine="480" w:firstLineChars="200"/>
        <w:outlineLvl w:val="9"/>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9"/>
        <w:rPr>
          <w:rFonts w:ascii="宋体" w:hAnsi="宋体"/>
          <w:bCs/>
          <w:color w:val="auto"/>
          <w:sz w:val="24"/>
        </w:rPr>
      </w:pPr>
      <w:bookmarkStart w:id="431" w:name="_Toc2375"/>
      <w:bookmarkStart w:id="432" w:name="_Toc8586"/>
      <w:bookmarkStart w:id="433" w:name="_Toc5698"/>
      <w:bookmarkStart w:id="434" w:name="_Toc3079"/>
      <w:bookmarkStart w:id="435" w:name="_Toc24662"/>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9"/>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31"/>
      <w:bookmarkEnd w:id="432"/>
      <w:bookmarkEnd w:id="433"/>
      <w:bookmarkEnd w:id="434"/>
      <w:bookmarkEnd w:id="435"/>
    </w:p>
    <w:p>
      <w:pPr>
        <w:spacing w:line="360" w:lineRule="auto"/>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tabs>
          <w:tab w:val="left" w:pos="432"/>
        </w:tabs>
        <w:spacing w:line="360" w:lineRule="auto"/>
        <w:ind w:left="0" w:firstLine="480" w:firstLineChars="200"/>
        <w:outlineLvl w:val="9"/>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360" w:lineRule="auto"/>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outlineLvl w:val="9"/>
        <w:rPr>
          <w:rFonts w:ascii="宋体" w:hAnsi="宋体" w:cs="宋体"/>
          <w:color w:val="auto"/>
          <w:sz w:val="24"/>
        </w:rPr>
      </w:pPr>
      <w:bookmarkStart w:id="436" w:name="_Toc30329"/>
      <w:bookmarkStart w:id="437" w:name="_Toc26807"/>
      <w:bookmarkStart w:id="438" w:name="_Toc18683"/>
      <w:bookmarkStart w:id="439" w:name="_Toc32454"/>
      <w:bookmarkStart w:id="440"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outlineLvl w:val="9"/>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6"/>
    <w:bookmarkEnd w:id="437"/>
    <w:bookmarkEnd w:id="438"/>
    <w:bookmarkEnd w:id="439"/>
    <w:bookmarkEnd w:id="440"/>
    <w:p>
      <w:pPr>
        <w:spacing w:line="560" w:lineRule="exact"/>
        <w:ind w:firstLine="482" w:firstLineChars="200"/>
        <w:outlineLvl w:val="9"/>
        <w:rPr>
          <w:rFonts w:ascii="宋体" w:hAnsi="宋体" w:cs="宋体"/>
          <w:b/>
          <w:color w:val="auto"/>
          <w:sz w:val="24"/>
        </w:rPr>
      </w:pPr>
      <w:bookmarkStart w:id="441" w:name="_Toc15583"/>
      <w:bookmarkStart w:id="442" w:name="_Toc28375"/>
      <w:bookmarkStart w:id="443" w:name="_Toc16021"/>
      <w:r>
        <w:rPr>
          <w:rFonts w:hint="eastAsia" w:ascii="宋体" w:hAnsi="宋体" w:cs="宋体"/>
          <w:b/>
          <w:color w:val="auto"/>
          <w:sz w:val="24"/>
        </w:rPr>
        <w:t>1.9合同争议的解决</w:t>
      </w:r>
      <w:bookmarkEnd w:id="441"/>
      <w:bookmarkEnd w:id="442"/>
      <w:bookmarkEnd w:id="443"/>
    </w:p>
    <w:p>
      <w:pPr>
        <w:spacing w:line="560" w:lineRule="exact"/>
        <w:ind w:left="-61" w:leftChars="-29" w:right="-420" w:rightChars="-200" w:firstLine="240" w:firstLineChars="100"/>
        <w:outlineLvl w:val="9"/>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outlineLvl w:val="9"/>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outlineLvl w:val="9"/>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9"/>
        <w:rPr>
          <w:rFonts w:ascii="宋体" w:hAnsi="宋体" w:cs="宋体"/>
          <w:b/>
          <w:color w:val="auto"/>
          <w:sz w:val="24"/>
        </w:rPr>
      </w:pPr>
      <w:bookmarkStart w:id="444" w:name="_Toc15322"/>
      <w:bookmarkStart w:id="445" w:name="_Toc11173"/>
      <w:bookmarkStart w:id="446" w:name="_Toc7245"/>
      <w:r>
        <w:rPr>
          <w:rFonts w:hint="eastAsia" w:ascii="宋体" w:hAnsi="宋体" w:cs="宋体"/>
          <w:b/>
          <w:color w:val="auto"/>
          <w:sz w:val="24"/>
        </w:rPr>
        <w:t>2.0 合同生效</w:t>
      </w:r>
      <w:bookmarkEnd w:id="444"/>
      <w:bookmarkEnd w:id="445"/>
      <w:bookmarkEnd w:id="446"/>
    </w:p>
    <w:p>
      <w:pPr>
        <w:spacing w:line="560" w:lineRule="exact"/>
        <w:ind w:firstLine="480" w:firstLineChars="200"/>
        <w:outlineLvl w:val="9"/>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outlineLvl w:val="9"/>
        <w:rPr>
          <w:rFonts w:ascii="宋体" w:hAnsi="宋体"/>
          <w:color w:val="auto"/>
          <w:sz w:val="24"/>
          <w:lang w:val="zh-CN"/>
        </w:rPr>
      </w:pPr>
    </w:p>
    <w:p>
      <w:pPr>
        <w:autoSpaceDE w:val="0"/>
        <w:autoSpaceDN w:val="0"/>
        <w:spacing w:line="560" w:lineRule="exact"/>
        <w:outlineLvl w:val="9"/>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outlineLvl w:val="9"/>
        <w:rPr>
          <w:rFonts w:ascii="宋体" w:hAnsi="宋体"/>
          <w:color w:val="auto"/>
          <w:sz w:val="24"/>
          <w:lang w:val="zh-CN"/>
        </w:rPr>
      </w:pPr>
    </w:p>
    <w:p>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w:t>
      </w:r>
      <w:r>
        <w:rPr>
          <w:rFonts w:hint="eastAsia" w:ascii="宋体" w:hAnsi="宋体"/>
          <w:color w:val="auto"/>
          <w:sz w:val="24"/>
          <w:lang w:val="zh-CN"/>
        </w:rPr>
        <w:t>：</w:t>
      </w:r>
      <w:r>
        <w:rPr>
          <w:rFonts w:ascii="宋体" w:hAnsi="宋体"/>
          <w:color w:val="auto"/>
          <w:sz w:val="24"/>
          <w:lang w:val="zh-CN"/>
        </w:rPr>
        <w:t xml:space="preserve">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w:t>
      </w:r>
      <w:r>
        <w:rPr>
          <w:rFonts w:hint="eastAsia" w:ascii="宋体" w:hAnsi="宋体"/>
          <w:color w:val="auto"/>
          <w:sz w:val="24"/>
          <w:lang w:val="zh-CN"/>
        </w:rPr>
        <w:t>：</w:t>
      </w:r>
      <w:r>
        <w:rPr>
          <w:rFonts w:ascii="宋体" w:hAnsi="宋体"/>
          <w:color w:val="auto"/>
          <w:sz w:val="24"/>
          <w:lang w:val="zh-CN"/>
        </w:rPr>
        <w:t xml:space="preserve">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3"/>
        <w:spacing w:line="560" w:lineRule="exact"/>
        <w:ind w:left="0" w:leftChars="0" w:firstLine="0" w:firstLineChars="0"/>
        <w:jc w:val="center"/>
        <w:outlineLvl w:val="1"/>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9"/>
        <w:rPr>
          <w:rFonts w:ascii="宋体" w:hAnsi="宋体"/>
          <w:b/>
          <w:color w:val="auto"/>
          <w:sz w:val="24"/>
        </w:rPr>
      </w:pPr>
      <w:bookmarkStart w:id="447" w:name="_Toc14021"/>
      <w:bookmarkStart w:id="448" w:name="_Toc19680"/>
      <w:bookmarkStart w:id="449" w:name="_Toc5228"/>
      <w:bookmarkStart w:id="450" w:name="_Toc31297"/>
      <w:bookmarkStart w:id="451" w:name="_Toc25079"/>
      <w:r>
        <w:rPr>
          <w:rFonts w:ascii="宋体" w:hAnsi="宋体"/>
          <w:b/>
          <w:color w:val="auto"/>
          <w:sz w:val="24"/>
        </w:rPr>
        <w:t>2.1 定义</w:t>
      </w:r>
      <w:bookmarkEnd w:id="447"/>
      <w:bookmarkEnd w:id="448"/>
      <w:bookmarkEnd w:id="449"/>
      <w:bookmarkEnd w:id="450"/>
      <w:bookmarkEnd w:id="451"/>
    </w:p>
    <w:p>
      <w:pPr>
        <w:spacing w:line="560" w:lineRule="exact"/>
        <w:ind w:firstLine="480" w:firstLineChars="200"/>
        <w:outlineLvl w:val="9"/>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outlineLvl w:val="9"/>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outlineLvl w:val="9"/>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outlineLvl w:val="9"/>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outlineLvl w:val="9"/>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outlineLvl w:val="9"/>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outlineLvl w:val="9"/>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9"/>
        <w:rPr>
          <w:rFonts w:ascii="宋体" w:hAnsi="宋体"/>
          <w:b/>
          <w:color w:val="auto"/>
          <w:sz w:val="24"/>
        </w:rPr>
      </w:pPr>
      <w:bookmarkStart w:id="452" w:name="_Toc23289"/>
      <w:bookmarkStart w:id="453" w:name="_Toc19539"/>
      <w:bookmarkStart w:id="454" w:name="_Toc16752"/>
      <w:bookmarkStart w:id="455" w:name="_Toc3769"/>
      <w:bookmarkStart w:id="456" w:name="_Toc31402"/>
      <w:r>
        <w:rPr>
          <w:rFonts w:ascii="宋体" w:hAnsi="宋体"/>
          <w:b/>
          <w:color w:val="auto"/>
          <w:sz w:val="24"/>
        </w:rPr>
        <w:t>2.2 技术规范</w:t>
      </w:r>
      <w:bookmarkEnd w:id="452"/>
      <w:bookmarkEnd w:id="453"/>
      <w:bookmarkEnd w:id="454"/>
      <w:bookmarkEnd w:id="455"/>
      <w:bookmarkEnd w:id="456"/>
    </w:p>
    <w:p>
      <w:pPr>
        <w:spacing w:line="560" w:lineRule="exact"/>
        <w:ind w:firstLine="480" w:firstLineChars="200"/>
        <w:outlineLvl w:val="9"/>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w:t>
      </w:r>
      <w:r>
        <w:rPr>
          <w:rFonts w:hint="eastAsia" w:ascii="宋体" w:hAnsi="宋体"/>
          <w:color w:val="auto"/>
          <w:sz w:val="24"/>
          <w:lang w:eastAsia="zh-CN"/>
        </w:rPr>
        <w:t>（</w:t>
      </w:r>
      <w:r>
        <w:rPr>
          <w:rFonts w:ascii="宋体" w:hAnsi="宋体"/>
          <w:color w:val="auto"/>
          <w:sz w:val="24"/>
        </w:rPr>
        <w:t>如果有的话</w:t>
      </w:r>
      <w:r>
        <w:rPr>
          <w:rFonts w:hint="eastAsia" w:ascii="宋体" w:hAnsi="宋体"/>
          <w:color w:val="auto"/>
          <w:sz w:val="24"/>
          <w:lang w:eastAsia="zh-CN"/>
        </w:rPr>
        <w:t>）</w:t>
      </w:r>
      <w:r>
        <w:rPr>
          <w:rFonts w:ascii="宋体" w:hAnsi="宋体"/>
          <w:color w:val="auto"/>
          <w:sz w:val="24"/>
        </w:rPr>
        <w:t>及其技术规范偏差表</w:t>
      </w:r>
      <w:r>
        <w:rPr>
          <w:rFonts w:hint="eastAsia" w:ascii="宋体" w:hAnsi="宋体"/>
          <w:color w:val="auto"/>
          <w:sz w:val="24"/>
          <w:lang w:eastAsia="zh-CN"/>
        </w:rPr>
        <w:t>（</w:t>
      </w:r>
      <w:r>
        <w:rPr>
          <w:rFonts w:ascii="宋体" w:hAnsi="宋体"/>
          <w:color w:val="auto"/>
          <w:sz w:val="24"/>
        </w:rPr>
        <w:t>如果被甲方接受的话</w:t>
      </w:r>
      <w:r>
        <w:rPr>
          <w:rFonts w:hint="eastAsia" w:ascii="宋体" w:hAnsi="宋体"/>
          <w:color w:val="auto"/>
          <w:sz w:val="24"/>
          <w:lang w:eastAsia="zh-CN"/>
        </w:rPr>
        <w:t>）</w:t>
      </w:r>
      <w:r>
        <w:rPr>
          <w:rFonts w:ascii="宋体" w:hAnsi="宋体"/>
          <w:color w:val="auto"/>
          <w:sz w:val="24"/>
        </w:rPr>
        <w:t>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9"/>
        <w:rPr>
          <w:rFonts w:ascii="宋体" w:hAnsi="宋体"/>
          <w:b/>
          <w:color w:val="auto"/>
          <w:sz w:val="24"/>
        </w:rPr>
      </w:pPr>
      <w:bookmarkStart w:id="457" w:name="_Toc9161"/>
      <w:bookmarkStart w:id="458" w:name="_Toc27945"/>
      <w:bookmarkStart w:id="459" w:name="_Toc12412"/>
      <w:bookmarkStart w:id="460" w:name="_Toc13673"/>
      <w:bookmarkStart w:id="461" w:name="_Toc4133"/>
      <w:r>
        <w:rPr>
          <w:rFonts w:ascii="宋体" w:hAnsi="宋体"/>
          <w:b/>
          <w:color w:val="auto"/>
          <w:sz w:val="24"/>
        </w:rPr>
        <w:t>2.3 知识产权</w:t>
      </w:r>
      <w:bookmarkEnd w:id="457"/>
      <w:bookmarkEnd w:id="458"/>
      <w:bookmarkEnd w:id="459"/>
      <w:bookmarkEnd w:id="460"/>
      <w:bookmarkEnd w:id="461"/>
    </w:p>
    <w:p>
      <w:pPr>
        <w:spacing w:line="560" w:lineRule="exact"/>
        <w:ind w:firstLine="480" w:firstLineChars="200"/>
        <w:outlineLvl w:val="9"/>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outlineLvl w:val="9"/>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outlineLvl w:val="9"/>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9"/>
        <w:rPr>
          <w:rFonts w:ascii="宋体" w:hAnsi="宋体"/>
          <w:b/>
          <w:color w:val="auto"/>
          <w:sz w:val="24"/>
        </w:rPr>
      </w:pPr>
      <w:bookmarkStart w:id="462" w:name="_Toc15447"/>
      <w:bookmarkStart w:id="463" w:name="_Toc26555"/>
      <w:bookmarkStart w:id="464" w:name="_Toc32670"/>
      <w:bookmarkStart w:id="465" w:name="_Toc22011"/>
      <w:bookmarkStart w:id="466" w:name="_Toc31233"/>
      <w:r>
        <w:rPr>
          <w:rFonts w:ascii="宋体" w:hAnsi="宋体"/>
          <w:b/>
          <w:color w:val="auto"/>
          <w:sz w:val="24"/>
        </w:rPr>
        <w:t>2.5 结算方式和付款条件</w:t>
      </w:r>
      <w:bookmarkEnd w:id="462"/>
      <w:bookmarkEnd w:id="463"/>
      <w:bookmarkEnd w:id="464"/>
      <w:bookmarkEnd w:id="465"/>
      <w:bookmarkEnd w:id="466"/>
    </w:p>
    <w:p>
      <w:pPr>
        <w:spacing w:line="560" w:lineRule="exact"/>
        <w:ind w:firstLine="480" w:firstLineChars="200"/>
        <w:outlineLvl w:val="9"/>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9"/>
        <w:rPr>
          <w:rFonts w:ascii="宋体" w:hAnsi="宋体"/>
          <w:b/>
          <w:color w:val="auto"/>
          <w:sz w:val="24"/>
        </w:rPr>
      </w:pPr>
      <w:bookmarkStart w:id="467" w:name="_Toc13154"/>
      <w:bookmarkStart w:id="468" w:name="_Toc18990"/>
      <w:bookmarkStart w:id="469" w:name="_Toc30507"/>
      <w:bookmarkStart w:id="470" w:name="_Toc13467"/>
      <w:bookmarkStart w:id="471" w:name="_Toc16163"/>
      <w:r>
        <w:rPr>
          <w:rFonts w:ascii="宋体" w:hAnsi="宋体"/>
          <w:b/>
          <w:color w:val="auto"/>
          <w:sz w:val="24"/>
        </w:rPr>
        <w:t>2.6 技术资料和保密义务</w:t>
      </w:r>
      <w:bookmarkEnd w:id="467"/>
      <w:bookmarkEnd w:id="468"/>
      <w:bookmarkEnd w:id="469"/>
      <w:bookmarkEnd w:id="470"/>
      <w:bookmarkEnd w:id="471"/>
    </w:p>
    <w:p>
      <w:pPr>
        <w:spacing w:line="560" w:lineRule="exact"/>
        <w:ind w:firstLine="480" w:firstLineChars="200"/>
        <w:outlineLvl w:val="9"/>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outlineLvl w:val="9"/>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outlineLvl w:val="9"/>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9"/>
        <w:rPr>
          <w:rFonts w:ascii="宋体" w:hAnsi="宋体"/>
          <w:b/>
          <w:color w:val="auto"/>
          <w:sz w:val="24"/>
        </w:rPr>
      </w:pPr>
      <w:bookmarkStart w:id="472" w:name="_Toc19069"/>
      <w:r>
        <w:rPr>
          <w:rFonts w:ascii="宋体" w:hAnsi="宋体"/>
          <w:b/>
          <w:color w:val="auto"/>
          <w:sz w:val="24"/>
        </w:rPr>
        <w:t xml:space="preserve">2.7 </w:t>
      </w:r>
      <w:r>
        <w:rPr>
          <w:rFonts w:hint="eastAsia" w:ascii="宋体" w:hAnsi="宋体"/>
          <w:b/>
          <w:color w:val="auto"/>
          <w:sz w:val="24"/>
        </w:rPr>
        <w:t>质量保证</w:t>
      </w:r>
      <w:bookmarkEnd w:id="472"/>
    </w:p>
    <w:p>
      <w:pPr>
        <w:spacing w:line="560" w:lineRule="exact"/>
        <w:ind w:firstLine="480" w:firstLineChars="200"/>
        <w:outlineLvl w:val="9"/>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outlineLvl w:val="9"/>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9"/>
        <w:rPr>
          <w:rFonts w:ascii="宋体" w:hAnsi="宋体"/>
          <w:b/>
          <w:color w:val="auto"/>
          <w:sz w:val="24"/>
        </w:rPr>
      </w:pPr>
      <w:bookmarkStart w:id="473" w:name="_Toc22267"/>
      <w:r>
        <w:rPr>
          <w:rFonts w:ascii="宋体" w:hAnsi="宋体"/>
          <w:b/>
          <w:color w:val="auto"/>
          <w:sz w:val="24"/>
        </w:rPr>
        <w:t xml:space="preserve">2.8 </w:t>
      </w:r>
      <w:r>
        <w:rPr>
          <w:rFonts w:hint="eastAsia" w:ascii="宋体" w:hAnsi="宋体"/>
          <w:b/>
          <w:color w:val="auto"/>
          <w:sz w:val="24"/>
        </w:rPr>
        <w:t>延迟履行</w:t>
      </w:r>
      <w:bookmarkEnd w:id="473"/>
    </w:p>
    <w:p>
      <w:pPr>
        <w:spacing w:line="560" w:lineRule="exact"/>
        <w:ind w:firstLine="480" w:firstLineChars="200"/>
        <w:outlineLvl w:val="9"/>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9"/>
        <w:rPr>
          <w:rFonts w:ascii="宋体" w:hAnsi="宋体"/>
          <w:b/>
          <w:color w:val="auto"/>
          <w:sz w:val="24"/>
        </w:rPr>
      </w:pPr>
      <w:bookmarkStart w:id="474" w:name="_Toc10611"/>
      <w:r>
        <w:rPr>
          <w:rFonts w:ascii="宋体" w:hAnsi="宋体"/>
          <w:b/>
          <w:color w:val="auto"/>
          <w:sz w:val="24"/>
        </w:rPr>
        <w:t xml:space="preserve">2.9 </w:t>
      </w:r>
      <w:r>
        <w:rPr>
          <w:rFonts w:hint="eastAsia" w:ascii="宋体" w:hAnsi="宋体"/>
          <w:b/>
          <w:color w:val="auto"/>
          <w:sz w:val="24"/>
        </w:rPr>
        <w:t>合同变更</w:t>
      </w:r>
      <w:bookmarkEnd w:id="474"/>
    </w:p>
    <w:p>
      <w:pPr>
        <w:spacing w:line="560" w:lineRule="exact"/>
        <w:ind w:firstLine="480" w:firstLineChars="200"/>
        <w:outlineLvl w:val="9"/>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9"/>
        <w:rPr>
          <w:rFonts w:ascii="宋体" w:hAnsi="宋体"/>
          <w:b/>
          <w:color w:val="auto"/>
          <w:sz w:val="24"/>
        </w:rPr>
      </w:pPr>
      <w:bookmarkStart w:id="475" w:name="_Toc21830"/>
      <w:bookmarkStart w:id="476" w:name="_Toc23368"/>
      <w:bookmarkStart w:id="477" w:name="_Toc26689"/>
      <w:bookmarkStart w:id="478" w:name="_Toc10663"/>
      <w:bookmarkStart w:id="479" w:name="_Toc42"/>
      <w:r>
        <w:rPr>
          <w:rFonts w:ascii="宋体" w:hAnsi="宋体"/>
          <w:b/>
          <w:color w:val="auto"/>
          <w:sz w:val="24"/>
        </w:rPr>
        <w:t>2.10 合同转让和分包</w:t>
      </w:r>
      <w:bookmarkEnd w:id="475"/>
      <w:bookmarkEnd w:id="476"/>
      <w:bookmarkEnd w:id="477"/>
      <w:bookmarkEnd w:id="478"/>
      <w:bookmarkEnd w:id="479"/>
    </w:p>
    <w:p>
      <w:pPr>
        <w:spacing w:line="560" w:lineRule="exact"/>
        <w:ind w:firstLine="480" w:firstLineChars="200"/>
        <w:outlineLvl w:val="9"/>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9"/>
        <w:rPr>
          <w:rFonts w:ascii="宋体" w:hAnsi="宋体"/>
          <w:b/>
          <w:color w:val="auto"/>
          <w:sz w:val="24"/>
        </w:rPr>
      </w:pPr>
      <w:bookmarkStart w:id="480" w:name="_Toc4720"/>
      <w:bookmarkStart w:id="481" w:name="_Toc25571"/>
      <w:bookmarkStart w:id="482" w:name="_Toc14371"/>
      <w:bookmarkStart w:id="483" w:name="_Toc26633"/>
      <w:bookmarkStart w:id="484" w:name="_Toc32494"/>
      <w:r>
        <w:rPr>
          <w:rFonts w:ascii="宋体" w:hAnsi="宋体"/>
          <w:b/>
          <w:color w:val="auto"/>
          <w:sz w:val="24"/>
        </w:rPr>
        <w:t>2.11 不可抗力</w:t>
      </w:r>
      <w:bookmarkEnd w:id="480"/>
      <w:bookmarkEnd w:id="481"/>
      <w:bookmarkEnd w:id="482"/>
      <w:bookmarkEnd w:id="483"/>
      <w:bookmarkEnd w:id="484"/>
    </w:p>
    <w:p>
      <w:pPr>
        <w:spacing w:line="560" w:lineRule="exact"/>
        <w:ind w:firstLine="480" w:firstLineChars="200"/>
        <w:outlineLvl w:val="9"/>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outlineLvl w:val="9"/>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9"/>
        <w:rPr>
          <w:rFonts w:ascii="宋体" w:hAnsi="宋体"/>
          <w:b/>
          <w:color w:val="auto"/>
          <w:sz w:val="24"/>
        </w:rPr>
      </w:pPr>
      <w:bookmarkStart w:id="485" w:name="_Toc3638"/>
      <w:bookmarkStart w:id="486" w:name="_Toc25783"/>
      <w:bookmarkStart w:id="487" w:name="_Toc14115"/>
      <w:bookmarkStart w:id="488" w:name="_Toc23854"/>
      <w:bookmarkStart w:id="489" w:name="_Toc24465"/>
      <w:r>
        <w:rPr>
          <w:rFonts w:ascii="宋体" w:hAnsi="宋体"/>
          <w:b/>
          <w:color w:val="auto"/>
          <w:sz w:val="24"/>
        </w:rPr>
        <w:t>2.12 税费</w:t>
      </w:r>
      <w:bookmarkEnd w:id="485"/>
      <w:bookmarkEnd w:id="486"/>
      <w:bookmarkEnd w:id="487"/>
      <w:bookmarkEnd w:id="488"/>
      <w:bookmarkEnd w:id="489"/>
    </w:p>
    <w:p>
      <w:pPr>
        <w:spacing w:line="560" w:lineRule="exact"/>
        <w:ind w:firstLine="480" w:firstLineChars="200"/>
        <w:outlineLvl w:val="9"/>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9"/>
        <w:rPr>
          <w:rFonts w:ascii="宋体" w:hAnsi="宋体"/>
          <w:b/>
          <w:color w:val="auto"/>
          <w:sz w:val="24"/>
        </w:rPr>
      </w:pPr>
      <w:bookmarkStart w:id="490" w:name="_Toc14814"/>
      <w:bookmarkStart w:id="491" w:name="_Toc30105"/>
      <w:bookmarkStart w:id="492" w:name="_Toc7315"/>
      <w:bookmarkStart w:id="493" w:name="_Toc25525"/>
      <w:bookmarkStart w:id="494" w:name="_Toc26883"/>
      <w:r>
        <w:rPr>
          <w:rFonts w:ascii="宋体" w:hAnsi="宋体"/>
          <w:b/>
          <w:color w:val="auto"/>
          <w:sz w:val="24"/>
        </w:rPr>
        <w:t>2.13 乙方破产</w:t>
      </w:r>
      <w:bookmarkEnd w:id="490"/>
      <w:bookmarkEnd w:id="491"/>
      <w:bookmarkEnd w:id="492"/>
      <w:bookmarkEnd w:id="493"/>
      <w:bookmarkEnd w:id="494"/>
    </w:p>
    <w:p>
      <w:pPr>
        <w:spacing w:line="560" w:lineRule="exact"/>
        <w:ind w:firstLine="480" w:firstLineChars="200"/>
        <w:outlineLvl w:val="9"/>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9"/>
        <w:rPr>
          <w:rFonts w:ascii="宋体" w:hAnsi="宋体"/>
          <w:b/>
          <w:color w:val="auto"/>
          <w:sz w:val="24"/>
        </w:rPr>
      </w:pPr>
      <w:bookmarkStart w:id="495" w:name="_Toc2016"/>
      <w:bookmarkStart w:id="496" w:name="_Toc23323"/>
      <w:bookmarkStart w:id="497" w:name="_Toc1123"/>
      <w:r>
        <w:rPr>
          <w:rFonts w:ascii="宋体" w:hAnsi="宋体"/>
          <w:b/>
          <w:color w:val="auto"/>
          <w:sz w:val="24"/>
        </w:rPr>
        <w:t>2.14 合同中止、终止</w:t>
      </w:r>
      <w:bookmarkEnd w:id="495"/>
      <w:bookmarkEnd w:id="496"/>
      <w:bookmarkEnd w:id="497"/>
    </w:p>
    <w:p>
      <w:pPr>
        <w:spacing w:line="560" w:lineRule="exact"/>
        <w:ind w:firstLine="480" w:firstLineChars="200"/>
        <w:outlineLvl w:val="9"/>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outlineLvl w:val="9"/>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9"/>
        <w:rPr>
          <w:rFonts w:ascii="宋体" w:hAnsi="宋体"/>
          <w:b/>
          <w:color w:val="auto"/>
          <w:sz w:val="24"/>
        </w:rPr>
      </w:pPr>
      <w:bookmarkStart w:id="498" w:name="_Toc14525"/>
      <w:bookmarkStart w:id="499" w:name="_Toc1969"/>
      <w:bookmarkStart w:id="500" w:name="_Toc17363"/>
      <w:r>
        <w:rPr>
          <w:rFonts w:ascii="宋体" w:hAnsi="宋体"/>
          <w:b/>
          <w:color w:val="auto"/>
          <w:sz w:val="24"/>
        </w:rPr>
        <w:t>2.15 检验和验收</w:t>
      </w:r>
      <w:bookmarkEnd w:id="498"/>
      <w:bookmarkEnd w:id="499"/>
      <w:bookmarkEnd w:id="500"/>
    </w:p>
    <w:p>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9"/>
        <w:rPr>
          <w:rFonts w:ascii="宋体" w:hAnsi="宋体"/>
          <w:b/>
          <w:color w:val="auto"/>
          <w:sz w:val="24"/>
        </w:rPr>
      </w:pPr>
      <w:bookmarkStart w:id="501" w:name="_Toc31892"/>
      <w:bookmarkStart w:id="502" w:name="_Toc12666"/>
      <w:bookmarkStart w:id="503" w:name="_Toc2308"/>
      <w:bookmarkStart w:id="504" w:name="_Toc25198"/>
      <w:bookmarkStart w:id="505" w:name="_Toc9808"/>
      <w:r>
        <w:rPr>
          <w:rFonts w:ascii="宋体" w:hAnsi="宋体"/>
          <w:b/>
          <w:color w:val="auto"/>
          <w:sz w:val="24"/>
        </w:rPr>
        <w:t>2.16 通知和送达</w:t>
      </w:r>
      <w:bookmarkEnd w:id="501"/>
      <w:bookmarkEnd w:id="502"/>
      <w:bookmarkEnd w:id="503"/>
      <w:bookmarkEnd w:id="504"/>
      <w:bookmarkEnd w:id="505"/>
    </w:p>
    <w:p>
      <w:pPr>
        <w:spacing w:line="560" w:lineRule="exact"/>
        <w:ind w:firstLine="480" w:firstLineChars="200"/>
        <w:outlineLvl w:val="9"/>
        <w:rPr>
          <w:rFonts w:ascii="宋体" w:hAnsi="宋体"/>
          <w:color w:val="auto"/>
          <w:sz w:val="24"/>
        </w:rPr>
      </w:pPr>
      <w:bookmarkStart w:id="506" w:name="_Toc27674"/>
      <w:bookmarkStart w:id="507"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outlineLvl w:val="9"/>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6"/>
      <w:bookmarkEnd w:id="507"/>
    </w:p>
    <w:p>
      <w:pPr>
        <w:spacing w:line="560" w:lineRule="exact"/>
        <w:ind w:firstLine="482" w:firstLineChars="200"/>
        <w:outlineLvl w:val="9"/>
        <w:rPr>
          <w:rFonts w:ascii="宋体" w:hAnsi="宋体"/>
          <w:b/>
          <w:color w:val="auto"/>
          <w:sz w:val="24"/>
        </w:rPr>
      </w:pPr>
      <w:bookmarkStart w:id="508" w:name="_Toc12254"/>
      <w:bookmarkStart w:id="509" w:name="_Toc20808"/>
      <w:bookmarkStart w:id="510" w:name="_Toc27644"/>
      <w:bookmarkStart w:id="511" w:name="_Toc28906"/>
      <w:bookmarkStart w:id="512"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8"/>
      <w:bookmarkEnd w:id="509"/>
      <w:bookmarkEnd w:id="510"/>
      <w:bookmarkEnd w:id="511"/>
      <w:bookmarkEnd w:id="512"/>
    </w:p>
    <w:p>
      <w:pPr>
        <w:spacing w:line="560" w:lineRule="exact"/>
        <w:ind w:firstLine="480" w:firstLineChars="200"/>
        <w:outlineLvl w:val="9"/>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outlineLvl w:val="9"/>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9"/>
        <w:rPr>
          <w:rFonts w:ascii="宋体" w:hAnsi="宋体" w:cs="宋体"/>
          <w:b/>
          <w:color w:val="auto"/>
          <w:sz w:val="24"/>
        </w:rPr>
      </w:pPr>
      <w:bookmarkStart w:id="513" w:name="_Toc4355"/>
      <w:bookmarkStart w:id="514" w:name="_Toc18540"/>
      <w:bookmarkStart w:id="515" w:name="_Toc30599"/>
      <w:r>
        <w:rPr>
          <w:rFonts w:hint="eastAsia" w:ascii="宋体" w:hAnsi="宋体" w:cs="宋体"/>
          <w:b/>
          <w:color w:val="auto"/>
          <w:sz w:val="24"/>
        </w:rPr>
        <w:t>2.18 计量单位</w:t>
      </w:r>
      <w:bookmarkEnd w:id="513"/>
      <w:bookmarkEnd w:id="514"/>
      <w:bookmarkEnd w:id="515"/>
    </w:p>
    <w:p>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除技术规范中另有规定外</w:t>
      </w:r>
      <w:r>
        <w:rPr>
          <w:rFonts w:hint="eastAsia" w:ascii="宋体" w:hAnsi="宋体" w:cs="宋体"/>
          <w:color w:val="auto"/>
          <w:sz w:val="24"/>
          <w:lang w:eastAsia="zh-CN"/>
        </w:rPr>
        <w:t>，</w:t>
      </w:r>
      <w:r>
        <w:rPr>
          <w:rFonts w:hint="eastAsia" w:ascii="宋体" w:hAnsi="宋体" w:cs="宋体"/>
          <w:color w:val="auto"/>
          <w:sz w:val="24"/>
        </w:rPr>
        <w:t>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1"/>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8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3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26"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73"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73" w:type="pct"/>
            <w:vAlign w:val="center"/>
          </w:tcPr>
          <w:p>
            <w:pPr>
              <w:spacing w:line="360" w:lineRule="auto"/>
              <w:rPr>
                <w:rFonts w:ascii="宋体" w:hAnsi="宋体" w:cs="宋体"/>
                <w:color w:val="auto"/>
                <w:sz w:val="24"/>
              </w:rPr>
            </w:pPr>
            <w:r>
              <w:rPr>
                <w:rFonts w:hint="eastAsia" w:ascii="宋体" w:hAnsi="宋体" w:cs="宋体"/>
                <w:color w:val="auto"/>
                <w:sz w:val="24"/>
              </w:rPr>
              <w:t>在合同订后15天内，各中标人应向采购人以支票/汇票/电汇/或金融机构、担保机构出据的保函等形式缴纳合同金额的 1%作为履约保证金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73" w:type="pct"/>
            <w:vAlign w:val="center"/>
          </w:tcPr>
          <w:p>
            <w:pPr>
              <w:spacing w:line="360" w:lineRule="auto"/>
              <w:rPr>
                <w:rFonts w:ascii="宋体" w:hAnsi="宋体" w:cs="宋体"/>
                <w:color w:val="auto"/>
                <w:sz w:val="24"/>
              </w:rPr>
            </w:pPr>
            <w:r>
              <w:rPr>
                <w:rFonts w:hint="eastAsia" w:ascii="宋体" w:hAnsi="宋体" w:cs="宋体"/>
                <w:color w:val="auto"/>
                <w:sz w:val="24"/>
              </w:rPr>
              <w:t>合同签订且具备实施条件后7个工作日内，甲方凭乙方票据支付项目预算金额的40%作为预付款。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73" w:type="pct"/>
            <w:vAlign w:val="center"/>
          </w:tcPr>
          <w:p>
            <w:pPr>
              <w:spacing w:line="360" w:lineRule="auto"/>
              <w:rPr>
                <w:rFonts w:ascii="宋体" w:hAnsi="宋体" w:cs="宋体"/>
                <w:color w:val="auto"/>
                <w:sz w:val="24"/>
              </w:rPr>
            </w:pPr>
            <w:r>
              <w:rPr>
                <w:rFonts w:hint="eastAsia" w:ascii="宋体" w:hAnsi="宋体" w:cs="宋体"/>
                <w:color w:val="auto"/>
                <w:sz w:val="24"/>
              </w:rPr>
              <w:t>合同总款项根据季度进行分配，按季度支付，优先从 40%预付款中予以扣除，甲方在组织对服务情况考核后支付第四季度款项。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73" w:type="pct"/>
            <w:vAlign w:val="center"/>
          </w:tcPr>
          <w:p>
            <w:pPr>
              <w:spacing w:line="360" w:lineRule="auto"/>
              <w:rPr>
                <w:rFonts w:ascii="宋体" w:hAnsi="宋体" w:cs="宋体"/>
                <w:color w:val="auto"/>
                <w:sz w:val="24"/>
              </w:rPr>
            </w:pPr>
            <w:r>
              <w:rPr>
                <w:rFonts w:hint="eastAsia" w:ascii="宋体" w:hAnsi="宋体" w:cs="宋体"/>
                <w:color w:val="auto"/>
                <w:sz w:val="24"/>
              </w:rPr>
              <w:t>乙方向甲方开具增值税发票，甲方收到发票之后安排付款。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73" w:type="pct"/>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2025年1月1日至2025年12月31日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73" w:type="pct"/>
            <w:vAlign w:val="center"/>
          </w:tcPr>
          <w:p>
            <w:pPr>
              <w:spacing w:line="360" w:lineRule="auto"/>
              <w:rPr>
                <w:rFonts w:ascii="宋体" w:hAnsi="宋体" w:cs="宋体"/>
                <w:color w:val="auto"/>
                <w:sz w:val="24"/>
              </w:rPr>
            </w:pPr>
            <w:r>
              <w:rPr>
                <w:rFonts w:hint="eastAsia" w:ascii="宋体" w:hAnsi="宋体" w:cs="宋体"/>
                <w:color w:val="auto"/>
                <w:sz w:val="24"/>
              </w:rPr>
              <w:t>杭州殡仪馆(杭州市西湖区西溪路731号、834号、850号等其他甲方指定的地点)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73" w:type="pct"/>
            <w:vAlign w:val="center"/>
          </w:tcPr>
          <w:p>
            <w:pPr>
              <w:spacing w:line="360" w:lineRule="auto"/>
              <w:rPr>
                <w:rFonts w:ascii="宋体" w:hAnsi="宋体" w:cs="宋体"/>
                <w:color w:val="auto"/>
                <w:sz w:val="24"/>
              </w:rPr>
            </w:pPr>
            <w:r>
              <w:rPr>
                <w:rFonts w:hint="eastAsia" w:ascii="宋体" w:hAnsi="宋体" w:cs="宋体"/>
                <w:color w:val="auto"/>
                <w:sz w:val="24"/>
              </w:rPr>
              <w:t>合同期内持续性提供服务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西湖区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73" w:type="pct"/>
            <w:vAlign w:val="center"/>
          </w:tcPr>
          <w:p>
            <w:pPr>
              <w:spacing w:line="360" w:lineRule="auto"/>
              <w:ind w:left="-420" w:leftChars="-200" w:right="-420" w:rightChars="-200"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73" w:type="pct"/>
            <w:vAlign w:val="center"/>
          </w:tcPr>
          <w:p>
            <w:pPr>
              <w:spacing w:line="360" w:lineRule="auto"/>
              <w:ind w:right="-420" w:right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合同生效后7个工作日内支付合同金额的40%作为预付款，按季度支付，优先从预付款里面扣除，甲方在组织对服务情况考核后支付第四季度款项。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73" w:type="pct"/>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73" w:type="pct"/>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3个工作日；3个工作日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73"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6"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73" w:type="pct"/>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一式伍份，双方各执贰份，鉴证方执壹份</w:t>
            </w: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9"/>
        <w:rPr>
          <w:rFonts w:ascii="宋体" w:hAnsi="宋体" w:cs="宋体"/>
          <w:color w:val="auto"/>
          <w:sz w:val="24"/>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01"/>
      <w:r>
        <w:rPr>
          <w:rFonts w:hint="eastAsia" w:ascii="宋体" w:hAnsi="宋体" w:cs="宋体"/>
          <w:b/>
          <w:color w:val="auto"/>
          <w:sz w:val="36"/>
          <w:szCs w:val="20"/>
        </w:rPr>
        <w:t xml:space="preserve"> </w:t>
      </w:r>
      <w:bookmarkEnd w:id="402"/>
      <w:r>
        <w:rPr>
          <w:rFonts w:hint="eastAsia" w:ascii="宋体" w:hAnsi="宋体" w:cs="宋体"/>
          <w:b/>
          <w:color w:val="auto"/>
          <w:sz w:val="36"/>
          <w:szCs w:val="20"/>
        </w:rPr>
        <w:t>应提交的有关格式范例</w:t>
      </w:r>
    </w:p>
    <w:p>
      <w:pPr>
        <w:spacing w:line="360" w:lineRule="auto"/>
        <w:jc w:val="center"/>
        <w:outlineLvl w:val="9"/>
        <w:rPr>
          <w:rFonts w:ascii="宋体" w:hAnsi="宋体" w:cs="宋体"/>
          <w:b/>
          <w:color w:val="auto"/>
          <w:kern w:val="0"/>
          <w:sz w:val="36"/>
          <w:szCs w:val="36"/>
        </w:r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snapToGrid w:val="0"/>
        <w:spacing w:line="360" w:lineRule="auto"/>
        <w:outlineLvl w:val="9"/>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outlineLvl w:val="9"/>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杭州殡仪馆2025年安保服务项目</w:t>
      </w:r>
      <w:r>
        <w:rPr>
          <w:rFonts w:hint="eastAsia" w:ascii="宋体" w:hAnsi="宋体" w:cs="宋体"/>
          <w:color w:val="auto"/>
          <w:sz w:val="24"/>
        </w:rPr>
        <w:t>【招标编号：</w:t>
      </w:r>
      <w:r>
        <w:rPr>
          <w:rFonts w:hint="eastAsia" w:ascii="宋体" w:hAnsi="宋体" w:cs="宋体"/>
          <w:color w:val="auto"/>
          <w:sz w:val="24"/>
          <w:lang w:eastAsia="zh-CN"/>
        </w:rPr>
        <w:t>ZKGC-HZBYG2024-075</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outlineLvl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outlineLvl w:val="2"/>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outlineLvl w:val="1"/>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9"/>
        <w:rPr>
          <w:rFonts w:ascii="宋体" w:hAnsi="宋体" w:cs="宋体"/>
          <w:b/>
          <w:color w:val="auto"/>
          <w:kern w:val="0"/>
          <w:sz w:val="24"/>
        </w:rPr>
      </w:pPr>
    </w:p>
    <w:p>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杭州殡仪馆2025年安保服务项目</w:t>
      </w:r>
      <w:r>
        <w:rPr>
          <w:rFonts w:hint="eastAsia" w:ascii="宋体" w:hAnsi="宋体" w:cs="宋体"/>
          <w:color w:val="auto"/>
          <w:sz w:val="24"/>
        </w:rPr>
        <w:t>【招标编号：</w:t>
      </w:r>
      <w:r>
        <w:rPr>
          <w:rFonts w:hint="eastAsia" w:ascii="宋体" w:hAnsi="宋体" w:cs="宋体"/>
          <w:color w:val="auto"/>
          <w:sz w:val="24"/>
          <w:lang w:eastAsia="zh-CN"/>
        </w:rPr>
        <w:t>ZKGC-HZBYG2024-075</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6" w:name="_Hlk101257010"/>
      <w:r>
        <w:rPr>
          <w:rFonts w:hint="eastAsia" w:ascii="宋体" w:hAnsi="宋体" w:cs="宋体"/>
          <w:color w:val="auto"/>
          <w:sz w:val="24"/>
        </w:rPr>
        <w:t>（如果有</w:t>
      </w:r>
      <w:r>
        <w:rPr>
          <w:rFonts w:hint="eastAsia" w:ascii="宋体" w:hAnsi="宋体" w:cs="宋体"/>
          <w:color w:val="auto"/>
          <w:sz w:val="24"/>
          <w:lang w:eastAsia="zh-CN"/>
        </w:rPr>
        <w:t>）</w:t>
      </w:r>
      <w:bookmarkEnd w:id="51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cs="宋体"/>
          <w:color w:val="auto"/>
          <w:sz w:val="24"/>
        </w:rPr>
        <w:t>服务全部由符合政策要求的中小企业承接，提供中小企业声明函；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color w:val="auto"/>
          <w:sz w:val="24"/>
          <w:lang w:val="en-US" w:eastAsia="zh-CN"/>
        </w:rPr>
        <w:t>无</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2.3.2 报价情况说明（如果有）。</w:t>
      </w:r>
    </w:p>
    <w:p>
      <w:pPr>
        <w:pStyle w:val="82"/>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tabs>
          <w:tab w:val="left" w:pos="432"/>
        </w:tabs>
        <w:outlineLvl w:val="9"/>
        <w:rPr>
          <w:color w:val="auto"/>
          <w:lang w:val="en-US"/>
        </w:rPr>
      </w:pPr>
    </w:p>
    <w:p>
      <w:pPr>
        <w:jc w:val="center"/>
        <w:rPr>
          <w:rFonts w:ascii="宋体" w:hAnsi="宋体" w:cs="宋体"/>
          <w:b/>
          <w:color w:val="auto"/>
          <w:kern w:val="0"/>
          <w:sz w:val="32"/>
          <w:szCs w:val="32"/>
        </w:rPr>
      </w:pPr>
    </w:p>
    <w:p>
      <w:pPr>
        <w:jc w:val="center"/>
        <w:outlineLvl w:val="9"/>
        <w:rPr>
          <w:rFonts w:ascii="宋体" w:hAnsi="宋体" w:cs="宋体"/>
          <w:b/>
          <w:color w:val="auto"/>
          <w:kern w:val="0"/>
          <w:sz w:val="32"/>
          <w:szCs w:val="32"/>
        </w:rPr>
      </w:pPr>
    </w:p>
    <w:p>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杭州殡仪馆2025年安保服务项目</w:t>
      </w:r>
      <w:r>
        <w:rPr>
          <w:rFonts w:hint="eastAsia" w:ascii="宋体" w:hAnsi="宋体" w:cs="宋体"/>
          <w:color w:val="auto"/>
          <w:sz w:val="24"/>
        </w:rPr>
        <w:t>【招标编号：</w:t>
      </w:r>
      <w:r>
        <w:rPr>
          <w:rFonts w:hint="eastAsia" w:ascii="宋体" w:hAnsi="宋体" w:cs="宋体"/>
          <w:color w:val="auto"/>
          <w:sz w:val="24"/>
          <w:lang w:eastAsia="zh-CN"/>
        </w:rPr>
        <w:t>ZKGC-HZBYG2024-075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杭州殡仪馆2025年安保服务项目</w:t>
      </w:r>
      <w:r>
        <w:rPr>
          <w:rFonts w:hint="eastAsia" w:ascii="宋体" w:hAnsi="宋体" w:cs="宋体"/>
          <w:color w:val="auto"/>
          <w:sz w:val="24"/>
        </w:rPr>
        <w:t>【招标编号：</w:t>
      </w:r>
      <w:r>
        <w:rPr>
          <w:rFonts w:hint="eastAsia" w:ascii="宋体" w:hAnsi="宋体" w:cs="宋体"/>
          <w:color w:val="auto"/>
          <w:sz w:val="24"/>
          <w:lang w:eastAsia="zh-CN"/>
        </w:rPr>
        <w:t>ZKGC-HZBYG2024-075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auto"/>
                <w:sz w:val="24"/>
              </w:rPr>
            </w:pPr>
            <w:r>
              <w:rPr>
                <w:rFonts w:hint="eastAsia" w:hAnsi="宋体" w:cs="宋体"/>
                <w:bCs/>
                <w:color w:val="auto"/>
                <w:sz w:val="24"/>
              </w:rPr>
              <w:t>正面：                                 反面：</w:t>
            </w:r>
          </w:p>
          <w:p>
            <w:pPr>
              <w:pStyle w:val="152"/>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numPr>
          <w:ilvl w:val="0"/>
          <w:numId w:val="1"/>
        </w:numPr>
        <w:snapToGrid w:val="0"/>
        <w:spacing w:line="360" w:lineRule="auto"/>
        <w:outlineLvl w:val="9"/>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pStyle w:val="82"/>
        <w:rPr>
          <w:rFonts w:hint="eastAsia"/>
          <w:color w:val="auto"/>
        </w:rPr>
      </w:pPr>
    </w:p>
    <w:p>
      <w:pPr>
        <w:pStyle w:val="82"/>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杭州殡仪馆2025年安保服务项目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ZKGC-HZBYG2024-075</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4"/>
        <w:keepNext w:val="0"/>
        <w:pageBreakBefore/>
        <w:numPr>
          <w:ilvl w:val="0"/>
          <w:numId w:val="2"/>
        </w:numPr>
        <w:tabs>
          <w:tab w:val="clear" w:pos="720"/>
        </w:tabs>
        <w:snapToGrid w:val="0"/>
        <w:spacing w:before="120" w:after="120"/>
        <w:ind w:firstLine="643"/>
        <w:outlineLvl w:val="2"/>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82"/>
        <w:rPr>
          <w:rFonts w:hint="eastAsia" w:ascii="宋体" w:hAnsi="宋体" w:cs="宋体"/>
          <w:b/>
          <w:color w:val="auto"/>
          <w:sz w:val="24"/>
        </w:rPr>
      </w:pP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附件1：残疾人福利性单位声明函</w:t>
      </w:r>
    </w:p>
    <w:p>
      <w:pPr>
        <w:spacing w:line="360" w:lineRule="auto"/>
        <w:jc w:val="center"/>
        <w:rPr>
          <w:rFonts w:ascii="宋体" w:hAnsi="宋体" w:cs="宋体"/>
          <w:b/>
          <w:color w:val="auto"/>
          <w:spacing w:val="6"/>
          <w:sz w:val="32"/>
          <w:szCs w:val="32"/>
        </w:rPr>
      </w:pPr>
      <w:bookmarkStart w:id="517" w:name="OLE_LINK14"/>
      <w:bookmarkStart w:id="518" w:name="OLE_LINK13"/>
      <w:r>
        <w:rPr>
          <w:rFonts w:hint="eastAsia" w:ascii="宋体" w:hAnsi="宋体" w:cs="宋体"/>
          <w:b/>
          <w:color w:val="auto"/>
          <w:spacing w:val="6"/>
          <w:sz w:val="32"/>
          <w:szCs w:val="32"/>
        </w:rPr>
        <w:t>残疾人福利性单位声明函</w:t>
      </w:r>
    </w:p>
    <w:bookmarkEnd w:id="517"/>
    <w:bookmarkEnd w:id="51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lang w:eastAsia="zh-CN"/>
        </w:rPr>
        <w:t>杭州殡仪馆</w:t>
      </w:r>
      <w:r>
        <w:rPr>
          <w:rFonts w:hint="eastAsia" w:ascii="宋体" w:hAnsi="宋体" w:cs="宋体"/>
          <w:color w:val="auto"/>
          <w:sz w:val="24"/>
        </w:rPr>
        <w:t>单位的</w:t>
      </w:r>
      <w:r>
        <w:rPr>
          <w:rFonts w:hint="eastAsia" w:ascii="宋体" w:hAnsi="宋体" w:cs="宋体"/>
          <w:color w:val="auto"/>
          <w:sz w:val="24"/>
          <w:u w:val="single"/>
          <w:lang w:eastAsia="zh-CN"/>
        </w:rPr>
        <w:t>杭州殡仪馆2025年安保服务项目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杭州殡仪馆</w:t>
      </w:r>
      <w:r>
        <w:rPr>
          <w:rFonts w:hint="eastAsia" w:ascii="宋体" w:hAnsi="宋体" w:cs="宋体"/>
          <w:color w:val="auto"/>
          <w:sz w:val="24"/>
          <w:u w:val="single"/>
        </w:rPr>
        <w:t>、</w:t>
      </w:r>
      <w:r>
        <w:rPr>
          <w:rFonts w:hint="eastAsia" w:ascii="宋体" w:hAnsi="宋体" w:cs="宋体"/>
          <w:color w:val="auto"/>
          <w:sz w:val="24"/>
          <w:u w:val="single"/>
          <w:lang w:eastAsia="zh-CN"/>
        </w:rPr>
        <w:t>浙江浙坤工程管理有限公司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杭州殡仪馆2025年安保服务项目</w:t>
      </w:r>
      <w:r>
        <w:rPr>
          <w:rFonts w:hint="eastAsia" w:ascii="宋体" w:hAnsi="宋体" w:cs="宋体"/>
          <w:color w:val="auto"/>
          <w:sz w:val="24"/>
        </w:rPr>
        <w:t>【招标编号：</w:t>
      </w:r>
      <w:r>
        <w:rPr>
          <w:rFonts w:hint="eastAsia" w:ascii="宋体" w:hAnsi="宋体" w:cs="宋体"/>
          <w:color w:val="auto"/>
          <w:sz w:val="24"/>
          <w:lang w:eastAsia="zh-CN"/>
        </w:rPr>
        <w:t>ZKGC-HZBYG2024-075</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杭州殡仪馆2025年安保服务项目</w:t>
      </w:r>
      <w:r>
        <w:rPr>
          <w:rFonts w:hint="eastAsia" w:ascii="宋体" w:hAnsi="宋体" w:cs="宋体"/>
          <w:color w:val="auto"/>
          <w:sz w:val="24"/>
        </w:rPr>
        <w:t>【招标编号：</w:t>
      </w:r>
      <w:r>
        <w:rPr>
          <w:rFonts w:hint="eastAsia" w:ascii="宋体" w:hAnsi="宋体" w:cs="宋体"/>
          <w:color w:val="auto"/>
          <w:sz w:val="24"/>
          <w:lang w:eastAsia="zh-CN"/>
        </w:rPr>
        <w:t>ZKGC-HZBYG2024-075</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0"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0"/>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1"/>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0" w:firstLineChars="0"/>
        <w:jc w:val="center"/>
        <w:outlineLvl w:val="1"/>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杭州殡仪馆2025年安保服务项目</w:t>
      </w:r>
      <w:r>
        <w:rPr>
          <w:rFonts w:hint="eastAsia" w:ascii="宋体" w:hAnsi="宋体" w:cs="宋体"/>
          <w:color w:val="auto"/>
          <w:sz w:val="24"/>
        </w:rPr>
        <w:t>【招标编号：</w:t>
      </w:r>
      <w:r>
        <w:rPr>
          <w:rFonts w:hint="eastAsia" w:ascii="宋体" w:hAnsi="宋体" w:cs="宋体"/>
          <w:color w:val="auto"/>
          <w:sz w:val="24"/>
          <w:lang w:eastAsia="zh-CN"/>
        </w:rPr>
        <w:t>ZKGC-HZBYG2024-075</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u w:val="single"/>
        </w:rPr>
      </w:pPr>
      <w:r>
        <w:rPr>
          <w:rFonts w:hint="eastAsia" w:ascii="宋体" w:hAnsi="宋体" w:cs="宋体"/>
          <w:color w:val="auto"/>
          <w:kern w:val="0"/>
          <w:sz w:val="24"/>
          <w:lang w:val="zh-CN"/>
        </w:rPr>
        <w:t>三、分包工作履行期限、地点、方式</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五、价款或者报酬</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六、违约责任</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left"/>
        <w:outlineLvl w:val="1"/>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杭州殡仪馆</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杭州殡仪馆2025年安保服务项目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2" w:name="_Toc36110187"/>
    <w:bookmarkStart w:id="523" w:name="_Toc131845147"/>
    <w:bookmarkStart w:id="524" w:name="_Toc164085800"/>
    <w:bookmarkStart w:id="525" w:name="_Toc91899912"/>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621"/>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760B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86C6C"/>
    <w:rsid w:val="048F763B"/>
    <w:rsid w:val="049F330E"/>
    <w:rsid w:val="04AA775C"/>
    <w:rsid w:val="04AF1889"/>
    <w:rsid w:val="04F66F48"/>
    <w:rsid w:val="05062595"/>
    <w:rsid w:val="05251E14"/>
    <w:rsid w:val="05A16594"/>
    <w:rsid w:val="05A7762D"/>
    <w:rsid w:val="060E5941"/>
    <w:rsid w:val="06110FAF"/>
    <w:rsid w:val="06493CA7"/>
    <w:rsid w:val="065A6178"/>
    <w:rsid w:val="066F1CF3"/>
    <w:rsid w:val="06930BB8"/>
    <w:rsid w:val="07245D42"/>
    <w:rsid w:val="07264C62"/>
    <w:rsid w:val="073267E9"/>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83EA1"/>
    <w:rsid w:val="09E04166"/>
    <w:rsid w:val="0A1C0718"/>
    <w:rsid w:val="0A3E7710"/>
    <w:rsid w:val="0A4E70E3"/>
    <w:rsid w:val="0A5B7E63"/>
    <w:rsid w:val="0AA374A5"/>
    <w:rsid w:val="0AAB7649"/>
    <w:rsid w:val="0ABC5606"/>
    <w:rsid w:val="0B30404E"/>
    <w:rsid w:val="0B341F0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D3E94"/>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85159"/>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441CE"/>
    <w:rsid w:val="139B1A0A"/>
    <w:rsid w:val="139D25C7"/>
    <w:rsid w:val="13BF3CE4"/>
    <w:rsid w:val="141008D8"/>
    <w:rsid w:val="14125FE6"/>
    <w:rsid w:val="146D271E"/>
    <w:rsid w:val="14982588"/>
    <w:rsid w:val="149A5AD9"/>
    <w:rsid w:val="149E18B8"/>
    <w:rsid w:val="14A7619D"/>
    <w:rsid w:val="150536C3"/>
    <w:rsid w:val="150C1963"/>
    <w:rsid w:val="151447A0"/>
    <w:rsid w:val="154A6454"/>
    <w:rsid w:val="15695ACC"/>
    <w:rsid w:val="15762120"/>
    <w:rsid w:val="16A8729C"/>
    <w:rsid w:val="16B33777"/>
    <w:rsid w:val="16BC70A7"/>
    <w:rsid w:val="16C6339E"/>
    <w:rsid w:val="172F2D79"/>
    <w:rsid w:val="17557BEF"/>
    <w:rsid w:val="17D22CD4"/>
    <w:rsid w:val="17D349C1"/>
    <w:rsid w:val="1830729E"/>
    <w:rsid w:val="1870062C"/>
    <w:rsid w:val="18817102"/>
    <w:rsid w:val="18830A15"/>
    <w:rsid w:val="18852B28"/>
    <w:rsid w:val="188B5321"/>
    <w:rsid w:val="19932372"/>
    <w:rsid w:val="199F72DD"/>
    <w:rsid w:val="19A20DD5"/>
    <w:rsid w:val="19AE03F1"/>
    <w:rsid w:val="19F221DE"/>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C2D11"/>
    <w:rsid w:val="1C1B3B4A"/>
    <w:rsid w:val="1C88086E"/>
    <w:rsid w:val="1D266CE1"/>
    <w:rsid w:val="1D3963AF"/>
    <w:rsid w:val="1D6A673C"/>
    <w:rsid w:val="1D9247AE"/>
    <w:rsid w:val="1DB567EC"/>
    <w:rsid w:val="1DE052ED"/>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584C46"/>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539D9"/>
    <w:rsid w:val="28333E1D"/>
    <w:rsid w:val="28454BD6"/>
    <w:rsid w:val="28455253"/>
    <w:rsid w:val="28551971"/>
    <w:rsid w:val="285B1C53"/>
    <w:rsid w:val="289F7086"/>
    <w:rsid w:val="28C32028"/>
    <w:rsid w:val="28CC490F"/>
    <w:rsid w:val="28DE40AA"/>
    <w:rsid w:val="29345E77"/>
    <w:rsid w:val="294C65AD"/>
    <w:rsid w:val="29806583"/>
    <w:rsid w:val="298B3C4C"/>
    <w:rsid w:val="298F31CF"/>
    <w:rsid w:val="29F26D24"/>
    <w:rsid w:val="2A15033F"/>
    <w:rsid w:val="2A1662C1"/>
    <w:rsid w:val="2A1C7367"/>
    <w:rsid w:val="2A2815FA"/>
    <w:rsid w:val="2A6D6092"/>
    <w:rsid w:val="2A7D76B4"/>
    <w:rsid w:val="2AB225D1"/>
    <w:rsid w:val="2B437463"/>
    <w:rsid w:val="2B4F778C"/>
    <w:rsid w:val="2B7807EE"/>
    <w:rsid w:val="2BA50BF7"/>
    <w:rsid w:val="2BBF00EC"/>
    <w:rsid w:val="2BC37CFD"/>
    <w:rsid w:val="2BD5237F"/>
    <w:rsid w:val="2BE536CE"/>
    <w:rsid w:val="2BE758D9"/>
    <w:rsid w:val="2BF2334B"/>
    <w:rsid w:val="2C09049E"/>
    <w:rsid w:val="2C0A653C"/>
    <w:rsid w:val="2C191F85"/>
    <w:rsid w:val="2C1D29FA"/>
    <w:rsid w:val="2CE82D6F"/>
    <w:rsid w:val="2D343236"/>
    <w:rsid w:val="2DD15014"/>
    <w:rsid w:val="2DF72DE4"/>
    <w:rsid w:val="2E0220AF"/>
    <w:rsid w:val="2E4B082A"/>
    <w:rsid w:val="2E5D4E86"/>
    <w:rsid w:val="2E5D790B"/>
    <w:rsid w:val="2E9A3C18"/>
    <w:rsid w:val="2EBB0FEE"/>
    <w:rsid w:val="2EC271D7"/>
    <w:rsid w:val="2EC63002"/>
    <w:rsid w:val="2F0A6B38"/>
    <w:rsid w:val="2F946CCB"/>
    <w:rsid w:val="2FD25781"/>
    <w:rsid w:val="2FDC745C"/>
    <w:rsid w:val="2FFD7934"/>
    <w:rsid w:val="30134B5A"/>
    <w:rsid w:val="30733ACD"/>
    <w:rsid w:val="308C3862"/>
    <w:rsid w:val="309379D8"/>
    <w:rsid w:val="30A270F7"/>
    <w:rsid w:val="30DF1478"/>
    <w:rsid w:val="30EC586F"/>
    <w:rsid w:val="310402C4"/>
    <w:rsid w:val="314550B7"/>
    <w:rsid w:val="319C6071"/>
    <w:rsid w:val="31AC537E"/>
    <w:rsid w:val="31E3679B"/>
    <w:rsid w:val="31E732FD"/>
    <w:rsid w:val="31ED10B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C3C54"/>
    <w:rsid w:val="363A3B40"/>
    <w:rsid w:val="365302AE"/>
    <w:rsid w:val="36607A0A"/>
    <w:rsid w:val="366E227C"/>
    <w:rsid w:val="366F2E0D"/>
    <w:rsid w:val="367B6A5C"/>
    <w:rsid w:val="36A74ADA"/>
    <w:rsid w:val="36AD60D5"/>
    <w:rsid w:val="36B224F9"/>
    <w:rsid w:val="36EC0CC9"/>
    <w:rsid w:val="372A5D57"/>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451E1"/>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25E0D"/>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53538"/>
    <w:rsid w:val="3FD36C9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A3705"/>
    <w:rsid w:val="43977AB6"/>
    <w:rsid w:val="43A3342B"/>
    <w:rsid w:val="43C77C27"/>
    <w:rsid w:val="43DE09EE"/>
    <w:rsid w:val="44002FAD"/>
    <w:rsid w:val="447137A5"/>
    <w:rsid w:val="449101DD"/>
    <w:rsid w:val="44DE1391"/>
    <w:rsid w:val="451B225C"/>
    <w:rsid w:val="452410C9"/>
    <w:rsid w:val="45317DFB"/>
    <w:rsid w:val="45344EFF"/>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92F3D"/>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180E1F"/>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812C9"/>
    <w:rsid w:val="4EEC050C"/>
    <w:rsid w:val="4EF22EFB"/>
    <w:rsid w:val="4F104EC3"/>
    <w:rsid w:val="4F11005F"/>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4704"/>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45F6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E6171"/>
    <w:rsid w:val="566B6D1E"/>
    <w:rsid w:val="56D40E6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C705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215E5"/>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25A6B"/>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1387E"/>
    <w:rsid w:val="68B96DBB"/>
    <w:rsid w:val="68CA2805"/>
    <w:rsid w:val="68E937A3"/>
    <w:rsid w:val="691664E5"/>
    <w:rsid w:val="693E15D3"/>
    <w:rsid w:val="69627681"/>
    <w:rsid w:val="6977531D"/>
    <w:rsid w:val="69CC2BFF"/>
    <w:rsid w:val="69FD55B8"/>
    <w:rsid w:val="6A0B1C62"/>
    <w:rsid w:val="6A2406C8"/>
    <w:rsid w:val="6ADE0BD1"/>
    <w:rsid w:val="6AE96859"/>
    <w:rsid w:val="6B0D3B7A"/>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C6640"/>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243F1"/>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D3F64"/>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Document Map"/>
    <w:basedOn w:val="1"/>
    <w:link w:val="205"/>
    <w:qFormat/>
    <w:uiPriority w:val="0"/>
    <w:pPr>
      <w:shd w:val="clear" w:color="auto" w:fill="000080"/>
    </w:pPr>
  </w:style>
  <w:style w:type="paragraph" w:styleId="7">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w:basedOn w:val="24"/>
    <w:link w:val="323"/>
    <w:qFormat/>
    <w:uiPriority w:val="0"/>
    <w:pPr>
      <w:ind w:firstLine="420"/>
    </w:pPr>
    <w:rPr>
      <w:rFonts w:hAnsi="Calibri" w:cs="Times New Roman"/>
      <w:snapToGrid/>
      <w:szCs w:val="20"/>
    </w:rPr>
  </w:style>
  <w:style w:type="paragraph" w:styleId="62">
    <w:name w:val="Body Text First Indent 2"/>
    <w:basedOn w:val="25"/>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Normal Indent1"/>
    <w:basedOn w:val="1"/>
    <w:qFormat/>
    <w:uiPriority w:val="0"/>
    <w:pPr>
      <w:ind w:firstLine="420" w:firstLineChars="200"/>
    </w:p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标题 1 Char"/>
    <w:link w:val="4"/>
    <w:qFormat/>
    <w:uiPriority w:val="9"/>
    <w:rPr>
      <w:b/>
      <w:bCs/>
      <w:kern w:val="44"/>
      <w:sz w:val="44"/>
      <w:szCs w:val="4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3"/>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891</Words>
  <Characters>1125</Characters>
  <Lines>281</Lines>
  <Paragraphs>79</Paragraphs>
  <TotalTime>20</TotalTime>
  <ScaleCrop>false</ScaleCrop>
  <LinksUpToDate>false</LinksUpToDate>
  <CharactersWithSpaces>1244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ZhuanZ</cp:lastModifiedBy>
  <cp:lastPrinted>2021-12-27T11:06:00Z</cp:lastPrinted>
  <dcterms:modified xsi:type="dcterms:W3CDTF">2024-12-06T02:41:16Z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BB76E141B5434E789D9B4B0361E0ADAB_13</vt:lpwstr>
  </property>
</Properties>
</file>