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BE56">
      <w:pPr>
        <w:spacing w:line="360" w:lineRule="auto"/>
        <w:jc w:val="center"/>
        <w:rPr>
          <w:rFonts w:ascii="宋体" w:hAnsi="宋体" w:cs="宋体"/>
          <w:b/>
          <w:sz w:val="24"/>
        </w:rPr>
      </w:pPr>
    </w:p>
    <w:p w14:paraId="56AC2B78">
      <w:pPr>
        <w:spacing w:line="360" w:lineRule="auto"/>
        <w:jc w:val="center"/>
        <w:rPr>
          <w:rFonts w:ascii="宋体" w:hAnsi="宋体" w:cs="宋体"/>
          <w:b/>
          <w:sz w:val="24"/>
        </w:rPr>
      </w:pPr>
    </w:p>
    <w:p w14:paraId="0CE8F04C">
      <w:pPr>
        <w:rPr>
          <w:rFonts w:ascii="宋体" w:hAnsi="宋体" w:cs="宋体"/>
        </w:rPr>
      </w:pPr>
    </w:p>
    <w:p w14:paraId="1640868C">
      <w:pPr>
        <w:adjustRightInd/>
        <w:spacing w:line="360" w:lineRule="auto"/>
        <w:jc w:val="center"/>
        <w:rPr>
          <w:rFonts w:ascii="宋体" w:hAnsi="宋体" w:cs="宋体"/>
          <w:sz w:val="144"/>
          <w:szCs w:val="144"/>
        </w:rPr>
      </w:pPr>
      <w:r>
        <w:rPr>
          <w:rFonts w:hint="eastAsia" w:ascii="宋体" w:hAnsi="宋体" w:cs="宋体"/>
          <w:b/>
          <w:bCs/>
          <w:color w:val="000000"/>
          <w:sz w:val="56"/>
          <w:szCs w:val="56"/>
        </w:rPr>
        <w:t>余杭区公共数据运营服务项目</w:t>
      </w:r>
    </w:p>
    <w:p w14:paraId="4D06C29A">
      <w:pPr>
        <w:pStyle w:val="62"/>
        <w:rPr>
          <w:rFonts w:ascii="宋体" w:hAnsi="宋体" w:cs="宋体"/>
        </w:rPr>
      </w:pPr>
    </w:p>
    <w:p w14:paraId="409CBD01">
      <w:pPr>
        <w:adjustRightInd/>
        <w:spacing w:line="360" w:lineRule="auto"/>
        <w:jc w:val="center"/>
        <w:rPr>
          <w:rFonts w:ascii="宋体" w:hAnsi="宋体" w:cs="宋体"/>
          <w:sz w:val="84"/>
          <w:szCs w:val="84"/>
        </w:rPr>
      </w:pPr>
      <w:r>
        <w:rPr>
          <w:rFonts w:hint="eastAsia" w:ascii="宋体" w:hAnsi="宋体" w:cs="宋体"/>
          <w:sz w:val="84"/>
          <w:szCs w:val="84"/>
        </w:rPr>
        <w:t xml:space="preserve">招  标  文  件 </w:t>
      </w:r>
    </w:p>
    <w:p w14:paraId="001401A4">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C4DCFF7">
      <w:pPr>
        <w:snapToGrid w:val="0"/>
        <w:spacing w:line="360" w:lineRule="auto"/>
        <w:jc w:val="center"/>
        <w:rPr>
          <w:rFonts w:hint="eastAsia" w:ascii="宋体" w:hAnsi="宋体" w:eastAsia="宋体" w:cs="宋体"/>
          <w:sz w:val="36"/>
          <w:szCs w:val="36"/>
          <w:lang w:eastAsia="zh-CN"/>
        </w:rPr>
      </w:pPr>
      <w:r>
        <w:rPr>
          <w:rFonts w:hint="eastAsia" w:ascii="宋体" w:hAnsi="宋体" w:cs="宋体"/>
          <w:sz w:val="36"/>
          <w:szCs w:val="36"/>
        </w:rPr>
        <w:t>编号:</w:t>
      </w:r>
      <w:r>
        <w:rPr>
          <w:rFonts w:hint="eastAsia" w:ascii="宋体" w:hAnsi="宋体" w:cs="宋体"/>
          <w:sz w:val="36"/>
          <w:szCs w:val="36"/>
          <w:lang w:eastAsia="zh-CN"/>
        </w:rPr>
        <w:t>YHZFCG2024-013-1</w:t>
      </w:r>
    </w:p>
    <w:p w14:paraId="478C3DD9">
      <w:pPr>
        <w:adjustRightInd/>
        <w:spacing w:line="360" w:lineRule="auto"/>
        <w:rPr>
          <w:rFonts w:ascii="宋体" w:hAnsi="宋体" w:cs="宋体"/>
          <w:sz w:val="28"/>
          <w:szCs w:val="20"/>
        </w:rPr>
      </w:pPr>
    </w:p>
    <w:p w14:paraId="7806FCD3">
      <w:pPr>
        <w:pStyle w:val="5"/>
        <w:rPr>
          <w:rFonts w:ascii="宋体" w:hAnsi="宋体" w:eastAsia="宋体" w:cs="宋体"/>
        </w:rPr>
      </w:pPr>
    </w:p>
    <w:p w14:paraId="7F1490C8">
      <w:pPr>
        <w:spacing w:line="360" w:lineRule="auto"/>
        <w:jc w:val="center"/>
        <w:rPr>
          <w:rFonts w:ascii="宋体" w:hAnsi="宋体" w:cs="宋体"/>
          <w:b/>
          <w:sz w:val="44"/>
          <w:szCs w:val="44"/>
        </w:rPr>
      </w:pPr>
    </w:p>
    <w:p w14:paraId="5465CB14">
      <w:pPr>
        <w:spacing w:line="360" w:lineRule="auto"/>
        <w:jc w:val="center"/>
        <w:rPr>
          <w:rFonts w:ascii="宋体" w:hAnsi="宋体" w:cs="宋体"/>
          <w:sz w:val="24"/>
        </w:rPr>
      </w:pPr>
    </w:p>
    <w:p w14:paraId="293204C2">
      <w:pPr>
        <w:snapToGrid w:val="0"/>
        <w:spacing w:line="360" w:lineRule="auto"/>
        <w:jc w:val="center"/>
        <w:rPr>
          <w:rFonts w:ascii="宋体" w:hAnsi="宋体" w:cs="宋体"/>
          <w:sz w:val="36"/>
          <w:szCs w:val="36"/>
        </w:rPr>
      </w:pPr>
      <w:r>
        <w:rPr>
          <w:rFonts w:hint="eastAsia" w:ascii="宋体" w:hAnsi="宋体" w:cs="宋体"/>
          <w:sz w:val="36"/>
          <w:szCs w:val="36"/>
        </w:rPr>
        <w:t>采购人：杭州市余杭区数据资源管理局</w:t>
      </w:r>
    </w:p>
    <w:p w14:paraId="11E8A7B2">
      <w:pPr>
        <w:snapToGrid w:val="0"/>
        <w:spacing w:line="360" w:lineRule="auto"/>
        <w:jc w:val="center"/>
        <w:rPr>
          <w:rFonts w:ascii="宋体" w:hAnsi="宋体" w:cs="宋体"/>
          <w:sz w:val="36"/>
          <w:szCs w:val="36"/>
        </w:rPr>
      </w:pPr>
      <w:r>
        <w:rPr>
          <w:rFonts w:hint="eastAsia" w:ascii="宋体" w:hAnsi="宋体" w:cs="宋体"/>
          <w:sz w:val="36"/>
          <w:szCs w:val="36"/>
        </w:rPr>
        <w:t>采购代理机构：耀华建设管理有限公司</w:t>
      </w:r>
    </w:p>
    <w:p w14:paraId="78615FDE">
      <w:pPr>
        <w:snapToGrid w:val="0"/>
        <w:spacing w:line="360" w:lineRule="auto"/>
        <w:jc w:val="center"/>
        <w:rPr>
          <w:rFonts w:ascii="宋体" w:hAnsi="宋体" w:cs="宋体"/>
          <w:sz w:val="36"/>
          <w:szCs w:val="36"/>
        </w:rPr>
      </w:pPr>
      <w:r>
        <w:rPr>
          <w:rFonts w:hint="eastAsia" w:ascii="宋体" w:hAnsi="宋体" w:cs="宋体"/>
          <w:sz w:val="36"/>
          <w:szCs w:val="36"/>
        </w:rPr>
        <w:t>二〇二四年</w:t>
      </w:r>
      <w:r>
        <w:rPr>
          <w:rFonts w:hint="eastAsia" w:ascii="宋体" w:hAnsi="宋体" w:cs="宋体"/>
          <w:sz w:val="36"/>
          <w:szCs w:val="36"/>
          <w:lang w:val="en-US" w:eastAsia="zh-CN"/>
        </w:rPr>
        <w:t>六</w:t>
      </w:r>
      <w:r>
        <w:rPr>
          <w:rFonts w:hint="eastAsia" w:ascii="宋体" w:hAnsi="宋体" w:cs="宋体"/>
          <w:sz w:val="36"/>
          <w:szCs w:val="36"/>
        </w:rPr>
        <w:t>月</w:t>
      </w:r>
      <w:r>
        <w:rPr>
          <w:rFonts w:hint="eastAsia" w:ascii="宋体" w:hAnsi="宋体" w:cs="宋体"/>
          <w:sz w:val="36"/>
          <w:szCs w:val="36"/>
          <w:lang w:val="en-US" w:eastAsia="zh-CN"/>
        </w:rPr>
        <w:t>二十一</w:t>
      </w:r>
      <w:r>
        <w:rPr>
          <w:rFonts w:hint="eastAsia" w:ascii="宋体" w:hAnsi="宋体" w:cs="宋体"/>
          <w:sz w:val="36"/>
          <w:szCs w:val="36"/>
        </w:rPr>
        <w:t>日</w:t>
      </w:r>
    </w:p>
    <w:p w14:paraId="4FDA5669">
      <w:pPr>
        <w:spacing w:line="360" w:lineRule="auto"/>
        <w:jc w:val="center"/>
        <w:rPr>
          <w:rFonts w:ascii="宋体" w:hAnsi="宋体" w:cs="宋体"/>
          <w:sz w:val="24"/>
        </w:rPr>
      </w:pPr>
      <w:bookmarkStart w:id="0" w:name="_Hlt67893495"/>
      <w:bookmarkEnd w:id="0"/>
    </w:p>
    <w:p w14:paraId="7E865B56">
      <w:pPr>
        <w:jc w:val="center"/>
        <w:rPr>
          <w:rFonts w:ascii="宋体" w:hAnsi="宋体" w:cs="宋体"/>
          <w:b/>
          <w:sz w:val="48"/>
          <w:szCs w:val="48"/>
        </w:rPr>
      </w:pPr>
      <w:r>
        <w:rPr>
          <w:rFonts w:hint="eastAsia" w:ascii="宋体" w:hAnsi="宋体" w:cs="宋体"/>
          <w:b/>
          <w:sz w:val="48"/>
          <w:szCs w:val="48"/>
        </w:rPr>
        <w:t>目  录</w:t>
      </w:r>
    </w:p>
    <w:p w14:paraId="6FA8CF9D">
      <w:pPr>
        <w:spacing w:line="360" w:lineRule="auto"/>
        <w:rPr>
          <w:rFonts w:ascii="宋体" w:hAnsi="宋体" w:cs="宋体"/>
          <w:sz w:val="32"/>
          <w:szCs w:val="32"/>
        </w:rPr>
      </w:pPr>
    </w:p>
    <w:p w14:paraId="7B9E630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1948A3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02A74F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3EB8F5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CC467E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09EF73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7BC3398">
      <w:pPr>
        <w:spacing w:line="360" w:lineRule="auto"/>
        <w:ind w:firstLine="549" w:firstLineChars="229"/>
        <w:rPr>
          <w:rFonts w:ascii="宋体" w:hAnsi="宋体" w:cs="宋体"/>
          <w:sz w:val="24"/>
        </w:rPr>
      </w:pPr>
      <w:bookmarkStart w:id="1" w:name="_Hlt91233176"/>
      <w:bookmarkEnd w:id="1"/>
      <w:bookmarkStart w:id="2" w:name="_Toc91899869"/>
    </w:p>
    <w:p w14:paraId="75EA8551">
      <w:pPr>
        <w:spacing w:line="360" w:lineRule="auto"/>
        <w:ind w:firstLine="549" w:firstLineChars="229"/>
        <w:rPr>
          <w:rFonts w:ascii="宋体" w:hAnsi="宋体" w:cs="宋体"/>
          <w:sz w:val="24"/>
        </w:rPr>
      </w:pPr>
    </w:p>
    <w:p w14:paraId="5819C9E4">
      <w:pPr>
        <w:spacing w:line="360" w:lineRule="auto"/>
        <w:ind w:firstLine="549" w:firstLineChars="229"/>
        <w:rPr>
          <w:rFonts w:ascii="宋体" w:hAnsi="宋体" w:cs="宋体"/>
          <w:sz w:val="24"/>
        </w:rPr>
      </w:pPr>
    </w:p>
    <w:p w14:paraId="4EC97BFF">
      <w:pPr>
        <w:spacing w:line="360" w:lineRule="auto"/>
        <w:ind w:firstLine="549" w:firstLineChars="229"/>
        <w:rPr>
          <w:rFonts w:ascii="宋体" w:hAnsi="宋体" w:cs="宋体"/>
          <w:sz w:val="24"/>
        </w:rPr>
      </w:pPr>
    </w:p>
    <w:p w14:paraId="6246830C">
      <w:pPr>
        <w:spacing w:line="360" w:lineRule="auto"/>
        <w:ind w:firstLine="549" w:firstLineChars="229"/>
        <w:rPr>
          <w:rFonts w:ascii="宋体" w:hAnsi="宋体" w:cs="宋体"/>
          <w:sz w:val="24"/>
        </w:rPr>
      </w:pPr>
    </w:p>
    <w:p w14:paraId="1C9683FC">
      <w:pPr>
        <w:spacing w:line="360" w:lineRule="auto"/>
        <w:ind w:firstLine="549" w:firstLineChars="229"/>
        <w:rPr>
          <w:rFonts w:ascii="宋体" w:hAnsi="宋体" w:cs="宋体"/>
          <w:sz w:val="24"/>
        </w:rPr>
      </w:pPr>
    </w:p>
    <w:p w14:paraId="65881568">
      <w:pPr>
        <w:spacing w:line="360" w:lineRule="auto"/>
        <w:ind w:firstLine="549" w:firstLineChars="229"/>
        <w:rPr>
          <w:rFonts w:ascii="宋体" w:hAnsi="宋体" w:cs="宋体"/>
          <w:sz w:val="24"/>
        </w:rPr>
      </w:pPr>
    </w:p>
    <w:p w14:paraId="5BB5ABB5">
      <w:pPr>
        <w:spacing w:line="360" w:lineRule="auto"/>
        <w:ind w:firstLine="549" w:firstLineChars="229"/>
        <w:rPr>
          <w:rFonts w:ascii="宋体" w:hAnsi="宋体" w:cs="宋体"/>
          <w:sz w:val="24"/>
        </w:rPr>
      </w:pPr>
    </w:p>
    <w:bookmarkEnd w:id="2"/>
    <w:p w14:paraId="4F3A5C51">
      <w:pPr>
        <w:rPr>
          <w:rFonts w:hint="eastAsia" w:ascii="宋体" w:hAnsi="宋体" w:cs="宋体"/>
          <w:b/>
          <w:sz w:val="36"/>
          <w:szCs w:val="20"/>
        </w:rPr>
      </w:pPr>
      <w:bookmarkStart w:id="3" w:name="第二部分"/>
      <w:bookmarkStart w:id="4" w:name="_Toc91899870"/>
      <w:bookmarkStart w:id="5" w:name="_Toc91899871"/>
      <w:r>
        <w:rPr>
          <w:rFonts w:hint="eastAsia" w:ascii="宋体" w:hAnsi="宋体" w:cs="宋体"/>
          <w:b/>
          <w:sz w:val="36"/>
          <w:szCs w:val="20"/>
        </w:rPr>
        <w:br w:type="page"/>
      </w:r>
    </w:p>
    <w:p w14:paraId="2C7212FC">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1439780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DD3806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（余杭区公共数据运营服务项目）</w:t>
      </w:r>
      <w:r>
        <w:rPr>
          <w:rFonts w:hint="eastAsia" w:ascii="宋体" w:hAnsi="宋体" w:cs="宋体"/>
          <w:color w:val="000000"/>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kern w:val="2"/>
          <w:sz w:val="24"/>
          <w:szCs w:val="24"/>
        </w:rPr>
        <w:t>https://www.zcygov.cn/）获取（下载）招标文件，并于</w:t>
      </w:r>
      <w:r>
        <w:rPr>
          <w:rStyle w:val="78"/>
          <w:rFonts w:hint="eastAsia" w:ascii="宋体" w:hAnsi="宋体" w:eastAsia="宋体" w:cs="宋体"/>
          <w:kern w:val="2"/>
          <w:sz w:val="24"/>
          <w:szCs w:val="24"/>
          <w:u w:val="single"/>
        </w:rPr>
        <w:t>2024年</w:t>
      </w:r>
      <w:r>
        <w:rPr>
          <w:rStyle w:val="78"/>
          <w:rFonts w:hint="eastAsia" w:ascii="宋体" w:hAnsi="宋体" w:eastAsia="黑体" w:cs="宋体"/>
          <w:kern w:val="2"/>
          <w:sz w:val="24"/>
          <w:szCs w:val="24"/>
          <w:u w:val="single"/>
          <w:lang w:val="en-US" w:eastAsia="zh-CN"/>
        </w:rPr>
        <w:t>07</w:t>
      </w:r>
      <w:r>
        <w:rPr>
          <w:rStyle w:val="78"/>
          <w:rFonts w:hint="eastAsia" w:ascii="宋体" w:hAnsi="宋体" w:eastAsia="宋体" w:cs="宋体"/>
          <w:kern w:val="2"/>
          <w:sz w:val="24"/>
          <w:szCs w:val="24"/>
          <w:u w:val="single"/>
        </w:rPr>
        <w:t>月</w:t>
      </w:r>
      <w:r>
        <w:rPr>
          <w:rStyle w:val="78"/>
          <w:rFonts w:hint="eastAsia" w:ascii="宋体" w:hAnsi="宋体" w:eastAsia="黑体" w:cs="宋体"/>
          <w:kern w:val="2"/>
          <w:sz w:val="24"/>
          <w:szCs w:val="24"/>
          <w:u w:val="single"/>
          <w:lang w:val="en-US" w:eastAsia="zh-CN"/>
        </w:rPr>
        <w:t>11</w:t>
      </w:r>
      <w:r>
        <w:rPr>
          <w:rStyle w:val="78"/>
          <w:rFonts w:hint="eastAsia" w:ascii="宋体" w:hAnsi="宋体" w:eastAsia="宋体" w:cs="宋体"/>
          <w:kern w:val="2"/>
          <w:sz w:val="24"/>
          <w:szCs w:val="24"/>
          <w:u w:val="single"/>
        </w:rPr>
        <w:t>日</w:t>
      </w:r>
      <w:r>
        <w:rPr>
          <w:rStyle w:val="78"/>
          <w:rFonts w:hint="eastAsia" w:ascii="宋体" w:hAnsi="宋体" w:eastAsia="黑体" w:cs="宋体"/>
          <w:kern w:val="2"/>
          <w:sz w:val="24"/>
          <w:szCs w:val="24"/>
          <w:u w:val="single"/>
          <w:lang w:val="en-US" w:eastAsia="zh-CN"/>
        </w:rPr>
        <w:t xml:space="preserve">  09</w:t>
      </w:r>
      <w:r>
        <w:rPr>
          <w:rStyle w:val="78"/>
          <w:rFonts w:hint="eastAsia" w:ascii="宋体" w:hAnsi="宋体" w:eastAsia="宋体" w:cs="宋体"/>
          <w:kern w:val="2"/>
          <w:sz w:val="24"/>
          <w:szCs w:val="24"/>
          <w:u w:val="single"/>
        </w:rPr>
        <w:t>点</w:t>
      </w:r>
      <w:r>
        <w:rPr>
          <w:rStyle w:val="78"/>
          <w:rFonts w:hint="eastAsia" w:ascii="宋体" w:hAnsi="宋体" w:cs="宋体"/>
          <w:kern w:val="2"/>
          <w:sz w:val="24"/>
          <w:szCs w:val="24"/>
          <w:u w:val="single"/>
          <w:lang w:val="en-US" w:eastAsia="zh-CN"/>
        </w:rPr>
        <w:t>30</w:t>
      </w:r>
      <w:r>
        <w:rPr>
          <w:rStyle w:val="78"/>
          <w:rFonts w:hint="eastAsia" w:ascii="宋体" w:hAnsi="宋体" w:eastAsia="宋体" w:cs="宋体"/>
          <w:kern w:val="2"/>
          <w:sz w:val="24"/>
          <w:szCs w:val="24"/>
          <w:u w:val="single"/>
        </w:rPr>
        <w:t>分</w:t>
      </w:r>
      <w:r>
        <w:rPr>
          <w:rStyle w:val="78"/>
          <w:rFonts w:hint="eastAsia" w:ascii="宋体" w:hAnsi="宋体" w:cs="宋体"/>
          <w:kern w:val="2"/>
          <w:sz w:val="24"/>
          <w:szCs w:val="24"/>
          <w:u w:val="single"/>
          <w:lang w:val="en-US" w:eastAsia="zh-CN"/>
        </w:rPr>
        <w:t xml:space="preserve"> 00</w:t>
      </w:r>
      <w:r>
        <w:rPr>
          <w:rStyle w:val="78"/>
          <w:rFonts w:hint="eastAsia" w:ascii="宋体" w:hAnsi="宋体" w:eastAsia="宋体" w:cs="宋体"/>
          <w:kern w:val="2"/>
          <w:sz w:val="24"/>
          <w:szCs w:val="24"/>
          <w:u w:val="single"/>
        </w:rPr>
        <w:t>秒</w:t>
      </w:r>
      <w:r>
        <w:rPr>
          <w:rStyle w:val="78"/>
          <w:rFonts w:hint="eastAsia" w:ascii="宋体" w:hAnsi="宋体" w:eastAsia="宋体" w:cs="宋体"/>
          <w:kern w:val="2"/>
          <w:sz w:val="24"/>
          <w:szCs w:val="24"/>
          <w:u w:val="single"/>
        </w:rPr>
        <w:fldChar w:fldCharType="end"/>
      </w:r>
      <w:r>
        <w:rPr>
          <w:rFonts w:hint="eastAsia" w:ascii="宋体" w:hAnsi="宋体" w:cs="宋体"/>
          <w:bCs/>
          <w:color w:val="000000"/>
          <w:sz w:val="24"/>
        </w:rPr>
        <w:t>（北京时间）前</w:t>
      </w:r>
      <w:r>
        <w:rPr>
          <w:rFonts w:hint="eastAsia" w:ascii="宋体" w:hAnsi="宋体" w:cs="宋体"/>
          <w:color w:val="000000"/>
          <w:sz w:val="24"/>
        </w:rPr>
        <w:t>递交（上传）投标文件。</w:t>
      </w:r>
    </w:p>
    <w:p w14:paraId="5EBCDAC3">
      <w:pPr>
        <w:spacing w:line="360" w:lineRule="auto"/>
        <w:rPr>
          <w:rFonts w:ascii="宋体" w:hAnsi="宋体" w:cs="宋体"/>
          <w:b/>
          <w:color w:val="000000"/>
          <w:sz w:val="24"/>
        </w:rPr>
      </w:pPr>
      <w:r>
        <w:rPr>
          <w:rFonts w:hint="eastAsia" w:ascii="宋体" w:hAnsi="宋体" w:cs="宋体"/>
          <w:b/>
          <w:color w:val="000000"/>
          <w:sz w:val="24"/>
        </w:rPr>
        <w:t xml:space="preserve">一、项目基本情况                                            </w:t>
      </w:r>
    </w:p>
    <w:p w14:paraId="0EA88FD0">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hint="eastAsia" w:ascii="宋体" w:hAnsi="宋体" w:cs="宋体"/>
          <w:bCs/>
          <w:color w:val="000000"/>
          <w:sz w:val="24"/>
        </w:rPr>
        <w:t>项目编号：</w:t>
      </w:r>
      <w:r>
        <w:rPr>
          <w:rFonts w:hint="eastAsia" w:ascii="宋体" w:hAnsi="宋体" w:cs="宋体"/>
          <w:color w:val="000000"/>
          <w:sz w:val="24"/>
          <w:lang w:eastAsia="zh-CN"/>
        </w:rPr>
        <w:t>YHZFCG2024-013-1</w:t>
      </w:r>
    </w:p>
    <w:p w14:paraId="28128C62">
      <w:pPr>
        <w:spacing w:line="360" w:lineRule="auto"/>
        <w:ind w:firstLine="480" w:firstLineChars="200"/>
        <w:rPr>
          <w:rFonts w:ascii="宋体" w:hAnsi="宋体" w:cs="宋体"/>
          <w:sz w:val="24"/>
        </w:rPr>
      </w:pPr>
      <w:r>
        <w:rPr>
          <w:rFonts w:hint="eastAsia" w:ascii="宋体" w:hAnsi="宋体" w:cs="宋体"/>
          <w:sz w:val="24"/>
        </w:rPr>
        <w:t xml:space="preserve">项目名称：余杭区公共数据运营服务项目    </w:t>
      </w:r>
    </w:p>
    <w:p w14:paraId="2E43AB13">
      <w:pPr>
        <w:spacing w:line="360" w:lineRule="auto"/>
        <w:ind w:firstLine="480" w:firstLineChars="200"/>
        <w:rPr>
          <w:rFonts w:ascii="宋体" w:hAnsi="宋体" w:cs="宋体"/>
          <w:sz w:val="24"/>
        </w:rPr>
      </w:pPr>
      <w:r>
        <w:rPr>
          <w:rFonts w:hint="eastAsia" w:ascii="宋体" w:hAnsi="宋体" w:cs="宋体"/>
          <w:sz w:val="24"/>
        </w:rPr>
        <w:t>预算金额（元）：11040000.00</w:t>
      </w:r>
    </w:p>
    <w:p w14:paraId="1A455605">
      <w:pPr>
        <w:adjustRightInd/>
        <w:spacing w:line="360" w:lineRule="auto"/>
        <w:ind w:firstLine="480" w:firstLineChars="200"/>
        <w:rPr>
          <w:rFonts w:ascii="宋体" w:hAnsi="宋体" w:cs="宋体"/>
          <w:sz w:val="24"/>
        </w:rPr>
      </w:pPr>
      <w:r>
        <w:rPr>
          <w:rFonts w:hint="eastAsia" w:ascii="宋体" w:hAnsi="宋体" w:cs="宋体"/>
          <w:sz w:val="24"/>
        </w:rPr>
        <w:t>最高限价（元）：11040000.00</w:t>
      </w:r>
    </w:p>
    <w:p w14:paraId="7B5496F8">
      <w:pPr>
        <w:spacing w:line="360" w:lineRule="auto"/>
        <w:ind w:firstLine="480" w:firstLineChars="200"/>
        <w:rPr>
          <w:rFonts w:ascii="宋体" w:hAnsi="宋体" w:cs="宋体"/>
          <w:sz w:val="24"/>
        </w:rPr>
      </w:pPr>
      <w:r>
        <w:rPr>
          <w:rFonts w:hint="eastAsia" w:ascii="宋体" w:hAnsi="宋体" w:cs="宋体"/>
          <w:sz w:val="24"/>
        </w:rPr>
        <w:t>采购需求：余杭区公共数据运营服务项目，具体内容和相关要求详见招标文件“第三部分 采购需求”。本项目按服务内容分为五个标项，投标人可以选择其中一个、二个、三个、四个、五个任意标项或全部选择前来投标。</w:t>
      </w:r>
    </w:p>
    <w:p w14:paraId="7A284145">
      <w:pPr>
        <w:spacing w:line="360" w:lineRule="auto"/>
        <w:ind w:firstLine="482" w:firstLineChars="200"/>
        <w:rPr>
          <w:rFonts w:ascii="宋体" w:hAnsi="宋体" w:cs="宋体"/>
          <w:b/>
          <w:bCs/>
          <w:sz w:val="24"/>
        </w:rPr>
      </w:pPr>
      <w:r>
        <w:rPr>
          <w:rFonts w:hint="eastAsia" w:ascii="宋体" w:hAnsi="宋体" w:cs="宋体"/>
          <w:b/>
          <w:bCs/>
          <w:sz w:val="24"/>
        </w:rPr>
        <w:t>标项一:预算377万元</w:t>
      </w:r>
    </w:p>
    <w:p w14:paraId="704325E8">
      <w:pPr>
        <w:spacing w:line="360" w:lineRule="auto"/>
        <w:ind w:firstLine="482" w:firstLineChars="200"/>
        <w:rPr>
          <w:rFonts w:ascii="宋体" w:hAnsi="宋体" w:cs="宋体"/>
          <w:b/>
          <w:bCs/>
          <w:sz w:val="24"/>
        </w:rPr>
      </w:pPr>
      <w:r>
        <w:rPr>
          <w:rFonts w:hint="eastAsia" w:ascii="宋体" w:hAnsi="宋体" w:cs="宋体"/>
          <w:b/>
          <w:bCs/>
          <w:sz w:val="24"/>
        </w:rPr>
        <w:t>标项名称:数据编目归集回流开放服务</w:t>
      </w:r>
    </w:p>
    <w:p w14:paraId="44F97593">
      <w:pPr>
        <w:spacing w:line="360" w:lineRule="auto"/>
        <w:ind w:firstLine="480" w:firstLineChars="200"/>
        <w:rPr>
          <w:rFonts w:ascii="宋体" w:hAnsi="宋体" w:cs="宋体"/>
          <w:sz w:val="24"/>
        </w:rPr>
      </w:pPr>
      <w:r>
        <w:rPr>
          <w:rFonts w:hint="eastAsia" w:ascii="宋体" w:hAnsi="宋体" w:cs="宋体"/>
          <w:sz w:val="24"/>
        </w:rPr>
        <w:t>采购需求：包括数据目录服务、数据归集服务、数据回流服务、数据开放服务、数据易用性服务、一表通服务，具体内容和相关要求详见招标文件“第三部分 采购需求”。</w:t>
      </w:r>
    </w:p>
    <w:p w14:paraId="6B0DBE57">
      <w:pPr>
        <w:spacing w:line="360" w:lineRule="auto"/>
        <w:ind w:firstLine="480"/>
        <w:rPr>
          <w:rFonts w:ascii="宋体" w:hAnsi="宋体" w:cs="宋体"/>
          <w:b/>
          <w:bCs/>
          <w:sz w:val="24"/>
        </w:rPr>
      </w:pPr>
      <w:r>
        <w:rPr>
          <w:rFonts w:hint="eastAsia" w:ascii="宋体" w:hAnsi="宋体" w:cs="宋体"/>
          <w:b/>
          <w:bCs/>
          <w:sz w:val="24"/>
        </w:rPr>
        <w:t>标项二:预算32</w:t>
      </w:r>
      <w:r>
        <w:rPr>
          <w:rFonts w:ascii="宋体" w:hAnsi="宋体" w:cs="宋体"/>
          <w:b/>
          <w:bCs/>
          <w:sz w:val="24"/>
        </w:rPr>
        <w:t>8.5</w:t>
      </w:r>
      <w:r>
        <w:rPr>
          <w:rFonts w:hint="eastAsia" w:ascii="宋体" w:hAnsi="宋体" w:cs="宋体"/>
          <w:b/>
          <w:bCs/>
          <w:sz w:val="24"/>
        </w:rPr>
        <w:t>万元</w:t>
      </w:r>
    </w:p>
    <w:p w14:paraId="0E3293DA">
      <w:pPr>
        <w:spacing w:line="360" w:lineRule="auto"/>
        <w:ind w:firstLine="482" w:firstLineChars="200"/>
        <w:rPr>
          <w:rFonts w:ascii="宋体" w:hAnsi="宋体" w:cs="宋体"/>
          <w:b/>
          <w:bCs/>
          <w:sz w:val="24"/>
        </w:rPr>
      </w:pPr>
      <w:r>
        <w:rPr>
          <w:rFonts w:hint="eastAsia" w:ascii="宋体" w:hAnsi="宋体" w:cs="宋体"/>
          <w:b/>
          <w:bCs/>
          <w:sz w:val="24"/>
        </w:rPr>
        <w:t>标项名称:公共数据共享开发利用运营服务</w:t>
      </w:r>
    </w:p>
    <w:p w14:paraId="021629DE">
      <w:pPr>
        <w:spacing w:line="360" w:lineRule="auto"/>
        <w:ind w:firstLine="480"/>
        <w:rPr>
          <w:rFonts w:ascii="宋体" w:hAnsi="宋体" w:cs="宋体"/>
          <w:sz w:val="24"/>
        </w:rPr>
      </w:pPr>
      <w:r>
        <w:rPr>
          <w:rFonts w:hint="eastAsia" w:ascii="宋体" w:hAnsi="宋体" w:cs="宋体"/>
          <w:sz w:val="24"/>
        </w:rPr>
        <w:t>采购需求：包括数据共享服务、数据仓服务（自然人与法人基础信息校验服务、存量模型迭代服务）、数据产品服务，具体内容和相关要求详见招标文件“第三部分 采购需求”。</w:t>
      </w:r>
    </w:p>
    <w:p w14:paraId="222BD964">
      <w:pPr>
        <w:spacing w:line="360" w:lineRule="auto"/>
        <w:ind w:firstLine="482" w:firstLineChars="200"/>
        <w:rPr>
          <w:rFonts w:ascii="宋体" w:hAnsi="宋体" w:cs="宋体"/>
          <w:b/>
          <w:bCs/>
          <w:sz w:val="24"/>
        </w:rPr>
      </w:pPr>
      <w:r>
        <w:rPr>
          <w:rFonts w:hint="eastAsia" w:ascii="宋体" w:hAnsi="宋体" w:cs="宋体"/>
          <w:b/>
          <w:bCs/>
          <w:sz w:val="24"/>
        </w:rPr>
        <w:t>标项三:预算</w:t>
      </w:r>
      <w:r>
        <w:rPr>
          <w:rFonts w:ascii="宋体" w:hAnsi="宋体" w:cs="宋体"/>
          <w:b/>
          <w:bCs/>
          <w:sz w:val="24"/>
        </w:rPr>
        <w:t>200</w:t>
      </w:r>
      <w:r>
        <w:rPr>
          <w:rFonts w:hint="eastAsia" w:ascii="宋体" w:hAnsi="宋体" w:cs="宋体"/>
          <w:b/>
          <w:bCs/>
          <w:sz w:val="24"/>
        </w:rPr>
        <w:t>万元</w:t>
      </w:r>
    </w:p>
    <w:p w14:paraId="06962B77">
      <w:pPr>
        <w:spacing w:line="360" w:lineRule="auto"/>
        <w:ind w:firstLine="482" w:firstLineChars="200"/>
        <w:rPr>
          <w:rFonts w:ascii="宋体" w:hAnsi="宋体" w:cs="宋体"/>
          <w:b/>
          <w:bCs/>
          <w:sz w:val="24"/>
        </w:rPr>
      </w:pPr>
      <w:r>
        <w:rPr>
          <w:rFonts w:hint="eastAsia" w:ascii="宋体" w:hAnsi="宋体" w:cs="宋体"/>
          <w:b/>
          <w:bCs/>
          <w:sz w:val="24"/>
        </w:rPr>
        <w:t>标项名称:公共数据授权和组件运营服务</w:t>
      </w:r>
    </w:p>
    <w:p w14:paraId="420558D2">
      <w:pPr>
        <w:spacing w:line="360" w:lineRule="auto"/>
        <w:ind w:firstLine="480" w:firstLineChars="200"/>
        <w:rPr>
          <w:rFonts w:ascii="宋体" w:hAnsi="宋体" w:cs="宋体"/>
          <w:sz w:val="24"/>
        </w:rPr>
      </w:pPr>
      <w:r>
        <w:rPr>
          <w:rFonts w:hint="eastAsia" w:ascii="宋体" w:hAnsi="宋体" w:cs="宋体"/>
          <w:sz w:val="24"/>
        </w:rPr>
        <w:t>采购需求：包括公共数据授权运营服务、组件运营服务，具体内容和相关要求详见招标文件“第三部分 采购需求”。</w:t>
      </w:r>
    </w:p>
    <w:p w14:paraId="0909D83F">
      <w:pPr>
        <w:spacing w:line="360" w:lineRule="auto"/>
        <w:ind w:firstLine="482" w:firstLineChars="200"/>
        <w:rPr>
          <w:rFonts w:ascii="宋体" w:hAnsi="宋体" w:cs="宋体"/>
          <w:b/>
          <w:bCs/>
          <w:sz w:val="24"/>
        </w:rPr>
      </w:pPr>
      <w:r>
        <w:rPr>
          <w:rFonts w:hint="eastAsia" w:ascii="宋体" w:hAnsi="宋体" w:cs="宋体"/>
          <w:b/>
          <w:bCs/>
          <w:sz w:val="24"/>
        </w:rPr>
        <w:t>标项四:预算1</w:t>
      </w:r>
      <w:r>
        <w:rPr>
          <w:rFonts w:ascii="宋体" w:hAnsi="宋体" w:cs="宋体"/>
          <w:b/>
          <w:bCs/>
          <w:sz w:val="24"/>
        </w:rPr>
        <w:t>43.5</w:t>
      </w:r>
      <w:r>
        <w:rPr>
          <w:rFonts w:hint="eastAsia" w:ascii="宋体" w:hAnsi="宋体" w:cs="宋体"/>
          <w:b/>
          <w:bCs/>
          <w:sz w:val="24"/>
        </w:rPr>
        <w:t>万元</w:t>
      </w:r>
    </w:p>
    <w:p w14:paraId="470C3A2F">
      <w:pPr>
        <w:spacing w:line="360" w:lineRule="auto"/>
        <w:ind w:firstLine="482" w:firstLineChars="200"/>
        <w:rPr>
          <w:rFonts w:ascii="宋体" w:hAnsi="宋体" w:cs="宋体"/>
          <w:b/>
          <w:bCs/>
          <w:sz w:val="24"/>
        </w:rPr>
      </w:pPr>
      <w:r>
        <w:rPr>
          <w:rFonts w:hint="eastAsia" w:ascii="宋体" w:hAnsi="宋体" w:cs="宋体"/>
          <w:b/>
          <w:bCs/>
          <w:sz w:val="24"/>
        </w:rPr>
        <w:t>标项名称:数据治理和数据仓服务</w:t>
      </w:r>
    </w:p>
    <w:p w14:paraId="66D7BECB">
      <w:pPr>
        <w:spacing w:line="360" w:lineRule="auto"/>
        <w:ind w:firstLine="480" w:firstLineChars="200"/>
        <w:rPr>
          <w:rFonts w:ascii="宋体" w:hAnsi="宋体" w:cs="宋体"/>
          <w:sz w:val="24"/>
        </w:rPr>
      </w:pPr>
      <w:r>
        <w:rPr>
          <w:rFonts w:hint="eastAsia" w:ascii="宋体" w:hAnsi="宋体" w:cs="宋体"/>
          <w:sz w:val="24"/>
        </w:rPr>
        <w:t>采购需求：包括数据治理服务、数据仓服务（数据仓日常运营运维服务），具体内容和相关要求详见招标文件“第三部分 采购需求”。</w:t>
      </w:r>
    </w:p>
    <w:p w14:paraId="4F71A611">
      <w:pPr>
        <w:spacing w:line="360" w:lineRule="auto"/>
        <w:ind w:firstLine="482" w:firstLineChars="200"/>
        <w:rPr>
          <w:rFonts w:ascii="宋体" w:hAnsi="宋体" w:cs="宋体"/>
          <w:b/>
          <w:bCs/>
          <w:sz w:val="24"/>
        </w:rPr>
      </w:pPr>
      <w:r>
        <w:rPr>
          <w:rFonts w:hint="eastAsia" w:ascii="宋体" w:hAnsi="宋体" w:cs="宋体"/>
          <w:b/>
          <w:bCs/>
          <w:sz w:val="24"/>
        </w:rPr>
        <w:t>标项五:预算55万元</w:t>
      </w:r>
    </w:p>
    <w:p w14:paraId="1A1BEDF5">
      <w:pPr>
        <w:spacing w:line="360" w:lineRule="auto"/>
        <w:ind w:firstLine="482" w:firstLineChars="200"/>
        <w:rPr>
          <w:rFonts w:ascii="宋体" w:hAnsi="宋体" w:cs="宋体"/>
          <w:b/>
          <w:bCs/>
          <w:sz w:val="24"/>
        </w:rPr>
      </w:pPr>
      <w:r>
        <w:rPr>
          <w:rFonts w:hint="eastAsia" w:ascii="宋体" w:hAnsi="宋体" w:cs="宋体"/>
          <w:b/>
          <w:bCs/>
          <w:sz w:val="24"/>
        </w:rPr>
        <w:t>标项名称:数字化顶层设计运营服务</w:t>
      </w:r>
    </w:p>
    <w:p w14:paraId="43D65BDE">
      <w:pPr>
        <w:spacing w:line="360" w:lineRule="auto"/>
        <w:ind w:firstLine="480" w:firstLineChars="200"/>
        <w:rPr>
          <w:rFonts w:ascii="宋体" w:hAnsi="宋体" w:cs="宋体"/>
          <w:sz w:val="24"/>
        </w:rPr>
      </w:pPr>
      <w:r>
        <w:rPr>
          <w:rFonts w:hint="eastAsia" w:ascii="宋体" w:hAnsi="宋体" w:cs="宋体"/>
          <w:sz w:val="24"/>
        </w:rPr>
        <w:t>采购需求：数字化顶层设计运营服务，具体内容和相关要求详见招标文件“第三部分 采购需求”。</w:t>
      </w:r>
    </w:p>
    <w:p w14:paraId="442E6699">
      <w:pPr>
        <w:pStyle w:val="25"/>
        <w:spacing w:before="1"/>
        <w:ind w:firstLine="482" w:firstLineChars="200"/>
        <w:rPr>
          <w:rFonts w:hint="eastAsia" w:hAnsi="宋体" w:eastAsia="宋体" w:cs="宋体"/>
          <w:color w:val="000000"/>
          <w:lang w:val="en-US" w:eastAsia="zh-CN"/>
        </w:rPr>
      </w:pPr>
      <w:r>
        <w:rPr>
          <w:rFonts w:hint="eastAsia" w:hAnsi="宋体" w:cs="宋体"/>
          <w:b/>
          <w:bCs/>
        </w:rPr>
        <w:t>合同履约期限</w:t>
      </w:r>
      <w:r>
        <w:rPr>
          <w:rFonts w:hint="eastAsia" w:hAnsi="宋体" w:cs="宋体"/>
          <w:b/>
          <w:bCs/>
          <w:color w:val="000000"/>
        </w:rPr>
        <w:t>：</w:t>
      </w:r>
      <w:r>
        <w:rPr>
          <w:rFonts w:hint="eastAsia" w:hAnsi="宋体" w:cs="宋体"/>
          <w:lang w:val="en-US"/>
        </w:rPr>
        <w:t>本项目</w:t>
      </w:r>
      <w:r>
        <w:rPr>
          <w:rFonts w:hint="eastAsia" w:hAnsi="宋体" w:cs="宋体"/>
        </w:rPr>
        <w:t>的服务时间为12个月，从合同签订后第一个工作日开始计，</w:t>
      </w:r>
      <w:r>
        <w:rPr>
          <w:rFonts w:hint="eastAsia" w:hAnsi="宋体" w:cs="宋体"/>
          <w:color w:val="000000"/>
          <w:lang w:val="en-US"/>
        </w:rPr>
        <w:t>具体内容和相关要求详见招标文件“第三部分 采购需求”。</w:t>
      </w:r>
    </w:p>
    <w:p w14:paraId="4C8D8709">
      <w:pPr>
        <w:pStyle w:val="25"/>
        <w:spacing w:before="1"/>
        <w:ind w:firstLine="480" w:firstLineChars="200"/>
        <w:rPr>
          <w:rFonts w:hAnsi="宋体" w:cs="宋体"/>
          <w:color w:val="000000"/>
        </w:rPr>
      </w:pPr>
      <w:r>
        <w:rPr>
          <w:rFonts w:hint="eastAsia" w:hAnsi="宋体" w:cs="宋体"/>
          <w:color w:val="000000"/>
          <w:lang w:val="en-US"/>
        </w:rPr>
        <w:t xml:space="preserve">    </w:t>
      </w:r>
      <w:r>
        <w:rPr>
          <w:rFonts w:hint="eastAsia" w:hAnsi="宋体" w:cs="宋体"/>
          <w:b/>
          <w:bCs/>
          <w:color w:val="000000"/>
        </w:rPr>
        <w:t>本项目接受联合体投标：</w:t>
      </w:r>
      <w:r>
        <w:rPr>
          <w:rFonts w:hint="eastAsia" w:hAnsi="宋体" w:cs="宋体"/>
          <w:color w:val="000000"/>
        </w:rPr>
        <w:sym w:font="Wingdings" w:char="00FE"/>
      </w:r>
      <w:r>
        <w:rPr>
          <w:rFonts w:hint="eastAsia" w:hAnsi="宋体" w:cs="宋体"/>
          <w:color w:val="000000"/>
        </w:rPr>
        <w:t>是，</w:t>
      </w:r>
      <w:r>
        <w:rPr>
          <w:rFonts w:hint="eastAsia" w:hAnsi="宋体" w:cs="宋体"/>
          <w:color w:val="000000"/>
        </w:rPr>
        <w:sym w:font="Wingdings" w:char="00A8"/>
      </w:r>
      <w:r>
        <w:rPr>
          <w:rFonts w:hint="eastAsia" w:hAnsi="宋体" w:cs="宋体"/>
          <w:color w:val="000000"/>
        </w:rPr>
        <w:t>否。</w:t>
      </w:r>
    </w:p>
    <w:p w14:paraId="3807D1FE">
      <w:pPr>
        <w:adjustRightInd/>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二、申请人的资格要求：</w:t>
      </w:r>
    </w:p>
    <w:p w14:paraId="32011745">
      <w:pPr>
        <w:spacing w:line="360" w:lineRule="auto"/>
        <w:ind w:firstLine="480" w:firstLineChars="200"/>
        <w:rPr>
          <w:rFonts w:ascii="宋体" w:hAnsi="宋体" w:cs="宋体"/>
          <w:color w:val="000000"/>
          <w:sz w:val="24"/>
        </w:rPr>
      </w:pPr>
      <w:r>
        <w:rPr>
          <w:rFonts w:hint="eastAsia" w:ascii="宋体" w:hAnsi="宋体" w:cs="宋体"/>
          <w:color w:val="000000"/>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1FFA7909">
      <w:pPr>
        <w:spacing w:line="360" w:lineRule="auto"/>
        <w:ind w:firstLine="480" w:firstLineChars="200"/>
        <w:rPr>
          <w:rFonts w:ascii="宋体" w:hAnsi="宋体" w:cs="宋体"/>
          <w:color w:val="000000"/>
          <w:sz w:val="24"/>
        </w:rPr>
      </w:pPr>
      <w:r>
        <w:rPr>
          <w:rFonts w:hint="eastAsia" w:ascii="宋体" w:hAnsi="宋体" w:cs="宋体"/>
          <w:color w:val="000000"/>
          <w:sz w:val="24"/>
        </w:rPr>
        <w:t>2. 以联合体形式投标的，提供联合协议(本项目不接受联合体投标或者投标人不以联合体形式投标的，则不需要提供)；</w:t>
      </w:r>
    </w:p>
    <w:p w14:paraId="0BC677F9">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365358B2">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w:t>
      </w:r>
    </w:p>
    <w:p w14:paraId="56EF672B">
      <w:pPr>
        <w:spacing w:line="360" w:lineRule="auto"/>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14:paraId="4DA2CF45">
      <w:pPr>
        <w:spacing w:line="360" w:lineRule="auto"/>
        <w:ind w:firstLine="960" w:firstLineChars="400"/>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服务全部由符合政策要求的中小企业承接，提供中小企业声明函；</w:t>
      </w:r>
    </w:p>
    <w:p w14:paraId="1C87422D">
      <w:pPr>
        <w:spacing w:line="360" w:lineRule="auto"/>
        <w:ind w:firstLine="897" w:firstLineChars="374"/>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7D60361">
      <w:pPr>
        <w:numPr>
          <w:ilvl w:val="0"/>
          <w:numId w:val="1"/>
        </w:numPr>
        <w:spacing w:line="360" w:lineRule="auto"/>
        <w:ind w:firstLine="480" w:firstLineChars="200"/>
        <w:rPr>
          <w:rFonts w:ascii="宋体" w:hAnsi="宋体" w:cs="宋体"/>
          <w:color w:val="000000"/>
          <w:sz w:val="24"/>
        </w:rPr>
      </w:pPr>
      <w:r>
        <w:rPr>
          <w:rFonts w:hint="eastAsia" w:ascii="宋体" w:hAnsi="宋体" w:cs="宋体"/>
          <w:color w:val="000000"/>
          <w:sz w:val="24"/>
        </w:rPr>
        <w:t>本项目的特定资格要求：无</w:t>
      </w:r>
    </w:p>
    <w:p w14:paraId="477399BF">
      <w:pPr>
        <w:spacing w:line="360" w:lineRule="auto"/>
        <w:ind w:firstLine="480" w:firstLineChars="200"/>
        <w:rPr>
          <w:rFonts w:ascii="宋体" w:hAnsi="宋体" w:cs="宋体"/>
          <w:sz w:val="24"/>
        </w:rPr>
      </w:pPr>
      <w:r>
        <w:rPr>
          <w:rFonts w:hint="eastAsia" w:ascii="宋体" w:hAnsi="宋体" w:cs="宋体"/>
          <w:color w:val="000000"/>
          <w:sz w:val="24"/>
        </w:rPr>
        <w:t>5.单位负责人为同一人或者存在直接控股、管理关</w:t>
      </w:r>
      <w:r>
        <w:rPr>
          <w:rFonts w:hint="eastAsia" w:ascii="宋体" w:hAnsi="宋体" w:cs="宋体"/>
          <w:sz w:val="24"/>
        </w:rPr>
        <w:t>系的不同供应商，不得参加同一合同项下的政府采购活动；为采购项目提供整体设计、规范编制或者项目管理、监理、检测等服务后不得再参加该采购项目的其他采购活动。</w:t>
      </w:r>
    </w:p>
    <w:p w14:paraId="7919DE4E">
      <w:pPr>
        <w:spacing w:line="360" w:lineRule="auto"/>
        <w:ind w:firstLine="482" w:firstLineChars="200"/>
        <w:rPr>
          <w:rFonts w:ascii="宋体" w:hAnsi="宋体" w:cs="宋体"/>
          <w:b/>
          <w:bCs/>
          <w:sz w:val="24"/>
        </w:rPr>
      </w:pPr>
      <w:r>
        <w:rPr>
          <w:rFonts w:hint="eastAsia" w:ascii="宋体" w:hAnsi="宋体" w:cs="宋体"/>
          <w:b/>
          <w:bCs/>
          <w:sz w:val="24"/>
        </w:rPr>
        <w:t xml:space="preserve">三、获取招标文件 </w:t>
      </w:r>
    </w:p>
    <w:p w14:paraId="6A0FD29D">
      <w:pPr>
        <w:spacing w:line="360" w:lineRule="auto"/>
        <w:ind w:firstLine="480" w:firstLineChars="200"/>
        <w:rPr>
          <w:rFonts w:ascii="宋体" w:hAnsi="宋体" w:cs="宋体"/>
          <w:sz w:val="24"/>
        </w:rPr>
      </w:pPr>
      <w:r>
        <w:rPr>
          <w:rFonts w:hint="eastAsia" w:ascii="宋体" w:hAnsi="宋体" w:cs="宋体"/>
          <w:sz w:val="24"/>
        </w:rPr>
        <w:t>时间：/至</w:t>
      </w:r>
      <w:r>
        <w:rPr>
          <w:rStyle w:val="78"/>
          <w:rFonts w:hint="eastAsia" w:ascii="宋体" w:hAnsi="宋体" w:eastAsia="宋体" w:cs="宋体"/>
          <w:kern w:val="2"/>
          <w:sz w:val="24"/>
          <w:szCs w:val="24"/>
          <w:u w:val="single"/>
        </w:rPr>
        <w:t>2024年</w:t>
      </w:r>
      <w:r>
        <w:rPr>
          <w:rStyle w:val="78"/>
          <w:rFonts w:hint="eastAsia" w:ascii="宋体" w:hAnsi="宋体" w:eastAsia="黑体" w:cs="宋体"/>
          <w:kern w:val="2"/>
          <w:sz w:val="24"/>
          <w:szCs w:val="24"/>
          <w:u w:val="single"/>
          <w:lang w:val="en-US" w:eastAsia="zh-CN"/>
        </w:rPr>
        <w:t>07</w:t>
      </w:r>
      <w:r>
        <w:rPr>
          <w:rStyle w:val="78"/>
          <w:rFonts w:hint="eastAsia" w:ascii="宋体" w:hAnsi="宋体" w:eastAsia="宋体" w:cs="宋体"/>
          <w:kern w:val="2"/>
          <w:sz w:val="24"/>
          <w:szCs w:val="24"/>
          <w:u w:val="single"/>
        </w:rPr>
        <w:t>月</w:t>
      </w:r>
      <w:r>
        <w:rPr>
          <w:rStyle w:val="78"/>
          <w:rFonts w:hint="eastAsia" w:ascii="宋体" w:hAnsi="宋体" w:eastAsia="黑体" w:cs="宋体"/>
          <w:kern w:val="2"/>
          <w:sz w:val="24"/>
          <w:szCs w:val="24"/>
          <w:u w:val="single"/>
          <w:lang w:val="en-US" w:eastAsia="zh-CN"/>
        </w:rPr>
        <w:t>11</w:t>
      </w:r>
      <w:r>
        <w:rPr>
          <w:rStyle w:val="78"/>
          <w:rFonts w:hint="eastAsia" w:ascii="宋体" w:hAnsi="宋体" w:eastAsia="宋体" w:cs="宋体"/>
          <w:kern w:val="2"/>
          <w:sz w:val="24"/>
          <w:szCs w:val="24"/>
          <w:u w:val="single"/>
        </w:rPr>
        <w:t>日</w:t>
      </w:r>
      <w:r>
        <w:rPr>
          <w:rStyle w:val="78"/>
          <w:rFonts w:hint="eastAsia" w:ascii="宋体" w:hAnsi="宋体" w:eastAsia="黑体" w:cs="宋体"/>
          <w:kern w:val="2"/>
          <w:sz w:val="24"/>
          <w:szCs w:val="24"/>
          <w:u w:val="single"/>
          <w:lang w:val="en-US" w:eastAsia="zh-CN"/>
        </w:rPr>
        <w:t xml:space="preserve"> </w:t>
      </w:r>
      <w:r>
        <w:rPr>
          <w:rFonts w:hint="eastAsia" w:ascii="宋体" w:hAnsi="宋体" w:cs="宋体"/>
          <w:sz w:val="24"/>
        </w:rPr>
        <w:t>每天上午00:00至12:00 ，下午12:00至23:59（北京时间，线上获取法定节假日均可，线下获取文件法定节假日除外）</w:t>
      </w:r>
    </w:p>
    <w:p w14:paraId="3F2FF310">
      <w:pPr>
        <w:spacing w:line="360" w:lineRule="auto"/>
        <w:ind w:firstLine="480" w:firstLineChars="200"/>
        <w:rPr>
          <w:rFonts w:ascii="宋体" w:hAnsi="宋体" w:cs="宋体"/>
          <w:sz w:val="24"/>
        </w:rPr>
      </w:pPr>
      <w:r>
        <w:rPr>
          <w:rFonts w:hint="eastAsia" w:ascii="宋体" w:hAnsi="宋体" w:cs="宋体"/>
          <w:sz w:val="24"/>
        </w:rPr>
        <w:t xml:space="preserve">地点（网址）：政采云平台（https://www.zcygov.cn/） </w:t>
      </w:r>
    </w:p>
    <w:p w14:paraId="71227E2E">
      <w:pPr>
        <w:spacing w:line="360" w:lineRule="auto"/>
        <w:ind w:firstLine="480" w:firstLineChars="200"/>
        <w:rPr>
          <w:rFonts w:ascii="宋体" w:hAnsi="宋体" w:cs="宋体"/>
          <w:sz w:val="24"/>
        </w:rPr>
      </w:pPr>
      <w:r>
        <w:rPr>
          <w:rFonts w:hint="eastAsia" w:ascii="宋体" w:hAnsi="宋体" w:cs="宋体"/>
          <w:sz w:val="24"/>
        </w:rPr>
        <w:t xml:space="preserve">方式：供应商登录政采云平台https://www.zcygov.cn/在线申请获取采购文件（进入“项目采购”应用，在获取采购文件菜单中选择项目，申请获取采购文件）。 </w:t>
      </w:r>
    </w:p>
    <w:p w14:paraId="132010DC">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14:paraId="2E6AE923">
      <w:pPr>
        <w:spacing w:line="360" w:lineRule="auto"/>
        <w:ind w:firstLine="482" w:firstLineChars="200"/>
        <w:rPr>
          <w:rFonts w:ascii="宋体" w:hAnsi="宋体" w:cs="宋体"/>
          <w:b/>
          <w:bCs/>
          <w:sz w:val="24"/>
        </w:rPr>
      </w:pPr>
      <w:r>
        <w:rPr>
          <w:rFonts w:hint="eastAsia" w:ascii="宋体" w:hAnsi="宋体" w:cs="宋体"/>
          <w:b/>
          <w:bCs/>
          <w:sz w:val="24"/>
        </w:rPr>
        <w:t>四、提交投标文件截止时间、开标时间和地点</w:t>
      </w:r>
    </w:p>
    <w:p w14:paraId="6A0759EE">
      <w:pPr>
        <w:spacing w:line="360" w:lineRule="auto"/>
        <w:ind w:firstLine="480" w:firstLineChars="200"/>
        <w:rPr>
          <w:rFonts w:ascii="宋体" w:hAnsi="宋体" w:cs="宋体"/>
          <w:sz w:val="24"/>
        </w:rPr>
      </w:pPr>
      <w:r>
        <w:rPr>
          <w:rFonts w:hint="eastAsia" w:ascii="宋体" w:hAnsi="宋体" w:cs="宋体"/>
          <w:sz w:val="24"/>
        </w:rPr>
        <w:t>提交投标文件截止时间：</w:t>
      </w:r>
      <w:r>
        <w:rPr>
          <w:rStyle w:val="78"/>
          <w:rFonts w:hint="eastAsia" w:ascii="宋体" w:hAnsi="宋体" w:eastAsia="宋体" w:cs="宋体"/>
          <w:kern w:val="2"/>
          <w:sz w:val="24"/>
          <w:szCs w:val="24"/>
          <w:u w:val="single"/>
        </w:rPr>
        <w:t>2024年</w:t>
      </w:r>
      <w:r>
        <w:rPr>
          <w:rStyle w:val="78"/>
          <w:rFonts w:hint="eastAsia" w:ascii="宋体" w:hAnsi="宋体" w:eastAsia="黑体" w:cs="宋体"/>
          <w:kern w:val="2"/>
          <w:sz w:val="24"/>
          <w:szCs w:val="24"/>
          <w:u w:val="single"/>
          <w:lang w:val="en-US" w:eastAsia="zh-CN"/>
        </w:rPr>
        <w:t>07</w:t>
      </w:r>
      <w:r>
        <w:rPr>
          <w:rStyle w:val="78"/>
          <w:rFonts w:hint="eastAsia" w:ascii="宋体" w:hAnsi="宋体" w:eastAsia="宋体" w:cs="宋体"/>
          <w:kern w:val="2"/>
          <w:sz w:val="24"/>
          <w:szCs w:val="24"/>
          <w:u w:val="single"/>
        </w:rPr>
        <w:t>月</w:t>
      </w:r>
      <w:r>
        <w:rPr>
          <w:rStyle w:val="78"/>
          <w:rFonts w:hint="eastAsia" w:ascii="宋体" w:hAnsi="宋体" w:eastAsia="黑体" w:cs="宋体"/>
          <w:kern w:val="2"/>
          <w:sz w:val="24"/>
          <w:szCs w:val="24"/>
          <w:u w:val="single"/>
          <w:lang w:val="en-US" w:eastAsia="zh-CN"/>
        </w:rPr>
        <w:t>11</w:t>
      </w:r>
      <w:r>
        <w:rPr>
          <w:rStyle w:val="78"/>
          <w:rFonts w:hint="eastAsia" w:ascii="宋体" w:hAnsi="宋体" w:eastAsia="宋体" w:cs="宋体"/>
          <w:kern w:val="2"/>
          <w:sz w:val="24"/>
          <w:szCs w:val="24"/>
          <w:u w:val="single"/>
        </w:rPr>
        <w:t>日</w:t>
      </w:r>
      <w:r>
        <w:rPr>
          <w:rStyle w:val="78"/>
          <w:rFonts w:hint="eastAsia" w:ascii="宋体" w:hAnsi="宋体" w:eastAsia="黑体" w:cs="宋体"/>
          <w:kern w:val="2"/>
          <w:sz w:val="24"/>
          <w:szCs w:val="24"/>
          <w:u w:val="single"/>
          <w:lang w:val="en-US" w:eastAsia="zh-CN"/>
        </w:rPr>
        <w:t xml:space="preserve"> 09</w:t>
      </w:r>
      <w:r>
        <w:rPr>
          <w:rStyle w:val="78"/>
          <w:rFonts w:hint="eastAsia" w:ascii="宋体" w:hAnsi="宋体" w:eastAsia="宋体" w:cs="宋体"/>
          <w:kern w:val="2"/>
          <w:sz w:val="24"/>
          <w:szCs w:val="24"/>
          <w:u w:val="single"/>
        </w:rPr>
        <w:t>点</w:t>
      </w:r>
      <w:r>
        <w:rPr>
          <w:rStyle w:val="78"/>
          <w:rFonts w:hint="eastAsia" w:ascii="宋体" w:hAnsi="宋体" w:cs="宋体"/>
          <w:kern w:val="2"/>
          <w:sz w:val="24"/>
          <w:szCs w:val="24"/>
          <w:u w:val="single"/>
          <w:lang w:val="en-US" w:eastAsia="zh-CN"/>
        </w:rPr>
        <w:t>30</w:t>
      </w:r>
      <w:r>
        <w:rPr>
          <w:rStyle w:val="78"/>
          <w:rFonts w:hint="eastAsia" w:ascii="宋体" w:hAnsi="宋体" w:eastAsia="宋体" w:cs="宋体"/>
          <w:kern w:val="2"/>
          <w:sz w:val="24"/>
          <w:szCs w:val="24"/>
          <w:u w:val="single"/>
        </w:rPr>
        <w:t>分</w:t>
      </w:r>
      <w:r>
        <w:rPr>
          <w:rStyle w:val="78"/>
          <w:rFonts w:hint="eastAsia" w:ascii="宋体" w:hAnsi="宋体" w:cs="宋体"/>
          <w:kern w:val="2"/>
          <w:sz w:val="24"/>
          <w:szCs w:val="24"/>
          <w:u w:val="single"/>
          <w:lang w:val="en-US" w:eastAsia="zh-CN"/>
        </w:rPr>
        <w:t xml:space="preserve"> 00</w:t>
      </w:r>
      <w:r>
        <w:rPr>
          <w:rStyle w:val="78"/>
          <w:rFonts w:hint="eastAsia" w:ascii="宋体" w:hAnsi="宋体" w:eastAsia="宋体" w:cs="宋体"/>
          <w:kern w:val="2"/>
          <w:sz w:val="24"/>
          <w:szCs w:val="24"/>
          <w:u w:val="single"/>
        </w:rPr>
        <w:t>秒</w:t>
      </w:r>
      <w:r>
        <w:rPr>
          <w:rFonts w:hint="eastAsia" w:ascii="宋体" w:hAnsi="宋体" w:cs="宋体"/>
          <w:sz w:val="24"/>
        </w:rPr>
        <w:t>（北京时间）；</w:t>
      </w:r>
    </w:p>
    <w:p w14:paraId="12C8A9E5">
      <w:pPr>
        <w:spacing w:line="360" w:lineRule="auto"/>
        <w:ind w:firstLine="480" w:firstLineChars="200"/>
        <w:rPr>
          <w:rFonts w:ascii="宋体" w:hAnsi="宋体" w:cs="宋体"/>
          <w:sz w:val="24"/>
        </w:rPr>
      </w:pPr>
      <w:r>
        <w:rPr>
          <w:rFonts w:hint="eastAsia" w:ascii="宋体" w:hAnsi="宋体" w:cs="宋体"/>
          <w:sz w:val="24"/>
        </w:rPr>
        <w:t>投标地点（网址）：政采云平台（https://www.zcygov.cn/）线上投标响应 ；</w:t>
      </w:r>
    </w:p>
    <w:p w14:paraId="36EC7BEA">
      <w:pPr>
        <w:spacing w:line="360" w:lineRule="auto"/>
        <w:ind w:firstLine="480" w:firstLineChars="200"/>
        <w:rPr>
          <w:rFonts w:ascii="宋体" w:hAnsi="宋体" w:cs="宋体"/>
          <w:sz w:val="24"/>
        </w:rPr>
      </w:pPr>
      <w:r>
        <w:rPr>
          <w:rFonts w:hint="eastAsia" w:ascii="宋体" w:hAnsi="宋体" w:cs="宋体"/>
          <w:sz w:val="24"/>
        </w:rPr>
        <w:t>开标时间：</w:t>
      </w:r>
      <w:r>
        <w:rPr>
          <w:rStyle w:val="78"/>
          <w:rFonts w:hint="eastAsia" w:ascii="宋体" w:hAnsi="宋体" w:eastAsia="宋体" w:cs="宋体"/>
          <w:kern w:val="2"/>
          <w:sz w:val="24"/>
          <w:szCs w:val="24"/>
          <w:u w:val="single"/>
        </w:rPr>
        <w:t>2024年</w:t>
      </w:r>
      <w:r>
        <w:rPr>
          <w:rStyle w:val="78"/>
          <w:rFonts w:hint="eastAsia" w:ascii="宋体" w:hAnsi="宋体" w:eastAsia="黑体" w:cs="宋体"/>
          <w:kern w:val="2"/>
          <w:sz w:val="24"/>
          <w:szCs w:val="24"/>
          <w:u w:val="single"/>
          <w:lang w:val="en-US" w:eastAsia="zh-CN"/>
        </w:rPr>
        <w:t>07</w:t>
      </w:r>
      <w:r>
        <w:rPr>
          <w:rStyle w:val="78"/>
          <w:rFonts w:hint="eastAsia" w:ascii="宋体" w:hAnsi="宋体" w:eastAsia="宋体" w:cs="宋体"/>
          <w:kern w:val="2"/>
          <w:sz w:val="24"/>
          <w:szCs w:val="24"/>
          <w:u w:val="single"/>
        </w:rPr>
        <w:t>月</w:t>
      </w:r>
      <w:r>
        <w:rPr>
          <w:rStyle w:val="78"/>
          <w:rFonts w:hint="eastAsia" w:ascii="宋体" w:hAnsi="宋体" w:eastAsia="黑体" w:cs="宋体"/>
          <w:kern w:val="2"/>
          <w:sz w:val="24"/>
          <w:szCs w:val="24"/>
          <w:u w:val="single"/>
          <w:lang w:val="en-US" w:eastAsia="zh-CN"/>
        </w:rPr>
        <w:t>11</w:t>
      </w:r>
      <w:r>
        <w:rPr>
          <w:rStyle w:val="78"/>
          <w:rFonts w:hint="eastAsia" w:ascii="宋体" w:hAnsi="宋体" w:eastAsia="宋体" w:cs="宋体"/>
          <w:kern w:val="2"/>
          <w:sz w:val="24"/>
          <w:szCs w:val="24"/>
          <w:u w:val="single"/>
        </w:rPr>
        <w:t>日</w:t>
      </w:r>
      <w:r>
        <w:rPr>
          <w:rStyle w:val="78"/>
          <w:rFonts w:hint="eastAsia" w:ascii="宋体" w:hAnsi="宋体" w:eastAsia="黑体" w:cs="宋体"/>
          <w:kern w:val="2"/>
          <w:sz w:val="24"/>
          <w:szCs w:val="24"/>
          <w:u w:val="single"/>
          <w:lang w:val="en-US" w:eastAsia="zh-CN"/>
        </w:rPr>
        <w:t xml:space="preserve"> 09</w:t>
      </w:r>
      <w:r>
        <w:rPr>
          <w:rStyle w:val="78"/>
          <w:rFonts w:hint="eastAsia" w:ascii="宋体" w:hAnsi="宋体" w:eastAsia="宋体" w:cs="宋体"/>
          <w:kern w:val="2"/>
          <w:sz w:val="24"/>
          <w:szCs w:val="24"/>
          <w:u w:val="single"/>
        </w:rPr>
        <w:t>点</w:t>
      </w:r>
      <w:r>
        <w:rPr>
          <w:rStyle w:val="78"/>
          <w:rFonts w:hint="eastAsia" w:ascii="宋体" w:hAnsi="宋体" w:cs="宋体"/>
          <w:kern w:val="2"/>
          <w:sz w:val="24"/>
          <w:szCs w:val="24"/>
          <w:u w:val="single"/>
          <w:lang w:val="en-US" w:eastAsia="zh-CN"/>
        </w:rPr>
        <w:t>30</w:t>
      </w:r>
      <w:r>
        <w:rPr>
          <w:rStyle w:val="78"/>
          <w:rFonts w:hint="eastAsia" w:ascii="宋体" w:hAnsi="宋体" w:eastAsia="宋体" w:cs="宋体"/>
          <w:kern w:val="2"/>
          <w:sz w:val="24"/>
          <w:szCs w:val="24"/>
          <w:u w:val="single"/>
        </w:rPr>
        <w:t>分</w:t>
      </w:r>
      <w:r>
        <w:rPr>
          <w:rStyle w:val="78"/>
          <w:rFonts w:hint="eastAsia" w:ascii="宋体" w:hAnsi="宋体" w:cs="宋体"/>
          <w:kern w:val="2"/>
          <w:sz w:val="24"/>
          <w:szCs w:val="24"/>
          <w:u w:val="single"/>
          <w:lang w:val="en-US" w:eastAsia="zh-CN"/>
        </w:rPr>
        <w:t xml:space="preserve"> 00</w:t>
      </w:r>
      <w:r>
        <w:rPr>
          <w:rStyle w:val="78"/>
          <w:rFonts w:hint="eastAsia" w:ascii="宋体" w:hAnsi="宋体" w:eastAsia="宋体" w:cs="宋体"/>
          <w:kern w:val="2"/>
          <w:sz w:val="24"/>
          <w:szCs w:val="24"/>
          <w:u w:val="single"/>
        </w:rPr>
        <w:t>秒</w:t>
      </w:r>
      <w:r>
        <w:rPr>
          <w:rFonts w:hint="eastAsia" w:ascii="宋体" w:hAnsi="宋体" w:cs="宋体"/>
          <w:sz w:val="24"/>
        </w:rPr>
        <w:t>；</w:t>
      </w:r>
    </w:p>
    <w:p w14:paraId="4A96B4CB">
      <w:pPr>
        <w:spacing w:line="360" w:lineRule="auto"/>
        <w:ind w:firstLine="480" w:firstLineChars="200"/>
        <w:rPr>
          <w:rFonts w:ascii="宋体" w:hAnsi="宋体" w:cs="宋体"/>
          <w:sz w:val="24"/>
        </w:rPr>
      </w:pPr>
      <w:r>
        <w:rPr>
          <w:rFonts w:hint="eastAsia" w:ascii="宋体" w:hAnsi="宋体" w:cs="宋体"/>
          <w:sz w:val="24"/>
        </w:rPr>
        <w:t>开标地点（网址）：登陆政采云平台（https://www.zcygov.cn/）开标大厅等候开标解密；</w:t>
      </w:r>
    </w:p>
    <w:p w14:paraId="2B0CA4F6">
      <w:pPr>
        <w:spacing w:line="360" w:lineRule="auto"/>
        <w:rPr>
          <w:rFonts w:ascii="宋体" w:hAnsi="宋体" w:cs="宋体"/>
          <w:sz w:val="24"/>
        </w:rPr>
      </w:pPr>
      <w:r>
        <w:rPr>
          <w:rFonts w:hint="eastAsia" w:ascii="宋体" w:hAnsi="宋体" w:cs="宋体"/>
          <w:b/>
          <w:sz w:val="24"/>
        </w:rPr>
        <w:t xml:space="preserve">五、公告期限 </w:t>
      </w:r>
    </w:p>
    <w:p w14:paraId="7AC4489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16DC638">
      <w:pPr>
        <w:spacing w:line="360" w:lineRule="auto"/>
        <w:rPr>
          <w:rFonts w:ascii="宋体" w:hAnsi="宋体" w:cs="宋体"/>
          <w:b/>
          <w:sz w:val="24"/>
        </w:rPr>
      </w:pPr>
      <w:r>
        <w:rPr>
          <w:rFonts w:hint="eastAsia" w:ascii="宋体" w:hAnsi="宋体" w:cs="宋体"/>
          <w:b/>
          <w:sz w:val="24"/>
        </w:rPr>
        <w:t>六、其他补充事宜</w:t>
      </w:r>
    </w:p>
    <w:p w14:paraId="59B3B826">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E1F6DC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D4ABF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73AFE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9D5C6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7ED202">
      <w:pPr>
        <w:spacing w:line="360" w:lineRule="auto"/>
        <w:rPr>
          <w:rFonts w:ascii="宋体" w:hAnsi="宋体" w:cs="宋体"/>
          <w:b/>
          <w:bCs/>
          <w:sz w:val="24"/>
        </w:rPr>
      </w:pPr>
      <w:r>
        <w:rPr>
          <w:rFonts w:hint="eastAsia" w:ascii="宋体" w:hAnsi="宋体" w:cs="宋体"/>
          <w:b/>
          <w:bCs/>
          <w:sz w:val="24"/>
        </w:rPr>
        <w:t xml:space="preserve">   1.采购人信息</w:t>
      </w:r>
    </w:p>
    <w:p w14:paraId="0C8CFA82">
      <w:pPr>
        <w:spacing w:line="360" w:lineRule="auto"/>
        <w:rPr>
          <w:rFonts w:ascii="宋体" w:hAnsi="宋体" w:cs="宋体"/>
          <w:sz w:val="24"/>
        </w:rPr>
      </w:pPr>
      <w:r>
        <w:rPr>
          <w:rFonts w:hint="eastAsia" w:ascii="宋体" w:hAnsi="宋体" w:cs="宋体"/>
          <w:sz w:val="24"/>
        </w:rPr>
        <w:t xml:space="preserve">    名称：杭州市余杭区数据资源管理局</w:t>
      </w:r>
    </w:p>
    <w:p w14:paraId="08015743">
      <w:pPr>
        <w:spacing w:line="360" w:lineRule="auto"/>
        <w:ind w:firstLine="480" w:firstLineChars="200"/>
        <w:rPr>
          <w:rFonts w:ascii="宋体" w:hAnsi="宋体" w:cs="宋体"/>
          <w:sz w:val="24"/>
        </w:rPr>
      </w:pPr>
      <w:r>
        <w:rPr>
          <w:rFonts w:hint="eastAsia" w:ascii="宋体" w:hAnsi="宋体" w:cs="宋体"/>
          <w:sz w:val="24"/>
        </w:rPr>
        <w:t>地址： 杭州市余杭区文一西路1500号4号楼8楼-9楼。</w:t>
      </w:r>
    </w:p>
    <w:p w14:paraId="1D7AB9E5">
      <w:pPr>
        <w:spacing w:line="360" w:lineRule="auto"/>
        <w:ind w:firstLine="480" w:firstLineChars="200"/>
        <w:rPr>
          <w:rFonts w:ascii="宋体" w:hAnsi="宋体" w:cs="宋体"/>
          <w:sz w:val="24"/>
        </w:rPr>
      </w:pPr>
      <w:r>
        <w:rPr>
          <w:rFonts w:hint="eastAsia" w:ascii="宋体" w:hAnsi="宋体" w:cs="宋体"/>
          <w:sz w:val="24"/>
        </w:rPr>
        <w:t xml:space="preserve">项目联系人（询问）： </w:t>
      </w:r>
    </w:p>
    <w:p w14:paraId="1A0798B8">
      <w:pPr>
        <w:spacing w:line="360" w:lineRule="auto"/>
        <w:ind w:firstLine="480" w:firstLineChars="200"/>
        <w:rPr>
          <w:rFonts w:ascii="宋体" w:hAnsi="宋体" w:cs="宋体"/>
          <w:sz w:val="24"/>
        </w:rPr>
      </w:pPr>
      <w:r>
        <w:rPr>
          <w:rFonts w:hint="eastAsia" w:ascii="宋体" w:hAnsi="宋体" w:cs="宋体"/>
          <w:sz w:val="24"/>
        </w:rPr>
        <w:t>标项一联系人：秦彬               联系方式：18969069238</w:t>
      </w:r>
    </w:p>
    <w:p w14:paraId="5EF4998D">
      <w:pPr>
        <w:spacing w:line="360" w:lineRule="auto"/>
        <w:rPr>
          <w:rFonts w:ascii="宋体" w:hAnsi="宋体" w:cs="宋体"/>
          <w:sz w:val="24"/>
        </w:rPr>
      </w:pPr>
      <w:r>
        <w:rPr>
          <w:rFonts w:hint="eastAsia" w:ascii="宋体" w:hAnsi="宋体" w:cs="宋体"/>
          <w:sz w:val="24"/>
        </w:rPr>
        <w:t xml:space="preserve">    标项二联系人：赵阳懿             联系方式：13777499177</w:t>
      </w:r>
    </w:p>
    <w:p w14:paraId="5AEDBB7C">
      <w:pPr>
        <w:spacing w:line="360" w:lineRule="auto"/>
        <w:rPr>
          <w:rFonts w:ascii="宋体" w:hAnsi="宋体" w:cs="宋体"/>
          <w:sz w:val="24"/>
        </w:rPr>
      </w:pPr>
      <w:r>
        <w:rPr>
          <w:rFonts w:hint="eastAsia" w:ascii="宋体" w:hAnsi="宋体" w:cs="宋体"/>
          <w:sz w:val="24"/>
        </w:rPr>
        <w:t xml:space="preserve">    标项三联系人：王炜               联系方式：18810992722</w:t>
      </w:r>
    </w:p>
    <w:p w14:paraId="4F847AA5">
      <w:pPr>
        <w:spacing w:line="360" w:lineRule="auto"/>
        <w:rPr>
          <w:rFonts w:ascii="宋体" w:hAnsi="宋体" w:cs="宋体"/>
          <w:sz w:val="24"/>
        </w:rPr>
      </w:pPr>
      <w:r>
        <w:rPr>
          <w:rFonts w:hint="eastAsia" w:ascii="宋体" w:hAnsi="宋体" w:cs="宋体"/>
          <w:sz w:val="24"/>
        </w:rPr>
        <w:t xml:space="preserve">    标项四联系人：朱洁               联系方式：18268038080</w:t>
      </w:r>
    </w:p>
    <w:p w14:paraId="0E9655CC">
      <w:pPr>
        <w:spacing w:line="360" w:lineRule="auto"/>
        <w:rPr>
          <w:rFonts w:ascii="宋体" w:hAnsi="宋体" w:cs="宋体"/>
          <w:sz w:val="24"/>
        </w:rPr>
      </w:pPr>
      <w:r>
        <w:rPr>
          <w:rFonts w:hint="eastAsia" w:ascii="宋体" w:hAnsi="宋体" w:cs="宋体"/>
          <w:sz w:val="24"/>
        </w:rPr>
        <w:t xml:space="preserve">    标项五联系人：宫月               联系方式：13486358269</w:t>
      </w:r>
    </w:p>
    <w:p w14:paraId="703F10D3">
      <w:pPr>
        <w:spacing w:line="240" w:lineRule="auto"/>
        <w:rPr>
          <w:rFonts w:ascii="宋体" w:hAnsi="宋体" w:cs="宋体"/>
          <w:sz w:val="24"/>
        </w:rPr>
      </w:pPr>
      <w:r>
        <w:rPr>
          <w:rFonts w:ascii="宋体" w:hAnsi="宋体" w:cs="宋体"/>
          <w:sz w:val="24"/>
        </w:rPr>
        <w:t xml:space="preserve">  </w:t>
      </w:r>
      <w:r>
        <w:rPr>
          <w:rFonts w:hint="eastAsia" w:ascii="宋体" w:hAnsi="宋体" w:cs="宋体"/>
          <w:sz w:val="24"/>
        </w:rPr>
        <w:t xml:space="preserve">  质疑联系人：田茜婷               联系方式：0571-89518506</w:t>
      </w:r>
    </w:p>
    <w:p w14:paraId="07B27DA5">
      <w:pPr>
        <w:spacing w:line="360" w:lineRule="auto"/>
        <w:rPr>
          <w:rFonts w:ascii="宋体" w:hAnsi="宋体" w:cs="宋体"/>
          <w:sz w:val="24"/>
        </w:rPr>
      </w:pPr>
    </w:p>
    <w:p w14:paraId="5912DFCD">
      <w:pPr>
        <w:spacing w:line="360" w:lineRule="auto"/>
        <w:ind w:firstLine="482" w:firstLineChars="200"/>
        <w:rPr>
          <w:rFonts w:ascii="宋体" w:hAnsi="宋体" w:cs="宋体"/>
          <w:b/>
          <w:bCs/>
          <w:sz w:val="24"/>
        </w:rPr>
      </w:pPr>
      <w:r>
        <w:rPr>
          <w:rFonts w:hint="eastAsia" w:ascii="宋体" w:hAnsi="宋体" w:cs="宋体"/>
          <w:b/>
          <w:bCs/>
          <w:sz w:val="24"/>
        </w:rPr>
        <w:t xml:space="preserve">2.采购代理机构信息            </w:t>
      </w:r>
    </w:p>
    <w:p w14:paraId="6D397794">
      <w:pPr>
        <w:spacing w:line="360" w:lineRule="auto"/>
        <w:ind w:firstLine="480" w:firstLineChars="200"/>
        <w:rPr>
          <w:rFonts w:ascii="宋体" w:hAnsi="宋体" w:cs="宋体"/>
          <w:sz w:val="24"/>
        </w:rPr>
      </w:pPr>
      <w:r>
        <w:rPr>
          <w:rFonts w:hint="eastAsia" w:ascii="宋体" w:hAnsi="宋体" w:cs="宋体"/>
          <w:sz w:val="24"/>
        </w:rPr>
        <w:t>名称：耀华建设管理有限公司</w:t>
      </w:r>
    </w:p>
    <w:p w14:paraId="65694049">
      <w:pPr>
        <w:spacing w:line="360" w:lineRule="auto"/>
        <w:ind w:firstLine="480" w:firstLineChars="200"/>
        <w:rPr>
          <w:rFonts w:ascii="宋体" w:hAnsi="宋体" w:cs="宋体"/>
          <w:sz w:val="24"/>
        </w:rPr>
      </w:pPr>
      <w:r>
        <w:rPr>
          <w:rFonts w:hint="eastAsia" w:ascii="宋体" w:hAnsi="宋体" w:cs="宋体"/>
          <w:sz w:val="24"/>
        </w:rPr>
        <w:t>地址：杭州市余杭区联创街77号汇银中心3幢2单元（整幢）。</w:t>
      </w:r>
    </w:p>
    <w:p w14:paraId="03E775F4">
      <w:pPr>
        <w:spacing w:line="360" w:lineRule="auto"/>
        <w:rPr>
          <w:rFonts w:ascii="宋体" w:hAnsi="宋体" w:cs="宋体"/>
          <w:sz w:val="24"/>
        </w:rPr>
      </w:pPr>
      <w:r>
        <w:rPr>
          <w:rFonts w:hint="eastAsia" w:ascii="宋体" w:hAnsi="宋体" w:cs="宋体"/>
          <w:sz w:val="24"/>
        </w:rPr>
        <w:t xml:space="preserve">    项目联系人（询问）：周海丽      联系方式：0571-86320706、15868109971</w:t>
      </w:r>
    </w:p>
    <w:p w14:paraId="1FFBAAC1">
      <w:pPr>
        <w:spacing w:line="360" w:lineRule="auto"/>
        <w:rPr>
          <w:rFonts w:ascii="宋体" w:hAnsi="宋体" w:cs="宋体"/>
          <w:b/>
          <w:bCs/>
          <w:sz w:val="24"/>
        </w:rPr>
      </w:pPr>
      <w:r>
        <w:rPr>
          <w:rFonts w:hint="eastAsia" w:ascii="宋体" w:hAnsi="宋体" w:cs="宋体"/>
          <w:sz w:val="24"/>
        </w:rPr>
        <w:t xml:space="preserve">    质疑联系人：单成燕            联系方式：0571-86320727、18072887619</w:t>
      </w:r>
      <w:r>
        <w:rPr>
          <w:rFonts w:hint="eastAsia" w:ascii="宋体" w:hAnsi="宋体" w:cs="宋体"/>
          <w:b/>
          <w:bCs/>
          <w:sz w:val="24"/>
        </w:rPr>
        <w:t xml:space="preserve">   </w:t>
      </w:r>
    </w:p>
    <w:p w14:paraId="258DA899">
      <w:pPr>
        <w:spacing w:line="360" w:lineRule="auto"/>
        <w:ind w:firstLine="241" w:firstLineChars="100"/>
        <w:rPr>
          <w:rFonts w:ascii="宋体" w:hAnsi="宋体" w:cs="宋体"/>
          <w:b/>
          <w:bCs/>
          <w:sz w:val="24"/>
        </w:rPr>
      </w:pPr>
    </w:p>
    <w:p w14:paraId="0CFF0FB2">
      <w:pPr>
        <w:spacing w:line="360" w:lineRule="auto"/>
        <w:rPr>
          <w:rFonts w:ascii="宋体" w:hAnsi="宋体" w:cs="宋体"/>
          <w:sz w:val="24"/>
        </w:rPr>
      </w:pPr>
      <w:r>
        <w:rPr>
          <w:rFonts w:hint="eastAsia" w:ascii="宋体" w:hAnsi="宋体" w:cs="宋体"/>
          <w:b/>
          <w:bCs/>
          <w:sz w:val="24"/>
        </w:rPr>
        <w:t xml:space="preserve">    3.同级政府采购监督管理部门  </w:t>
      </w:r>
      <w:r>
        <w:rPr>
          <w:rFonts w:hint="eastAsia" w:ascii="宋体" w:hAnsi="宋体" w:cs="宋体"/>
          <w:sz w:val="24"/>
        </w:rPr>
        <w:t xml:space="preserve">          </w:t>
      </w:r>
    </w:p>
    <w:p w14:paraId="732187A6">
      <w:pPr>
        <w:spacing w:line="360" w:lineRule="auto"/>
        <w:rPr>
          <w:rFonts w:ascii="宋体" w:hAnsi="宋体" w:cs="宋体"/>
          <w:sz w:val="24"/>
        </w:rPr>
      </w:pPr>
      <w:r>
        <w:rPr>
          <w:rFonts w:hint="eastAsia" w:ascii="宋体" w:hAnsi="宋体" w:cs="宋体"/>
          <w:sz w:val="24"/>
        </w:rPr>
        <w:t xml:space="preserve">     名称：杭州市余杭区财政局、浙江省政府采购行政裁决服务中心（杭州）</w:t>
      </w:r>
    </w:p>
    <w:p w14:paraId="0FD81099">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地址：杭州市上城区四季青街道新业路市民之家G03办公室（快递仅限ems或顺丰）。 </w:t>
      </w:r>
    </w:p>
    <w:p w14:paraId="65AEEF5B">
      <w:pPr>
        <w:spacing w:line="360" w:lineRule="auto"/>
        <w:ind w:firstLine="480"/>
        <w:rPr>
          <w:rFonts w:ascii="宋体" w:hAnsi="宋体" w:cs="宋体"/>
          <w:sz w:val="24"/>
        </w:rPr>
      </w:pPr>
      <w:r>
        <w:rPr>
          <w:rFonts w:hint="eastAsia" w:ascii="宋体" w:hAnsi="宋体" w:cs="宋体"/>
          <w:sz w:val="24"/>
        </w:rPr>
        <w:t xml:space="preserve">联 系 人 ：朱女士、王女士     监督投诉电话：0571-85252453     </w:t>
      </w:r>
    </w:p>
    <w:p w14:paraId="5363EE4E">
      <w:pPr>
        <w:rPr>
          <w:rFonts w:ascii="宋体" w:hAnsi="宋体" w:cs="宋体"/>
        </w:rPr>
      </w:pPr>
    </w:p>
    <w:p w14:paraId="084CA8C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DA5DD7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83C530B">
      <w:pPr>
        <w:adjustRightInd/>
        <w:spacing w:line="360" w:lineRule="auto"/>
        <w:jc w:val="center"/>
        <w:outlineLvl w:val="0"/>
        <w:rPr>
          <w:rFonts w:hint="eastAsia" w:ascii="宋体" w:hAnsi="宋体" w:cs="宋体"/>
          <w:b/>
          <w:sz w:val="36"/>
          <w:szCs w:val="20"/>
        </w:rPr>
      </w:pPr>
    </w:p>
    <w:p w14:paraId="0843819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3"/>
      <w:r>
        <w:rPr>
          <w:rFonts w:hint="eastAsia" w:ascii="宋体" w:hAnsi="宋体" w:cs="宋体"/>
          <w:b/>
          <w:sz w:val="36"/>
          <w:szCs w:val="20"/>
        </w:rPr>
        <w:t xml:space="preserve"> 投标人须知</w:t>
      </w:r>
      <w:bookmarkEnd w:id="4"/>
    </w:p>
    <w:p w14:paraId="3E921ABE">
      <w:pPr>
        <w:adjustRightInd/>
        <w:jc w:val="center"/>
        <w:rPr>
          <w:rFonts w:ascii="宋体" w:hAnsi="宋体" w:cs="宋体"/>
          <w:b/>
          <w:bCs/>
          <w:sz w:val="28"/>
          <w:szCs w:val="36"/>
        </w:rPr>
      </w:pPr>
      <w:r>
        <w:rPr>
          <w:rFonts w:hint="eastAsia" w:ascii="宋体" w:hAnsi="宋体" w:cs="宋体"/>
          <w:b/>
          <w:bCs/>
          <w:sz w:val="28"/>
          <w:szCs w:val="36"/>
        </w:rPr>
        <w:t>前附表（适用于各标项）</w:t>
      </w:r>
    </w:p>
    <w:tbl>
      <w:tblPr>
        <w:tblStyle w:val="64"/>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589"/>
        <w:gridCol w:w="6741"/>
      </w:tblGrid>
      <w:tr w14:paraId="06567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33330AD">
            <w:pPr>
              <w:snapToGrid w:val="0"/>
              <w:spacing w:after="0"/>
              <w:jc w:val="center"/>
              <w:rPr>
                <w:rFonts w:ascii="宋体" w:hAnsi="宋体" w:cs="宋体"/>
                <w:b/>
                <w:sz w:val="24"/>
              </w:rPr>
            </w:pPr>
            <w:r>
              <w:rPr>
                <w:rFonts w:hint="eastAsia" w:ascii="宋体" w:hAnsi="宋体" w:cs="宋体"/>
                <w:b/>
                <w:sz w:val="24"/>
              </w:rPr>
              <w:t>序号</w:t>
            </w:r>
          </w:p>
        </w:tc>
        <w:tc>
          <w:tcPr>
            <w:tcW w:w="1589" w:type="dxa"/>
            <w:tcBorders>
              <w:top w:val="single" w:color="000000" w:sz="8" w:space="0"/>
              <w:left w:val="single" w:color="auto" w:sz="4" w:space="0"/>
              <w:bottom w:val="single" w:color="000000" w:sz="8" w:space="0"/>
              <w:right w:val="single" w:color="000000" w:sz="8" w:space="0"/>
            </w:tcBorders>
            <w:vAlign w:val="center"/>
          </w:tcPr>
          <w:p w14:paraId="2934BED1">
            <w:pPr>
              <w:snapToGrid w:val="0"/>
              <w:spacing w:after="0"/>
              <w:jc w:val="center"/>
              <w:rPr>
                <w:rFonts w:ascii="宋体" w:hAnsi="宋体" w:cs="宋体"/>
                <w:b/>
                <w:sz w:val="24"/>
              </w:rPr>
            </w:pPr>
            <w:r>
              <w:rPr>
                <w:rFonts w:hint="eastAsia" w:ascii="宋体" w:hAnsi="宋体" w:cs="宋体"/>
                <w:b/>
                <w:sz w:val="24"/>
              </w:rPr>
              <w:t>事项</w:t>
            </w:r>
          </w:p>
        </w:tc>
        <w:tc>
          <w:tcPr>
            <w:tcW w:w="6741" w:type="dxa"/>
            <w:tcBorders>
              <w:top w:val="single" w:color="000000" w:sz="8" w:space="0"/>
              <w:left w:val="single" w:color="000000" w:sz="2" w:space="0"/>
              <w:bottom w:val="single" w:color="000000" w:sz="8" w:space="0"/>
              <w:right w:val="single" w:color="000000" w:sz="8" w:space="0"/>
            </w:tcBorders>
            <w:vAlign w:val="center"/>
          </w:tcPr>
          <w:p w14:paraId="75BC561E">
            <w:pPr>
              <w:snapToGrid w:val="0"/>
              <w:spacing w:after="0"/>
              <w:jc w:val="center"/>
              <w:rPr>
                <w:rFonts w:ascii="宋体" w:hAnsi="宋体" w:cs="宋体"/>
                <w:b/>
                <w:sz w:val="24"/>
              </w:rPr>
            </w:pPr>
            <w:r>
              <w:rPr>
                <w:rFonts w:hint="eastAsia" w:ascii="宋体" w:hAnsi="宋体" w:cs="宋体"/>
                <w:b/>
                <w:sz w:val="24"/>
              </w:rPr>
              <w:t>本项目的特别规定</w:t>
            </w:r>
          </w:p>
        </w:tc>
      </w:tr>
      <w:tr w14:paraId="4BB60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4830F24">
            <w:pPr>
              <w:snapToGrid w:val="0"/>
              <w:spacing w:after="0" w:line="360" w:lineRule="auto"/>
              <w:jc w:val="center"/>
              <w:rPr>
                <w:rFonts w:ascii="宋体" w:hAnsi="宋体" w:cs="宋体"/>
                <w:sz w:val="24"/>
              </w:rPr>
            </w:pPr>
            <w:r>
              <w:rPr>
                <w:rFonts w:hint="eastAsia" w:ascii="宋体" w:hAnsi="宋体" w:cs="宋体"/>
                <w:sz w:val="24"/>
              </w:rPr>
              <w:t>1</w:t>
            </w:r>
          </w:p>
        </w:tc>
        <w:tc>
          <w:tcPr>
            <w:tcW w:w="1589" w:type="dxa"/>
            <w:tcBorders>
              <w:top w:val="single" w:color="000000" w:sz="8" w:space="0"/>
              <w:left w:val="single" w:color="auto" w:sz="4" w:space="0"/>
              <w:bottom w:val="single" w:color="000000" w:sz="8" w:space="0"/>
              <w:right w:val="single" w:color="000000" w:sz="8" w:space="0"/>
            </w:tcBorders>
            <w:vAlign w:val="center"/>
          </w:tcPr>
          <w:p w14:paraId="5242BA80">
            <w:pPr>
              <w:snapToGrid w:val="0"/>
              <w:spacing w:after="0" w:line="360" w:lineRule="auto"/>
              <w:jc w:val="center"/>
              <w:rPr>
                <w:rFonts w:ascii="宋体" w:hAnsi="宋体" w:cs="宋体"/>
                <w:b/>
                <w:sz w:val="24"/>
              </w:rPr>
            </w:pPr>
            <w:r>
              <w:rPr>
                <w:rFonts w:hint="eastAsia" w:ascii="宋体" w:hAnsi="宋体" w:cs="宋体"/>
                <w:b/>
                <w:sz w:val="24"/>
              </w:rPr>
              <w:t>项目属性</w:t>
            </w:r>
          </w:p>
        </w:tc>
        <w:tc>
          <w:tcPr>
            <w:tcW w:w="6741" w:type="dxa"/>
            <w:tcBorders>
              <w:top w:val="single" w:color="000000" w:sz="8" w:space="0"/>
              <w:left w:val="single" w:color="000000" w:sz="2" w:space="0"/>
              <w:bottom w:val="single" w:color="000000" w:sz="8" w:space="0"/>
              <w:right w:val="single" w:color="000000" w:sz="8" w:space="0"/>
            </w:tcBorders>
            <w:vAlign w:val="center"/>
          </w:tcPr>
          <w:p w14:paraId="4AB0BF0A">
            <w:pPr>
              <w:spacing w:after="0" w:line="360" w:lineRule="auto"/>
              <w:ind w:firstLine="241" w:firstLineChars="100"/>
              <w:rPr>
                <w:rFonts w:ascii="宋体" w:hAnsi="宋体" w:cs="宋体"/>
                <w:sz w:val="24"/>
              </w:rPr>
            </w:pPr>
            <w:r>
              <w:rPr>
                <w:rFonts w:hint="eastAsia" w:ascii="宋体" w:hAnsi="宋体" w:cs="宋体"/>
                <w:b/>
                <w:bCs/>
                <w:sz w:val="24"/>
              </w:rPr>
              <w:t>服务类；</w:t>
            </w:r>
          </w:p>
        </w:tc>
      </w:tr>
      <w:tr w14:paraId="52376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7972D08">
            <w:pPr>
              <w:snapToGrid w:val="0"/>
              <w:spacing w:after="0" w:line="360" w:lineRule="auto"/>
              <w:jc w:val="center"/>
              <w:rPr>
                <w:rFonts w:ascii="宋体" w:hAnsi="宋体" w:cs="宋体"/>
                <w:sz w:val="24"/>
              </w:rPr>
            </w:pPr>
            <w:r>
              <w:rPr>
                <w:rFonts w:hint="eastAsia" w:ascii="宋体" w:hAnsi="宋体" w:cs="宋体"/>
                <w:sz w:val="24"/>
              </w:rPr>
              <w:t>2</w:t>
            </w:r>
          </w:p>
        </w:tc>
        <w:tc>
          <w:tcPr>
            <w:tcW w:w="1589" w:type="dxa"/>
            <w:tcBorders>
              <w:top w:val="single" w:color="000000" w:sz="8" w:space="0"/>
              <w:left w:val="single" w:color="auto" w:sz="4" w:space="0"/>
              <w:bottom w:val="single" w:color="000000" w:sz="8" w:space="0"/>
              <w:right w:val="single" w:color="000000" w:sz="8" w:space="0"/>
            </w:tcBorders>
            <w:vAlign w:val="center"/>
          </w:tcPr>
          <w:p w14:paraId="03859252">
            <w:pPr>
              <w:snapToGrid w:val="0"/>
              <w:spacing w:after="0" w:line="264" w:lineRule="auto"/>
              <w:jc w:val="center"/>
              <w:rPr>
                <w:rFonts w:ascii="宋体" w:hAnsi="宋体" w:cs="宋体"/>
                <w:b/>
                <w:color w:val="000000"/>
                <w:sz w:val="24"/>
              </w:rPr>
            </w:pPr>
            <w:r>
              <w:rPr>
                <w:rFonts w:hint="eastAsia" w:ascii="宋体" w:hAnsi="宋体" w:cs="宋体"/>
                <w:b/>
                <w:color w:val="000000"/>
                <w:sz w:val="24"/>
              </w:rPr>
              <w:t>采购标的及其对应的中小企业划分标准所属行业</w:t>
            </w:r>
          </w:p>
        </w:tc>
        <w:tc>
          <w:tcPr>
            <w:tcW w:w="6741" w:type="dxa"/>
            <w:tcBorders>
              <w:top w:val="single" w:color="000000" w:sz="8" w:space="0"/>
              <w:left w:val="single" w:color="000000" w:sz="2" w:space="0"/>
              <w:bottom w:val="single" w:color="000000" w:sz="8" w:space="0"/>
              <w:right w:val="single" w:color="000000" w:sz="8" w:space="0"/>
            </w:tcBorders>
            <w:vAlign w:val="center"/>
          </w:tcPr>
          <w:p w14:paraId="373593C5">
            <w:pPr>
              <w:snapToGrid w:val="0"/>
              <w:spacing w:after="0"/>
              <w:rPr>
                <w:rFonts w:ascii="宋体" w:hAnsi="宋体" w:cs="宋体"/>
                <w:color w:val="000000"/>
                <w:kern w:val="0"/>
                <w:sz w:val="24"/>
                <w:u w:val="single"/>
              </w:rPr>
            </w:pPr>
            <w:r>
              <w:rPr>
                <w:rFonts w:hint="eastAsia" w:ascii="宋体" w:hAnsi="宋体" w:cs="宋体"/>
                <w:color w:val="000000"/>
                <w:kern w:val="0"/>
                <w:sz w:val="24"/>
              </w:rPr>
              <w:t>（1）标的：</w:t>
            </w:r>
            <w:r>
              <w:rPr>
                <w:rFonts w:hint="eastAsia" w:ascii="宋体" w:hAnsi="宋体" w:cs="宋体"/>
                <w:color w:val="000000"/>
                <w:kern w:val="0"/>
                <w:sz w:val="24"/>
                <w:u w:val="single"/>
              </w:rPr>
              <w:t>余杭区公共数据运营服务项目</w:t>
            </w:r>
          </w:p>
          <w:p w14:paraId="3F54FC46">
            <w:pPr>
              <w:snapToGrid w:val="0"/>
              <w:spacing w:after="0"/>
              <w:rPr>
                <w:rFonts w:ascii="宋体" w:hAnsi="宋体" w:cs="宋体"/>
                <w:color w:val="000000"/>
                <w:kern w:val="0"/>
                <w:sz w:val="24"/>
              </w:rPr>
            </w:pPr>
            <w:r>
              <w:rPr>
                <w:rFonts w:hint="eastAsia" w:ascii="宋体" w:hAnsi="宋体" w:cs="宋体"/>
                <w:color w:val="000000"/>
                <w:kern w:val="0"/>
                <w:sz w:val="24"/>
              </w:rPr>
              <w:t>（2）属于：</w:t>
            </w:r>
            <w:r>
              <w:rPr>
                <w:rFonts w:hint="eastAsia" w:ascii="宋体" w:hAnsi="宋体" w:cs="宋体"/>
                <w:color w:val="000000"/>
                <w:kern w:val="0"/>
                <w:sz w:val="24"/>
                <w:u w:val="single"/>
              </w:rPr>
              <w:t>软件和信息技术服务业</w:t>
            </w:r>
            <w:r>
              <w:rPr>
                <w:rFonts w:hint="eastAsia" w:ascii="宋体" w:hAnsi="宋体" w:cs="宋体"/>
                <w:color w:val="000000"/>
                <w:kern w:val="0"/>
                <w:sz w:val="24"/>
              </w:rPr>
              <w:t>；</w:t>
            </w:r>
          </w:p>
          <w:p w14:paraId="35F4F270">
            <w:pPr>
              <w:pStyle w:val="619"/>
              <w:tabs>
                <w:tab w:val="left" w:pos="1070"/>
              </w:tabs>
              <w:spacing w:after="0"/>
              <w:ind w:right="52"/>
              <w:jc w:val="center"/>
              <w:rPr>
                <w:rFonts w:ascii="宋体" w:hAnsi="宋体" w:cs="宋体"/>
                <w:b/>
                <w:bCs/>
                <w:color w:val="000000"/>
                <w:sz w:val="24"/>
                <w:shd w:val="clear" w:color="auto" w:fill="FFFFFF"/>
                <w:lang w:val="zh-CN" w:eastAsia="zh-CN" w:bidi="zh-CN"/>
              </w:rPr>
            </w:pPr>
            <w:r>
              <w:rPr>
                <w:rFonts w:hint="eastAsia" w:ascii="宋体" w:hAnsi="宋体" w:cs="宋体"/>
                <w:sz w:val="24"/>
                <w:szCs w:val="24"/>
              </w:rPr>
              <w:drawing>
                <wp:anchor distT="0" distB="0" distL="114300" distR="114300" simplePos="0" relativeHeight="251662336" behindDoc="1" locked="0" layoutInCell="1" allowOverlap="1">
                  <wp:simplePos x="0" y="0"/>
                  <wp:positionH relativeFrom="column">
                    <wp:posOffset>48260</wp:posOffset>
                  </wp:positionH>
                  <wp:positionV relativeFrom="page">
                    <wp:posOffset>492125</wp:posOffset>
                  </wp:positionV>
                  <wp:extent cx="4067175" cy="500380"/>
                  <wp:effectExtent l="0" t="0" r="9525" b="1397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25">
                            <a:lum/>
                          </a:blip>
                          <a:stretch>
                            <a:fillRect/>
                          </a:stretch>
                        </pic:blipFill>
                        <pic:spPr>
                          <a:xfrm>
                            <a:off x="0" y="0"/>
                            <a:ext cx="4067175" cy="500380"/>
                          </a:xfrm>
                          <a:prstGeom prst="rect">
                            <a:avLst/>
                          </a:prstGeom>
                          <a:noFill/>
                          <a:ln>
                            <a:noFill/>
                          </a:ln>
                        </pic:spPr>
                      </pic:pic>
                    </a:graphicData>
                  </a:graphic>
                </wp:anchor>
              </w:drawing>
            </w:r>
          </w:p>
          <w:p w14:paraId="56677356">
            <w:pPr>
              <w:pStyle w:val="619"/>
              <w:tabs>
                <w:tab w:val="left" w:pos="1070"/>
              </w:tabs>
              <w:adjustRightInd w:val="0"/>
              <w:spacing w:after="0"/>
              <w:ind w:left="181" w:leftChars="-228" w:right="52" w:hanging="660" w:hangingChars="300"/>
              <w:jc w:val="center"/>
              <w:rPr>
                <w:rFonts w:ascii="宋体" w:hAnsi="宋体" w:cs="宋体"/>
                <w:sz w:val="24"/>
                <w:lang w:eastAsia="zh-CN"/>
              </w:rPr>
            </w:pPr>
            <w:r>
              <w:rPr>
                <w:rFonts w:hint="eastAsia" w:ascii="宋体" w:hAnsi="宋体" w:cs="宋体"/>
                <w:lang w:eastAsia="zh-CN"/>
              </w:rPr>
              <w:t xml:space="preserve">     </w:t>
            </w:r>
          </w:p>
          <w:p w14:paraId="2EF87ACD">
            <w:pPr>
              <w:snapToGrid w:val="0"/>
              <w:spacing w:after="0" w:line="264" w:lineRule="auto"/>
              <w:ind w:firstLine="420" w:firstLineChars="200"/>
              <w:rPr>
                <w:rFonts w:ascii="宋体" w:hAnsi="宋体" w:cs="宋体"/>
                <w:b/>
                <w:bCs/>
                <w:color w:val="000000"/>
                <w:sz w:val="24"/>
                <w:shd w:val="clear" w:color="auto" w:fill="FFFFFF"/>
                <w:lang w:val="zh-CN" w:bidi="zh-CN"/>
              </w:rPr>
            </w:pPr>
            <w:r>
              <w:rPr>
                <w:rFonts w:hint="eastAsia" w:ascii="宋体" w:hAnsi="宋体" w:cs="宋体"/>
              </w:rPr>
              <w:drawing>
                <wp:anchor distT="0" distB="0" distL="114300" distR="114300" simplePos="0" relativeHeight="251661312" behindDoc="1" locked="0" layoutInCell="1" allowOverlap="1">
                  <wp:simplePos x="0" y="0"/>
                  <wp:positionH relativeFrom="column">
                    <wp:posOffset>66675</wp:posOffset>
                  </wp:positionH>
                  <wp:positionV relativeFrom="page">
                    <wp:posOffset>998220</wp:posOffset>
                  </wp:positionV>
                  <wp:extent cx="4055745" cy="289560"/>
                  <wp:effectExtent l="0" t="0" r="1905" b="1524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6"/>
                          <a:stretch>
                            <a:fillRect/>
                          </a:stretch>
                        </pic:blipFill>
                        <pic:spPr>
                          <a:xfrm>
                            <a:off x="0" y="0"/>
                            <a:ext cx="4055745" cy="289560"/>
                          </a:xfrm>
                          <a:prstGeom prst="rect">
                            <a:avLst/>
                          </a:prstGeom>
                          <a:noFill/>
                          <a:ln>
                            <a:noFill/>
                          </a:ln>
                        </pic:spPr>
                      </pic:pic>
                    </a:graphicData>
                  </a:graphic>
                </wp:anchor>
              </w:drawing>
            </w:r>
          </w:p>
          <w:p w14:paraId="274DBCE6">
            <w:pPr>
              <w:snapToGrid w:val="0"/>
              <w:spacing w:after="0" w:line="264" w:lineRule="auto"/>
              <w:ind w:firstLine="482" w:firstLineChars="200"/>
              <w:rPr>
                <w:rFonts w:ascii="宋体" w:hAnsi="宋体" w:cs="宋体"/>
                <w:b/>
                <w:bCs/>
                <w:color w:val="000000"/>
                <w:sz w:val="24"/>
                <w:shd w:val="clear" w:color="auto" w:fill="FFFFFF"/>
                <w:lang w:val="zh-CN" w:bidi="zh-CN"/>
              </w:rPr>
            </w:pPr>
          </w:p>
          <w:p w14:paraId="02778E9E">
            <w:pPr>
              <w:snapToGrid w:val="0"/>
              <w:spacing w:after="0" w:line="264" w:lineRule="auto"/>
              <w:ind w:firstLine="482" w:firstLineChars="200"/>
              <w:rPr>
                <w:rFonts w:ascii="宋体" w:hAnsi="宋体" w:cs="宋体"/>
                <w:b/>
                <w:bCs/>
                <w:color w:val="000000"/>
                <w:sz w:val="24"/>
                <w:shd w:val="clear" w:color="auto" w:fill="FFFFFF"/>
                <w:lang w:val="zh-CN" w:bidi="zh-CN"/>
              </w:rPr>
            </w:pPr>
          </w:p>
          <w:p w14:paraId="21242893">
            <w:pPr>
              <w:snapToGrid w:val="0"/>
              <w:spacing w:after="0" w:line="264" w:lineRule="auto"/>
              <w:ind w:firstLine="482" w:firstLineChars="200"/>
              <w:rPr>
                <w:rFonts w:ascii="宋体" w:hAnsi="宋体" w:cs="宋体"/>
                <w:b/>
                <w:bCs/>
                <w:color w:val="000000"/>
                <w:kern w:val="0"/>
                <w:szCs w:val="21"/>
                <w:u w:val="single"/>
                <w:lang w:val="zh-CN"/>
              </w:rPr>
            </w:pPr>
            <w:r>
              <w:rPr>
                <w:rFonts w:hint="eastAsia" w:ascii="宋体" w:hAnsi="宋体" w:cs="宋体"/>
                <w:b/>
                <w:bCs/>
                <w:color w:val="000000"/>
                <w:sz w:val="24"/>
                <w:shd w:val="clear" w:color="auto" w:fill="FFFFFF"/>
                <w:lang w:val="zh-CN" w:bidi="zh-CN"/>
              </w:rPr>
              <w:t xml:space="preserve">说明： </w:t>
            </w:r>
          </w:p>
          <w:p w14:paraId="6CB1C0D4">
            <w:pPr>
              <w:snapToGrid w:val="0"/>
              <w:spacing w:after="0" w:line="264" w:lineRule="auto"/>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1.大型、中型和小型企业须同时满足所列指标的下限，否则下划一档；微型企业只须满足所列指标中的一项即可。 　　</w:t>
            </w:r>
          </w:p>
          <w:p w14:paraId="2FF0B3A0">
            <w:pPr>
              <w:snapToGrid w:val="0"/>
              <w:spacing w:after="0" w:line="264" w:lineRule="auto"/>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2.附表中各行业的范围以《国民经济行业分类》（GB/T4754-2017）为准。</w:t>
            </w:r>
          </w:p>
          <w:p w14:paraId="7FC91601">
            <w:pPr>
              <w:snapToGrid w:val="0"/>
              <w:spacing w:after="0" w:line="264" w:lineRule="auto"/>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3.企业划分指标以现行统计制度为准。</w:t>
            </w:r>
          </w:p>
          <w:p w14:paraId="1075390D">
            <w:pPr>
              <w:snapToGrid w:val="0"/>
              <w:spacing w:after="0" w:line="264" w:lineRule="auto"/>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1）从业人员，是指期末从业人员数，没有期末从业人员数的，采用全年平均人员数代替。</w:t>
            </w:r>
          </w:p>
          <w:p w14:paraId="19FB7A05">
            <w:pPr>
              <w:snapToGrid w:val="0"/>
              <w:spacing w:after="0" w:line="264" w:lineRule="auto"/>
              <w:ind w:firstLine="422" w:firstLineChars="200"/>
              <w:rPr>
                <w:rFonts w:ascii="宋体" w:hAnsi="宋体" w:cs="宋体"/>
                <w:b/>
                <w:bCs/>
                <w:color w:val="000000"/>
                <w:kern w:val="0"/>
                <w:szCs w:val="21"/>
                <w:u w:val="single"/>
                <w:lang w:val="zh-CN"/>
              </w:rPr>
            </w:pPr>
            <w:r>
              <w:rPr>
                <w:rFonts w:hint="eastAsia" w:ascii="宋体" w:hAnsi="宋体" w:cs="宋体"/>
                <w:b/>
                <w:bCs/>
                <w:color w:val="000000"/>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8B6CFA9">
            <w:pPr>
              <w:pStyle w:val="619"/>
              <w:tabs>
                <w:tab w:val="left" w:pos="1070"/>
              </w:tabs>
              <w:spacing w:after="0" w:line="264" w:lineRule="auto"/>
              <w:ind w:right="52" w:firstLine="211" w:firstLineChars="100"/>
              <w:rPr>
                <w:rFonts w:ascii="宋体" w:hAnsi="宋体" w:cs="宋体"/>
                <w:b/>
                <w:bCs/>
                <w:color w:val="000000"/>
                <w:sz w:val="21"/>
                <w:szCs w:val="21"/>
                <w:u w:val="single"/>
                <w:lang w:val="zh-CN" w:eastAsia="zh-CN"/>
              </w:rPr>
            </w:pPr>
            <w:r>
              <w:rPr>
                <w:rFonts w:hint="eastAsia" w:ascii="宋体" w:hAnsi="宋体" w:cs="宋体"/>
                <w:b/>
                <w:bCs/>
                <w:color w:val="000000"/>
                <w:sz w:val="21"/>
                <w:szCs w:val="21"/>
                <w:u w:val="single"/>
                <w:lang w:val="zh-CN" w:eastAsia="zh-CN"/>
              </w:rPr>
              <w:t>3）资产总额，采用资产总计代替。</w:t>
            </w:r>
          </w:p>
          <w:p w14:paraId="4914A5A0">
            <w:pPr>
              <w:pStyle w:val="619"/>
              <w:tabs>
                <w:tab w:val="left" w:pos="1070"/>
              </w:tabs>
              <w:spacing w:after="0" w:line="264" w:lineRule="auto"/>
              <w:ind w:right="52" w:firstLine="240" w:firstLineChars="100"/>
              <w:rPr>
                <w:rFonts w:ascii="宋体" w:hAnsi="宋体" w:cs="宋体"/>
                <w:b/>
                <w:bCs/>
                <w:color w:val="000000"/>
                <w:sz w:val="24"/>
                <w:szCs w:val="24"/>
                <w:lang w:eastAsia="zh-CN"/>
              </w:rPr>
            </w:pPr>
            <w:r>
              <w:rPr>
                <w:rFonts w:hint="eastAsia" w:ascii="宋体" w:hAnsi="宋体" w:cs="宋体"/>
                <w:color w:val="000000"/>
                <w:sz w:val="24"/>
                <w:szCs w:val="24"/>
                <w:lang w:eastAsia="zh-CN"/>
              </w:rPr>
              <w:t>（3）根据《政府采购促进中小企业发展管理办法》（财库﹝2020﹞46 号）要求，本次采购为</w:t>
            </w:r>
            <w:r>
              <w:rPr>
                <w:rFonts w:hint="eastAsia" w:ascii="宋体" w:hAnsi="宋体" w:cs="宋体"/>
                <w:b/>
                <w:bCs/>
                <w:color w:val="000000"/>
                <w:sz w:val="24"/>
                <w:szCs w:val="24"/>
                <w:lang w:eastAsia="zh-CN"/>
              </w:rPr>
              <w:t>专门面向中小企业预留采购份额的采购项目</w:t>
            </w:r>
            <w:r>
              <w:rPr>
                <w:rFonts w:hint="eastAsia" w:ascii="宋体" w:hAnsi="宋体" w:cs="宋体"/>
                <w:color w:val="000000"/>
                <w:sz w:val="24"/>
                <w:szCs w:val="24"/>
                <w:lang w:eastAsia="zh-CN"/>
              </w:rPr>
              <w:t>。对小型和微型企业的投标报价不予扣除评审。</w:t>
            </w:r>
          </w:p>
          <w:p w14:paraId="1DCD1361">
            <w:pPr>
              <w:pStyle w:val="619"/>
              <w:tabs>
                <w:tab w:val="left" w:pos="1070"/>
              </w:tabs>
              <w:spacing w:after="0" w:line="264" w:lineRule="auto"/>
              <w:ind w:right="52" w:firstLine="236" w:firstLineChars="100"/>
              <w:rPr>
                <w:rFonts w:ascii="宋体" w:hAnsi="宋体" w:cs="宋体"/>
                <w:sz w:val="24"/>
                <w:szCs w:val="24"/>
                <w:lang w:eastAsia="zh-CN"/>
              </w:rPr>
            </w:pPr>
            <w:r>
              <w:rPr>
                <w:rFonts w:hint="eastAsia" w:ascii="宋体" w:hAnsi="宋体" w:cs="宋体"/>
                <w:spacing w:val="-2"/>
                <w:sz w:val="24"/>
                <w:szCs w:val="24"/>
                <w:lang w:eastAsia="zh-CN"/>
              </w:rPr>
              <w:t>(4)符合小微企业划分标准的个体工商户，视同小微企业</w:t>
            </w:r>
            <w:r>
              <w:rPr>
                <w:rFonts w:hint="eastAsia" w:ascii="宋体" w:hAnsi="宋体" w:cs="宋体"/>
                <w:spacing w:val="-13"/>
                <w:sz w:val="24"/>
                <w:szCs w:val="24"/>
                <w:lang w:eastAsia="zh-CN"/>
              </w:rPr>
              <w:t>。</w:t>
            </w:r>
          </w:p>
          <w:p w14:paraId="2C33EF9D">
            <w:pPr>
              <w:pStyle w:val="619"/>
              <w:tabs>
                <w:tab w:val="left" w:pos="1070"/>
              </w:tabs>
              <w:spacing w:after="0"/>
              <w:ind w:right="52" w:firstLine="238" w:firstLineChars="100"/>
              <w:rPr>
                <w:rFonts w:ascii="宋体" w:hAnsi="宋体" w:cs="宋体"/>
                <w:color w:val="000000"/>
                <w:sz w:val="24"/>
                <w:szCs w:val="24"/>
                <w:lang w:eastAsia="zh-CN"/>
              </w:rPr>
            </w:pPr>
            <w:r>
              <w:rPr>
                <w:rFonts w:hint="eastAsia" w:ascii="宋体" w:hAnsi="宋体" w:cs="宋体"/>
                <w:spacing w:val="-1"/>
                <w:sz w:val="24"/>
                <w:szCs w:val="24"/>
                <w:lang w:eastAsia="zh-CN"/>
              </w:rPr>
              <w:t xml:space="preserve">(5)监狱企业和残疾人福利性单位视同小型、微型企业， </w:t>
            </w:r>
            <w:r>
              <w:rPr>
                <w:rFonts w:hint="eastAsia" w:ascii="宋体" w:hAnsi="宋体" w:cs="宋体"/>
                <w:sz w:val="24"/>
                <w:szCs w:val="24"/>
                <w:lang w:eastAsia="zh-CN"/>
              </w:rPr>
              <w:t>按《财政部 司法部关于政府采购支持监狱企业发展有关问题的通知》(财库〔2014〕68 号)、《财政部 民政部  中国残</w:t>
            </w:r>
            <w:r>
              <w:rPr>
                <w:rFonts w:hint="eastAsia" w:ascii="宋体" w:hAnsi="宋体" w:cs="宋体"/>
                <w:spacing w:val="-2"/>
                <w:sz w:val="24"/>
                <w:szCs w:val="24"/>
                <w:lang w:eastAsia="zh-CN"/>
              </w:rPr>
              <w:t>疾人联合会关于促进残疾人就业政府采购政策的通知》</w:t>
            </w:r>
            <w:r>
              <w:rPr>
                <w:rFonts w:hint="eastAsia" w:ascii="宋体" w:hAnsi="宋体" w:cs="宋体"/>
                <w:sz w:val="24"/>
                <w:szCs w:val="24"/>
                <w:lang w:eastAsia="zh-CN"/>
              </w:rPr>
              <w:t>（财库〔2017〕141 号）的规定执行。</w:t>
            </w:r>
          </w:p>
        </w:tc>
      </w:tr>
      <w:tr w14:paraId="26AB3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tcPr>
          <w:p w14:paraId="6D22FBB3">
            <w:pPr>
              <w:snapToGrid w:val="0"/>
              <w:spacing w:after="0" w:line="360" w:lineRule="auto"/>
              <w:jc w:val="center"/>
              <w:rPr>
                <w:rFonts w:ascii="宋体" w:hAnsi="宋体" w:cs="宋体"/>
                <w:sz w:val="24"/>
              </w:rPr>
            </w:pPr>
          </w:p>
          <w:p w14:paraId="363341EA">
            <w:pPr>
              <w:snapToGrid w:val="0"/>
              <w:spacing w:after="0" w:line="360" w:lineRule="auto"/>
              <w:jc w:val="center"/>
              <w:rPr>
                <w:rFonts w:ascii="宋体" w:hAnsi="宋体" w:cs="宋体"/>
                <w:sz w:val="24"/>
              </w:rPr>
            </w:pPr>
            <w:r>
              <w:rPr>
                <w:rFonts w:hint="eastAsia" w:ascii="宋体" w:hAnsi="宋体" w:cs="宋体"/>
                <w:sz w:val="24"/>
              </w:rPr>
              <w:t>3</w:t>
            </w:r>
          </w:p>
        </w:tc>
        <w:tc>
          <w:tcPr>
            <w:tcW w:w="1589" w:type="dxa"/>
            <w:tcBorders>
              <w:top w:val="single" w:color="000000" w:sz="8" w:space="0"/>
              <w:left w:val="single" w:color="auto" w:sz="4" w:space="0"/>
              <w:bottom w:val="single" w:color="000000" w:sz="8" w:space="0"/>
              <w:right w:val="single" w:color="000000" w:sz="8" w:space="0"/>
            </w:tcBorders>
            <w:vAlign w:val="center"/>
          </w:tcPr>
          <w:p w14:paraId="7C79C262">
            <w:pPr>
              <w:snapToGrid w:val="0"/>
              <w:spacing w:after="0" w:line="360" w:lineRule="auto"/>
              <w:jc w:val="center"/>
              <w:rPr>
                <w:rFonts w:ascii="宋体" w:hAnsi="宋体" w:cs="宋体"/>
                <w:b/>
                <w:color w:val="000000"/>
                <w:sz w:val="24"/>
              </w:rPr>
            </w:pPr>
            <w:r>
              <w:rPr>
                <w:rFonts w:hint="eastAsia" w:ascii="宋体" w:hAnsi="宋体" w:cs="宋体"/>
                <w:b/>
                <w:color w:val="000000"/>
                <w:sz w:val="24"/>
              </w:rPr>
              <w:t>是否允许采购进口产品（服务项目不采用）</w:t>
            </w:r>
          </w:p>
        </w:tc>
        <w:tc>
          <w:tcPr>
            <w:tcW w:w="6741" w:type="dxa"/>
            <w:tcBorders>
              <w:top w:val="single" w:color="000000" w:sz="8" w:space="0"/>
              <w:left w:val="single" w:color="000000" w:sz="2" w:space="0"/>
              <w:bottom w:val="single" w:color="000000" w:sz="8" w:space="0"/>
              <w:right w:val="single" w:color="000000" w:sz="8" w:space="0"/>
            </w:tcBorders>
            <w:vAlign w:val="center"/>
          </w:tcPr>
          <w:p w14:paraId="5C906F7F">
            <w:pPr>
              <w:spacing w:after="0" w:line="360" w:lineRule="auto"/>
              <w:rPr>
                <w:rFonts w:ascii="宋体" w:hAnsi="宋体" w:cs="宋体"/>
                <w:color w:val="000000"/>
                <w:kern w:val="0"/>
                <w:sz w:val="24"/>
              </w:rPr>
            </w:pPr>
            <w:r>
              <w:rPr>
                <w:rFonts w:hint="eastAsia" w:ascii="宋体" w:hAnsi="宋体" w:cs="宋体"/>
                <w:color w:val="000000"/>
                <w:kern w:val="0"/>
                <w:sz w:val="24"/>
              </w:rPr>
              <w:sym w:font="Wingdings" w:char="F0FE"/>
            </w:r>
            <w:r>
              <w:rPr>
                <w:rFonts w:hint="eastAsia" w:ascii="宋体" w:hAnsi="宋体" w:cs="宋体"/>
                <w:color w:val="000000"/>
                <w:kern w:val="0"/>
                <w:sz w:val="24"/>
              </w:rPr>
              <w:t>本项目不允许采购进口产品。</w:t>
            </w:r>
          </w:p>
          <w:p w14:paraId="3D25799B">
            <w:pPr>
              <w:spacing w:after="0" w:line="360" w:lineRule="auto"/>
              <w:rPr>
                <w:rFonts w:ascii="宋体" w:hAnsi="宋体" w:cs="宋体"/>
                <w:color w:val="000000"/>
              </w:rPr>
            </w:pPr>
            <w:r>
              <w:rPr>
                <w:rFonts w:hint="eastAsia" w:ascii="宋体" w:hAnsi="宋体" w:cs="宋体"/>
                <w:color w:val="000000"/>
                <w:kern w:val="0"/>
                <w:sz w:val="24"/>
              </w:rPr>
              <w:t>☐可以就</w:t>
            </w:r>
            <w:r>
              <w:rPr>
                <w:rFonts w:hint="eastAsia" w:ascii="宋体" w:hAnsi="宋体" w:cs="宋体"/>
                <w:color w:val="000000"/>
                <w:sz w:val="24"/>
                <w:u w:val="single"/>
              </w:rPr>
              <w:t xml:space="preserve">    </w:t>
            </w:r>
            <w:r>
              <w:rPr>
                <w:rFonts w:hint="eastAsia" w:ascii="宋体" w:hAnsi="宋体" w:cs="宋体"/>
                <w:color w:val="000000"/>
                <w:kern w:val="0"/>
                <w:sz w:val="24"/>
              </w:rPr>
              <w:t>采购进口产品。</w:t>
            </w:r>
          </w:p>
        </w:tc>
      </w:tr>
      <w:tr w14:paraId="6F78C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D91A589">
            <w:pPr>
              <w:snapToGrid w:val="0"/>
              <w:spacing w:after="0" w:line="360" w:lineRule="auto"/>
              <w:jc w:val="center"/>
              <w:rPr>
                <w:rFonts w:ascii="宋体" w:hAnsi="宋体" w:cs="宋体"/>
                <w:sz w:val="24"/>
              </w:rPr>
            </w:pPr>
            <w:r>
              <w:rPr>
                <w:rFonts w:hint="eastAsia" w:ascii="宋体" w:hAnsi="宋体" w:cs="宋体"/>
                <w:sz w:val="24"/>
              </w:rPr>
              <w:t>4</w:t>
            </w:r>
          </w:p>
        </w:tc>
        <w:tc>
          <w:tcPr>
            <w:tcW w:w="1589" w:type="dxa"/>
            <w:tcBorders>
              <w:top w:val="single" w:color="000000" w:sz="8" w:space="0"/>
              <w:left w:val="single" w:color="auto" w:sz="4" w:space="0"/>
              <w:bottom w:val="single" w:color="000000" w:sz="8" w:space="0"/>
              <w:right w:val="single" w:color="000000" w:sz="8" w:space="0"/>
            </w:tcBorders>
            <w:vAlign w:val="center"/>
          </w:tcPr>
          <w:p w14:paraId="0CEF0315">
            <w:pPr>
              <w:snapToGrid w:val="0"/>
              <w:spacing w:after="0" w:line="360" w:lineRule="auto"/>
              <w:ind w:firstLine="482" w:firstLineChars="200"/>
              <w:rPr>
                <w:rFonts w:ascii="宋体" w:hAnsi="宋体" w:cs="宋体"/>
                <w:b/>
                <w:color w:val="000000"/>
                <w:sz w:val="24"/>
              </w:rPr>
            </w:pPr>
            <w:r>
              <w:rPr>
                <w:rFonts w:hint="eastAsia" w:ascii="宋体" w:hAnsi="宋体" w:cs="宋体"/>
                <w:b/>
                <w:color w:val="000000"/>
                <w:sz w:val="24"/>
              </w:rPr>
              <w:t>分包</w:t>
            </w:r>
          </w:p>
        </w:tc>
        <w:tc>
          <w:tcPr>
            <w:tcW w:w="6741" w:type="dxa"/>
            <w:tcBorders>
              <w:top w:val="single" w:color="000000" w:sz="8" w:space="0"/>
              <w:left w:val="single" w:color="000000" w:sz="2" w:space="0"/>
              <w:bottom w:val="single" w:color="000000" w:sz="8" w:space="0"/>
              <w:right w:val="single" w:color="000000" w:sz="8" w:space="0"/>
            </w:tcBorders>
            <w:vAlign w:val="center"/>
          </w:tcPr>
          <w:p w14:paraId="38D648FD">
            <w:pPr>
              <w:spacing w:after="0" w:line="360" w:lineRule="auto"/>
              <w:rPr>
                <w:rFonts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 xml:space="preserve"> A</w:t>
            </w:r>
            <w:r>
              <w:rPr>
                <w:rFonts w:hint="eastAsia" w:ascii="宋体" w:hAnsi="宋体" w:cs="宋体"/>
                <w:color w:val="000000"/>
                <w:sz w:val="24"/>
              </w:rPr>
              <w:t>同意将非主体、非关键性的工作分包。</w:t>
            </w:r>
          </w:p>
          <w:p w14:paraId="3AFE00C3">
            <w:pPr>
              <w:spacing w:after="0" w:line="360" w:lineRule="auto"/>
              <w:rPr>
                <w:rFonts w:ascii="宋体" w:hAnsi="宋体" w:cs="宋体"/>
                <w:color w:val="000000"/>
                <w:sz w:val="24"/>
              </w:rPr>
            </w:pPr>
            <w:r>
              <w:rPr>
                <w:rFonts w:hint="eastAsia" w:ascii="宋体" w:hAnsi="宋体" w:cs="宋体"/>
                <w:color w:val="000000"/>
                <w:kern w:val="0"/>
                <w:sz w:val="24"/>
              </w:rPr>
              <w:sym w:font="Wingdings" w:char="00A8"/>
            </w:r>
            <w:r>
              <w:rPr>
                <w:rFonts w:hint="eastAsia" w:ascii="宋体" w:hAnsi="宋体" w:cs="宋体"/>
                <w:color w:val="000000"/>
                <w:kern w:val="0"/>
                <w:sz w:val="24"/>
              </w:rPr>
              <w:t xml:space="preserve"> B</w:t>
            </w:r>
            <w:r>
              <w:rPr>
                <w:rFonts w:hint="eastAsia" w:ascii="宋体" w:hAnsi="宋体" w:cs="宋体"/>
                <w:color w:val="000000"/>
                <w:sz w:val="24"/>
              </w:rPr>
              <w:t>不同意分包。</w:t>
            </w:r>
          </w:p>
        </w:tc>
      </w:tr>
      <w:tr w14:paraId="65814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350D052">
            <w:pPr>
              <w:snapToGrid w:val="0"/>
              <w:spacing w:after="0" w:line="360" w:lineRule="auto"/>
              <w:jc w:val="center"/>
              <w:rPr>
                <w:rFonts w:ascii="宋体" w:hAnsi="宋体" w:cs="宋体"/>
                <w:sz w:val="24"/>
              </w:rPr>
            </w:pPr>
            <w:r>
              <w:rPr>
                <w:rFonts w:hint="eastAsia" w:ascii="宋体" w:hAnsi="宋体" w:cs="宋体"/>
                <w:sz w:val="24"/>
              </w:rPr>
              <w:t>5</w:t>
            </w:r>
          </w:p>
        </w:tc>
        <w:tc>
          <w:tcPr>
            <w:tcW w:w="1589" w:type="dxa"/>
            <w:tcBorders>
              <w:top w:val="single" w:color="000000" w:sz="8" w:space="0"/>
              <w:left w:val="single" w:color="auto" w:sz="4" w:space="0"/>
              <w:bottom w:val="single" w:color="000000" w:sz="8" w:space="0"/>
              <w:right w:val="single" w:color="000000" w:sz="8" w:space="0"/>
            </w:tcBorders>
            <w:vAlign w:val="center"/>
          </w:tcPr>
          <w:p w14:paraId="0963E7D9">
            <w:pPr>
              <w:snapToGrid w:val="0"/>
              <w:spacing w:after="0" w:line="360" w:lineRule="auto"/>
              <w:jc w:val="center"/>
              <w:rPr>
                <w:rFonts w:ascii="宋体" w:hAnsi="宋体" w:cs="宋体"/>
                <w:b/>
                <w:color w:val="000000"/>
                <w:sz w:val="24"/>
              </w:rPr>
            </w:pPr>
            <w:r>
              <w:rPr>
                <w:rFonts w:hint="eastAsia" w:ascii="宋体" w:hAnsi="宋体" w:cs="宋体"/>
                <w:b/>
                <w:color w:val="000000"/>
                <w:sz w:val="24"/>
              </w:rPr>
              <w:t>开标前答疑会或现场考察</w:t>
            </w:r>
          </w:p>
        </w:tc>
        <w:tc>
          <w:tcPr>
            <w:tcW w:w="6741" w:type="dxa"/>
            <w:tcBorders>
              <w:top w:val="single" w:color="000000" w:sz="8" w:space="0"/>
              <w:left w:val="single" w:color="000000" w:sz="2" w:space="0"/>
              <w:bottom w:val="single" w:color="000000" w:sz="8" w:space="0"/>
              <w:right w:val="single" w:color="000000" w:sz="8" w:space="0"/>
            </w:tcBorders>
            <w:vAlign w:val="center"/>
          </w:tcPr>
          <w:p w14:paraId="561CD0BF">
            <w:pPr>
              <w:spacing w:after="0" w:line="360" w:lineRule="auto"/>
              <w:rPr>
                <w:rFonts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A</w:t>
            </w:r>
            <w:r>
              <w:rPr>
                <w:rFonts w:hint="eastAsia" w:ascii="宋体" w:hAnsi="宋体" w:cs="宋体"/>
                <w:color w:val="000000"/>
                <w:sz w:val="24"/>
              </w:rPr>
              <w:t>不组织，自行勘察。</w:t>
            </w:r>
          </w:p>
          <w:p w14:paraId="719549F7">
            <w:pPr>
              <w:spacing w:after="0" w:line="360" w:lineRule="auto"/>
              <w:rPr>
                <w:rFonts w:ascii="宋体" w:hAnsi="宋体" w:cs="宋体"/>
                <w:color w:val="000000"/>
                <w:sz w:val="24"/>
                <w:szCs w:val="20"/>
              </w:rPr>
            </w:pPr>
            <w:r>
              <w:rPr>
                <w:rFonts w:hint="eastAsia" w:ascii="宋体" w:hAnsi="宋体" w:cs="宋体"/>
                <w:color w:val="000000"/>
                <w:kern w:val="0"/>
                <w:sz w:val="24"/>
              </w:rPr>
              <w:t>☐B组织，</w:t>
            </w:r>
            <w:r>
              <w:rPr>
                <w:rFonts w:hint="eastAsia" w:ascii="宋体" w:hAnsi="宋体" w:cs="宋体"/>
                <w:color w:val="000000"/>
                <w:sz w:val="24"/>
              </w:rPr>
              <w:t>时间：</w:t>
            </w:r>
            <w:r>
              <w:rPr>
                <w:rFonts w:hint="eastAsia" w:ascii="宋体" w:hAnsi="宋体" w:cs="宋体"/>
                <w:color w:val="000000"/>
                <w:sz w:val="24"/>
                <w:u w:val="single"/>
              </w:rPr>
              <w:t xml:space="preserve">      </w:t>
            </w:r>
            <w:r>
              <w:rPr>
                <w:rFonts w:hint="eastAsia" w:ascii="宋体" w:hAnsi="宋体" w:cs="宋体"/>
                <w:color w:val="000000"/>
                <w:sz w:val="24"/>
              </w:rPr>
              <w:t>,地点：</w:t>
            </w:r>
            <w:r>
              <w:rPr>
                <w:rFonts w:hint="eastAsia" w:ascii="宋体" w:hAnsi="宋体" w:cs="宋体"/>
                <w:color w:val="000000"/>
                <w:sz w:val="24"/>
                <w:u w:val="single"/>
              </w:rPr>
              <w:t xml:space="preserve">      </w:t>
            </w:r>
            <w:r>
              <w:rPr>
                <w:rFonts w:hint="eastAsia" w:ascii="宋体" w:hAnsi="宋体" w:cs="宋体"/>
                <w:color w:val="000000"/>
                <w:sz w:val="24"/>
              </w:rPr>
              <w:t>，联系人：</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color w:val="000000"/>
                <w:sz w:val="24"/>
                <w:u w:val="single"/>
              </w:rPr>
              <w:t xml:space="preserve">      </w:t>
            </w:r>
            <w:r>
              <w:rPr>
                <w:rFonts w:hint="eastAsia" w:ascii="宋体" w:hAnsi="宋体" w:cs="宋体"/>
                <w:color w:val="000000"/>
                <w:sz w:val="24"/>
                <w:szCs w:val="20"/>
              </w:rPr>
              <w:t>。</w:t>
            </w:r>
          </w:p>
        </w:tc>
      </w:tr>
      <w:tr w14:paraId="74E5A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6C6F4B7B">
            <w:pPr>
              <w:snapToGrid w:val="0"/>
              <w:spacing w:after="0" w:line="360" w:lineRule="auto"/>
              <w:jc w:val="center"/>
              <w:rPr>
                <w:rFonts w:ascii="宋体" w:hAnsi="宋体" w:cs="宋体"/>
                <w:sz w:val="24"/>
              </w:rPr>
            </w:pPr>
            <w:r>
              <w:rPr>
                <w:rFonts w:hint="eastAsia" w:ascii="宋体" w:hAnsi="宋体" w:cs="宋体"/>
                <w:sz w:val="24"/>
              </w:rPr>
              <w:t>6</w:t>
            </w:r>
          </w:p>
        </w:tc>
        <w:tc>
          <w:tcPr>
            <w:tcW w:w="1589" w:type="dxa"/>
            <w:tcBorders>
              <w:top w:val="single" w:color="000000" w:sz="8" w:space="0"/>
              <w:left w:val="single" w:color="auto" w:sz="4" w:space="0"/>
              <w:bottom w:val="single" w:color="000000" w:sz="8" w:space="0"/>
              <w:right w:val="single" w:color="000000" w:sz="8" w:space="0"/>
            </w:tcBorders>
            <w:vAlign w:val="center"/>
          </w:tcPr>
          <w:p w14:paraId="5921A58B">
            <w:pPr>
              <w:snapToGrid w:val="0"/>
              <w:spacing w:after="0" w:line="360" w:lineRule="auto"/>
              <w:jc w:val="center"/>
              <w:rPr>
                <w:rFonts w:ascii="宋体" w:hAnsi="宋体" w:cs="宋体"/>
                <w:b/>
                <w:color w:val="000000"/>
                <w:sz w:val="24"/>
              </w:rPr>
            </w:pPr>
            <w:r>
              <w:rPr>
                <w:rFonts w:hint="eastAsia" w:ascii="宋体" w:hAnsi="宋体" w:cs="宋体"/>
                <w:b/>
                <w:color w:val="000000"/>
                <w:sz w:val="24"/>
              </w:rPr>
              <w:t>样品提供</w:t>
            </w:r>
          </w:p>
        </w:tc>
        <w:tc>
          <w:tcPr>
            <w:tcW w:w="6741" w:type="dxa"/>
            <w:tcBorders>
              <w:top w:val="single" w:color="000000" w:sz="8" w:space="0"/>
              <w:left w:val="single" w:color="000000" w:sz="2" w:space="0"/>
              <w:bottom w:val="single" w:color="000000" w:sz="8" w:space="0"/>
              <w:right w:val="single" w:color="000000" w:sz="8" w:space="0"/>
            </w:tcBorders>
            <w:vAlign w:val="center"/>
          </w:tcPr>
          <w:p w14:paraId="77B5FC02">
            <w:pPr>
              <w:spacing w:after="0" w:line="360" w:lineRule="auto"/>
              <w:rPr>
                <w:rFonts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A</w:t>
            </w:r>
            <w:r>
              <w:rPr>
                <w:rFonts w:hint="eastAsia" w:ascii="宋体" w:hAnsi="宋体" w:cs="宋体"/>
                <w:color w:val="000000"/>
                <w:sz w:val="24"/>
              </w:rPr>
              <w:t>不要求提供。</w:t>
            </w:r>
          </w:p>
          <w:p w14:paraId="478594E0">
            <w:pPr>
              <w:spacing w:after="0" w:line="360" w:lineRule="auto"/>
              <w:rPr>
                <w:rFonts w:ascii="宋体" w:hAnsi="宋体" w:cs="宋体"/>
                <w:b/>
                <w:color w:val="000000"/>
                <w:sz w:val="24"/>
              </w:rPr>
            </w:pPr>
            <w:r>
              <w:rPr>
                <w:rFonts w:hint="eastAsia" w:ascii="宋体" w:hAnsi="宋体" w:cs="宋体"/>
                <w:color w:val="000000"/>
                <w:kern w:val="0"/>
                <w:sz w:val="24"/>
              </w:rPr>
              <w:t>☐B要求提供。</w:t>
            </w:r>
          </w:p>
        </w:tc>
      </w:tr>
      <w:tr w14:paraId="3BB87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F9D9F93">
            <w:pPr>
              <w:snapToGrid w:val="0"/>
              <w:spacing w:after="0" w:line="360" w:lineRule="auto"/>
              <w:jc w:val="center"/>
              <w:rPr>
                <w:rFonts w:ascii="宋体" w:hAnsi="宋体" w:cs="宋体"/>
                <w:sz w:val="24"/>
              </w:rPr>
            </w:pPr>
            <w:r>
              <w:rPr>
                <w:rFonts w:hint="eastAsia" w:ascii="宋体" w:hAnsi="宋体" w:cs="宋体"/>
                <w:sz w:val="24"/>
              </w:rPr>
              <w:t>7</w:t>
            </w:r>
          </w:p>
        </w:tc>
        <w:tc>
          <w:tcPr>
            <w:tcW w:w="1589" w:type="dxa"/>
            <w:tcBorders>
              <w:top w:val="single" w:color="000000" w:sz="8" w:space="0"/>
              <w:left w:val="single" w:color="auto" w:sz="4" w:space="0"/>
              <w:bottom w:val="single" w:color="000000" w:sz="8" w:space="0"/>
              <w:right w:val="single" w:color="000000" w:sz="8" w:space="0"/>
            </w:tcBorders>
            <w:vAlign w:val="center"/>
          </w:tcPr>
          <w:p w14:paraId="53AE50A2">
            <w:pPr>
              <w:snapToGrid w:val="0"/>
              <w:spacing w:after="0" w:line="360" w:lineRule="auto"/>
              <w:jc w:val="center"/>
              <w:rPr>
                <w:rFonts w:ascii="宋体" w:hAnsi="宋体" w:cs="宋体"/>
                <w:bCs/>
                <w:sz w:val="24"/>
              </w:rPr>
            </w:pPr>
            <w:r>
              <w:rPr>
                <w:rFonts w:hint="eastAsia" w:ascii="宋体" w:hAnsi="宋体" w:cs="宋体"/>
                <w:b/>
                <w:sz w:val="24"/>
              </w:rPr>
              <w:t>方案讲解演示</w:t>
            </w:r>
          </w:p>
        </w:tc>
        <w:tc>
          <w:tcPr>
            <w:tcW w:w="6741" w:type="dxa"/>
            <w:tcBorders>
              <w:top w:val="single" w:color="000000" w:sz="8" w:space="0"/>
              <w:left w:val="single" w:color="000000" w:sz="2" w:space="0"/>
              <w:bottom w:val="single" w:color="000000" w:sz="8" w:space="0"/>
              <w:right w:val="single" w:color="000000" w:sz="8" w:space="0"/>
            </w:tcBorders>
            <w:vAlign w:val="center"/>
          </w:tcPr>
          <w:p w14:paraId="4D6CD907">
            <w:pPr>
              <w:spacing w:after="0"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64AF802">
            <w:pPr>
              <w:snapToGrid w:val="0"/>
              <w:spacing w:after="0" w:line="360" w:lineRule="auto"/>
              <w:rPr>
                <w:rFonts w:ascii="宋体" w:hAnsi="宋体" w:cs="宋体"/>
                <w:b/>
                <w:kern w:val="0"/>
                <w:sz w:val="24"/>
                <w:lang w:val="zh-CN"/>
              </w:rPr>
            </w:pPr>
            <w:r>
              <w:rPr>
                <w:rFonts w:hint="eastAsia" w:ascii="宋体" w:hAnsi="宋体" w:cs="宋体"/>
                <w:kern w:val="0"/>
                <w:sz w:val="24"/>
              </w:rPr>
              <w:t>☐B组织。</w:t>
            </w:r>
          </w:p>
        </w:tc>
      </w:tr>
      <w:tr w14:paraId="760B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820" w:type="dxa"/>
            <w:vMerge w:val="restart"/>
            <w:tcBorders>
              <w:top w:val="single" w:color="auto" w:sz="4" w:space="0"/>
              <w:left w:val="single" w:color="auto" w:sz="4" w:space="0"/>
              <w:right w:val="single" w:color="auto" w:sz="4" w:space="0"/>
            </w:tcBorders>
            <w:vAlign w:val="center"/>
          </w:tcPr>
          <w:p w14:paraId="1C354650">
            <w:pPr>
              <w:snapToGrid w:val="0"/>
              <w:spacing w:after="0" w:line="360" w:lineRule="auto"/>
              <w:jc w:val="center"/>
              <w:rPr>
                <w:rFonts w:ascii="宋体" w:hAnsi="宋体" w:cs="宋体"/>
                <w:sz w:val="24"/>
              </w:rPr>
            </w:pPr>
            <w:r>
              <w:rPr>
                <w:rFonts w:hint="eastAsia" w:ascii="宋体" w:hAnsi="宋体" w:cs="宋体"/>
                <w:sz w:val="24"/>
              </w:rPr>
              <w:t>8</w:t>
            </w:r>
          </w:p>
        </w:tc>
        <w:tc>
          <w:tcPr>
            <w:tcW w:w="1589" w:type="dxa"/>
            <w:vMerge w:val="restart"/>
            <w:tcBorders>
              <w:top w:val="single" w:color="000000" w:sz="8" w:space="0"/>
              <w:left w:val="single" w:color="auto" w:sz="4" w:space="0"/>
              <w:right w:val="single" w:color="000000" w:sz="8" w:space="0"/>
            </w:tcBorders>
            <w:vAlign w:val="center"/>
          </w:tcPr>
          <w:p w14:paraId="0AD4BA3C">
            <w:pPr>
              <w:snapToGrid w:val="0"/>
              <w:spacing w:after="0" w:line="360" w:lineRule="auto"/>
              <w:jc w:val="center"/>
              <w:rPr>
                <w:rFonts w:ascii="宋体" w:hAnsi="宋体" w:cs="宋体"/>
                <w:b/>
                <w:sz w:val="24"/>
              </w:rPr>
            </w:pPr>
            <w:r>
              <w:rPr>
                <w:rFonts w:hint="eastAsia" w:ascii="宋体" w:hAnsi="宋体" w:cs="宋体"/>
                <w:b/>
                <w:sz w:val="24"/>
              </w:rPr>
              <w:t>投标人应当提供的资格、资信证明文件</w:t>
            </w:r>
          </w:p>
        </w:tc>
        <w:tc>
          <w:tcPr>
            <w:tcW w:w="6741" w:type="dxa"/>
            <w:tcBorders>
              <w:top w:val="single" w:color="000000" w:sz="8" w:space="0"/>
              <w:left w:val="single" w:color="000000" w:sz="2" w:space="0"/>
              <w:bottom w:val="single" w:color="auto" w:sz="4" w:space="0"/>
              <w:right w:val="single" w:color="000000" w:sz="8" w:space="0"/>
            </w:tcBorders>
            <w:vAlign w:val="center"/>
          </w:tcPr>
          <w:p w14:paraId="3CD55317">
            <w:pPr>
              <w:spacing w:after="0" w:line="360" w:lineRule="auto"/>
              <w:rPr>
                <w:rFonts w:ascii="宋体" w:hAnsi="宋体" w:cs="宋体"/>
                <w:sz w:val="24"/>
              </w:rPr>
            </w:pPr>
            <w:r>
              <w:rPr>
                <w:rFonts w:hint="eastAsia" w:ascii="宋体" w:hAnsi="宋体" w:cs="宋体"/>
                <w:sz w:val="24"/>
              </w:rPr>
              <w:t>（1）资格证明文件：见招标文件第二部分11.1。</w:t>
            </w:r>
          </w:p>
          <w:p w14:paraId="6737E301">
            <w:pPr>
              <w:spacing w:after="0"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88C2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vMerge w:val="continue"/>
            <w:tcBorders>
              <w:left w:val="single" w:color="auto" w:sz="4" w:space="0"/>
              <w:bottom w:val="single" w:color="auto" w:sz="4" w:space="0"/>
              <w:right w:val="single" w:color="auto" w:sz="4" w:space="0"/>
            </w:tcBorders>
            <w:vAlign w:val="center"/>
          </w:tcPr>
          <w:p w14:paraId="303423F9">
            <w:pPr>
              <w:snapToGrid w:val="0"/>
              <w:spacing w:after="0" w:line="360" w:lineRule="auto"/>
              <w:jc w:val="center"/>
              <w:rPr>
                <w:rFonts w:ascii="宋体" w:hAnsi="宋体" w:cs="宋体"/>
                <w:sz w:val="24"/>
              </w:rPr>
            </w:pPr>
          </w:p>
        </w:tc>
        <w:tc>
          <w:tcPr>
            <w:tcW w:w="1589" w:type="dxa"/>
            <w:vMerge w:val="continue"/>
            <w:tcBorders>
              <w:left w:val="single" w:color="auto" w:sz="4" w:space="0"/>
              <w:bottom w:val="single" w:color="000000" w:sz="8" w:space="0"/>
              <w:right w:val="single" w:color="000000" w:sz="8" w:space="0"/>
            </w:tcBorders>
            <w:vAlign w:val="center"/>
          </w:tcPr>
          <w:p w14:paraId="62D1A3DB">
            <w:pPr>
              <w:snapToGrid w:val="0"/>
              <w:spacing w:after="0" w:line="360" w:lineRule="auto"/>
              <w:jc w:val="center"/>
              <w:rPr>
                <w:rFonts w:ascii="宋体" w:hAnsi="宋体" w:cs="宋体"/>
                <w:b/>
                <w:sz w:val="24"/>
              </w:rPr>
            </w:pPr>
          </w:p>
        </w:tc>
        <w:tc>
          <w:tcPr>
            <w:tcW w:w="6741" w:type="dxa"/>
            <w:tcBorders>
              <w:top w:val="single" w:color="auto" w:sz="4" w:space="0"/>
              <w:left w:val="single" w:color="000000" w:sz="2" w:space="0"/>
              <w:bottom w:val="single" w:color="000000" w:sz="8" w:space="0"/>
              <w:right w:val="single" w:color="000000" w:sz="8" w:space="0"/>
            </w:tcBorders>
            <w:vAlign w:val="center"/>
          </w:tcPr>
          <w:p w14:paraId="7741945A">
            <w:pPr>
              <w:spacing w:after="0" w:line="360" w:lineRule="auto"/>
              <w:rPr>
                <w:rFonts w:ascii="宋体" w:hAnsi="宋体" w:cs="宋体"/>
                <w:sz w:val="24"/>
              </w:rPr>
            </w:pPr>
            <w:r>
              <w:rPr>
                <w:rFonts w:hint="eastAsia" w:ascii="宋体" w:hAnsi="宋体" w:cs="宋体"/>
                <w:sz w:val="24"/>
              </w:rPr>
              <w:t>（2）资信证明文件：根据招标文件第四部分评标标准提供。</w:t>
            </w:r>
          </w:p>
        </w:tc>
      </w:tr>
      <w:tr w14:paraId="27AD8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408EC1AC">
            <w:pPr>
              <w:snapToGrid w:val="0"/>
              <w:spacing w:after="0" w:line="360" w:lineRule="auto"/>
              <w:jc w:val="center"/>
              <w:rPr>
                <w:rFonts w:ascii="宋体" w:hAnsi="宋体" w:cs="宋体"/>
                <w:sz w:val="24"/>
              </w:rPr>
            </w:pPr>
            <w:r>
              <w:rPr>
                <w:rFonts w:hint="eastAsia" w:ascii="宋体" w:hAnsi="宋体" w:cs="宋体"/>
                <w:sz w:val="24"/>
              </w:rPr>
              <w:t>9</w:t>
            </w:r>
          </w:p>
        </w:tc>
        <w:tc>
          <w:tcPr>
            <w:tcW w:w="1589" w:type="dxa"/>
            <w:tcBorders>
              <w:top w:val="single" w:color="000000" w:sz="8" w:space="0"/>
              <w:left w:val="single" w:color="000000" w:sz="2" w:space="0"/>
              <w:bottom w:val="single" w:color="000000" w:sz="8" w:space="0"/>
              <w:right w:val="single" w:color="000000" w:sz="8" w:space="0"/>
            </w:tcBorders>
            <w:vAlign w:val="center"/>
          </w:tcPr>
          <w:p w14:paraId="75692184">
            <w:pPr>
              <w:snapToGrid w:val="0"/>
              <w:spacing w:after="0" w:line="360" w:lineRule="auto"/>
              <w:jc w:val="center"/>
              <w:rPr>
                <w:rFonts w:ascii="宋体" w:hAnsi="宋体" w:cs="宋体"/>
                <w:b/>
                <w:sz w:val="24"/>
              </w:rPr>
            </w:pPr>
            <w:r>
              <w:rPr>
                <w:rFonts w:hint="eastAsia" w:ascii="宋体" w:hAnsi="宋体" w:cs="宋体"/>
                <w:b/>
                <w:sz w:val="24"/>
              </w:rPr>
              <w:t>节能产品、环境标志产品</w:t>
            </w:r>
          </w:p>
        </w:tc>
        <w:tc>
          <w:tcPr>
            <w:tcW w:w="6741" w:type="dxa"/>
            <w:tcBorders>
              <w:top w:val="single" w:color="000000" w:sz="8" w:space="0"/>
              <w:left w:val="single" w:color="000000" w:sz="2" w:space="0"/>
              <w:bottom w:val="single" w:color="000000" w:sz="8" w:space="0"/>
              <w:right w:val="single" w:color="000000" w:sz="8" w:space="0"/>
            </w:tcBorders>
            <w:vAlign w:val="center"/>
          </w:tcPr>
          <w:p w14:paraId="3F51707D">
            <w:pPr>
              <w:snapToGrid w:val="0"/>
              <w:spacing w:after="0"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697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0E10F47A">
            <w:pPr>
              <w:snapToGrid w:val="0"/>
              <w:spacing w:after="0" w:line="360" w:lineRule="auto"/>
              <w:jc w:val="center"/>
              <w:rPr>
                <w:rFonts w:ascii="宋体" w:hAnsi="宋体" w:cs="宋体"/>
                <w:sz w:val="24"/>
              </w:rPr>
            </w:pPr>
            <w:r>
              <w:rPr>
                <w:rFonts w:hint="eastAsia" w:ascii="宋体" w:hAnsi="宋体" w:cs="宋体"/>
                <w:sz w:val="24"/>
              </w:rPr>
              <w:t>10</w:t>
            </w:r>
          </w:p>
        </w:tc>
        <w:tc>
          <w:tcPr>
            <w:tcW w:w="1589" w:type="dxa"/>
            <w:tcBorders>
              <w:top w:val="single" w:color="000000" w:sz="8" w:space="0"/>
              <w:left w:val="single" w:color="000000" w:sz="2" w:space="0"/>
              <w:bottom w:val="single" w:color="000000" w:sz="8" w:space="0"/>
              <w:right w:val="single" w:color="000000" w:sz="8" w:space="0"/>
            </w:tcBorders>
            <w:vAlign w:val="center"/>
          </w:tcPr>
          <w:p w14:paraId="4BA5EE86">
            <w:pPr>
              <w:snapToGrid w:val="0"/>
              <w:spacing w:after="0" w:line="360" w:lineRule="auto"/>
              <w:jc w:val="center"/>
              <w:rPr>
                <w:rFonts w:ascii="宋体" w:hAnsi="宋体" w:cs="宋体"/>
                <w:b/>
                <w:sz w:val="24"/>
              </w:rPr>
            </w:pPr>
            <w:r>
              <w:rPr>
                <w:rFonts w:hint="eastAsia" w:ascii="宋体" w:hAnsi="宋体" w:cs="宋体"/>
                <w:b/>
                <w:sz w:val="24"/>
              </w:rPr>
              <w:t>报价要求</w:t>
            </w:r>
          </w:p>
        </w:tc>
        <w:tc>
          <w:tcPr>
            <w:tcW w:w="6741" w:type="dxa"/>
            <w:tcBorders>
              <w:top w:val="single" w:color="000000" w:sz="8" w:space="0"/>
              <w:left w:val="single" w:color="000000" w:sz="2" w:space="0"/>
              <w:bottom w:val="single" w:color="000000" w:sz="8" w:space="0"/>
              <w:right w:val="single" w:color="000000" w:sz="8" w:space="0"/>
            </w:tcBorders>
            <w:vAlign w:val="center"/>
          </w:tcPr>
          <w:p w14:paraId="338217F1">
            <w:pPr>
              <w:spacing w:after="0" w:line="312" w:lineRule="auto"/>
              <w:jc w:val="left"/>
              <w:rPr>
                <w:rFonts w:ascii="宋体" w:hAnsi="宋体" w:cs="宋体"/>
                <w:b/>
                <w:bCs/>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70F4663">
            <w:pPr>
              <w:spacing w:after="0" w:line="312"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0050524">
            <w:pPr>
              <w:spacing w:after="0" w:line="312"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563D034">
            <w:pPr>
              <w:spacing w:after="0" w:line="312" w:lineRule="auto"/>
              <w:ind w:firstLine="482" w:firstLineChars="200"/>
              <w:jc w:val="left"/>
              <w:rPr>
                <w:rFonts w:ascii="宋体" w:hAnsi="宋体" w:cs="宋体"/>
                <w:b/>
                <w:kern w:val="0"/>
                <w:sz w:val="24"/>
              </w:rPr>
            </w:pPr>
            <w:r>
              <w:rPr>
                <w:rFonts w:hint="eastAsia" w:ascii="宋体" w:hAnsi="宋体" w:cs="宋体"/>
                <w:b/>
                <w:kern w:val="0"/>
                <w:sz w:val="24"/>
                <w:lang w:val="zh-CN"/>
              </w:rPr>
              <w:t>投标报价超过招标文件中各标项规定的预算金额的；</w:t>
            </w:r>
          </w:p>
          <w:p w14:paraId="6F4334B9">
            <w:pPr>
              <w:spacing w:after="0" w:line="312" w:lineRule="auto"/>
              <w:ind w:firstLine="482" w:firstLineChars="200"/>
              <w:jc w:val="left"/>
              <w:rPr>
                <w:rFonts w:ascii="宋体" w:hAnsi="宋体" w:cs="宋体"/>
                <w:b/>
                <w:sz w:val="24"/>
              </w:rPr>
            </w:pPr>
            <w:r>
              <w:rPr>
                <w:rFonts w:hint="eastAsia" w:ascii="宋体" w:hAnsi="宋体" w:cs="宋体"/>
                <w:b/>
                <w:kern w:val="0"/>
                <w:sz w:val="24"/>
              </w:rPr>
              <w:t>报价明显低于各标项其他通过符合性审查投标人的报价，有可能影响产品质量或者不能诚信履约的，未能按要求提供书面说明或者提交相关证明材料证明其报价合理性的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CB791BF">
            <w:pPr>
              <w:spacing w:after="0"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4AF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7" w:hRule="atLeast"/>
          <w:tblHeader/>
        </w:trPr>
        <w:tc>
          <w:tcPr>
            <w:tcW w:w="820" w:type="dxa"/>
            <w:tcBorders>
              <w:top w:val="single" w:color="auto" w:sz="4" w:space="0"/>
              <w:left w:val="single" w:color="000000" w:sz="8" w:space="0"/>
              <w:right w:val="single" w:color="000000" w:sz="2" w:space="0"/>
            </w:tcBorders>
            <w:vAlign w:val="center"/>
          </w:tcPr>
          <w:p w14:paraId="67B089F7">
            <w:pPr>
              <w:snapToGrid w:val="0"/>
              <w:spacing w:after="0" w:line="360" w:lineRule="auto"/>
              <w:jc w:val="center"/>
              <w:rPr>
                <w:rFonts w:ascii="宋体" w:hAnsi="宋体" w:cs="宋体"/>
                <w:sz w:val="24"/>
              </w:rPr>
            </w:pPr>
            <w:r>
              <w:rPr>
                <w:rFonts w:hint="eastAsia" w:ascii="宋体" w:hAnsi="宋体" w:cs="宋体"/>
                <w:sz w:val="24"/>
              </w:rPr>
              <w:t>11</w:t>
            </w:r>
          </w:p>
        </w:tc>
        <w:tc>
          <w:tcPr>
            <w:tcW w:w="1589" w:type="dxa"/>
            <w:tcBorders>
              <w:top w:val="single" w:color="000000" w:sz="8" w:space="0"/>
              <w:left w:val="single" w:color="000000" w:sz="2" w:space="0"/>
              <w:right w:val="single" w:color="000000" w:sz="8" w:space="0"/>
            </w:tcBorders>
            <w:vAlign w:val="center"/>
          </w:tcPr>
          <w:p w14:paraId="7393B528">
            <w:pPr>
              <w:snapToGrid w:val="0"/>
              <w:spacing w:after="0" w:line="360" w:lineRule="auto"/>
              <w:jc w:val="center"/>
              <w:rPr>
                <w:rFonts w:ascii="宋体" w:hAnsi="宋体" w:cs="宋体"/>
                <w:b/>
                <w:sz w:val="24"/>
              </w:rPr>
            </w:pPr>
            <w:r>
              <w:rPr>
                <w:rFonts w:hint="eastAsia" w:ascii="宋体" w:hAnsi="宋体" w:cs="宋体"/>
                <w:b/>
                <w:sz w:val="24"/>
              </w:rPr>
              <w:t>中小企业信用融资</w:t>
            </w:r>
          </w:p>
        </w:tc>
        <w:tc>
          <w:tcPr>
            <w:tcW w:w="6741" w:type="dxa"/>
            <w:tcBorders>
              <w:top w:val="single" w:color="000000" w:sz="8" w:space="0"/>
              <w:left w:val="single" w:color="000000" w:sz="2" w:space="0"/>
              <w:right w:val="single" w:color="000000" w:sz="8" w:space="0"/>
            </w:tcBorders>
            <w:vAlign w:val="center"/>
          </w:tcPr>
          <w:p w14:paraId="7A903E70">
            <w:pPr>
              <w:spacing w:after="0" w:line="384"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5DE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8"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2098DA96">
            <w:pPr>
              <w:snapToGrid w:val="0"/>
              <w:spacing w:after="0" w:line="360" w:lineRule="auto"/>
              <w:jc w:val="center"/>
              <w:rPr>
                <w:rFonts w:ascii="宋体" w:hAnsi="宋体" w:cs="宋体"/>
                <w:sz w:val="24"/>
              </w:rPr>
            </w:pPr>
            <w:r>
              <w:rPr>
                <w:rFonts w:hint="eastAsia" w:ascii="宋体" w:hAnsi="宋体" w:cs="宋体"/>
                <w:sz w:val="24"/>
              </w:rPr>
              <w:t>12</w:t>
            </w:r>
          </w:p>
        </w:tc>
        <w:tc>
          <w:tcPr>
            <w:tcW w:w="1589" w:type="dxa"/>
            <w:tcBorders>
              <w:top w:val="single" w:color="000000" w:sz="8" w:space="0"/>
              <w:left w:val="single" w:color="000000" w:sz="2" w:space="0"/>
              <w:bottom w:val="single" w:color="auto" w:sz="4" w:space="0"/>
              <w:right w:val="single" w:color="000000" w:sz="8" w:space="0"/>
            </w:tcBorders>
            <w:vAlign w:val="center"/>
          </w:tcPr>
          <w:p w14:paraId="24B443DA">
            <w:pPr>
              <w:snapToGrid w:val="0"/>
              <w:spacing w:after="0"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741" w:type="dxa"/>
            <w:tcBorders>
              <w:top w:val="single" w:color="000000" w:sz="8" w:space="0"/>
              <w:left w:val="single" w:color="000000" w:sz="2" w:space="0"/>
              <w:bottom w:val="single" w:color="000000" w:sz="8" w:space="0"/>
              <w:right w:val="single" w:color="000000" w:sz="8" w:space="0"/>
            </w:tcBorders>
            <w:vAlign w:val="center"/>
          </w:tcPr>
          <w:p w14:paraId="122BD146">
            <w:pPr>
              <w:pStyle w:val="34"/>
              <w:spacing w:after="0" w:line="384"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密封包装后（建议顺丰邮寄形式）投标截止时间前递交、一份（邮寄地址：杭州市余杭区联创街77号汇银中心3幢2单元（整幢））</w:t>
            </w:r>
            <w:r>
              <w:rPr>
                <w:rFonts w:hint="eastAsia" w:hAnsi="宋体" w:cs="宋体"/>
                <w:kern w:val="28"/>
                <w:sz w:val="24"/>
                <w:szCs w:val="24"/>
              </w:rPr>
              <w:t>；备份投标文件签收人员联系电话：</w:t>
            </w:r>
            <w:r>
              <w:rPr>
                <w:rFonts w:hint="eastAsia" w:hAnsi="宋体" w:cs="宋体"/>
                <w:sz w:val="24"/>
                <w:u w:val="single"/>
              </w:rPr>
              <w:t>周海丽收，15868109971 。</w:t>
            </w:r>
            <w:r>
              <w:rPr>
                <w:rFonts w:hint="eastAsia" w:hAnsi="宋体" w:cs="宋体"/>
                <w:b/>
                <w:sz w:val="24"/>
                <w:szCs w:val="24"/>
              </w:rPr>
              <w:t>采购人、采购机构不强制或变相强制投标人提交备份投标文件。</w:t>
            </w:r>
          </w:p>
        </w:tc>
      </w:tr>
      <w:tr w14:paraId="02FE8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5"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00CDD485">
            <w:pPr>
              <w:snapToGrid w:val="0"/>
              <w:spacing w:after="0" w:line="360" w:lineRule="auto"/>
              <w:jc w:val="center"/>
              <w:rPr>
                <w:rFonts w:ascii="宋体" w:hAnsi="宋体" w:cs="宋体"/>
                <w:sz w:val="24"/>
              </w:rPr>
            </w:pPr>
            <w:r>
              <w:rPr>
                <w:rFonts w:hint="eastAsia" w:ascii="宋体" w:hAnsi="宋体" w:cs="宋体"/>
                <w:sz w:val="24"/>
              </w:rPr>
              <w:t>13</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14:paraId="1A1E9D47">
            <w:pPr>
              <w:snapToGrid w:val="0"/>
              <w:spacing w:after="0" w:line="360" w:lineRule="auto"/>
              <w:jc w:val="center"/>
              <w:rPr>
                <w:rFonts w:ascii="宋体" w:hAnsi="宋体" w:cs="宋体"/>
                <w:b/>
                <w:sz w:val="24"/>
              </w:rPr>
            </w:pPr>
            <w:r>
              <w:rPr>
                <w:rFonts w:hint="eastAsia" w:ascii="宋体" w:hAnsi="宋体" w:cs="宋体"/>
                <w:b/>
                <w:sz w:val="24"/>
              </w:rPr>
              <w:t>特别说明</w:t>
            </w:r>
          </w:p>
        </w:tc>
        <w:tc>
          <w:tcPr>
            <w:tcW w:w="6741" w:type="dxa"/>
            <w:tcBorders>
              <w:top w:val="single" w:color="000000" w:sz="8" w:space="0"/>
              <w:left w:val="single" w:color="auto" w:sz="4" w:space="0"/>
              <w:bottom w:val="single" w:color="auto" w:sz="4" w:space="0"/>
              <w:right w:val="single" w:color="000000" w:sz="8" w:space="0"/>
            </w:tcBorders>
            <w:vAlign w:val="center"/>
          </w:tcPr>
          <w:p w14:paraId="090B0B4B">
            <w:pPr>
              <w:spacing w:after="0" w:line="432"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C2C3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2"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7A363148">
            <w:pPr>
              <w:snapToGrid w:val="0"/>
              <w:spacing w:after="0" w:line="360" w:lineRule="auto"/>
              <w:jc w:val="center"/>
              <w:rPr>
                <w:rFonts w:ascii="宋体" w:hAnsi="宋体" w:cs="宋体"/>
                <w:sz w:val="24"/>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14:paraId="56FDD4A0">
            <w:pPr>
              <w:snapToGrid w:val="0"/>
              <w:spacing w:after="0" w:line="360" w:lineRule="auto"/>
              <w:jc w:val="center"/>
              <w:rPr>
                <w:rFonts w:ascii="宋体" w:hAnsi="宋体" w:cs="宋体"/>
                <w:b/>
                <w:sz w:val="24"/>
              </w:rPr>
            </w:pPr>
          </w:p>
        </w:tc>
        <w:tc>
          <w:tcPr>
            <w:tcW w:w="6741" w:type="dxa"/>
            <w:tcBorders>
              <w:top w:val="single" w:color="auto" w:sz="4" w:space="0"/>
              <w:left w:val="single" w:color="auto" w:sz="4" w:space="0"/>
              <w:bottom w:val="single" w:color="auto" w:sz="4" w:space="0"/>
              <w:right w:val="single" w:color="auto" w:sz="4" w:space="0"/>
            </w:tcBorders>
            <w:vAlign w:val="center"/>
          </w:tcPr>
          <w:p w14:paraId="386B6AD5">
            <w:pPr>
              <w:spacing w:after="0" w:line="432" w:lineRule="auto"/>
              <w:rPr>
                <w:rFonts w:ascii="宋体" w:hAnsi="宋体" w:cs="宋体"/>
                <w:snapToGrid w:val="0"/>
                <w:kern w:val="28"/>
                <w:sz w:val="24"/>
              </w:rPr>
            </w:pPr>
            <w:r>
              <w:rPr>
                <w:rFonts w:hint="eastAsia" w:ascii="宋体" w:hAnsi="宋体" w:cs="宋体"/>
                <w:kern w:val="0"/>
                <w:sz w:val="24"/>
              </w:rPr>
              <w:sym w:font="Wingdings" w:char="00FE"/>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C96ABB2">
            <w:pPr>
              <w:spacing w:after="0" w:line="432" w:lineRule="auto"/>
              <w:rPr>
                <w:rFonts w:ascii="宋体" w:hAnsi="宋体" w:cs="宋体"/>
                <w:snapToGrid w:val="0"/>
                <w:kern w:val="28"/>
                <w:sz w:val="24"/>
              </w:rPr>
            </w:pPr>
            <w:r>
              <w:rPr>
                <w:rFonts w:hint="eastAsia" w:ascii="宋体" w:hAnsi="宋体" w:cs="宋体"/>
                <w:snapToGrid w:val="0"/>
                <w:kern w:val="28"/>
                <w:sz w:val="24"/>
              </w:rPr>
              <w:sym w:font="Wingdings" w:char="00A8"/>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3D6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7C854F7">
            <w:pPr>
              <w:snapToGrid w:val="0"/>
              <w:spacing w:after="0" w:line="360" w:lineRule="auto"/>
              <w:jc w:val="center"/>
              <w:rPr>
                <w:rFonts w:ascii="宋体" w:hAnsi="宋体" w:cs="宋体"/>
                <w:sz w:val="24"/>
              </w:rPr>
            </w:pPr>
            <w:r>
              <w:rPr>
                <w:rFonts w:hint="eastAsia" w:ascii="宋体" w:hAnsi="宋体" w:cs="宋体"/>
                <w:sz w:val="24"/>
              </w:rPr>
              <w:t>14</w:t>
            </w:r>
          </w:p>
        </w:tc>
        <w:tc>
          <w:tcPr>
            <w:tcW w:w="1589" w:type="dxa"/>
            <w:tcBorders>
              <w:top w:val="single" w:color="auto" w:sz="4" w:space="0"/>
              <w:left w:val="single" w:color="auto" w:sz="4" w:space="0"/>
              <w:bottom w:val="single" w:color="auto" w:sz="4" w:space="0"/>
              <w:right w:val="single" w:color="auto" w:sz="4" w:space="0"/>
            </w:tcBorders>
            <w:vAlign w:val="center"/>
          </w:tcPr>
          <w:p w14:paraId="3A25006D">
            <w:pPr>
              <w:snapToGrid w:val="0"/>
              <w:spacing w:after="0" w:line="480" w:lineRule="auto"/>
              <w:jc w:val="center"/>
              <w:rPr>
                <w:rFonts w:ascii="宋体" w:hAnsi="宋体" w:cs="宋体"/>
                <w:b/>
                <w:sz w:val="24"/>
              </w:rPr>
            </w:pPr>
            <w:r>
              <w:rPr>
                <w:rFonts w:hint="eastAsia" w:ascii="宋体" w:hAnsi="宋体" w:cs="宋体"/>
                <w:b/>
                <w:sz w:val="24"/>
              </w:rPr>
              <w:t>定标原则</w:t>
            </w:r>
          </w:p>
        </w:tc>
        <w:tc>
          <w:tcPr>
            <w:tcW w:w="6741" w:type="dxa"/>
            <w:tcBorders>
              <w:top w:val="single" w:color="auto" w:sz="4" w:space="0"/>
              <w:left w:val="single" w:color="auto" w:sz="4" w:space="0"/>
              <w:bottom w:val="single" w:color="auto" w:sz="4" w:space="0"/>
              <w:right w:val="single" w:color="auto" w:sz="4" w:space="0"/>
            </w:tcBorders>
            <w:vAlign w:val="center"/>
          </w:tcPr>
          <w:p w14:paraId="79A3C43D">
            <w:pPr>
              <w:pStyle w:val="3"/>
              <w:adjustRightInd/>
              <w:spacing w:after="0" w:line="432" w:lineRule="auto"/>
              <w:rPr>
                <w:rFonts w:cs="宋体"/>
                <w:kern w:val="0"/>
              </w:rPr>
            </w:pPr>
            <w:r>
              <w:rPr>
                <w:rFonts w:hint="eastAsia" w:cs="宋体"/>
              </w:rPr>
              <w:t>本项目共有五个标项，投标人可选择其中一个或多个标项进行响应投标，中标次序按标项一、标项二、标项三、标项四、标项五的顺序进行确定。评标委员会根据得分排名推荐每个标项的中标候选人。</w:t>
            </w:r>
          </w:p>
        </w:tc>
      </w:tr>
      <w:tr w14:paraId="3FA5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6"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566496B">
            <w:pPr>
              <w:snapToGrid w:val="0"/>
              <w:spacing w:after="0" w:line="360" w:lineRule="auto"/>
              <w:jc w:val="center"/>
              <w:rPr>
                <w:rFonts w:ascii="宋体" w:hAnsi="宋体" w:cs="宋体"/>
                <w:sz w:val="24"/>
              </w:rPr>
            </w:pPr>
            <w:r>
              <w:rPr>
                <w:rFonts w:hint="eastAsia" w:ascii="宋体" w:hAnsi="宋体" w:cs="宋体"/>
                <w:sz w:val="24"/>
              </w:rPr>
              <w:t>15</w:t>
            </w:r>
          </w:p>
        </w:tc>
        <w:tc>
          <w:tcPr>
            <w:tcW w:w="1589" w:type="dxa"/>
            <w:tcBorders>
              <w:top w:val="single" w:color="auto" w:sz="4" w:space="0"/>
              <w:left w:val="single" w:color="auto" w:sz="4" w:space="0"/>
              <w:bottom w:val="single" w:color="auto" w:sz="4" w:space="0"/>
              <w:right w:val="single" w:color="auto" w:sz="4" w:space="0"/>
            </w:tcBorders>
            <w:vAlign w:val="center"/>
          </w:tcPr>
          <w:p w14:paraId="77404DE7">
            <w:pPr>
              <w:snapToGrid w:val="0"/>
              <w:spacing w:after="0" w:line="360" w:lineRule="auto"/>
              <w:jc w:val="center"/>
              <w:rPr>
                <w:rFonts w:ascii="宋体" w:hAnsi="宋体" w:cs="宋体"/>
                <w:b/>
                <w:sz w:val="24"/>
              </w:rPr>
            </w:pPr>
            <w:r>
              <w:rPr>
                <w:rFonts w:hint="eastAsia" w:ascii="宋体" w:hAnsi="宋体" w:cs="宋体"/>
                <w:b/>
                <w:bCs/>
                <w:sz w:val="24"/>
              </w:rPr>
              <w:t>招标服务费</w:t>
            </w:r>
          </w:p>
        </w:tc>
        <w:tc>
          <w:tcPr>
            <w:tcW w:w="6741" w:type="dxa"/>
            <w:tcBorders>
              <w:top w:val="single" w:color="auto" w:sz="4" w:space="0"/>
              <w:left w:val="single" w:color="auto" w:sz="4" w:space="0"/>
              <w:bottom w:val="single" w:color="auto" w:sz="4" w:space="0"/>
              <w:right w:val="single" w:color="auto" w:sz="4" w:space="0"/>
            </w:tcBorders>
            <w:vAlign w:val="center"/>
          </w:tcPr>
          <w:p w14:paraId="71F8E358">
            <w:pPr>
              <w:pStyle w:val="5"/>
              <w:tabs>
                <w:tab w:val="left" w:pos="706"/>
                <w:tab w:val="clear" w:pos="432"/>
              </w:tabs>
              <w:spacing w:after="0"/>
              <w:ind w:left="434" w:leftChars="202" w:hanging="10" w:hangingChars="4"/>
              <w:rPr>
                <w:rFonts w:hint="eastAsia" w:ascii="宋体" w:hAnsi="宋体" w:eastAsia="宋体" w:cs="宋体"/>
                <w:snapToGrid w:val="0"/>
                <w:kern w:val="28"/>
                <w:sz w:val="24"/>
                <w:lang w:val="en-US"/>
              </w:rPr>
            </w:pPr>
            <w:r>
              <w:rPr>
                <w:rFonts w:hint="eastAsia" w:ascii="宋体" w:hAnsi="宋体" w:cs="宋体"/>
                <w:sz w:val="24"/>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1216660</wp:posOffset>
                  </wp:positionV>
                  <wp:extent cx="4053205" cy="1859280"/>
                  <wp:effectExtent l="0" t="0" r="4445" b="7620"/>
                  <wp:wrapSquare wrapText="bothSides"/>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27">
                            <a:lum/>
                          </a:blip>
                          <a:stretch>
                            <a:fillRect/>
                          </a:stretch>
                        </pic:blipFill>
                        <pic:spPr>
                          <a:xfrm>
                            <a:off x="0" y="0"/>
                            <a:ext cx="4053205" cy="1859280"/>
                          </a:xfrm>
                          <a:prstGeom prst="rect">
                            <a:avLst/>
                          </a:prstGeom>
                          <a:noFill/>
                          <a:ln>
                            <a:noFill/>
                          </a:ln>
                        </pic:spPr>
                      </pic:pic>
                    </a:graphicData>
                  </a:graphic>
                </wp:anchor>
              </w:drawing>
            </w:r>
            <w:r>
              <w:rPr>
                <w:rFonts w:hint="eastAsia" w:ascii="宋体" w:hAnsi="宋体" w:eastAsia="宋体" w:cs="宋体"/>
                <w:snapToGrid w:val="0"/>
                <w:kern w:val="28"/>
                <w:sz w:val="24"/>
                <w:lang w:val="en-US"/>
              </w:rPr>
              <w:t>本项目的招标代理费用由中标单位支付，付款以各标项中标</w:t>
            </w:r>
          </w:p>
          <w:p w14:paraId="2C3ADB6C">
            <w:pPr>
              <w:pStyle w:val="5"/>
              <w:tabs>
                <w:tab w:val="left" w:pos="706"/>
                <w:tab w:val="clear" w:pos="432"/>
              </w:tabs>
              <w:spacing w:after="0"/>
              <w:rPr>
                <w:rFonts w:hint="eastAsia" w:ascii="宋体" w:hAnsi="宋体" w:eastAsia="宋体" w:cs="宋体"/>
                <w:snapToGrid w:val="0"/>
                <w:kern w:val="28"/>
                <w:sz w:val="24"/>
                <w:lang w:val="en-US"/>
              </w:rPr>
            </w:pPr>
            <w:r>
              <w:rPr>
                <w:rFonts w:hint="eastAsia" w:ascii="宋体" w:hAnsi="宋体" w:eastAsia="宋体" w:cs="宋体"/>
                <w:snapToGrid w:val="0"/>
                <w:kern w:val="28"/>
                <w:sz w:val="24"/>
                <w:lang w:val="en-US"/>
              </w:rPr>
              <w:t>价为基数参照《招标代理服务收费管理暂行办法》的通知（计价</w:t>
            </w:r>
          </w:p>
          <w:p w14:paraId="2C8C75A2">
            <w:pPr>
              <w:pStyle w:val="5"/>
              <w:tabs>
                <w:tab w:val="left" w:pos="706"/>
                <w:tab w:val="clear" w:pos="432"/>
              </w:tabs>
              <w:spacing w:after="0"/>
              <w:ind w:left="0" w:leftChars="0" w:firstLine="0" w:firstLineChars="0"/>
              <w:rPr>
                <w:rFonts w:ascii="宋体" w:hAnsi="宋体" w:cs="宋体"/>
              </w:rPr>
            </w:pPr>
            <w:r>
              <w:rPr>
                <w:rFonts w:hint="eastAsia" w:ascii="宋体" w:hAnsi="宋体" w:eastAsia="宋体" w:cs="宋体"/>
                <w:snapToGrid w:val="0"/>
                <w:kern w:val="28"/>
                <w:sz w:val="24"/>
                <w:lang w:val="en-US"/>
              </w:rPr>
              <w:t>格[2002]1980号）文件八折计取。</w:t>
            </w:r>
            <w:r>
              <w:rPr>
                <w:rFonts w:hint="eastAsia" w:ascii="宋体" w:hAnsi="宋体" w:eastAsia="宋体" w:cs="宋体"/>
                <w:b w:val="0"/>
                <w:bCs w:val="0"/>
                <w:kern w:val="28"/>
                <w:sz w:val="24"/>
                <w:szCs w:val="24"/>
                <w:lang w:val="en-US"/>
              </w:rPr>
              <w:t>投标人在报价时应综合考虑该笔费用，但不单列进投标总价。</w:t>
            </w:r>
          </w:p>
        </w:tc>
      </w:tr>
      <w:tr w14:paraId="15432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0"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2D91660">
            <w:pPr>
              <w:snapToGrid w:val="0"/>
              <w:spacing w:after="0" w:line="360" w:lineRule="auto"/>
              <w:jc w:val="center"/>
              <w:rPr>
                <w:rFonts w:ascii="宋体" w:hAnsi="宋体" w:cs="宋体"/>
                <w:sz w:val="24"/>
              </w:rPr>
            </w:pPr>
            <w:r>
              <w:rPr>
                <w:rFonts w:hint="eastAsia" w:ascii="宋体" w:hAnsi="宋体" w:cs="宋体"/>
                <w:sz w:val="24"/>
              </w:rPr>
              <w:t>16</w:t>
            </w:r>
          </w:p>
        </w:tc>
        <w:tc>
          <w:tcPr>
            <w:tcW w:w="1589" w:type="dxa"/>
            <w:tcBorders>
              <w:top w:val="single" w:color="auto" w:sz="4" w:space="0"/>
              <w:left w:val="single" w:color="auto" w:sz="4" w:space="0"/>
              <w:bottom w:val="single" w:color="auto" w:sz="4" w:space="0"/>
              <w:right w:val="single" w:color="auto" w:sz="4" w:space="0"/>
            </w:tcBorders>
            <w:vAlign w:val="center"/>
          </w:tcPr>
          <w:p w14:paraId="49120390">
            <w:pPr>
              <w:snapToGrid w:val="0"/>
              <w:spacing w:after="0" w:line="360" w:lineRule="auto"/>
              <w:jc w:val="center"/>
              <w:rPr>
                <w:rFonts w:ascii="宋体" w:hAnsi="宋体" w:cs="宋体"/>
                <w:b/>
                <w:bCs/>
                <w:sz w:val="24"/>
              </w:rPr>
            </w:pPr>
            <w:r>
              <w:rPr>
                <w:rFonts w:hint="eastAsia" w:ascii="宋体" w:hAnsi="宋体" w:cs="宋体"/>
                <w:b/>
                <w:bCs/>
                <w:sz w:val="24"/>
              </w:rPr>
              <w:t>其他要求</w:t>
            </w:r>
          </w:p>
        </w:tc>
        <w:tc>
          <w:tcPr>
            <w:tcW w:w="6741" w:type="dxa"/>
            <w:tcBorders>
              <w:top w:val="single" w:color="auto" w:sz="4" w:space="0"/>
              <w:left w:val="single" w:color="auto" w:sz="4" w:space="0"/>
              <w:bottom w:val="single" w:color="auto" w:sz="4" w:space="0"/>
              <w:right w:val="single" w:color="auto" w:sz="4" w:space="0"/>
            </w:tcBorders>
            <w:vAlign w:val="center"/>
          </w:tcPr>
          <w:p w14:paraId="4557D6AE">
            <w:pPr>
              <w:snapToGrid w:val="0"/>
              <w:spacing w:after="0" w:line="360" w:lineRule="auto"/>
              <w:jc w:val="left"/>
              <w:rPr>
                <w:rFonts w:ascii="宋体" w:hAnsi="宋体" w:cs="宋体"/>
                <w:b/>
                <w:bCs/>
                <w:sz w:val="24"/>
              </w:rPr>
            </w:pPr>
            <w:r>
              <w:rPr>
                <w:rFonts w:hint="eastAsia" w:ascii="宋体" w:hAnsi="宋体" w:cs="宋体"/>
                <w:b/>
                <w:bCs/>
                <w:sz w:val="24"/>
              </w:rPr>
              <w:t>中标后提供承诺书和纸质版投标文件一式三份（正本一份红章版，副本二份，可为正本复印件），承诺书详见附件。</w:t>
            </w:r>
          </w:p>
        </w:tc>
      </w:tr>
    </w:tbl>
    <w:p w14:paraId="71B1031A">
      <w:pPr>
        <w:snapToGrid w:val="0"/>
        <w:spacing w:line="360" w:lineRule="auto"/>
        <w:jc w:val="center"/>
        <w:rPr>
          <w:rFonts w:ascii="宋体" w:hAnsi="宋体" w:cs="宋体"/>
          <w:b/>
          <w:sz w:val="32"/>
          <w:szCs w:val="20"/>
        </w:rPr>
      </w:pPr>
    </w:p>
    <w:bookmarkEnd w:id="5"/>
    <w:p w14:paraId="199161F4">
      <w:pPr>
        <w:adjustRightInd/>
        <w:spacing w:line="360" w:lineRule="auto"/>
        <w:jc w:val="center"/>
        <w:rPr>
          <w:rFonts w:ascii="宋体" w:hAnsi="宋体" w:cs="宋体"/>
          <w:b/>
          <w:sz w:val="32"/>
          <w:szCs w:val="20"/>
        </w:rPr>
      </w:pPr>
      <w:bookmarkStart w:id="6" w:name="_Toc164416483"/>
      <w:bookmarkStart w:id="7" w:name="第三部分"/>
      <w:r>
        <w:rPr>
          <w:rFonts w:hint="eastAsia" w:ascii="宋体" w:hAnsi="宋体" w:cs="宋体"/>
          <w:b/>
          <w:sz w:val="32"/>
          <w:szCs w:val="20"/>
        </w:rPr>
        <w:br w:type="page"/>
      </w:r>
      <w:r>
        <w:rPr>
          <w:rFonts w:hint="eastAsia" w:ascii="宋体" w:hAnsi="宋体" w:cs="宋体"/>
          <w:b/>
          <w:sz w:val="32"/>
          <w:szCs w:val="20"/>
        </w:rPr>
        <w:t>一、总则（适用于各标项）</w:t>
      </w:r>
    </w:p>
    <w:p w14:paraId="10F72ED0">
      <w:pPr>
        <w:snapToGrid w:val="0"/>
        <w:spacing w:line="360" w:lineRule="auto"/>
        <w:ind w:firstLine="602" w:firstLineChars="250"/>
        <w:jc w:val="left"/>
        <w:outlineLvl w:val="1"/>
        <w:rPr>
          <w:rFonts w:ascii="宋体" w:hAnsi="宋体" w:cs="宋体"/>
          <w:b/>
          <w:sz w:val="24"/>
        </w:rPr>
      </w:pPr>
      <w:r>
        <w:rPr>
          <w:rFonts w:hint="eastAsia" w:ascii="宋体" w:hAnsi="宋体" w:cs="宋体"/>
          <w:b/>
          <w:sz w:val="24"/>
        </w:rPr>
        <w:t>1.适用范围</w:t>
      </w:r>
    </w:p>
    <w:p w14:paraId="52B650C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64786A4">
      <w:pPr>
        <w:adjustRightInd/>
        <w:spacing w:line="360" w:lineRule="auto"/>
        <w:outlineLvl w:val="0"/>
        <w:rPr>
          <w:rFonts w:ascii="宋体" w:hAnsi="宋体" w:cs="宋体"/>
          <w:b/>
          <w:sz w:val="24"/>
        </w:rPr>
      </w:pPr>
      <w:r>
        <w:rPr>
          <w:rFonts w:hint="eastAsia" w:ascii="宋体" w:hAnsi="宋体" w:cs="宋体"/>
          <w:b/>
          <w:sz w:val="24"/>
        </w:rPr>
        <w:t xml:space="preserve">   2.定义</w:t>
      </w:r>
    </w:p>
    <w:p w14:paraId="1A236A1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1672C38">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15695A8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4C5D26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6EFE1C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8CBFB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BA4829B">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6B41ABE">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49613B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CC577A7">
      <w:pPr>
        <w:spacing w:line="360" w:lineRule="auto"/>
        <w:ind w:firstLine="240" w:firstLineChars="100"/>
        <w:rPr>
          <w:rFonts w:ascii="宋体" w:hAnsi="宋体" w:cs="宋体"/>
          <w:sz w:val="24"/>
        </w:rPr>
      </w:pPr>
      <w:r>
        <w:rPr>
          <w:rFonts w:hint="eastAsia" w:ascii="宋体" w:hAnsi="宋体" w:cs="宋体"/>
          <w:sz w:val="24"/>
        </w:rPr>
        <w:t>3.2 支持绿色发展</w:t>
      </w:r>
    </w:p>
    <w:p w14:paraId="6ABD285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6E31B6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ABF45E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6BEC827">
      <w:pPr>
        <w:spacing w:line="360" w:lineRule="auto"/>
        <w:ind w:firstLine="240" w:firstLineChars="100"/>
        <w:rPr>
          <w:rFonts w:ascii="宋体" w:hAnsi="宋体" w:cs="宋体"/>
          <w:sz w:val="24"/>
        </w:rPr>
      </w:pPr>
      <w:r>
        <w:rPr>
          <w:rFonts w:hint="eastAsia" w:ascii="宋体" w:hAnsi="宋体" w:cs="宋体"/>
          <w:sz w:val="24"/>
        </w:rPr>
        <w:t>3.3支持中小企业发展</w:t>
      </w:r>
    </w:p>
    <w:p w14:paraId="14EAE91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083E2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61635C0">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8B5A3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2A71C0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6A4C7D2">
      <w:pPr>
        <w:pStyle w:val="5"/>
        <w:ind w:left="0" w:firstLine="482" w:firstLineChars="200"/>
        <w:rPr>
          <w:rFonts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5E377FC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947FC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0089A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6AD8A50">
      <w:pPr>
        <w:spacing w:line="360" w:lineRule="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B7417E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C6F6B0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A73510">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225044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46519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w:t>
      </w:r>
      <w:r>
        <w:rPr>
          <w:rFonts w:hint="eastAsia" w:ascii="宋体" w:hAnsi="宋体" w:cs="宋体"/>
          <w:snapToGrid w:val="0"/>
          <w:kern w:val="28"/>
          <w:sz w:val="24"/>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cs="宋体"/>
          <w:kern w:val="0"/>
          <w:sz w:val="24"/>
          <w:lang w:val="zh-CN"/>
        </w:rPr>
        <w:t>处理-在线办理。</w:t>
      </w:r>
    </w:p>
    <w:p w14:paraId="5E00C76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933FF5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FCD8C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D7F6650">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1B8F1D1">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AC5D0BF">
      <w:pPr>
        <w:pStyle w:val="1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2CDB888">
      <w:pPr>
        <w:pStyle w:val="34"/>
        <w:spacing w:line="360" w:lineRule="auto"/>
        <w:ind w:left="479" w:leftChars="228"/>
        <w:rPr>
          <w:rFonts w:hAnsi="宋体" w:cs="宋体"/>
          <w:sz w:val="24"/>
          <w:szCs w:val="24"/>
        </w:rPr>
      </w:pPr>
      <w:r>
        <w:rPr>
          <w:rFonts w:hint="eastAsia" w:hAnsi="宋体" w:cs="宋体"/>
          <w:sz w:val="24"/>
        </w:rPr>
        <w:t>4.3.2.2对采购过程提出质疑的，质疑期限为各采购程序环节结束之日起计算。</w:t>
      </w:r>
      <w:r>
        <w:rPr>
          <w:rFonts w:hint="eastAsia" w:hAnsi="宋体" w:cs="宋体"/>
          <w:sz w:val="24"/>
          <w:szCs w:val="24"/>
        </w:rPr>
        <w:t>4.3.2.3对采购结果提出质疑的，质疑期限自采购结果公告期限届满之日起计算。</w:t>
      </w:r>
    </w:p>
    <w:p w14:paraId="29292631">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4.3.3</w:t>
      </w:r>
      <w:r>
        <w:rPr>
          <w:rFonts w:hint="eastAsia" w:hAnsi="宋体" w:cs="宋体"/>
          <w:sz w:val="24"/>
          <w:szCs w:val="24"/>
        </w:rPr>
        <w:t>供应商提出质疑应当提交质疑函和必要的证明材料。质疑函应当包括下列内容：</w:t>
      </w:r>
    </w:p>
    <w:p w14:paraId="3A6289B8">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4.3.3.1供应商的姓名或者名称、地址、邮编、联系人及联系电话；</w:t>
      </w:r>
    </w:p>
    <w:p w14:paraId="46EF9A04">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4.3.3.2质疑项目的名称、编号；</w:t>
      </w:r>
    </w:p>
    <w:p w14:paraId="46773E8F">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4.3.3.3具体、明确的质疑事项和与质疑事项相关的请求；</w:t>
      </w:r>
    </w:p>
    <w:p w14:paraId="6C5AAC76">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4.3.3.4事实依据；</w:t>
      </w:r>
    </w:p>
    <w:p w14:paraId="32FFE60C">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4.3.3.5必要的法律依据；</w:t>
      </w:r>
    </w:p>
    <w:p w14:paraId="203A959B">
      <w:pPr>
        <w:pStyle w:val="34"/>
        <w:spacing w:line="360" w:lineRule="auto"/>
        <w:ind w:firstLine="960" w:firstLineChars="400"/>
        <w:rPr>
          <w:rFonts w:hAnsi="宋体" w:cs="宋体"/>
          <w:kern w:val="0"/>
          <w:sz w:val="24"/>
          <w:szCs w:val="24"/>
          <w:lang w:val="zh-CN"/>
        </w:rPr>
      </w:pPr>
      <w:r>
        <w:rPr>
          <w:rFonts w:hint="eastAsia" w:hAnsi="宋体" w:cs="宋体"/>
          <w:kern w:val="0"/>
          <w:sz w:val="24"/>
          <w:szCs w:val="24"/>
          <w:lang w:val="zh-CN"/>
        </w:rPr>
        <w:t>4.3.3.6提出质疑的日期。</w:t>
      </w:r>
    </w:p>
    <w:p w14:paraId="1C0D6817">
      <w:pPr>
        <w:pStyle w:val="577"/>
        <w:shd w:val="clear" w:color="auto" w:fill="FFFFFF"/>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56E57B">
      <w:pPr>
        <w:pStyle w:val="577"/>
        <w:shd w:val="clear" w:color="auto" w:fill="FFFFFF"/>
        <w:spacing w:before="0" w:beforeAutospacing="0" w:after="0" w:afterAutospacing="0" w:line="360" w:lineRule="auto"/>
        <w:ind w:firstLine="400"/>
        <w:contextualSpacing/>
      </w:pPr>
      <w:r>
        <w:rPr>
          <w:rFonts w:hint="eastAsia"/>
        </w:rPr>
        <w:t>质疑函范本及制作说明详见附件2。</w:t>
      </w:r>
    </w:p>
    <w:p w14:paraId="635F41C7">
      <w:pPr>
        <w:pStyle w:val="577"/>
        <w:shd w:val="clear" w:color="auto" w:fill="FFFFFF"/>
        <w:spacing w:before="0" w:beforeAutospacing="0" w:after="0" w:afterAutospacing="0" w:line="360" w:lineRule="auto"/>
        <w:ind w:firstLine="400"/>
        <w:contextualSpacing/>
      </w:pPr>
      <w:r>
        <w:rPr>
          <w:rFonts w:hint="eastAsia"/>
        </w:rPr>
        <w:t>4.3.4对同一采购程序环节的质疑，供应商须在法定质疑期内一次性提出。</w:t>
      </w:r>
    </w:p>
    <w:p w14:paraId="3F418F4C">
      <w:pPr>
        <w:pStyle w:val="577"/>
        <w:shd w:val="clear" w:color="auto" w:fill="FFFFFF"/>
        <w:spacing w:before="0" w:beforeAutospacing="0" w:after="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4C28C43">
      <w:pPr>
        <w:pStyle w:val="577"/>
        <w:shd w:val="clear" w:color="auto" w:fill="FFFFFF"/>
        <w:spacing w:before="0" w:beforeAutospacing="0" w:after="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91E868D">
      <w:pPr>
        <w:pStyle w:val="577"/>
        <w:shd w:val="clear" w:color="auto" w:fill="FFFFFF"/>
        <w:spacing w:before="0" w:beforeAutospacing="0" w:after="0" w:afterAutospacing="0" w:line="360" w:lineRule="auto"/>
        <w:ind w:firstLine="480" w:firstLineChars="200"/>
        <w:contextualSpacing/>
        <w:rPr>
          <w:lang w:val="zh-CN"/>
        </w:rPr>
      </w:pPr>
      <w:r>
        <w:rPr>
          <w:rFonts w:hint="eastAsia"/>
          <w:lang w:val="zh-CN"/>
        </w:rPr>
        <w:t>4.4供应商投诉</w:t>
      </w:r>
    </w:p>
    <w:p w14:paraId="7F38E55C">
      <w:pPr>
        <w:pStyle w:val="577"/>
        <w:shd w:val="clear" w:color="auto" w:fill="FFFFFF"/>
        <w:spacing w:before="0" w:beforeAutospacing="0" w:after="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7861844D">
      <w:pPr>
        <w:pStyle w:val="577"/>
        <w:shd w:val="clear" w:color="auto" w:fill="FFFFFF"/>
        <w:spacing w:before="0" w:beforeAutospacing="0" w:after="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E20077F">
      <w:pPr>
        <w:pStyle w:val="577"/>
        <w:shd w:val="clear" w:color="auto" w:fill="FFFFFF"/>
        <w:spacing w:before="0" w:beforeAutospacing="0" w:after="0" w:afterAutospacing="0" w:line="360" w:lineRule="auto"/>
        <w:ind w:firstLine="400"/>
        <w:contextualSpacing/>
      </w:pPr>
      <w:r>
        <w:rPr>
          <w:rFonts w:hint="eastAsia"/>
        </w:rPr>
        <w:t>4.4.3供应商投诉应当有明确的请求和必要的证明材料。</w:t>
      </w:r>
    </w:p>
    <w:p w14:paraId="2A9EB8B5">
      <w:pPr>
        <w:pStyle w:val="577"/>
        <w:shd w:val="clear" w:color="auto" w:fill="FFFFFF"/>
        <w:spacing w:before="0" w:beforeAutospacing="0" w:after="0" w:afterAutospacing="0" w:line="360" w:lineRule="auto"/>
        <w:ind w:firstLine="400"/>
        <w:contextualSpacing/>
      </w:pPr>
      <w:r>
        <w:rPr>
          <w:rFonts w:hint="eastAsia"/>
        </w:rPr>
        <w:t>4.4.4以联合体形式参加政府采购活动的，其投诉应当由组成联合体的所有供应商共同提出。</w:t>
      </w:r>
    </w:p>
    <w:p w14:paraId="38C1859A">
      <w:pPr>
        <w:spacing w:line="360" w:lineRule="auto"/>
        <w:rPr>
          <w:rFonts w:ascii="宋体" w:hAnsi="宋体" w:cs="宋体"/>
          <w:sz w:val="24"/>
        </w:rPr>
      </w:pPr>
      <w:r>
        <w:rPr>
          <w:rFonts w:hint="eastAsia" w:ascii="宋体" w:hAnsi="宋体" w:cs="宋体"/>
          <w:sz w:val="24"/>
        </w:rPr>
        <w:t>4.4.5杭州市余杭区政府采购项目投诉材料可寄送浙江省政府采购行政裁决服务中心（杭州）：杭州市上城区四季青街道新业路市民之家GO3办公室 (快递仅限ems或顺丰)。收件人：朱女士、王女士，电话：0571-85252453。</w:t>
      </w:r>
    </w:p>
    <w:p w14:paraId="459D522B">
      <w:pPr>
        <w:spacing w:line="360" w:lineRule="auto"/>
        <w:ind w:firstLine="480" w:firstLineChars="200"/>
        <w:rPr>
          <w:rFonts w:ascii="宋体" w:hAnsi="宋体" w:cs="宋体"/>
          <w:sz w:val="24"/>
        </w:rPr>
      </w:pPr>
      <w:r>
        <w:rPr>
          <w:rFonts w:hint="eastAsia" w:ascii="宋体" w:hAnsi="宋体" w:cs="宋体"/>
          <w:sz w:val="24"/>
        </w:rPr>
        <w:t>4.5 补偿救济</w:t>
      </w:r>
    </w:p>
    <w:p w14:paraId="1DAC6D1B">
      <w:pPr>
        <w:spacing w:line="360" w:lineRule="auto"/>
        <w:ind w:firstLine="480" w:firstLineChars="200"/>
        <w:rPr>
          <w:rFonts w:ascii="宋体" w:hAnsi="宋体" w:cs="宋体"/>
          <w:sz w:val="24"/>
        </w:rPr>
      </w:pPr>
      <w:r>
        <w:rPr>
          <w:rFonts w:hint="eastAsia" w:ascii="宋体" w:hAnsi="宋体" w:cs="宋体"/>
          <w:sz w:val="24"/>
        </w:rPr>
        <w:t>采购人（行政机关）因政策变化、规划调整而不履行政府采购合同的，供应商可依据《杭州市涉企补偿救济实施办法（试行）》向采购人（行政机关）提起补偿申请。</w:t>
      </w:r>
    </w:p>
    <w:p w14:paraId="67E4DF74">
      <w:pPr>
        <w:pStyle w:val="577"/>
        <w:shd w:val="clear" w:color="auto" w:fill="FFFFFF"/>
        <w:spacing w:before="0" w:beforeAutospacing="0" w:after="0" w:afterAutospacing="0" w:line="360" w:lineRule="auto"/>
        <w:ind w:firstLine="400"/>
        <w:contextualSpacing/>
      </w:pPr>
      <w:r>
        <w:rPr>
          <w:rFonts w:hint="eastAsia"/>
        </w:rPr>
        <w:t>投诉书范本及制作说明详见附件3。</w:t>
      </w:r>
    </w:p>
    <w:p w14:paraId="04233E74">
      <w:pPr>
        <w:pStyle w:val="92"/>
        <w:snapToGrid w:val="0"/>
        <w:spacing w:before="0"/>
        <w:ind w:firstLine="360"/>
        <w:rPr>
          <w:rFonts w:ascii="宋体" w:hAnsi="宋体" w:cs="宋体"/>
          <w:sz w:val="18"/>
          <w:szCs w:val="18"/>
        </w:rPr>
      </w:pPr>
    </w:p>
    <w:p w14:paraId="3D942A3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2492602">
      <w:pPr>
        <w:pStyle w:val="34"/>
        <w:spacing w:line="360" w:lineRule="auto"/>
        <w:rPr>
          <w:rFonts w:hAnsi="宋体" w:cs="宋体"/>
          <w:b/>
          <w:sz w:val="24"/>
          <w:szCs w:val="24"/>
        </w:rPr>
      </w:pPr>
      <w:r>
        <w:rPr>
          <w:rFonts w:hint="eastAsia" w:hAnsi="宋体" w:cs="宋体"/>
          <w:b/>
          <w:sz w:val="24"/>
          <w:szCs w:val="24"/>
        </w:rPr>
        <w:t>5．招标文件的构成</w:t>
      </w:r>
    </w:p>
    <w:p w14:paraId="429D8EAE">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5FEA50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188129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5B21D2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13C3B8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0C6C44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C64E4B2">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1DAFB0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F9A9C86">
      <w:pPr>
        <w:pStyle w:val="34"/>
        <w:spacing w:line="360" w:lineRule="auto"/>
        <w:rPr>
          <w:rFonts w:hAnsi="宋体" w:cs="宋体"/>
          <w:b/>
          <w:sz w:val="24"/>
          <w:szCs w:val="24"/>
        </w:rPr>
      </w:pPr>
      <w:r>
        <w:rPr>
          <w:rFonts w:hint="eastAsia" w:hAnsi="宋体" w:cs="宋体"/>
          <w:b/>
          <w:sz w:val="24"/>
          <w:szCs w:val="24"/>
        </w:rPr>
        <w:t>6. 招标文件的澄清、修改</w:t>
      </w:r>
    </w:p>
    <w:p w14:paraId="42382C2D">
      <w:pPr>
        <w:pStyle w:val="9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9811F96">
      <w:pPr>
        <w:pStyle w:val="92"/>
        <w:snapToGrid w:val="0"/>
        <w:spacing w:before="0"/>
        <w:ind w:firstLine="480"/>
        <w:rPr>
          <w:rFonts w:hAnsi="宋体" w:cs="宋体"/>
          <w:sz w:val="18"/>
          <w:szCs w:val="18"/>
          <w:lang w:val="en-US"/>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8D121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6762A0C">
      <w:pPr>
        <w:pStyle w:val="34"/>
        <w:spacing w:line="360" w:lineRule="auto"/>
        <w:rPr>
          <w:rFonts w:hAnsi="宋体" w:cs="宋体"/>
          <w:b/>
          <w:sz w:val="24"/>
          <w:szCs w:val="24"/>
        </w:rPr>
      </w:pPr>
      <w:r>
        <w:rPr>
          <w:rFonts w:hint="eastAsia" w:hAnsi="宋体" w:cs="宋体"/>
          <w:b/>
          <w:sz w:val="24"/>
          <w:szCs w:val="24"/>
        </w:rPr>
        <w:t>7. 招标文件的获取</w:t>
      </w:r>
    </w:p>
    <w:p w14:paraId="10B0CB6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52CEB7">
      <w:pPr>
        <w:pStyle w:val="34"/>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45D357D5">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1039F04">
      <w:pPr>
        <w:pStyle w:val="34"/>
        <w:numPr>
          <w:ilvl w:val="0"/>
          <w:numId w:val="2"/>
        </w:numPr>
        <w:spacing w:line="360" w:lineRule="auto"/>
        <w:rPr>
          <w:rFonts w:hAnsi="宋体" w:cs="宋体"/>
          <w:b/>
          <w:sz w:val="24"/>
          <w:szCs w:val="24"/>
        </w:rPr>
      </w:pPr>
      <w:r>
        <w:rPr>
          <w:rFonts w:hint="eastAsia" w:hAnsi="宋体" w:cs="宋体"/>
          <w:b/>
          <w:kern w:val="28"/>
          <w:sz w:val="24"/>
          <w:szCs w:val="24"/>
        </w:rPr>
        <w:t>投标保证金</w:t>
      </w:r>
    </w:p>
    <w:p w14:paraId="0FF130CC">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715DFBE">
      <w:pPr>
        <w:pStyle w:val="34"/>
        <w:spacing w:line="360" w:lineRule="auto"/>
        <w:rPr>
          <w:rFonts w:hAnsi="宋体" w:cs="宋体"/>
          <w:b/>
          <w:sz w:val="24"/>
          <w:szCs w:val="24"/>
        </w:rPr>
      </w:pPr>
      <w:r>
        <w:rPr>
          <w:rFonts w:hint="eastAsia" w:hAnsi="宋体" w:cs="宋体"/>
          <w:b/>
          <w:sz w:val="24"/>
          <w:szCs w:val="24"/>
        </w:rPr>
        <w:t>10. 投标文件的语言</w:t>
      </w:r>
    </w:p>
    <w:p w14:paraId="41B35BC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6ECB9FF">
      <w:pPr>
        <w:pStyle w:val="34"/>
        <w:numPr>
          <w:ilvl w:val="0"/>
          <w:numId w:val="0"/>
        </w:numPr>
        <w:spacing w:line="360" w:lineRule="auto"/>
        <w:rPr>
          <w:rFonts w:hAnsi="宋体" w:cs="宋体"/>
        </w:rPr>
      </w:pPr>
      <w:r>
        <w:rPr>
          <w:rFonts w:hint="eastAsia" w:hAnsi="宋体" w:cs="宋体"/>
          <w:b/>
          <w:sz w:val="24"/>
          <w:szCs w:val="24"/>
          <w:lang w:val="en-US" w:eastAsia="zh-CN"/>
        </w:rPr>
        <w:t>11.</w:t>
      </w:r>
      <w:r>
        <w:rPr>
          <w:rFonts w:hint="eastAsia" w:hAnsi="宋体" w:cs="宋体"/>
          <w:b/>
          <w:sz w:val="24"/>
          <w:szCs w:val="24"/>
        </w:rPr>
        <w:t>投标文件的组成（根据各标项内容分别制作）</w:t>
      </w:r>
    </w:p>
    <w:p w14:paraId="262BB79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2912CF2">
      <w:pPr>
        <w:snapToGrid w:val="0"/>
        <w:spacing w:line="360" w:lineRule="auto"/>
        <w:ind w:firstLine="480" w:firstLineChars="200"/>
        <w:rPr>
          <w:rFonts w:ascii="宋体" w:hAnsi="宋体" w:cs="宋体"/>
          <w:sz w:val="24"/>
        </w:rPr>
      </w:pPr>
      <w:r>
        <w:rPr>
          <w:rFonts w:hint="eastAsia" w:ascii="宋体" w:hAnsi="宋体" w:cs="宋体"/>
          <w:sz w:val="24"/>
        </w:rPr>
        <w:t>11.1.1资格文件封面</w:t>
      </w:r>
    </w:p>
    <w:p w14:paraId="228524A2">
      <w:pPr>
        <w:snapToGrid w:val="0"/>
        <w:spacing w:line="360" w:lineRule="auto"/>
        <w:ind w:firstLine="480" w:firstLineChars="200"/>
        <w:rPr>
          <w:rFonts w:ascii="宋体" w:hAnsi="宋体" w:cs="宋体"/>
          <w:sz w:val="24"/>
        </w:rPr>
      </w:pPr>
      <w:r>
        <w:rPr>
          <w:rFonts w:hint="eastAsia" w:ascii="宋体" w:hAnsi="宋体" w:cs="宋体"/>
          <w:sz w:val="24"/>
        </w:rPr>
        <w:t>▲11.1.2符合参加政府采购活动应当具备的一般条件的承诺函；</w:t>
      </w:r>
    </w:p>
    <w:p w14:paraId="56AE7B31">
      <w:pPr>
        <w:snapToGrid w:val="0"/>
        <w:spacing w:line="360" w:lineRule="auto"/>
        <w:ind w:firstLine="480" w:firstLineChars="200"/>
        <w:rPr>
          <w:rFonts w:ascii="宋体" w:hAnsi="宋体" w:cs="宋体"/>
          <w:sz w:val="24"/>
        </w:rPr>
      </w:pPr>
      <w:r>
        <w:rPr>
          <w:rFonts w:hint="eastAsia" w:ascii="宋体" w:hAnsi="宋体" w:cs="宋体"/>
          <w:sz w:val="24"/>
        </w:rPr>
        <w:t>▲11.1.3提供法人或者其他组织机构的营业执照（扫描件或复印件加盖公章）或事业法人登记证书或其他工商等登记证明材料；</w:t>
      </w:r>
    </w:p>
    <w:p w14:paraId="0A4ECB43">
      <w:pPr>
        <w:snapToGrid w:val="0"/>
        <w:spacing w:line="360" w:lineRule="auto"/>
        <w:ind w:firstLine="480" w:firstLineChars="200"/>
        <w:rPr>
          <w:rFonts w:ascii="宋体" w:hAnsi="宋体" w:cs="宋体"/>
          <w:sz w:val="24"/>
        </w:rPr>
      </w:pPr>
      <w:r>
        <w:rPr>
          <w:rFonts w:hint="eastAsia" w:ascii="宋体" w:hAnsi="宋体" w:cs="宋体"/>
          <w:sz w:val="24"/>
        </w:rPr>
        <w:t>11.1.4</w:t>
      </w:r>
      <w:r>
        <w:rPr>
          <w:rFonts w:hint="eastAsia" w:ascii="宋体" w:hAnsi="宋体" w:cs="宋体"/>
          <w:snapToGrid w:val="0"/>
          <w:kern w:val="28"/>
          <w:sz w:val="24"/>
        </w:rPr>
        <w:t>联合协议（如果有)；</w:t>
      </w:r>
    </w:p>
    <w:p w14:paraId="35614D5E">
      <w:pPr>
        <w:snapToGrid w:val="0"/>
        <w:spacing w:line="360" w:lineRule="auto"/>
        <w:ind w:firstLine="480" w:firstLineChars="200"/>
        <w:rPr>
          <w:rFonts w:ascii="宋体" w:hAnsi="宋体" w:cs="宋体"/>
          <w:b/>
          <w:bCs/>
          <w:color w:val="0000FF"/>
          <w:sz w:val="24"/>
        </w:rPr>
      </w:pPr>
      <w:r>
        <w:rPr>
          <w:rFonts w:hint="eastAsia" w:ascii="宋体" w:hAnsi="宋体" w:cs="宋体"/>
          <w:sz w:val="24"/>
        </w:rPr>
        <w:t>▲11.1.5落实政府采购政策需满足的资格要求：</w:t>
      </w:r>
      <w:r>
        <w:rPr>
          <w:rFonts w:hint="eastAsia" w:ascii="宋体" w:hAnsi="宋体" w:cs="宋体"/>
          <w:b/>
          <w:bCs/>
          <w:sz w:val="24"/>
        </w:rPr>
        <w:t>本项目为专门面向中小企业采购的项目,投标单位应为中小型企业或微型企业或监狱企业和残疾人福利性单位；投标时提供中小企业声明函（格式后附），否则其投标文件作无效投标处理。</w:t>
      </w:r>
    </w:p>
    <w:p w14:paraId="164E4DBC">
      <w:pPr>
        <w:spacing w:line="360" w:lineRule="auto"/>
        <w:ind w:firstLine="480" w:firstLineChars="200"/>
        <w:rPr>
          <w:rFonts w:ascii="宋体" w:hAnsi="宋体" w:cs="宋体"/>
          <w:sz w:val="24"/>
        </w:rPr>
      </w:pPr>
      <w:r>
        <w:rPr>
          <w:rFonts w:hint="eastAsia" w:ascii="宋体" w:hAnsi="宋体" w:cs="宋体"/>
          <w:sz w:val="24"/>
        </w:rPr>
        <w:t>11.1.6本项目的特定资格要求：无。</w:t>
      </w:r>
    </w:p>
    <w:p w14:paraId="5DDCDC5B">
      <w:pPr>
        <w:spacing w:line="360" w:lineRule="auto"/>
        <w:ind w:firstLine="482" w:firstLineChars="2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008AC1EC">
      <w:pPr>
        <w:snapToGrid w:val="0"/>
        <w:spacing w:line="360" w:lineRule="auto"/>
        <w:ind w:firstLine="723" w:firstLineChars="3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011813FC">
      <w:pPr>
        <w:snapToGrid w:val="0"/>
        <w:spacing w:line="360" w:lineRule="auto"/>
        <w:ind w:firstLine="723" w:firstLineChars="300"/>
        <w:rPr>
          <w:rFonts w:ascii="宋体" w:hAnsi="宋体" w:cs="宋体"/>
          <w:sz w:val="24"/>
        </w:rPr>
      </w:pPr>
      <w:r>
        <w:rPr>
          <w:rFonts w:hint="eastAsia" w:ascii="宋体" w:hAnsi="宋体" w:cs="宋体"/>
          <w:b/>
          <w:bCs/>
          <w:sz w:val="24"/>
          <w:lang w:val="zh-CN"/>
        </w:rPr>
        <w:t>11.</w:t>
      </w:r>
      <w:r>
        <w:rPr>
          <w:rFonts w:hint="eastAsia" w:ascii="宋体" w:hAnsi="宋体" w:cs="宋体"/>
          <w:b/>
          <w:bCs/>
          <w:sz w:val="24"/>
        </w:rPr>
        <w:t>2.1</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文件封面；</w:t>
      </w:r>
    </w:p>
    <w:p w14:paraId="348356C7">
      <w:pPr>
        <w:snapToGrid w:val="0"/>
        <w:spacing w:line="360" w:lineRule="auto"/>
        <w:ind w:firstLine="480" w:firstLineChars="200"/>
        <w:rPr>
          <w:rFonts w:ascii="宋体" w:hAnsi="宋体" w:cs="宋体"/>
          <w:sz w:val="24"/>
        </w:rPr>
      </w:pPr>
      <w:r>
        <w:rPr>
          <w:rFonts w:hint="eastAsia" w:ascii="宋体" w:hAnsi="宋体" w:cs="宋体"/>
          <w:sz w:val="24"/>
        </w:rPr>
        <w:t>▲11.2.2投标函；</w:t>
      </w:r>
      <w:r>
        <w:rPr>
          <w:rFonts w:hint="eastAsia" w:ascii="宋体" w:hAnsi="宋体" w:cs="宋体"/>
          <w:sz w:val="24"/>
          <w:lang w:val="zh-CN"/>
        </w:rPr>
        <w:t xml:space="preserve"> </w:t>
      </w:r>
    </w:p>
    <w:p w14:paraId="028EBCF2">
      <w:pPr>
        <w:snapToGrid w:val="0"/>
        <w:spacing w:line="360" w:lineRule="auto"/>
        <w:ind w:firstLine="480" w:firstLineChars="200"/>
        <w:rPr>
          <w:rFonts w:ascii="宋体" w:hAnsi="宋体" w:cs="宋体"/>
          <w:sz w:val="24"/>
        </w:rPr>
      </w:pPr>
      <w:r>
        <w:rPr>
          <w:rFonts w:hint="eastAsia" w:ascii="宋体" w:hAnsi="宋体" w:cs="宋体"/>
          <w:sz w:val="24"/>
        </w:rPr>
        <w:t>▲11.2.3授权委托书或法定代表人（单位负责人、自然人本人）身份证明；</w:t>
      </w:r>
    </w:p>
    <w:p w14:paraId="7AA8F350">
      <w:pPr>
        <w:snapToGrid w:val="0"/>
        <w:spacing w:line="360" w:lineRule="auto"/>
        <w:ind w:firstLine="480" w:firstLineChars="200"/>
        <w:rPr>
          <w:rFonts w:ascii="宋体" w:hAnsi="宋体" w:cs="宋体"/>
          <w:sz w:val="24"/>
        </w:rPr>
      </w:pPr>
      <w:r>
        <w:rPr>
          <w:rFonts w:hint="eastAsia" w:ascii="宋体" w:hAnsi="宋体" w:cs="宋体"/>
          <w:sz w:val="24"/>
        </w:rPr>
        <w:t>▲11.2.4符合性审查资料；</w:t>
      </w:r>
    </w:p>
    <w:p w14:paraId="65927A1F">
      <w:pPr>
        <w:snapToGrid w:val="0"/>
        <w:spacing w:line="360" w:lineRule="auto"/>
        <w:ind w:firstLine="482" w:firstLineChars="200"/>
        <w:rPr>
          <w:rFonts w:ascii="宋体" w:hAnsi="宋体" w:cs="宋体"/>
          <w:sz w:val="24"/>
        </w:rPr>
      </w:pPr>
      <w:r>
        <w:rPr>
          <w:rFonts w:hint="eastAsia" w:ascii="宋体" w:hAnsi="宋体" w:cs="宋体"/>
          <w:b/>
          <w:bCs/>
          <w:sz w:val="24"/>
        </w:rPr>
        <w:t>11.2.5评标标准相应的商务技术资料；（按招标文件第四部分评标办法前附表中“投标文件中评标标准相应的商务技术资料目录”提供资料）</w:t>
      </w:r>
    </w:p>
    <w:p w14:paraId="0B3475FC">
      <w:pPr>
        <w:snapToGrid w:val="0"/>
        <w:spacing w:line="360" w:lineRule="auto"/>
        <w:ind w:firstLine="480" w:firstLineChars="200"/>
        <w:rPr>
          <w:rFonts w:ascii="宋体" w:hAnsi="宋体" w:cs="宋体"/>
          <w:sz w:val="24"/>
        </w:rPr>
      </w:pPr>
      <w:r>
        <w:rPr>
          <w:rFonts w:hint="eastAsia" w:ascii="宋体" w:hAnsi="宋体" w:cs="宋体"/>
          <w:sz w:val="24"/>
        </w:rPr>
        <w:t>11.2.6投标标的清单;</w:t>
      </w:r>
    </w:p>
    <w:p w14:paraId="47F3BD43">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14:paraId="06D1CAB6">
      <w:pPr>
        <w:snapToGrid w:val="0"/>
        <w:spacing w:line="360" w:lineRule="auto"/>
        <w:ind w:firstLine="480" w:firstLineChars="200"/>
        <w:rPr>
          <w:rFonts w:ascii="宋体" w:hAnsi="宋体" w:cs="宋体"/>
          <w:sz w:val="24"/>
          <w:lang w:val="zh-CN"/>
        </w:rPr>
      </w:pPr>
      <w:r>
        <w:rPr>
          <w:rFonts w:hint="eastAsia" w:ascii="宋体" w:hAnsi="宋体" w:cs="宋体"/>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19AA6A9B">
      <w:pPr>
        <w:snapToGrid w:val="0"/>
        <w:spacing w:line="360" w:lineRule="auto"/>
        <w:ind w:firstLine="480" w:firstLineChars="200"/>
        <w:rPr>
          <w:rFonts w:ascii="宋体" w:hAnsi="宋体" w:cs="宋体"/>
          <w:sz w:val="24"/>
        </w:rPr>
      </w:pPr>
      <w:r>
        <w:rPr>
          <w:rFonts w:hint="eastAsia" w:ascii="宋体" w:hAnsi="宋体" w:cs="宋体"/>
          <w:sz w:val="24"/>
        </w:rPr>
        <w:t>11.2.9政府采购活动现场确认声明书；</w:t>
      </w:r>
    </w:p>
    <w:p w14:paraId="1FAD133C">
      <w:pPr>
        <w:snapToGrid w:val="0"/>
        <w:spacing w:line="360" w:lineRule="auto"/>
        <w:ind w:firstLine="241" w:firstLineChars="100"/>
        <w:rPr>
          <w:rFonts w:ascii="宋体" w:hAnsi="宋体" w:cs="宋体"/>
          <w:sz w:val="24"/>
        </w:rPr>
      </w:pPr>
      <w:r>
        <w:rPr>
          <w:rFonts w:hint="eastAsia" w:ascii="宋体" w:hAnsi="宋体" w:cs="宋体"/>
          <w:b/>
          <w:bCs/>
          <w:color w:val="000000"/>
          <w:sz w:val="24"/>
        </w:rPr>
        <w:t>注：上述内容部分格式及内容详见“</w:t>
      </w:r>
      <w:r>
        <w:rPr>
          <w:rFonts w:hint="eastAsia" w:ascii="宋体" w:hAnsi="宋体" w:cs="宋体"/>
          <w:sz w:val="24"/>
        </w:rPr>
        <w:t>第六部分  应提交的有关格式范例”。</w:t>
      </w:r>
    </w:p>
    <w:p w14:paraId="33885178">
      <w:pPr>
        <w:pStyle w:val="5"/>
        <w:snapToGrid w:val="0"/>
        <w:ind w:left="0" w:firstLine="723" w:firstLineChars="300"/>
        <w:rPr>
          <w:rFonts w:ascii="宋体" w:hAnsi="宋体" w:eastAsia="宋体" w:cs="宋体"/>
          <w:sz w:val="24"/>
          <w:szCs w:val="24"/>
          <w:u w:val="single"/>
        </w:rPr>
      </w:pPr>
      <w:r>
        <w:rPr>
          <w:rFonts w:hint="eastAsia" w:ascii="宋体" w:hAnsi="宋体" w:eastAsia="宋体" w:cs="宋体"/>
          <w:kern w:val="0"/>
          <w:sz w:val="24"/>
          <w:szCs w:val="24"/>
        </w:rPr>
        <w:t>11.3</w:t>
      </w:r>
      <w:r>
        <w:rPr>
          <w:rFonts w:hint="eastAsia" w:ascii="宋体" w:hAnsi="宋体" w:eastAsia="宋体" w:cs="宋体"/>
          <w:sz w:val="24"/>
          <w:szCs w:val="24"/>
        </w:rPr>
        <w:t xml:space="preserve">报价文件： </w:t>
      </w:r>
    </w:p>
    <w:p w14:paraId="240725E8">
      <w:pPr>
        <w:snapToGrid w:val="0"/>
        <w:spacing w:line="360" w:lineRule="auto"/>
        <w:ind w:firstLine="720" w:firstLineChars="300"/>
        <w:rPr>
          <w:rFonts w:ascii="宋体" w:hAnsi="宋体" w:cs="宋体"/>
          <w:sz w:val="24"/>
        </w:rPr>
      </w:pPr>
      <w:r>
        <w:rPr>
          <w:rFonts w:hint="eastAsia" w:ascii="宋体" w:hAnsi="宋体" w:cs="宋体"/>
          <w:sz w:val="24"/>
        </w:rPr>
        <w:t>11.3.1报价文件封面；</w:t>
      </w:r>
    </w:p>
    <w:p w14:paraId="386B412B">
      <w:pPr>
        <w:snapToGrid w:val="0"/>
        <w:spacing w:line="360" w:lineRule="auto"/>
        <w:ind w:firstLine="482" w:firstLineChars="200"/>
        <w:rPr>
          <w:rFonts w:ascii="宋体" w:hAnsi="宋体" w:cs="宋体"/>
          <w:b/>
          <w:bCs/>
          <w:sz w:val="24"/>
        </w:rPr>
      </w:pPr>
      <w:r>
        <w:rPr>
          <w:rFonts w:hint="eastAsia" w:ascii="宋体" w:hAnsi="宋体" w:cs="宋体"/>
          <w:b/>
          <w:bCs/>
          <w:sz w:val="24"/>
        </w:rPr>
        <w:t>▲11.3.1开标一览表（报价表和报价明细清单）：根据各标项服务内容须</w:t>
      </w:r>
      <w:r>
        <w:rPr>
          <w:rFonts w:ascii="宋体" w:hAnsi="宋体" w:cs="宋体"/>
          <w:b/>
          <w:bCs/>
          <w:sz w:val="24"/>
        </w:rPr>
        <w:t>列出服务清单以及对应的报价</w:t>
      </w:r>
      <w:r>
        <w:rPr>
          <w:rFonts w:hint="eastAsia" w:ascii="宋体" w:hAnsi="宋体" w:cs="宋体"/>
          <w:b/>
          <w:bCs/>
          <w:sz w:val="24"/>
        </w:rPr>
        <w:t>；</w:t>
      </w:r>
    </w:p>
    <w:p w14:paraId="63D75C67">
      <w:pPr>
        <w:pStyle w:val="5"/>
        <w:adjustRightInd w:val="0"/>
        <w:snapToGrid w:val="0"/>
        <w:ind w:left="433" w:leftChars="202" w:hanging="9" w:hangingChars="4"/>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11.3.2 报价情况说明（如供应商报价低于项目预算50%的，应当提交本文</w:t>
      </w:r>
    </w:p>
    <w:p w14:paraId="2F39903F">
      <w:pPr>
        <w:pStyle w:val="5"/>
        <w:adjustRightInd w:val="0"/>
        <w:snapToGrid w:val="0"/>
        <w:rPr>
          <w:rFonts w:hint="eastAsia" w:ascii="宋体" w:hAnsi="宋体" w:eastAsia="宋体" w:cs="宋体"/>
          <w:b w:val="0"/>
          <w:bCs w:val="0"/>
          <w:sz w:val="24"/>
          <w:szCs w:val="24"/>
          <w:shd w:val="clear" w:color="060000" w:fill="auto"/>
          <w:lang w:val="en-US"/>
        </w:rPr>
      </w:pPr>
      <w:r>
        <w:rPr>
          <w:rFonts w:hint="eastAsia" w:ascii="宋体" w:hAnsi="宋体" w:eastAsia="宋体" w:cs="宋体"/>
          <w:b w:val="0"/>
          <w:bCs w:val="0"/>
          <w:sz w:val="24"/>
          <w:szCs w:val="24"/>
          <w:lang w:val="en-US"/>
        </w:rPr>
        <w:t>档，详细阐述不影响产品质量或者诚信履约的具体原因）；如有</w:t>
      </w:r>
      <w:r>
        <w:rPr>
          <w:rFonts w:hint="eastAsia" w:ascii="宋体" w:hAnsi="宋体" w:eastAsia="宋体" w:cs="宋体"/>
          <w:b w:val="0"/>
          <w:bCs w:val="0"/>
          <w:sz w:val="24"/>
          <w:szCs w:val="24"/>
          <w:shd w:val="clear" w:color="060000" w:fill="auto"/>
          <w:lang w:val="en-US"/>
        </w:rPr>
        <w:t>投标人应对投</w:t>
      </w:r>
    </w:p>
    <w:p w14:paraId="3BE406EC">
      <w:pPr>
        <w:pStyle w:val="5"/>
        <w:adjustRightInd w:val="0"/>
        <w:snapToGrid w:val="0"/>
        <w:ind w:left="0" w:leftChars="0" w:firstLine="0" w:firstLineChars="0"/>
        <w:rPr>
          <w:rFonts w:ascii="宋体" w:hAnsi="宋体" w:eastAsia="宋体" w:cs="宋体"/>
          <w:b w:val="0"/>
          <w:bCs w:val="0"/>
          <w:sz w:val="24"/>
          <w:szCs w:val="24"/>
          <w:shd w:val="clear" w:color="060000" w:fill="auto"/>
          <w:lang w:val="en-US"/>
        </w:rPr>
      </w:pPr>
      <w:r>
        <w:rPr>
          <w:rFonts w:hint="eastAsia" w:ascii="宋体" w:hAnsi="宋体" w:eastAsia="宋体" w:cs="宋体"/>
          <w:b w:val="0"/>
          <w:bCs w:val="0"/>
          <w:sz w:val="24"/>
          <w:szCs w:val="24"/>
          <w:shd w:val="clear" w:color="060000" w:fill="auto"/>
          <w:lang w:val="en-US"/>
        </w:rPr>
        <w:t>标文件中材料的真实性、合法性负责。</w:t>
      </w:r>
    </w:p>
    <w:p w14:paraId="7035326A">
      <w:pPr>
        <w:pStyle w:val="5"/>
        <w:snapToGrid w:val="0"/>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注：投标文件含有采购人不能接受的附加条件的，投标无效；</w:t>
      </w:r>
    </w:p>
    <w:p w14:paraId="66D2CE31">
      <w:pPr>
        <w:pStyle w:val="5"/>
        <w:snapToGrid w:val="0"/>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投标人提供虚假材料投标的，投标无效。</w:t>
      </w:r>
    </w:p>
    <w:p w14:paraId="4428E5A7">
      <w:pPr>
        <w:pStyle w:val="9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88D8BB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2156E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DC6A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7604447">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3AC399DC">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7257149">
      <w:pPr>
        <w:pStyle w:val="92"/>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D8670A3">
      <w:pPr>
        <w:pStyle w:val="92"/>
        <w:spacing w:before="0"/>
        <w:ind w:firstLine="480"/>
        <w:rPr>
          <w:rFonts w:ascii="宋体" w:hAnsi="宋体" w:cs="宋体"/>
          <w:szCs w:val="24"/>
        </w:rPr>
      </w:pPr>
      <w:r>
        <w:rPr>
          <w:rFonts w:hint="eastAsia" w:ascii="宋体" w:hAnsi="宋体" w:cs="宋体"/>
        </w:rPr>
        <w:t>13.3招标文件对投标文件签署、盖章的要求适用于电子签名。</w:t>
      </w:r>
    </w:p>
    <w:p w14:paraId="49DC4288">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46BCBD6">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D903F0">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FFC9E69">
      <w:pPr>
        <w:pStyle w:val="9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C2A113C">
      <w:pPr>
        <w:pStyle w:val="34"/>
        <w:spacing w:line="360" w:lineRule="auto"/>
        <w:rPr>
          <w:rFonts w:hAnsi="宋体" w:cs="宋体"/>
          <w:b/>
          <w:sz w:val="24"/>
          <w:szCs w:val="24"/>
        </w:rPr>
      </w:pPr>
      <w:r>
        <w:rPr>
          <w:rFonts w:hint="eastAsia" w:hAnsi="宋体" w:cs="宋体"/>
          <w:b/>
          <w:sz w:val="24"/>
          <w:szCs w:val="24"/>
        </w:rPr>
        <w:t>15.备份投标文件</w:t>
      </w:r>
    </w:p>
    <w:p w14:paraId="567AA89B">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29EE2758">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3367619">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6C2E96DB">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1383BB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066D3D9">
      <w:pPr>
        <w:pStyle w:val="92"/>
        <w:spacing w:before="0"/>
        <w:ind w:firstLine="0" w:firstLineChars="0"/>
        <w:rPr>
          <w:rFonts w:ascii="宋体" w:hAnsi="宋体" w:cs="宋体"/>
          <w:b/>
          <w:szCs w:val="24"/>
        </w:rPr>
      </w:pPr>
      <w:r>
        <w:rPr>
          <w:rFonts w:hint="eastAsia" w:ascii="宋体" w:hAnsi="宋体" w:cs="宋体"/>
          <w:b/>
          <w:szCs w:val="24"/>
        </w:rPr>
        <w:t>16. 投标文件的无效处理</w:t>
      </w:r>
    </w:p>
    <w:p w14:paraId="00346994">
      <w:pPr>
        <w:pStyle w:val="3"/>
        <w:spacing w:line="360" w:lineRule="auto"/>
        <w:ind w:firstLine="360" w:firstLineChars="150"/>
        <w:rPr>
          <w:rFonts w:cs="宋体"/>
          <w:szCs w:val="21"/>
        </w:rPr>
      </w:pPr>
      <w:r>
        <w:rPr>
          <w:rFonts w:hint="eastAsia" w:cs="宋体"/>
          <w:szCs w:val="21"/>
        </w:rPr>
        <w:t>有招标文件第四部分4.2规定的情形之一的，投标无效：</w:t>
      </w:r>
    </w:p>
    <w:p w14:paraId="1A913346">
      <w:pPr>
        <w:pStyle w:val="92"/>
        <w:spacing w:before="0"/>
        <w:ind w:firstLine="0" w:firstLineChars="0"/>
        <w:rPr>
          <w:rFonts w:ascii="宋体" w:hAnsi="宋体" w:cs="宋体"/>
          <w:b/>
          <w:szCs w:val="24"/>
        </w:rPr>
      </w:pPr>
      <w:r>
        <w:rPr>
          <w:rFonts w:hint="eastAsia" w:ascii="宋体" w:hAnsi="宋体" w:cs="宋体"/>
          <w:b/>
          <w:szCs w:val="24"/>
        </w:rPr>
        <w:t>17.投标有效期</w:t>
      </w:r>
    </w:p>
    <w:p w14:paraId="1F71922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EBDD5AD">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18BBA77E">
      <w:pPr>
        <w:pStyle w:val="92"/>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CAB8773">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5487DBD">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34558F21">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6B5E05D">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FFE0029">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0F4183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5991C202">
      <w:pPr>
        <w:pStyle w:val="92"/>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E4C56C8">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0098A729">
      <w:pPr>
        <w:pStyle w:val="92"/>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C9E907B">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DF8083C">
      <w:pPr>
        <w:pStyle w:val="92"/>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BFA7384">
      <w:pPr>
        <w:pStyle w:val="92"/>
        <w:snapToGrid w:val="0"/>
        <w:spacing w:before="0"/>
        <w:ind w:firstLine="480"/>
        <w:rPr>
          <w:rStyle w:val="80"/>
          <w:rFonts w:ascii="宋体" w:hAnsi="宋体" w:cs="宋体"/>
        </w:rPr>
      </w:pPr>
      <w:r>
        <w:rPr>
          <w:rFonts w:hint="eastAsia" w:ascii="宋体" w:hAnsi="宋体" w:cs="宋体"/>
          <w:kern w:val="0"/>
          <w:szCs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DE1EB23">
      <w:pPr>
        <w:pStyle w:val="92"/>
        <w:spacing w:before="0"/>
        <w:ind w:firstLine="489"/>
        <w:rPr>
          <w:rFonts w:ascii="宋体" w:hAnsi="宋体" w:cs="宋体"/>
          <w:b/>
          <w:szCs w:val="24"/>
        </w:rPr>
      </w:pPr>
      <w:r>
        <w:rPr>
          <w:rFonts w:hint="eastAsia" w:ascii="宋体" w:hAnsi="宋体" w:cs="宋体"/>
          <w:b/>
          <w:szCs w:val="24"/>
        </w:rPr>
        <w:t>20. 信用信息查询</w:t>
      </w:r>
    </w:p>
    <w:p w14:paraId="0749DC48">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4785551D">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4D9BD9B">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102C614">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534244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86C9C07">
      <w:pPr>
        <w:spacing w:line="360" w:lineRule="auto"/>
        <w:rPr>
          <w:rFonts w:ascii="宋体" w:hAnsi="宋体" w:cs="宋体"/>
          <w:b/>
          <w:sz w:val="24"/>
        </w:rPr>
      </w:pPr>
      <w:bookmarkStart w:id="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各标项评审因素的量化指标排出推荐各标项中标的投标人的先后顺序，并按顺序提出授标建议。</w:t>
      </w:r>
      <w:r>
        <w:rPr>
          <w:rFonts w:hint="eastAsia" w:ascii="宋体" w:hAnsi="宋体" w:cs="宋体"/>
          <w:b/>
          <w:sz w:val="24"/>
        </w:rPr>
        <w:t>详见招标文件第四部分评标办法。</w:t>
      </w:r>
    </w:p>
    <w:p w14:paraId="15B4658E">
      <w:pPr>
        <w:spacing w:line="360" w:lineRule="auto"/>
        <w:rPr>
          <w:rFonts w:ascii="宋体" w:hAnsi="宋体" w:cs="宋体"/>
          <w:b/>
          <w:sz w:val="24"/>
        </w:rPr>
      </w:pPr>
    </w:p>
    <w:p w14:paraId="1AEBFC9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8B76E91">
      <w:pPr>
        <w:pStyle w:val="3"/>
        <w:spacing w:line="360" w:lineRule="auto"/>
        <w:ind w:left="487" w:hanging="479" w:hangingChars="199"/>
        <w:rPr>
          <w:rFonts w:cs="宋体"/>
          <w:b/>
        </w:rPr>
      </w:pPr>
      <w:r>
        <w:rPr>
          <w:rFonts w:hint="eastAsia" w:cs="宋体"/>
          <w:b/>
        </w:rPr>
        <w:t>22. 确定中标供应商</w:t>
      </w:r>
    </w:p>
    <w:p w14:paraId="4D17E59B">
      <w:pPr>
        <w:pStyle w:val="92"/>
        <w:snapToGrid w:val="0"/>
        <w:spacing w:before="0"/>
        <w:ind w:firstLine="480"/>
        <w:rPr>
          <w:rFonts w:ascii="宋体" w:hAnsi="宋体" w:cs="宋体"/>
          <w:sz w:val="32"/>
          <w:szCs w:val="32"/>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486D8BA">
      <w:pPr>
        <w:pStyle w:val="9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7B36FC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23.1各标项自中标人确定之日起2个工作日内，采购机构通过电子交易平台向中标人发出中标通知书，同时编制发布采购结果公告。采购机构也可以以纸质形式进行中标通知。</w:t>
      </w:r>
    </w:p>
    <w:p w14:paraId="515A8FE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9" w:name="_Hlk101184471"/>
      <w:r>
        <w:rPr>
          <w:rFonts w:hint="eastAsia" w:ascii="宋体" w:hAnsi="宋体" w:cs="宋体"/>
          <w:sz w:val="24"/>
        </w:rPr>
        <w:t>资格审查情况、评审专家抽取规则、符合性审查情况、</w:t>
      </w:r>
      <w:bookmarkEnd w:id="9"/>
      <w:r>
        <w:rPr>
          <w:rFonts w:hint="eastAsia" w:ascii="宋体" w:hAnsi="宋体" w:cs="宋体"/>
          <w:sz w:val="24"/>
        </w:rPr>
        <w:t>未中标情况说明、中标公告期限以及评审专家名单、评分汇总及明细。</w:t>
      </w:r>
    </w:p>
    <w:p w14:paraId="5AEC2B1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EDD71D4">
      <w:pPr>
        <w:widowControl/>
        <w:shd w:val="clear" w:color="auto" w:fill="FFFFFF"/>
        <w:spacing w:line="360" w:lineRule="auto"/>
        <w:ind w:firstLine="480"/>
        <w:jc w:val="left"/>
        <w:rPr>
          <w:rFonts w:ascii="宋体" w:hAnsi="宋体" w:cs="宋体"/>
          <w:sz w:val="24"/>
        </w:rPr>
      </w:pPr>
      <w:r>
        <w:rPr>
          <w:rFonts w:hint="eastAsia" w:ascii="宋体" w:hAnsi="宋体" w:cs="宋体"/>
          <w:sz w:val="24"/>
        </w:rPr>
        <w:t>23.4由于中标、成交供应商原因导致重新采购的，应当承担支付代理费和专家评审费等费用在内的赔偿责任。</w:t>
      </w:r>
    </w:p>
    <w:p w14:paraId="4DEC762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67D500E">
      <w:pPr>
        <w:pStyle w:val="3"/>
        <w:spacing w:line="360" w:lineRule="auto"/>
        <w:ind w:left="487" w:hanging="479" w:hangingChars="199"/>
        <w:rPr>
          <w:rFonts w:cs="宋体"/>
          <w:b/>
        </w:rPr>
      </w:pPr>
      <w:r>
        <w:rPr>
          <w:rFonts w:hint="eastAsia" w:cs="宋体"/>
          <w:b/>
        </w:rPr>
        <w:t xml:space="preserve">24. </w:t>
      </w:r>
      <w:r>
        <w:rPr>
          <w:rFonts w:hint="eastAsia" w:cs="宋体"/>
        </w:rPr>
        <w:t>合同主要条款详见第五部分拟签订的合同文本。</w:t>
      </w:r>
    </w:p>
    <w:p w14:paraId="6F63D15F">
      <w:pPr>
        <w:pStyle w:val="3"/>
        <w:spacing w:line="360" w:lineRule="auto"/>
        <w:ind w:left="487" w:hanging="479" w:hangingChars="199"/>
        <w:rPr>
          <w:rFonts w:cs="宋体"/>
          <w:b/>
        </w:rPr>
      </w:pPr>
      <w:r>
        <w:rPr>
          <w:rFonts w:hint="eastAsia" w:cs="宋体"/>
          <w:b/>
        </w:rPr>
        <w:t>25. 合同的签订</w:t>
      </w:r>
    </w:p>
    <w:p w14:paraId="1DD61AF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F0B86BE">
      <w:pPr>
        <w:pStyle w:val="9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35E4196">
      <w:pPr>
        <w:pStyle w:val="9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C157527">
      <w:pPr>
        <w:pStyle w:val="9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DD08369">
      <w:pPr>
        <w:pStyle w:val="9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8736419">
      <w:pPr>
        <w:pStyle w:val="3"/>
        <w:spacing w:line="360" w:lineRule="auto"/>
        <w:ind w:left="487" w:hanging="479" w:hangingChars="199"/>
        <w:rPr>
          <w:rFonts w:cs="宋体"/>
          <w:b/>
        </w:rPr>
      </w:pPr>
      <w:r>
        <w:rPr>
          <w:rFonts w:hint="eastAsia" w:cs="宋体"/>
          <w:b/>
        </w:rPr>
        <w:t>26. 履约保证金</w:t>
      </w:r>
    </w:p>
    <w:p w14:paraId="09DCCC6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91A164D">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CCD2F6">
      <w:pPr>
        <w:snapToGrid w:val="0"/>
        <w:spacing w:line="360" w:lineRule="auto"/>
        <w:ind w:firstLine="3357" w:firstLineChars="1045"/>
        <w:rPr>
          <w:rFonts w:ascii="宋体" w:hAnsi="宋体" w:cs="宋体"/>
          <w:b/>
          <w:sz w:val="32"/>
        </w:rPr>
      </w:pPr>
    </w:p>
    <w:p w14:paraId="4EDBD795">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0ABA5B28">
      <w:pPr>
        <w:pStyle w:val="9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BE3BC08">
      <w:pPr>
        <w:pStyle w:val="9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55ABB5E9">
      <w:pPr>
        <w:pStyle w:val="9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A59DFE9">
      <w:pPr>
        <w:pStyle w:val="92"/>
        <w:snapToGrid w:val="0"/>
        <w:spacing w:before="0"/>
        <w:ind w:firstLine="480"/>
        <w:rPr>
          <w:rFonts w:ascii="宋体" w:hAnsi="宋体" w:cs="宋体"/>
        </w:rPr>
      </w:pPr>
      <w:r>
        <w:rPr>
          <w:rFonts w:hint="eastAsia" w:ascii="宋体" w:hAnsi="宋体" w:cs="宋体"/>
        </w:rPr>
        <w:t>27.3电子交易平台发现严重安全漏洞，有潜在泄密危险的；</w:t>
      </w:r>
    </w:p>
    <w:p w14:paraId="3BC9BDE7">
      <w:pPr>
        <w:pStyle w:val="92"/>
        <w:snapToGrid w:val="0"/>
        <w:spacing w:before="0"/>
        <w:ind w:firstLine="480"/>
        <w:rPr>
          <w:rFonts w:ascii="宋体" w:hAnsi="宋体" w:cs="宋体"/>
        </w:rPr>
      </w:pPr>
      <w:r>
        <w:rPr>
          <w:rFonts w:hint="eastAsia" w:ascii="宋体" w:hAnsi="宋体" w:cs="宋体"/>
        </w:rPr>
        <w:t xml:space="preserve">27.4病毒发作导致不能进行正常操作的； </w:t>
      </w:r>
    </w:p>
    <w:p w14:paraId="5278C1F2">
      <w:pPr>
        <w:pStyle w:val="92"/>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3DF9B09E">
      <w:pPr>
        <w:pStyle w:val="92"/>
        <w:snapToGrid w:val="0"/>
        <w:spacing w:before="0"/>
        <w:ind w:left="0" w:leftChars="0"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E62E2B9">
      <w:pPr>
        <w:snapToGrid w:val="0"/>
        <w:spacing w:line="360" w:lineRule="auto"/>
        <w:jc w:val="center"/>
        <w:rPr>
          <w:rFonts w:ascii="宋体" w:hAnsi="宋体" w:cs="宋体"/>
          <w:b/>
          <w:sz w:val="32"/>
        </w:rPr>
      </w:pPr>
      <w:r>
        <w:rPr>
          <w:rFonts w:hint="eastAsia" w:ascii="宋体" w:hAnsi="宋体" w:cs="宋体"/>
          <w:b/>
          <w:sz w:val="32"/>
        </w:rPr>
        <w:t>九、验收</w:t>
      </w:r>
    </w:p>
    <w:p w14:paraId="303D61C6">
      <w:pPr>
        <w:pStyle w:val="3"/>
        <w:spacing w:line="360" w:lineRule="auto"/>
        <w:ind w:firstLine="0" w:firstLineChars="0"/>
        <w:rPr>
          <w:rFonts w:cs="宋体"/>
          <w:b/>
        </w:rPr>
      </w:pPr>
      <w:r>
        <w:rPr>
          <w:rFonts w:hint="eastAsia" w:cs="宋体"/>
          <w:b/>
        </w:rPr>
        <w:t>29. 验收</w:t>
      </w:r>
    </w:p>
    <w:p w14:paraId="36C8BB98">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或委托第三方机构组织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16FBDE">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16162967">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9A83E">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p w14:paraId="35FB7BFA">
      <w:pPr>
        <w:pStyle w:val="5"/>
        <w:adjustRightInd w:val="0"/>
        <w:snapToGrid w:val="0"/>
        <w:ind w:left="0" w:firstLine="480" w:firstLineChars="200"/>
        <w:rPr>
          <w:rFonts w:ascii="宋体" w:hAnsi="宋体" w:eastAsia="宋体" w:cs="宋体"/>
          <w:b w:val="0"/>
          <w:bCs w:val="0"/>
          <w:kern w:val="0"/>
          <w:sz w:val="24"/>
          <w:szCs w:val="24"/>
          <w:lang w:val="en-US"/>
        </w:rPr>
      </w:pPr>
      <w:bookmarkStart w:id="10" w:name="_Hlt68072990"/>
      <w:bookmarkEnd w:id="10"/>
      <w:bookmarkStart w:id="11" w:name="_Hlt75236101"/>
      <w:bookmarkEnd w:id="11"/>
      <w:bookmarkStart w:id="12" w:name="_Hlt75236290"/>
      <w:bookmarkEnd w:id="12"/>
      <w:bookmarkStart w:id="13" w:name="_Hlt74730295"/>
      <w:bookmarkEnd w:id="13"/>
      <w:bookmarkStart w:id="14" w:name="_Hlt68057669"/>
      <w:bookmarkEnd w:id="14"/>
      <w:bookmarkStart w:id="15" w:name="_Hlt68073093"/>
      <w:bookmarkEnd w:id="15"/>
      <w:bookmarkStart w:id="16" w:name="_Hlt68072998"/>
      <w:bookmarkEnd w:id="16"/>
      <w:bookmarkStart w:id="17" w:name="_Hlt75236011"/>
      <w:bookmarkEnd w:id="17"/>
      <w:bookmarkStart w:id="18" w:name="_Hlt74714665"/>
      <w:bookmarkEnd w:id="18"/>
      <w:bookmarkStart w:id="19" w:name="_Hlt74707468"/>
      <w:bookmarkEnd w:id="19"/>
      <w:bookmarkStart w:id="20" w:name="_Hlt74729768"/>
      <w:bookmarkEnd w:id="20"/>
      <w:bookmarkStart w:id="21" w:name="_Hlt68403820"/>
      <w:bookmarkEnd w:id="21"/>
      <w:r>
        <w:rPr>
          <w:rFonts w:hint="eastAsia" w:ascii="宋体" w:hAnsi="宋体" w:eastAsia="宋体" w:cs="宋体"/>
          <w:b w:val="0"/>
          <w:bCs w:val="0"/>
          <w:kern w:val="0"/>
          <w:sz w:val="24"/>
          <w:szCs w:val="24"/>
          <w:lang w:val="en-US"/>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6"/>
    <w:bookmarkEnd w:id="7"/>
    <w:p w14:paraId="287EBF34">
      <w:pPr>
        <w:jc w:val="left"/>
        <w:rPr>
          <w:rFonts w:ascii="宋体" w:hAnsi="宋体" w:cs="宋体"/>
          <w:b/>
          <w:sz w:val="36"/>
          <w:szCs w:val="36"/>
        </w:rPr>
      </w:pPr>
      <w:bookmarkStart w:id="22" w:name="第四部分"/>
      <w:r>
        <w:rPr>
          <w:rFonts w:hint="eastAsia" w:ascii="宋体" w:hAnsi="宋体" w:cs="宋体"/>
          <w:b/>
          <w:sz w:val="36"/>
          <w:szCs w:val="36"/>
        </w:rPr>
        <w:br w:type="page"/>
      </w:r>
    </w:p>
    <w:p w14:paraId="5542ED34">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007B6E5C">
      <w:pPr>
        <w:pStyle w:val="5"/>
        <w:widowControl/>
        <w:ind w:left="0" w:firstLine="0"/>
        <w:rPr>
          <w:rFonts w:ascii="宋体" w:hAnsi="宋体" w:eastAsia="宋体" w:cs="宋体"/>
          <w:sz w:val="24"/>
          <w:szCs w:val="24"/>
          <w:highlight w:val="yellow"/>
          <w:lang w:val="en-US"/>
        </w:rPr>
      </w:pPr>
      <w:r>
        <w:rPr>
          <w:rFonts w:hint="eastAsia" w:ascii="宋体" w:hAnsi="宋体" w:eastAsia="宋体" w:cs="宋体"/>
          <w:sz w:val="24"/>
          <w:szCs w:val="24"/>
          <w:lang w:val="en-US"/>
        </w:rPr>
        <w:t>一、项目背景</w:t>
      </w:r>
    </w:p>
    <w:p w14:paraId="679232EB">
      <w:pPr>
        <w:widowControl/>
        <w:spacing w:line="360" w:lineRule="auto"/>
        <w:ind w:firstLine="480" w:firstLineChars="200"/>
        <w:rPr>
          <w:rFonts w:ascii="宋体" w:hAnsi="宋体" w:cs="宋体"/>
          <w:sz w:val="24"/>
        </w:rPr>
      </w:pPr>
      <w:r>
        <w:rPr>
          <w:rFonts w:hint="eastAsia" w:ascii="宋体" w:hAnsi="宋体" w:cs="宋体"/>
          <w:sz w:val="24"/>
        </w:rPr>
        <w:t>2022年12月19日，《中共中央 国务院关于构建数据基础制度更好发挥数据要素作用的意见》对外发布，提出20条政策举措，包括建立保障权益、合规使用的数据产权制度，建立合规高效、场内外结合的数据要素流通和交易制度等。积极鼓励试验探索，支持浙江等地区和有条件的行业、企业先行先试，发挥好自由贸易港、自由贸易试验区等高水平开放平台作用，引导企业和科研机构推动数据要素相关技术和产业应用创新。2023年10月25日，国家数据局正式揭牌，标志着我国数据基础制度正在不断完善，数据资源使用水平稳步提升，数据要素市场将进入发展快车道。</w:t>
      </w:r>
    </w:p>
    <w:p w14:paraId="77C6F858">
      <w:pPr>
        <w:widowControl/>
        <w:spacing w:line="360" w:lineRule="auto"/>
        <w:ind w:firstLine="480" w:firstLineChars="200"/>
        <w:rPr>
          <w:rFonts w:ascii="宋体" w:hAnsi="宋体" w:cs="宋体"/>
          <w:sz w:val="24"/>
        </w:rPr>
      </w:pPr>
      <w:r>
        <w:rPr>
          <w:rFonts w:hint="eastAsia" w:ascii="宋体" w:hAnsi="宋体" w:cs="宋体"/>
          <w:sz w:val="24"/>
        </w:rPr>
        <w:t>省市层面，2023年8月份出台的《浙江省公共数据授权运营管理办法》明确提出，县级以上人民政府要优先支持与民生紧密相关、行业增值潜力显著和产业战略意义重大的领域开展公共数据授权运营活动。余杭作为全省第一批试点区县，根据省试点申报工作要求，需要从健全授权运营机制、明确授权运营场景、强化平台支撑能力和加强数据安全保护四个方面推进试点工作。</w:t>
      </w:r>
    </w:p>
    <w:p w14:paraId="5BB209C4">
      <w:pPr>
        <w:widowControl/>
        <w:spacing w:line="360" w:lineRule="auto"/>
        <w:ind w:firstLine="480" w:firstLineChars="200"/>
        <w:rPr>
          <w:rFonts w:ascii="宋体" w:hAnsi="宋体" w:cs="宋体"/>
          <w:sz w:val="24"/>
        </w:rPr>
      </w:pPr>
      <w:r>
        <w:rPr>
          <w:rFonts w:hint="eastAsia" w:ascii="宋体" w:hAnsi="宋体" w:cs="宋体"/>
          <w:sz w:val="24"/>
        </w:rPr>
        <w:t>余杭区数字创新企业聚集，数字化氛围浓厚，有适合数据要素生根发芽的优良土壤。区数管局不断提升数字资源统筹能力、数据高质量供给能力、基础设施支撑能力、网络及数据安全保障能力，为数据要素赋能余杭数字经济发展打下坚实基础</w:t>
      </w:r>
      <w:r>
        <w:rPr>
          <w:rFonts w:ascii="宋体" w:hAnsi="宋体" w:cs="宋体"/>
          <w:sz w:val="24"/>
        </w:rPr>
        <w:t>。</w:t>
      </w:r>
      <w:r>
        <w:rPr>
          <w:rFonts w:hint="eastAsia" w:ascii="宋体" w:hAnsi="宋体" w:cs="宋体"/>
          <w:sz w:val="24"/>
        </w:rPr>
        <w:t>但在平台扩展性、数据产品需求统筹、场景推广等层面，也面临着一系列较为明显的挑战：</w:t>
      </w:r>
    </w:p>
    <w:p w14:paraId="0217060D">
      <w:pPr>
        <w:spacing w:line="360" w:lineRule="auto"/>
        <w:ind w:firstLine="480" w:firstLineChars="200"/>
        <w:rPr>
          <w:rFonts w:ascii="宋体" w:hAnsi="宋体" w:cs="宋体"/>
          <w:sz w:val="24"/>
        </w:rPr>
      </w:pPr>
      <w:r>
        <w:rPr>
          <w:rFonts w:hint="eastAsia" w:ascii="宋体" w:hAnsi="宋体" w:cs="宋体"/>
          <w:sz w:val="24"/>
        </w:rPr>
        <w:t>一是公共数据</w:t>
      </w:r>
      <w:r>
        <w:rPr>
          <w:rFonts w:ascii="宋体" w:hAnsi="宋体" w:cs="宋体"/>
          <w:sz w:val="24"/>
        </w:rPr>
        <w:t>平台</w:t>
      </w:r>
      <w:r>
        <w:rPr>
          <w:rFonts w:hint="eastAsia" w:ascii="宋体" w:hAnsi="宋体" w:cs="宋体"/>
          <w:sz w:val="24"/>
        </w:rPr>
        <w:t>需要常态化运营</w:t>
      </w:r>
      <w:r>
        <w:rPr>
          <w:rFonts w:ascii="宋体" w:hAnsi="宋体" w:cs="宋体"/>
          <w:sz w:val="24"/>
        </w:rPr>
        <w:t>。一体化智能化公共数据平台是余杭区开展公共数据编目、归集、治理、共享和开放的统一平台，</w:t>
      </w:r>
      <w:r>
        <w:rPr>
          <w:rFonts w:hint="eastAsia" w:ascii="宋体" w:hAnsi="宋体" w:cs="宋体"/>
          <w:sz w:val="24"/>
        </w:rPr>
        <w:t>在业务、技术、考核、管理等方面均存在较大挑战</w:t>
      </w:r>
      <w:r>
        <w:rPr>
          <w:rFonts w:ascii="宋体" w:hAnsi="宋体" w:cs="宋体"/>
          <w:sz w:val="24"/>
        </w:rPr>
        <w:t>，一方面</w:t>
      </w:r>
      <w:r>
        <w:rPr>
          <w:rFonts w:hint="eastAsia" w:ascii="宋体" w:hAnsi="宋体" w:cs="宋体"/>
          <w:sz w:val="24"/>
        </w:rPr>
        <w:t>业务范围广、协同性要求高</w:t>
      </w:r>
      <w:r>
        <w:rPr>
          <w:rFonts w:ascii="宋体" w:hAnsi="宋体" w:cs="宋体"/>
          <w:sz w:val="24"/>
        </w:rPr>
        <w:t>，另一方面</w:t>
      </w:r>
      <w:r>
        <w:rPr>
          <w:rFonts w:hint="eastAsia" w:ascii="宋体" w:hAnsi="宋体" w:cs="宋体"/>
          <w:sz w:val="24"/>
        </w:rPr>
        <w:t>系统庞大复杂、专业性强。</w:t>
      </w:r>
      <w:r>
        <w:rPr>
          <w:rFonts w:ascii="宋体" w:hAnsi="宋体" w:cs="宋体"/>
          <w:sz w:val="24"/>
        </w:rPr>
        <w:t>如果缺少常态化的运营运维服务体系，不仅不利于实现纵向、横向高效协同，还会给平台的长期稳定性和安全性带来风险。</w:t>
      </w:r>
    </w:p>
    <w:p w14:paraId="4AB61DD6">
      <w:pPr>
        <w:widowControl/>
        <w:spacing w:line="360" w:lineRule="auto"/>
        <w:ind w:firstLine="480" w:firstLineChars="200"/>
        <w:rPr>
          <w:rFonts w:ascii="宋体" w:hAnsi="宋体" w:cs="宋体"/>
          <w:sz w:val="24"/>
        </w:rPr>
      </w:pPr>
      <w:r>
        <w:rPr>
          <w:rFonts w:ascii="宋体" w:hAnsi="宋体" w:cs="宋体"/>
          <w:sz w:val="24"/>
        </w:rPr>
        <w:t>二</w:t>
      </w:r>
      <w:r>
        <w:rPr>
          <w:rFonts w:hint="eastAsia" w:ascii="宋体" w:hAnsi="宋体" w:cs="宋体"/>
          <w:sz w:val="24"/>
        </w:rPr>
        <w:t>是数据产品需求有待统筹。前期基层用数需求主要以应用场景建设方式来满足，由部门、镇街在应用建设期间进行数据加工，形成数据产品，存在镇街用数门槛较高、数据产品重复开发等不足。为提升公共数据深度开发利用效率，需要进一步统筹数据产品需求，优化数据产品开发、共享、使用模式。</w:t>
      </w:r>
    </w:p>
    <w:p w14:paraId="0F25A5C9">
      <w:pPr>
        <w:widowControl/>
        <w:numPr>
          <w:ilvl w:val="255"/>
          <w:numId w:val="0"/>
        </w:numPr>
        <w:spacing w:line="360" w:lineRule="auto"/>
        <w:ind w:firstLine="480" w:firstLineChars="200"/>
        <w:rPr>
          <w:rFonts w:ascii="宋体" w:hAnsi="宋体" w:cs="宋体"/>
          <w:b/>
          <w:bCs/>
          <w:sz w:val="24"/>
        </w:rPr>
      </w:pPr>
      <w:r>
        <w:rPr>
          <w:rFonts w:ascii="宋体" w:hAnsi="宋体" w:cs="宋体"/>
          <w:sz w:val="24"/>
        </w:rPr>
        <w:t>三</w:t>
      </w:r>
      <w:r>
        <w:rPr>
          <w:rFonts w:hint="eastAsia" w:ascii="宋体" w:hAnsi="宋体" w:cs="宋体"/>
          <w:sz w:val="24"/>
        </w:rPr>
        <w:t>是场景推进有待深化。自余杭成为全省第一批试点区县，根据省试点申报工作要求，需要从健全授权运营机制、明确授权运营场景、强化平台支撑能力和加强数据安全保护四个方面，推进试点工作，对余杭提出了新的要求和挑战。</w:t>
      </w:r>
    </w:p>
    <w:p w14:paraId="7178FF2A">
      <w:pPr>
        <w:pStyle w:val="5"/>
        <w:numPr>
          <w:ilvl w:val="255"/>
          <w:numId w:val="0"/>
        </w:numPr>
        <w:rPr>
          <w:rFonts w:ascii="宋体" w:hAnsi="宋体" w:eastAsia="宋体" w:cs="宋体"/>
          <w:sz w:val="24"/>
          <w:szCs w:val="24"/>
        </w:rPr>
      </w:pPr>
      <w:r>
        <w:rPr>
          <w:rFonts w:hint="eastAsia" w:ascii="宋体" w:hAnsi="宋体" w:eastAsia="宋体" w:cs="宋体"/>
          <w:sz w:val="24"/>
          <w:szCs w:val="24"/>
          <w:lang w:val="en-US"/>
        </w:rPr>
        <w:t>二、项目目标</w:t>
      </w:r>
    </w:p>
    <w:p w14:paraId="108B6B13">
      <w:pPr>
        <w:widowControl/>
        <w:spacing w:line="360" w:lineRule="auto"/>
        <w:ind w:firstLine="480" w:firstLineChars="200"/>
        <w:rPr>
          <w:rFonts w:ascii="宋体" w:hAnsi="宋体" w:cs="宋体"/>
          <w:sz w:val="24"/>
        </w:rPr>
      </w:pPr>
      <w:r>
        <w:rPr>
          <w:rFonts w:hint="eastAsia" w:ascii="宋体" w:hAnsi="宋体" w:cs="宋体"/>
          <w:sz w:val="24"/>
        </w:rPr>
        <w:t>在机构改革背景和行业发展大趋势下，公共数据从资源向要素转化的需求骤增，作为一项新业务、一条新赛道，有很多未知亟待探索。通过本项目的开展，以期实现以下目标</w:t>
      </w:r>
      <w:r>
        <w:rPr>
          <w:rFonts w:ascii="宋体" w:hAnsi="宋体" w:cs="宋体"/>
          <w:sz w:val="24"/>
        </w:rPr>
        <w:t>：</w:t>
      </w:r>
      <w:r>
        <w:rPr>
          <w:rFonts w:hint="eastAsia" w:ascii="宋体" w:hAnsi="宋体" w:cs="宋体"/>
          <w:sz w:val="24"/>
        </w:rPr>
        <w:t>一是持续高质量数据供给。通过开展数据全生命周期管理和常态化服务，为数据要素流通和数据深度挖掘利用，持续提供高质量的数据供给。二是扩展数据共享使用价值。统筹共性需求，打造数据产品，实现数据服务直达基层，数据赋能基层减负增效。三是释放数据社会应用价值。积极稳妥推进公共数据授权运营，在制度规范、流程机制、场景成效等方面取得突破性成果。</w:t>
      </w:r>
    </w:p>
    <w:p w14:paraId="1BFCE763">
      <w:pPr>
        <w:widowControl/>
        <w:numPr>
          <w:ilvl w:val="255"/>
          <w:numId w:val="0"/>
        </w:numPr>
        <w:spacing w:line="360" w:lineRule="auto"/>
        <w:ind w:firstLine="480" w:firstLineChars="200"/>
        <w:rPr>
          <w:rFonts w:ascii="宋体" w:hAnsi="宋体" w:cs="宋体"/>
        </w:rPr>
      </w:pPr>
      <w:r>
        <w:rPr>
          <w:rFonts w:ascii="宋体" w:hAnsi="宋体" w:cs="宋体"/>
          <w:sz w:val="24"/>
        </w:rPr>
        <w:t>因此，</w:t>
      </w:r>
      <w:r>
        <w:rPr>
          <w:rFonts w:hint="eastAsia" w:ascii="宋体" w:hAnsi="宋体" w:cs="宋体"/>
          <w:sz w:val="24"/>
        </w:rPr>
        <w:t>为进一步健全全区公共数据运营支撑体系，夯实公共数据平台底座支撑能力，统筹推进公共数据和社会数据融合开发利用，充分发挥数据要素的放大、叠加、倍增作用，进行余杭区2024年公共数据运营服务项目招标。本项目根据服务内容分为五个标项，具体详见下表：</w:t>
      </w:r>
    </w:p>
    <w:tbl>
      <w:tblPr>
        <w:tblStyle w:val="65"/>
        <w:tblpPr w:leftFromText="180" w:rightFromText="180" w:vertAnchor="text" w:horzAnchor="page" w:tblpX="2224" w:tblpY="2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4643"/>
        <w:gridCol w:w="2046"/>
      </w:tblGrid>
      <w:tr w14:paraId="6F6D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1380" w:type="dxa"/>
            <w:vAlign w:val="center"/>
          </w:tcPr>
          <w:p w14:paraId="67372D1F">
            <w:pPr>
              <w:spacing w:after="0" w:line="360" w:lineRule="auto"/>
              <w:jc w:val="center"/>
              <w:rPr>
                <w:rFonts w:ascii="宋体" w:hAnsi="宋体" w:cs="宋体"/>
                <w:b/>
                <w:bCs/>
                <w:kern w:val="0"/>
                <w:sz w:val="24"/>
              </w:rPr>
            </w:pPr>
            <w:r>
              <w:rPr>
                <w:rFonts w:hint="eastAsia" w:ascii="宋体" w:hAnsi="宋体" w:cs="宋体"/>
                <w:b/>
                <w:bCs/>
                <w:kern w:val="0"/>
                <w:sz w:val="24"/>
              </w:rPr>
              <w:t>标项</w:t>
            </w:r>
          </w:p>
        </w:tc>
        <w:tc>
          <w:tcPr>
            <w:tcW w:w="4643" w:type="dxa"/>
            <w:vAlign w:val="center"/>
          </w:tcPr>
          <w:p w14:paraId="6B54D31E">
            <w:pPr>
              <w:spacing w:after="0" w:line="360" w:lineRule="auto"/>
              <w:jc w:val="center"/>
              <w:rPr>
                <w:rFonts w:ascii="宋体" w:hAnsi="宋体" w:cs="宋体"/>
                <w:b/>
                <w:bCs/>
                <w:kern w:val="0"/>
                <w:sz w:val="24"/>
              </w:rPr>
            </w:pPr>
            <w:r>
              <w:rPr>
                <w:rFonts w:hint="eastAsia" w:ascii="宋体" w:hAnsi="宋体" w:cs="宋体"/>
                <w:b/>
                <w:bCs/>
                <w:kern w:val="0"/>
                <w:sz w:val="24"/>
              </w:rPr>
              <w:t>标项名称</w:t>
            </w:r>
          </w:p>
        </w:tc>
        <w:tc>
          <w:tcPr>
            <w:tcW w:w="2046" w:type="dxa"/>
            <w:vAlign w:val="center"/>
          </w:tcPr>
          <w:p w14:paraId="0FF49EA0">
            <w:pPr>
              <w:spacing w:after="0" w:line="360" w:lineRule="auto"/>
              <w:jc w:val="center"/>
              <w:rPr>
                <w:rFonts w:ascii="宋体" w:hAnsi="宋体" w:cs="宋体"/>
                <w:b/>
                <w:bCs/>
                <w:kern w:val="0"/>
                <w:sz w:val="24"/>
              </w:rPr>
            </w:pPr>
            <w:r>
              <w:rPr>
                <w:rFonts w:hint="eastAsia" w:ascii="宋体" w:hAnsi="宋体" w:cs="宋体"/>
                <w:b/>
                <w:bCs/>
                <w:kern w:val="0"/>
                <w:sz w:val="24"/>
              </w:rPr>
              <w:t>标项最高限价</w:t>
            </w:r>
          </w:p>
          <w:p w14:paraId="6C333147">
            <w:pPr>
              <w:spacing w:after="0" w:line="360" w:lineRule="auto"/>
              <w:jc w:val="center"/>
              <w:rPr>
                <w:rFonts w:ascii="宋体" w:hAnsi="宋体" w:cs="宋体"/>
                <w:b/>
                <w:bCs/>
                <w:kern w:val="0"/>
                <w:sz w:val="24"/>
              </w:rPr>
            </w:pPr>
            <w:r>
              <w:rPr>
                <w:rFonts w:hint="eastAsia" w:ascii="宋体" w:hAnsi="宋体" w:cs="宋体"/>
                <w:b/>
                <w:bCs/>
                <w:kern w:val="0"/>
                <w:sz w:val="24"/>
              </w:rPr>
              <w:t>（万元）</w:t>
            </w:r>
          </w:p>
        </w:tc>
      </w:tr>
      <w:tr w14:paraId="1CA6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80" w:type="dxa"/>
            <w:vAlign w:val="center"/>
          </w:tcPr>
          <w:p w14:paraId="49BB74F1">
            <w:pPr>
              <w:spacing w:after="0" w:line="240" w:lineRule="auto"/>
              <w:jc w:val="center"/>
              <w:rPr>
                <w:rFonts w:ascii="宋体" w:hAnsi="宋体" w:cs="宋体"/>
                <w:kern w:val="0"/>
                <w:sz w:val="24"/>
              </w:rPr>
            </w:pPr>
            <w:r>
              <w:rPr>
                <w:rFonts w:hint="eastAsia" w:ascii="宋体" w:hAnsi="宋体" w:cs="宋体"/>
                <w:kern w:val="0"/>
                <w:sz w:val="24"/>
              </w:rPr>
              <w:t>标项一</w:t>
            </w:r>
          </w:p>
        </w:tc>
        <w:tc>
          <w:tcPr>
            <w:tcW w:w="4643" w:type="dxa"/>
            <w:vAlign w:val="center"/>
          </w:tcPr>
          <w:p w14:paraId="18328768">
            <w:pPr>
              <w:spacing w:after="0" w:line="240" w:lineRule="auto"/>
              <w:jc w:val="center"/>
              <w:rPr>
                <w:rFonts w:ascii="宋体" w:hAnsi="宋体" w:cs="宋体"/>
                <w:sz w:val="24"/>
                <w:lang w:bidi="ar"/>
              </w:rPr>
            </w:pPr>
            <w:r>
              <w:rPr>
                <w:rFonts w:ascii="宋体" w:hAnsi="宋体" w:cs="宋体"/>
                <w:sz w:val="24"/>
              </w:rPr>
              <w:t>数据编目归集回流开放服务</w:t>
            </w:r>
          </w:p>
        </w:tc>
        <w:tc>
          <w:tcPr>
            <w:tcW w:w="2046" w:type="dxa"/>
            <w:vAlign w:val="center"/>
          </w:tcPr>
          <w:p w14:paraId="6DF6D0ED">
            <w:pPr>
              <w:spacing w:after="0" w:line="240" w:lineRule="auto"/>
              <w:jc w:val="center"/>
              <w:rPr>
                <w:rFonts w:ascii="宋体" w:hAnsi="宋体" w:cs="宋体"/>
                <w:sz w:val="24"/>
                <w:lang w:bidi="ar"/>
              </w:rPr>
            </w:pPr>
            <w:r>
              <w:rPr>
                <w:rFonts w:hint="eastAsia" w:ascii="宋体" w:hAnsi="宋体" w:cs="宋体"/>
                <w:sz w:val="24"/>
                <w:lang w:bidi="ar"/>
              </w:rPr>
              <w:t>377</w:t>
            </w:r>
          </w:p>
        </w:tc>
      </w:tr>
      <w:tr w14:paraId="470A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80" w:type="dxa"/>
            <w:vAlign w:val="center"/>
          </w:tcPr>
          <w:p w14:paraId="64F71CF7">
            <w:pPr>
              <w:spacing w:after="0" w:line="240" w:lineRule="auto"/>
              <w:jc w:val="center"/>
              <w:rPr>
                <w:rFonts w:ascii="宋体" w:hAnsi="宋体" w:cs="宋体"/>
                <w:sz w:val="24"/>
                <w:lang w:bidi="ar"/>
              </w:rPr>
            </w:pPr>
            <w:r>
              <w:rPr>
                <w:rFonts w:hint="eastAsia" w:ascii="宋体" w:hAnsi="宋体" w:cs="宋体"/>
                <w:sz w:val="24"/>
                <w:lang w:bidi="ar"/>
              </w:rPr>
              <w:t>标项二</w:t>
            </w:r>
          </w:p>
        </w:tc>
        <w:tc>
          <w:tcPr>
            <w:tcW w:w="4643" w:type="dxa"/>
            <w:vAlign w:val="center"/>
          </w:tcPr>
          <w:p w14:paraId="410AE66D">
            <w:pPr>
              <w:spacing w:after="0" w:line="240" w:lineRule="auto"/>
              <w:jc w:val="center"/>
              <w:rPr>
                <w:rFonts w:ascii="宋体" w:hAnsi="宋体" w:cs="宋体"/>
                <w:sz w:val="24"/>
                <w:lang w:bidi="ar"/>
              </w:rPr>
            </w:pPr>
            <w:r>
              <w:rPr>
                <w:rFonts w:hint="eastAsia" w:ascii="宋体" w:hAnsi="宋体" w:cs="宋体"/>
                <w:sz w:val="24"/>
                <w:lang w:bidi="ar"/>
              </w:rPr>
              <w:t>公共数据共享开发利用运营服务</w:t>
            </w:r>
          </w:p>
        </w:tc>
        <w:tc>
          <w:tcPr>
            <w:tcW w:w="2046" w:type="dxa"/>
            <w:vAlign w:val="center"/>
          </w:tcPr>
          <w:p w14:paraId="026D8FB4">
            <w:pPr>
              <w:spacing w:after="0" w:line="240" w:lineRule="auto"/>
              <w:jc w:val="center"/>
              <w:rPr>
                <w:rFonts w:ascii="宋体" w:hAnsi="宋体" w:cs="宋体"/>
                <w:sz w:val="24"/>
                <w:lang w:bidi="ar"/>
              </w:rPr>
            </w:pPr>
            <w:r>
              <w:rPr>
                <w:rFonts w:hint="eastAsia" w:ascii="宋体" w:hAnsi="宋体" w:cs="宋体"/>
                <w:sz w:val="24"/>
                <w:lang w:bidi="ar"/>
              </w:rPr>
              <w:t>32</w:t>
            </w:r>
            <w:r>
              <w:rPr>
                <w:rFonts w:ascii="宋体" w:hAnsi="宋体" w:cs="宋体"/>
                <w:sz w:val="24"/>
                <w:lang w:bidi="ar"/>
              </w:rPr>
              <w:t>8.5</w:t>
            </w:r>
          </w:p>
        </w:tc>
      </w:tr>
      <w:tr w14:paraId="114C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80" w:type="dxa"/>
            <w:vAlign w:val="center"/>
          </w:tcPr>
          <w:p w14:paraId="35049F26">
            <w:pPr>
              <w:spacing w:after="0" w:line="240" w:lineRule="auto"/>
              <w:jc w:val="center"/>
              <w:rPr>
                <w:rFonts w:ascii="宋体" w:hAnsi="宋体" w:cs="宋体"/>
                <w:sz w:val="24"/>
                <w:lang w:bidi="ar"/>
              </w:rPr>
            </w:pPr>
            <w:r>
              <w:rPr>
                <w:rFonts w:hint="eastAsia" w:ascii="宋体" w:hAnsi="宋体" w:cs="宋体"/>
                <w:sz w:val="24"/>
                <w:lang w:bidi="ar"/>
              </w:rPr>
              <w:t>标项三</w:t>
            </w:r>
          </w:p>
        </w:tc>
        <w:tc>
          <w:tcPr>
            <w:tcW w:w="4643" w:type="dxa"/>
            <w:vAlign w:val="center"/>
          </w:tcPr>
          <w:p w14:paraId="17AD149E">
            <w:pPr>
              <w:spacing w:after="0" w:line="240" w:lineRule="auto"/>
              <w:jc w:val="center"/>
              <w:rPr>
                <w:rFonts w:ascii="宋体" w:hAnsi="宋体" w:cs="宋体"/>
                <w:sz w:val="24"/>
                <w:lang w:bidi="ar"/>
              </w:rPr>
            </w:pPr>
            <w:r>
              <w:rPr>
                <w:rFonts w:hint="eastAsia" w:ascii="宋体" w:hAnsi="宋体" w:cs="宋体"/>
                <w:sz w:val="24"/>
                <w:lang w:bidi="ar"/>
              </w:rPr>
              <w:t>公共数据授权和组件运营服务</w:t>
            </w:r>
          </w:p>
        </w:tc>
        <w:tc>
          <w:tcPr>
            <w:tcW w:w="2046" w:type="dxa"/>
            <w:vAlign w:val="center"/>
          </w:tcPr>
          <w:p w14:paraId="18D01934">
            <w:pPr>
              <w:spacing w:after="0" w:line="240" w:lineRule="auto"/>
              <w:jc w:val="center"/>
              <w:rPr>
                <w:rFonts w:ascii="宋体" w:hAnsi="宋体" w:cs="宋体"/>
                <w:sz w:val="24"/>
                <w:lang w:bidi="ar"/>
              </w:rPr>
            </w:pPr>
            <w:r>
              <w:rPr>
                <w:rFonts w:hint="eastAsia" w:ascii="宋体" w:hAnsi="宋体" w:cs="宋体"/>
                <w:sz w:val="24"/>
                <w:lang w:bidi="ar"/>
              </w:rPr>
              <w:t>2</w:t>
            </w:r>
            <w:r>
              <w:rPr>
                <w:rFonts w:ascii="宋体" w:hAnsi="宋体" w:cs="宋体"/>
                <w:sz w:val="24"/>
                <w:lang w:bidi="ar"/>
              </w:rPr>
              <w:t>00</w:t>
            </w:r>
          </w:p>
        </w:tc>
      </w:tr>
      <w:tr w14:paraId="17B1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80" w:type="dxa"/>
            <w:vAlign w:val="center"/>
          </w:tcPr>
          <w:p w14:paraId="5C80D9CA">
            <w:pPr>
              <w:spacing w:after="0" w:line="240" w:lineRule="auto"/>
              <w:jc w:val="center"/>
              <w:rPr>
                <w:rFonts w:ascii="宋体" w:hAnsi="宋体" w:cs="宋体"/>
                <w:sz w:val="24"/>
                <w:lang w:bidi="ar"/>
              </w:rPr>
            </w:pPr>
            <w:r>
              <w:rPr>
                <w:rFonts w:hint="eastAsia" w:ascii="宋体" w:hAnsi="宋体" w:cs="宋体"/>
                <w:sz w:val="24"/>
                <w:lang w:bidi="ar"/>
              </w:rPr>
              <w:t>标项四</w:t>
            </w:r>
          </w:p>
        </w:tc>
        <w:tc>
          <w:tcPr>
            <w:tcW w:w="4643" w:type="dxa"/>
            <w:vAlign w:val="center"/>
          </w:tcPr>
          <w:p w14:paraId="0E53608F">
            <w:pPr>
              <w:spacing w:after="0" w:line="240" w:lineRule="auto"/>
              <w:jc w:val="center"/>
              <w:rPr>
                <w:rFonts w:ascii="宋体" w:hAnsi="宋体" w:cs="宋体"/>
                <w:sz w:val="24"/>
                <w:lang w:bidi="ar"/>
              </w:rPr>
            </w:pPr>
            <w:r>
              <w:rPr>
                <w:rFonts w:hint="eastAsia" w:ascii="宋体" w:hAnsi="宋体" w:cs="宋体"/>
                <w:sz w:val="24"/>
                <w:lang w:bidi="ar"/>
              </w:rPr>
              <w:t>数据治理和数据仓服务</w:t>
            </w:r>
          </w:p>
        </w:tc>
        <w:tc>
          <w:tcPr>
            <w:tcW w:w="2046" w:type="dxa"/>
            <w:vAlign w:val="center"/>
          </w:tcPr>
          <w:p w14:paraId="15D8700A">
            <w:pPr>
              <w:spacing w:after="0" w:line="240" w:lineRule="auto"/>
              <w:jc w:val="center"/>
              <w:rPr>
                <w:rFonts w:ascii="宋体" w:hAnsi="宋体" w:cs="宋体"/>
                <w:sz w:val="24"/>
                <w:lang w:bidi="ar"/>
              </w:rPr>
            </w:pPr>
            <w:r>
              <w:rPr>
                <w:rFonts w:hint="eastAsia" w:ascii="宋体" w:hAnsi="宋体" w:cs="宋体"/>
                <w:sz w:val="24"/>
                <w:lang w:bidi="ar"/>
              </w:rPr>
              <w:t>1</w:t>
            </w:r>
            <w:r>
              <w:rPr>
                <w:rFonts w:ascii="宋体" w:hAnsi="宋体" w:cs="宋体"/>
                <w:sz w:val="24"/>
                <w:lang w:bidi="ar"/>
              </w:rPr>
              <w:t>43.5</w:t>
            </w:r>
          </w:p>
        </w:tc>
      </w:tr>
      <w:tr w14:paraId="115B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80" w:type="dxa"/>
            <w:vAlign w:val="center"/>
          </w:tcPr>
          <w:p w14:paraId="12783902">
            <w:pPr>
              <w:spacing w:after="0" w:line="240" w:lineRule="auto"/>
              <w:jc w:val="center"/>
              <w:rPr>
                <w:rFonts w:ascii="宋体" w:hAnsi="宋体" w:cs="宋体"/>
                <w:sz w:val="24"/>
                <w:lang w:bidi="ar"/>
              </w:rPr>
            </w:pPr>
            <w:r>
              <w:rPr>
                <w:rFonts w:hint="eastAsia" w:ascii="宋体" w:hAnsi="宋体" w:cs="宋体"/>
                <w:sz w:val="24"/>
                <w:lang w:bidi="ar"/>
              </w:rPr>
              <w:t>标项五</w:t>
            </w:r>
          </w:p>
        </w:tc>
        <w:tc>
          <w:tcPr>
            <w:tcW w:w="4643" w:type="dxa"/>
            <w:vAlign w:val="center"/>
          </w:tcPr>
          <w:p w14:paraId="23753491">
            <w:pPr>
              <w:spacing w:after="0" w:line="240" w:lineRule="auto"/>
              <w:jc w:val="center"/>
              <w:rPr>
                <w:rFonts w:ascii="宋体" w:hAnsi="宋体" w:cs="宋体"/>
                <w:sz w:val="24"/>
                <w:lang w:bidi="ar"/>
              </w:rPr>
            </w:pPr>
            <w:r>
              <w:rPr>
                <w:rFonts w:hint="eastAsia" w:ascii="宋体" w:hAnsi="宋体" w:cs="宋体"/>
                <w:sz w:val="24"/>
                <w:lang w:bidi="ar"/>
              </w:rPr>
              <w:t>数字化顶层设计运营服务</w:t>
            </w:r>
          </w:p>
        </w:tc>
        <w:tc>
          <w:tcPr>
            <w:tcW w:w="2046" w:type="dxa"/>
            <w:vAlign w:val="center"/>
          </w:tcPr>
          <w:p w14:paraId="4762579F">
            <w:pPr>
              <w:spacing w:after="0" w:line="240" w:lineRule="auto"/>
              <w:jc w:val="center"/>
              <w:rPr>
                <w:rFonts w:ascii="宋体" w:hAnsi="宋体" w:cs="宋体"/>
                <w:sz w:val="24"/>
                <w:lang w:bidi="ar"/>
              </w:rPr>
            </w:pPr>
            <w:r>
              <w:rPr>
                <w:rFonts w:hint="eastAsia" w:ascii="宋体" w:hAnsi="宋体" w:cs="宋体"/>
                <w:sz w:val="24"/>
                <w:lang w:bidi="ar"/>
              </w:rPr>
              <w:t>55</w:t>
            </w:r>
          </w:p>
        </w:tc>
      </w:tr>
    </w:tbl>
    <w:p w14:paraId="38C7E002">
      <w:pPr>
        <w:rPr>
          <w:rFonts w:ascii="宋体" w:hAnsi="宋体" w:cs="宋体"/>
        </w:rPr>
      </w:pPr>
    </w:p>
    <w:p w14:paraId="1110F46F">
      <w:pPr>
        <w:pStyle w:val="5"/>
        <w:ind w:left="0" w:firstLine="0"/>
        <w:rPr>
          <w:rFonts w:ascii="宋体" w:hAnsi="宋体" w:eastAsia="宋体" w:cs="宋体"/>
          <w:sz w:val="24"/>
          <w:lang w:val="en-US" w:bidi="ar"/>
        </w:rPr>
      </w:pPr>
      <w:r>
        <w:rPr>
          <w:rFonts w:hint="eastAsia" w:ascii="宋体" w:hAnsi="宋体" w:eastAsia="宋体" w:cs="宋体"/>
          <w:sz w:val="24"/>
          <w:lang w:val="en-US" w:bidi="ar"/>
        </w:rPr>
        <w:t>三、服务内容</w:t>
      </w:r>
    </w:p>
    <w:p w14:paraId="70E56897">
      <w:pPr>
        <w:pStyle w:val="5"/>
        <w:ind w:left="0" w:firstLine="0"/>
        <w:jc w:val="center"/>
        <w:rPr>
          <w:rFonts w:ascii="宋体" w:hAnsi="宋体" w:eastAsia="宋体" w:cs="宋体"/>
          <w:sz w:val="24"/>
          <w:lang w:val="en-US" w:bidi="ar"/>
        </w:rPr>
      </w:pPr>
      <w:r>
        <w:rPr>
          <w:rFonts w:hint="eastAsia" w:ascii="宋体" w:hAnsi="宋体" w:eastAsia="宋体" w:cs="宋体"/>
          <w:sz w:val="24"/>
          <w:lang w:val="en-US" w:bidi="ar"/>
        </w:rPr>
        <w:t>标项一 数据编目归集回流开放服务</w:t>
      </w:r>
    </w:p>
    <w:p w14:paraId="344BD99D">
      <w:pPr>
        <w:pStyle w:val="6"/>
        <w:spacing w:before="0" w:after="0" w:line="360" w:lineRule="auto"/>
        <w:ind w:left="0" w:firstLine="0"/>
        <w:rPr>
          <w:rFonts w:ascii="宋体" w:hAnsi="宋体" w:cs="宋体"/>
          <w:sz w:val="24"/>
          <w:lang w:bidi="ar"/>
        </w:rPr>
      </w:pPr>
      <w:r>
        <w:rPr>
          <w:rFonts w:hint="eastAsia" w:ascii="宋体" w:hAnsi="宋体" w:cs="宋体"/>
          <w:sz w:val="24"/>
          <w:lang w:bidi="ar"/>
        </w:rPr>
        <w:t>（一）项目概况</w:t>
      </w:r>
    </w:p>
    <w:p w14:paraId="48DFD39C">
      <w:pPr>
        <w:spacing w:line="360" w:lineRule="auto"/>
        <w:ind w:firstLine="480"/>
        <w:rPr>
          <w:rFonts w:ascii="宋体" w:hAnsi="宋体" w:cs="宋体"/>
          <w:sz w:val="24"/>
          <w:lang w:bidi="ar"/>
        </w:rPr>
      </w:pPr>
      <w:r>
        <w:rPr>
          <w:rFonts w:hint="eastAsia" w:ascii="宋体" w:hAnsi="宋体" w:cs="宋体"/>
          <w:sz w:val="24"/>
          <w:lang w:bidi="ar"/>
        </w:rPr>
        <w:t>本项目主要包括数据目录服务、数据归集服务、数据回流服务、数据开放服务、数据易用性服务、一表通服务六项服务。</w:t>
      </w:r>
    </w:p>
    <w:p w14:paraId="2B4A4985">
      <w:pPr>
        <w:spacing w:line="360" w:lineRule="auto"/>
        <w:ind w:firstLine="480"/>
        <w:rPr>
          <w:rFonts w:ascii="宋体" w:hAnsi="宋体" w:cs="宋体"/>
          <w:sz w:val="24"/>
          <w:lang w:bidi="ar"/>
        </w:rPr>
      </w:pPr>
      <w:r>
        <w:rPr>
          <w:rFonts w:hint="eastAsia" w:ascii="宋体" w:hAnsi="宋体" w:cs="宋体"/>
          <w:sz w:val="24"/>
          <w:lang w:bidi="ar"/>
        </w:rPr>
        <w:t>数据目录服务是“全量全要素”数据汇聚的基础。余杭区已上架目录3000余条、开放目录200余条，但在日常工作中发现数据目录编制不全面、不完备、不准确与资源配置效率不高等问题。因此为进一步强化数据集成、底账梳理、规范审核，实现全覆盖的数据目录体系，需要数据目录服务为全区数据资源的统筹协调、提质增效提供基础支撑。</w:t>
      </w:r>
    </w:p>
    <w:p w14:paraId="0D0837F4">
      <w:pPr>
        <w:spacing w:line="360" w:lineRule="auto"/>
        <w:ind w:firstLine="480"/>
        <w:rPr>
          <w:rFonts w:ascii="宋体" w:hAnsi="宋体" w:cs="宋体"/>
          <w:sz w:val="24"/>
          <w:lang w:bidi="ar"/>
        </w:rPr>
      </w:pPr>
      <w:r>
        <w:rPr>
          <w:rFonts w:hint="eastAsia" w:ascii="宋体" w:hAnsi="宋体" w:cs="宋体"/>
          <w:sz w:val="24"/>
          <w:lang w:bidi="ar"/>
        </w:rPr>
        <w:t>数据归集是一个常态化持续的内容，是加强数据汇聚、进一步夯实数字化改革数字底座的重要工作。2023年余杭区公共数据平台里已建设42个部门仓，完成归集60</w:t>
      </w:r>
      <w:r>
        <w:rPr>
          <w:rFonts w:ascii="宋体" w:hAnsi="宋体" w:cs="宋体"/>
          <w:sz w:val="24"/>
          <w:lang w:bidi="ar"/>
        </w:rPr>
        <w:t>个</w:t>
      </w:r>
      <w:r>
        <w:rPr>
          <w:rFonts w:hint="eastAsia" w:ascii="宋体" w:hAnsi="宋体" w:cs="宋体"/>
          <w:sz w:val="24"/>
          <w:lang w:bidi="ar"/>
        </w:rPr>
        <w:t>系统，700张表和1200</w:t>
      </w:r>
      <w:r>
        <w:rPr>
          <w:rFonts w:ascii="宋体" w:hAnsi="宋体" w:cs="宋体"/>
          <w:sz w:val="24"/>
          <w:lang w:bidi="ar"/>
        </w:rPr>
        <w:t>个</w:t>
      </w:r>
      <w:r>
        <w:rPr>
          <w:rFonts w:hint="eastAsia" w:ascii="宋体" w:hAnsi="宋体" w:cs="宋体"/>
          <w:sz w:val="24"/>
          <w:lang w:bidi="ar"/>
        </w:rPr>
        <w:t>数据归集任务。数据归集工作将持续开展，包括响应新增归集、归集变更、归集任务日常巡检、数据归集工作指南迭代等，实现“全量全要素”归集。</w:t>
      </w:r>
    </w:p>
    <w:p w14:paraId="37FF0E9C">
      <w:pPr>
        <w:spacing w:line="360" w:lineRule="auto"/>
        <w:ind w:firstLine="480"/>
        <w:rPr>
          <w:rFonts w:ascii="宋体" w:hAnsi="宋体" w:cs="宋体"/>
          <w:sz w:val="24"/>
          <w:lang w:bidi="ar"/>
        </w:rPr>
      </w:pPr>
      <w:r>
        <w:rPr>
          <w:rFonts w:hint="eastAsia" w:ascii="宋体" w:hAnsi="宋体" w:cs="宋体"/>
          <w:sz w:val="24"/>
          <w:lang w:bidi="ar"/>
        </w:rPr>
        <w:t>数据回流是指在省公共数据的地域划分后，按需下发至数据所属设区市、县区公共数据平台的过程。2023年余杭区公共数据平台累计回流数据744张表。数据回流工作将持续开展，包括新增数据回流，回流链路稳定性保障等。</w:t>
      </w:r>
    </w:p>
    <w:p w14:paraId="0903941E">
      <w:pPr>
        <w:spacing w:line="360" w:lineRule="auto"/>
        <w:ind w:firstLine="480"/>
        <w:rPr>
          <w:rFonts w:ascii="宋体" w:hAnsi="宋体" w:cs="宋体"/>
          <w:sz w:val="24"/>
          <w:lang w:bidi="ar"/>
        </w:rPr>
      </w:pPr>
      <w:r>
        <w:rPr>
          <w:rFonts w:hint="eastAsia" w:ascii="宋体" w:hAnsi="宋体" w:cs="宋体"/>
          <w:sz w:val="24"/>
          <w:lang w:bidi="ar"/>
        </w:rPr>
        <w:t>数据开放服务是持续落实公共数据开放要求和标准，确保数据开放的合规性和可持续性，满足各部门和应用的数据需求的重要工作。2023年余杭区公共数据平台累计完成开放数据目录230条以及对应的处理任务230个。随着数据要素市场化进程的不断推进和完善，需要持续开展数据开放服务，包括新增开放数据空值处理、数据脱敏、任务运维等。</w:t>
      </w:r>
    </w:p>
    <w:p w14:paraId="48667A7A">
      <w:pPr>
        <w:spacing w:line="360" w:lineRule="auto"/>
        <w:ind w:firstLine="480"/>
        <w:rPr>
          <w:rFonts w:ascii="宋体" w:hAnsi="宋体" w:cs="宋体"/>
          <w:sz w:val="24"/>
          <w:lang w:bidi="ar"/>
        </w:rPr>
      </w:pPr>
      <w:r>
        <w:rPr>
          <w:rFonts w:hint="eastAsia" w:ascii="宋体" w:hAnsi="宋体" w:cs="宋体"/>
          <w:sz w:val="24"/>
          <w:lang w:bidi="ar"/>
        </w:rPr>
        <w:t>数据易用性通过数据指南展示数据范围、关联业务表、取数逻辑、数据字典信息、表结构修改记录、示例数据等数据需求单位关心的数据关键要素信息，有效提升数据目录的好用易用性，帮助数据需求单位在前期数据需求调研阶段更深入了解目录，以判断是否符合应用系统的建设需求。余杭区累计已完成57个数据目录的指南编写，仍有大量目录尚未配置数据指南信息，需延续工作包括技术支持服务、数据指南实施对接、历史数据指南运营和维护等。</w:t>
      </w:r>
    </w:p>
    <w:p w14:paraId="4F40D65E">
      <w:pPr>
        <w:numPr>
          <w:ilvl w:val="255"/>
          <w:numId w:val="0"/>
        </w:numPr>
        <w:spacing w:line="360" w:lineRule="auto"/>
        <w:ind w:firstLine="480"/>
        <w:rPr>
          <w:rFonts w:ascii="宋体" w:hAnsi="宋体" w:cs="宋体"/>
          <w:sz w:val="24"/>
          <w:lang w:bidi="ar"/>
        </w:rPr>
      </w:pPr>
      <w:r>
        <w:rPr>
          <w:rFonts w:hint="eastAsia" w:ascii="宋体" w:hAnsi="宋体" w:cs="宋体"/>
          <w:sz w:val="24"/>
          <w:lang w:bidi="ar"/>
        </w:rPr>
        <w:t>一表通服务，通过对业务报表打碎整合，将基层工作人员从繁杂的填报工作中解放出来，真正实现少填报、少负担，提升基层工作效率。因此，需要报表信息收集、报表信息梳理、报表字段配置、报表权限配置流程展开等相关服务。</w:t>
      </w:r>
    </w:p>
    <w:p w14:paraId="7E70E206">
      <w:pPr>
        <w:pStyle w:val="6"/>
        <w:spacing w:before="0" w:after="0" w:line="360" w:lineRule="auto"/>
        <w:ind w:left="0" w:firstLine="0"/>
        <w:rPr>
          <w:rFonts w:ascii="宋体" w:hAnsi="宋体" w:cs="宋体"/>
          <w:sz w:val="24"/>
          <w:lang w:bidi="ar"/>
        </w:rPr>
      </w:pPr>
      <w:r>
        <w:rPr>
          <w:rFonts w:hint="eastAsia" w:ascii="宋体" w:hAnsi="宋体" w:cs="宋体"/>
          <w:sz w:val="24"/>
          <w:lang w:bidi="ar"/>
        </w:rPr>
        <w:t>（二）项目服务内容</w:t>
      </w:r>
    </w:p>
    <w:p w14:paraId="1705929A">
      <w:pPr>
        <w:spacing w:line="360" w:lineRule="auto"/>
        <w:ind w:firstLine="480"/>
        <w:rPr>
          <w:rFonts w:ascii="宋体" w:hAnsi="宋体" w:cs="宋体"/>
          <w:b/>
          <w:bCs/>
          <w:sz w:val="24"/>
          <w:lang w:bidi="ar"/>
        </w:rPr>
      </w:pPr>
      <w:r>
        <w:rPr>
          <w:rFonts w:hint="eastAsia" w:ascii="宋体" w:hAnsi="宋体" w:cs="宋体"/>
          <w:b/>
          <w:bCs/>
          <w:sz w:val="24"/>
          <w:lang w:bidi="ar"/>
        </w:rPr>
        <w:t>1、数据目录服务</w:t>
      </w:r>
    </w:p>
    <w:p w14:paraId="05E71EAB">
      <w:pPr>
        <w:spacing w:line="360" w:lineRule="auto"/>
        <w:ind w:firstLine="480"/>
        <w:rPr>
          <w:rFonts w:ascii="宋体" w:hAnsi="宋体" w:cs="宋体"/>
          <w:sz w:val="24"/>
          <w:lang w:bidi="ar"/>
        </w:rPr>
      </w:pPr>
      <w:r>
        <w:rPr>
          <w:rFonts w:hint="eastAsia" w:ascii="宋体" w:hAnsi="宋体" w:cs="宋体"/>
          <w:sz w:val="24"/>
          <w:lang w:bidi="ar"/>
        </w:rPr>
        <w:t>具体包括数据探查服务、目录系统日常运营、专项目录编制、目录验收服务、标签运营服务、事项关联服务、开放目录编制服务、目录治理服务、应用目录质量检测服务等。</w:t>
      </w:r>
    </w:p>
    <w:p w14:paraId="37448AAF">
      <w:pPr>
        <w:spacing w:line="360" w:lineRule="auto"/>
        <w:ind w:firstLine="480"/>
        <w:rPr>
          <w:rFonts w:ascii="宋体" w:hAnsi="宋体" w:cs="宋体"/>
          <w:b/>
          <w:bCs/>
          <w:sz w:val="24"/>
          <w:lang w:bidi="ar"/>
        </w:rPr>
      </w:pPr>
      <w:r>
        <w:rPr>
          <w:rFonts w:hint="eastAsia" w:ascii="宋体" w:hAnsi="宋体" w:cs="宋体"/>
          <w:b/>
          <w:bCs/>
          <w:sz w:val="24"/>
          <w:lang w:bidi="ar"/>
        </w:rPr>
        <w:t>（1）数据探查服务</w:t>
      </w:r>
    </w:p>
    <w:p w14:paraId="18DF2F8D">
      <w:pPr>
        <w:spacing w:line="360" w:lineRule="auto"/>
        <w:ind w:firstLine="480"/>
        <w:rPr>
          <w:rFonts w:ascii="宋体" w:hAnsi="宋体" w:cs="宋体"/>
          <w:sz w:val="24"/>
          <w:lang w:bidi="ar"/>
        </w:rPr>
      </w:pPr>
      <w:r>
        <w:rPr>
          <w:rFonts w:hint="eastAsia" w:ascii="宋体" w:hAnsi="宋体" w:cs="宋体"/>
          <w:b/>
          <w:bCs/>
          <w:sz w:val="24"/>
          <w:lang w:bidi="ar"/>
        </w:rPr>
        <w:t>①数据探查系统对接实施服务</w:t>
      </w:r>
    </w:p>
    <w:p w14:paraId="15F0B5A9">
      <w:pPr>
        <w:spacing w:line="360" w:lineRule="auto"/>
        <w:ind w:firstLine="480"/>
        <w:rPr>
          <w:rFonts w:ascii="宋体" w:hAnsi="宋体" w:cs="宋体"/>
          <w:sz w:val="24"/>
          <w:lang w:bidi="ar"/>
        </w:rPr>
      </w:pPr>
      <w:r>
        <w:rPr>
          <w:rFonts w:hint="eastAsia" w:ascii="宋体" w:hAnsi="宋体" w:cs="宋体"/>
          <w:sz w:val="24"/>
          <w:lang w:bidi="ar"/>
        </w:rPr>
        <w:t>完成应用系统对接数据探查系统的全流程工作，包括系统对接前的可行性评估、数源部门账户和权限管理、数据源接入支撑、探查任务配置、元数据标记支撑、目录完善支撑等。需要完成不少于30个系统的对接。</w:t>
      </w:r>
    </w:p>
    <w:p w14:paraId="5E9DECA8">
      <w:pPr>
        <w:spacing w:line="360" w:lineRule="auto"/>
        <w:ind w:firstLine="480"/>
        <w:rPr>
          <w:rFonts w:ascii="宋体" w:hAnsi="宋体" w:cs="宋体"/>
          <w:b/>
          <w:bCs/>
          <w:sz w:val="24"/>
          <w:lang w:bidi="ar"/>
        </w:rPr>
      </w:pPr>
      <w:r>
        <w:rPr>
          <w:rFonts w:hint="eastAsia" w:ascii="宋体" w:hAnsi="宋体" w:cs="宋体"/>
          <w:b/>
          <w:bCs/>
          <w:sz w:val="24"/>
          <w:lang w:bidi="ar"/>
        </w:rPr>
        <w:t>②特殊对接方案制定</w:t>
      </w:r>
    </w:p>
    <w:p w14:paraId="75538E4A">
      <w:pPr>
        <w:spacing w:line="360" w:lineRule="auto"/>
        <w:ind w:firstLine="480"/>
        <w:rPr>
          <w:rFonts w:ascii="宋体" w:hAnsi="宋体" w:cs="宋体"/>
          <w:sz w:val="24"/>
          <w:lang w:bidi="ar"/>
        </w:rPr>
      </w:pPr>
      <w:r>
        <w:rPr>
          <w:rFonts w:hint="eastAsia" w:ascii="宋体" w:hAnsi="宋体" w:cs="宋体"/>
          <w:sz w:val="24"/>
          <w:lang w:bidi="ar"/>
        </w:rPr>
        <w:t>对于特殊环境的应用系统与数据探查系统对接，根据实际情况，制定适配解决方案。</w:t>
      </w:r>
    </w:p>
    <w:p w14:paraId="6963566A">
      <w:pPr>
        <w:spacing w:line="360" w:lineRule="auto"/>
        <w:ind w:firstLine="480"/>
        <w:rPr>
          <w:rFonts w:ascii="宋体" w:hAnsi="宋体" w:cs="宋体"/>
          <w:b/>
          <w:bCs/>
          <w:sz w:val="24"/>
          <w:lang w:bidi="ar"/>
        </w:rPr>
      </w:pPr>
      <w:r>
        <w:rPr>
          <w:rFonts w:hint="eastAsia" w:ascii="宋体" w:hAnsi="宋体" w:cs="宋体"/>
          <w:b/>
          <w:bCs/>
          <w:sz w:val="24"/>
          <w:lang w:bidi="ar"/>
        </w:rPr>
        <w:t>③历史探查任务运营维护</w:t>
      </w:r>
    </w:p>
    <w:p w14:paraId="1936E21A">
      <w:pPr>
        <w:spacing w:line="360" w:lineRule="auto"/>
        <w:ind w:firstLine="480"/>
        <w:rPr>
          <w:rFonts w:ascii="宋体" w:hAnsi="宋体" w:cs="宋体"/>
          <w:sz w:val="24"/>
          <w:lang w:bidi="ar"/>
        </w:rPr>
      </w:pPr>
      <w:r>
        <w:rPr>
          <w:rFonts w:hint="eastAsia" w:ascii="宋体" w:hAnsi="宋体" w:cs="宋体"/>
          <w:sz w:val="24"/>
          <w:lang w:bidi="ar"/>
        </w:rPr>
        <w:t>当检测到目录变更时，推送变更信息至数源部门，同时定期配合数源部门按需进行目录变更确认，保证数据目录的动态性。对因网络、白名单等原因引起的探查任务异常情况进行排查，及时解决问题。需要完成不少于100个历史探查任务的运营维护。</w:t>
      </w:r>
    </w:p>
    <w:p w14:paraId="3487D4C3">
      <w:pPr>
        <w:spacing w:line="360" w:lineRule="auto"/>
        <w:ind w:firstLine="480"/>
        <w:rPr>
          <w:rFonts w:ascii="宋体" w:hAnsi="宋体" w:cs="宋体"/>
          <w:b/>
          <w:bCs/>
          <w:sz w:val="24"/>
          <w:lang w:bidi="ar"/>
        </w:rPr>
      </w:pPr>
      <w:r>
        <w:rPr>
          <w:rFonts w:hint="eastAsia" w:ascii="宋体" w:hAnsi="宋体" w:cs="宋体"/>
          <w:b/>
          <w:bCs/>
          <w:sz w:val="24"/>
          <w:lang w:bidi="ar"/>
        </w:rPr>
        <w:t>（2）目录系统日常运营</w:t>
      </w:r>
    </w:p>
    <w:p w14:paraId="6F1F817C">
      <w:pPr>
        <w:spacing w:line="360" w:lineRule="auto"/>
        <w:ind w:firstLine="480"/>
        <w:rPr>
          <w:rFonts w:ascii="宋体" w:hAnsi="宋体" w:cs="宋体"/>
          <w:sz w:val="24"/>
          <w:lang w:bidi="ar"/>
        </w:rPr>
      </w:pPr>
      <w:r>
        <w:rPr>
          <w:rFonts w:hint="eastAsia" w:ascii="宋体" w:hAnsi="宋体" w:cs="宋体"/>
          <w:sz w:val="24"/>
          <w:lang w:bidi="ar"/>
        </w:rPr>
        <w:t>需要支撑全区范围内的公共数据目录编制。具体包括：新增数据目录审核（不少于500条目录、10000个数据项），并完成数据目录省市同步；回流数据目录分发、审核、跟踪；全区各部门数据编目、归集、开放等工作对接；区本级相关数据系统间对接、沟通；目录系统使用支撑、业务沟通。</w:t>
      </w:r>
    </w:p>
    <w:p w14:paraId="1BD5A47E">
      <w:pPr>
        <w:spacing w:line="360" w:lineRule="auto"/>
        <w:ind w:firstLine="480"/>
        <w:rPr>
          <w:rFonts w:ascii="宋体" w:hAnsi="宋体" w:cs="宋体"/>
          <w:b/>
          <w:bCs/>
          <w:sz w:val="24"/>
          <w:lang w:bidi="ar"/>
        </w:rPr>
      </w:pPr>
      <w:r>
        <w:rPr>
          <w:rFonts w:hint="eastAsia" w:ascii="宋体" w:hAnsi="宋体" w:cs="宋体"/>
          <w:b/>
          <w:bCs/>
          <w:sz w:val="24"/>
          <w:lang w:bidi="ar"/>
        </w:rPr>
        <w:t>（3）专项目录编制</w:t>
      </w:r>
    </w:p>
    <w:p w14:paraId="579FE6A4">
      <w:pPr>
        <w:spacing w:line="360" w:lineRule="auto"/>
        <w:ind w:firstLine="480"/>
        <w:rPr>
          <w:rFonts w:ascii="宋体" w:hAnsi="宋体" w:cs="宋体"/>
          <w:sz w:val="24"/>
          <w:lang w:bidi="ar"/>
        </w:rPr>
      </w:pPr>
      <w:r>
        <w:rPr>
          <w:rFonts w:hint="eastAsia" w:ascii="宋体" w:hAnsi="宋体" w:cs="宋体"/>
          <w:sz w:val="24"/>
          <w:lang w:bidi="ar"/>
        </w:rPr>
        <w:t>需要支撑全区范围内专项数据目录编制、规范审核等工作。具体包括：回流数据目录编制、审核支撑；专题库目录编制、审核支撑；社会数据编目、审核支撑；数据仓目录编制、审核支撑。</w:t>
      </w:r>
    </w:p>
    <w:p w14:paraId="63B56602">
      <w:pPr>
        <w:spacing w:line="360" w:lineRule="auto"/>
        <w:ind w:firstLine="480"/>
        <w:rPr>
          <w:rFonts w:ascii="宋体" w:hAnsi="宋体" w:cs="宋体"/>
          <w:b/>
          <w:bCs/>
          <w:sz w:val="24"/>
          <w:lang w:bidi="ar"/>
        </w:rPr>
      </w:pPr>
      <w:r>
        <w:rPr>
          <w:rFonts w:hint="eastAsia" w:ascii="宋体" w:hAnsi="宋体" w:cs="宋体"/>
          <w:b/>
          <w:bCs/>
          <w:sz w:val="24"/>
          <w:lang w:bidi="ar"/>
        </w:rPr>
        <w:t>（4）目录验收服务</w:t>
      </w:r>
    </w:p>
    <w:p w14:paraId="30F16FE3">
      <w:pPr>
        <w:spacing w:line="360" w:lineRule="auto"/>
        <w:ind w:firstLine="480"/>
        <w:rPr>
          <w:rFonts w:ascii="宋体" w:hAnsi="宋体" w:cs="宋体"/>
          <w:sz w:val="24"/>
          <w:lang w:bidi="ar"/>
        </w:rPr>
      </w:pPr>
      <w:r>
        <w:rPr>
          <w:rFonts w:hint="eastAsia" w:ascii="宋体" w:hAnsi="宋体" w:cs="宋体"/>
          <w:sz w:val="24"/>
          <w:lang w:bidi="ar"/>
        </w:rPr>
        <w:t>需要支撑部门进行数据目录编制、规范审核等，做好跟踪保障工作。具体包括：历史目录动态化管理，包括历史目录的修改、替换、注销等（不少于2000条、23000个数据项）；数据应编尽编验收，围绕非业务类应用开展处理（不少于50套应用）；数据一致性运维服务，涉及区内各平台数据目录、区内与省市数据目录底数不一致问题的定位与处理。</w:t>
      </w:r>
    </w:p>
    <w:p w14:paraId="1B02881B">
      <w:pPr>
        <w:spacing w:line="360" w:lineRule="auto"/>
        <w:ind w:firstLine="480"/>
        <w:rPr>
          <w:rFonts w:ascii="宋体" w:hAnsi="宋体" w:cs="宋体"/>
          <w:b/>
          <w:bCs/>
          <w:sz w:val="24"/>
          <w:lang w:bidi="ar"/>
        </w:rPr>
      </w:pPr>
      <w:r>
        <w:rPr>
          <w:rFonts w:hint="eastAsia" w:ascii="宋体" w:hAnsi="宋体" w:cs="宋体"/>
          <w:b/>
          <w:bCs/>
          <w:sz w:val="24"/>
          <w:lang w:bidi="ar"/>
        </w:rPr>
        <w:t>（5）标签运营服务（含数据统计分析）</w:t>
      </w:r>
    </w:p>
    <w:p w14:paraId="74477F9B">
      <w:pPr>
        <w:spacing w:line="360" w:lineRule="auto"/>
        <w:ind w:firstLine="480"/>
        <w:rPr>
          <w:rFonts w:ascii="宋体" w:hAnsi="宋体" w:cs="宋体"/>
          <w:b/>
          <w:bCs/>
          <w:sz w:val="24"/>
          <w:lang w:bidi="ar"/>
        </w:rPr>
      </w:pPr>
      <w:r>
        <w:rPr>
          <w:rFonts w:hint="eastAsia" w:ascii="宋体" w:hAnsi="宋体" w:cs="宋体"/>
          <w:sz w:val="24"/>
          <w:lang w:bidi="ar"/>
        </w:rPr>
        <w:t>需要对全区数据各类标签进行日常运营。具体包括：标签维护，对标签进行新增、变更、下架等操作；标签标注，对数据的各类标签准确性、完整性进行跟踪；标签数据分析，分析各资源达标情况、数据编目情况、新增数据类型、数据关联资源等；支撑省、市关于数据目录的相关工作并提供意见反馈。</w:t>
      </w:r>
    </w:p>
    <w:p w14:paraId="589B810B">
      <w:pPr>
        <w:spacing w:line="360" w:lineRule="auto"/>
        <w:ind w:firstLine="480"/>
        <w:rPr>
          <w:rFonts w:ascii="宋体" w:hAnsi="宋体" w:cs="宋体"/>
          <w:b/>
          <w:bCs/>
          <w:sz w:val="24"/>
          <w:lang w:bidi="ar"/>
        </w:rPr>
      </w:pPr>
      <w:r>
        <w:rPr>
          <w:rFonts w:hint="eastAsia" w:ascii="宋体" w:hAnsi="宋体" w:cs="宋体"/>
          <w:b/>
          <w:bCs/>
          <w:sz w:val="24"/>
          <w:lang w:bidi="ar"/>
        </w:rPr>
        <w:t>（6）事项关联服务</w:t>
      </w:r>
    </w:p>
    <w:p w14:paraId="0D8CEA72">
      <w:pPr>
        <w:spacing w:line="360" w:lineRule="auto"/>
        <w:ind w:firstLine="480"/>
        <w:rPr>
          <w:rFonts w:ascii="宋体" w:hAnsi="宋体" w:cs="宋体"/>
          <w:sz w:val="24"/>
          <w:lang w:bidi="ar"/>
        </w:rPr>
      </w:pPr>
      <w:r>
        <w:rPr>
          <w:rFonts w:hint="eastAsia" w:ascii="宋体" w:hAnsi="宋体" w:cs="宋体"/>
          <w:sz w:val="24"/>
          <w:lang w:bidi="ar"/>
        </w:rPr>
        <w:t>开展数据目录关联政务服务事项与全量全要素归集工作（目前共有依申请事项1889个，公共服务事项277个）。常态化推进实现数据目录覆盖依申请事项服务事项程度达100%、覆盖公共服务事项程度达65%。</w:t>
      </w:r>
    </w:p>
    <w:p w14:paraId="75E94ED4">
      <w:pPr>
        <w:spacing w:line="360" w:lineRule="auto"/>
        <w:ind w:firstLine="480"/>
        <w:rPr>
          <w:rFonts w:ascii="宋体" w:hAnsi="宋体" w:cs="宋体"/>
          <w:b/>
          <w:bCs/>
          <w:sz w:val="24"/>
          <w:lang w:bidi="ar"/>
        </w:rPr>
      </w:pPr>
      <w:r>
        <w:rPr>
          <w:rFonts w:hint="eastAsia" w:ascii="宋体" w:hAnsi="宋体" w:cs="宋体"/>
          <w:b/>
          <w:bCs/>
          <w:sz w:val="24"/>
          <w:lang w:bidi="ar"/>
        </w:rPr>
        <w:t>（7）开放目录编制服务</w:t>
      </w:r>
    </w:p>
    <w:p w14:paraId="4FA35019">
      <w:pPr>
        <w:spacing w:line="360" w:lineRule="auto"/>
        <w:ind w:firstLine="480"/>
        <w:rPr>
          <w:rFonts w:ascii="宋体" w:hAnsi="宋体" w:cs="宋体"/>
          <w:sz w:val="24"/>
          <w:lang w:bidi="ar"/>
        </w:rPr>
      </w:pPr>
      <w:r>
        <w:rPr>
          <w:rFonts w:hint="eastAsia" w:ascii="宋体" w:hAnsi="宋体" w:cs="宋体"/>
          <w:sz w:val="24"/>
          <w:lang w:bidi="ar"/>
        </w:rPr>
        <w:t>梳理部门存量开放清单以及建议开放的数据目录清单，针对无条件开放的数据，进行开放数据编目。具体包括：新增开放数据编目、历史开放数据校核、根据杭州市数据开放平台数据质量问题报告配合杭州市开放数据整改、对接上下游相关平台协调统筹各环节开放数据整改、开放数据动态维护。</w:t>
      </w:r>
    </w:p>
    <w:p w14:paraId="72C61DE8">
      <w:pPr>
        <w:spacing w:line="360" w:lineRule="auto"/>
        <w:ind w:firstLine="480"/>
        <w:rPr>
          <w:rFonts w:ascii="宋体" w:hAnsi="宋体" w:cs="宋体"/>
          <w:b/>
          <w:bCs/>
          <w:sz w:val="24"/>
          <w:lang w:bidi="ar"/>
        </w:rPr>
      </w:pPr>
      <w:r>
        <w:rPr>
          <w:rFonts w:hint="eastAsia" w:ascii="宋体" w:hAnsi="宋体" w:cs="宋体"/>
          <w:b/>
          <w:bCs/>
          <w:sz w:val="24"/>
          <w:lang w:bidi="ar"/>
        </w:rPr>
        <w:t>（8）目录治理服务</w:t>
      </w:r>
    </w:p>
    <w:p w14:paraId="58B5035E">
      <w:pPr>
        <w:spacing w:line="360" w:lineRule="auto"/>
        <w:ind w:firstLine="480"/>
        <w:rPr>
          <w:rFonts w:ascii="宋体" w:hAnsi="宋体" w:cs="宋体"/>
          <w:sz w:val="24"/>
          <w:lang w:bidi="ar"/>
        </w:rPr>
      </w:pPr>
      <w:r>
        <w:rPr>
          <w:rFonts w:hint="eastAsia" w:ascii="宋体" w:hAnsi="宋体" w:cs="宋体"/>
          <w:sz w:val="24"/>
          <w:lang w:bidi="ar"/>
        </w:rPr>
        <w:t>按照浙江省数据局承接的国家数据目录试点要素治理要求，组织对余杭区（至少2000条数据目录、32000个数据项）已编制的数据目录开展要素专项整改。具体包括：完善本地区数据目录要素规范（以省级下发为准）、按需组织全区数据目录治理培训、实施数据目录治理工作、审核数据目录编制质量、配合全量数据目录同步。</w:t>
      </w:r>
    </w:p>
    <w:p w14:paraId="5272DD04">
      <w:pPr>
        <w:spacing w:line="360" w:lineRule="auto"/>
        <w:ind w:firstLine="480"/>
        <w:rPr>
          <w:rFonts w:ascii="宋体" w:hAnsi="宋体" w:cs="宋体"/>
          <w:b/>
          <w:bCs/>
          <w:sz w:val="24"/>
          <w:lang w:bidi="ar"/>
        </w:rPr>
      </w:pPr>
      <w:r>
        <w:rPr>
          <w:rFonts w:hint="eastAsia" w:ascii="宋体" w:hAnsi="宋体" w:cs="宋体"/>
          <w:b/>
          <w:bCs/>
          <w:sz w:val="24"/>
          <w:lang w:bidi="ar"/>
        </w:rPr>
        <w:t>（9）应用目录质量检测服务</w:t>
      </w:r>
    </w:p>
    <w:p w14:paraId="5C2A4505">
      <w:pPr>
        <w:spacing w:line="360" w:lineRule="auto"/>
        <w:ind w:firstLine="480"/>
        <w:rPr>
          <w:rFonts w:ascii="宋体" w:hAnsi="宋体" w:cs="宋体"/>
          <w:sz w:val="24"/>
          <w:lang w:bidi="ar"/>
        </w:rPr>
      </w:pPr>
      <w:r>
        <w:rPr>
          <w:rFonts w:hint="eastAsia" w:ascii="宋体" w:hAnsi="宋体" w:cs="宋体"/>
          <w:sz w:val="24"/>
          <w:lang w:bidi="ar"/>
        </w:rPr>
        <w:t>对全区不少于150个应用开展应用目录质量检测服务与要素规范预警，清晰定位问题所在的要素并给出整改建议，在规定的整改期后复核应用目录整改情况，实施过程中，按需提供应用服务治理集中攻坚服务。具体包括：应用目录规范性检测、应用目录合理性治理、汇总编制应用目录质量检测清单等。</w:t>
      </w:r>
    </w:p>
    <w:p w14:paraId="499895E7">
      <w:pPr>
        <w:spacing w:line="360" w:lineRule="auto"/>
        <w:ind w:firstLine="480"/>
        <w:rPr>
          <w:rFonts w:ascii="宋体" w:hAnsi="宋体" w:cs="宋体"/>
          <w:b/>
          <w:bCs/>
          <w:sz w:val="24"/>
          <w:lang w:bidi="ar"/>
        </w:rPr>
      </w:pPr>
      <w:r>
        <w:rPr>
          <w:rFonts w:hint="eastAsia" w:ascii="宋体" w:hAnsi="宋体" w:cs="宋体"/>
          <w:b/>
          <w:bCs/>
          <w:sz w:val="24"/>
          <w:lang w:bidi="ar"/>
        </w:rPr>
        <w:t>2、数据归集服务</w:t>
      </w:r>
    </w:p>
    <w:p w14:paraId="55C2A2CE">
      <w:pPr>
        <w:spacing w:line="360" w:lineRule="auto"/>
        <w:ind w:firstLine="480"/>
        <w:rPr>
          <w:rFonts w:ascii="宋体" w:hAnsi="宋体" w:cs="宋体"/>
          <w:sz w:val="24"/>
          <w:lang w:bidi="ar"/>
        </w:rPr>
      </w:pPr>
      <w:r>
        <w:rPr>
          <w:rFonts w:hint="eastAsia" w:ascii="宋体" w:hAnsi="宋体" w:cs="宋体"/>
          <w:sz w:val="24"/>
          <w:lang w:bidi="ar"/>
        </w:rPr>
        <w:t>具体服务内容包括新增归集，归集链路变更，归集日常巡检等，完成新增/变更不少于500张表的数据归集任务。</w:t>
      </w:r>
    </w:p>
    <w:p w14:paraId="7B48F4EA">
      <w:pPr>
        <w:spacing w:line="360" w:lineRule="auto"/>
        <w:ind w:firstLine="480"/>
        <w:rPr>
          <w:rFonts w:ascii="宋体" w:hAnsi="宋体" w:cs="宋体"/>
          <w:b/>
          <w:bCs/>
          <w:sz w:val="24"/>
          <w:lang w:bidi="ar"/>
        </w:rPr>
      </w:pPr>
      <w:r>
        <w:rPr>
          <w:rFonts w:hint="eastAsia" w:ascii="宋体" w:hAnsi="宋体" w:cs="宋体"/>
          <w:b/>
          <w:bCs/>
          <w:sz w:val="24"/>
          <w:lang w:bidi="ar"/>
        </w:rPr>
        <w:t>（1）新增归集</w:t>
      </w:r>
    </w:p>
    <w:p w14:paraId="7DBFE685">
      <w:pPr>
        <w:spacing w:line="360" w:lineRule="auto"/>
        <w:ind w:firstLine="480"/>
        <w:rPr>
          <w:rFonts w:ascii="宋体" w:hAnsi="宋体" w:cs="宋体"/>
          <w:sz w:val="24"/>
          <w:lang w:bidi="ar"/>
        </w:rPr>
      </w:pPr>
      <w:r>
        <w:rPr>
          <w:rFonts w:hint="eastAsia" w:ascii="宋体" w:hAnsi="宋体" w:cs="宋体"/>
          <w:sz w:val="24"/>
          <w:lang w:bidi="ar"/>
        </w:rPr>
        <w:t>对接、支撑部门开展数据归集工作，具体包括：归集方案制定、数据源对接和网络开通、部门提交的归集工单审批、归集实施进展监督等。</w:t>
      </w:r>
    </w:p>
    <w:p w14:paraId="6AEA75D0">
      <w:pPr>
        <w:spacing w:line="360" w:lineRule="auto"/>
        <w:ind w:firstLine="480"/>
        <w:rPr>
          <w:rFonts w:ascii="宋体" w:hAnsi="宋体" w:cs="宋体"/>
          <w:b/>
          <w:bCs/>
          <w:sz w:val="24"/>
          <w:lang w:bidi="ar"/>
        </w:rPr>
      </w:pPr>
      <w:r>
        <w:rPr>
          <w:rFonts w:hint="eastAsia" w:ascii="宋体" w:hAnsi="宋体" w:cs="宋体"/>
          <w:b/>
          <w:bCs/>
          <w:sz w:val="24"/>
          <w:lang w:bidi="ar"/>
        </w:rPr>
        <w:t>（2）归集变更</w:t>
      </w:r>
    </w:p>
    <w:p w14:paraId="2405FD6D">
      <w:pPr>
        <w:spacing w:line="360" w:lineRule="auto"/>
        <w:ind w:firstLine="480"/>
        <w:rPr>
          <w:rFonts w:ascii="宋体" w:hAnsi="宋体" w:cs="宋体"/>
          <w:sz w:val="24"/>
          <w:lang w:bidi="ar"/>
        </w:rPr>
      </w:pPr>
      <w:r>
        <w:rPr>
          <w:rFonts w:hint="eastAsia" w:ascii="宋体" w:hAnsi="宋体" w:cs="宋体"/>
          <w:sz w:val="24"/>
          <w:lang w:bidi="ar"/>
        </w:rPr>
        <w:t>对于编目字段和归集字段不一致的目录，需要支撑部门发起重新归集。</w:t>
      </w:r>
    </w:p>
    <w:p w14:paraId="0F9EB8CF">
      <w:pPr>
        <w:spacing w:line="360" w:lineRule="auto"/>
        <w:ind w:firstLine="480"/>
        <w:rPr>
          <w:rFonts w:ascii="宋体" w:hAnsi="宋体" w:cs="宋体"/>
          <w:b/>
          <w:bCs/>
          <w:sz w:val="24"/>
          <w:lang w:bidi="ar"/>
        </w:rPr>
      </w:pPr>
      <w:r>
        <w:rPr>
          <w:rFonts w:hint="eastAsia" w:ascii="宋体" w:hAnsi="宋体" w:cs="宋体"/>
          <w:b/>
          <w:bCs/>
          <w:sz w:val="24"/>
          <w:lang w:bidi="ar"/>
        </w:rPr>
        <w:t>（3）归集日常巡检</w:t>
      </w:r>
    </w:p>
    <w:p w14:paraId="7F114DD2">
      <w:pPr>
        <w:spacing w:line="360" w:lineRule="auto"/>
        <w:ind w:firstLine="480"/>
        <w:rPr>
          <w:rFonts w:ascii="宋体" w:hAnsi="宋体" w:cs="宋体"/>
          <w:b/>
          <w:bCs/>
          <w:sz w:val="24"/>
          <w:lang w:bidi="ar"/>
        </w:rPr>
      </w:pPr>
      <w:r>
        <w:rPr>
          <w:rFonts w:hint="eastAsia" w:ascii="宋体" w:hAnsi="宋体" w:cs="宋体"/>
          <w:b/>
          <w:bCs/>
          <w:sz w:val="24"/>
          <w:lang w:bidi="ar"/>
        </w:rPr>
        <w:t>①归集和目录底数对齐</w:t>
      </w:r>
    </w:p>
    <w:p w14:paraId="5195C11C">
      <w:pPr>
        <w:spacing w:line="360" w:lineRule="auto"/>
        <w:ind w:firstLine="480"/>
        <w:rPr>
          <w:rFonts w:ascii="宋体" w:hAnsi="宋体" w:cs="宋体"/>
          <w:sz w:val="24"/>
          <w:lang w:bidi="ar"/>
        </w:rPr>
      </w:pPr>
      <w:r>
        <w:rPr>
          <w:rFonts w:hint="eastAsia" w:ascii="宋体" w:hAnsi="宋体" w:cs="宋体"/>
          <w:sz w:val="24"/>
          <w:lang w:bidi="ar"/>
        </w:rPr>
        <w:t>分析目录系统或目录主数据底数、归集系统底数、IRS目录数，找到未对齐目录差值，分析原因，进行修正和补偿，保障编目之后的数据归集及状态及时上报。</w:t>
      </w:r>
    </w:p>
    <w:p w14:paraId="1F93A4F1">
      <w:pPr>
        <w:spacing w:line="360" w:lineRule="auto"/>
        <w:ind w:firstLine="480"/>
        <w:rPr>
          <w:rFonts w:ascii="宋体" w:hAnsi="宋体" w:cs="宋体"/>
          <w:b/>
          <w:bCs/>
          <w:sz w:val="24"/>
          <w:lang w:bidi="ar"/>
        </w:rPr>
      </w:pPr>
      <w:r>
        <w:rPr>
          <w:rFonts w:hint="eastAsia" w:ascii="宋体" w:hAnsi="宋体" w:cs="宋体"/>
          <w:b/>
          <w:bCs/>
          <w:sz w:val="24"/>
          <w:lang w:bidi="ar"/>
        </w:rPr>
        <w:t>②归集质量巡检</w:t>
      </w:r>
    </w:p>
    <w:p w14:paraId="3B0761FD">
      <w:pPr>
        <w:spacing w:line="360" w:lineRule="auto"/>
        <w:ind w:firstLine="480"/>
        <w:rPr>
          <w:rFonts w:ascii="宋体" w:hAnsi="宋体" w:cs="宋体"/>
          <w:sz w:val="24"/>
          <w:lang w:bidi="ar"/>
        </w:rPr>
      </w:pPr>
      <w:r>
        <w:rPr>
          <w:rFonts w:hint="eastAsia" w:ascii="宋体" w:hAnsi="宋体" w:cs="宋体"/>
          <w:sz w:val="24"/>
          <w:lang w:bidi="ar"/>
        </w:rPr>
        <w:t>对归集任务运行状态和日志进行巡检，保障数据接入及时性和稳定性。分析归集报表，对各部门数据归集工作进行评分，并通报问题，推进数源单位和平台进行改进和优化。上报归集状态，排查IRS上目录是否按更新频率及时上报数据量，保障数据归集状态更新及时率。</w:t>
      </w:r>
    </w:p>
    <w:p w14:paraId="133F9C20">
      <w:pPr>
        <w:spacing w:line="360" w:lineRule="auto"/>
        <w:ind w:firstLine="480"/>
        <w:rPr>
          <w:rFonts w:ascii="宋体" w:hAnsi="宋体" w:cs="宋体"/>
          <w:b/>
          <w:bCs/>
          <w:sz w:val="24"/>
          <w:lang w:bidi="ar"/>
        </w:rPr>
      </w:pPr>
      <w:r>
        <w:rPr>
          <w:rFonts w:hint="eastAsia" w:ascii="宋体" w:hAnsi="宋体" w:cs="宋体"/>
          <w:b/>
          <w:bCs/>
          <w:sz w:val="24"/>
          <w:lang w:bidi="ar"/>
        </w:rPr>
        <w:t>（4）数据归集工作指南维护</w:t>
      </w:r>
    </w:p>
    <w:p w14:paraId="30C06C1F">
      <w:pPr>
        <w:spacing w:line="360" w:lineRule="auto"/>
        <w:ind w:firstLine="480"/>
        <w:rPr>
          <w:rFonts w:ascii="宋体" w:hAnsi="宋体" w:cs="宋体"/>
          <w:sz w:val="24"/>
          <w:lang w:bidi="ar"/>
        </w:rPr>
      </w:pPr>
      <w:r>
        <w:rPr>
          <w:rFonts w:hint="eastAsia" w:ascii="宋体" w:hAnsi="宋体" w:cs="宋体"/>
          <w:sz w:val="24"/>
          <w:lang w:bidi="ar"/>
        </w:rPr>
        <w:t>基于省市最新工作要求和公共数据平台功能迭代，更新操作手册与《公共数据归集工作指南》。</w:t>
      </w:r>
    </w:p>
    <w:p w14:paraId="6D824994">
      <w:pPr>
        <w:spacing w:line="360" w:lineRule="auto"/>
        <w:ind w:firstLine="480"/>
        <w:rPr>
          <w:rFonts w:ascii="宋体" w:hAnsi="宋体" w:cs="宋体"/>
          <w:b/>
          <w:bCs/>
          <w:sz w:val="24"/>
          <w:lang w:bidi="ar"/>
        </w:rPr>
      </w:pPr>
      <w:r>
        <w:rPr>
          <w:rFonts w:hint="eastAsia" w:ascii="宋体" w:hAnsi="宋体" w:cs="宋体"/>
          <w:b/>
          <w:bCs/>
          <w:sz w:val="24"/>
          <w:lang w:bidi="ar"/>
        </w:rPr>
        <w:t>3、数据回流服务</w:t>
      </w:r>
    </w:p>
    <w:p w14:paraId="2C79A1B1">
      <w:pPr>
        <w:spacing w:line="360" w:lineRule="auto"/>
        <w:ind w:firstLine="480"/>
        <w:rPr>
          <w:rFonts w:ascii="宋体" w:hAnsi="宋体" w:cs="宋体"/>
          <w:sz w:val="24"/>
          <w:lang w:bidi="ar"/>
        </w:rPr>
      </w:pPr>
      <w:r>
        <w:rPr>
          <w:rFonts w:hint="eastAsia" w:ascii="宋体" w:hAnsi="宋体" w:cs="宋体"/>
          <w:sz w:val="24"/>
          <w:lang w:bidi="ar"/>
        </w:rPr>
        <w:t>具体服务内容包括新增数据回流落库、历史回流任务维护、回流链路稳定性保障等，新增/变更不少于300张数据表，并完成市级回流链路改造，确保回流链路的稳定运行。</w:t>
      </w:r>
    </w:p>
    <w:p w14:paraId="10A0802B">
      <w:pPr>
        <w:spacing w:line="360" w:lineRule="auto"/>
        <w:ind w:firstLine="480"/>
        <w:rPr>
          <w:rFonts w:ascii="宋体" w:hAnsi="宋体" w:cs="宋体"/>
          <w:b/>
          <w:bCs/>
          <w:sz w:val="24"/>
          <w:lang w:bidi="ar"/>
        </w:rPr>
      </w:pPr>
      <w:r>
        <w:rPr>
          <w:rFonts w:hint="eastAsia" w:ascii="宋体" w:hAnsi="宋体" w:cs="宋体"/>
          <w:b/>
          <w:bCs/>
          <w:sz w:val="24"/>
          <w:lang w:bidi="ar"/>
        </w:rPr>
        <w:t>（1）新增/变更回流数据</w:t>
      </w:r>
    </w:p>
    <w:p w14:paraId="6EFF035D">
      <w:pPr>
        <w:spacing w:line="360" w:lineRule="auto"/>
        <w:ind w:firstLine="480"/>
        <w:rPr>
          <w:rFonts w:ascii="宋体" w:hAnsi="宋体" w:cs="宋体"/>
          <w:color w:val="000000"/>
          <w:sz w:val="24"/>
          <w:lang w:bidi="ar"/>
        </w:rPr>
      </w:pPr>
      <w:r>
        <w:rPr>
          <w:rFonts w:hint="eastAsia" w:ascii="宋体" w:hAnsi="宋体" w:cs="宋体"/>
          <w:color w:val="000000"/>
          <w:sz w:val="24"/>
          <w:lang w:bidi="ar"/>
        </w:rPr>
        <w:t>从市平台余杭区ODPS项目空间将回流数据同步到部门ODPS项目空间，再汇聚入余杭区本地总仓，并配置调度周期和任务告警监控。</w:t>
      </w:r>
    </w:p>
    <w:p w14:paraId="6802BF6C">
      <w:pPr>
        <w:widowControl/>
        <w:spacing w:after="0" w:line="360" w:lineRule="auto"/>
        <w:ind w:firstLine="480"/>
        <w:jc w:val="left"/>
        <w:rPr>
          <w:rFonts w:ascii="宋体" w:hAnsi="宋体" w:cs="宋体"/>
          <w:color w:val="000000"/>
          <w:sz w:val="24"/>
          <w:lang w:bidi="ar"/>
        </w:rPr>
      </w:pPr>
      <w:r>
        <w:rPr>
          <w:rFonts w:hint="eastAsia" w:ascii="宋体" w:hAnsi="宋体" w:cs="宋体"/>
          <w:color w:val="000000"/>
          <w:sz w:val="24"/>
          <w:lang w:bidi="ar"/>
        </w:rPr>
        <w:t>①按照省市数据回流的相关要求，记录回流目录台账并持续更新。</w:t>
      </w:r>
    </w:p>
    <w:p w14:paraId="66108F46">
      <w:pPr>
        <w:widowControl/>
        <w:spacing w:after="0" w:line="360" w:lineRule="auto"/>
        <w:ind w:firstLine="480"/>
        <w:jc w:val="left"/>
        <w:rPr>
          <w:rFonts w:ascii="宋体" w:hAnsi="宋体" w:cs="宋体"/>
          <w:color w:val="000000"/>
          <w:sz w:val="24"/>
          <w:lang w:bidi="ar"/>
        </w:rPr>
      </w:pPr>
      <w:r>
        <w:rPr>
          <w:rFonts w:hint="eastAsia" w:ascii="宋体" w:hAnsi="宋体" w:cs="宋体"/>
          <w:color w:val="000000"/>
          <w:sz w:val="24"/>
          <w:lang w:bidi="ar"/>
        </w:rPr>
        <w:t>②根据省市数据回流的相关要求，在杭州市一体化智能化公共数据平台中确认待回流数据已完成余杭区分域切片，并对该数据区域权限进行划分。</w:t>
      </w:r>
    </w:p>
    <w:p w14:paraId="7F083F16">
      <w:pPr>
        <w:widowControl/>
        <w:spacing w:after="0" w:line="360" w:lineRule="auto"/>
        <w:ind w:firstLine="480"/>
        <w:jc w:val="left"/>
        <w:rPr>
          <w:rFonts w:ascii="宋体" w:hAnsi="宋体" w:cs="宋体"/>
          <w:color w:val="000000"/>
          <w:sz w:val="24"/>
          <w:lang w:bidi="ar"/>
        </w:rPr>
      </w:pPr>
      <w:r>
        <w:rPr>
          <w:rFonts w:hint="eastAsia" w:ascii="宋体" w:hAnsi="宋体" w:cs="宋体"/>
          <w:color w:val="000000"/>
          <w:sz w:val="24"/>
          <w:lang w:bidi="ar"/>
        </w:rPr>
        <w:t>③根据省市回流数据安全保障要求，针对已经申请开通的回流数据，严格执行通过省IRS平台提交批量导出数据申请，再经市局审核的业务操作流程。</w:t>
      </w:r>
    </w:p>
    <w:p w14:paraId="24E33505">
      <w:pPr>
        <w:widowControl/>
        <w:spacing w:after="0" w:line="360" w:lineRule="auto"/>
        <w:ind w:firstLine="480"/>
        <w:jc w:val="left"/>
        <w:rPr>
          <w:rFonts w:ascii="宋体" w:hAnsi="宋体" w:cs="宋体"/>
          <w:color w:val="000000"/>
          <w:sz w:val="24"/>
          <w:lang w:bidi="ar"/>
        </w:rPr>
      </w:pPr>
      <w:r>
        <w:rPr>
          <w:rFonts w:hint="eastAsia" w:ascii="宋体" w:hAnsi="宋体" w:cs="宋体"/>
          <w:color w:val="000000"/>
          <w:sz w:val="24"/>
          <w:lang w:bidi="ar"/>
        </w:rPr>
        <w:t>④配置数据回流任务，将省市待回流数据从省市数仓拉取至余杭区级仓，实现新增回流目录数据的汇聚。</w:t>
      </w:r>
    </w:p>
    <w:p w14:paraId="7BD88742">
      <w:pPr>
        <w:widowControl/>
        <w:spacing w:after="0" w:line="360" w:lineRule="auto"/>
        <w:ind w:firstLine="480"/>
        <w:jc w:val="left"/>
        <w:rPr>
          <w:rFonts w:ascii="宋体" w:hAnsi="宋体" w:cs="宋体"/>
          <w:color w:val="000000"/>
          <w:sz w:val="24"/>
          <w:lang w:bidi="ar"/>
        </w:rPr>
      </w:pPr>
      <w:r>
        <w:rPr>
          <w:rFonts w:hint="eastAsia" w:ascii="宋体" w:hAnsi="宋体" w:cs="宋体"/>
          <w:color w:val="000000"/>
          <w:sz w:val="24"/>
          <w:lang w:bidi="ar"/>
        </w:rPr>
        <w:t>⑤根据数据回流任务的触发频率，在回流任务中配置调度周期及回流任务监控告警规则，实现回流任务的周期性自动触发，并能够对失败的回流任务进行告警。</w:t>
      </w:r>
    </w:p>
    <w:p w14:paraId="5E0898D6">
      <w:pPr>
        <w:widowControl/>
        <w:spacing w:line="300" w:lineRule="auto"/>
        <w:ind w:firstLine="480"/>
        <w:rPr>
          <w:rFonts w:ascii="宋体" w:hAnsi="宋体" w:cs="宋体"/>
          <w:color w:val="000000"/>
          <w:sz w:val="24"/>
          <w:lang w:bidi="ar"/>
        </w:rPr>
      </w:pPr>
      <w:r>
        <w:rPr>
          <w:rFonts w:hint="eastAsia" w:ascii="宋体" w:hAnsi="宋体" w:cs="宋体"/>
          <w:color w:val="000000"/>
          <w:sz w:val="24"/>
          <w:lang w:bidi="ar"/>
        </w:rPr>
        <w:t>⑥将新增回流数据目录状态及时上报至杭州市一体化智能化公共数据平台及省IRS平台。</w:t>
      </w:r>
    </w:p>
    <w:p w14:paraId="0F72AE01">
      <w:pPr>
        <w:spacing w:line="360" w:lineRule="auto"/>
        <w:ind w:firstLine="480"/>
        <w:rPr>
          <w:rFonts w:ascii="宋体" w:hAnsi="宋体" w:cs="宋体"/>
          <w:b/>
          <w:bCs/>
          <w:sz w:val="24"/>
          <w:lang w:bidi="ar"/>
        </w:rPr>
      </w:pPr>
      <w:r>
        <w:rPr>
          <w:rFonts w:hint="eastAsia" w:ascii="宋体" w:hAnsi="宋体" w:cs="宋体"/>
          <w:b/>
          <w:bCs/>
          <w:sz w:val="24"/>
          <w:lang w:bidi="ar"/>
        </w:rPr>
        <w:t>（2）保障回流链路稳定性的要求</w:t>
      </w:r>
    </w:p>
    <w:p w14:paraId="0A1A3FAD">
      <w:pPr>
        <w:spacing w:line="360" w:lineRule="auto"/>
        <w:ind w:firstLine="480"/>
        <w:rPr>
          <w:rFonts w:ascii="宋体" w:hAnsi="宋体" w:cs="宋体"/>
          <w:sz w:val="24"/>
          <w:lang w:bidi="ar"/>
        </w:rPr>
      </w:pPr>
      <w:r>
        <w:rPr>
          <w:rFonts w:hint="eastAsia" w:ascii="宋体" w:hAnsi="宋体" w:cs="宋体"/>
          <w:sz w:val="24"/>
          <w:lang w:bidi="ar"/>
        </w:rPr>
        <w:t>按照省市数据回流的相关要求，开展回流任务巡检、回流数据筛查、回流数据更新、回流切分巡检等工作。</w:t>
      </w:r>
    </w:p>
    <w:p w14:paraId="1063556A">
      <w:pPr>
        <w:spacing w:line="360" w:lineRule="auto"/>
        <w:ind w:firstLine="480"/>
        <w:rPr>
          <w:rFonts w:ascii="宋体" w:hAnsi="宋体" w:cs="宋体"/>
          <w:b/>
          <w:bCs/>
          <w:sz w:val="24"/>
          <w:lang w:bidi="ar"/>
        </w:rPr>
      </w:pPr>
      <w:r>
        <w:rPr>
          <w:rFonts w:hint="eastAsia" w:ascii="宋体" w:hAnsi="宋体" w:cs="宋体"/>
          <w:b/>
          <w:bCs/>
          <w:sz w:val="24"/>
          <w:lang w:bidi="ar"/>
        </w:rPr>
        <w:t>（3）历史回流任务维护</w:t>
      </w:r>
    </w:p>
    <w:p w14:paraId="6C33A632">
      <w:pPr>
        <w:spacing w:line="360" w:lineRule="auto"/>
        <w:ind w:firstLine="480"/>
        <w:rPr>
          <w:rFonts w:ascii="宋体" w:hAnsi="宋体" w:cs="宋体"/>
          <w:sz w:val="24"/>
          <w:lang w:bidi="ar"/>
        </w:rPr>
      </w:pPr>
      <w:r>
        <w:rPr>
          <w:rFonts w:hint="eastAsia" w:ascii="宋体" w:hAnsi="宋体" w:cs="宋体"/>
          <w:sz w:val="24"/>
          <w:lang w:bidi="ar"/>
        </w:rPr>
        <w:t>对于已下架的回流目录，清理回流链路相关任务和配置。同时改造杭州市平台回流链路，以数据推送方式到杭州市RDS前置库。</w:t>
      </w:r>
    </w:p>
    <w:p w14:paraId="358F32FA">
      <w:pPr>
        <w:spacing w:line="360" w:lineRule="auto"/>
        <w:ind w:firstLine="480"/>
        <w:rPr>
          <w:rFonts w:ascii="宋体" w:hAnsi="宋体" w:cs="宋体"/>
          <w:b/>
          <w:bCs/>
          <w:sz w:val="24"/>
          <w:lang w:bidi="ar"/>
        </w:rPr>
      </w:pPr>
      <w:r>
        <w:rPr>
          <w:rFonts w:hint="eastAsia" w:ascii="宋体" w:hAnsi="宋体" w:cs="宋体"/>
          <w:b/>
          <w:bCs/>
          <w:sz w:val="24"/>
          <w:lang w:bidi="ar"/>
        </w:rPr>
        <w:t>（4）杭州市平台余杭仓运营服务</w:t>
      </w:r>
    </w:p>
    <w:p w14:paraId="6B71B4BC">
      <w:pPr>
        <w:widowControl/>
        <w:spacing w:after="0" w:line="360" w:lineRule="auto"/>
        <w:ind w:firstLine="480"/>
        <w:jc w:val="left"/>
        <w:rPr>
          <w:rFonts w:ascii="宋体" w:hAnsi="宋体" w:cs="宋体"/>
          <w:b/>
          <w:bCs/>
          <w:sz w:val="24"/>
          <w:lang w:bidi="ar"/>
        </w:rPr>
      </w:pPr>
      <w:r>
        <w:rPr>
          <w:rFonts w:hint="eastAsia" w:ascii="宋体" w:hAnsi="宋体" w:cs="宋体"/>
          <w:b/>
          <w:bCs/>
          <w:sz w:val="24"/>
          <w:lang w:bidi="ar"/>
        </w:rPr>
        <w:t>①回流数据同步工作</w:t>
      </w:r>
    </w:p>
    <w:p w14:paraId="1CBB0244">
      <w:pPr>
        <w:widowControl/>
        <w:spacing w:after="0" w:line="360" w:lineRule="auto"/>
        <w:ind w:firstLine="480"/>
        <w:rPr>
          <w:rFonts w:ascii="宋体" w:hAnsi="宋体" w:cs="宋体"/>
          <w:sz w:val="24"/>
          <w:lang w:bidi="ar"/>
        </w:rPr>
      </w:pPr>
      <w:r>
        <w:rPr>
          <w:rFonts w:hint="eastAsia" w:ascii="宋体" w:hAnsi="宋体" w:cs="宋体"/>
          <w:sz w:val="24"/>
          <w:lang w:bidi="ar"/>
        </w:rPr>
        <w:t>完成不少于100条新增回流数据目录上架及对应的回流数据共享和导出作业配置，维护存量及新增回流数据目录不少于300条，同时监测对应共享和导出作业的运行状态。</w:t>
      </w:r>
    </w:p>
    <w:p w14:paraId="59DA0C0B">
      <w:pPr>
        <w:widowControl/>
        <w:spacing w:line="360" w:lineRule="auto"/>
        <w:ind w:firstLine="480"/>
        <w:rPr>
          <w:rFonts w:ascii="宋体" w:hAnsi="宋体" w:cs="宋体"/>
          <w:b/>
          <w:bCs/>
          <w:sz w:val="24"/>
        </w:rPr>
      </w:pPr>
      <w:r>
        <w:rPr>
          <w:rFonts w:hint="eastAsia" w:ascii="宋体" w:hAnsi="宋体" w:cs="宋体"/>
          <w:b/>
          <w:bCs/>
          <w:sz w:val="24"/>
        </w:rPr>
        <w:t>②回流清单整理</w:t>
      </w:r>
    </w:p>
    <w:p w14:paraId="39CCF84E">
      <w:pPr>
        <w:spacing w:line="360" w:lineRule="auto"/>
        <w:ind w:firstLine="482"/>
        <w:rPr>
          <w:rFonts w:ascii="宋体" w:hAnsi="宋体" w:cs="宋体"/>
          <w:sz w:val="24"/>
          <w:lang w:bidi="ar"/>
        </w:rPr>
      </w:pPr>
      <w:r>
        <w:rPr>
          <w:rFonts w:hint="eastAsia" w:ascii="宋体" w:hAnsi="宋体" w:cs="宋体"/>
          <w:color w:val="000000"/>
          <w:sz w:val="24"/>
          <w:lang w:bidi="ar"/>
        </w:rPr>
        <w:t>结合省市数据回流清单项和余杭区实际情况，整理回流数据业务清单及回流计划。</w:t>
      </w:r>
    </w:p>
    <w:p w14:paraId="535A767D">
      <w:pPr>
        <w:spacing w:line="360" w:lineRule="auto"/>
        <w:ind w:firstLine="482"/>
        <w:rPr>
          <w:rFonts w:ascii="宋体" w:hAnsi="宋体" w:cs="宋体"/>
          <w:b/>
          <w:bCs/>
          <w:sz w:val="24"/>
        </w:rPr>
      </w:pPr>
      <w:r>
        <w:rPr>
          <w:rFonts w:hint="eastAsia" w:ascii="宋体" w:hAnsi="宋体" w:cs="宋体"/>
          <w:b/>
          <w:bCs/>
          <w:sz w:val="24"/>
        </w:rPr>
        <w:t>③省市下达相关工作</w:t>
      </w:r>
    </w:p>
    <w:p w14:paraId="46E94C69">
      <w:pPr>
        <w:spacing w:line="360" w:lineRule="auto"/>
        <w:ind w:firstLine="482"/>
        <w:rPr>
          <w:rFonts w:ascii="宋体" w:hAnsi="宋体" w:cs="宋体"/>
          <w:sz w:val="32"/>
        </w:rPr>
      </w:pPr>
      <w:r>
        <w:rPr>
          <w:rFonts w:hint="eastAsia" w:ascii="宋体" w:hAnsi="宋体" w:cs="宋体"/>
          <w:color w:val="000000"/>
          <w:sz w:val="24"/>
        </w:rPr>
        <w:t>响应省市部门数据需求，通过杭州市余杭区项目空间向上级归集数据。</w:t>
      </w:r>
    </w:p>
    <w:p w14:paraId="3921E898">
      <w:pPr>
        <w:widowControl/>
        <w:spacing w:line="360" w:lineRule="auto"/>
        <w:ind w:firstLine="482"/>
        <w:jc w:val="left"/>
        <w:rPr>
          <w:rFonts w:ascii="宋体" w:hAnsi="宋体" w:cs="宋体"/>
          <w:b/>
          <w:bCs/>
          <w:color w:val="000000"/>
          <w:sz w:val="24"/>
          <w:lang w:bidi="ar"/>
        </w:rPr>
      </w:pPr>
      <w:r>
        <w:rPr>
          <w:rFonts w:hint="eastAsia" w:ascii="宋体" w:hAnsi="宋体" w:cs="宋体"/>
          <w:b/>
          <w:bCs/>
          <w:color w:val="000000"/>
          <w:sz w:val="24"/>
          <w:lang w:bidi="ar"/>
        </w:rPr>
        <w:t>4、开放数据处理服务</w:t>
      </w:r>
    </w:p>
    <w:p w14:paraId="31BBA879">
      <w:pPr>
        <w:spacing w:line="360" w:lineRule="auto"/>
        <w:ind w:firstLine="480"/>
        <w:rPr>
          <w:rFonts w:ascii="宋体" w:hAnsi="宋体" w:cs="宋体"/>
          <w:sz w:val="24"/>
        </w:rPr>
      </w:pPr>
      <w:r>
        <w:rPr>
          <w:rFonts w:hint="eastAsia" w:ascii="宋体" w:hAnsi="宋体" w:cs="宋体"/>
          <w:sz w:val="24"/>
        </w:rPr>
        <w:t>具体服务内容为开放数据的规则治理、安全校验、持续维护历史数据开放任务等，实现不少于20张数据表的处理工作。</w:t>
      </w:r>
    </w:p>
    <w:p w14:paraId="643F8042">
      <w:pPr>
        <w:spacing w:line="360" w:lineRule="auto"/>
        <w:ind w:firstLine="480"/>
        <w:rPr>
          <w:rFonts w:ascii="宋体" w:hAnsi="宋体" w:cs="宋体"/>
          <w:b/>
          <w:bCs/>
          <w:sz w:val="24"/>
        </w:rPr>
      </w:pPr>
      <w:r>
        <w:rPr>
          <w:rFonts w:hint="eastAsia" w:ascii="宋体" w:hAnsi="宋体" w:cs="宋体"/>
          <w:b/>
          <w:bCs/>
          <w:sz w:val="24"/>
        </w:rPr>
        <w:t>（1）新增数据开放</w:t>
      </w:r>
    </w:p>
    <w:p w14:paraId="2C4640DD">
      <w:pPr>
        <w:spacing w:line="360" w:lineRule="auto"/>
        <w:ind w:firstLine="480"/>
        <w:rPr>
          <w:rFonts w:ascii="宋体" w:hAnsi="宋体" w:cs="宋体"/>
          <w:sz w:val="24"/>
        </w:rPr>
      </w:pPr>
      <w:r>
        <w:rPr>
          <w:rFonts w:hint="eastAsia" w:ascii="宋体" w:hAnsi="宋体" w:cs="宋体"/>
          <w:sz w:val="24"/>
        </w:rPr>
        <w:t>完成数据开放前的数据处理工作，包括禁止开放字段的过滤，进行敏感数据的脱敏，完成后推送至市开放平台。</w:t>
      </w:r>
    </w:p>
    <w:p w14:paraId="4CE7DD94">
      <w:pPr>
        <w:spacing w:line="360" w:lineRule="auto"/>
        <w:ind w:firstLine="480"/>
        <w:rPr>
          <w:rFonts w:ascii="宋体" w:hAnsi="宋体" w:cs="宋体"/>
          <w:b/>
          <w:bCs/>
          <w:sz w:val="24"/>
        </w:rPr>
      </w:pPr>
      <w:r>
        <w:rPr>
          <w:rFonts w:hint="eastAsia" w:ascii="宋体" w:hAnsi="宋体" w:cs="宋体"/>
          <w:b/>
          <w:bCs/>
          <w:sz w:val="24"/>
        </w:rPr>
        <w:t>（2）历史开放任务维护</w:t>
      </w:r>
    </w:p>
    <w:p w14:paraId="70480D04">
      <w:pPr>
        <w:spacing w:line="360" w:lineRule="auto"/>
        <w:ind w:firstLine="480"/>
        <w:rPr>
          <w:rFonts w:ascii="宋体" w:hAnsi="宋体" w:cs="宋体"/>
          <w:sz w:val="24"/>
        </w:rPr>
      </w:pPr>
      <w:r>
        <w:rPr>
          <w:rFonts w:hint="eastAsia" w:ascii="宋体" w:hAnsi="宋体" w:cs="宋体"/>
          <w:sz w:val="24"/>
        </w:rPr>
        <w:t>定期维护开放任务，及时更新推送数据到市平台；通过系统配置检查规则，对开放数据质量、数据敏感性进行定期检查处置。</w:t>
      </w:r>
    </w:p>
    <w:p w14:paraId="43DA2322">
      <w:pPr>
        <w:spacing w:line="360" w:lineRule="auto"/>
        <w:ind w:firstLine="480"/>
        <w:rPr>
          <w:rFonts w:ascii="宋体" w:hAnsi="宋体" w:cs="宋体"/>
          <w:b/>
          <w:bCs/>
          <w:sz w:val="24"/>
        </w:rPr>
      </w:pPr>
      <w:r>
        <w:rPr>
          <w:rFonts w:hint="eastAsia" w:ascii="宋体" w:hAnsi="宋体" w:cs="宋体"/>
          <w:b/>
          <w:bCs/>
          <w:sz w:val="24"/>
        </w:rPr>
        <w:t>5、数据易用性服务</w:t>
      </w:r>
    </w:p>
    <w:p w14:paraId="3E7FF0D0">
      <w:pPr>
        <w:spacing w:line="360" w:lineRule="auto"/>
        <w:ind w:firstLine="480"/>
        <w:rPr>
          <w:rFonts w:ascii="宋体" w:hAnsi="宋体" w:cs="宋体"/>
          <w:sz w:val="24"/>
        </w:rPr>
      </w:pPr>
      <w:r>
        <w:rPr>
          <w:rFonts w:hint="eastAsia" w:ascii="宋体" w:hAnsi="宋体" w:cs="宋体"/>
          <w:sz w:val="24"/>
        </w:rPr>
        <w:t>主要服务内容为数据指南运营服务和历史数据指南更新服务等，完成不少于30份的数据指南的技术支持、审核及发布工作。</w:t>
      </w:r>
    </w:p>
    <w:p w14:paraId="09217EEC">
      <w:pPr>
        <w:spacing w:line="360" w:lineRule="auto"/>
        <w:ind w:firstLine="480"/>
        <w:rPr>
          <w:rFonts w:ascii="宋体" w:hAnsi="宋体" w:cs="宋体"/>
          <w:b/>
          <w:bCs/>
          <w:sz w:val="24"/>
        </w:rPr>
      </w:pPr>
      <w:r>
        <w:rPr>
          <w:rFonts w:hint="eastAsia" w:ascii="宋体" w:hAnsi="宋体" w:cs="宋体"/>
          <w:b/>
          <w:bCs/>
          <w:sz w:val="24"/>
        </w:rPr>
        <w:t>（1）技术支持服务</w:t>
      </w:r>
    </w:p>
    <w:p w14:paraId="4C27C877">
      <w:pPr>
        <w:spacing w:line="360" w:lineRule="auto"/>
        <w:ind w:firstLine="480"/>
        <w:rPr>
          <w:rFonts w:ascii="宋体" w:hAnsi="宋体" w:cs="宋体"/>
          <w:sz w:val="24"/>
        </w:rPr>
      </w:pPr>
      <w:r>
        <w:rPr>
          <w:rFonts w:hint="eastAsia" w:ascii="宋体" w:hAnsi="宋体" w:cs="宋体"/>
          <w:sz w:val="24"/>
        </w:rPr>
        <w:t>结合省市公共数据平台重点任务和迭代变更情况，针对区一体化智能化公共数据平台编目、归集、回流等工作执行过程中与省平台、市平台交互对接的问题，包括IRS-数据资源日常使用、省重大应用贯通基层，分析问题原因及解决方案，协助推进问题解决，按月形成技术支持台账。</w:t>
      </w:r>
    </w:p>
    <w:p w14:paraId="4AF81888">
      <w:pPr>
        <w:spacing w:line="360" w:lineRule="auto"/>
        <w:ind w:firstLine="480"/>
        <w:rPr>
          <w:rFonts w:ascii="宋体" w:hAnsi="宋体" w:cs="宋体"/>
          <w:b/>
          <w:bCs/>
          <w:sz w:val="24"/>
        </w:rPr>
      </w:pPr>
      <w:r>
        <w:rPr>
          <w:rFonts w:hint="eastAsia" w:ascii="宋体" w:hAnsi="宋体" w:cs="宋体"/>
          <w:b/>
          <w:bCs/>
          <w:sz w:val="24"/>
        </w:rPr>
        <w:t>（2）数据指南实施对接</w:t>
      </w:r>
    </w:p>
    <w:p w14:paraId="13A5AC94">
      <w:pPr>
        <w:spacing w:line="360" w:lineRule="auto"/>
        <w:ind w:firstLine="480"/>
        <w:rPr>
          <w:rFonts w:ascii="宋体" w:hAnsi="宋体" w:cs="宋体"/>
          <w:b/>
          <w:bCs/>
          <w:sz w:val="24"/>
        </w:rPr>
      </w:pPr>
      <w:r>
        <w:rPr>
          <w:rFonts w:hint="eastAsia" w:ascii="宋体" w:hAnsi="宋体" w:cs="宋体"/>
          <w:b/>
          <w:bCs/>
          <w:sz w:val="24"/>
        </w:rPr>
        <w:t>①数据指南对接技术支持</w:t>
      </w:r>
    </w:p>
    <w:p w14:paraId="0D8999B2">
      <w:pPr>
        <w:spacing w:line="360" w:lineRule="auto"/>
        <w:ind w:firstLine="480"/>
        <w:rPr>
          <w:rFonts w:ascii="宋体" w:hAnsi="宋体" w:cs="宋体"/>
          <w:sz w:val="24"/>
        </w:rPr>
      </w:pPr>
      <w:r>
        <w:rPr>
          <w:rFonts w:hint="eastAsia" w:ascii="宋体" w:hAnsi="宋体" w:cs="宋体"/>
          <w:sz w:val="24"/>
        </w:rPr>
        <w:t>支撑数源单位顺利完成数据指南的编写，完成数据指南的审核、发布，至少完成30份新增数据指南的技术支持及审核、发布工作。</w:t>
      </w:r>
    </w:p>
    <w:p w14:paraId="75F6EE4E">
      <w:pPr>
        <w:spacing w:line="360" w:lineRule="auto"/>
        <w:ind w:firstLine="480"/>
        <w:rPr>
          <w:rFonts w:ascii="宋体" w:hAnsi="宋体" w:cs="宋体"/>
          <w:b/>
          <w:bCs/>
          <w:sz w:val="24"/>
        </w:rPr>
      </w:pPr>
      <w:r>
        <w:rPr>
          <w:rFonts w:hint="eastAsia" w:ascii="宋体" w:hAnsi="宋体" w:cs="宋体"/>
          <w:b/>
          <w:bCs/>
          <w:sz w:val="24"/>
        </w:rPr>
        <w:t>②数据指南样例数据脱敏处理</w:t>
      </w:r>
    </w:p>
    <w:p w14:paraId="795C6DAA">
      <w:pPr>
        <w:spacing w:line="360" w:lineRule="auto"/>
        <w:ind w:firstLine="480"/>
        <w:rPr>
          <w:rFonts w:ascii="宋体" w:hAnsi="宋体" w:cs="宋体"/>
          <w:sz w:val="24"/>
        </w:rPr>
      </w:pPr>
      <w:r>
        <w:rPr>
          <w:rFonts w:hint="eastAsia" w:ascii="宋体" w:hAnsi="宋体" w:cs="宋体"/>
          <w:sz w:val="24"/>
        </w:rPr>
        <w:t>为部门数据指南提供脱敏后的样例数据。</w:t>
      </w:r>
    </w:p>
    <w:p w14:paraId="1FD006AD">
      <w:pPr>
        <w:spacing w:line="360" w:lineRule="auto"/>
        <w:ind w:firstLine="480"/>
        <w:rPr>
          <w:rFonts w:ascii="宋体" w:hAnsi="宋体" w:cs="宋体"/>
          <w:b/>
          <w:bCs/>
          <w:sz w:val="24"/>
        </w:rPr>
      </w:pPr>
      <w:r>
        <w:rPr>
          <w:rFonts w:hint="eastAsia" w:ascii="宋体" w:hAnsi="宋体" w:cs="宋体"/>
          <w:b/>
          <w:bCs/>
          <w:sz w:val="24"/>
        </w:rPr>
        <w:t>③历史数据指南实施运营服务</w:t>
      </w:r>
    </w:p>
    <w:p w14:paraId="6E356C29">
      <w:pPr>
        <w:spacing w:line="360" w:lineRule="auto"/>
        <w:ind w:firstLine="480"/>
        <w:rPr>
          <w:rFonts w:ascii="宋体" w:hAnsi="宋体" w:cs="宋体"/>
          <w:sz w:val="24"/>
        </w:rPr>
      </w:pPr>
      <w:r>
        <w:rPr>
          <w:rFonts w:ascii="宋体" w:hAnsi="宋体" w:cs="宋体"/>
          <w:sz w:val="24"/>
        </w:rPr>
        <w:t>定期检查数据指南与数据目录的对应情况，协助部门完成迭代、完成审批和发布。定期检查</w:t>
      </w:r>
      <w:r>
        <w:rPr>
          <w:rFonts w:hint="eastAsia" w:ascii="宋体" w:hAnsi="宋体" w:cs="宋体"/>
          <w:sz w:val="24"/>
        </w:rPr>
        <w:t>数据指南同步IRS的情况，对未及时更新的进行排查和解决</w:t>
      </w:r>
      <w:r>
        <w:rPr>
          <w:rFonts w:ascii="宋体" w:hAnsi="宋体" w:cs="宋体"/>
          <w:sz w:val="24"/>
        </w:rPr>
        <w:t>。</w:t>
      </w:r>
    </w:p>
    <w:p w14:paraId="305C8A82">
      <w:pPr>
        <w:spacing w:line="360" w:lineRule="auto"/>
        <w:ind w:firstLine="480"/>
        <w:rPr>
          <w:rFonts w:ascii="宋体" w:hAnsi="宋体" w:cs="宋体"/>
          <w:b/>
          <w:bCs/>
          <w:sz w:val="24"/>
        </w:rPr>
      </w:pPr>
      <w:r>
        <w:rPr>
          <w:rFonts w:hint="eastAsia" w:ascii="宋体" w:hAnsi="宋体" w:cs="宋体"/>
          <w:b/>
          <w:bCs/>
          <w:sz w:val="24"/>
        </w:rPr>
        <w:t>6、一表通服务</w:t>
      </w:r>
    </w:p>
    <w:p w14:paraId="7FA5F50B">
      <w:pPr>
        <w:spacing w:line="360" w:lineRule="auto"/>
        <w:ind w:firstLine="480"/>
        <w:rPr>
          <w:rFonts w:ascii="宋体" w:hAnsi="宋体" w:cs="宋体"/>
          <w:sz w:val="24"/>
        </w:rPr>
      </w:pPr>
      <w:r>
        <w:rPr>
          <w:rFonts w:hint="eastAsia" w:ascii="宋体" w:hAnsi="宋体" w:cs="宋体"/>
          <w:sz w:val="24"/>
        </w:rPr>
        <w:t>具体服务内容为填报信息收集、报表信息梳理、报表字段配置、报表权限流程配置和用户技术支持服务等，至少对接梳理全区10个部门的报表需求，完成至少20张报表的字段梳理、字段配置和流程配置。</w:t>
      </w:r>
    </w:p>
    <w:p w14:paraId="38BDA9A9">
      <w:pPr>
        <w:spacing w:line="360" w:lineRule="auto"/>
        <w:ind w:firstLine="480"/>
        <w:rPr>
          <w:rFonts w:ascii="宋体" w:hAnsi="宋体" w:cs="宋体"/>
          <w:b/>
          <w:bCs/>
          <w:sz w:val="24"/>
        </w:rPr>
      </w:pPr>
      <w:r>
        <w:rPr>
          <w:rFonts w:hint="eastAsia" w:ascii="宋体" w:hAnsi="宋体" w:cs="宋体"/>
          <w:b/>
          <w:bCs/>
          <w:sz w:val="24"/>
        </w:rPr>
        <w:t>（1）填报信息收集服务</w:t>
      </w:r>
    </w:p>
    <w:p w14:paraId="26BAD152">
      <w:pPr>
        <w:spacing w:line="360" w:lineRule="auto"/>
        <w:ind w:firstLine="480"/>
        <w:rPr>
          <w:rFonts w:ascii="宋体" w:hAnsi="宋体" w:cs="宋体"/>
          <w:sz w:val="24"/>
        </w:rPr>
      </w:pPr>
      <w:r>
        <w:rPr>
          <w:rFonts w:hint="eastAsia" w:ascii="宋体" w:hAnsi="宋体" w:cs="宋体"/>
          <w:sz w:val="24"/>
        </w:rPr>
        <w:t>日常对接全区各部门报表需求，完成报表的样表收集、权限收集，对接部门确认报表在系统填报的需求。</w:t>
      </w:r>
    </w:p>
    <w:p w14:paraId="7817B325">
      <w:pPr>
        <w:spacing w:line="360" w:lineRule="auto"/>
        <w:ind w:firstLine="480"/>
        <w:rPr>
          <w:rFonts w:ascii="宋体" w:hAnsi="宋体" w:cs="宋体"/>
          <w:b/>
          <w:bCs/>
          <w:sz w:val="24"/>
        </w:rPr>
      </w:pPr>
      <w:r>
        <w:rPr>
          <w:rFonts w:hint="eastAsia" w:ascii="宋体" w:hAnsi="宋体" w:cs="宋体"/>
          <w:b/>
          <w:bCs/>
          <w:sz w:val="24"/>
        </w:rPr>
        <w:t>（2）报表信息梳理服务</w:t>
      </w:r>
    </w:p>
    <w:p w14:paraId="055A1288">
      <w:pPr>
        <w:spacing w:line="360" w:lineRule="auto"/>
        <w:ind w:firstLine="480"/>
        <w:rPr>
          <w:rFonts w:ascii="宋体" w:hAnsi="宋体" w:cs="宋体"/>
          <w:sz w:val="24"/>
        </w:rPr>
      </w:pPr>
      <w:r>
        <w:rPr>
          <w:rFonts w:hint="eastAsia" w:ascii="宋体" w:hAnsi="宋体" w:cs="宋体"/>
          <w:sz w:val="24"/>
        </w:rPr>
        <w:t>拆解表单，对报表是否涉密、报表填报频率、报表业务系统情况等内容进行梳理，如果存在子表的情况需对样表字段进行分拆。梳理字段属性与关联信息，确定业务表单中各个字段的属性；根据业务字段的属性进行报表归并与拆分。</w:t>
      </w:r>
    </w:p>
    <w:p w14:paraId="2058A828">
      <w:pPr>
        <w:spacing w:line="360" w:lineRule="auto"/>
        <w:ind w:firstLine="480"/>
        <w:rPr>
          <w:rFonts w:ascii="宋体" w:hAnsi="宋体" w:cs="宋体"/>
          <w:b/>
          <w:bCs/>
          <w:sz w:val="24"/>
        </w:rPr>
      </w:pPr>
      <w:r>
        <w:rPr>
          <w:rFonts w:hint="eastAsia" w:ascii="宋体" w:hAnsi="宋体" w:cs="宋体"/>
          <w:b/>
          <w:bCs/>
          <w:sz w:val="24"/>
        </w:rPr>
        <w:t>（3）报表</w:t>
      </w:r>
      <w:r>
        <w:rPr>
          <w:rFonts w:ascii="宋体" w:hAnsi="宋体" w:cs="宋体"/>
          <w:b/>
          <w:bCs/>
          <w:sz w:val="24"/>
        </w:rPr>
        <w:t>上架</w:t>
      </w:r>
      <w:r>
        <w:rPr>
          <w:rFonts w:hint="eastAsia" w:ascii="宋体" w:hAnsi="宋体" w:cs="宋体"/>
          <w:b/>
          <w:bCs/>
          <w:sz w:val="24"/>
        </w:rPr>
        <w:t>、权限流程配置服务</w:t>
      </w:r>
    </w:p>
    <w:p w14:paraId="53D825D8">
      <w:pPr>
        <w:spacing w:line="360" w:lineRule="auto"/>
        <w:ind w:firstLine="480"/>
        <w:rPr>
          <w:rFonts w:ascii="宋体" w:hAnsi="宋体" w:cs="宋体"/>
          <w:sz w:val="24"/>
        </w:rPr>
      </w:pPr>
      <w:r>
        <w:rPr>
          <w:rFonts w:hint="eastAsia" w:ascii="宋体" w:hAnsi="宋体" w:cs="宋体"/>
          <w:sz w:val="24"/>
        </w:rPr>
        <w:t>在系统中对业务报表进行上架配置</w:t>
      </w:r>
      <w:r>
        <w:rPr>
          <w:rFonts w:ascii="宋体" w:hAnsi="宋体" w:cs="宋体"/>
          <w:sz w:val="24"/>
        </w:rPr>
        <w:t>，</w:t>
      </w:r>
      <w:r>
        <w:rPr>
          <w:rFonts w:hint="eastAsia" w:ascii="宋体" w:hAnsi="宋体" w:cs="宋体"/>
          <w:sz w:val="24"/>
        </w:rPr>
        <w:t>并开通相应人员的系统权限。</w:t>
      </w:r>
    </w:p>
    <w:p w14:paraId="3684548A">
      <w:pPr>
        <w:spacing w:line="360" w:lineRule="auto"/>
        <w:ind w:firstLine="480"/>
        <w:rPr>
          <w:rFonts w:ascii="宋体" w:hAnsi="宋体" w:cs="宋体"/>
          <w:b/>
          <w:bCs/>
          <w:sz w:val="24"/>
        </w:rPr>
      </w:pPr>
      <w:r>
        <w:rPr>
          <w:rFonts w:hint="eastAsia" w:ascii="宋体" w:hAnsi="宋体" w:cs="宋体"/>
          <w:b/>
          <w:bCs/>
          <w:sz w:val="24"/>
        </w:rPr>
        <w:t>（4）用户技术支持服务</w:t>
      </w:r>
    </w:p>
    <w:p w14:paraId="0C29373F">
      <w:pPr>
        <w:spacing w:line="360" w:lineRule="auto"/>
        <w:ind w:firstLine="480"/>
        <w:rPr>
          <w:rFonts w:ascii="宋体" w:hAnsi="宋体" w:cs="宋体"/>
          <w:sz w:val="24"/>
          <w:lang w:bidi="ar"/>
        </w:rPr>
      </w:pPr>
      <w:r>
        <w:rPr>
          <w:rFonts w:hint="eastAsia" w:ascii="宋体" w:hAnsi="宋体" w:cs="宋体"/>
          <w:sz w:val="24"/>
        </w:rPr>
        <w:t>编制操作手册、系统Q&amp;A文档、维护日志等相关维护文档，收集</w:t>
      </w:r>
      <w:r>
        <w:rPr>
          <w:rFonts w:ascii="宋体" w:hAnsi="宋体" w:cs="宋体"/>
          <w:sz w:val="24"/>
        </w:rPr>
        <w:t>跟踪</w:t>
      </w:r>
      <w:r>
        <w:rPr>
          <w:rFonts w:hint="eastAsia" w:ascii="宋体" w:hAnsi="宋体" w:cs="宋体"/>
          <w:sz w:val="24"/>
        </w:rPr>
        <w:t>单位用户使用问题，并对用户问题进行处理反馈，确保正常使用</w:t>
      </w:r>
      <w:r>
        <w:rPr>
          <w:rFonts w:ascii="宋体" w:hAnsi="宋体" w:cs="宋体"/>
          <w:sz w:val="24"/>
        </w:rPr>
        <w:t>，</w:t>
      </w:r>
      <w:r>
        <w:rPr>
          <w:rFonts w:hint="eastAsia" w:ascii="宋体" w:hAnsi="宋体" w:cs="宋体"/>
          <w:sz w:val="24"/>
          <w:lang w:bidi="ar"/>
        </w:rPr>
        <w:t>按月</w:t>
      </w:r>
      <w:r>
        <w:rPr>
          <w:rFonts w:ascii="宋体" w:hAnsi="宋体" w:cs="宋体"/>
          <w:sz w:val="24"/>
          <w:lang w:bidi="ar"/>
        </w:rPr>
        <w:t>统计市级和区级高频报表填报情况</w:t>
      </w:r>
      <w:r>
        <w:rPr>
          <w:rFonts w:hint="eastAsia" w:ascii="宋体" w:hAnsi="宋体" w:cs="宋体"/>
          <w:sz w:val="24"/>
          <w:lang w:bidi="ar"/>
        </w:rPr>
        <w:t>。</w:t>
      </w:r>
    </w:p>
    <w:p w14:paraId="0E1CC1B9">
      <w:pPr>
        <w:pStyle w:val="6"/>
        <w:spacing w:before="0" w:after="0" w:line="360" w:lineRule="auto"/>
        <w:ind w:left="0" w:firstLine="0"/>
        <w:rPr>
          <w:rFonts w:ascii="宋体" w:hAnsi="宋体" w:cs="宋体"/>
          <w:sz w:val="24"/>
          <w:szCs w:val="24"/>
        </w:rPr>
      </w:pPr>
      <w:r>
        <w:rPr>
          <w:rFonts w:hint="eastAsia" w:ascii="宋体" w:hAnsi="宋体" w:cs="宋体"/>
          <w:sz w:val="24"/>
          <w:szCs w:val="24"/>
        </w:rPr>
        <w:t>（</w:t>
      </w:r>
      <w:r>
        <w:rPr>
          <w:rFonts w:ascii="宋体" w:hAnsi="宋体" w:cs="宋体"/>
          <w:sz w:val="24"/>
          <w:szCs w:val="24"/>
        </w:rPr>
        <w:t>三</w:t>
      </w:r>
      <w:r>
        <w:rPr>
          <w:rFonts w:hint="eastAsia" w:ascii="宋体" w:hAnsi="宋体" w:cs="宋体"/>
          <w:sz w:val="24"/>
          <w:szCs w:val="24"/>
        </w:rPr>
        <w:t>）技术人员要求</w:t>
      </w:r>
    </w:p>
    <w:p w14:paraId="2D4D76B4">
      <w:pPr>
        <w:spacing w:line="360" w:lineRule="auto"/>
        <w:ind w:firstLine="480" w:firstLineChars="200"/>
        <w:rPr>
          <w:rFonts w:ascii="宋体" w:hAnsi="宋体" w:cs="宋体"/>
          <w:sz w:val="24"/>
          <w:lang w:bidi="ar"/>
        </w:rPr>
      </w:pPr>
      <w:r>
        <w:rPr>
          <w:rFonts w:ascii="宋体" w:hAnsi="宋体" w:cs="宋体"/>
          <w:sz w:val="24"/>
          <w:lang w:bidi="ar"/>
        </w:rPr>
        <w:t>本项目属于复杂的信息化运营服务项目，投标人需要配备专业技术运营人员开展平台的运营、运维等工作，且技术运营人员的数量应满足项目需要。中标人应选派具有丰富信息化及大数据平台经验的项目经理和专业技术的工程师，结合其在公共数据管理中的技术支持和服务方面的经验，提出本标项运营服务方案。本标项实施人员不少于8人年，其中驻场人员不少于 5人年，项目团队人员配置科学合理、分工明确。</w:t>
      </w:r>
    </w:p>
    <w:p w14:paraId="2D4D8E1F">
      <w:pPr>
        <w:spacing w:line="360" w:lineRule="auto"/>
        <w:rPr>
          <w:rFonts w:ascii="宋体" w:hAnsi="宋体" w:cs="宋体"/>
          <w:b/>
          <w:bCs/>
          <w:sz w:val="24"/>
        </w:rPr>
      </w:pPr>
    </w:p>
    <w:p w14:paraId="790ADA1C">
      <w:pPr>
        <w:pStyle w:val="5"/>
        <w:jc w:val="center"/>
        <w:rPr>
          <w:rFonts w:ascii="宋体" w:hAnsi="宋体" w:eastAsia="宋体" w:cs="宋体"/>
          <w:sz w:val="24"/>
          <w:szCs w:val="24"/>
          <w:lang w:val="en-US"/>
        </w:rPr>
      </w:pPr>
      <w:r>
        <w:rPr>
          <w:rFonts w:hint="eastAsia" w:ascii="宋体" w:hAnsi="宋体" w:eastAsia="宋体" w:cs="宋体"/>
          <w:sz w:val="24"/>
          <w:szCs w:val="24"/>
          <w:lang w:val="en-US"/>
        </w:rPr>
        <w:t xml:space="preserve"> 标项二 </w:t>
      </w:r>
      <w:r>
        <w:rPr>
          <w:rFonts w:hint="eastAsia" w:ascii="宋体" w:hAnsi="宋体" w:eastAsia="宋体" w:cs="宋体"/>
          <w:kern w:val="0"/>
          <w:sz w:val="24"/>
          <w:szCs w:val="24"/>
        </w:rPr>
        <w:t>公共数据共享开发利用运营</w:t>
      </w:r>
      <w:r>
        <w:rPr>
          <w:rFonts w:hint="eastAsia" w:ascii="宋体" w:hAnsi="宋体" w:eastAsia="宋体" w:cs="宋体"/>
          <w:kern w:val="0"/>
          <w:sz w:val="24"/>
          <w:szCs w:val="24"/>
          <w:lang w:val="en-US"/>
        </w:rPr>
        <w:t>服务</w:t>
      </w:r>
    </w:p>
    <w:p w14:paraId="4B392FAE">
      <w:pPr>
        <w:pStyle w:val="6"/>
        <w:spacing w:before="0" w:after="0" w:line="360" w:lineRule="auto"/>
        <w:ind w:left="0" w:firstLine="0"/>
        <w:rPr>
          <w:rFonts w:ascii="宋体" w:hAnsi="宋体" w:cs="宋体"/>
          <w:sz w:val="24"/>
          <w:szCs w:val="24"/>
        </w:rPr>
      </w:pPr>
      <w:r>
        <w:rPr>
          <w:rFonts w:hint="eastAsia" w:ascii="宋体" w:hAnsi="宋体" w:cs="宋体"/>
          <w:sz w:val="24"/>
          <w:szCs w:val="24"/>
        </w:rPr>
        <w:t>（一）项目概况</w:t>
      </w:r>
    </w:p>
    <w:p w14:paraId="20A566D5">
      <w:pPr>
        <w:widowControl/>
        <w:spacing w:line="360" w:lineRule="auto"/>
        <w:ind w:firstLine="420"/>
        <w:rPr>
          <w:rFonts w:ascii="宋体" w:hAnsi="宋体" w:cs="宋体"/>
          <w:sz w:val="24"/>
        </w:rPr>
      </w:pPr>
      <w:r>
        <w:rPr>
          <w:rFonts w:hint="eastAsia" w:ascii="宋体" w:hAnsi="宋体" w:cs="宋体"/>
          <w:sz w:val="24"/>
        </w:rPr>
        <w:t>本项目主要包括数据共享、数据加工和数据产品三项服务。</w:t>
      </w:r>
    </w:p>
    <w:p w14:paraId="14203346">
      <w:pPr>
        <w:widowControl/>
        <w:spacing w:line="360" w:lineRule="auto"/>
        <w:ind w:firstLine="420"/>
        <w:rPr>
          <w:rFonts w:ascii="宋体" w:hAnsi="宋体" w:cs="宋体"/>
          <w:sz w:val="24"/>
          <w:lang w:val="zh-CN"/>
        </w:rPr>
      </w:pPr>
      <w:r>
        <w:rPr>
          <w:rFonts w:hint="eastAsia" w:ascii="宋体" w:hAnsi="宋体" w:cs="宋体"/>
          <w:sz w:val="24"/>
        </w:rPr>
        <w:t>公共数据共享是指公共管理和服务机构因履行法定职责或者提供公共服务需要，依法使用其他公共管理和服务机构的数据，或者向其他公共管理和服务机构提供数据的行为。数据共享服务是公共数据管理和服务机构完成公共数据共享工作的关键环节，需要</w:t>
      </w:r>
      <w:r>
        <w:rPr>
          <w:rFonts w:hint="eastAsia" w:ascii="宋体" w:hAnsi="宋体" w:cs="宋体"/>
          <w:sz w:val="24"/>
          <w:lang w:val="zh-CN"/>
        </w:rPr>
        <w:t>数据共享接口开发、共享接口运营和共享资源运维支持等服务，落实</w:t>
      </w:r>
      <w:r>
        <w:rPr>
          <w:rFonts w:hint="eastAsia" w:ascii="宋体" w:hAnsi="宋体" w:cs="宋体"/>
          <w:sz w:val="24"/>
        </w:rPr>
        <w:t>省市数据</w:t>
      </w:r>
      <w:r>
        <w:rPr>
          <w:rFonts w:hint="eastAsia" w:ascii="宋体" w:hAnsi="宋体" w:cs="宋体"/>
          <w:sz w:val="24"/>
          <w:lang w:val="zh-CN"/>
        </w:rPr>
        <w:t>安全共享要求。</w:t>
      </w:r>
    </w:p>
    <w:p w14:paraId="3B025946">
      <w:pPr>
        <w:widowControl/>
        <w:spacing w:after="0" w:line="360" w:lineRule="auto"/>
        <w:ind w:firstLine="480" w:firstLineChars="200"/>
        <w:jc w:val="left"/>
        <w:rPr>
          <w:rFonts w:ascii="宋体" w:hAnsi="宋体" w:cs="宋体"/>
          <w:sz w:val="24"/>
        </w:rPr>
      </w:pPr>
      <w:r>
        <w:rPr>
          <w:rFonts w:hint="eastAsia" w:ascii="宋体" w:hAnsi="宋体" w:cs="宋体"/>
          <w:sz w:val="24"/>
          <w:lang w:bidi="ar"/>
        </w:rPr>
        <w:t>数据加工服务包括自然人与法人基础信息校验服务和存量模型迭代服务。截至目前，余杭区已归集人口数据180万，法人数据39万。根据《全省一体化智能化公共数据平台综合评价指标体系》有关指标要求，人口库、法人库的个人基本信息表、法人基本信息表存在空值率过高、贡献度较低等问题，为进一步提升人口/法人数据归集规范及效率，本项目通过自然人与法人基础信息校验服务推进人口/法人数据质量提升。截至目前，人地企时空治理专题库已建设22个数据模型，随着时间推移和业务需求的变化，模型可能出现与当前业务不匹配需要更新的情形。另外，模型加工所使用的数据资源变更等情况下，可能出现模型数据覆盖度不足、逻辑规则不完善等问题。因此，本项目通过存量模型迭代服务，至少完成10个已建模型迭开展型迭代，包括需求分析、模型评估、模型迭代方案设计评估等工作，以保持模型数据有效性，支持业务决策和应用开发。</w:t>
      </w:r>
    </w:p>
    <w:p w14:paraId="4A6E21A8">
      <w:pPr>
        <w:widowControl/>
        <w:spacing w:line="360" w:lineRule="auto"/>
        <w:ind w:firstLine="420"/>
        <w:rPr>
          <w:rFonts w:ascii="宋体" w:hAnsi="宋体" w:cs="宋体"/>
          <w:sz w:val="24"/>
        </w:rPr>
      </w:pPr>
      <w:r>
        <w:rPr>
          <w:rFonts w:hint="eastAsia" w:ascii="宋体" w:hAnsi="宋体" w:cs="宋体"/>
          <w:sz w:val="24"/>
          <w:lang w:bidi="ar"/>
        </w:rPr>
        <w:t>根据落实整治形式主义为基层减负工作要求，为实现区县到镇街的业务、系统、数据的高效闭环，打通基层智治“最后一公里”，需要搭建一套能够承接镇街数据需求的对接机制，打造一批可复制可推广的数据产品，以增强基层智治成效。本项目通过数据产品服务采购，建立数据产品需求对接全流程，包括数据需求收集、需求拆解、方案制定、业务部门评估等环节在内的数据产品需求运营服务。在创新数据直达基层方式上，提供数据产品专项服务，实现基层需求高效响应。打造20个具备余杭基层特色的数据产品并</w:t>
      </w:r>
      <w:r>
        <w:rPr>
          <w:rFonts w:ascii="宋体" w:hAnsi="宋体" w:cs="宋体"/>
          <w:sz w:val="24"/>
          <w:lang w:bidi="ar"/>
        </w:rPr>
        <w:t>配合完成</w:t>
      </w:r>
      <w:r>
        <w:rPr>
          <w:rFonts w:hint="eastAsia" w:ascii="宋体" w:hAnsi="宋体" w:cs="宋体"/>
          <w:sz w:val="24"/>
          <w:lang w:bidi="ar"/>
        </w:rPr>
        <w:t>15个API接口开发，实现赋能基层、基层减负等目标。</w:t>
      </w:r>
    </w:p>
    <w:p w14:paraId="40510973">
      <w:pPr>
        <w:pStyle w:val="6"/>
        <w:spacing w:line="360" w:lineRule="auto"/>
        <w:rPr>
          <w:rFonts w:ascii="宋体" w:hAnsi="宋体" w:cs="宋体"/>
          <w:sz w:val="24"/>
          <w:szCs w:val="24"/>
        </w:rPr>
      </w:pPr>
      <w:r>
        <w:rPr>
          <w:rFonts w:hint="eastAsia" w:ascii="宋体" w:hAnsi="宋体" w:cs="宋体"/>
          <w:sz w:val="24"/>
          <w:szCs w:val="24"/>
        </w:rPr>
        <w:t>（二）项目服务内容</w:t>
      </w:r>
    </w:p>
    <w:p w14:paraId="06B8C4FE">
      <w:pPr>
        <w:numPr>
          <w:ilvl w:val="255"/>
          <w:numId w:val="0"/>
        </w:numPr>
        <w:spacing w:line="360" w:lineRule="auto"/>
        <w:ind w:firstLine="482" w:firstLineChars="200"/>
        <w:rPr>
          <w:rFonts w:ascii="宋体" w:hAnsi="宋体" w:cs="宋体"/>
          <w:b/>
          <w:bCs/>
          <w:sz w:val="24"/>
        </w:rPr>
      </w:pPr>
      <w:r>
        <w:rPr>
          <w:rFonts w:hint="eastAsia" w:ascii="宋体" w:hAnsi="宋体" w:cs="宋体"/>
          <w:b/>
          <w:bCs/>
          <w:sz w:val="24"/>
        </w:rPr>
        <w:t>1、数据共享服务</w:t>
      </w:r>
    </w:p>
    <w:p w14:paraId="1A7F240D">
      <w:pPr>
        <w:spacing w:line="360" w:lineRule="auto"/>
        <w:ind w:firstLine="480" w:firstLineChars="200"/>
        <w:rPr>
          <w:rFonts w:ascii="宋体" w:hAnsi="宋体" w:cs="宋体"/>
          <w:sz w:val="24"/>
        </w:rPr>
      </w:pPr>
      <w:r>
        <w:rPr>
          <w:rFonts w:hint="eastAsia" w:ascii="宋体" w:hAnsi="宋体" w:cs="宋体"/>
          <w:sz w:val="24"/>
        </w:rPr>
        <w:t>围绕省市要求、部门用数需求等场景，提供共享接口开发、数据接口运营和IRS资源开通、升降配和释放运维等服务内容，涵盖了接口开发、接口稳定性检查、互联互通性检查、接口清理、接口释放、共享脱敏等工作项。新增20个共享接口。</w:t>
      </w:r>
    </w:p>
    <w:p w14:paraId="74E44FE1">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（1）共享接口开发</w:t>
      </w:r>
    </w:p>
    <w:p w14:paraId="4C97410D">
      <w:pPr>
        <w:pStyle w:val="17"/>
        <w:snapToGrid/>
        <w:spacing w:line="360" w:lineRule="auto"/>
        <w:rPr>
          <w:rFonts w:hAnsi="宋体" w:cs="宋体"/>
          <w:b/>
          <w:bCs/>
          <w:color w:val="auto"/>
          <w:sz w:val="24"/>
          <w:szCs w:val="24"/>
        </w:rPr>
      </w:pPr>
      <w:r>
        <w:rPr>
          <w:rFonts w:hint="eastAsia" w:hAnsi="宋体" w:cs="宋体"/>
          <w:b/>
          <w:bCs/>
          <w:color w:val="auto"/>
          <w:sz w:val="24"/>
          <w:szCs w:val="24"/>
        </w:rPr>
        <w:t>①接口对接管理</w:t>
      </w:r>
    </w:p>
    <w:p w14:paraId="48E7BEBB">
      <w:pPr>
        <w:pStyle w:val="17"/>
        <w:snapToGrid/>
        <w:spacing w:line="360" w:lineRule="auto"/>
        <w:rPr>
          <w:rFonts w:hAnsi="宋体" w:cs="宋体"/>
          <w:color w:val="auto"/>
          <w:sz w:val="24"/>
          <w:szCs w:val="24"/>
          <w:highlight w:val="yellow"/>
        </w:rPr>
      </w:pPr>
      <w:r>
        <w:rPr>
          <w:rFonts w:hint="eastAsia" w:hAnsi="宋体" w:cs="宋体"/>
          <w:color w:val="auto"/>
          <w:sz w:val="24"/>
          <w:szCs w:val="24"/>
        </w:rPr>
        <w:t>对接数据使用单位，并调研接口使用需求，为数源单位接口注册、接口编目和接口管理提供支撑。</w:t>
      </w:r>
    </w:p>
    <w:p w14:paraId="1B2CE150">
      <w:pPr>
        <w:pStyle w:val="17"/>
        <w:snapToGrid/>
        <w:spacing w:line="360" w:lineRule="auto"/>
        <w:rPr>
          <w:rFonts w:hAnsi="宋体" w:cs="宋体"/>
          <w:b/>
          <w:bCs/>
          <w:color w:val="auto"/>
          <w:sz w:val="24"/>
          <w:szCs w:val="24"/>
          <w:highlight w:val="yellow"/>
        </w:rPr>
      </w:pPr>
      <w:r>
        <w:rPr>
          <w:rFonts w:hint="eastAsia" w:hAnsi="宋体" w:cs="宋体"/>
          <w:b/>
          <w:bCs/>
          <w:color w:val="auto"/>
          <w:sz w:val="24"/>
          <w:szCs w:val="24"/>
        </w:rPr>
        <w:t>②接口开发编目</w:t>
      </w:r>
    </w:p>
    <w:p w14:paraId="2A7D9707">
      <w:pPr>
        <w:pStyle w:val="17"/>
        <w:snapToGrid/>
        <w:spacing w:line="360" w:lineRule="auto"/>
        <w:rPr>
          <w:rFonts w:hAnsi="宋体" w:cs="宋体"/>
          <w:color w:val="auto"/>
          <w:sz w:val="24"/>
          <w:szCs w:val="24"/>
        </w:rPr>
      </w:pPr>
      <w:r>
        <w:rPr>
          <w:rFonts w:hint="eastAsia" w:hAnsi="宋体" w:cs="宋体"/>
          <w:color w:val="auto"/>
          <w:sz w:val="24"/>
          <w:szCs w:val="24"/>
        </w:rPr>
        <w:t>按需求进行共享库自定义SQL接口开发和接口编目</w:t>
      </w:r>
      <w:r>
        <w:rPr>
          <w:rFonts w:hAnsi="宋体" w:cs="宋体"/>
          <w:color w:val="auto"/>
          <w:sz w:val="24"/>
          <w:szCs w:val="24"/>
        </w:rPr>
        <w:t>，实现不少于20个共享接口</w:t>
      </w:r>
      <w:r>
        <w:rPr>
          <w:rFonts w:hint="eastAsia" w:hAnsi="宋体" w:cs="宋体"/>
          <w:color w:val="auto"/>
          <w:sz w:val="24"/>
          <w:szCs w:val="24"/>
        </w:rPr>
        <w:t>。</w:t>
      </w:r>
    </w:p>
    <w:p w14:paraId="42A2D521">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（2）数据接口运营</w:t>
      </w:r>
    </w:p>
    <w:p w14:paraId="276B3251">
      <w:pPr>
        <w:pStyle w:val="17"/>
        <w:snapToGrid/>
        <w:spacing w:line="360" w:lineRule="auto"/>
        <w:rPr>
          <w:rFonts w:hAnsi="宋体" w:cs="宋体"/>
          <w:b/>
          <w:bCs/>
          <w:color w:val="auto"/>
          <w:sz w:val="24"/>
          <w:szCs w:val="24"/>
        </w:rPr>
      </w:pPr>
      <w:r>
        <w:rPr>
          <w:rFonts w:hint="eastAsia" w:hAnsi="宋体" w:cs="宋体"/>
          <w:b/>
          <w:bCs/>
          <w:color w:val="auto"/>
          <w:sz w:val="24"/>
          <w:szCs w:val="24"/>
        </w:rPr>
        <w:t>①接口上报检查</w:t>
      </w:r>
    </w:p>
    <w:p w14:paraId="10ED6E56">
      <w:pPr>
        <w:pStyle w:val="17"/>
        <w:snapToGrid/>
        <w:spacing w:line="360" w:lineRule="auto"/>
        <w:rPr>
          <w:rFonts w:hAnsi="宋体" w:cs="宋体"/>
          <w:color w:val="auto"/>
          <w:sz w:val="24"/>
          <w:szCs w:val="24"/>
        </w:rPr>
      </w:pPr>
      <w:r>
        <w:rPr>
          <w:rFonts w:hint="eastAsia" w:hAnsi="宋体" w:cs="宋体"/>
          <w:color w:val="auto"/>
          <w:sz w:val="24"/>
          <w:szCs w:val="24"/>
        </w:rPr>
        <w:t>定期检查省统一网关接口元数据上报和IRS上架接口一致性，问题分析和处理，包含接口注销、接口变更等情况处理。</w:t>
      </w:r>
    </w:p>
    <w:p w14:paraId="2BAEB9D3">
      <w:pPr>
        <w:pStyle w:val="17"/>
        <w:snapToGrid/>
        <w:spacing w:line="360" w:lineRule="auto"/>
        <w:rPr>
          <w:rFonts w:hAnsi="宋体" w:cs="宋体"/>
          <w:b/>
          <w:bCs/>
          <w:color w:val="auto"/>
          <w:sz w:val="24"/>
          <w:szCs w:val="24"/>
          <w:highlight w:val="yellow"/>
        </w:rPr>
      </w:pPr>
      <w:r>
        <w:rPr>
          <w:rFonts w:hint="eastAsia" w:hAnsi="宋体" w:cs="宋体"/>
          <w:b/>
          <w:bCs/>
          <w:color w:val="auto"/>
          <w:sz w:val="24"/>
          <w:szCs w:val="24"/>
        </w:rPr>
        <w:t>②</w:t>
      </w:r>
      <w:r>
        <w:rPr>
          <w:rFonts w:hAnsi="宋体" w:cs="宋体"/>
          <w:b/>
          <w:bCs/>
          <w:color w:val="auto"/>
          <w:sz w:val="24"/>
          <w:szCs w:val="24"/>
        </w:rPr>
        <w:t>接口规范性巡检</w:t>
      </w:r>
    </w:p>
    <w:p w14:paraId="2CA2C0D0">
      <w:pPr>
        <w:pStyle w:val="17"/>
        <w:snapToGrid/>
        <w:spacing w:line="360" w:lineRule="auto"/>
        <w:rPr>
          <w:rFonts w:hAnsi="宋体" w:cs="宋体"/>
          <w:color w:val="auto"/>
          <w:sz w:val="24"/>
          <w:szCs w:val="24"/>
        </w:rPr>
      </w:pPr>
      <w:r>
        <w:rPr>
          <w:rFonts w:hint="eastAsia" w:hAnsi="宋体" w:cs="宋体"/>
          <w:color w:val="auto"/>
          <w:sz w:val="24"/>
          <w:szCs w:val="24"/>
        </w:rPr>
        <w:t>推进并结合API审计平台能力，检查部门</w:t>
      </w:r>
      <w:r>
        <w:rPr>
          <w:rFonts w:hAnsi="宋体" w:cs="宋体"/>
          <w:color w:val="auto"/>
          <w:sz w:val="24"/>
          <w:szCs w:val="24"/>
        </w:rPr>
        <w:t>接口</w:t>
      </w:r>
      <w:r>
        <w:rPr>
          <w:rFonts w:hint="eastAsia" w:hAnsi="宋体" w:cs="宋体"/>
          <w:color w:val="auto"/>
          <w:sz w:val="24"/>
          <w:szCs w:val="24"/>
        </w:rPr>
        <w:t>私下对接情况并及时推动整改；基于网关上报日志分析接口被调用情况，</w:t>
      </w:r>
      <w:r>
        <w:rPr>
          <w:rFonts w:hAnsi="宋体" w:cs="宋体"/>
          <w:color w:val="auto"/>
          <w:sz w:val="24"/>
          <w:szCs w:val="24"/>
        </w:rPr>
        <w:t>检查</w:t>
      </w:r>
      <w:r>
        <w:rPr>
          <w:rFonts w:hint="eastAsia" w:hAnsi="宋体" w:cs="宋体"/>
          <w:color w:val="auto"/>
          <w:sz w:val="24"/>
          <w:szCs w:val="24"/>
        </w:rPr>
        <w:t>是否存在IRS未申请的应用调用了数据网关接口。</w:t>
      </w:r>
    </w:p>
    <w:p w14:paraId="777CF514">
      <w:pPr>
        <w:pStyle w:val="17"/>
        <w:snapToGrid/>
        <w:spacing w:line="360" w:lineRule="auto"/>
        <w:rPr>
          <w:rFonts w:hAnsi="宋体" w:cs="宋体"/>
          <w:b/>
          <w:bCs/>
          <w:color w:val="auto"/>
          <w:sz w:val="24"/>
          <w:szCs w:val="24"/>
        </w:rPr>
      </w:pPr>
      <w:r>
        <w:rPr>
          <w:rFonts w:hint="eastAsia" w:hAnsi="宋体" w:cs="宋体"/>
          <w:b/>
          <w:bCs/>
          <w:color w:val="auto"/>
          <w:sz w:val="24"/>
          <w:szCs w:val="24"/>
        </w:rPr>
        <w:t>③定期开展接口清理</w:t>
      </w:r>
    </w:p>
    <w:p w14:paraId="0D7548FD">
      <w:pPr>
        <w:pStyle w:val="17"/>
        <w:snapToGrid/>
        <w:spacing w:line="360" w:lineRule="auto"/>
        <w:rPr>
          <w:rFonts w:hAnsi="宋体" w:cs="宋体"/>
          <w:color w:val="auto"/>
          <w:sz w:val="24"/>
          <w:szCs w:val="24"/>
        </w:rPr>
      </w:pPr>
      <w:r>
        <w:rPr>
          <w:rFonts w:hint="eastAsia" w:hAnsi="宋体" w:cs="宋体"/>
          <w:color w:val="auto"/>
          <w:sz w:val="24"/>
          <w:szCs w:val="24"/>
        </w:rPr>
        <w:t>对申请接口后无调用量的应用，推进接口资源的释放。</w:t>
      </w:r>
    </w:p>
    <w:p w14:paraId="43FC8B6E">
      <w:pPr>
        <w:pStyle w:val="17"/>
        <w:snapToGrid/>
        <w:spacing w:line="360" w:lineRule="auto"/>
        <w:rPr>
          <w:rFonts w:hAnsi="宋体" w:cs="宋体"/>
          <w:b/>
          <w:bCs/>
          <w:color w:val="auto"/>
          <w:sz w:val="24"/>
          <w:szCs w:val="24"/>
        </w:rPr>
      </w:pPr>
      <w:r>
        <w:rPr>
          <w:rFonts w:hint="eastAsia" w:hAnsi="宋体" w:cs="宋体"/>
          <w:b/>
          <w:bCs/>
          <w:color w:val="auto"/>
          <w:sz w:val="24"/>
          <w:szCs w:val="24"/>
        </w:rPr>
        <w:t>④特殊接口维护</w:t>
      </w:r>
    </w:p>
    <w:p w14:paraId="401A3382">
      <w:pPr>
        <w:pStyle w:val="17"/>
        <w:snapToGrid/>
        <w:spacing w:line="360" w:lineRule="auto"/>
        <w:rPr>
          <w:rFonts w:hAnsi="宋体" w:cs="宋体"/>
          <w:color w:val="auto"/>
          <w:sz w:val="24"/>
          <w:szCs w:val="24"/>
        </w:rPr>
      </w:pPr>
      <w:r>
        <w:rPr>
          <w:rFonts w:hint="eastAsia" w:hAnsi="宋体" w:cs="宋体"/>
          <w:color w:val="auto"/>
          <w:sz w:val="24"/>
          <w:szCs w:val="24"/>
        </w:rPr>
        <w:t>通过中间代理服务转发的国家平台接口、社会数据采集进行中间代理层接口网络策略配置维护、接口白名单管理和日常检查。</w:t>
      </w:r>
    </w:p>
    <w:p w14:paraId="080DD102">
      <w:pPr>
        <w:pStyle w:val="17"/>
        <w:snapToGrid/>
        <w:spacing w:line="360" w:lineRule="auto"/>
        <w:rPr>
          <w:rFonts w:hAnsi="宋体" w:cs="宋体"/>
          <w:b/>
          <w:bCs/>
          <w:color w:val="auto"/>
          <w:sz w:val="24"/>
          <w:szCs w:val="24"/>
        </w:rPr>
      </w:pPr>
      <w:r>
        <w:rPr>
          <w:rFonts w:hint="eastAsia" w:hAnsi="宋体" w:cs="宋体"/>
          <w:b/>
          <w:bCs/>
          <w:color w:val="auto"/>
          <w:sz w:val="24"/>
          <w:szCs w:val="24"/>
        </w:rPr>
        <w:t>⑤接口统计分析</w:t>
      </w:r>
    </w:p>
    <w:p w14:paraId="56B88076">
      <w:pPr>
        <w:pStyle w:val="17"/>
        <w:snapToGrid/>
        <w:spacing w:line="360" w:lineRule="auto"/>
        <w:rPr>
          <w:rFonts w:hAnsi="宋体" w:cs="宋体"/>
          <w:color w:val="auto"/>
          <w:sz w:val="24"/>
          <w:szCs w:val="24"/>
        </w:rPr>
      </w:pPr>
      <w:r>
        <w:rPr>
          <w:rFonts w:hint="eastAsia" w:hAnsi="宋体" w:cs="宋体"/>
          <w:color w:val="auto"/>
          <w:sz w:val="24"/>
          <w:szCs w:val="24"/>
        </w:rPr>
        <w:t>对数据网关接口的整体情况进行统计分析，梳理网关接口整体情况、上架IRS接口调用情况分析等报告。</w:t>
      </w:r>
    </w:p>
    <w:p w14:paraId="6FC25CE7">
      <w:pPr>
        <w:pStyle w:val="17"/>
        <w:snapToGrid/>
        <w:spacing w:line="360" w:lineRule="auto"/>
        <w:rPr>
          <w:rFonts w:hAnsi="宋体" w:cs="宋体"/>
          <w:b/>
          <w:bCs/>
          <w:color w:val="auto"/>
          <w:sz w:val="24"/>
          <w:szCs w:val="24"/>
        </w:rPr>
      </w:pPr>
      <w:r>
        <w:rPr>
          <w:rFonts w:hint="eastAsia" w:hAnsi="宋体" w:cs="宋体"/>
          <w:b/>
          <w:bCs/>
          <w:color w:val="auto"/>
          <w:sz w:val="24"/>
          <w:szCs w:val="24"/>
        </w:rPr>
        <w:t>⑥</w:t>
      </w:r>
      <w:r>
        <w:rPr>
          <w:rFonts w:hAnsi="宋体" w:cs="宋体"/>
          <w:b/>
          <w:bCs/>
          <w:color w:val="auto"/>
          <w:sz w:val="24"/>
          <w:szCs w:val="24"/>
        </w:rPr>
        <w:t>私拉乱接问题收集检查</w:t>
      </w:r>
    </w:p>
    <w:p w14:paraId="7CD2C8CA">
      <w:pPr>
        <w:pStyle w:val="17"/>
        <w:snapToGrid/>
        <w:spacing w:line="360" w:lineRule="auto"/>
        <w:rPr>
          <w:rFonts w:hAnsi="宋体" w:cs="宋体"/>
          <w:color w:val="auto"/>
          <w:sz w:val="24"/>
          <w:szCs w:val="24"/>
        </w:rPr>
      </w:pPr>
      <w:r>
        <w:rPr>
          <w:rFonts w:hAnsi="宋体" w:cs="宋体"/>
          <w:color w:val="auto"/>
          <w:sz w:val="24"/>
          <w:szCs w:val="24"/>
        </w:rPr>
        <w:t>通过对接云资源运维团队排查网络端口策略及相应工单，进行定期协调收集，问题归类，形成问题一览表，支撑对</w:t>
      </w:r>
      <w:r>
        <w:rPr>
          <w:rFonts w:hint="eastAsia" w:hAnsi="宋体" w:cs="宋体"/>
          <w:color w:val="auto"/>
          <w:sz w:val="24"/>
          <w:szCs w:val="24"/>
        </w:rPr>
        <w:t>部门、应用间私拉乱接</w:t>
      </w:r>
      <w:r>
        <w:rPr>
          <w:rFonts w:hAnsi="宋体" w:cs="宋体"/>
          <w:color w:val="auto"/>
          <w:sz w:val="24"/>
          <w:szCs w:val="24"/>
        </w:rPr>
        <w:t>的专项整治。</w:t>
      </w:r>
    </w:p>
    <w:p w14:paraId="05D8C0D7">
      <w:pPr>
        <w:pStyle w:val="17"/>
        <w:numPr>
          <w:ilvl w:val="255"/>
          <w:numId w:val="0"/>
        </w:numPr>
        <w:snapToGrid/>
        <w:spacing w:line="360" w:lineRule="auto"/>
        <w:ind w:left="420"/>
        <w:rPr>
          <w:rFonts w:hAnsi="宋体" w:cs="宋体"/>
          <w:b/>
          <w:bCs/>
          <w:color w:val="auto"/>
          <w:sz w:val="24"/>
          <w:szCs w:val="24"/>
        </w:rPr>
      </w:pPr>
      <w:r>
        <w:rPr>
          <w:rFonts w:hAnsi="宋体" w:cs="宋体"/>
          <w:b/>
          <w:bCs/>
          <w:color w:val="auto"/>
          <w:sz w:val="24"/>
          <w:szCs w:val="24"/>
        </w:rPr>
        <w:t>（3）共享流程改造对接</w:t>
      </w:r>
    </w:p>
    <w:p w14:paraId="579F4339">
      <w:pPr>
        <w:pStyle w:val="17"/>
        <w:snapToGrid/>
        <w:spacing w:line="360" w:lineRule="auto"/>
        <w:rPr>
          <w:rFonts w:hAnsi="宋体" w:cs="宋体"/>
          <w:b/>
          <w:bCs/>
          <w:color w:val="auto"/>
          <w:sz w:val="24"/>
          <w:szCs w:val="24"/>
        </w:rPr>
      </w:pPr>
      <w:r>
        <w:rPr>
          <w:rFonts w:hint="eastAsia" w:hAnsi="宋体" w:cs="宋体"/>
          <w:b/>
          <w:bCs/>
          <w:color w:val="auto"/>
          <w:sz w:val="24"/>
          <w:szCs w:val="24"/>
        </w:rPr>
        <w:t>①省统一网关对接流程改造运维</w:t>
      </w:r>
    </w:p>
    <w:p w14:paraId="3576833F">
      <w:pPr>
        <w:pStyle w:val="17"/>
        <w:snapToGrid/>
        <w:spacing w:line="360" w:lineRule="auto"/>
        <w:rPr>
          <w:rFonts w:hAnsi="宋体" w:cs="宋体"/>
          <w:color w:val="auto"/>
          <w:sz w:val="24"/>
          <w:szCs w:val="24"/>
        </w:rPr>
      </w:pPr>
      <w:r>
        <w:rPr>
          <w:rFonts w:hint="eastAsia" w:hAnsi="宋体" w:cs="宋体"/>
          <w:color w:val="auto"/>
          <w:sz w:val="24"/>
          <w:szCs w:val="24"/>
        </w:rPr>
        <w:t>1）网关注册：将网关注册至省网关管理信息，若存在已注册信息错误的需及时更新。</w:t>
      </w:r>
    </w:p>
    <w:p w14:paraId="7BAABA8C">
      <w:pPr>
        <w:pStyle w:val="17"/>
        <w:snapToGrid/>
        <w:spacing w:line="360" w:lineRule="auto"/>
        <w:rPr>
          <w:rFonts w:hAnsi="宋体" w:cs="宋体"/>
          <w:color w:val="auto"/>
          <w:sz w:val="24"/>
          <w:szCs w:val="24"/>
        </w:rPr>
      </w:pPr>
      <w:r>
        <w:rPr>
          <w:rFonts w:hint="eastAsia" w:hAnsi="宋体" w:cs="宋体"/>
          <w:color w:val="auto"/>
          <w:sz w:val="24"/>
          <w:szCs w:val="24"/>
        </w:rPr>
        <w:t>2）接口注册：网关接口注册需满足【接口数据标准】，按标准进行数据网关改造；</w:t>
      </w:r>
    </w:p>
    <w:p w14:paraId="5B40DBFF">
      <w:pPr>
        <w:pStyle w:val="17"/>
        <w:snapToGrid/>
        <w:spacing w:line="360" w:lineRule="auto"/>
        <w:rPr>
          <w:rFonts w:hAnsi="宋体" w:cs="宋体"/>
          <w:color w:val="auto"/>
          <w:sz w:val="24"/>
          <w:szCs w:val="24"/>
        </w:rPr>
      </w:pPr>
      <w:r>
        <w:rPr>
          <w:rFonts w:hint="eastAsia" w:hAnsi="宋体" w:cs="宋体"/>
          <w:color w:val="auto"/>
          <w:sz w:val="24"/>
          <w:szCs w:val="24"/>
        </w:rPr>
        <w:t>3）日志生成：合并接口调用存留日志【接口调用日志数据标准】改造。</w:t>
      </w:r>
    </w:p>
    <w:p w14:paraId="6A31B0C0">
      <w:pPr>
        <w:pStyle w:val="17"/>
        <w:snapToGrid/>
        <w:spacing w:line="360" w:lineRule="auto"/>
        <w:rPr>
          <w:rFonts w:hAnsi="宋体" w:cs="宋体"/>
          <w:color w:val="auto"/>
          <w:sz w:val="24"/>
          <w:szCs w:val="24"/>
        </w:rPr>
      </w:pPr>
      <w:r>
        <w:rPr>
          <w:rFonts w:hint="eastAsia" w:hAnsi="宋体" w:cs="宋体"/>
          <w:color w:val="auto"/>
          <w:sz w:val="24"/>
          <w:szCs w:val="24"/>
        </w:rPr>
        <w:t>4）统一网关管理系统对接：接口注册功能对接网关管理系统，更新接口信息，将对接后新增接口调用日志对接至网关管理系统。</w:t>
      </w:r>
    </w:p>
    <w:p w14:paraId="7005217B">
      <w:pPr>
        <w:pStyle w:val="17"/>
        <w:snapToGrid/>
        <w:spacing w:line="360" w:lineRule="auto"/>
        <w:rPr>
          <w:rFonts w:hAnsi="宋体" w:cs="宋体"/>
          <w:color w:val="auto"/>
          <w:sz w:val="24"/>
          <w:szCs w:val="24"/>
        </w:rPr>
      </w:pPr>
      <w:r>
        <w:rPr>
          <w:rFonts w:hint="eastAsia" w:hAnsi="宋体" w:cs="宋体"/>
          <w:color w:val="auto"/>
          <w:sz w:val="24"/>
          <w:szCs w:val="24"/>
        </w:rPr>
        <w:t>5）存量数据整改：存量接口数据整改需满足【接口数据标准】,并将存量接口数据同步至统一网关管理系统。</w:t>
      </w:r>
    </w:p>
    <w:p w14:paraId="1F13B8AC">
      <w:pPr>
        <w:pStyle w:val="17"/>
        <w:snapToGrid/>
        <w:spacing w:line="360" w:lineRule="auto"/>
        <w:rPr>
          <w:rFonts w:hAnsi="宋体" w:cs="宋体"/>
          <w:color w:val="auto"/>
          <w:sz w:val="24"/>
          <w:szCs w:val="24"/>
        </w:rPr>
      </w:pPr>
      <w:r>
        <w:rPr>
          <w:rFonts w:hint="eastAsia" w:hAnsi="宋体" w:cs="宋体"/>
          <w:color w:val="auto"/>
          <w:sz w:val="24"/>
          <w:szCs w:val="24"/>
        </w:rPr>
        <w:t>6）存量申请数据补录：在接口上架IRS之前，将区网关的申请数据同步至统一网关管理系统。</w:t>
      </w:r>
    </w:p>
    <w:p w14:paraId="432FA984">
      <w:pPr>
        <w:pStyle w:val="17"/>
        <w:snapToGrid/>
        <w:spacing w:line="360" w:lineRule="auto"/>
        <w:rPr>
          <w:rFonts w:hAnsi="宋体" w:cs="宋体"/>
          <w:b/>
          <w:bCs/>
          <w:color w:val="auto"/>
          <w:sz w:val="24"/>
          <w:szCs w:val="24"/>
        </w:rPr>
      </w:pPr>
      <w:r>
        <w:rPr>
          <w:rFonts w:hint="eastAsia" w:hAnsi="宋体" w:cs="宋体"/>
          <w:b/>
          <w:bCs/>
          <w:color w:val="auto"/>
          <w:sz w:val="24"/>
          <w:szCs w:val="24"/>
        </w:rPr>
        <w:t>②共享方式流程改造运维</w:t>
      </w:r>
    </w:p>
    <w:p w14:paraId="67A4A78C">
      <w:pPr>
        <w:pStyle w:val="17"/>
        <w:snapToGrid/>
        <w:spacing w:line="360" w:lineRule="auto"/>
        <w:rPr>
          <w:rFonts w:hAnsi="宋体" w:cs="宋体"/>
          <w:color w:val="auto"/>
          <w:sz w:val="24"/>
          <w:szCs w:val="24"/>
        </w:rPr>
      </w:pPr>
      <w:r>
        <w:rPr>
          <w:rFonts w:hint="eastAsia" w:hAnsi="宋体" w:cs="宋体"/>
          <w:color w:val="auto"/>
          <w:sz w:val="24"/>
          <w:szCs w:val="24"/>
        </w:rPr>
        <w:t>1）批量数据共享：</w:t>
      </w:r>
      <w:r>
        <w:rPr>
          <w:rFonts w:hAnsi="宋体" w:cs="宋体"/>
          <w:sz w:val="24"/>
          <w:szCs w:val="24"/>
        </w:rPr>
        <w:t>对接部门IRS批量数据共享申请工单，以自动化程序完成批量数据共享自动授权。</w:t>
      </w:r>
    </w:p>
    <w:p w14:paraId="6576A477">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2）接口共享：</w:t>
      </w:r>
      <w:r>
        <w:rPr>
          <w:rFonts w:hAnsi="宋体" w:cs="宋体"/>
          <w:sz w:val="24"/>
          <w:szCs w:val="24"/>
        </w:rPr>
        <w:t>对接部门IRS数据接口共享申请工单，以自动化程序完成API接口授权及策略配置。</w:t>
      </w:r>
    </w:p>
    <w:p w14:paraId="111EC39A">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3）批量数据导出：</w:t>
      </w:r>
      <w:r>
        <w:rPr>
          <w:rFonts w:hAnsi="宋体" w:cs="宋体"/>
          <w:sz w:val="24"/>
          <w:szCs w:val="24"/>
        </w:rPr>
        <w:t>对接部门IRS批量数据导出申请工单，以自动化程序完成批量数据表导出授权。</w:t>
      </w:r>
    </w:p>
    <w:p w14:paraId="726ECC38">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（4）</w:t>
      </w:r>
      <w:r>
        <w:rPr>
          <w:rFonts w:hAnsi="宋体" w:cs="宋体"/>
          <w:b/>
          <w:bCs/>
          <w:color w:val="auto"/>
          <w:sz w:val="24"/>
          <w:szCs w:val="24"/>
        </w:rPr>
        <w:t>IRS数据资源运维支持</w:t>
      </w:r>
    </w:p>
    <w:p w14:paraId="30AD5312">
      <w:pPr>
        <w:pStyle w:val="17"/>
        <w:numPr>
          <w:ilvl w:val="255"/>
          <w:numId w:val="0"/>
        </w:numPr>
        <w:snapToGrid/>
        <w:spacing w:line="360" w:lineRule="auto"/>
        <w:ind w:firstLine="482" w:firstLineChars="200"/>
        <w:rPr>
          <w:rFonts w:hAnsi="宋体" w:cs="宋体"/>
          <w:b/>
          <w:bCs/>
          <w:color w:val="auto"/>
          <w:sz w:val="24"/>
          <w:szCs w:val="24"/>
        </w:rPr>
      </w:pPr>
      <w:r>
        <w:rPr>
          <w:rFonts w:hint="eastAsia" w:hAnsi="宋体" w:cs="宋体"/>
          <w:b/>
          <w:bCs/>
          <w:color w:val="auto"/>
          <w:sz w:val="24"/>
          <w:szCs w:val="24"/>
        </w:rPr>
        <w:t>①共享接口运维</w:t>
      </w:r>
    </w:p>
    <w:p w14:paraId="0DD7C2C2">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开展批量数据、共享接口、批量数据导出等数据资源自动授权、释放、升降配等日常运维工作。</w:t>
      </w:r>
    </w:p>
    <w:p w14:paraId="2E1B5FF9">
      <w:pPr>
        <w:pStyle w:val="17"/>
        <w:numPr>
          <w:ilvl w:val="255"/>
          <w:numId w:val="0"/>
        </w:numPr>
        <w:snapToGrid/>
        <w:spacing w:line="360" w:lineRule="auto"/>
        <w:ind w:firstLine="482" w:firstLineChars="200"/>
        <w:rPr>
          <w:rFonts w:hAnsi="宋体" w:cs="宋体"/>
          <w:b/>
          <w:bCs/>
          <w:color w:val="auto"/>
          <w:sz w:val="24"/>
          <w:szCs w:val="24"/>
        </w:rPr>
      </w:pPr>
      <w:r>
        <w:rPr>
          <w:rFonts w:hint="eastAsia" w:hAnsi="宋体" w:cs="宋体"/>
          <w:b/>
          <w:bCs/>
          <w:color w:val="auto"/>
          <w:sz w:val="24"/>
          <w:szCs w:val="24"/>
        </w:rPr>
        <w:t>②接口问题分析</w:t>
      </w:r>
    </w:p>
    <w:p w14:paraId="2CC207FF">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开展资源自动开通、释放时效分析、失败问题分析等统计，推进整个流程持续完善。</w:t>
      </w:r>
    </w:p>
    <w:p w14:paraId="6AE14BCB">
      <w:pPr>
        <w:pStyle w:val="17"/>
        <w:snapToGrid/>
        <w:spacing w:line="360" w:lineRule="auto"/>
        <w:rPr>
          <w:rFonts w:hAnsi="宋体" w:cs="宋体"/>
          <w:b/>
          <w:bCs/>
          <w:color w:val="auto"/>
          <w:sz w:val="24"/>
          <w:szCs w:val="24"/>
        </w:rPr>
      </w:pPr>
      <w:r>
        <w:rPr>
          <w:rFonts w:hint="eastAsia" w:hAnsi="宋体" w:cs="宋体"/>
          <w:b/>
          <w:bCs/>
          <w:color w:val="auto"/>
          <w:sz w:val="24"/>
          <w:szCs w:val="24"/>
        </w:rPr>
        <w:t>③数据脱敏</w:t>
      </w:r>
    </w:p>
    <w:p w14:paraId="2AFD8402">
      <w:pPr>
        <w:pStyle w:val="17"/>
        <w:snapToGrid/>
        <w:spacing w:line="360" w:lineRule="auto"/>
        <w:rPr>
          <w:rFonts w:hAnsi="宋体" w:cs="宋体"/>
          <w:color w:val="auto"/>
          <w:sz w:val="24"/>
          <w:szCs w:val="24"/>
        </w:rPr>
      </w:pPr>
      <w:r>
        <w:rPr>
          <w:rFonts w:hint="eastAsia" w:hAnsi="宋体" w:cs="宋体"/>
          <w:color w:val="auto"/>
          <w:sz w:val="24"/>
          <w:szCs w:val="24"/>
        </w:rPr>
        <w:t>按照省市区数据安全共享安全要求，对公共数据共享的敏感数据导出进行数据审核。</w:t>
      </w:r>
    </w:p>
    <w:p w14:paraId="7D9C6F60">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（5）数据共享技术支持</w:t>
      </w:r>
    </w:p>
    <w:p w14:paraId="4F4D9338">
      <w:pPr>
        <w:pStyle w:val="17"/>
        <w:snapToGrid/>
        <w:spacing w:line="360" w:lineRule="auto"/>
        <w:rPr>
          <w:rFonts w:hAnsi="宋体" w:cs="宋体"/>
          <w:color w:val="auto"/>
          <w:sz w:val="24"/>
          <w:szCs w:val="24"/>
        </w:rPr>
      </w:pPr>
      <w:r>
        <w:rPr>
          <w:rFonts w:hint="eastAsia" w:hAnsi="宋体" w:cs="宋体"/>
          <w:color w:val="auto"/>
          <w:sz w:val="24"/>
          <w:szCs w:val="24"/>
        </w:rPr>
        <w:t>数据共享技术支持服务需要围绕国家数据直达基层展开，针对省市下发的任务进行解读和技术支持服务，在数据共享方面，提供国家数据直达基层相关技术支持、数据申请支持、数据对接支持等服务，针对省平台相关系统建设和对接规范提供技术支持。</w:t>
      </w:r>
    </w:p>
    <w:p w14:paraId="52BFB73E">
      <w:pPr>
        <w:pStyle w:val="17"/>
        <w:spacing w:line="360" w:lineRule="auto"/>
        <w:rPr>
          <w:rFonts w:hAnsi="宋体" w:cs="宋体"/>
          <w:b/>
          <w:bCs/>
          <w:color w:val="auto"/>
          <w:sz w:val="24"/>
          <w:szCs w:val="24"/>
        </w:rPr>
      </w:pPr>
      <w:r>
        <w:rPr>
          <w:rFonts w:hint="eastAsia" w:hAnsi="宋体" w:cs="宋体"/>
          <w:b/>
          <w:bCs/>
          <w:color w:val="auto"/>
          <w:sz w:val="24"/>
          <w:szCs w:val="24"/>
        </w:rPr>
        <w:t>2、数据加工服务（自然人与法人基础信息校验服务、存量模型迭代服务）</w:t>
      </w:r>
    </w:p>
    <w:p w14:paraId="001FC372">
      <w:pPr>
        <w:pStyle w:val="17"/>
        <w:numPr>
          <w:ilvl w:val="255"/>
          <w:numId w:val="0"/>
        </w:numPr>
        <w:snapToGrid/>
        <w:spacing w:line="360" w:lineRule="auto"/>
        <w:ind w:firstLine="482" w:firstLineChars="200"/>
        <w:rPr>
          <w:rFonts w:hAnsi="宋体" w:cs="宋体"/>
          <w:b/>
          <w:bCs/>
          <w:color w:val="auto"/>
          <w:sz w:val="24"/>
          <w:szCs w:val="24"/>
        </w:rPr>
      </w:pPr>
      <w:r>
        <w:rPr>
          <w:rFonts w:hint="eastAsia" w:hAnsi="宋体" w:cs="宋体"/>
          <w:b/>
          <w:bCs/>
          <w:color w:val="auto"/>
          <w:sz w:val="24"/>
          <w:szCs w:val="24"/>
        </w:rPr>
        <w:t>（1）自然人与法人基础信息校验服务</w:t>
      </w:r>
    </w:p>
    <w:p w14:paraId="03398D9A">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为满足省市对人口、法人高频关键数据项核验的要求，围绕数据核验方案制定、高频数据项处理、数据核验技术、数据核验技术支持等开展服务。</w:t>
      </w:r>
    </w:p>
    <w:p w14:paraId="23BB9B39">
      <w:pPr>
        <w:pStyle w:val="17"/>
        <w:snapToGrid/>
        <w:spacing w:line="360" w:lineRule="auto"/>
        <w:rPr>
          <w:rFonts w:hAnsi="宋体" w:cs="宋体"/>
          <w:b/>
          <w:bCs/>
          <w:color w:val="auto"/>
          <w:sz w:val="24"/>
          <w:szCs w:val="24"/>
        </w:rPr>
      </w:pPr>
      <w:r>
        <w:rPr>
          <w:rFonts w:hint="eastAsia" w:hAnsi="宋体" w:cs="宋体"/>
          <w:b/>
          <w:bCs/>
          <w:color w:val="auto"/>
          <w:sz w:val="24"/>
          <w:szCs w:val="24"/>
        </w:rPr>
        <w:t>①数据核验方案制定</w:t>
      </w:r>
    </w:p>
    <w:p w14:paraId="7E4266E0">
      <w:pPr>
        <w:pStyle w:val="17"/>
        <w:snapToGrid/>
        <w:spacing w:line="360" w:lineRule="auto"/>
        <w:rPr>
          <w:rFonts w:hAnsi="宋体" w:cs="宋体"/>
          <w:color w:val="auto"/>
          <w:sz w:val="24"/>
          <w:szCs w:val="24"/>
        </w:rPr>
      </w:pPr>
      <w:r>
        <w:rPr>
          <w:rFonts w:hint="eastAsia" w:hAnsi="宋体" w:cs="宋体"/>
          <w:color w:val="auto"/>
          <w:sz w:val="24"/>
          <w:szCs w:val="24"/>
        </w:rPr>
        <w:t>围绕省市人口、法人高频关键数据项核验要求分析，以及余杭情况进行分析，制定数据核验方案，同时开展技术支持服务，解答方案中涉及的技术问题。</w:t>
      </w:r>
    </w:p>
    <w:p w14:paraId="66924AB1">
      <w:pPr>
        <w:pStyle w:val="17"/>
        <w:snapToGrid/>
        <w:spacing w:line="360" w:lineRule="auto"/>
        <w:rPr>
          <w:rFonts w:hAnsi="宋体" w:cs="宋体"/>
          <w:b/>
          <w:bCs/>
          <w:color w:val="auto"/>
          <w:sz w:val="24"/>
          <w:szCs w:val="24"/>
        </w:rPr>
      </w:pPr>
      <w:r>
        <w:rPr>
          <w:rFonts w:hint="eastAsia" w:hAnsi="宋体" w:cs="宋体"/>
          <w:b/>
          <w:bCs/>
          <w:color w:val="auto"/>
          <w:sz w:val="24"/>
          <w:szCs w:val="24"/>
        </w:rPr>
        <w:t>②高频数据项处理服务</w:t>
      </w:r>
    </w:p>
    <w:p w14:paraId="074A8734">
      <w:pPr>
        <w:pStyle w:val="17"/>
        <w:snapToGrid/>
        <w:spacing w:line="360" w:lineRule="auto"/>
        <w:rPr>
          <w:rFonts w:hAnsi="宋体" w:cs="宋体"/>
          <w:color w:val="auto"/>
          <w:sz w:val="24"/>
          <w:szCs w:val="24"/>
        </w:rPr>
      </w:pPr>
      <w:r>
        <w:rPr>
          <w:rFonts w:hint="eastAsia" w:hAnsi="宋体" w:cs="宋体"/>
          <w:color w:val="auto"/>
          <w:sz w:val="24"/>
          <w:szCs w:val="24"/>
        </w:rPr>
        <w:t>根据省市要求的高频关键数据项清单，确定需归集的数据源、数据项、数据量等，开展数据归集加工、数据上报工作，按照省市要求将加工后的及时、准确地数据上报至省、市平台。</w:t>
      </w:r>
    </w:p>
    <w:p w14:paraId="402F0CA7">
      <w:pPr>
        <w:pStyle w:val="17"/>
        <w:snapToGrid/>
        <w:spacing w:line="360" w:lineRule="auto"/>
        <w:rPr>
          <w:rFonts w:hAnsi="宋体" w:cs="宋体"/>
          <w:b/>
          <w:bCs/>
          <w:color w:val="auto"/>
          <w:sz w:val="24"/>
          <w:szCs w:val="24"/>
        </w:rPr>
      </w:pPr>
      <w:r>
        <w:rPr>
          <w:rFonts w:hint="eastAsia" w:hAnsi="宋体" w:cs="宋体"/>
          <w:b/>
          <w:bCs/>
          <w:color w:val="auto"/>
          <w:sz w:val="24"/>
          <w:szCs w:val="24"/>
        </w:rPr>
        <w:t>③数据核验技术服务</w:t>
      </w:r>
    </w:p>
    <w:p w14:paraId="75D2918C">
      <w:pPr>
        <w:pStyle w:val="17"/>
        <w:snapToGrid/>
        <w:spacing w:line="360" w:lineRule="auto"/>
        <w:rPr>
          <w:rFonts w:hAnsi="宋体" w:cs="宋体"/>
          <w:color w:val="auto"/>
          <w:sz w:val="24"/>
          <w:szCs w:val="24"/>
        </w:rPr>
      </w:pPr>
      <w:r>
        <w:rPr>
          <w:rFonts w:hint="eastAsia" w:hAnsi="宋体" w:cs="宋体"/>
          <w:color w:val="auto"/>
          <w:sz w:val="24"/>
          <w:szCs w:val="24"/>
        </w:rPr>
        <w:t>基于省市下发的人口、法人高频待核验数据及省市核验规则要求，开展数据碰撞核验，将碰撞核验结果，按照省市要求反馈至省市平台。根据人口、法人高频数据基层核验要求，提供需要流转至基层核验的数据清单，供第三方渠道下发流转，提供和第三方渠道的数据对接支持，完成核验结果数据的归并、上报。</w:t>
      </w:r>
    </w:p>
    <w:p w14:paraId="6F3B2C67">
      <w:pPr>
        <w:pStyle w:val="17"/>
        <w:snapToGrid/>
        <w:spacing w:line="360" w:lineRule="auto"/>
        <w:rPr>
          <w:rFonts w:hAnsi="宋体" w:cs="宋体"/>
          <w:b/>
          <w:bCs/>
          <w:color w:val="auto"/>
          <w:sz w:val="24"/>
          <w:szCs w:val="24"/>
        </w:rPr>
      </w:pPr>
      <w:r>
        <w:rPr>
          <w:rFonts w:hint="eastAsia" w:hAnsi="宋体" w:cs="宋体"/>
          <w:b/>
          <w:bCs/>
          <w:color w:val="auto"/>
          <w:sz w:val="24"/>
          <w:szCs w:val="24"/>
        </w:rPr>
        <w:t>④技术支持服务</w:t>
      </w:r>
    </w:p>
    <w:p w14:paraId="38850289">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基于省市人口、法人基础信息核验要求，提供省市评价指标体系的技术支持服务，包括解释和说明省市评价指标体系的含义、计算方法、数据来源等内容。基于评价指标体系，结合余杭实际，提出区级评价指标体系的建议和方案，包括评价指标的选择、权重、计算方法等。</w:t>
      </w:r>
    </w:p>
    <w:p w14:paraId="4634FA5E">
      <w:pPr>
        <w:pStyle w:val="17"/>
        <w:numPr>
          <w:ilvl w:val="255"/>
          <w:numId w:val="0"/>
        </w:numPr>
        <w:snapToGrid/>
        <w:spacing w:line="360" w:lineRule="auto"/>
        <w:ind w:firstLine="482" w:firstLineChars="200"/>
        <w:rPr>
          <w:rFonts w:hAnsi="宋体" w:cs="宋体"/>
          <w:b/>
          <w:bCs/>
          <w:color w:val="auto"/>
          <w:sz w:val="24"/>
          <w:szCs w:val="24"/>
          <w:highlight w:val="yellow"/>
        </w:rPr>
      </w:pPr>
      <w:r>
        <w:rPr>
          <w:rFonts w:hint="eastAsia" w:hAnsi="宋体" w:cs="宋体"/>
          <w:b/>
          <w:bCs/>
          <w:color w:val="auto"/>
          <w:sz w:val="24"/>
          <w:szCs w:val="24"/>
        </w:rPr>
        <w:t>（2）存量模型迭代服务</w:t>
      </w:r>
    </w:p>
    <w:p w14:paraId="6FC9CCC5">
      <w:pPr>
        <w:numPr>
          <w:ilvl w:val="255"/>
          <w:numId w:val="0"/>
        </w:numPr>
        <w:spacing w:after="0" w:line="360" w:lineRule="auto"/>
        <w:ind w:firstLine="480" w:firstLineChars="200"/>
        <w:rPr>
          <w:rFonts w:ascii="宋体" w:hAnsi="宋体" w:cs="宋体"/>
          <w:sz w:val="24"/>
        </w:rPr>
      </w:pPr>
      <w:r>
        <w:rPr>
          <w:rFonts w:hint="eastAsia" w:ascii="宋体" w:hAnsi="宋体" w:cs="宋体"/>
          <w:sz w:val="24"/>
          <w:lang w:bidi="ar"/>
        </w:rPr>
        <w:t>基于人地企时空治理专题库存量在用模型开展模型迭代服务，完成至少10个模型的迭代。</w:t>
      </w:r>
    </w:p>
    <w:p w14:paraId="4859B8C3">
      <w:pPr>
        <w:pStyle w:val="17"/>
        <w:snapToGrid/>
        <w:spacing w:line="360" w:lineRule="auto"/>
        <w:rPr>
          <w:rFonts w:hAnsi="宋体" w:cs="宋体"/>
          <w:b/>
          <w:bCs/>
          <w:color w:val="auto"/>
          <w:sz w:val="24"/>
          <w:szCs w:val="24"/>
        </w:rPr>
      </w:pPr>
      <w:r>
        <w:rPr>
          <w:rFonts w:hint="eastAsia" w:hAnsi="宋体" w:cs="宋体"/>
          <w:b/>
          <w:bCs/>
          <w:color w:val="auto"/>
          <w:sz w:val="24"/>
          <w:szCs w:val="24"/>
        </w:rPr>
        <w:t>①需求分析</w:t>
      </w:r>
      <w:r>
        <w:rPr>
          <w:rFonts w:hint="eastAsia" w:hAnsi="宋体" w:cs="宋体"/>
          <w:b/>
          <w:bCs/>
          <w:color w:val="auto"/>
          <w:sz w:val="24"/>
          <w:szCs w:val="24"/>
        </w:rPr>
        <w:tab/>
      </w:r>
    </w:p>
    <w:p w14:paraId="0D4DE094">
      <w:pPr>
        <w:pStyle w:val="17"/>
        <w:snapToGrid/>
        <w:spacing w:line="360" w:lineRule="auto"/>
        <w:rPr>
          <w:rFonts w:hAnsi="宋体" w:cs="宋体"/>
          <w:color w:val="auto"/>
          <w:sz w:val="24"/>
          <w:szCs w:val="24"/>
        </w:rPr>
      </w:pPr>
      <w:r>
        <w:rPr>
          <w:rFonts w:hint="eastAsia" w:hAnsi="宋体" w:cs="宋体"/>
          <w:color w:val="auto"/>
          <w:sz w:val="24"/>
          <w:szCs w:val="24"/>
        </w:rPr>
        <w:t>对接收集有关人地企时空治理专题库已建数据模型的新的业务需求。根据收集的需求，分析需求的背景、目标、范围和难点。</w:t>
      </w:r>
    </w:p>
    <w:p w14:paraId="7751E2BB">
      <w:pPr>
        <w:pStyle w:val="17"/>
        <w:snapToGrid/>
        <w:spacing w:line="360" w:lineRule="auto"/>
        <w:rPr>
          <w:rFonts w:hAnsi="宋体" w:cs="宋体"/>
          <w:b/>
          <w:bCs/>
          <w:color w:val="auto"/>
          <w:sz w:val="24"/>
          <w:szCs w:val="24"/>
        </w:rPr>
      </w:pPr>
      <w:r>
        <w:rPr>
          <w:rFonts w:hint="eastAsia" w:hAnsi="宋体" w:cs="宋体"/>
          <w:b/>
          <w:bCs/>
          <w:color w:val="auto"/>
          <w:sz w:val="24"/>
          <w:szCs w:val="24"/>
        </w:rPr>
        <w:t>②模型评估</w:t>
      </w:r>
      <w:r>
        <w:rPr>
          <w:rFonts w:hint="eastAsia" w:hAnsi="宋体" w:cs="宋体"/>
          <w:b/>
          <w:bCs/>
          <w:color w:val="auto"/>
          <w:sz w:val="24"/>
          <w:szCs w:val="24"/>
        </w:rPr>
        <w:tab/>
      </w:r>
    </w:p>
    <w:p w14:paraId="1424E835">
      <w:pPr>
        <w:pStyle w:val="17"/>
        <w:snapToGrid/>
        <w:spacing w:line="360" w:lineRule="auto"/>
        <w:rPr>
          <w:rFonts w:hAnsi="宋体" w:cs="宋体"/>
          <w:color w:val="auto"/>
          <w:sz w:val="24"/>
          <w:szCs w:val="24"/>
        </w:rPr>
      </w:pPr>
      <w:r>
        <w:rPr>
          <w:rFonts w:hint="eastAsia" w:hAnsi="宋体" w:cs="宋体"/>
          <w:color w:val="auto"/>
          <w:sz w:val="24"/>
          <w:szCs w:val="24"/>
        </w:rPr>
        <w:t>基于模型迭代需求，开展数源数据核查、模型状态分析、模型迭代的业务评估、模型迭代的技术评估等工作，并进行模型迭代任务排期。</w:t>
      </w:r>
    </w:p>
    <w:p w14:paraId="7736B0BB">
      <w:pPr>
        <w:pStyle w:val="17"/>
        <w:snapToGrid/>
        <w:spacing w:line="360" w:lineRule="auto"/>
        <w:rPr>
          <w:rFonts w:hAnsi="宋体" w:cs="宋体"/>
          <w:color w:val="auto"/>
          <w:sz w:val="24"/>
          <w:szCs w:val="24"/>
        </w:rPr>
      </w:pPr>
      <w:r>
        <w:rPr>
          <w:rFonts w:hint="eastAsia" w:hAnsi="宋体" w:cs="宋体"/>
          <w:b/>
          <w:bCs/>
          <w:color w:val="auto"/>
          <w:sz w:val="24"/>
          <w:szCs w:val="24"/>
        </w:rPr>
        <w:t>③模型迭代方案设计评估</w:t>
      </w:r>
      <w:r>
        <w:rPr>
          <w:rFonts w:hint="eastAsia" w:hAnsi="宋体" w:cs="宋体"/>
          <w:color w:val="auto"/>
          <w:sz w:val="24"/>
          <w:szCs w:val="24"/>
        </w:rPr>
        <w:tab/>
      </w:r>
    </w:p>
    <w:p w14:paraId="03C62372">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基于模型迭代需求，完成物理模型设计、概念模型设计、数据质量检测设计等工作，出具模型迭代方案，并通过模型迭代方案选型评估确定最终模型迭代方案。</w:t>
      </w:r>
    </w:p>
    <w:p w14:paraId="34EFBA9F">
      <w:pPr>
        <w:pStyle w:val="17"/>
        <w:snapToGrid/>
        <w:spacing w:line="360" w:lineRule="auto"/>
        <w:ind w:firstLine="482" w:firstLineChars="200"/>
        <w:rPr>
          <w:rFonts w:hAnsi="宋体" w:cs="宋体"/>
          <w:color w:val="auto"/>
          <w:sz w:val="24"/>
          <w:szCs w:val="24"/>
        </w:rPr>
      </w:pPr>
      <w:r>
        <w:rPr>
          <w:rFonts w:hint="eastAsia" w:hAnsi="宋体" w:cs="宋体"/>
          <w:b/>
          <w:bCs/>
          <w:color w:val="auto"/>
          <w:sz w:val="24"/>
          <w:szCs w:val="24"/>
        </w:rPr>
        <w:t>④模型迭代</w:t>
      </w:r>
    </w:p>
    <w:p w14:paraId="1AF130DD">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基于模型迭代需求和迭代方案，完成模型迭代开发</w:t>
      </w:r>
      <w:r>
        <w:rPr>
          <w:rFonts w:hAnsi="宋体" w:cs="宋体"/>
          <w:color w:val="auto"/>
          <w:sz w:val="24"/>
          <w:szCs w:val="24"/>
        </w:rPr>
        <w:t>工作</w:t>
      </w:r>
      <w:r>
        <w:rPr>
          <w:rFonts w:hint="eastAsia" w:hAnsi="宋体" w:cs="宋体"/>
          <w:color w:val="auto"/>
          <w:sz w:val="24"/>
          <w:szCs w:val="24"/>
        </w:rPr>
        <w:t>，包括且不限于数据加工代码调整、数据加工任务执行、数据质量监测等。</w:t>
      </w:r>
    </w:p>
    <w:p w14:paraId="36EFDDAE">
      <w:pPr>
        <w:pStyle w:val="17"/>
        <w:snapToGrid/>
        <w:spacing w:line="360" w:lineRule="auto"/>
        <w:ind w:firstLine="482" w:firstLineChars="200"/>
        <w:rPr>
          <w:rFonts w:hAnsi="宋体" w:cs="宋体"/>
          <w:b/>
          <w:bCs/>
          <w:color w:val="auto"/>
          <w:sz w:val="24"/>
          <w:szCs w:val="24"/>
        </w:rPr>
      </w:pPr>
      <w:r>
        <w:rPr>
          <w:rFonts w:hint="eastAsia" w:hAnsi="宋体" w:cs="宋体"/>
          <w:b/>
          <w:bCs/>
          <w:color w:val="auto"/>
          <w:sz w:val="24"/>
          <w:szCs w:val="24"/>
        </w:rPr>
        <w:t>⑤编制、迭代模型维护说明书</w:t>
      </w:r>
    </w:p>
    <w:p w14:paraId="5651812A">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lang w:bidi="ar"/>
        </w:rPr>
        <w:t>按照统一的格式和标准，编写、迭代模型维护说明书，包括模型的概述、目的、范围、变更记录、表结构、加工逻辑、更新周期、注意事项等内容。</w:t>
      </w:r>
    </w:p>
    <w:p w14:paraId="2A20DE1E">
      <w:pPr>
        <w:pStyle w:val="17"/>
        <w:snapToGrid/>
        <w:spacing w:line="360" w:lineRule="auto"/>
        <w:ind w:firstLine="482" w:firstLineChars="200"/>
        <w:rPr>
          <w:rFonts w:hAnsi="宋体" w:cs="宋体"/>
          <w:b/>
          <w:bCs/>
          <w:color w:val="auto"/>
          <w:sz w:val="24"/>
          <w:szCs w:val="24"/>
        </w:rPr>
      </w:pPr>
      <w:r>
        <w:rPr>
          <w:rFonts w:hint="eastAsia" w:hAnsi="宋体" w:cs="宋体"/>
          <w:b/>
          <w:bCs/>
          <w:color w:val="auto"/>
          <w:sz w:val="24"/>
          <w:szCs w:val="24"/>
        </w:rPr>
        <w:t>⑥用户体验反馈</w:t>
      </w:r>
    </w:p>
    <w:p w14:paraId="3DA3DB82">
      <w:pPr>
        <w:pStyle w:val="17"/>
        <w:snapToGrid/>
        <w:spacing w:line="360" w:lineRule="auto"/>
        <w:ind w:firstLine="480" w:firstLineChars="200"/>
        <w:rPr>
          <w:rFonts w:hAnsi="宋体" w:cs="宋体"/>
          <w:b/>
          <w:bCs/>
          <w:color w:val="auto"/>
          <w:sz w:val="24"/>
          <w:szCs w:val="24"/>
          <w:highlight w:val="yellow"/>
        </w:rPr>
      </w:pPr>
      <w:r>
        <w:rPr>
          <w:rFonts w:hint="eastAsia" w:hAnsi="宋体" w:cs="宋体"/>
          <w:sz w:val="24"/>
          <w:szCs w:val="24"/>
          <w:lang w:bidi="ar"/>
        </w:rPr>
        <w:t>在数据模型迭代过程中，积极收集用户的反馈意见和使用体验。通过用户调研、用户满意度调查等方式，了解用户对新模型的评价和需求。根据用户反馈，及时调整和改进数据模型，提高用户的满意度和使用效果。</w:t>
      </w:r>
    </w:p>
    <w:p w14:paraId="37D83EBD">
      <w:pPr>
        <w:spacing w:line="360" w:lineRule="auto"/>
        <w:ind w:firstLine="482" w:firstLineChars="200"/>
        <w:rPr>
          <w:rFonts w:ascii="宋体" w:hAnsi="宋体" w:cs="宋体"/>
          <w:b/>
          <w:bCs/>
          <w:snapToGrid w:val="0"/>
          <w:kern w:val="28"/>
          <w:sz w:val="24"/>
        </w:rPr>
      </w:pPr>
      <w:r>
        <w:rPr>
          <w:rFonts w:hint="eastAsia" w:ascii="宋体" w:hAnsi="宋体" w:cs="宋体"/>
          <w:b/>
          <w:bCs/>
          <w:snapToGrid w:val="0"/>
          <w:kern w:val="28"/>
          <w:sz w:val="24"/>
        </w:rPr>
        <w:t>3、数据产品服务</w:t>
      </w:r>
    </w:p>
    <w:p w14:paraId="3B856446">
      <w:pPr>
        <w:pStyle w:val="17"/>
        <w:numPr>
          <w:ilvl w:val="255"/>
          <w:numId w:val="0"/>
        </w:numPr>
        <w:snapToGrid/>
        <w:spacing w:line="360" w:lineRule="auto"/>
        <w:ind w:firstLine="480" w:firstLineChars="200"/>
        <w:rPr>
          <w:rFonts w:hAnsi="宋体" w:cs="宋体"/>
          <w:b/>
          <w:bCs/>
          <w:color w:val="auto"/>
          <w:sz w:val="24"/>
          <w:szCs w:val="24"/>
        </w:rPr>
      </w:pPr>
      <w:r>
        <w:rPr>
          <w:rFonts w:hint="eastAsia" w:hAnsi="宋体" w:cs="宋体"/>
          <w:color w:val="auto"/>
          <w:sz w:val="24"/>
          <w:szCs w:val="24"/>
        </w:rPr>
        <w:t>基于基层工作台、一表通等数据深度开发利用场景，通过数据产品服务打造一批可复制可推广的数据产品，以增强基层智治成效，完成20个数据产品打造</w:t>
      </w:r>
      <w:r>
        <w:rPr>
          <w:rFonts w:hAnsi="宋体" w:cs="宋体"/>
          <w:color w:val="auto"/>
          <w:sz w:val="24"/>
          <w:szCs w:val="24"/>
        </w:rPr>
        <w:t>，完成</w:t>
      </w:r>
      <w:r>
        <w:rPr>
          <w:rFonts w:hint="eastAsia" w:hAnsi="宋体" w:cs="宋体"/>
          <w:color w:val="auto"/>
          <w:sz w:val="24"/>
          <w:szCs w:val="24"/>
        </w:rPr>
        <w:t>15个</w:t>
      </w:r>
      <w:r>
        <w:rPr>
          <w:rFonts w:hAnsi="宋体" w:cs="宋体"/>
          <w:color w:val="auto"/>
          <w:sz w:val="24"/>
          <w:szCs w:val="24"/>
        </w:rPr>
        <w:t>配套</w:t>
      </w:r>
      <w:r>
        <w:rPr>
          <w:rFonts w:hint="eastAsia" w:hAnsi="宋体" w:cs="宋体"/>
          <w:color w:val="auto"/>
          <w:sz w:val="24"/>
          <w:szCs w:val="24"/>
        </w:rPr>
        <w:t>API接口的开发。聚焦国家数据直达基层应用场景，完成2个场景的案例分析。</w:t>
      </w:r>
    </w:p>
    <w:p w14:paraId="3C8D9F3D">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（1）数据产品需求运营服务</w:t>
      </w:r>
    </w:p>
    <w:p w14:paraId="72DDE9A3">
      <w:pPr>
        <w:pStyle w:val="17"/>
        <w:snapToGrid/>
        <w:spacing w:line="360" w:lineRule="auto"/>
        <w:ind w:left="420" w:firstLine="0"/>
        <w:rPr>
          <w:rFonts w:hAnsi="宋体" w:cs="宋体"/>
          <w:b/>
          <w:bCs/>
          <w:color w:val="auto"/>
          <w:sz w:val="24"/>
          <w:szCs w:val="24"/>
        </w:rPr>
      </w:pPr>
      <w:r>
        <w:rPr>
          <w:rFonts w:hint="eastAsia" w:hAnsi="宋体" w:cs="宋体"/>
          <w:b/>
          <w:bCs/>
          <w:color w:val="auto"/>
          <w:sz w:val="24"/>
          <w:szCs w:val="24"/>
        </w:rPr>
        <w:t>①数据产品需求收集</w:t>
      </w:r>
    </w:p>
    <w:p w14:paraId="40075A24">
      <w:pPr>
        <w:pStyle w:val="17"/>
        <w:snapToGrid/>
        <w:spacing w:line="360" w:lineRule="auto"/>
        <w:rPr>
          <w:rFonts w:hAnsi="宋体" w:cs="宋体"/>
          <w:color w:val="auto"/>
          <w:sz w:val="24"/>
          <w:szCs w:val="24"/>
        </w:rPr>
      </w:pPr>
      <w:r>
        <w:rPr>
          <w:rFonts w:hint="eastAsia" w:hAnsi="宋体" w:cs="宋体"/>
          <w:color w:val="auto"/>
          <w:sz w:val="24"/>
          <w:szCs w:val="24"/>
        </w:rPr>
        <w:t>设计数据产品需求收集机制，帮助部门解决在数据产品需求收集过程中遇到的问题。</w:t>
      </w:r>
    </w:p>
    <w:p w14:paraId="58051347">
      <w:pPr>
        <w:pStyle w:val="17"/>
        <w:snapToGrid/>
        <w:spacing w:line="360" w:lineRule="auto"/>
        <w:rPr>
          <w:rFonts w:hAnsi="宋体" w:cs="宋体"/>
          <w:color w:val="auto"/>
          <w:sz w:val="24"/>
          <w:szCs w:val="24"/>
        </w:rPr>
      </w:pPr>
      <w:r>
        <w:rPr>
          <w:rFonts w:hint="eastAsia" w:hAnsi="宋体" w:cs="宋体"/>
          <w:b/>
          <w:bCs/>
          <w:color w:val="auto"/>
          <w:sz w:val="24"/>
          <w:szCs w:val="24"/>
        </w:rPr>
        <w:t>②数据产品需求梳理</w:t>
      </w:r>
      <w:r>
        <w:rPr>
          <w:rFonts w:hint="eastAsia" w:hAnsi="宋体" w:cs="宋体"/>
          <w:color w:val="auto"/>
          <w:sz w:val="24"/>
          <w:szCs w:val="24"/>
        </w:rPr>
        <w:tab/>
      </w:r>
    </w:p>
    <w:p w14:paraId="79F6952D">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梳理数据产品需求的业务背景，初步形成数据产品需求的技术实现路径说明和数据产品需求的解决方案，评估数据产品预期成效。</w:t>
      </w:r>
    </w:p>
    <w:p w14:paraId="756F90ED">
      <w:pPr>
        <w:pStyle w:val="17"/>
        <w:snapToGrid/>
        <w:spacing w:line="360" w:lineRule="auto"/>
        <w:rPr>
          <w:rFonts w:hAnsi="宋体" w:cs="宋体"/>
          <w:b/>
          <w:bCs/>
          <w:color w:val="auto"/>
          <w:sz w:val="24"/>
          <w:szCs w:val="24"/>
        </w:rPr>
      </w:pPr>
      <w:r>
        <w:rPr>
          <w:rFonts w:hint="eastAsia" w:hAnsi="宋体" w:cs="宋体"/>
          <w:b/>
          <w:bCs/>
          <w:color w:val="auto"/>
          <w:sz w:val="24"/>
          <w:szCs w:val="24"/>
        </w:rPr>
        <w:t>③数据产品需求评估</w:t>
      </w:r>
    </w:p>
    <w:p w14:paraId="38BFB253">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编写数据产品需求说明，从业务背景、业务痛点、用数需求、技术实现方案、预期成效等方面，形成数据产品需求说明文档。开展数据产品需求联审，形成数据产品的开发结论。</w:t>
      </w:r>
    </w:p>
    <w:p w14:paraId="52E6F0A5">
      <w:pPr>
        <w:pStyle w:val="17"/>
        <w:snapToGrid/>
        <w:spacing w:line="360" w:lineRule="auto"/>
        <w:rPr>
          <w:rFonts w:hAnsi="宋体" w:cs="宋体"/>
          <w:b/>
          <w:bCs/>
          <w:color w:val="auto"/>
          <w:sz w:val="24"/>
          <w:szCs w:val="24"/>
        </w:rPr>
      </w:pPr>
      <w:r>
        <w:rPr>
          <w:rFonts w:hint="eastAsia" w:hAnsi="宋体" w:cs="宋体"/>
          <w:b/>
          <w:bCs/>
          <w:color w:val="auto"/>
          <w:sz w:val="24"/>
          <w:szCs w:val="24"/>
        </w:rPr>
        <w:t>④已建数据产品复用的技术分析支持</w:t>
      </w:r>
    </w:p>
    <w:p w14:paraId="2DCD5954">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调查和研究区内应用和已建数据产品，分析区内应用已建数据产品的可复用性，并协助制定区内应用已建数据产品的复用方案。</w:t>
      </w:r>
    </w:p>
    <w:p w14:paraId="2A1FF71D">
      <w:pPr>
        <w:pStyle w:val="17"/>
        <w:snapToGrid/>
        <w:spacing w:line="360" w:lineRule="auto"/>
        <w:rPr>
          <w:rFonts w:hAnsi="宋体" w:cs="宋体"/>
          <w:b/>
          <w:bCs/>
          <w:color w:val="auto"/>
          <w:sz w:val="24"/>
          <w:szCs w:val="24"/>
        </w:rPr>
      </w:pPr>
      <w:r>
        <w:rPr>
          <w:rFonts w:hint="eastAsia" w:hAnsi="宋体" w:cs="宋体"/>
          <w:b/>
          <w:bCs/>
          <w:color w:val="auto"/>
          <w:sz w:val="24"/>
          <w:szCs w:val="24"/>
        </w:rPr>
        <w:t>⑤数据产品开发的技术分析支持</w:t>
      </w:r>
    </w:p>
    <w:p w14:paraId="4C6C8075">
      <w:pPr>
        <w:pStyle w:val="17"/>
        <w:snapToGrid/>
        <w:spacing w:line="360" w:lineRule="auto"/>
        <w:ind w:firstLine="480" w:firstLineChars="200"/>
        <w:rPr>
          <w:rFonts w:hAnsi="宋体" w:cs="宋体"/>
          <w:color w:val="auto"/>
          <w:sz w:val="24"/>
          <w:szCs w:val="24"/>
        </w:rPr>
      </w:pPr>
      <w:r>
        <w:rPr>
          <w:rFonts w:hint="eastAsia" w:hAnsi="宋体" w:cs="宋体"/>
          <w:color w:val="auto"/>
          <w:sz w:val="24"/>
          <w:szCs w:val="24"/>
        </w:rPr>
        <w:t>数据产品开发的技术实现方案制定，基于省市区数据资源，开展模型POC验证，输出数据模型可行性评估。</w:t>
      </w:r>
    </w:p>
    <w:p w14:paraId="6816CE60">
      <w:pPr>
        <w:pStyle w:val="17"/>
        <w:snapToGrid/>
        <w:spacing w:line="360" w:lineRule="auto"/>
        <w:rPr>
          <w:rFonts w:hAnsi="宋体" w:cs="宋体"/>
          <w:b/>
          <w:bCs/>
          <w:color w:val="auto"/>
          <w:sz w:val="24"/>
          <w:szCs w:val="24"/>
        </w:rPr>
      </w:pPr>
      <w:r>
        <w:rPr>
          <w:rFonts w:hint="eastAsia" w:hAnsi="宋体" w:cs="宋体"/>
          <w:b/>
          <w:bCs/>
          <w:color w:val="auto"/>
          <w:sz w:val="24"/>
          <w:szCs w:val="24"/>
        </w:rPr>
        <w:t>⑥数据产品的数据要素复用</w:t>
      </w:r>
    </w:p>
    <w:p w14:paraId="080D426A">
      <w:pPr>
        <w:snapToGrid w:val="0"/>
        <w:spacing w:after="0" w:line="360" w:lineRule="auto"/>
        <w:ind w:firstLine="480" w:firstLineChars="200"/>
        <w:rPr>
          <w:rFonts w:ascii="宋体" w:hAnsi="宋体" w:cs="宋体"/>
          <w:sz w:val="24"/>
        </w:rPr>
      </w:pPr>
      <w:r>
        <w:rPr>
          <w:rFonts w:hint="eastAsia" w:ascii="宋体" w:hAnsi="宋体" w:cs="宋体"/>
          <w:snapToGrid w:val="0"/>
          <w:kern w:val="28"/>
          <w:sz w:val="24"/>
        </w:rPr>
        <w:t>结合数据产品跨层级用数需求，通过IRS数据单位目录、基础库数据目录、大脑目录等渠道分析确定数据</w:t>
      </w:r>
      <w:r>
        <w:rPr>
          <w:rFonts w:hint="eastAsia" w:ascii="宋体" w:hAnsi="宋体" w:cs="宋体"/>
          <w:kern w:val="28"/>
          <w:sz w:val="24"/>
          <w:lang w:bidi="ar"/>
        </w:rPr>
        <w:t>可行性、技术落地可行性等</w:t>
      </w:r>
      <w:r>
        <w:rPr>
          <w:rFonts w:hint="eastAsia" w:ascii="宋体" w:hAnsi="宋体" w:cs="宋体"/>
          <w:snapToGrid w:val="0"/>
          <w:kern w:val="28"/>
          <w:sz w:val="24"/>
        </w:rPr>
        <w:t>。</w:t>
      </w:r>
    </w:p>
    <w:p w14:paraId="0F91CCE9">
      <w:pPr>
        <w:pStyle w:val="17"/>
        <w:snapToGrid/>
        <w:spacing w:line="360" w:lineRule="auto"/>
        <w:rPr>
          <w:rFonts w:hAnsi="宋体" w:cs="宋体"/>
          <w:b/>
          <w:bCs/>
          <w:color w:val="auto"/>
          <w:sz w:val="24"/>
          <w:szCs w:val="24"/>
        </w:rPr>
      </w:pPr>
      <w:r>
        <w:rPr>
          <w:rFonts w:hint="eastAsia" w:hAnsi="宋体" w:cs="宋体"/>
          <w:b/>
          <w:bCs/>
          <w:color w:val="auto"/>
          <w:sz w:val="24"/>
          <w:szCs w:val="24"/>
        </w:rPr>
        <w:t>⑦数据产品机制迭代</w:t>
      </w:r>
    </w:p>
    <w:p w14:paraId="23B5FC82">
      <w:pPr>
        <w:pStyle w:val="61"/>
        <w:snapToGrid w:val="0"/>
        <w:spacing w:line="360" w:lineRule="auto"/>
        <w:ind w:firstLine="480" w:firstLineChars="200"/>
        <w:rPr>
          <w:rFonts w:cs="宋体"/>
        </w:rPr>
      </w:pPr>
      <w:r>
        <w:rPr>
          <w:rFonts w:hint="eastAsia" w:cs="宋体"/>
        </w:rPr>
        <w:t>根据实践，对数据产品需求分析机制迭代，提出优化方案。</w:t>
      </w:r>
      <w:r>
        <w:rPr>
          <w:rFonts w:hint="eastAsia" w:cs="宋体"/>
          <w:color w:val="000000"/>
          <w:kern w:val="28"/>
          <w:lang w:bidi="ar"/>
        </w:rPr>
        <w:t>根据实践经验及基层反馈，提炼数据产品需求分析机制缺陷，优化流程机制。</w:t>
      </w:r>
    </w:p>
    <w:p w14:paraId="275885B8">
      <w:pPr>
        <w:pStyle w:val="17"/>
        <w:numPr>
          <w:ilvl w:val="255"/>
          <w:numId w:val="0"/>
        </w:numPr>
        <w:snapToGrid/>
        <w:spacing w:line="360" w:lineRule="auto"/>
        <w:ind w:firstLine="241" w:firstLineChars="100"/>
        <w:rPr>
          <w:rFonts w:hAnsi="宋体" w:cs="宋体"/>
          <w:b/>
          <w:bCs/>
          <w:color w:val="auto"/>
          <w:sz w:val="24"/>
          <w:szCs w:val="24"/>
        </w:rPr>
      </w:pPr>
      <w:r>
        <w:rPr>
          <w:rFonts w:hint="eastAsia" w:hAnsi="宋体" w:cs="宋体"/>
          <w:b/>
          <w:bCs/>
          <w:color w:val="auto"/>
          <w:sz w:val="24"/>
          <w:szCs w:val="24"/>
        </w:rPr>
        <w:t>（2）新增产品模型加工服务</w:t>
      </w:r>
    </w:p>
    <w:p w14:paraId="479DD339">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①需求分析</w:t>
      </w:r>
    </w:p>
    <w:p w14:paraId="44F342A5">
      <w:pPr>
        <w:pStyle w:val="17"/>
        <w:numPr>
          <w:ilvl w:val="255"/>
          <w:numId w:val="0"/>
        </w:numPr>
        <w:snapToGrid/>
        <w:spacing w:line="360" w:lineRule="auto"/>
        <w:ind w:left="420"/>
        <w:rPr>
          <w:rFonts w:hAnsi="宋体" w:cs="宋体"/>
          <w:color w:val="auto"/>
          <w:sz w:val="24"/>
          <w:szCs w:val="24"/>
        </w:rPr>
      </w:pPr>
      <w:r>
        <w:rPr>
          <w:rFonts w:hint="eastAsia" w:hAnsi="宋体" w:cs="宋体"/>
          <w:color w:val="auto"/>
          <w:sz w:val="24"/>
          <w:szCs w:val="24"/>
        </w:rPr>
        <w:t>技术需求分析，协助区本级进行数据产品相关技术需求、技术实现路径分析。</w:t>
      </w:r>
    </w:p>
    <w:p w14:paraId="3F8030A8">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②数据模型方案设计评估</w:t>
      </w:r>
    </w:p>
    <w:p w14:paraId="6E9B1DD7">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根据需求，设计数据模型方案、物理模型、概念模型，同时对数据模型方案进行评估。</w:t>
      </w:r>
    </w:p>
    <w:p w14:paraId="1035151B">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③数据加工</w:t>
      </w:r>
      <w:r>
        <w:rPr>
          <w:rFonts w:hint="eastAsia" w:hAnsi="宋体" w:cs="宋体"/>
          <w:b/>
          <w:bCs/>
          <w:color w:val="auto"/>
          <w:sz w:val="24"/>
          <w:szCs w:val="24"/>
        </w:rPr>
        <w:tab/>
      </w:r>
    </w:p>
    <w:p w14:paraId="49738669">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通过数据清洗、数据转化、数据融合等方法，对数据源中的数据进行加工。</w:t>
      </w:r>
    </w:p>
    <w:p w14:paraId="440A7EE6">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④模型建立、比对</w:t>
      </w:r>
      <w:r>
        <w:rPr>
          <w:rFonts w:hint="eastAsia" w:hAnsi="宋体" w:cs="宋体"/>
          <w:b/>
          <w:bCs/>
          <w:color w:val="auto"/>
          <w:sz w:val="24"/>
          <w:szCs w:val="24"/>
        </w:rPr>
        <w:tab/>
      </w:r>
    </w:p>
    <w:p w14:paraId="02779F1A">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根据数据模型的物理模型和概念模型，构建数据模型的实例。对不同的数据模型进行比对，评估数据模型的有效性、稳定性、一致性等，选取表现较好或表现较为稳定的数据模型，作为数据产品的最终模型。</w:t>
      </w:r>
    </w:p>
    <w:p w14:paraId="0763592D">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⑤问题排查解决</w:t>
      </w:r>
    </w:p>
    <w:p w14:paraId="773F2E95">
      <w:pPr>
        <w:pStyle w:val="17"/>
        <w:numPr>
          <w:ilvl w:val="255"/>
          <w:numId w:val="0"/>
        </w:numPr>
        <w:snapToGrid/>
        <w:spacing w:line="360" w:lineRule="auto"/>
        <w:ind w:firstLine="480" w:firstLineChars="200"/>
        <w:rPr>
          <w:rFonts w:hAnsi="宋体" w:cs="宋体"/>
          <w:color w:val="auto"/>
          <w:sz w:val="24"/>
          <w:szCs w:val="24"/>
        </w:rPr>
      </w:pPr>
      <w:r>
        <w:rPr>
          <w:rFonts w:hint="eastAsia" w:hAnsi="宋体" w:cs="宋体"/>
          <w:color w:val="auto"/>
          <w:sz w:val="24"/>
          <w:szCs w:val="24"/>
        </w:rPr>
        <w:t>对于数据加工过程中出现的问题，如数据源异常、数据质量低、数据处理错误、数据模型不匹配等，及时排查并解决问题，同时进行问题反馈。</w:t>
      </w:r>
    </w:p>
    <w:p w14:paraId="4547C360">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⑥模型维护说明书编写</w:t>
      </w:r>
    </w:p>
    <w:p w14:paraId="605C352B">
      <w:pPr>
        <w:pStyle w:val="17"/>
        <w:numPr>
          <w:ilvl w:val="255"/>
          <w:numId w:val="0"/>
        </w:numPr>
        <w:snapToGrid/>
        <w:spacing w:line="360" w:lineRule="auto"/>
        <w:ind w:left="420"/>
        <w:rPr>
          <w:rFonts w:hAnsi="宋体" w:cs="宋体"/>
          <w:b/>
          <w:bCs/>
          <w:color w:val="auto"/>
          <w:sz w:val="24"/>
          <w:szCs w:val="24"/>
        </w:rPr>
      </w:pPr>
      <w:r>
        <w:rPr>
          <w:rFonts w:hint="eastAsia" w:hAnsi="宋体" w:cs="宋体"/>
          <w:color w:val="auto"/>
          <w:sz w:val="24"/>
          <w:szCs w:val="24"/>
        </w:rPr>
        <w:t>从模型的表结构、加工逻辑、更新周期等方面编制模型维护说明书。</w:t>
      </w:r>
    </w:p>
    <w:p w14:paraId="22288720">
      <w:pPr>
        <w:pStyle w:val="17"/>
        <w:numPr>
          <w:ilvl w:val="255"/>
          <w:numId w:val="0"/>
        </w:numPr>
        <w:snapToGrid/>
        <w:spacing w:line="360" w:lineRule="auto"/>
        <w:ind w:left="420"/>
        <w:rPr>
          <w:rFonts w:hAnsi="宋体" w:cs="宋体"/>
          <w:b/>
          <w:bCs/>
          <w:color w:val="auto"/>
          <w:sz w:val="24"/>
          <w:szCs w:val="24"/>
        </w:rPr>
      </w:pPr>
      <w:r>
        <w:rPr>
          <w:rFonts w:hint="eastAsia" w:hAnsi="宋体" w:cs="宋体"/>
          <w:b/>
          <w:bCs/>
          <w:color w:val="auto"/>
          <w:sz w:val="24"/>
          <w:szCs w:val="24"/>
        </w:rPr>
        <w:t>（3）案例分析</w:t>
      </w:r>
    </w:p>
    <w:p w14:paraId="1B8F4F48">
      <w:pPr>
        <w:spacing w:after="0" w:line="360" w:lineRule="auto"/>
        <w:ind w:firstLine="480"/>
        <w:rPr>
          <w:rFonts w:ascii="宋体" w:hAnsi="宋体" w:cs="宋体"/>
          <w:sz w:val="24"/>
        </w:rPr>
      </w:pPr>
      <w:r>
        <w:rPr>
          <w:rFonts w:hint="eastAsia" w:ascii="宋体" w:hAnsi="宋体" w:cs="宋体"/>
          <w:sz w:val="24"/>
          <w:lang w:bidi="ar"/>
        </w:rPr>
        <w:t>针对省市基础库、数据仓等重点工作要求，结合余杭区基础库、专题库、数据仓建设情况，形成至少2份完整的典型案例报告。</w:t>
      </w:r>
    </w:p>
    <w:p w14:paraId="2330FDAD">
      <w:pPr>
        <w:spacing w:after="0" w:line="360" w:lineRule="auto"/>
        <w:ind w:firstLine="480"/>
        <w:rPr>
          <w:rFonts w:ascii="宋体" w:hAnsi="宋体" w:cs="宋体"/>
          <w:b/>
          <w:bCs/>
          <w:sz w:val="24"/>
        </w:rPr>
      </w:pPr>
      <w:r>
        <w:rPr>
          <w:rFonts w:hint="eastAsia" w:ascii="宋体" w:hAnsi="宋体" w:cs="宋体"/>
          <w:b/>
          <w:bCs/>
          <w:sz w:val="24"/>
          <w:lang w:bidi="ar"/>
        </w:rPr>
        <w:t>①省内案例调研</w:t>
      </w:r>
    </w:p>
    <w:p w14:paraId="5A115F58">
      <w:pPr>
        <w:spacing w:after="0" w:line="360" w:lineRule="auto"/>
        <w:ind w:firstLine="480"/>
        <w:rPr>
          <w:rFonts w:ascii="宋体" w:hAnsi="宋体" w:cs="宋体"/>
          <w:sz w:val="24"/>
        </w:rPr>
      </w:pPr>
      <w:r>
        <w:rPr>
          <w:rFonts w:hint="eastAsia" w:ascii="宋体" w:hAnsi="宋体" w:cs="宋体"/>
          <w:sz w:val="24"/>
          <w:lang w:bidi="ar"/>
        </w:rPr>
        <w:t>调研收集省内其他地市区县基础库、主题库、数据仓以及相关产品建设相关案例，整理沉淀相关场景案例的资料信息。</w:t>
      </w:r>
    </w:p>
    <w:p w14:paraId="46F316F3">
      <w:pPr>
        <w:spacing w:after="0" w:line="360" w:lineRule="auto"/>
        <w:ind w:firstLine="480"/>
        <w:rPr>
          <w:rFonts w:ascii="宋体" w:hAnsi="宋体" w:cs="宋体"/>
          <w:b/>
          <w:bCs/>
          <w:sz w:val="24"/>
        </w:rPr>
      </w:pPr>
      <w:r>
        <w:rPr>
          <w:rFonts w:hint="eastAsia" w:ascii="宋体" w:hAnsi="宋体" w:cs="宋体"/>
          <w:b/>
          <w:bCs/>
          <w:sz w:val="24"/>
          <w:lang w:bidi="ar"/>
        </w:rPr>
        <w:t>②省内案例分析</w:t>
      </w:r>
    </w:p>
    <w:p w14:paraId="16C48A7C">
      <w:pPr>
        <w:spacing w:after="0" w:line="360" w:lineRule="auto"/>
        <w:ind w:firstLine="480"/>
        <w:rPr>
          <w:rFonts w:ascii="宋体" w:hAnsi="宋体" w:cs="宋体"/>
          <w:sz w:val="24"/>
        </w:rPr>
      </w:pPr>
      <w:r>
        <w:rPr>
          <w:rFonts w:hint="eastAsia" w:ascii="宋体" w:hAnsi="宋体" w:cs="宋体"/>
          <w:sz w:val="24"/>
          <w:lang w:bidi="ar"/>
        </w:rPr>
        <w:t>对省内基础库、主题库、数据仓以及相关产品的使用状况进行深入分析，了解其技术方案的设计思路、实现方式、关键技术等。详细解析目前基础库、数据仓等技术方案的优势和不足之处，以及适用的场景和限制条件。</w:t>
      </w:r>
    </w:p>
    <w:p w14:paraId="61F34FB0">
      <w:pPr>
        <w:spacing w:after="0" w:line="360" w:lineRule="auto"/>
        <w:ind w:firstLine="480"/>
        <w:rPr>
          <w:rFonts w:ascii="宋体" w:hAnsi="宋体" w:cs="宋体"/>
          <w:b/>
          <w:bCs/>
          <w:sz w:val="24"/>
        </w:rPr>
      </w:pPr>
      <w:r>
        <w:rPr>
          <w:rFonts w:hint="eastAsia" w:ascii="宋体" w:hAnsi="宋体" w:cs="宋体"/>
          <w:b/>
          <w:bCs/>
          <w:sz w:val="24"/>
          <w:lang w:bidi="ar"/>
        </w:rPr>
        <w:t>③形成借鉴方案</w:t>
      </w:r>
    </w:p>
    <w:p w14:paraId="1B507B0E">
      <w:pPr>
        <w:spacing w:after="0" w:line="360" w:lineRule="auto"/>
        <w:ind w:firstLine="480"/>
        <w:rPr>
          <w:rFonts w:ascii="宋体" w:hAnsi="宋体" w:cs="宋体"/>
          <w:sz w:val="24"/>
        </w:rPr>
      </w:pPr>
      <w:r>
        <w:rPr>
          <w:rFonts w:hint="eastAsia" w:ascii="宋体" w:hAnsi="宋体" w:cs="宋体"/>
          <w:sz w:val="24"/>
          <w:lang w:bidi="ar"/>
        </w:rPr>
        <w:t>根据建设和使用结果，总结出可借鉴的技术方案要点、阶段性成效，形成具体的借鉴方案。</w:t>
      </w:r>
    </w:p>
    <w:p w14:paraId="15EFD189">
      <w:pPr>
        <w:spacing w:after="0" w:line="360" w:lineRule="auto"/>
        <w:ind w:firstLine="480"/>
        <w:rPr>
          <w:rFonts w:ascii="宋体" w:hAnsi="宋体" w:cs="宋体"/>
          <w:b/>
          <w:bCs/>
          <w:sz w:val="24"/>
        </w:rPr>
      </w:pPr>
      <w:r>
        <w:rPr>
          <w:rFonts w:hint="eastAsia" w:ascii="宋体" w:hAnsi="宋体" w:cs="宋体"/>
          <w:b/>
          <w:bCs/>
          <w:sz w:val="24"/>
          <w:lang w:bidi="ar"/>
        </w:rPr>
        <w:t>④案例背景梳理</w:t>
      </w:r>
    </w:p>
    <w:p w14:paraId="41846D34">
      <w:pPr>
        <w:spacing w:after="0" w:line="360" w:lineRule="auto"/>
        <w:ind w:firstLine="480"/>
        <w:rPr>
          <w:rFonts w:ascii="宋体" w:hAnsi="宋体" w:cs="宋体"/>
          <w:sz w:val="24"/>
        </w:rPr>
      </w:pPr>
      <w:r>
        <w:rPr>
          <w:rFonts w:hint="eastAsia" w:ascii="宋体" w:hAnsi="宋体" w:cs="宋体"/>
          <w:sz w:val="24"/>
          <w:lang w:bidi="ar"/>
        </w:rPr>
        <w:t>根据余杭本地基础库、数据仓等产品的背景和目标，调查基础库的使用需求，研究数据仓产品实现技术路径和省市区协同方案。</w:t>
      </w:r>
    </w:p>
    <w:p w14:paraId="788E5D36">
      <w:pPr>
        <w:spacing w:after="0" w:line="360" w:lineRule="auto"/>
        <w:ind w:firstLine="480"/>
        <w:rPr>
          <w:rFonts w:ascii="宋体" w:hAnsi="宋体" w:cs="宋体"/>
          <w:b/>
          <w:bCs/>
          <w:sz w:val="24"/>
        </w:rPr>
      </w:pPr>
      <w:r>
        <w:rPr>
          <w:rFonts w:hint="eastAsia" w:ascii="宋体" w:hAnsi="宋体" w:cs="宋体"/>
          <w:b/>
          <w:bCs/>
          <w:sz w:val="24"/>
          <w:lang w:bidi="ar"/>
        </w:rPr>
        <w:t>⑤评估建设进度和成效</w:t>
      </w:r>
    </w:p>
    <w:p w14:paraId="5C0E5A7E">
      <w:pPr>
        <w:spacing w:after="0" w:line="360" w:lineRule="auto"/>
        <w:ind w:firstLine="480"/>
        <w:rPr>
          <w:rFonts w:ascii="宋体" w:hAnsi="宋体" w:cs="宋体"/>
          <w:sz w:val="24"/>
        </w:rPr>
      </w:pPr>
      <w:r>
        <w:rPr>
          <w:rFonts w:hint="eastAsia" w:ascii="宋体" w:hAnsi="宋体" w:cs="宋体"/>
          <w:sz w:val="24"/>
          <w:lang w:bidi="ar"/>
        </w:rPr>
        <w:t>根据基础库、主题库、数据仓以及相关产品的建设进度，评估项目的实施效果和成果，包括数据使用情况、数据价值创造等，总结提炼项目中的创新点和技术亮点。</w:t>
      </w:r>
    </w:p>
    <w:p w14:paraId="0771D156">
      <w:pPr>
        <w:spacing w:after="0" w:line="360" w:lineRule="auto"/>
        <w:ind w:firstLine="480"/>
        <w:rPr>
          <w:rFonts w:ascii="宋体" w:hAnsi="宋体" w:cs="宋体"/>
          <w:b/>
          <w:bCs/>
          <w:sz w:val="24"/>
        </w:rPr>
      </w:pPr>
      <w:r>
        <w:rPr>
          <w:rFonts w:hint="eastAsia" w:ascii="宋体" w:hAnsi="宋体" w:cs="宋体"/>
          <w:b/>
          <w:bCs/>
          <w:sz w:val="24"/>
          <w:lang w:bidi="ar"/>
        </w:rPr>
        <w:t>⑥典型案例报告编写</w:t>
      </w:r>
    </w:p>
    <w:p w14:paraId="6BBEEEF3">
      <w:pPr>
        <w:spacing w:after="0" w:line="360" w:lineRule="auto"/>
        <w:ind w:firstLine="480"/>
        <w:rPr>
          <w:rFonts w:ascii="宋体" w:hAnsi="宋体" w:cs="宋体"/>
          <w:sz w:val="24"/>
        </w:rPr>
      </w:pPr>
      <w:r>
        <w:rPr>
          <w:rFonts w:hint="eastAsia" w:ascii="宋体" w:hAnsi="宋体" w:cs="宋体"/>
          <w:sz w:val="24"/>
          <w:lang w:bidi="ar"/>
        </w:rPr>
        <w:t>编写完成至少2份完整的典型案例报告，包括项目背景、需求分析、技术方案、实施进度和成效评估、创新亮点等。</w:t>
      </w:r>
    </w:p>
    <w:p w14:paraId="0967971C">
      <w:pPr>
        <w:spacing w:after="0" w:line="360" w:lineRule="auto"/>
        <w:ind w:firstLine="480"/>
        <w:rPr>
          <w:rFonts w:ascii="宋体" w:hAnsi="宋体" w:cs="宋体"/>
          <w:b/>
          <w:bCs/>
          <w:sz w:val="24"/>
        </w:rPr>
      </w:pPr>
      <w:r>
        <w:rPr>
          <w:rFonts w:hint="eastAsia" w:ascii="宋体" w:hAnsi="宋体" w:cs="宋体"/>
          <w:b/>
          <w:bCs/>
          <w:sz w:val="24"/>
          <w:lang w:bidi="ar"/>
        </w:rPr>
        <w:t>⑦案例宣传技术服务</w:t>
      </w:r>
    </w:p>
    <w:p w14:paraId="5E5948F3">
      <w:pPr>
        <w:spacing w:line="360" w:lineRule="auto"/>
        <w:ind w:firstLine="480"/>
        <w:rPr>
          <w:rFonts w:ascii="宋体" w:hAnsi="宋体" w:cs="宋体"/>
          <w:highlight w:val="yellow"/>
        </w:rPr>
      </w:pPr>
      <w:r>
        <w:rPr>
          <w:rFonts w:hint="eastAsia" w:ascii="宋体" w:hAnsi="宋体" w:cs="宋体"/>
          <w:sz w:val="24"/>
          <w:lang w:bidi="ar"/>
        </w:rPr>
        <w:t>研究省市对于数据产品、数据利用等方面的重点工作要求，配合案例的宣传，提供技术方案、技术成效等技术维度的材料支持。</w:t>
      </w:r>
    </w:p>
    <w:p w14:paraId="2814E703">
      <w:pPr>
        <w:rPr>
          <w:rFonts w:ascii="宋体" w:hAnsi="宋体" w:cs="宋体"/>
          <w:sz w:val="24"/>
        </w:rPr>
      </w:pPr>
    </w:p>
    <w:p w14:paraId="49697BF5">
      <w:pPr>
        <w:pStyle w:val="6"/>
        <w:spacing w:before="0" w:after="0" w:line="360" w:lineRule="auto"/>
        <w:ind w:left="0" w:firstLine="0"/>
        <w:rPr>
          <w:rFonts w:ascii="宋体" w:hAnsi="宋体" w:cs="宋体"/>
          <w:sz w:val="24"/>
          <w:szCs w:val="24"/>
        </w:rPr>
      </w:pPr>
      <w:r>
        <w:rPr>
          <w:rFonts w:hint="eastAsia" w:ascii="宋体" w:hAnsi="宋体" w:cs="宋体"/>
          <w:sz w:val="24"/>
          <w:szCs w:val="24"/>
        </w:rPr>
        <w:t>（三）技术人员要求</w:t>
      </w:r>
    </w:p>
    <w:p w14:paraId="72C256D6">
      <w:pPr>
        <w:spacing w:line="360" w:lineRule="auto"/>
        <w:ind w:firstLine="480" w:firstLineChars="200"/>
        <w:jc w:val="left"/>
        <w:rPr>
          <w:rFonts w:ascii="宋体" w:hAnsi="宋体" w:cs="宋体"/>
          <w:sz w:val="24"/>
        </w:rPr>
      </w:pPr>
      <w:r>
        <w:rPr>
          <w:rFonts w:hint="eastAsia" w:ascii="宋体" w:hAnsi="宋体" w:cs="宋体"/>
          <w:sz w:val="24"/>
        </w:rPr>
        <w:t>本项目属于复杂的信息化运营服务项目，投标人需要配备专业技术运营人员开展平台的运营、运维等工作，且技术运营人员的数量应满足项目需要。中标人应选派具有丰富信息化及大数据平台经验的项目经理和专业技术的工程师，结合其在公共数据管理中的技术支持和服务方面的经验，提出本标项运营服务方案。本标项实施人员不少于 8人年，其中驻场人员不少于 4.5</w:t>
      </w:r>
      <w:r>
        <w:rPr>
          <w:rFonts w:ascii="宋体" w:hAnsi="宋体" w:cs="宋体"/>
          <w:sz w:val="24"/>
        </w:rPr>
        <w:t>人年，项目团队人员配置科学合理、分工明确。</w:t>
      </w:r>
    </w:p>
    <w:p w14:paraId="749122E0">
      <w:pPr>
        <w:pStyle w:val="5"/>
        <w:ind w:left="0" w:firstLine="0"/>
        <w:jc w:val="center"/>
        <w:rPr>
          <w:rFonts w:ascii="宋体" w:hAnsi="宋体" w:eastAsia="宋体" w:cs="宋体"/>
          <w:sz w:val="24"/>
          <w:szCs w:val="24"/>
          <w:lang w:val="en-US"/>
        </w:rPr>
      </w:pPr>
      <w:r>
        <w:rPr>
          <w:rFonts w:ascii="宋体" w:hAnsi="宋体" w:eastAsia="宋体" w:cs="宋体"/>
          <w:sz w:val="24"/>
          <w:szCs w:val="24"/>
          <w:lang w:val="en-US"/>
        </w:rPr>
        <w:t>标项三</w:t>
      </w:r>
      <w:r>
        <w:rPr>
          <w:rFonts w:hint="eastAsia" w:ascii="宋体" w:hAnsi="宋体" w:eastAsia="宋体" w:cs="宋体"/>
          <w:sz w:val="24"/>
          <w:szCs w:val="24"/>
          <w:lang w:val="en-US"/>
        </w:rPr>
        <w:t xml:space="preserve"> </w:t>
      </w:r>
      <w:r>
        <w:rPr>
          <w:rFonts w:ascii="宋体" w:hAnsi="宋体" w:eastAsia="宋体" w:cs="宋体"/>
          <w:sz w:val="24"/>
          <w:szCs w:val="24"/>
          <w:lang w:val="en-US"/>
        </w:rPr>
        <w:t>公共数据授权和组件运营服务</w:t>
      </w:r>
    </w:p>
    <w:p w14:paraId="4F4A3319">
      <w:pPr>
        <w:pStyle w:val="6"/>
        <w:spacing w:before="0" w:after="0" w:line="360" w:lineRule="auto"/>
        <w:ind w:left="0" w:firstLine="0"/>
        <w:rPr>
          <w:rFonts w:ascii="宋体" w:hAnsi="宋体" w:cs="宋体"/>
          <w:sz w:val="24"/>
          <w:szCs w:val="24"/>
        </w:rPr>
      </w:pPr>
      <w:r>
        <w:rPr>
          <w:rFonts w:hint="eastAsia" w:ascii="宋体" w:hAnsi="宋体" w:cs="宋体"/>
          <w:sz w:val="24"/>
          <w:szCs w:val="24"/>
        </w:rPr>
        <w:t>（一）项目概况</w:t>
      </w:r>
    </w:p>
    <w:p w14:paraId="0E80513B">
      <w:pPr>
        <w:spacing w:line="360" w:lineRule="auto"/>
        <w:ind w:firstLine="480" w:firstLineChars="200"/>
        <w:rPr>
          <w:rFonts w:ascii="宋体" w:hAnsi="宋体" w:cs="宋体"/>
          <w:sz w:val="24"/>
          <w:szCs w:val="32"/>
        </w:rPr>
      </w:pPr>
      <w:r>
        <w:rPr>
          <w:rFonts w:hint="eastAsia" w:ascii="宋体" w:hAnsi="宋体" w:cs="宋体"/>
          <w:sz w:val="24"/>
          <w:szCs w:val="32"/>
        </w:rPr>
        <w:t>本项目主要提供公共数据授权运营服务和组件运营服务。</w:t>
      </w:r>
    </w:p>
    <w:p w14:paraId="282225B9">
      <w:pPr>
        <w:spacing w:line="360" w:lineRule="auto"/>
        <w:ind w:firstLine="480" w:firstLineChars="200"/>
        <w:rPr>
          <w:rFonts w:ascii="宋体" w:hAnsi="宋体" w:cs="宋体"/>
          <w:sz w:val="24"/>
          <w:szCs w:val="32"/>
        </w:rPr>
      </w:pPr>
      <w:r>
        <w:rPr>
          <w:rFonts w:hint="eastAsia" w:ascii="宋体" w:hAnsi="宋体" w:cs="宋体"/>
          <w:sz w:val="24"/>
          <w:szCs w:val="32"/>
        </w:rPr>
        <w:t>公共数据授权运营服务是围绕国家“数据要素X”行动计划，根据省、市、区公共数据授权运营要求，筛选、明确、落地至少1个公共数据授权运营重点领域，分析区内数商企业情况，完成场景对接和挖掘，整理出重点对接企业清单，并对企业拟参与授权运营的场景需求进行引导和筛选；针对具体场景进行数据需求分析和数据可行性分析，推动余杭区公共数据授权运营工作有序合理进行，从而进一步激发余杭区数据要素资源，积极提升和巩固余杭区在全省数字经济领域的领跑地位。</w:t>
      </w:r>
    </w:p>
    <w:p w14:paraId="6920AD9C">
      <w:pPr>
        <w:spacing w:line="360" w:lineRule="auto"/>
        <w:ind w:firstLine="480" w:firstLineChars="200"/>
        <w:rPr>
          <w:rFonts w:ascii="宋体" w:hAnsi="宋体" w:cs="宋体"/>
        </w:rPr>
      </w:pPr>
      <w:r>
        <w:rPr>
          <w:rFonts w:hint="eastAsia" w:ascii="宋体" w:hAnsi="宋体" w:cs="宋体"/>
          <w:sz w:val="24"/>
          <w:szCs w:val="32"/>
        </w:rPr>
        <w:t>组件管理系统是余杭区一体化智能化公共数据平台的核心系统之一，是全区公共技术能力、公共数据能力、公共业务支撑能力数字化组件的服务枢纽。余杭区组件管理平台自2022年3月上线运行2年多来，已完成59个组件的上架，1个组件下架，维护10余个组件信息。其中，余杭区在省平台累计上架组件18个，上架组件共覆盖应用数115个，覆盖区县金华市、东阳市、温州市等16个地区，累计调用量4000多万次。组件运营服务目标是确保组件平台正常运行及组件正常运行。</w:t>
      </w:r>
    </w:p>
    <w:p w14:paraId="6B31ABC2">
      <w:pPr>
        <w:pStyle w:val="6"/>
        <w:spacing w:before="0" w:after="0" w:line="360" w:lineRule="auto"/>
        <w:ind w:left="0" w:firstLine="0"/>
        <w:rPr>
          <w:rFonts w:ascii="宋体" w:hAnsi="宋体" w:cs="宋体"/>
          <w:sz w:val="24"/>
          <w:szCs w:val="24"/>
        </w:rPr>
      </w:pPr>
      <w:r>
        <w:rPr>
          <w:rFonts w:hint="eastAsia" w:ascii="宋体" w:hAnsi="宋体" w:cs="宋体"/>
          <w:sz w:val="24"/>
          <w:szCs w:val="24"/>
        </w:rPr>
        <w:t>（二）项目服务内容</w:t>
      </w:r>
    </w:p>
    <w:p w14:paraId="092BB1D1">
      <w:pPr>
        <w:spacing w:line="360" w:lineRule="auto"/>
        <w:ind w:firstLine="482" w:firstLineChars="200"/>
        <w:rPr>
          <w:rFonts w:ascii="宋体" w:hAnsi="宋体" w:cs="宋体"/>
          <w:b/>
          <w:bCs/>
          <w:sz w:val="24"/>
          <w:szCs w:val="32"/>
        </w:rPr>
      </w:pPr>
      <w:r>
        <w:rPr>
          <w:rFonts w:hint="eastAsia" w:ascii="宋体" w:hAnsi="宋体" w:cs="宋体"/>
          <w:b/>
          <w:bCs/>
          <w:sz w:val="24"/>
          <w:szCs w:val="32"/>
        </w:rPr>
        <w:t>1、公共数据授权运营服务</w:t>
      </w:r>
    </w:p>
    <w:p w14:paraId="5CBC35FD">
      <w:pPr>
        <w:spacing w:line="360" w:lineRule="auto"/>
        <w:ind w:firstLine="480" w:firstLineChars="200"/>
        <w:rPr>
          <w:rFonts w:ascii="宋体" w:hAnsi="宋体" w:cs="宋体"/>
          <w:sz w:val="24"/>
          <w:szCs w:val="32"/>
        </w:rPr>
      </w:pPr>
      <w:r>
        <w:rPr>
          <w:rFonts w:hint="eastAsia" w:ascii="宋体" w:hAnsi="宋体" w:cs="宋体"/>
          <w:sz w:val="24"/>
          <w:szCs w:val="32"/>
        </w:rPr>
        <w:t>公共数据授权运营服务是围绕国家“数据要素X”三年行动计划和省市公共数据授权运营工作所做的创新性、探索性工作。至少完成1个场景落地，总结1个公共数据授权运营案例，为区内重点企业提供不少于3场培训，并围绕数据要素12大领域深度调研重点行业重点企业，形成5个不同场景可行性分析服务，针对3个具体场景的授权运营方案设计提供技术支持，并形成“数据要素价值实现的余杭实践”相关主题报告。</w:t>
      </w:r>
    </w:p>
    <w:p w14:paraId="5AE665F9">
      <w:pPr>
        <w:spacing w:line="360" w:lineRule="auto"/>
        <w:ind w:firstLine="482" w:firstLineChars="200"/>
        <w:rPr>
          <w:rFonts w:ascii="宋体" w:hAnsi="宋体" w:cs="宋体"/>
          <w:b/>
          <w:bCs/>
          <w:sz w:val="24"/>
          <w:szCs w:val="32"/>
        </w:rPr>
      </w:pPr>
      <w:r>
        <w:rPr>
          <w:rFonts w:hint="eastAsia" w:ascii="宋体" w:hAnsi="宋体" w:cs="宋体"/>
          <w:b/>
          <w:bCs/>
          <w:sz w:val="24"/>
          <w:szCs w:val="32"/>
        </w:rPr>
        <w:t>（1）公共数据授权运营技术支持服务</w:t>
      </w:r>
    </w:p>
    <w:p w14:paraId="0971CEAC">
      <w:pPr>
        <w:spacing w:line="360" w:lineRule="auto"/>
        <w:ind w:firstLine="482" w:firstLineChars="200"/>
        <w:rPr>
          <w:rFonts w:ascii="宋体" w:hAnsi="宋体" w:cs="宋体"/>
          <w:b/>
          <w:bCs/>
          <w:sz w:val="24"/>
          <w:szCs w:val="32"/>
        </w:rPr>
      </w:pPr>
      <w:r>
        <w:rPr>
          <w:rFonts w:hint="eastAsia" w:ascii="宋体" w:hAnsi="宋体" w:cs="宋体"/>
          <w:b/>
          <w:bCs/>
          <w:sz w:val="24"/>
          <w:szCs w:val="32"/>
        </w:rPr>
        <w:t>①制度规范建设技术支持服务</w:t>
      </w:r>
    </w:p>
    <w:p w14:paraId="0ADD8FA6">
      <w:pPr>
        <w:spacing w:line="360" w:lineRule="auto"/>
        <w:ind w:firstLine="480" w:firstLineChars="200"/>
        <w:rPr>
          <w:rFonts w:ascii="宋体" w:hAnsi="宋体" w:cs="宋体"/>
          <w:sz w:val="24"/>
          <w:szCs w:val="32"/>
        </w:rPr>
      </w:pPr>
      <w:r>
        <w:rPr>
          <w:rFonts w:hint="eastAsia" w:ascii="宋体" w:hAnsi="宋体" w:cs="宋体"/>
          <w:sz w:val="24"/>
          <w:szCs w:val="32"/>
        </w:rPr>
        <w:t>根据省市相关文件要求，为区本级建立数据授权运营相关流程规范，提供技术支持服务。主要包括：</w:t>
      </w:r>
    </w:p>
    <w:p w14:paraId="61E2C502">
      <w:pPr>
        <w:spacing w:line="360" w:lineRule="auto"/>
        <w:ind w:firstLine="480" w:firstLineChars="200"/>
        <w:rPr>
          <w:rFonts w:ascii="宋体" w:hAnsi="宋体" w:cs="宋体"/>
          <w:sz w:val="24"/>
          <w:szCs w:val="32"/>
        </w:rPr>
      </w:pPr>
      <w:r>
        <w:rPr>
          <w:rFonts w:hint="eastAsia" w:ascii="宋体" w:hAnsi="宋体" w:cs="宋体"/>
          <w:sz w:val="24"/>
          <w:szCs w:val="32"/>
        </w:rPr>
        <w:t>已有制度规范研究分析：国家、省、市在本年度内出台的数据要素相关文件解读1份；</w:t>
      </w:r>
    </w:p>
    <w:p w14:paraId="3F3757AD">
      <w:pPr>
        <w:spacing w:line="360" w:lineRule="auto"/>
        <w:ind w:firstLine="480" w:firstLineChars="200"/>
        <w:rPr>
          <w:rFonts w:ascii="宋体" w:hAnsi="宋体" w:cs="宋体"/>
          <w:sz w:val="24"/>
          <w:szCs w:val="32"/>
        </w:rPr>
      </w:pPr>
      <w:r>
        <w:rPr>
          <w:rFonts w:hint="eastAsia" w:ascii="宋体" w:hAnsi="宋体" w:cs="宋体"/>
          <w:sz w:val="24"/>
          <w:szCs w:val="32"/>
        </w:rPr>
        <w:t>技术需求分析：协助区本级围绕开展数据要素（含授权运营）工作顺利推进的相关技术需求、技术实现路径报告1份；</w:t>
      </w:r>
    </w:p>
    <w:p w14:paraId="131EFE70">
      <w:pPr>
        <w:spacing w:line="360" w:lineRule="auto"/>
        <w:ind w:firstLine="480" w:firstLineChars="200"/>
        <w:rPr>
          <w:rFonts w:ascii="宋体" w:hAnsi="宋体" w:cs="宋体"/>
          <w:sz w:val="24"/>
          <w:szCs w:val="32"/>
        </w:rPr>
      </w:pPr>
      <w:r>
        <w:rPr>
          <w:rFonts w:hint="eastAsia" w:ascii="宋体" w:hAnsi="宋体" w:cs="宋体"/>
          <w:sz w:val="24"/>
          <w:szCs w:val="32"/>
        </w:rPr>
        <w:t>技术规范制定：数据要素（含授权运营）相关技术规范、流程制定1份；</w:t>
      </w:r>
    </w:p>
    <w:p w14:paraId="235BB497">
      <w:pPr>
        <w:spacing w:line="360" w:lineRule="auto"/>
        <w:ind w:firstLine="480" w:firstLineChars="200"/>
        <w:rPr>
          <w:rFonts w:ascii="宋体" w:hAnsi="宋体" w:cs="宋体"/>
          <w:sz w:val="24"/>
          <w:szCs w:val="32"/>
        </w:rPr>
      </w:pPr>
      <w:r>
        <w:rPr>
          <w:rFonts w:hint="eastAsia" w:ascii="宋体" w:hAnsi="宋体" w:cs="宋体"/>
          <w:sz w:val="24"/>
          <w:szCs w:val="32"/>
        </w:rPr>
        <w:t>技术支持与解答：数据要素（含授权运营）技术支持与解答，包括各类复盘以及解决方案分析1份；</w:t>
      </w:r>
    </w:p>
    <w:p w14:paraId="64FDCA96">
      <w:pPr>
        <w:spacing w:line="360" w:lineRule="auto"/>
        <w:ind w:firstLine="480" w:firstLineChars="200"/>
        <w:rPr>
          <w:rFonts w:ascii="宋体" w:hAnsi="宋体" w:cs="宋体"/>
          <w:sz w:val="24"/>
          <w:szCs w:val="32"/>
        </w:rPr>
      </w:pPr>
      <w:r>
        <w:rPr>
          <w:rFonts w:hint="eastAsia" w:ascii="宋体" w:hAnsi="宋体" w:cs="宋体"/>
          <w:sz w:val="24"/>
          <w:szCs w:val="32"/>
        </w:rPr>
        <w:t>标准规范更新跟踪：其他国内围绕数据要素产生的相关制度规范、发展规划、行动方案、政策分析、标准规范的分析报告1份。</w:t>
      </w:r>
    </w:p>
    <w:p w14:paraId="1CC0C0AC">
      <w:pPr>
        <w:spacing w:line="360" w:lineRule="auto"/>
        <w:ind w:firstLine="482" w:firstLineChars="200"/>
        <w:rPr>
          <w:rFonts w:ascii="宋体" w:hAnsi="宋体" w:cs="宋体"/>
          <w:b/>
          <w:bCs/>
          <w:sz w:val="24"/>
          <w:szCs w:val="32"/>
        </w:rPr>
      </w:pPr>
      <w:r>
        <w:rPr>
          <w:rFonts w:hint="eastAsia" w:ascii="宋体" w:hAnsi="宋体" w:cs="宋体"/>
          <w:b/>
          <w:bCs/>
          <w:sz w:val="24"/>
          <w:szCs w:val="32"/>
        </w:rPr>
        <w:t>②公共数据授权运营案例总结</w:t>
      </w:r>
    </w:p>
    <w:p w14:paraId="7B15D02C">
      <w:pPr>
        <w:spacing w:line="360" w:lineRule="auto"/>
        <w:ind w:firstLine="480" w:firstLineChars="200"/>
        <w:rPr>
          <w:rFonts w:ascii="宋体" w:hAnsi="宋体" w:cs="宋体"/>
          <w:sz w:val="24"/>
          <w:szCs w:val="32"/>
        </w:rPr>
      </w:pPr>
      <w:r>
        <w:rPr>
          <w:rFonts w:hint="eastAsia" w:ascii="宋体" w:hAnsi="宋体" w:cs="宋体"/>
          <w:sz w:val="24"/>
          <w:szCs w:val="32"/>
        </w:rPr>
        <w:t>跟踪谋划余杭区开展的授权运营场景案例，对项目背景、需求分析、技术方案、实施进度和成效评估、创新亮点进行总结归纳和提炼，评估建设进度和成效，形成不少于1份典型案例报告。能够确切反映本区数据要素和公共数据授权运营工作的阶段性成果、重大成效，推动余杭区工作机制、成效、成果在全省区县示范突出，争先进位。</w:t>
      </w:r>
    </w:p>
    <w:p w14:paraId="1DCC4384">
      <w:pPr>
        <w:spacing w:line="360" w:lineRule="auto"/>
        <w:ind w:firstLine="480" w:firstLineChars="200"/>
        <w:rPr>
          <w:rFonts w:ascii="宋体" w:hAnsi="宋体" w:cs="宋体"/>
          <w:sz w:val="24"/>
          <w:szCs w:val="32"/>
        </w:rPr>
      </w:pPr>
      <w:r>
        <w:rPr>
          <w:rFonts w:hint="eastAsia" w:ascii="宋体" w:hAnsi="宋体" w:cs="宋体"/>
          <w:sz w:val="24"/>
          <w:szCs w:val="32"/>
        </w:rPr>
        <w:t>调研并收集省内各地区已经实施的授权运营相关场景案例，包括不同行业、不同规模的企业案例。对每个案例进行深入分析，根据分析结果，总结出可借鉴的技术方案要点，形成具体的借鉴方案，为其他项目提供参考，需形成场景方案借鉴汇报材料不少于2份。</w:t>
      </w:r>
    </w:p>
    <w:p w14:paraId="60AFA3D9">
      <w:pPr>
        <w:spacing w:line="360" w:lineRule="auto"/>
        <w:ind w:firstLine="482" w:firstLineChars="200"/>
        <w:rPr>
          <w:rFonts w:ascii="宋体" w:hAnsi="宋体" w:cs="宋体"/>
          <w:b/>
          <w:bCs/>
          <w:sz w:val="24"/>
          <w:szCs w:val="32"/>
        </w:rPr>
      </w:pPr>
      <w:r>
        <w:rPr>
          <w:rFonts w:hint="eastAsia" w:ascii="宋体" w:hAnsi="宋体" w:cs="宋体"/>
          <w:b/>
          <w:bCs/>
          <w:sz w:val="24"/>
          <w:szCs w:val="32"/>
        </w:rPr>
        <w:t>③省授权运营相关系统建设标准的技术支持服务</w:t>
      </w:r>
    </w:p>
    <w:p w14:paraId="20E2E938">
      <w:pPr>
        <w:spacing w:line="360" w:lineRule="auto"/>
        <w:ind w:firstLine="480" w:firstLineChars="200"/>
        <w:rPr>
          <w:rFonts w:ascii="宋体" w:hAnsi="宋体" w:cs="宋体"/>
          <w:sz w:val="24"/>
          <w:szCs w:val="32"/>
        </w:rPr>
      </w:pPr>
      <w:r>
        <w:rPr>
          <w:rFonts w:hint="eastAsia" w:ascii="宋体" w:hAnsi="宋体" w:cs="宋体"/>
          <w:sz w:val="24"/>
          <w:szCs w:val="32"/>
        </w:rPr>
        <w:t>提供关于省授权运营相关系统业务流程、子系统关系、核心功能模块设计和实现情况的技术支持。提供关于授权运营监管一本账的规则、指标设置情况，及对应数据需求和业务规范的技术支持。针对区授权运营场景运营情况，提供日常运营运维服务。</w:t>
      </w:r>
    </w:p>
    <w:p w14:paraId="1CC8AC3A">
      <w:pPr>
        <w:spacing w:line="360" w:lineRule="auto"/>
        <w:ind w:firstLine="482" w:firstLineChars="200"/>
        <w:rPr>
          <w:rFonts w:ascii="宋体" w:hAnsi="宋体" w:cs="宋体"/>
          <w:b/>
          <w:bCs/>
          <w:sz w:val="24"/>
          <w:szCs w:val="32"/>
        </w:rPr>
      </w:pPr>
      <w:r>
        <w:rPr>
          <w:rFonts w:hint="eastAsia" w:ascii="宋体" w:hAnsi="宋体" w:cs="宋体"/>
          <w:b/>
          <w:bCs/>
          <w:sz w:val="24"/>
          <w:szCs w:val="32"/>
        </w:rPr>
        <w:t>④区内重点企业提供公共数据授权运营培训服务</w:t>
      </w:r>
    </w:p>
    <w:p w14:paraId="65490B52">
      <w:pPr>
        <w:spacing w:line="360" w:lineRule="auto"/>
        <w:ind w:firstLine="480" w:firstLineChars="200"/>
        <w:rPr>
          <w:rFonts w:ascii="宋体" w:hAnsi="宋体" w:cs="宋体"/>
          <w:sz w:val="24"/>
          <w:szCs w:val="32"/>
        </w:rPr>
      </w:pPr>
      <w:r>
        <w:rPr>
          <w:rFonts w:hint="eastAsia" w:ascii="宋体" w:hAnsi="宋体" w:cs="宋体"/>
          <w:sz w:val="24"/>
          <w:szCs w:val="32"/>
        </w:rPr>
        <w:t>分析区内重点企业关于数据要素相关需求，研究并整理国家、省、市、区相关数据要素政策、规范和案例，完成不少于3场培训，在培训中提供具体的实例和依据。编写培训材料，包括PPT、手册等，形成“数据要素X”不同领域的企业宣讲材料，以及1份企业宣讲手册。</w:t>
      </w:r>
    </w:p>
    <w:p w14:paraId="0637BA90">
      <w:pPr>
        <w:spacing w:line="360" w:lineRule="auto"/>
        <w:ind w:firstLine="482" w:firstLineChars="200"/>
        <w:rPr>
          <w:rFonts w:ascii="宋体" w:hAnsi="宋体" w:cs="宋体"/>
          <w:b/>
          <w:bCs/>
          <w:sz w:val="24"/>
          <w:szCs w:val="32"/>
        </w:rPr>
      </w:pPr>
      <w:r>
        <w:rPr>
          <w:rFonts w:hint="eastAsia" w:ascii="宋体" w:hAnsi="宋体" w:cs="宋体"/>
          <w:b/>
          <w:bCs/>
          <w:sz w:val="24"/>
          <w:szCs w:val="32"/>
        </w:rPr>
        <w:t>⑤面向重点场景的数据脱敏服务</w:t>
      </w:r>
    </w:p>
    <w:p w14:paraId="50025B3B">
      <w:pPr>
        <w:spacing w:line="360" w:lineRule="auto"/>
        <w:ind w:firstLine="480" w:firstLineChars="200"/>
        <w:rPr>
          <w:rFonts w:ascii="宋体" w:hAnsi="宋体" w:cs="宋体"/>
          <w:sz w:val="24"/>
          <w:szCs w:val="32"/>
        </w:rPr>
      </w:pPr>
      <w:r>
        <w:rPr>
          <w:rFonts w:hint="eastAsia" w:ascii="宋体" w:hAnsi="宋体" w:cs="宋体"/>
          <w:sz w:val="24"/>
          <w:szCs w:val="32"/>
        </w:rPr>
        <w:t>按照数据分类分级指南和数据脱敏规范，结合相关场景开展特别脱敏服务，根据数源情况、场景需求等，协同确定数据抽样脱敏规则，满足场景需求；按照规则开展抽样数据脱敏服务；将脱敏数据授权导入至相关开发空间。</w:t>
      </w:r>
    </w:p>
    <w:p w14:paraId="1BF071A1">
      <w:pPr>
        <w:spacing w:line="360" w:lineRule="auto"/>
        <w:ind w:firstLine="482" w:firstLineChars="200"/>
        <w:rPr>
          <w:rFonts w:ascii="宋体" w:hAnsi="宋体" w:cs="宋体"/>
          <w:b/>
          <w:bCs/>
          <w:sz w:val="24"/>
          <w:highlight w:val="yellow"/>
        </w:rPr>
      </w:pPr>
      <w:r>
        <w:rPr>
          <w:rFonts w:hint="eastAsia" w:ascii="宋体" w:hAnsi="宋体" w:cs="宋体"/>
          <w:b/>
          <w:bCs/>
          <w:sz w:val="24"/>
        </w:rPr>
        <w:t>（2）数据授权运营场景前期挖掘和方案支持</w:t>
      </w:r>
    </w:p>
    <w:p w14:paraId="787DA8D8">
      <w:pPr>
        <w:spacing w:line="360" w:lineRule="auto"/>
        <w:ind w:firstLine="482" w:firstLineChars="200"/>
        <w:rPr>
          <w:rFonts w:ascii="宋体" w:hAnsi="宋体" w:cs="宋体"/>
          <w:b/>
          <w:bCs/>
          <w:sz w:val="24"/>
          <w:szCs w:val="32"/>
        </w:rPr>
      </w:pPr>
      <w:r>
        <w:rPr>
          <w:rFonts w:hint="eastAsia" w:ascii="宋体" w:hAnsi="宋体" w:cs="宋体"/>
          <w:b/>
          <w:bCs/>
          <w:sz w:val="24"/>
          <w:szCs w:val="32"/>
        </w:rPr>
        <w:t>①数据授权运营场景挖掘</w:t>
      </w:r>
    </w:p>
    <w:p w14:paraId="2BCE0FB7">
      <w:pPr>
        <w:spacing w:line="360" w:lineRule="auto"/>
        <w:ind w:firstLine="480" w:firstLineChars="200"/>
        <w:rPr>
          <w:rFonts w:ascii="宋体" w:hAnsi="宋体" w:cs="宋体"/>
          <w:sz w:val="24"/>
          <w:szCs w:val="32"/>
        </w:rPr>
      </w:pPr>
      <w:r>
        <w:rPr>
          <w:rFonts w:hint="eastAsia" w:ascii="宋体" w:hAnsi="宋体" w:cs="宋体"/>
          <w:sz w:val="24"/>
          <w:szCs w:val="32"/>
        </w:rPr>
        <w:t>根据省市区公共数据授权运营重点领域，分析区内数商企业、数商企业图谱情况，挖掘10个可行场景。</w:t>
      </w:r>
    </w:p>
    <w:p w14:paraId="024FCA3B">
      <w:pPr>
        <w:spacing w:line="360" w:lineRule="auto"/>
        <w:ind w:firstLine="482" w:firstLineChars="200"/>
        <w:rPr>
          <w:rFonts w:ascii="宋体" w:hAnsi="宋体" w:cs="宋体"/>
          <w:b/>
          <w:bCs/>
          <w:sz w:val="24"/>
          <w:szCs w:val="32"/>
        </w:rPr>
      </w:pPr>
      <w:r>
        <w:rPr>
          <w:rFonts w:hint="eastAsia" w:ascii="宋体" w:hAnsi="宋体" w:cs="宋体"/>
          <w:b/>
          <w:bCs/>
          <w:sz w:val="24"/>
          <w:szCs w:val="32"/>
        </w:rPr>
        <w:t>②具体场景的公共数据需求分析支持和数据可行性分析服务</w:t>
      </w:r>
    </w:p>
    <w:p w14:paraId="0A4C9C99">
      <w:pPr>
        <w:spacing w:line="360" w:lineRule="auto"/>
        <w:ind w:firstLine="480" w:firstLineChars="200"/>
        <w:rPr>
          <w:rFonts w:ascii="宋体" w:hAnsi="宋体" w:cs="宋体"/>
          <w:sz w:val="24"/>
          <w:szCs w:val="32"/>
        </w:rPr>
      </w:pPr>
      <w:r>
        <w:rPr>
          <w:rFonts w:hint="eastAsia" w:ascii="宋体" w:hAnsi="宋体" w:cs="宋体"/>
          <w:sz w:val="24"/>
          <w:szCs w:val="32"/>
        </w:rPr>
        <w:t>针对具体场景，提供公共数据需求分析支持和数据可行性分析服务。包括提供公共数据需求拆解和聚焦的支持服务，以及通过IRS资源目录，初步确定数据需求清单。综合评估数据可行性，输出5个场景的可行性分析报告。</w:t>
      </w:r>
    </w:p>
    <w:p w14:paraId="0FC2CAAA">
      <w:pPr>
        <w:spacing w:line="360" w:lineRule="auto"/>
        <w:ind w:firstLine="482" w:firstLineChars="200"/>
        <w:rPr>
          <w:rFonts w:ascii="宋体" w:hAnsi="宋体" w:cs="宋体"/>
          <w:b/>
          <w:bCs/>
          <w:sz w:val="24"/>
          <w:szCs w:val="32"/>
        </w:rPr>
      </w:pPr>
      <w:r>
        <w:rPr>
          <w:rFonts w:hint="eastAsia" w:ascii="宋体" w:hAnsi="宋体" w:cs="宋体"/>
          <w:b/>
          <w:bCs/>
          <w:sz w:val="24"/>
          <w:szCs w:val="32"/>
        </w:rPr>
        <w:t>③针对具体场景和授权运营方案设计提供技术支持</w:t>
      </w:r>
    </w:p>
    <w:p w14:paraId="2A8F3B13">
      <w:pPr>
        <w:spacing w:line="360" w:lineRule="auto"/>
        <w:ind w:firstLine="480" w:firstLineChars="200"/>
        <w:rPr>
          <w:rFonts w:ascii="宋体" w:hAnsi="宋体" w:cs="宋体"/>
          <w:sz w:val="24"/>
          <w:szCs w:val="32"/>
        </w:rPr>
      </w:pPr>
      <w:r>
        <w:rPr>
          <w:rFonts w:hint="eastAsia" w:ascii="宋体" w:hAnsi="宋体" w:cs="宋体"/>
          <w:sz w:val="24"/>
          <w:szCs w:val="32"/>
        </w:rPr>
        <w:t>针对具体场景的授权运营方案设计，从流程方案、数据产品、平台技术算法、安全、网络架构、安全合规、个人/企业授权方案这七个方面提供技术支持，形成3份方案材料。</w:t>
      </w:r>
    </w:p>
    <w:p w14:paraId="652E7F4D">
      <w:pPr>
        <w:numPr>
          <w:ilvl w:val="0"/>
          <w:numId w:val="4"/>
        </w:numPr>
        <w:spacing w:line="360" w:lineRule="auto"/>
        <w:ind w:firstLine="482" w:firstLineChars="200"/>
        <w:rPr>
          <w:rFonts w:ascii="宋体" w:hAnsi="宋体" w:cs="宋体"/>
          <w:b/>
          <w:bCs/>
          <w:sz w:val="24"/>
          <w:szCs w:val="32"/>
        </w:rPr>
      </w:pPr>
      <w:r>
        <w:rPr>
          <w:rFonts w:hint="eastAsia" w:ascii="宋体" w:hAnsi="宋体" w:cs="宋体"/>
          <w:b/>
          <w:bCs/>
          <w:sz w:val="24"/>
          <w:szCs w:val="32"/>
        </w:rPr>
        <w:t>模式创新专家支持服务</w:t>
      </w:r>
    </w:p>
    <w:p w14:paraId="4C1D47DF">
      <w:pPr>
        <w:spacing w:line="360" w:lineRule="auto"/>
        <w:ind w:firstLine="482" w:firstLineChars="200"/>
        <w:rPr>
          <w:rFonts w:ascii="宋体" w:hAnsi="宋体" w:cs="宋体"/>
          <w:b/>
          <w:bCs/>
          <w:sz w:val="24"/>
          <w:szCs w:val="32"/>
        </w:rPr>
      </w:pPr>
      <w:r>
        <w:rPr>
          <w:rFonts w:hint="eastAsia" w:ascii="宋体" w:hAnsi="宋体" w:cs="宋体"/>
          <w:b/>
          <w:bCs/>
          <w:sz w:val="24"/>
          <w:szCs w:val="32"/>
        </w:rPr>
        <w:t>①数据要素×电商平台应用示范区（先行区）打造</w:t>
      </w:r>
    </w:p>
    <w:p w14:paraId="2D7E9CF5">
      <w:pPr>
        <w:spacing w:line="360" w:lineRule="auto"/>
        <w:ind w:firstLine="480" w:firstLineChars="200"/>
        <w:rPr>
          <w:rFonts w:ascii="宋体" w:hAnsi="宋体" w:cs="宋体"/>
          <w:sz w:val="24"/>
          <w:szCs w:val="32"/>
        </w:rPr>
      </w:pPr>
      <w:r>
        <w:rPr>
          <w:rFonts w:hint="eastAsia" w:ascii="宋体" w:hAnsi="宋体" w:cs="宋体"/>
          <w:sz w:val="24"/>
          <w:szCs w:val="32"/>
        </w:rPr>
        <w:t>根据国家数据要素×战略，为申报国家级数据要素×典型案例工作提供支撑。</w:t>
      </w:r>
    </w:p>
    <w:p w14:paraId="32EAB44D">
      <w:pPr>
        <w:spacing w:line="360" w:lineRule="auto"/>
        <w:ind w:firstLine="480" w:firstLineChars="200"/>
        <w:rPr>
          <w:rFonts w:ascii="宋体" w:hAnsi="宋体" w:cs="宋体"/>
          <w:sz w:val="24"/>
          <w:szCs w:val="32"/>
        </w:rPr>
      </w:pPr>
      <w:r>
        <w:rPr>
          <w:rFonts w:hint="eastAsia" w:ascii="宋体" w:hAnsi="宋体" w:cs="宋体"/>
          <w:sz w:val="24"/>
          <w:szCs w:val="32"/>
        </w:rPr>
        <w:t>聚焦商贸流通中的电商平台这一细分领域，深入相关部门、平台企业等开展调研，了解电商平台基础数据情况、行业发展现状、数据要素在产业流通中的难点、痛点和堵点以及各部门对开展试点的相关建议与支撑点等，提出余杭区申报试点的目标、思路、主要内容、措施建议等内容，形成《余杭区开展数据要素×电商平台应用示范区可行性研究报告》，为电商数据融合应用提供支持。</w:t>
      </w:r>
    </w:p>
    <w:p w14:paraId="18DD8D1B">
      <w:pPr>
        <w:spacing w:line="360" w:lineRule="auto"/>
        <w:ind w:firstLine="480" w:firstLineChars="200"/>
        <w:rPr>
          <w:rFonts w:ascii="宋体" w:hAnsi="宋体" w:cs="宋体"/>
          <w:sz w:val="24"/>
          <w:szCs w:val="32"/>
        </w:rPr>
      </w:pPr>
      <w:r>
        <w:rPr>
          <w:rFonts w:hint="eastAsia" w:ascii="宋体" w:hAnsi="宋体" w:cs="宋体"/>
          <w:sz w:val="24"/>
          <w:szCs w:val="32"/>
        </w:rPr>
        <w:t>结合余杭区现有基础与实际情况，结合电商产业发展特点和趋势，助力打造国家级数据要素X电商平台应用示范区，并形成相应的报告。</w:t>
      </w:r>
    </w:p>
    <w:p w14:paraId="79AE7E7C">
      <w:pPr>
        <w:spacing w:line="360" w:lineRule="auto"/>
        <w:ind w:firstLine="480" w:firstLineChars="200"/>
        <w:rPr>
          <w:rFonts w:ascii="宋体" w:hAnsi="宋体" w:cs="宋体"/>
          <w:sz w:val="24"/>
          <w:szCs w:val="32"/>
        </w:rPr>
      </w:pPr>
      <w:r>
        <w:rPr>
          <w:rFonts w:hint="eastAsia" w:ascii="宋体" w:hAnsi="宋体" w:cs="宋体"/>
          <w:sz w:val="24"/>
          <w:szCs w:val="32"/>
        </w:rPr>
        <w:t>协助国家数据要素×电商平台应用示范区申请，以及沟通、传播与推广服务。</w:t>
      </w:r>
    </w:p>
    <w:p w14:paraId="7F28806C">
      <w:pPr>
        <w:spacing w:line="360" w:lineRule="auto"/>
        <w:ind w:firstLine="482" w:firstLineChars="200"/>
        <w:rPr>
          <w:rFonts w:ascii="宋体" w:hAnsi="宋体" w:cs="宋体"/>
          <w:b/>
          <w:bCs/>
          <w:sz w:val="24"/>
          <w:szCs w:val="32"/>
        </w:rPr>
      </w:pPr>
      <w:r>
        <w:rPr>
          <w:rFonts w:hint="eastAsia" w:ascii="宋体" w:hAnsi="宋体" w:cs="宋体"/>
          <w:b/>
          <w:bCs/>
          <w:sz w:val="24"/>
          <w:szCs w:val="32"/>
        </w:rPr>
        <w:t>②数据要素培训专家支撑</w:t>
      </w:r>
    </w:p>
    <w:p w14:paraId="7347EA5F">
      <w:pPr>
        <w:spacing w:line="360" w:lineRule="auto"/>
        <w:ind w:firstLine="480" w:firstLineChars="200"/>
        <w:rPr>
          <w:rFonts w:ascii="宋体" w:hAnsi="宋体" w:cs="宋体"/>
          <w:sz w:val="24"/>
          <w:szCs w:val="32"/>
        </w:rPr>
      </w:pPr>
      <w:r>
        <w:rPr>
          <w:rFonts w:hint="eastAsia" w:ascii="宋体" w:hAnsi="宋体" w:cs="宋体"/>
          <w:sz w:val="24"/>
          <w:szCs w:val="32"/>
        </w:rPr>
        <w:t>提供数据要素×战略、数据资产管理、人工智能前沿与大数据技术、公共数据应用场景、余杭电商数据产业发展战略等某一领域的专家支撑。</w:t>
      </w:r>
    </w:p>
    <w:p w14:paraId="05919047">
      <w:pPr>
        <w:spacing w:line="360" w:lineRule="auto"/>
        <w:ind w:firstLine="482" w:firstLineChars="200"/>
        <w:rPr>
          <w:rFonts w:ascii="宋体" w:hAnsi="宋体" w:cs="宋体"/>
          <w:b/>
          <w:bCs/>
          <w:sz w:val="24"/>
          <w:szCs w:val="32"/>
        </w:rPr>
      </w:pPr>
      <w:r>
        <w:rPr>
          <w:rFonts w:hint="eastAsia" w:ascii="宋体" w:hAnsi="宋体" w:cs="宋体"/>
          <w:b/>
          <w:bCs/>
          <w:sz w:val="24"/>
          <w:szCs w:val="32"/>
        </w:rPr>
        <w:t>③数据要素分析报告</w:t>
      </w:r>
    </w:p>
    <w:p w14:paraId="6EBBA3A1">
      <w:pPr>
        <w:spacing w:line="360" w:lineRule="auto"/>
        <w:ind w:firstLine="480" w:firstLineChars="200"/>
        <w:rPr>
          <w:rFonts w:ascii="宋体" w:hAnsi="宋体" w:cs="宋体"/>
          <w:sz w:val="24"/>
          <w:szCs w:val="32"/>
        </w:rPr>
      </w:pPr>
      <w:r>
        <w:rPr>
          <w:rFonts w:hint="eastAsia" w:ascii="宋体" w:hAnsi="宋体" w:cs="宋体"/>
          <w:sz w:val="24"/>
          <w:szCs w:val="32"/>
        </w:rPr>
        <w:t>从理论研究和实际操作两方面，收集数据要素价值实现的相关材料，并结合余杭区的具体实践，综合形成数据要素价值实现的余杭实践相关报告。</w:t>
      </w:r>
    </w:p>
    <w:p w14:paraId="44DB8395">
      <w:pPr>
        <w:spacing w:line="360" w:lineRule="auto"/>
        <w:ind w:firstLine="420" w:firstLineChars="200"/>
        <w:rPr>
          <w:rFonts w:ascii="宋体" w:hAnsi="宋体" w:cs="宋体"/>
        </w:rPr>
      </w:pPr>
    </w:p>
    <w:p w14:paraId="5F753422">
      <w:pPr>
        <w:numPr>
          <w:ilvl w:val="255"/>
          <w:numId w:val="0"/>
        </w:numPr>
        <w:spacing w:line="360" w:lineRule="auto"/>
        <w:ind w:firstLine="482" w:firstLineChars="200"/>
        <w:rPr>
          <w:rFonts w:ascii="宋体" w:hAnsi="宋体" w:cs="宋体"/>
          <w:b/>
          <w:bCs/>
          <w:sz w:val="24"/>
          <w:szCs w:val="32"/>
        </w:rPr>
      </w:pPr>
      <w:r>
        <w:rPr>
          <w:rFonts w:hint="eastAsia" w:ascii="宋体" w:hAnsi="宋体" w:cs="宋体"/>
          <w:b/>
          <w:bCs/>
          <w:sz w:val="24"/>
          <w:szCs w:val="32"/>
        </w:rPr>
        <w:t>2、组件运营服务</w:t>
      </w:r>
    </w:p>
    <w:p w14:paraId="7EB428F9">
      <w:pPr>
        <w:numPr>
          <w:ilvl w:val="255"/>
          <w:numId w:val="0"/>
        </w:numPr>
        <w:spacing w:line="360" w:lineRule="auto"/>
        <w:rPr>
          <w:rFonts w:ascii="宋体" w:hAnsi="宋体" w:cs="宋体"/>
          <w:sz w:val="24"/>
          <w:szCs w:val="32"/>
        </w:rPr>
      </w:pPr>
      <w:r>
        <w:rPr>
          <w:rFonts w:ascii="宋体" w:hAnsi="宋体" w:cs="宋体"/>
          <w:sz w:val="24"/>
          <w:szCs w:val="32"/>
        </w:rPr>
        <w:t xml:space="preserve">   </w:t>
      </w:r>
      <w:r>
        <w:rPr>
          <w:rFonts w:hint="eastAsia" w:ascii="宋体" w:hAnsi="宋体" w:cs="宋体"/>
          <w:sz w:val="24"/>
          <w:szCs w:val="32"/>
        </w:rPr>
        <w:t>组件运营服务的主要内容为组件上架、组件使用、与省业务协同网关对接等，业务对象为全区各业务部门，实现上架的组件可用率90%以上、组件使用技术支持的响应率95%以上、组件对接上架的完成率100%。</w:t>
      </w:r>
    </w:p>
    <w:p w14:paraId="61A82B23">
      <w:pPr>
        <w:spacing w:line="360" w:lineRule="auto"/>
        <w:ind w:firstLine="482" w:firstLineChars="200"/>
        <w:rPr>
          <w:rFonts w:ascii="宋体" w:hAnsi="宋体" w:cs="宋体"/>
          <w:b/>
          <w:bCs/>
          <w:sz w:val="24"/>
          <w:szCs w:val="32"/>
        </w:rPr>
      </w:pPr>
      <w:r>
        <w:rPr>
          <w:rFonts w:hint="eastAsia" w:ascii="宋体" w:hAnsi="宋体" w:cs="宋体"/>
          <w:b/>
          <w:bCs/>
          <w:sz w:val="24"/>
          <w:szCs w:val="32"/>
        </w:rPr>
        <w:t>（1）组件上架服务</w:t>
      </w:r>
    </w:p>
    <w:p w14:paraId="77E03268">
      <w:pPr>
        <w:spacing w:line="360" w:lineRule="auto"/>
        <w:ind w:firstLine="482" w:firstLineChars="200"/>
        <w:rPr>
          <w:rFonts w:ascii="宋体" w:hAnsi="宋体" w:cs="宋体"/>
          <w:b/>
          <w:bCs/>
          <w:sz w:val="24"/>
          <w:szCs w:val="32"/>
        </w:rPr>
      </w:pPr>
      <w:r>
        <w:rPr>
          <w:rFonts w:hint="eastAsia" w:ascii="宋体" w:hAnsi="宋体" w:cs="宋体"/>
          <w:b/>
          <w:bCs/>
          <w:sz w:val="24"/>
          <w:szCs w:val="32"/>
        </w:rPr>
        <w:t>①区各部门组件上架服务</w:t>
      </w:r>
    </w:p>
    <w:p w14:paraId="541C0F2C">
      <w:pPr>
        <w:spacing w:line="360" w:lineRule="auto"/>
        <w:ind w:firstLine="480" w:firstLineChars="200"/>
        <w:rPr>
          <w:rFonts w:ascii="宋体" w:hAnsi="宋体" w:cs="宋体"/>
          <w:sz w:val="24"/>
          <w:szCs w:val="32"/>
        </w:rPr>
      </w:pPr>
      <w:r>
        <w:rPr>
          <w:rFonts w:hint="eastAsia" w:ascii="宋体" w:hAnsi="宋体" w:cs="宋体"/>
          <w:sz w:val="24"/>
          <w:szCs w:val="32"/>
        </w:rPr>
        <w:t>全区各部门组件上架服务是基于余杭区组件管理平台提供区各部门新发掘的新增组件资源进行组件接入、注册配置、组件发布等技术服务，及相关的组件信息梳理、协助筛选评估和线下申请填写等服务。</w:t>
      </w:r>
    </w:p>
    <w:p w14:paraId="6B117CC0">
      <w:pPr>
        <w:spacing w:line="360" w:lineRule="auto"/>
        <w:ind w:firstLine="482" w:firstLineChars="200"/>
        <w:rPr>
          <w:rFonts w:ascii="宋体" w:hAnsi="宋体" w:cs="宋体"/>
          <w:b/>
          <w:bCs/>
          <w:sz w:val="24"/>
          <w:szCs w:val="32"/>
        </w:rPr>
      </w:pPr>
      <w:r>
        <w:rPr>
          <w:rFonts w:hint="eastAsia" w:ascii="宋体" w:hAnsi="宋体" w:cs="宋体"/>
          <w:b/>
          <w:bCs/>
          <w:sz w:val="24"/>
          <w:szCs w:val="32"/>
        </w:rPr>
        <w:t>②省平台组件上架服务</w:t>
      </w:r>
    </w:p>
    <w:p w14:paraId="5DEFE9B1">
      <w:pPr>
        <w:spacing w:line="360" w:lineRule="auto"/>
        <w:ind w:firstLine="480" w:firstLineChars="200"/>
        <w:rPr>
          <w:rFonts w:ascii="宋体" w:hAnsi="宋体" w:cs="宋体"/>
          <w:sz w:val="24"/>
          <w:szCs w:val="32"/>
        </w:rPr>
      </w:pPr>
      <w:r>
        <w:rPr>
          <w:rFonts w:hint="eastAsia" w:ascii="宋体" w:hAnsi="宋体" w:cs="宋体"/>
          <w:sz w:val="24"/>
          <w:szCs w:val="32"/>
        </w:rPr>
        <w:t>省平台组件上架服务是对余杭区的优质组件在省平台上进行组件上架服务，服务内容包括组件上架申请、上架跟踪、异常处理等服务内容。包括上架申请、上架跟踪、异常处理等。</w:t>
      </w:r>
    </w:p>
    <w:p w14:paraId="5B2C4DA7">
      <w:pPr>
        <w:spacing w:line="360" w:lineRule="auto"/>
        <w:ind w:firstLine="482" w:firstLineChars="200"/>
        <w:rPr>
          <w:rFonts w:ascii="宋体" w:hAnsi="宋体" w:cs="宋体"/>
          <w:b/>
          <w:bCs/>
          <w:sz w:val="24"/>
          <w:szCs w:val="32"/>
        </w:rPr>
      </w:pPr>
      <w:r>
        <w:rPr>
          <w:rFonts w:hint="eastAsia" w:ascii="宋体" w:hAnsi="宋体" w:cs="宋体"/>
          <w:b/>
          <w:bCs/>
          <w:sz w:val="24"/>
          <w:szCs w:val="32"/>
        </w:rPr>
        <w:t>（2）组件使用服务</w:t>
      </w:r>
    </w:p>
    <w:p w14:paraId="022DC196">
      <w:pPr>
        <w:spacing w:line="360" w:lineRule="auto"/>
        <w:ind w:firstLine="482" w:firstLineChars="200"/>
        <w:rPr>
          <w:rFonts w:ascii="宋体" w:hAnsi="宋体" w:cs="宋体"/>
          <w:b/>
          <w:bCs/>
          <w:sz w:val="24"/>
          <w:szCs w:val="32"/>
        </w:rPr>
      </w:pPr>
      <w:r>
        <w:rPr>
          <w:rFonts w:hint="eastAsia" w:ascii="宋体" w:hAnsi="宋体" w:cs="宋体"/>
          <w:b/>
          <w:bCs/>
          <w:sz w:val="24"/>
          <w:szCs w:val="32"/>
        </w:rPr>
        <w:t>①跨区域组件使用服务</w:t>
      </w:r>
    </w:p>
    <w:p w14:paraId="0C375A79">
      <w:pPr>
        <w:spacing w:line="360" w:lineRule="auto"/>
        <w:ind w:firstLine="480" w:firstLineChars="200"/>
        <w:rPr>
          <w:rFonts w:ascii="宋体" w:hAnsi="宋体" w:cs="宋体"/>
          <w:sz w:val="24"/>
          <w:szCs w:val="32"/>
        </w:rPr>
      </w:pPr>
      <w:r>
        <w:rPr>
          <w:rFonts w:hint="eastAsia" w:ascii="宋体" w:hAnsi="宋体" w:cs="宋体"/>
          <w:sz w:val="24"/>
          <w:szCs w:val="32"/>
        </w:rPr>
        <w:t>针对上架区平台组件使用服务，配合组件调用过程中的异常配合处理、网络不通等配合问题诊断；接口调用中的发生的问题配合排查处理、技术协助等技术服务；针对上架省平台组件使用的技术支持服务，包括组件调用申请流程技术服务，组件调用过程中使用服务。</w:t>
      </w:r>
    </w:p>
    <w:p w14:paraId="07240D35">
      <w:pPr>
        <w:spacing w:line="360" w:lineRule="auto"/>
        <w:ind w:firstLine="482" w:firstLineChars="200"/>
        <w:rPr>
          <w:rFonts w:ascii="宋体" w:hAnsi="宋体" w:cs="宋体"/>
          <w:b/>
          <w:bCs/>
          <w:sz w:val="24"/>
          <w:szCs w:val="32"/>
        </w:rPr>
      </w:pPr>
      <w:r>
        <w:rPr>
          <w:rFonts w:hint="eastAsia" w:ascii="宋体" w:hAnsi="宋体" w:cs="宋体"/>
          <w:b/>
          <w:bCs/>
          <w:sz w:val="24"/>
          <w:szCs w:val="32"/>
        </w:rPr>
        <w:t>②区各部门组件使用服务</w:t>
      </w:r>
    </w:p>
    <w:p w14:paraId="32A8C55B">
      <w:pPr>
        <w:spacing w:line="360" w:lineRule="auto"/>
        <w:ind w:firstLine="480" w:firstLineChars="200"/>
        <w:rPr>
          <w:rFonts w:ascii="宋体" w:hAnsi="宋体" w:cs="宋体"/>
          <w:sz w:val="24"/>
          <w:szCs w:val="32"/>
        </w:rPr>
      </w:pPr>
      <w:r>
        <w:rPr>
          <w:rFonts w:hint="eastAsia" w:ascii="宋体" w:hAnsi="宋体" w:cs="宋体"/>
          <w:sz w:val="24"/>
          <w:szCs w:val="32"/>
        </w:rPr>
        <w:t>配合区里各部门需使用区平台、省平台的组件，进行组件使用流程申请</w:t>
      </w:r>
      <w:r>
        <w:rPr>
          <w:rFonts w:ascii="宋体" w:hAnsi="宋体" w:cs="宋体"/>
          <w:sz w:val="24"/>
          <w:szCs w:val="32"/>
        </w:rPr>
        <w:t>技术支持</w:t>
      </w:r>
      <w:r>
        <w:rPr>
          <w:rFonts w:hint="eastAsia" w:ascii="宋体" w:hAnsi="宋体" w:cs="宋体"/>
          <w:sz w:val="24"/>
          <w:szCs w:val="32"/>
        </w:rPr>
        <w:t>、流程申请、申请结果反馈和查看、技术协助及使用联调等使用服务；配合区各部门对组件调用中的遇到问题协助调用处理、</w:t>
      </w:r>
      <w:r>
        <w:rPr>
          <w:rFonts w:ascii="宋体" w:hAnsi="宋体" w:cs="宋体"/>
          <w:sz w:val="24"/>
          <w:szCs w:val="32"/>
        </w:rPr>
        <w:t>技术</w:t>
      </w:r>
      <w:r>
        <w:rPr>
          <w:rFonts w:hint="eastAsia" w:ascii="宋体" w:hAnsi="宋体" w:cs="宋体"/>
          <w:sz w:val="24"/>
          <w:szCs w:val="32"/>
        </w:rPr>
        <w:t>解答、故障处理、测试联调等使用服务。</w:t>
      </w:r>
    </w:p>
    <w:p w14:paraId="54650778">
      <w:pPr>
        <w:spacing w:line="360" w:lineRule="auto"/>
        <w:ind w:firstLine="482" w:firstLineChars="200"/>
        <w:rPr>
          <w:rFonts w:ascii="宋体" w:hAnsi="宋体" w:cs="宋体"/>
          <w:b/>
          <w:bCs/>
          <w:sz w:val="24"/>
          <w:szCs w:val="32"/>
        </w:rPr>
      </w:pPr>
      <w:r>
        <w:rPr>
          <w:rFonts w:hint="eastAsia" w:ascii="宋体" w:hAnsi="宋体" w:cs="宋体"/>
          <w:b/>
          <w:bCs/>
          <w:sz w:val="24"/>
          <w:szCs w:val="32"/>
        </w:rPr>
        <w:t>（3）与省业务协同网关对接</w:t>
      </w:r>
    </w:p>
    <w:p w14:paraId="32501C7B">
      <w:pPr>
        <w:spacing w:line="360" w:lineRule="auto"/>
        <w:ind w:firstLine="482" w:firstLineChars="200"/>
        <w:rPr>
          <w:rFonts w:ascii="宋体" w:hAnsi="宋体" w:cs="宋体"/>
          <w:b/>
          <w:bCs/>
          <w:sz w:val="24"/>
          <w:szCs w:val="32"/>
        </w:rPr>
      </w:pPr>
      <w:r>
        <w:rPr>
          <w:rFonts w:hint="eastAsia" w:ascii="宋体" w:hAnsi="宋体" w:cs="宋体"/>
          <w:b/>
          <w:bCs/>
          <w:sz w:val="24"/>
          <w:szCs w:val="32"/>
        </w:rPr>
        <w:t>①对接标准梳理</w:t>
      </w:r>
    </w:p>
    <w:p w14:paraId="425E9B32">
      <w:pPr>
        <w:spacing w:line="360" w:lineRule="auto"/>
        <w:ind w:firstLine="480" w:firstLineChars="200"/>
        <w:rPr>
          <w:rFonts w:ascii="宋体" w:hAnsi="宋体" w:cs="宋体"/>
          <w:sz w:val="24"/>
          <w:szCs w:val="32"/>
        </w:rPr>
      </w:pPr>
      <w:r>
        <w:rPr>
          <w:rFonts w:hint="eastAsia" w:ascii="宋体" w:hAnsi="宋体" w:cs="宋体"/>
          <w:sz w:val="24"/>
          <w:szCs w:val="32"/>
        </w:rPr>
        <w:t>根据《浙江省业务协同和数据共享网关系统建设标准规范》的要求，进行省组件网关对接标准规范流程业务梳理，对照省平台组件标准规范的要求对余杭区组件进行规范，确定规范内容，如组件的基本信息等。</w:t>
      </w:r>
    </w:p>
    <w:p w14:paraId="5FC1021A">
      <w:pPr>
        <w:spacing w:line="360" w:lineRule="auto"/>
        <w:ind w:firstLine="482" w:firstLineChars="200"/>
        <w:rPr>
          <w:rFonts w:ascii="宋体" w:hAnsi="宋体" w:cs="宋体"/>
          <w:b/>
          <w:bCs/>
          <w:sz w:val="24"/>
          <w:szCs w:val="32"/>
        </w:rPr>
      </w:pPr>
      <w:r>
        <w:rPr>
          <w:rFonts w:hint="eastAsia" w:ascii="宋体" w:hAnsi="宋体" w:cs="宋体"/>
          <w:b/>
          <w:bCs/>
          <w:sz w:val="24"/>
          <w:szCs w:val="32"/>
        </w:rPr>
        <w:t>②对接组件梳理</w:t>
      </w:r>
    </w:p>
    <w:p w14:paraId="777A6BA2">
      <w:pPr>
        <w:spacing w:line="360" w:lineRule="auto"/>
        <w:ind w:firstLine="480" w:firstLineChars="200"/>
        <w:rPr>
          <w:rFonts w:ascii="宋体" w:hAnsi="宋体" w:cs="宋体"/>
          <w:sz w:val="24"/>
          <w:szCs w:val="32"/>
        </w:rPr>
      </w:pPr>
      <w:r>
        <w:rPr>
          <w:rFonts w:hint="eastAsia" w:ascii="宋体" w:hAnsi="宋体" w:cs="宋体"/>
          <w:sz w:val="24"/>
          <w:szCs w:val="32"/>
        </w:rPr>
        <w:t>根据《浙江省业务协同和数据共享网关系统建设标准规范》的要求，梳理余杭区需上架至至省组件平台的组件清单，并进行确认。</w:t>
      </w:r>
    </w:p>
    <w:p w14:paraId="5C0DFA09">
      <w:pPr>
        <w:spacing w:line="360" w:lineRule="auto"/>
        <w:ind w:firstLine="480" w:firstLineChars="200"/>
        <w:rPr>
          <w:rFonts w:ascii="宋体" w:hAnsi="宋体" w:cs="宋体"/>
          <w:sz w:val="24"/>
          <w:szCs w:val="32"/>
        </w:rPr>
      </w:pPr>
      <w:r>
        <w:rPr>
          <w:rFonts w:hint="eastAsia" w:ascii="宋体" w:hAnsi="宋体" w:cs="宋体"/>
          <w:sz w:val="24"/>
          <w:szCs w:val="32"/>
        </w:rPr>
        <w:t>对接省网关组件接口开发：根据《浙江省业务协同和数据共享网关系统建设标准规范》的要求，结合对接标准梳理按照组件网关接口要求进行组件接口开发，包括：</w:t>
      </w:r>
    </w:p>
    <w:p w14:paraId="29D877E3">
      <w:pPr>
        <w:spacing w:line="360" w:lineRule="auto"/>
        <w:ind w:firstLine="480" w:firstLineChars="200"/>
        <w:rPr>
          <w:rFonts w:ascii="宋体" w:hAnsi="宋体" w:cs="宋体"/>
          <w:sz w:val="24"/>
          <w:szCs w:val="32"/>
        </w:rPr>
      </w:pPr>
      <w:r>
        <w:rPr>
          <w:rFonts w:hint="eastAsia" w:ascii="宋体" w:hAnsi="宋体" w:cs="宋体"/>
          <w:sz w:val="24"/>
          <w:szCs w:val="32"/>
        </w:rPr>
        <w:t>对接省网关组件接口联调：按照组件网关接口要求配合与省网关技术人员进行接口测试联调，包括初次上架组件接口调测、组件更新后接口调测等工作。</w:t>
      </w:r>
    </w:p>
    <w:p w14:paraId="57BB69A6">
      <w:pPr>
        <w:spacing w:line="360" w:lineRule="auto"/>
        <w:ind w:firstLine="480" w:firstLineChars="200"/>
        <w:rPr>
          <w:rFonts w:ascii="宋体" w:hAnsi="宋体" w:cs="宋体"/>
          <w:sz w:val="24"/>
          <w:szCs w:val="32"/>
        </w:rPr>
      </w:pPr>
      <w:r>
        <w:rPr>
          <w:rFonts w:hint="eastAsia" w:ascii="宋体" w:hAnsi="宋体" w:cs="宋体"/>
          <w:sz w:val="24"/>
          <w:szCs w:val="32"/>
        </w:rPr>
        <w:t>组件接口运维：对已上架的组件进行服务期内的运维工作，包括组件状态巡检、组件故障处理、组件安全巡查协助等服务。</w:t>
      </w:r>
    </w:p>
    <w:p w14:paraId="77BA4420">
      <w:pPr>
        <w:spacing w:line="360" w:lineRule="auto"/>
        <w:ind w:firstLine="482" w:firstLineChars="200"/>
        <w:rPr>
          <w:rFonts w:ascii="宋体" w:hAnsi="宋体" w:cs="宋体"/>
          <w:b/>
          <w:bCs/>
          <w:sz w:val="24"/>
          <w:szCs w:val="32"/>
        </w:rPr>
      </w:pPr>
      <w:r>
        <w:rPr>
          <w:rFonts w:hint="eastAsia" w:ascii="宋体" w:hAnsi="宋体" w:cs="宋体"/>
          <w:b/>
          <w:bCs/>
          <w:sz w:val="24"/>
          <w:szCs w:val="32"/>
        </w:rPr>
        <w:t>（4）组件平台维护</w:t>
      </w:r>
    </w:p>
    <w:p w14:paraId="008595DF">
      <w:pPr>
        <w:spacing w:line="360" w:lineRule="auto"/>
        <w:ind w:firstLine="482" w:firstLineChars="200"/>
        <w:rPr>
          <w:rFonts w:ascii="宋体" w:hAnsi="宋体" w:cs="宋体"/>
          <w:b/>
          <w:bCs/>
          <w:sz w:val="24"/>
          <w:szCs w:val="32"/>
        </w:rPr>
      </w:pPr>
      <w:r>
        <w:rPr>
          <w:rFonts w:hint="eastAsia" w:ascii="宋体" w:hAnsi="宋体" w:cs="宋体"/>
          <w:b/>
          <w:bCs/>
          <w:sz w:val="24"/>
          <w:szCs w:val="32"/>
        </w:rPr>
        <w:t>①漏洞修复</w:t>
      </w:r>
    </w:p>
    <w:p w14:paraId="54588251">
      <w:pPr>
        <w:spacing w:line="360" w:lineRule="auto"/>
        <w:ind w:firstLine="480" w:firstLineChars="200"/>
        <w:rPr>
          <w:rFonts w:ascii="宋体" w:hAnsi="宋体" w:cs="宋体"/>
          <w:sz w:val="24"/>
          <w:szCs w:val="32"/>
        </w:rPr>
      </w:pPr>
      <w:r>
        <w:rPr>
          <w:rFonts w:hint="eastAsia" w:ascii="宋体" w:hAnsi="宋体" w:cs="宋体"/>
          <w:sz w:val="24"/>
          <w:szCs w:val="32"/>
        </w:rPr>
        <w:t>针对区安全部门检测出的平台安全漏洞需第一时间进行修复并反馈。</w:t>
      </w:r>
    </w:p>
    <w:p w14:paraId="7F99C791">
      <w:pPr>
        <w:spacing w:line="360" w:lineRule="auto"/>
        <w:ind w:firstLine="482" w:firstLineChars="200"/>
        <w:rPr>
          <w:rFonts w:ascii="宋体" w:hAnsi="宋体" w:cs="宋体"/>
          <w:b/>
          <w:bCs/>
          <w:sz w:val="24"/>
          <w:szCs w:val="32"/>
        </w:rPr>
      </w:pPr>
      <w:r>
        <w:rPr>
          <w:rFonts w:hint="eastAsia" w:ascii="宋体" w:hAnsi="宋体" w:cs="宋体"/>
          <w:b/>
          <w:bCs/>
          <w:sz w:val="24"/>
          <w:szCs w:val="32"/>
        </w:rPr>
        <w:t>②运维巡检</w:t>
      </w:r>
    </w:p>
    <w:p w14:paraId="467A5560">
      <w:pPr>
        <w:spacing w:line="360" w:lineRule="auto"/>
        <w:ind w:firstLine="480" w:firstLineChars="200"/>
        <w:rPr>
          <w:rFonts w:ascii="宋体" w:hAnsi="宋体" w:cs="宋体"/>
        </w:rPr>
      </w:pPr>
      <w:r>
        <w:rPr>
          <w:rFonts w:hint="eastAsia" w:ascii="宋体" w:hAnsi="宋体" w:cs="宋体"/>
          <w:sz w:val="24"/>
          <w:szCs w:val="32"/>
        </w:rPr>
        <w:t>定期对平台的内存、磁盘空间、服务日志等进行巡检，及时发现潜在问题，确保服务稳定不间断运行。同时，需配合区敏感时期系统的相关安全保障工作。</w:t>
      </w:r>
    </w:p>
    <w:p w14:paraId="1DC5BF02">
      <w:pPr>
        <w:pStyle w:val="6"/>
        <w:spacing w:line="360" w:lineRule="auto"/>
        <w:ind w:left="0" w:firstLine="241" w:firstLineChars="100"/>
        <w:rPr>
          <w:rFonts w:ascii="宋体" w:hAnsi="宋体" w:cs="宋体"/>
          <w:sz w:val="24"/>
          <w:szCs w:val="24"/>
        </w:rPr>
      </w:pPr>
      <w:r>
        <w:rPr>
          <w:rFonts w:hint="eastAsia" w:ascii="宋体" w:hAnsi="宋体" w:cs="宋体"/>
          <w:sz w:val="24"/>
          <w:szCs w:val="24"/>
        </w:rPr>
        <w:t>（三）技术人员要求</w:t>
      </w:r>
    </w:p>
    <w:p w14:paraId="4BE84B2B">
      <w:pPr>
        <w:spacing w:line="360" w:lineRule="auto"/>
        <w:ind w:firstLine="480" w:firstLineChars="200"/>
        <w:rPr>
          <w:rFonts w:ascii="宋体" w:hAnsi="宋体" w:cs="宋体"/>
          <w:sz w:val="24"/>
          <w:szCs w:val="32"/>
        </w:rPr>
      </w:pPr>
      <w:r>
        <w:rPr>
          <w:rFonts w:hint="eastAsia" w:ascii="宋体" w:hAnsi="宋体" w:cs="宋体"/>
          <w:sz w:val="24"/>
          <w:szCs w:val="32"/>
        </w:rPr>
        <w:t>本项目属于复杂的信息化运营服务项目，投标人需要配备专业技术运营人员开展平台的运营、运维等工作，且技术运营人员的数量应满足项目需要。中标人应选派具有丰富信息化及大数据平台经验的项目经理和专业技术的工程师，结合其在公共数据管理中的技术支持和服务方面的经验，提出本标项运营服务方案。本标项实施人员不少于4人年，其中驻场人员不少于1人年，项目团队人员配置科学合理、分工明确。</w:t>
      </w:r>
    </w:p>
    <w:p w14:paraId="718CD2C5">
      <w:pPr>
        <w:ind w:firstLine="480" w:firstLineChars="200"/>
        <w:rPr>
          <w:rFonts w:ascii="宋体" w:hAnsi="宋体" w:cs="宋体"/>
          <w:sz w:val="24"/>
          <w:szCs w:val="32"/>
        </w:rPr>
      </w:pPr>
    </w:p>
    <w:p w14:paraId="0B1074B2">
      <w:pPr>
        <w:pStyle w:val="5"/>
        <w:jc w:val="center"/>
        <w:rPr>
          <w:rFonts w:ascii="宋体" w:hAnsi="宋体" w:eastAsia="宋体" w:cs="宋体"/>
          <w:sz w:val="24"/>
          <w:szCs w:val="24"/>
          <w:lang w:val="en-US"/>
        </w:rPr>
      </w:pPr>
      <w:r>
        <w:rPr>
          <w:rFonts w:ascii="宋体" w:hAnsi="宋体" w:eastAsia="宋体" w:cs="宋体"/>
          <w:sz w:val="24"/>
          <w:szCs w:val="24"/>
          <w:lang w:val="en-US"/>
        </w:rPr>
        <w:t>标项四</w:t>
      </w:r>
      <w:r>
        <w:rPr>
          <w:rFonts w:hint="eastAsia" w:ascii="宋体" w:hAnsi="宋体" w:eastAsia="宋体" w:cs="宋体"/>
          <w:sz w:val="24"/>
          <w:szCs w:val="24"/>
          <w:lang w:val="en-US"/>
        </w:rPr>
        <w:t xml:space="preserve"> </w:t>
      </w:r>
      <w:r>
        <w:rPr>
          <w:rFonts w:ascii="宋体" w:hAnsi="宋体" w:eastAsia="宋体" w:cs="宋体"/>
          <w:sz w:val="24"/>
          <w:szCs w:val="24"/>
          <w:lang w:val="en-US"/>
        </w:rPr>
        <w:t>数据治理和数据仓服务</w:t>
      </w:r>
      <w:r>
        <w:rPr>
          <w:rFonts w:hint="eastAsia" w:ascii="宋体" w:hAnsi="宋体" w:eastAsia="宋体" w:cs="宋体"/>
          <w:sz w:val="24"/>
          <w:szCs w:val="24"/>
          <w:lang w:val="en-US"/>
        </w:rPr>
        <w:t xml:space="preserve"> </w:t>
      </w:r>
    </w:p>
    <w:p w14:paraId="71C83AF7">
      <w:pPr>
        <w:pStyle w:val="6"/>
        <w:spacing w:before="0" w:after="0" w:line="360" w:lineRule="auto"/>
        <w:ind w:left="0" w:firstLine="0"/>
        <w:rPr>
          <w:rFonts w:ascii="宋体" w:hAnsi="宋体" w:cs="宋体"/>
          <w:sz w:val="24"/>
        </w:rPr>
      </w:pPr>
      <w:r>
        <w:rPr>
          <w:rFonts w:ascii="宋体" w:hAnsi="宋体" w:cs="宋体"/>
          <w:sz w:val="24"/>
        </w:rPr>
        <w:t>（一）项目概况</w:t>
      </w:r>
    </w:p>
    <w:p w14:paraId="01354B8D">
      <w:pPr>
        <w:spacing w:line="360" w:lineRule="auto"/>
        <w:ind w:firstLine="480" w:firstLineChars="200"/>
        <w:rPr>
          <w:rFonts w:ascii="宋体" w:hAnsi="宋体" w:cs="宋体"/>
          <w:sz w:val="24"/>
        </w:rPr>
      </w:pPr>
      <w:r>
        <w:rPr>
          <w:rFonts w:ascii="宋体" w:hAnsi="宋体" w:cs="宋体"/>
          <w:sz w:val="24"/>
        </w:rPr>
        <w:t>主要包括数据治理服务和数据仓服务（日常运营运维服务）。</w:t>
      </w:r>
    </w:p>
    <w:p w14:paraId="08A6227E">
      <w:pPr>
        <w:adjustRightInd/>
        <w:spacing w:line="360" w:lineRule="auto"/>
        <w:ind w:firstLine="480" w:firstLineChars="200"/>
        <w:jc w:val="left"/>
        <w:rPr>
          <w:rFonts w:ascii="宋体" w:hAnsi="宋体" w:cs="宋体"/>
          <w:sz w:val="24"/>
          <w:lang w:val="zh-CN"/>
        </w:rPr>
      </w:pPr>
      <w:r>
        <w:rPr>
          <w:rFonts w:ascii="宋体" w:hAnsi="宋体" w:cs="宋体"/>
          <w:sz w:val="24"/>
        </w:rPr>
        <w:t>数据治理工作侧重于对数据质量的管理，</w:t>
      </w:r>
      <w:r>
        <w:rPr>
          <w:rFonts w:ascii="宋体" w:hAnsi="宋体" w:cs="宋体"/>
          <w:sz w:val="24"/>
          <w:lang w:bidi="ar"/>
        </w:rPr>
        <w:t>根据省市关于数据治理要求规范，围绕提升数据准确性、完整性和及时性，让数据可用、好用、易用的核心目标，持续落实“一数一源一标准”数据治理工作要求，对本地数据进行治理，形成数据治理闭环</w:t>
      </w:r>
      <w:r>
        <w:rPr>
          <w:rFonts w:ascii="宋体" w:hAnsi="宋体" w:cs="宋体"/>
          <w:sz w:val="24"/>
        </w:rPr>
        <w:t>，促进数据价值倍增，解决数据“不可信”问题。</w:t>
      </w:r>
      <w:r>
        <w:rPr>
          <w:rFonts w:ascii="宋体" w:hAnsi="宋体" w:cs="宋体"/>
          <w:sz w:val="24"/>
          <w:lang w:bidi="ar"/>
        </w:rPr>
        <w:t>具体包括</w:t>
      </w:r>
      <w:r>
        <w:rPr>
          <w:rFonts w:ascii="宋体" w:hAnsi="宋体" w:cs="宋体"/>
          <w:sz w:val="24"/>
        </w:rPr>
        <w:t>数据治理技术支持、一数一源一标准数据治理、IRS数据质量工单运营</w:t>
      </w:r>
      <w:r>
        <w:rPr>
          <w:rFonts w:ascii="宋体" w:hAnsi="宋体" w:cs="宋体"/>
          <w:sz w:val="24"/>
          <w:lang w:bidi="ar"/>
        </w:rPr>
        <w:t>等服务，满足公共数据的质量要求。</w:t>
      </w:r>
    </w:p>
    <w:p w14:paraId="1C5DCF9D">
      <w:pPr>
        <w:spacing w:line="360" w:lineRule="auto"/>
        <w:ind w:firstLine="480" w:firstLineChars="200"/>
        <w:rPr>
          <w:rFonts w:ascii="宋体" w:hAnsi="宋体" w:cs="宋体"/>
          <w:sz w:val="24"/>
        </w:rPr>
      </w:pPr>
      <w:r>
        <w:rPr>
          <w:rFonts w:ascii="宋体" w:hAnsi="宋体" w:cs="宋体"/>
          <w:sz w:val="24"/>
          <w:lang w:val="zh-CN"/>
        </w:rPr>
        <w:t>数据仓日常运营运维服务包括数据仓/应用仓账号申请流程</w:t>
      </w:r>
      <w:r>
        <w:rPr>
          <w:rFonts w:ascii="宋体" w:hAnsi="宋体" w:cs="宋体"/>
          <w:sz w:val="24"/>
        </w:rPr>
        <w:t>审核，</w:t>
      </w:r>
      <w:r>
        <w:rPr>
          <w:rFonts w:ascii="宋体" w:hAnsi="宋体" w:cs="宋体"/>
          <w:sz w:val="24"/>
          <w:lang w:val="zh-CN"/>
        </w:rPr>
        <w:t>协助搭建开通及账号权限配置</w:t>
      </w:r>
      <w:r>
        <w:rPr>
          <w:rFonts w:ascii="宋体" w:hAnsi="宋体" w:cs="宋体"/>
          <w:sz w:val="24"/>
        </w:rPr>
        <w:t>，</w:t>
      </w:r>
      <w:r>
        <w:rPr>
          <w:rFonts w:ascii="宋体" w:hAnsi="宋体" w:cs="宋体"/>
          <w:sz w:val="24"/>
          <w:lang w:val="zh-CN"/>
        </w:rPr>
        <w:t>数据仓使用、开发过程的问题运维支持等工作，</w:t>
      </w:r>
      <w:r>
        <w:rPr>
          <w:rFonts w:ascii="宋体" w:hAnsi="宋体" w:cs="宋体"/>
          <w:sz w:val="24"/>
        </w:rPr>
        <w:t>旨在</w:t>
      </w:r>
      <w:r>
        <w:rPr>
          <w:rFonts w:ascii="宋体" w:hAnsi="宋体" w:cs="宋体"/>
          <w:sz w:val="24"/>
          <w:lang w:val="zh-CN"/>
        </w:rPr>
        <w:t>规范余杭区部门数据仓、</w:t>
      </w:r>
      <w:r>
        <w:rPr>
          <w:rFonts w:ascii="宋体" w:hAnsi="宋体" w:cs="宋体"/>
          <w:sz w:val="24"/>
        </w:rPr>
        <w:t>应用仓</w:t>
      </w:r>
      <w:r>
        <w:rPr>
          <w:rFonts w:ascii="宋体" w:hAnsi="宋体" w:cs="宋体"/>
          <w:sz w:val="24"/>
          <w:lang w:val="zh-CN"/>
        </w:rPr>
        <w:t>建设管理，加快建设全区</w:t>
      </w:r>
      <w:r>
        <w:rPr>
          <w:rFonts w:ascii="宋体" w:hAnsi="宋体" w:cs="宋体"/>
          <w:sz w:val="24"/>
        </w:rPr>
        <w:t>数字化</w:t>
      </w:r>
      <w:r>
        <w:rPr>
          <w:rFonts w:ascii="宋体" w:hAnsi="宋体" w:cs="宋体"/>
          <w:sz w:val="24"/>
          <w:lang w:val="zh-CN"/>
        </w:rPr>
        <w:t>改革。</w:t>
      </w:r>
    </w:p>
    <w:p w14:paraId="61F74018">
      <w:pPr>
        <w:pStyle w:val="6"/>
        <w:spacing w:before="0" w:after="0" w:line="360" w:lineRule="auto"/>
        <w:ind w:left="0" w:firstLine="0"/>
        <w:rPr>
          <w:rFonts w:ascii="宋体" w:hAnsi="宋体" w:cs="宋体"/>
          <w:sz w:val="24"/>
        </w:rPr>
      </w:pPr>
      <w:r>
        <w:rPr>
          <w:rFonts w:ascii="宋体" w:hAnsi="宋体" w:cs="宋体"/>
          <w:sz w:val="24"/>
        </w:rPr>
        <w:t>（二）项目服务内容</w:t>
      </w:r>
    </w:p>
    <w:p w14:paraId="024D3BA6">
      <w:pPr>
        <w:spacing w:line="360" w:lineRule="auto"/>
        <w:ind w:firstLine="482" w:firstLineChars="200"/>
        <w:rPr>
          <w:rFonts w:ascii="宋体" w:hAnsi="宋体" w:cs="宋体"/>
          <w:b/>
          <w:bCs/>
          <w:sz w:val="24"/>
        </w:rPr>
      </w:pPr>
      <w:r>
        <w:rPr>
          <w:rFonts w:ascii="宋体" w:hAnsi="宋体" w:cs="宋体"/>
          <w:b/>
          <w:bCs/>
          <w:sz w:val="24"/>
        </w:rPr>
        <w:t>1、数据治理服务</w:t>
      </w:r>
    </w:p>
    <w:p w14:paraId="4DB9520F">
      <w:pPr>
        <w:adjustRightInd/>
        <w:spacing w:line="360" w:lineRule="auto"/>
        <w:ind w:firstLine="480" w:firstLineChars="200"/>
        <w:rPr>
          <w:rFonts w:ascii="宋体" w:hAnsi="宋体" w:cs="宋体"/>
          <w:sz w:val="24"/>
        </w:rPr>
      </w:pPr>
      <w:r>
        <w:rPr>
          <w:rFonts w:ascii="宋体" w:hAnsi="宋体" w:cs="宋体"/>
          <w:sz w:val="24"/>
        </w:rPr>
        <w:t>根据省市区重点工作，明确余杭区内数据治理工作方向，至少</w:t>
      </w:r>
      <w:r>
        <w:rPr>
          <w:rFonts w:ascii="宋体" w:hAnsi="宋体" w:cs="宋体"/>
          <w:sz w:val="24"/>
          <w:lang w:bidi="ar"/>
        </w:rPr>
        <w:t>对接300个数据目录治理任务，同时跟进IRS数据质量工单的审核、转派和督办。</w:t>
      </w:r>
    </w:p>
    <w:p w14:paraId="2BAF36CD">
      <w:pPr>
        <w:spacing w:line="360" w:lineRule="auto"/>
        <w:ind w:firstLine="482" w:firstLineChars="200"/>
        <w:rPr>
          <w:rFonts w:ascii="宋体" w:hAnsi="宋体" w:cs="宋体"/>
          <w:b/>
          <w:bCs/>
          <w:sz w:val="24"/>
        </w:rPr>
      </w:pPr>
      <w:r>
        <w:rPr>
          <w:rFonts w:ascii="宋体" w:hAnsi="宋体" w:cs="宋体"/>
          <w:b/>
          <w:bCs/>
          <w:sz w:val="24"/>
        </w:rPr>
        <w:t>（1）数据治理技术支持服务</w:t>
      </w:r>
    </w:p>
    <w:p w14:paraId="0BB30A14">
      <w:pPr>
        <w:spacing w:line="360" w:lineRule="auto"/>
        <w:ind w:firstLine="482" w:firstLineChars="200"/>
        <w:rPr>
          <w:rFonts w:ascii="宋体" w:hAnsi="宋体" w:cs="宋体"/>
          <w:b/>
          <w:bCs/>
          <w:sz w:val="24"/>
        </w:rPr>
      </w:pPr>
      <w:r>
        <w:rPr>
          <w:rFonts w:ascii="宋体" w:hAnsi="宋体" w:cs="宋体"/>
          <w:b/>
          <w:bCs/>
          <w:sz w:val="24"/>
        </w:rPr>
        <w:t>①数据治理培训</w:t>
      </w:r>
    </w:p>
    <w:p w14:paraId="2086ED95">
      <w:pPr>
        <w:spacing w:line="360" w:lineRule="auto"/>
        <w:ind w:firstLine="480" w:firstLineChars="200"/>
        <w:rPr>
          <w:rFonts w:ascii="宋体" w:hAnsi="宋体" w:cs="宋体"/>
          <w:sz w:val="24"/>
        </w:rPr>
      </w:pPr>
      <w:r>
        <w:rPr>
          <w:rFonts w:ascii="宋体" w:hAnsi="宋体" w:cs="宋体"/>
          <w:sz w:val="24"/>
        </w:rPr>
        <w:t>省市数据治理工作细则问题解答：针对业务部门有关省、市数据治理工作细则的疑问，提供解答。</w:t>
      </w:r>
    </w:p>
    <w:p w14:paraId="789A4B1F">
      <w:pPr>
        <w:spacing w:line="360" w:lineRule="auto"/>
        <w:ind w:firstLine="480" w:firstLineChars="200"/>
        <w:rPr>
          <w:rFonts w:ascii="宋体" w:hAnsi="宋体" w:cs="宋体"/>
          <w:sz w:val="24"/>
        </w:rPr>
      </w:pPr>
      <w:r>
        <w:rPr>
          <w:rFonts w:ascii="宋体" w:hAnsi="宋体" w:cs="宋体"/>
          <w:sz w:val="24"/>
        </w:rPr>
        <w:t>数据治理系统培训：为业务部门提供数据治理工作培训，包括数据治理业务流程、一数一标准数据治理规则、通用规则、规则配置流程、配置要求和配置建议等内容。</w:t>
      </w:r>
    </w:p>
    <w:p w14:paraId="1495DDE9">
      <w:pPr>
        <w:spacing w:line="360" w:lineRule="auto"/>
        <w:ind w:firstLine="482" w:firstLineChars="200"/>
        <w:rPr>
          <w:rFonts w:ascii="宋体" w:hAnsi="宋体" w:cs="宋体"/>
          <w:b/>
          <w:bCs/>
          <w:sz w:val="24"/>
        </w:rPr>
      </w:pPr>
      <w:r>
        <w:rPr>
          <w:rFonts w:ascii="宋体" w:hAnsi="宋体" w:cs="宋体"/>
          <w:b/>
          <w:bCs/>
          <w:sz w:val="24"/>
        </w:rPr>
        <w:t>②数据治理考核指标设计</w:t>
      </w:r>
    </w:p>
    <w:p w14:paraId="17BE6E7E">
      <w:pPr>
        <w:spacing w:line="360" w:lineRule="auto"/>
        <w:ind w:firstLine="480" w:firstLineChars="200"/>
        <w:rPr>
          <w:rFonts w:ascii="宋体" w:hAnsi="宋体" w:cs="宋体"/>
          <w:sz w:val="24"/>
        </w:rPr>
      </w:pPr>
      <w:r>
        <w:rPr>
          <w:rFonts w:ascii="宋体" w:hAnsi="宋体" w:cs="宋体"/>
          <w:sz w:val="24"/>
        </w:rPr>
        <w:t>结合省市要求，围绕数据采集阶段、归集阶段、共享阶段的数据治理情况，分析数据治理工作的特点</w:t>
      </w:r>
      <w:r>
        <w:rPr>
          <w:rFonts w:hint="eastAsia" w:ascii="宋体" w:hAnsi="宋体" w:cs="宋体"/>
          <w:sz w:val="24"/>
        </w:rPr>
        <w:t>，</w:t>
      </w:r>
      <w:r>
        <w:rPr>
          <w:rFonts w:ascii="宋体" w:hAnsi="宋体" w:cs="宋体"/>
          <w:sz w:val="24"/>
        </w:rPr>
        <w:t>设计数据治理考核指标体系，包括数据标准采纳情况、治理规则配置情况、问题数据整情况等</w:t>
      </w:r>
      <w:r>
        <w:rPr>
          <w:rFonts w:hint="eastAsia" w:ascii="宋体" w:hAnsi="宋体" w:cs="宋体"/>
          <w:sz w:val="24"/>
        </w:rPr>
        <w:t>，</w:t>
      </w:r>
      <w:r>
        <w:rPr>
          <w:rFonts w:ascii="宋体" w:hAnsi="宋体" w:cs="宋体"/>
          <w:sz w:val="24"/>
        </w:rPr>
        <w:t>对照指标体系，进行赋分，采取定量和定性相结合的方式，对部门开展数据治理的情况进行综合评价，确保结果的合理性。</w:t>
      </w:r>
    </w:p>
    <w:p w14:paraId="71815C44">
      <w:pPr>
        <w:spacing w:line="360" w:lineRule="auto"/>
        <w:ind w:firstLine="482" w:firstLineChars="200"/>
        <w:rPr>
          <w:rFonts w:ascii="宋体" w:hAnsi="宋体" w:cs="宋体"/>
          <w:b/>
          <w:bCs/>
          <w:sz w:val="24"/>
        </w:rPr>
      </w:pPr>
      <w:r>
        <w:rPr>
          <w:rFonts w:ascii="宋体" w:hAnsi="宋体" w:cs="宋体"/>
          <w:b/>
          <w:bCs/>
          <w:sz w:val="24"/>
        </w:rPr>
        <w:t>③数据依标采集规范检查</w:t>
      </w:r>
    </w:p>
    <w:p w14:paraId="733721E9">
      <w:pPr>
        <w:spacing w:line="360" w:lineRule="auto"/>
        <w:ind w:firstLine="480" w:firstLineChars="200"/>
        <w:jc w:val="left"/>
        <w:rPr>
          <w:rFonts w:ascii="宋体" w:hAnsi="宋体" w:cs="宋体"/>
          <w:sz w:val="24"/>
        </w:rPr>
      </w:pPr>
      <w:r>
        <w:rPr>
          <w:rFonts w:ascii="宋体" w:hAnsi="宋体" w:cs="宋体"/>
          <w:sz w:val="24"/>
        </w:rPr>
        <w:t>在信息化项目立项时，核查部门采集数据项数据标准制定情况；在信息化项目验收时，依据相关数据标准完成采集数据项质量确认。</w:t>
      </w:r>
    </w:p>
    <w:p w14:paraId="59C0A32E">
      <w:pPr>
        <w:spacing w:line="360" w:lineRule="auto"/>
        <w:ind w:firstLine="482" w:firstLineChars="200"/>
        <w:jc w:val="left"/>
        <w:rPr>
          <w:rFonts w:ascii="宋体" w:hAnsi="宋体" w:cs="宋体"/>
          <w:b/>
          <w:bCs/>
          <w:sz w:val="24"/>
        </w:rPr>
      </w:pPr>
      <w:r>
        <w:rPr>
          <w:rFonts w:hint="eastAsia" w:ascii="宋体" w:hAnsi="宋体" w:cs="宋体"/>
          <w:b/>
          <w:bCs/>
          <w:sz w:val="24"/>
        </w:rPr>
        <w:t>④公共数据平台架构优化支撑</w:t>
      </w:r>
    </w:p>
    <w:p w14:paraId="0B9B96E5">
      <w:pPr>
        <w:spacing w:line="360" w:lineRule="auto"/>
        <w:ind w:firstLine="480" w:firstLineChars="200"/>
        <w:jc w:val="left"/>
        <w:rPr>
          <w:rFonts w:ascii="宋体" w:hAnsi="宋体" w:cs="宋体"/>
          <w:sz w:val="24"/>
        </w:rPr>
      </w:pPr>
      <w:r>
        <w:rPr>
          <w:rFonts w:hint="eastAsia" w:ascii="宋体" w:hAnsi="宋体" w:cs="宋体"/>
          <w:sz w:val="24"/>
        </w:rPr>
        <w:t>参照省级公共数据平台流转架构和省级公共数据平台数据链路设计，结合区数据特性和业务需求，梳理余杭区数据架构的总体框架和关键组件。根据余杭区实际需求，规划余杭区数据架构的总体框架。为区平台数据架构的实施和运维提供支撑，协助解决数据架构过程中遇到的技术问题和挑战。根据数据架构的发展趋势和区平台数据的变化情况，定期评估数据架构的效果和问题，提出数据架构的改进措施和迭代计划，促进数据架构的持续优化和升级。</w:t>
      </w:r>
    </w:p>
    <w:p w14:paraId="5E773348">
      <w:pPr>
        <w:spacing w:line="360" w:lineRule="auto"/>
        <w:ind w:firstLine="482" w:firstLineChars="200"/>
        <w:rPr>
          <w:rFonts w:ascii="宋体" w:hAnsi="宋体" w:cs="宋体"/>
          <w:b/>
          <w:bCs/>
          <w:sz w:val="24"/>
        </w:rPr>
      </w:pPr>
      <w:r>
        <w:rPr>
          <w:rFonts w:ascii="宋体" w:hAnsi="宋体" w:cs="宋体"/>
          <w:b/>
          <w:bCs/>
          <w:sz w:val="24"/>
        </w:rPr>
        <w:t>（2）一数一源一标准数据治理服务</w:t>
      </w:r>
    </w:p>
    <w:p w14:paraId="7CCA4E91">
      <w:pPr>
        <w:spacing w:line="360" w:lineRule="auto"/>
        <w:ind w:firstLine="482" w:firstLineChars="200"/>
        <w:rPr>
          <w:rFonts w:ascii="宋体" w:hAnsi="宋体" w:cs="宋体"/>
          <w:sz w:val="24"/>
        </w:rPr>
      </w:pPr>
      <w:r>
        <w:rPr>
          <w:rFonts w:ascii="宋体" w:hAnsi="宋体" w:cs="宋体"/>
          <w:b/>
          <w:bCs/>
          <w:sz w:val="24"/>
        </w:rPr>
        <w:t>①数据治理任务审核</w:t>
      </w:r>
    </w:p>
    <w:p w14:paraId="1B72C8CA">
      <w:pPr>
        <w:spacing w:line="360" w:lineRule="auto"/>
        <w:ind w:firstLine="480" w:firstLineChars="200"/>
        <w:rPr>
          <w:rFonts w:ascii="宋体" w:hAnsi="宋体" w:cs="宋体"/>
          <w:sz w:val="24"/>
        </w:rPr>
      </w:pPr>
      <w:r>
        <w:rPr>
          <w:rFonts w:ascii="宋体" w:hAnsi="宋体" w:cs="宋体"/>
          <w:sz w:val="24"/>
        </w:rPr>
        <w:t>对业务部门已提交的治理任务进行审核，规则配置合理则通过，规则不合理则驳回。对于驳回的任务，通知业务部门调整规则，同时提供规则配置建议。</w:t>
      </w:r>
    </w:p>
    <w:p w14:paraId="0A405622">
      <w:pPr>
        <w:spacing w:line="360" w:lineRule="auto"/>
        <w:ind w:firstLine="482" w:firstLineChars="200"/>
        <w:rPr>
          <w:rFonts w:ascii="宋体" w:hAnsi="宋体" w:cs="宋体"/>
          <w:b/>
          <w:bCs/>
          <w:sz w:val="24"/>
        </w:rPr>
      </w:pPr>
      <w:r>
        <w:rPr>
          <w:rFonts w:ascii="宋体" w:hAnsi="宋体" w:cs="宋体"/>
          <w:b/>
          <w:bCs/>
          <w:sz w:val="24"/>
        </w:rPr>
        <w:t>②数据治理任务管理</w:t>
      </w:r>
    </w:p>
    <w:p w14:paraId="50C2B484">
      <w:pPr>
        <w:spacing w:line="360" w:lineRule="auto"/>
        <w:ind w:firstLine="480" w:firstLineChars="200"/>
        <w:rPr>
          <w:rFonts w:ascii="宋体" w:hAnsi="宋体" w:cs="宋体"/>
          <w:sz w:val="24"/>
        </w:rPr>
      </w:pPr>
      <w:r>
        <w:rPr>
          <w:rFonts w:ascii="宋体" w:hAnsi="宋体" w:cs="宋体"/>
          <w:sz w:val="24"/>
        </w:rPr>
        <w:t>对于审核通过的数据治理任务，进行任务调度配置和任务上线；对于已上线运行的数据治理任务，如需调整优化，进行任务下线操作。</w:t>
      </w:r>
    </w:p>
    <w:p w14:paraId="7D429B28">
      <w:pPr>
        <w:spacing w:line="360" w:lineRule="auto"/>
        <w:ind w:firstLine="482" w:firstLineChars="200"/>
        <w:rPr>
          <w:rFonts w:ascii="宋体" w:hAnsi="宋体" w:cs="宋体"/>
          <w:sz w:val="24"/>
        </w:rPr>
      </w:pPr>
      <w:r>
        <w:rPr>
          <w:rFonts w:ascii="宋体" w:hAnsi="宋体" w:cs="宋体"/>
          <w:b/>
          <w:bCs/>
          <w:sz w:val="24"/>
        </w:rPr>
        <w:t>③数据治理问题跟踪</w:t>
      </w:r>
    </w:p>
    <w:p w14:paraId="43B54F9B">
      <w:pPr>
        <w:spacing w:line="360" w:lineRule="auto"/>
        <w:ind w:firstLine="480" w:firstLineChars="200"/>
        <w:rPr>
          <w:rFonts w:ascii="宋体" w:hAnsi="宋体" w:cs="宋体"/>
          <w:sz w:val="24"/>
        </w:rPr>
      </w:pPr>
      <w:r>
        <w:rPr>
          <w:rFonts w:ascii="宋体" w:hAnsi="宋体" w:cs="宋体"/>
          <w:sz w:val="24"/>
        </w:rPr>
        <w:t>针对数据治理任务</w:t>
      </w:r>
      <w:r>
        <w:rPr>
          <w:rFonts w:hint="eastAsia" w:ascii="宋体" w:hAnsi="宋体" w:cs="宋体"/>
          <w:sz w:val="24"/>
        </w:rPr>
        <w:t>校验出</w:t>
      </w:r>
      <w:r>
        <w:rPr>
          <w:rFonts w:ascii="宋体" w:hAnsi="宋体" w:cs="宋体"/>
          <w:sz w:val="24"/>
        </w:rPr>
        <w:t>的数据质量问题，联系部门，提供问题整改建议，督促完成，并对部门整改后的数据进行验证。</w:t>
      </w:r>
    </w:p>
    <w:p w14:paraId="784602C8">
      <w:pPr>
        <w:spacing w:line="360" w:lineRule="auto"/>
        <w:ind w:firstLine="482" w:firstLineChars="200"/>
        <w:rPr>
          <w:rFonts w:ascii="宋体" w:hAnsi="宋体" w:cs="宋体"/>
          <w:b/>
          <w:bCs/>
          <w:sz w:val="24"/>
        </w:rPr>
      </w:pPr>
      <w:r>
        <w:rPr>
          <w:rFonts w:ascii="宋体" w:hAnsi="宋体" w:cs="宋体"/>
          <w:b/>
          <w:bCs/>
          <w:sz w:val="24"/>
        </w:rPr>
        <w:t>④历史数据治理任务维护</w:t>
      </w:r>
    </w:p>
    <w:p w14:paraId="5FDA6D08">
      <w:pPr>
        <w:spacing w:line="360" w:lineRule="auto"/>
        <w:ind w:firstLine="480" w:firstLineChars="200"/>
        <w:rPr>
          <w:rFonts w:ascii="宋体" w:hAnsi="宋体" w:cs="宋体"/>
          <w:sz w:val="24"/>
        </w:rPr>
      </w:pPr>
      <w:r>
        <w:rPr>
          <w:rFonts w:hint="eastAsia" w:ascii="宋体" w:hAnsi="宋体" w:cs="宋体"/>
          <w:sz w:val="24"/>
        </w:rPr>
        <w:t>针对已上线的数据治理任务，定期监控巡检任务状态，如任务运行失败，排查原因重新操作</w:t>
      </w:r>
      <w:r>
        <w:rPr>
          <w:rFonts w:ascii="宋体" w:hAnsi="宋体" w:cs="宋体"/>
          <w:sz w:val="24"/>
        </w:rPr>
        <w:t>。</w:t>
      </w:r>
    </w:p>
    <w:p w14:paraId="4A52BFC3">
      <w:pPr>
        <w:spacing w:line="360" w:lineRule="auto"/>
        <w:ind w:firstLine="482" w:firstLineChars="200"/>
        <w:rPr>
          <w:rFonts w:ascii="宋体" w:hAnsi="宋体" w:cs="宋体"/>
          <w:sz w:val="24"/>
        </w:rPr>
      </w:pPr>
      <w:r>
        <w:rPr>
          <w:rFonts w:ascii="宋体" w:hAnsi="宋体" w:cs="宋体"/>
          <w:b/>
          <w:bCs/>
          <w:sz w:val="24"/>
        </w:rPr>
        <w:t>⑤数据治理结果分析</w:t>
      </w:r>
    </w:p>
    <w:p w14:paraId="2A328605">
      <w:pPr>
        <w:spacing w:line="360" w:lineRule="auto"/>
        <w:ind w:firstLine="480" w:firstLineChars="200"/>
        <w:rPr>
          <w:rFonts w:ascii="宋体" w:hAnsi="宋体" w:cs="宋体"/>
          <w:sz w:val="24"/>
        </w:rPr>
      </w:pPr>
      <w:r>
        <w:rPr>
          <w:rFonts w:ascii="宋体" w:hAnsi="宋体" w:cs="宋体"/>
          <w:sz w:val="24"/>
        </w:rPr>
        <w:t>提供数据治理结果数据统计分析，支撑数据治理工作晾晒通办、成效分析等需求。</w:t>
      </w:r>
    </w:p>
    <w:p w14:paraId="5DB65FF4">
      <w:pPr>
        <w:spacing w:line="360" w:lineRule="auto"/>
        <w:ind w:firstLine="482" w:firstLineChars="200"/>
        <w:rPr>
          <w:rFonts w:ascii="宋体" w:hAnsi="宋体" w:cs="宋体"/>
          <w:b/>
          <w:bCs/>
          <w:sz w:val="24"/>
        </w:rPr>
      </w:pPr>
      <w:r>
        <w:rPr>
          <w:rFonts w:ascii="宋体" w:hAnsi="宋体" w:cs="宋体"/>
          <w:b/>
          <w:bCs/>
          <w:sz w:val="24"/>
        </w:rPr>
        <w:t>⑥数据质量报告服务</w:t>
      </w:r>
    </w:p>
    <w:p w14:paraId="63F19221">
      <w:pPr>
        <w:spacing w:line="360" w:lineRule="auto"/>
        <w:ind w:firstLine="480" w:firstLineChars="200"/>
        <w:rPr>
          <w:rFonts w:ascii="宋体" w:hAnsi="宋体" w:cs="宋体"/>
          <w:sz w:val="24"/>
        </w:rPr>
      </w:pPr>
      <w:r>
        <w:rPr>
          <w:rFonts w:ascii="宋体" w:hAnsi="宋体" w:cs="宋体"/>
          <w:sz w:val="24"/>
        </w:rPr>
        <w:t>数据质量指标设计</w:t>
      </w:r>
      <w:r>
        <w:rPr>
          <w:rFonts w:hint="eastAsia" w:ascii="宋体" w:hAnsi="宋体" w:cs="宋体"/>
          <w:sz w:val="24"/>
        </w:rPr>
        <w:t>：</w:t>
      </w:r>
      <w:r>
        <w:rPr>
          <w:rFonts w:ascii="宋体" w:hAnsi="宋体" w:cs="宋体"/>
          <w:sz w:val="24"/>
        </w:rPr>
        <w:t>结合省级、市级、区级数据治理日常工作推进需求，参考数据治理工作相关标准规范，制定余杭区级的数据质量标准，完成余杭区数据质量报告指标设计。</w:t>
      </w:r>
    </w:p>
    <w:p w14:paraId="114A3F94">
      <w:pPr>
        <w:spacing w:line="360" w:lineRule="auto"/>
        <w:ind w:firstLine="480" w:firstLineChars="200"/>
        <w:rPr>
          <w:rFonts w:ascii="宋体" w:hAnsi="宋体" w:cs="宋体"/>
          <w:sz w:val="24"/>
        </w:rPr>
      </w:pPr>
      <w:r>
        <w:rPr>
          <w:rFonts w:ascii="宋体" w:hAnsi="宋体" w:cs="宋体"/>
          <w:sz w:val="24"/>
        </w:rPr>
        <w:t>数据质量报告</w:t>
      </w:r>
      <w:r>
        <w:rPr>
          <w:rFonts w:hint="eastAsia" w:ascii="宋体" w:hAnsi="宋体" w:cs="宋体"/>
          <w:sz w:val="24"/>
        </w:rPr>
        <w:t>：</w:t>
      </w:r>
      <w:r>
        <w:rPr>
          <w:rFonts w:ascii="宋体" w:hAnsi="宋体" w:cs="宋体"/>
          <w:sz w:val="24"/>
        </w:rPr>
        <w:t>围绕重点应用，根据数据完整性、准确性、及时性等要求，定期出具数据质量报告，包括问题清单、问题整改情况以及问题整改结果等内容。</w:t>
      </w:r>
    </w:p>
    <w:p w14:paraId="4C218B58">
      <w:pPr>
        <w:spacing w:line="360" w:lineRule="auto"/>
        <w:ind w:firstLine="480" w:firstLineChars="200"/>
        <w:rPr>
          <w:rFonts w:ascii="宋体" w:hAnsi="宋体" w:cs="宋体"/>
          <w:sz w:val="24"/>
        </w:rPr>
      </w:pPr>
      <w:r>
        <w:rPr>
          <w:rFonts w:ascii="宋体" w:hAnsi="宋体" w:cs="宋体"/>
          <w:sz w:val="24"/>
        </w:rPr>
        <w:t>数据质量报告指标</w:t>
      </w:r>
      <w:r>
        <w:rPr>
          <w:rFonts w:hint="eastAsia" w:ascii="宋体" w:hAnsi="宋体" w:cs="宋体"/>
          <w:sz w:val="24"/>
        </w:rPr>
        <w:t>支持</w:t>
      </w:r>
      <w:r>
        <w:rPr>
          <w:rFonts w:ascii="宋体" w:hAnsi="宋体" w:cs="宋体"/>
          <w:sz w:val="24"/>
        </w:rPr>
        <w:t>服务</w:t>
      </w:r>
      <w:r>
        <w:rPr>
          <w:rFonts w:hint="eastAsia" w:ascii="宋体" w:hAnsi="宋体" w:cs="宋体"/>
          <w:sz w:val="24"/>
        </w:rPr>
        <w:t>：</w:t>
      </w:r>
      <w:r>
        <w:rPr>
          <w:rFonts w:ascii="宋体" w:hAnsi="宋体" w:cs="宋体"/>
          <w:sz w:val="24"/>
        </w:rPr>
        <w:t>提供数据质量报告指标业务规则相关</w:t>
      </w:r>
      <w:r>
        <w:rPr>
          <w:rFonts w:hint="eastAsia" w:ascii="宋体" w:hAnsi="宋体" w:cs="宋体"/>
          <w:sz w:val="24"/>
        </w:rPr>
        <w:t>支持</w:t>
      </w:r>
      <w:r>
        <w:rPr>
          <w:rFonts w:ascii="宋体" w:hAnsi="宋体" w:cs="宋体"/>
          <w:sz w:val="24"/>
        </w:rPr>
        <w:t>服务。</w:t>
      </w:r>
    </w:p>
    <w:p w14:paraId="786E72C2">
      <w:pPr>
        <w:spacing w:line="360" w:lineRule="auto"/>
        <w:ind w:firstLine="480" w:firstLineChars="200"/>
        <w:rPr>
          <w:rFonts w:ascii="宋体" w:hAnsi="宋体" w:cs="宋体"/>
          <w:sz w:val="24"/>
        </w:rPr>
      </w:pPr>
      <w:r>
        <w:rPr>
          <w:rFonts w:ascii="宋体" w:hAnsi="宋体" w:cs="宋体"/>
          <w:sz w:val="24"/>
        </w:rPr>
        <w:t>数据质量整改</w:t>
      </w:r>
      <w:r>
        <w:rPr>
          <w:rFonts w:hint="eastAsia" w:ascii="宋体" w:hAnsi="宋体" w:cs="宋体"/>
          <w:sz w:val="24"/>
        </w:rPr>
        <w:t>建议：</w:t>
      </w:r>
      <w:r>
        <w:rPr>
          <w:rFonts w:ascii="宋体" w:hAnsi="宋体" w:cs="宋体"/>
          <w:sz w:val="24"/>
        </w:rPr>
        <w:t>针对数据质量报告反应的问题，为业务部门提供整改意见，</w:t>
      </w:r>
      <w:r>
        <w:rPr>
          <w:rFonts w:hint="eastAsia" w:ascii="宋体" w:hAnsi="宋体" w:cs="宋体"/>
          <w:sz w:val="24"/>
        </w:rPr>
        <w:t>支撑</w:t>
      </w:r>
      <w:r>
        <w:rPr>
          <w:rFonts w:ascii="宋体" w:hAnsi="宋体" w:cs="宋体"/>
          <w:sz w:val="24"/>
        </w:rPr>
        <w:t>业务部门整改</w:t>
      </w:r>
      <w:r>
        <w:rPr>
          <w:rFonts w:hint="eastAsia" w:ascii="宋体" w:hAnsi="宋体" w:cs="宋体"/>
          <w:sz w:val="24"/>
        </w:rPr>
        <w:t>问题</w:t>
      </w:r>
      <w:r>
        <w:rPr>
          <w:rFonts w:ascii="宋体" w:hAnsi="宋体" w:cs="宋体"/>
          <w:sz w:val="24"/>
        </w:rPr>
        <w:t>。</w:t>
      </w:r>
    </w:p>
    <w:p w14:paraId="5CCC1B66">
      <w:pPr>
        <w:spacing w:line="360" w:lineRule="auto"/>
        <w:ind w:firstLine="480" w:firstLineChars="200"/>
        <w:rPr>
          <w:rFonts w:ascii="宋体" w:hAnsi="宋体" w:cs="宋体"/>
          <w:sz w:val="24"/>
        </w:rPr>
      </w:pPr>
      <w:r>
        <w:rPr>
          <w:rFonts w:ascii="宋体" w:hAnsi="宋体" w:cs="宋体"/>
          <w:sz w:val="24"/>
        </w:rPr>
        <w:t>已整改数据重新评估</w:t>
      </w:r>
      <w:r>
        <w:rPr>
          <w:rFonts w:hint="eastAsia" w:ascii="宋体" w:hAnsi="宋体" w:cs="宋体"/>
          <w:sz w:val="24"/>
        </w:rPr>
        <w:t>：</w:t>
      </w:r>
      <w:r>
        <w:rPr>
          <w:rFonts w:ascii="宋体" w:hAnsi="宋体" w:cs="宋体"/>
          <w:sz w:val="24"/>
        </w:rPr>
        <w:t>对已完成数据质量整改的业务部门，重新进行数据质量评估，出具数据质量报告。</w:t>
      </w:r>
    </w:p>
    <w:p w14:paraId="527488F4">
      <w:pPr>
        <w:spacing w:line="360" w:lineRule="auto"/>
        <w:ind w:firstLine="482" w:firstLineChars="200"/>
        <w:rPr>
          <w:rFonts w:ascii="宋体" w:hAnsi="宋体" w:cs="宋体"/>
          <w:b/>
          <w:bCs/>
          <w:sz w:val="24"/>
        </w:rPr>
      </w:pPr>
      <w:r>
        <w:rPr>
          <w:rFonts w:ascii="宋体" w:hAnsi="宋体" w:cs="宋体"/>
          <w:b/>
          <w:bCs/>
          <w:sz w:val="24"/>
        </w:rPr>
        <w:t>（3）IRS数据质量工单服务</w:t>
      </w:r>
    </w:p>
    <w:p w14:paraId="1502D40C">
      <w:pPr>
        <w:spacing w:line="360" w:lineRule="auto"/>
        <w:ind w:firstLine="482" w:firstLineChars="200"/>
        <w:rPr>
          <w:rFonts w:ascii="宋体" w:hAnsi="宋体" w:cs="宋体"/>
          <w:b/>
          <w:bCs/>
          <w:sz w:val="24"/>
        </w:rPr>
      </w:pPr>
      <w:r>
        <w:rPr>
          <w:rFonts w:ascii="宋体" w:hAnsi="宋体" w:cs="宋体"/>
          <w:b/>
          <w:bCs/>
          <w:sz w:val="24"/>
        </w:rPr>
        <w:t>①数据质量工单问题定位</w:t>
      </w:r>
    </w:p>
    <w:p w14:paraId="5041BE0A">
      <w:pPr>
        <w:spacing w:line="360" w:lineRule="auto"/>
        <w:ind w:firstLine="480" w:firstLineChars="200"/>
        <w:rPr>
          <w:rFonts w:ascii="宋体" w:hAnsi="宋体" w:cs="宋体"/>
          <w:sz w:val="24"/>
        </w:rPr>
      </w:pPr>
      <w:r>
        <w:rPr>
          <w:rFonts w:ascii="宋体" w:hAnsi="宋体" w:cs="宋体"/>
          <w:sz w:val="24"/>
        </w:rPr>
        <w:t>对流转到余杭区的数据质量工单，联系工单提交单位沟通确认问题，根据数据来源排查数据归集链路、回流链路，完成工单问题的初步定位，并转派到责任部门或省市级公共数据平台。</w:t>
      </w:r>
    </w:p>
    <w:p w14:paraId="4736AA1B">
      <w:pPr>
        <w:spacing w:line="360" w:lineRule="auto"/>
        <w:ind w:firstLine="482" w:firstLineChars="200"/>
        <w:rPr>
          <w:rFonts w:ascii="宋体" w:hAnsi="宋体" w:cs="宋体"/>
          <w:b/>
          <w:bCs/>
          <w:sz w:val="24"/>
        </w:rPr>
      </w:pPr>
      <w:r>
        <w:rPr>
          <w:rFonts w:ascii="宋体" w:hAnsi="宋体" w:cs="宋体"/>
          <w:b/>
          <w:bCs/>
          <w:sz w:val="24"/>
        </w:rPr>
        <w:t>②数据质量工单转派跟踪</w:t>
      </w:r>
    </w:p>
    <w:p w14:paraId="195DB30B">
      <w:pPr>
        <w:widowControl/>
        <w:spacing w:after="0" w:line="360" w:lineRule="auto"/>
        <w:ind w:firstLine="480" w:firstLineChars="200"/>
        <w:rPr>
          <w:rFonts w:ascii="宋体" w:hAnsi="宋体" w:cs="宋体"/>
          <w:sz w:val="24"/>
        </w:rPr>
      </w:pPr>
      <w:r>
        <w:rPr>
          <w:rFonts w:ascii="宋体" w:hAnsi="宋体" w:cs="宋体"/>
          <w:sz w:val="24"/>
        </w:rPr>
        <w:t>跟踪流转到区本级数源单位或省市级公共数据平台的工单进度，联系区本级数源单位或省市级公共数据平台相关技术人员沟通协调工单处理直至完结。</w:t>
      </w:r>
    </w:p>
    <w:p w14:paraId="33EF2A77">
      <w:pPr>
        <w:widowControl/>
        <w:spacing w:after="0" w:line="360" w:lineRule="auto"/>
        <w:ind w:firstLine="482" w:firstLineChars="200"/>
        <w:rPr>
          <w:rFonts w:ascii="宋体" w:hAnsi="宋体" w:cs="宋体"/>
          <w:b/>
          <w:bCs/>
          <w:sz w:val="24"/>
        </w:rPr>
      </w:pPr>
      <w:r>
        <w:rPr>
          <w:rFonts w:hint="eastAsia" w:ascii="宋体" w:hAnsi="宋体" w:cs="宋体"/>
          <w:b/>
          <w:bCs/>
          <w:sz w:val="24"/>
        </w:rPr>
        <w:t>③</w:t>
      </w:r>
      <w:r>
        <w:rPr>
          <w:rFonts w:hint="eastAsia" w:ascii="宋体" w:hAnsi="宋体" w:cs="宋体"/>
          <w:b/>
          <w:bCs/>
          <w:color w:val="000000"/>
          <w:sz w:val="24"/>
        </w:rPr>
        <w:t>数据质量工单</w:t>
      </w:r>
      <w:r>
        <w:rPr>
          <w:rFonts w:ascii="宋体" w:hAnsi="宋体" w:cs="宋体"/>
          <w:b/>
          <w:bCs/>
          <w:color w:val="000000"/>
          <w:sz w:val="24"/>
        </w:rPr>
        <w:t>统计分析</w:t>
      </w:r>
    </w:p>
    <w:p w14:paraId="1145304B">
      <w:pPr>
        <w:pStyle w:val="61"/>
        <w:spacing w:before="0" w:beforeAutospacing="0" w:after="0" w:afterAutospacing="0" w:line="360" w:lineRule="auto"/>
        <w:ind w:firstLine="480" w:firstLineChars="200"/>
        <w:rPr>
          <w:rFonts w:cs="宋体"/>
        </w:rPr>
      </w:pPr>
      <w:r>
        <w:rPr>
          <w:rFonts w:hint="eastAsia" w:cs="宋体"/>
        </w:rPr>
        <w:t>按月度、年度汇总质量工单信息，定义问题类别，形成质量工单状态跟踪一览表，作为数据质量提升规范制定的数据支撑。</w:t>
      </w:r>
    </w:p>
    <w:p w14:paraId="39FD33F4">
      <w:pPr>
        <w:widowControl/>
        <w:ind w:firstLine="420" w:firstLineChars="200"/>
        <w:rPr>
          <w:rFonts w:ascii="宋体" w:hAnsi="宋体" w:cs="宋体"/>
          <w:szCs w:val="32"/>
        </w:rPr>
      </w:pPr>
    </w:p>
    <w:p w14:paraId="74C3AF51">
      <w:pPr>
        <w:spacing w:line="360" w:lineRule="auto"/>
        <w:ind w:firstLine="482" w:firstLineChars="200"/>
        <w:rPr>
          <w:rFonts w:ascii="宋体" w:hAnsi="宋体" w:cs="宋体"/>
          <w:b/>
          <w:bCs/>
          <w:sz w:val="24"/>
        </w:rPr>
      </w:pPr>
      <w:r>
        <w:rPr>
          <w:rFonts w:hint="eastAsia" w:ascii="宋体" w:hAnsi="宋体" w:cs="宋体"/>
          <w:b/>
          <w:bCs/>
          <w:sz w:val="24"/>
        </w:rPr>
        <w:t>2、数据仓服务（日常运营运维服务）</w:t>
      </w:r>
    </w:p>
    <w:p w14:paraId="0996B9E1">
      <w:pPr>
        <w:spacing w:line="360" w:lineRule="auto"/>
        <w:ind w:firstLine="480" w:firstLineChars="200"/>
        <w:rPr>
          <w:rFonts w:ascii="宋体" w:hAnsi="宋体" w:cs="宋体"/>
          <w:sz w:val="24"/>
        </w:rPr>
      </w:pPr>
      <w:r>
        <w:rPr>
          <w:rFonts w:hint="eastAsia" w:ascii="宋体" w:hAnsi="宋体" w:cs="宋体"/>
          <w:sz w:val="24"/>
        </w:rPr>
        <w:t>数据仓服务是公共数据平台产生数据价值的重要环节之一，</w:t>
      </w:r>
      <w:r>
        <w:rPr>
          <w:rFonts w:hint="eastAsia" w:ascii="宋体" w:hAnsi="宋体" w:cs="宋体"/>
          <w:sz w:val="24"/>
          <w:lang w:eastAsia="zh-Hans"/>
        </w:rPr>
        <w:t>数据仓服务主要提供数据仓日常</w:t>
      </w:r>
      <w:r>
        <w:rPr>
          <w:rFonts w:hint="eastAsia" w:ascii="宋体" w:hAnsi="宋体" w:cs="宋体"/>
          <w:sz w:val="24"/>
        </w:rPr>
        <w:t>运营运维服务。</w:t>
      </w:r>
      <w:r>
        <w:rPr>
          <w:rFonts w:hint="eastAsia" w:ascii="宋体" w:hAnsi="宋体" w:cs="宋体"/>
          <w:sz w:val="24"/>
          <w:lang w:bidi="ar"/>
        </w:rPr>
        <w:t>按需开展应用仓的技术支持工作，支撑10+应用仓</w:t>
      </w:r>
      <w:r>
        <w:rPr>
          <w:rFonts w:ascii="宋体" w:hAnsi="宋体" w:cs="宋体"/>
          <w:sz w:val="24"/>
          <w:lang w:bidi="ar"/>
        </w:rPr>
        <w:t>的</w:t>
      </w:r>
      <w:r>
        <w:rPr>
          <w:rFonts w:hint="eastAsia" w:ascii="宋体" w:hAnsi="宋体" w:cs="宋体"/>
          <w:sz w:val="24"/>
          <w:lang w:bidi="ar"/>
        </w:rPr>
        <w:t>搭建</w:t>
      </w:r>
      <w:r>
        <w:rPr>
          <w:rFonts w:ascii="宋体" w:hAnsi="宋体" w:cs="宋体"/>
          <w:sz w:val="24"/>
          <w:lang w:bidi="ar"/>
        </w:rPr>
        <w:t>/升降配</w:t>
      </w:r>
      <w:r>
        <w:rPr>
          <w:rFonts w:hint="eastAsia" w:ascii="宋体" w:hAnsi="宋体" w:cs="宋体"/>
          <w:sz w:val="24"/>
          <w:lang w:bidi="ar"/>
        </w:rPr>
        <w:t>工作。</w:t>
      </w:r>
    </w:p>
    <w:p w14:paraId="59586A17">
      <w:pPr>
        <w:numPr>
          <w:ilvl w:val="0"/>
          <w:numId w:val="5"/>
        </w:numPr>
        <w:spacing w:line="360" w:lineRule="auto"/>
        <w:ind w:firstLine="482" w:firstLineChars="200"/>
        <w:rPr>
          <w:rFonts w:ascii="宋体" w:hAnsi="宋体" w:cs="宋体"/>
          <w:b/>
          <w:bCs/>
          <w:sz w:val="24"/>
        </w:rPr>
      </w:pPr>
      <w:r>
        <w:rPr>
          <w:rFonts w:ascii="宋体" w:hAnsi="宋体" w:cs="宋体"/>
          <w:b/>
          <w:bCs/>
          <w:sz w:val="24"/>
        </w:rPr>
        <w:t>日常运营工作</w:t>
      </w:r>
    </w:p>
    <w:p w14:paraId="156A96DD">
      <w:pPr>
        <w:spacing w:line="360" w:lineRule="auto"/>
        <w:ind w:firstLine="480" w:firstLineChars="200"/>
        <w:rPr>
          <w:rFonts w:ascii="宋体" w:hAnsi="宋体" w:cs="宋体"/>
          <w:sz w:val="24"/>
        </w:rPr>
      </w:pPr>
      <w:r>
        <w:rPr>
          <w:rFonts w:hint="eastAsia" w:ascii="宋体" w:hAnsi="宋体" w:cs="宋体"/>
          <w:sz w:val="24"/>
        </w:rPr>
        <w:t>支撑部门仓/应用仓申请流程，</w:t>
      </w:r>
      <w:r>
        <w:rPr>
          <w:rFonts w:ascii="宋体" w:hAnsi="宋体" w:cs="宋体"/>
          <w:sz w:val="24"/>
        </w:rPr>
        <w:t>审核进度协调跟踪，</w:t>
      </w:r>
      <w:r>
        <w:rPr>
          <w:rFonts w:hint="eastAsia" w:ascii="宋体" w:hAnsi="宋体" w:cs="宋体"/>
          <w:sz w:val="24"/>
        </w:rPr>
        <w:t>搭建开通及账号权限配置。</w:t>
      </w:r>
    </w:p>
    <w:p w14:paraId="4474FA41">
      <w:pPr>
        <w:spacing w:line="360" w:lineRule="auto"/>
        <w:ind w:firstLine="482" w:firstLineChars="200"/>
        <w:rPr>
          <w:rFonts w:ascii="宋体" w:hAnsi="宋体" w:cs="宋体"/>
          <w:b/>
          <w:bCs/>
          <w:sz w:val="24"/>
        </w:rPr>
      </w:pPr>
      <w:r>
        <w:rPr>
          <w:rFonts w:hint="eastAsia" w:ascii="宋体" w:hAnsi="宋体" w:cs="宋体"/>
          <w:b/>
          <w:bCs/>
          <w:sz w:val="24"/>
        </w:rPr>
        <w:t>（2）日常运</w:t>
      </w:r>
      <w:r>
        <w:rPr>
          <w:rFonts w:ascii="宋体" w:hAnsi="宋体" w:cs="宋体"/>
          <w:b/>
          <w:bCs/>
          <w:sz w:val="24"/>
        </w:rPr>
        <w:t>维</w:t>
      </w:r>
      <w:r>
        <w:rPr>
          <w:rFonts w:hint="eastAsia" w:ascii="宋体" w:hAnsi="宋体" w:cs="宋体"/>
          <w:b/>
          <w:bCs/>
          <w:sz w:val="24"/>
        </w:rPr>
        <w:t>工作</w:t>
      </w:r>
    </w:p>
    <w:p w14:paraId="55CCA630">
      <w:pPr>
        <w:spacing w:line="360" w:lineRule="auto"/>
        <w:ind w:firstLine="480" w:firstLineChars="200"/>
        <w:rPr>
          <w:rFonts w:ascii="宋体" w:hAnsi="宋体" w:cs="宋体"/>
          <w:sz w:val="24"/>
        </w:rPr>
      </w:pPr>
      <w:r>
        <w:rPr>
          <w:rFonts w:hint="eastAsia" w:ascii="宋体" w:hAnsi="宋体" w:cs="宋体"/>
          <w:sz w:val="24"/>
        </w:rPr>
        <w:t>提供数据仓</w:t>
      </w:r>
      <w:r>
        <w:rPr>
          <w:rFonts w:ascii="宋体" w:hAnsi="宋体" w:cs="宋体"/>
          <w:sz w:val="24"/>
        </w:rPr>
        <w:t>工具使用、开发</w:t>
      </w:r>
      <w:r>
        <w:rPr>
          <w:rFonts w:hint="eastAsia" w:ascii="宋体" w:hAnsi="宋体" w:cs="宋体"/>
          <w:sz w:val="24"/>
        </w:rPr>
        <w:t>过程的</w:t>
      </w:r>
      <w:r>
        <w:rPr>
          <w:rFonts w:ascii="宋体" w:hAnsi="宋体" w:cs="宋体"/>
          <w:sz w:val="24"/>
        </w:rPr>
        <w:t>技术</w:t>
      </w:r>
      <w:r>
        <w:rPr>
          <w:rFonts w:hint="eastAsia" w:ascii="宋体" w:hAnsi="宋体" w:cs="宋体"/>
          <w:sz w:val="24"/>
        </w:rPr>
        <w:t>支持，</w:t>
      </w:r>
      <w:r>
        <w:rPr>
          <w:rFonts w:ascii="宋体" w:hAnsi="宋体" w:cs="宋体"/>
          <w:sz w:val="24"/>
        </w:rPr>
        <w:t>包括基于大数据工作台的工具使用</w:t>
      </w:r>
      <w:r>
        <w:rPr>
          <w:rFonts w:hint="eastAsia" w:ascii="宋体" w:hAnsi="宋体" w:cs="宋体"/>
          <w:sz w:val="24"/>
        </w:rPr>
        <w:t>支持，数据处理</w:t>
      </w:r>
      <w:r>
        <w:rPr>
          <w:rFonts w:ascii="宋体" w:hAnsi="宋体" w:cs="宋体"/>
          <w:sz w:val="24"/>
        </w:rPr>
        <w:t>、</w:t>
      </w:r>
      <w:r>
        <w:rPr>
          <w:rFonts w:hint="eastAsia" w:ascii="宋体" w:hAnsi="宋体" w:cs="宋体"/>
          <w:sz w:val="24"/>
        </w:rPr>
        <w:t>任务调度</w:t>
      </w:r>
      <w:r>
        <w:rPr>
          <w:rFonts w:ascii="宋体" w:hAnsi="宋体" w:cs="宋体"/>
          <w:sz w:val="24"/>
        </w:rPr>
        <w:t>、函数开发、表处理等技术运维支持，以及应用仓的升降配工作</w:t>
      </w:r>
      <w:r>
        <w:rPr>
          <w:rFonts w:hint="eastAsia" w:ascii="宋体" w:hAnsi="宋体" w:cs="宋体"/>
          <w:sz w:val="24"/>
        </w:rPr>
        <w:t>支持</w:t>
      </w:r>
      <w:r>
        <w:rPr>
          <w:rFonts w:ascii="宋体" w:hAnsi="宋体" w:cs="宋体"/>
          <w:sz w:val="24"/>
        </w:rPr>
        <w:t>。</w:t>
      </w:r>
    </w:p>
    <w:p w14:paraId="29949781">
      <w:pPr>
        <w:pStyle w:val="6"/>
        <w:spacing w:before="0" w:after="0" w:line="360" w:lineRule="auto"/>
        <w:ind w:left="0" w:firstLine="0"/>
        <w:rPr>
          <w:rFonts w:ascii="宋体" w:hAnsi="宋体" w:cs="宋体"/>
          <w:sz w:val="24"/>
          <w:szCs w:val="24"/>
        </w:rPr>
      </w:pPr>
      <w:r>
        <w:rPr>
          <w:rFonts w:hint="eastAsia" w:ascii="宋体" w:hAnsi="宋体" w:cs="宋体"/>
          <w:sz w:val="24"/>
          <w:szCs w:val="24"/>
        </w:rPr>
        <w:t>（</w:t>
      </w:r>
      <w:r>
        <w:rPr>
          <w:rFonts w:ascii="宋体" w:hAnsi="宋体" w:cs="宋体"/>
          <w:sz w:val="24"/>
          <w:szCs w:val="24"/>
        </w:rPr>
        <w:t>三</w:t>
      </w:r>
      <w:r>
        <w:rPr>
          <w:rFonts w:hint="eastAsia" w:ascii="宋体" w:hAnsi="宋体" w:cs="宋体"/>
          <w:sz w:val="24"/>
          <w:szCs w:val="24"/>
        </w:rPr>
        <w:t>）技术人员要求</w:t>
      </w:r>
    </w:p>
    <w:p w14:paraId="7F10D6A4">
      <w:pPr>
        <w:pStyle w:val="25"/>
        <w:autoSpaceDE/>
        <w:autoSpaceDN/>
        <w:ind w:firstLine="480" w:firstLineChars="200"/>
        <w:jc w:val="left"/>
        <w:rPr>
          <w:rFonts w:hAnsi="宋体" w:cs="宋体"/>
          <w:b/>
          <w:bCs/>
          <w:szCs w:val="24"/>
          <w:lang w:val="en-US"/>
        </w:rPr>
      </w:pPr>
      <w:r>
        <w:rPr>
          <w:rFonts w:hint="eastAsia" w:hAnsi="宋体" w:cs="宋体"/>
          <w:szCs w:val="24"/>
        </w:rPr>
        <w:t>本项目属于复杂的信息化运营服务项目，投标人需要配备专业技术运营人员开展平台的运营、运维等工作，且技术运营人员的数量应满足项目需要。中标人应选派具有丰富信息化及大数据平台经验的项目经理和专业技术的工程师，结合其在公共数据管理中的技术支持和服务方面的经验，提出本标项运营服务方案。本标项实施人员不少于 3人年，其中驻场人员不少于1.5人年，项目团队人员配置科学合理、分工明确。</w:t>
      </w:r>
    </w:p>
    <w:p w14:paraId="2C49BE08">
      <w:pPr>
        <w:spacing w:line="360" w:lineRule="auto"/>
        <w:rPr>
          <w:rFonts w:ascii="宋体" w:hAnsi="宋体" w:cs="宋体"/>
          <w:sz w:val="24"/>
        </w:rPr>
      </w:pPr>
    </w:p>
    <w:p w14:paraId="4AAFE951">
      <w:pPr>
        <w:pStyle w:val="5"/>
        <w:jc w:val="center"/>
        <w:rPr>
          <w:rFonts w:ascii="宋体" w:hAnsi="宋体" w:eastAsia="宋体" w:cs="宋体"/>
          <w:sz w:val="24"/>
          <w:lang w:val="en-US"/>
        </w:rPr>
      </w:pPr>
      <w:r>
        <w:rPr>
          <w:rFonts w:hint="eastAsia" w:ascii="宋体" w:hAnsi="宋体" w:eastAsia="宋体" w:cs="宋体"/>
          <w:sz w:val="24"/>
          <w:lang w:val="en-US"/>
        </w:rPr>
        <w:t xml:space="preserve">标项五 </w:t>
      </w:r>
      <w:r>
        <w:rPr>
          <w:rFonts w:hint="eastAsia" w:ascii="宋体" w:hAnsi="宋体" w:eastAsia="宋体" w:cs="宋体"/>
          <w:kern w:val="0"/>
          <w:sz w:val="24"/>
          <w:szCs w:val="24"/>
          <w:lang w:val="en-US"/>
        </w:rPr>
        <w:t>数字化顶层设计运营服务</w:t>
      </w:r>
    </w:p>
    <w:p w14:paraId="246E5AF5">
      <w:pPr>
        <w:pStyle w:val="6"/>
        <w:spacing w:before="0" w:after="0" w:line="360" w:lineRule="auto"/>
        <w:ind w:left="0" w:firstLine="0"/>
        <w:rPr>
          <w:rFonts w:ascii="宋体" w:hAnsi="宋体" w:cs="宋体"/>
          <w:sz w:val="24"/>
          <w:szCs w:val="24"/>
        </w:rPr>
      </w:pPr>
      <w:r>
        <w:rPr>
          <w:rFonts w:hint="eastAsia" w:ascii="宋体" w:hAnsi="宋体" w:cs="宋体"/>
          <w:sz w:val="24"/>
          <w:szCs w:val="24"/>
        </w:rPr>
        <w:t>（一）项目</w:t>
      </w:r>
      <w:r>
        <w:rPr>
          <w:rFonts w:ascii="宋体" w:hAnsi="宋体" w:cs="宋体"/>
          <w:sz w:val="24"/>
          <w:szCs w:val="24"/>
        </w:rPr>
        <w:t>概况</w:t>
      </w:r>
    </w:p>
    <w:p w14:paraId="28C846E5">
      <w:pPr>
        <w:pStyle w:val="17"/>
        <w:widowControl w:val="0"/>
        <w:snapToGrid/>
        <w:spacing w:line="360" w:lineRule="auto"/>
        <w:ind w:firstLine="420"/>
        <w:rPr>
          <w:rFonts w:hAnsi="宋体" w:cs="宋体"/>
          <w:sz w:val="24"/>
          <w:szCs w:val="24"/>
        </w:rPr>
      </w:pPr>
      <w:r>
        <w:rPr>
          <w:rFonts w:hint="eastAsia" w:hAnsi="宋体" w:cs="宋体"/>
          <w:sz w:val="24"/>
          <w:szCs w:val="24"/>
        </w:rPr>
        <w:t>2022年6月，国务院出台《关于加强数字政府建设的指导意见》，制定了</w:t>
      </w:r>
      <w:r>
        <w:rPr>
          <w:rFonts w:hAnsi="宋体" w:cs="宋体"/>
          <w:sz w:val="24"/>
          <w:szCs w:val="24"/>
        </w:rPr>
        <w:t>到</w:t>
      </w:r>
      <w:r>
        <w:rPr>
          <w:rFonts w:hint="eastAsia" w:hAnsi="宋体" w:cs="宋体"/>
          <w:sz w:val="24"/>
          <w:szCs w:val="24"/>
        </w:rPr>
        <w:t>2025年政府数字化履职能力、安全保障、制度规则、数据资源、平台支撑等数字政府体系框架基本形成的目标。2023年10月，国家数据局正式挂牌成立，这是以习近平总书记为核心的党中央从全局和战略高度作出的又一重大决策，也是数字中国建设进程中又一具有里程碑意义的事件，开创了构建数据基础制度、统筹数据资源整合共享和开发利用、推进数字中国建设的新局面。</w:t>
      </w:r>
    </w:p>
    <w:p w14:paraId="21CBFF18">
      <w:pPr>
        <w:pStyle w:val="17"/>
        <w:snapToGrid/>
        <w:spacing w:line="360" w:lineRule="auto"/>
        <w:ind w:firstLine="420"/>
        <w:rPr>
          <w:rFonts w:hAnsi="宋体" w:cs="宋体"/>
          <w:sz w:val="24"/>
          <w:szCs w:val="24"/>
        </w:rPr>
      </w:pPr>
      <w:r>
        <w:rPr>
          <w:rFonts w:hint="eastAsia" w:hAnsi="宋体" w:cs="宋体"/>
          <w:sz w:val="24"/>
          <w:szCs w:val="24"/>
        </w:rPr>
        <w:t>近年来，余杭在国家、省市区政策指引下，铆足干劲攻坚克难，在数字化工作中取得了令人瞩目的成绩，不仅成为了浙江省数字化改革示范区县，还迅速发展成为省内乃至全国性的“数字高地”。随着国家数据局的成立及数字中国相关政策持续落地，新一轮数字化浪潮已经开始，这既为余杭数字化工作指明了新的方向，也提出了更高的要求，余杭区需要以破浪而行的姿态乘“数”而上，</w:t>
      </w:r>
      <w:r>
        <w:rPr>
          <w:rFonts w:hAnsi="宋体" w:cs="宋体"/>
          <w:sz w:val="24"/>
          <w:szCs w:val="24"/>
        </w:rPr>
        <w:t>抢抓机遇</w:t>
      </w:r>
      <w:r>
        <w:rPr>
          <w:rFonts w:hint="eastAsia" w:hAnsi="宋体" w:cs="宋体"/>
          <w:sz w:val="24"/>
          <w:szCs w:val="24"/>
        </w:rPr>
        <w:t>构建政府、企业、社会多方力量的全新链接，形成共建共治共享的生动局面。</w:t>
      </w:r>
    </w:p>
    <w:p w14:paraId="36D0F062">
      <w:pPr>
        <w:pStyle w:val="17"/>
        <w:widowControl w:val="0"/>
        <w:snapToGrid/>
        <w:spacing w:line="360" w:lineRule="auto"/>
        <w:ind w:firstLine="420"/>
        <w:rPr>
          <w:rFonts w:hAnsi="宋体" w:cs="宋体"/>
          <w:sz w:val="24"/>
          <w:szCs w:val="24"/>
        </w:rPr>
      </w:pPr>
      <w:r>
        <w:rPr>
          <w:rFonts w:hint="eastAsia" w:hAnsi="宋体" w:cs="宋体"/>
          <w:sz w:val="24"/>
          <w:szCs w:val="24"/>
        </w:rPr>
        <w:t>本项目需紧跟国家、省市区数字化相关政策动态，贯彻落实省委省政府数字化工作的顶层设计、年度任务、最新工作要求，结合余杭区工作现状和需求，为余杭区数据资源管理局提供数字化顶层设计运营服务，全面提升余杭区数管局精准研判、科学决策能力，增强政治对标敏感性、主动性，强化工作决策系统性、前瞻性，保障建言</w:t>
      </w:r>
      <w:r>
        <w:rPr>
          <w:rFonts w:hAnsi="宋体" w:cs="宋体"/>
          <w:sz w:val="24"/>
          <w:szCs w:val="24"/>
        </w:rPr>
        <w:t>献策</w:t>
      </w:r>
      <w:r>
        <w:rPr>
          <w:rFonts w:hint="eastAsia" w:hAnsi="宋体" w:cs="宋体"/>
          <w:sz w:val="24"/>
          <w:szCs w:val="24"/>
        </w:rPr>
        <w:t>时效性、精准性。</w:t>
      </w:r>
    </w:p>
    <w:p w14:paraId="075D08F1">
      <w:pPr>
        <w:pStyle w:val="6"/>
        <w:spacing w:before="0" w:after="0" w:line="360" w:lineRule="auto"/>
        <w:ind w:left="0" w:firstLine="0"/>
        <w:rPr>
          <w:rFonts w:ascii="宋体" w:hAnsi="宋体" w:cs="宋体"/>
          <w:sz w:val="24"/>
          <w:szCs w:val="24"/>
        </w:rPr>
      </w:pPr>
      <w:r>
        <w:rPr>
          <w:rFonts w:hint="eastAsia" w:ascii="宋体" w:hAnsi="宋体" w:cs="宋体"/>
          <w:sz w:val="24"/>
          <w:szCs w:val="24"/>
        </w:rPr>
        <w:t>（</w:t>
      </w:r>
      <w:r>
        <w:rPr>
          <w:rFonts w:ascii="宋体" w:hAnsi="宋体" w:cs="宋体"/>
          <w:sz w:val="24"/>
          <w:szCs w:val="24"/>
        </w:rPr>
        <w:t>二</w:t>
      </w:r>
      <w:r>
        <w:rPr>
          <w:rFonts w:hint="eastAsia" w:ascii="宋体" w:hAnsi="宋体" w:cs="宋体"/>
          <w:sz w:val="24"/>
          <w:szCs w:val="24"/>
        </w:rPr>
        <w:t>）</w:t>
      </w:r>
      <w:r>
        <w:rPr>
          <w:rFonts w:ascii="宋体" w:hAnsi="宋体" w:cs="宋体"/>
          <w:sz w:val="24"/>
          <w:szCs w:val="24"/>
        </w:rPr>
        <w:t>项目</w:t>
      </w:r>
      <w:r>
        <w:rPr>
          <w:rFonts w:hint="eastAsia" w:ascii="宋体" w:hAnsi="宋体" w:cs="宋体"/>
          <w:sz w:val="24"/>
          <w:szCs w:val="24"/>
        </w:rPr>
        <w:t>内容</w:t>
      </w:r>
    </w:p>
    <w:p w14:paraId="4C18F347">
      <w:pPr>
        <w:pStyle w:val="17"/>
        <w:widowControl w:val="0"/>
        <w:snapToGrid/>
        <w:spacing w:line="360" w:lineRule="auto"/>
        <w:ind w:firstLine="420"/>
        <w:rPr>
          <w:rFonts w:hAnsi="宋体" w:cs="宋体"/>
          <w:sz w:val="24"/>
          <w:szCs w:val="24"/>
        </w:rPr>
      </w:pPr>
      <w:r>
        <w:rPr>
          <w:rFonts w:hint="eastAsia" w:hAnsi="宋体" w:cs="宋体"/>
          <w:sz w:val="24"/>
          <w:szCs w:val="24"/>
        </w:rPr>
        <w:t>余杭区数字化顶层设计运营服务包括战略发展方向建议、重大专题综合分析、特色经验沉淀、“他山之石”学习借鉴四个方面：</w:t>
      </w:r>
    </w:p>
    <w:p w14:paraId="1EDCAFE9">
      <w:pPr>
        <w:pStyle w:val="17"/>
        <w:widowControl w:val="0"/>
        <w:snapToGrid/>
        <w:spacing w:line="360" w:lineRule="auto"/>
        <w:ind w:firstLine="420"/>
        <w:rPr>
          <w:rFonts w:hAnsi="宋体" w:cs="宋体"/>
          <w:sz w:val="24"/>
          <w:szCs w:val="24"/>
        </w:rPr>
      </w:pPr>
      <w:r>
        <w:rPr>
          <w:rFonts w:hint="eastAsia" w:hAnsi="宋体" w:cs="宋体"/>
          <w:sz w:val="24"/>
          <w:szCs w:val="24"/>
        </w:rPr>
        <w:t>（1）发展方向建议</w:t>
      </w:r>
    </w:p>
    <w:p w14:paraId="555331D5">
      <w:pPr>
        <w:pStyle w:val="17"/>
        <w:widowControl w:val="0"/>
        <w:snapToGrid/>
        <w:spacing w:line="360" w:lineRule="auto"/>
        <w:ind w:firstLine="420"/>
        <w:rPr>
          <w:rFonts w:hAnsi="宋体" w:cs="宋体"/>
          <w:sz w:val="24"/>
          <w:szCs w:val="24"/>
        </w:rPr>
      </w:pPr>
      <w:r>
        <w:rPr>
          <w:rFonts w:hint="eastAsia" w:hAnsi="宋体" w:cs="宋体"/>
          <w:sz w:val="24"/>
          <w:szCs w:val="24"/>
        </w:rPr>
        <w:t>紧跟国家、省市区数字化工作的最新方向，对标国家、浙江省最新政策、政府工作报告、</w:t>
      </w:r>
      <w:r>
        <w:rPr>
          <w:rFonts w:hAnsi="宋体" w:cs="宋体"/>
          <w:sz w:val="24"/>
          <w:szCs w:val="24"/>
        </w:rPr>
        <w:t>年度</w:t>
      </w:r>
      <w:r>
        <w:rPr>
          <w:rFonts w:hint="eastAsia" w:hAnsi="宋体" w:cs="宋体"/>
          <w:sz w:val="24"/>
          <w:szCs w:val="24"/>
        </w:rPr>
        <w:t>重点</w:t>
      </w:r>
      <w:r>
        <w:rPr>
          <w:rFonts w:hAnsi="宋体" w:cs="宋体"/>
          <w:sz w:val="24"/>
          <w:szCs w:val="24"/>
        </w:rPr>
        <w:t>工作</w:t>
      </w:r>
      <w:r>
        <w:rPr>
          <w:rFonts w:hint="eastAsia" w:hAnsi="宋体" w:cs="宋体"/>
          <w:sz w:val="24"/>
          <w:szCs w:val="24"/>
        </w:rPr>
        <w:t>任务等，立足余杭区数字化工作现状，多维度</w:t>
      </w:r>
      <w:r>
        <w:rPr>
          <w:rFonts w:hAnsi="宋体" w:cs="宋体"/>
          <w:sz w:val="24"/>
          <w:szCs w:val="24"/>
        </w:rPr>
        <w:t>分析研判</w:t>
      </w:r>
      <w:r>
        <w:rPr>
          <w:rFonts w:hint="eastAsia" w:hAnsi="宋体" w:cs="宋体"/>
          <w:sz w:val="24"/>
          <w:szCs w:val="24"/>
        </w:rPr>
        <w:t>余杭区</w:t>
      </w:r>
      <w:r>
        <w:rPr>
          <w:rFonts w:hAnsi="宋体" w:cs="宋体"/>
          <w:sz w:val="24"/>
          <w:szCs w:val="24"/>
        </w:rPr>
        <w:t>数字化发展潜力及优势短板</w:t>
      </w:r>
      <w:r>
        <w:rPr>
          <w:rFonts w:hint="eastAsia" w:hAnsi="宋体" w:cs="宋体"/>
          <w:sz w:val="24"/>
          <w:szCs w:val="24"/>
        </w:rPr>
        <w:t>。基于重要节点，从年度工作方向、发展目标、重点任务、工作</w:t>
      </w:r>
      <w:r>
        <w:rPr>
          <w:rFonts w:hAnsi="宋体" w:cs="宋体"/>
          <w:sz w:val="24"/>
          <w:szCs w:val="24"/>
        </w:rPr>
        <w:t>路径</w:t>
      </w:r>
      <w:r>
        <w:rPr>
          <w:rFonts w:hint="eastAsia" w:hAnsi="宋体" w:cs="宋体"/>
          <w:sz w:val="24"/>
          <w:szCs w:val="24"/>
        </w:rPr>
        <w:t>等方面提供余杭区数字化发展方向建议。</w:t>
      </w:r>
    </w:p>
    <w:p w14:paraId="4089E559">
      <w:pPr>
        <w:pStyle w:val="17"/>
        <w:widowControl w:val="0"/>
        <w:snapToGrid/>
        <w:spacing w:line="360" w:lineRule="auto"/>
        <w:ind w:firstLine="420"/>
        <w:rPr>
          <w:rFonts w:hAnsi="宋体" w:cs="宋体"/>
          <w:sz w:val="24"/>
          <w:szCs w:val="24"/>
        </w:rPr>
      </w:pPr>
      <w:r>
        <w:rPr>
          <w:rFonts w:hint="eastAsia" w:hAnsi="宋体" w:cs="宋体"/>
          <w:sz w:val="24"/>
          <w:szCs w:val="24"/>
        </w:rPr>
        <w:t>要求服务期内输出不少于1份发展方向建议报告，报告主要分为现状与问题分析、年度工作方向建议、重点任务</w:t>
      </w:r>
      <w:r>
        <w:rPr>
          <w:rFonts w:hAnsi="宋体" w:cs="宋体"/>
          <w:sz w:val="24"/>
          <w:szCs w:val="24"/>
        </w:rPr>
        <w:t>、工作方法与路径</w:t>
      </w:r>
      <w:r>
        <w:rPr>
          <w:rFonts w:hint="eastAsia" w:hAnsi="宋体" w:cs="宋体"/>
          <w:sz w:val="24"/>
          <w:szCs w:val="24"/>
        </w:rPr>
        <w:t>等部分。</w:t>
      </w:r>
    </w:p>
    <w:p w14:paraId="483BA1FB">
      <w:pPr>
        <w:pStyle w:val="17"/>
        <w:widowControl w:val="0"/>
        <w:snapToGrid/>
        <w:spacing w:line="360" w:lineRule="auto"/>
        <w:ind w:firstLine="420"/>
        <w:rPr>
          <w:rFonts w:hAnsi="宋体" w:cs="宋体"/>
          <w:sz w:val="24"/>
          <w:szCs w:val="24"/>
        </w:rPr>
      </w:pPr>
      <w:r>
        <w:rPr>
          <w:rFonts w:hint="eastAsia" w:hAnsi="宋体" w:cs="宋体"/>
          <w:sz w:val="24"/>
          <w:szCs w:val="24"/>
        </w:rPr>
        <w:t>（2）重大专题综合分析</w:t>
      </w:r>
    </w:p>
    <w:p w14:paraId="7D39FFAD">
      <w:pPr>
        <w:pStyle w:val="17"/>
        <w:widowControl w:val="0"/>
        <w:snapToGrid/>
        <w:spacing w:line="360" w:lineRule="auto"/>
        <w:ind w:firstLine="480" w:firstLineChars="200"/>
        <w:rPr>
          <w:rFonts w:hAnsi="宋体" w:cs="宋体"/>
          <w:sz w:val="24"/>
          <w:szCs w:val="24"/>
        </w:rPr>
      </w:pPr>
      <w:r>
        <w:rPr>
          <w:rFonts w:hint="eastAsia" w:hAnsi="宋体" w:cs="宋体"/>
          <w:sz w:val="24"/>
          <w:szCs w:val="24"/>
        </w:rPr>
        <w:t>紧跟国家、省市数字化工作最新指示，结合余杭区数字化工作实际，为余杭区提供数字化领域重大专题综合分析服务，多维度研究全省关注聚焦、改革工作亟需、区内领导关注、余杭能力突出的</w:t>
      </w:r>
      <w:r>
        <w:rPr>
          <w:rFonts w:hAnsi="宋体" w:cs="宋体"/>
          <w:sz w:val="24"/>
          <w:szCs w:val="24"/>
        </w:rPr>
        <w:t>方向</w:t>
      </w:r>
      <w:r>
        <w:rPr>
          <w:rFonts w:hint="eastAsia" w:hAnsi="宋体" w:cs="宋体"/>
          <w:sz w:val="24"/>
          <w:szCs w:val="24"/>
        </w:rPr>
        <w:t>，探索相关领域（行业）发展现状及趋势，系统性梳理余杭区重大问题，分类总结相关成果，形成分析报告。</w:t>
      </w:r>
    </w:p>
    <w:p w14:paraId="6CFFD303">
      <w:pPr>
        <w:pStyle w:val="17"/>
        <w:widowControl w:val="0"/>
        <w:snapToGrid/>
        <w:spacing w:line="360" w:lineRule="auto"/>
        <w:ind w:firstLine="420"/>
        <w:rPr>
          <w:rFonts w:hAnsi="宋体" w:cs="宋体"/>
          <w:sz w:val="24"/>
          <w:szCs w:val="24"/>
        </w:rPr>
      </w:pPr>
      <w:r>
        <w:rPr>
          <w:rFonts w:hint="eastAsia" w:hAnsi="宋体" w:cs="宋体"/>
          <w:sz w:val="24"/>
          <w:szCs w:val="24"/>
        </w:rPr>
        <w:t>要求服务期内输出不少于4份专题综合分析报告，具体方向根据</w:t>
      </w:r>
      <w:r>
        <w:rPr>
          <w:rFonts w:hAnsi="宋体" w:cs="宋体"/>
          <w:sz w:val="24"/>
          <w:szCs w:val="24"/>
        </w:rPr>
        <w:t>国家、省市区数字化工作重点，结合</w:t>
      </w:r>
      <w:r>
        <w:rPr>
          <w:rFonts w:hint="eastAsia" w:hAnsi="宋体" w:cs="宋体"/>
          <w:sz w:val="24"/>
          <w:szCs w:val="24"/>
        </w:rPr>
        <w:t>余杭区数据资源管理局工作需要确定。</w:t>
      </w:r>
    </w:p>
    <w:p w14:paraId="539842DB">
      <w:pPr>
        <w:pStyle w:val="17"/>
        <w:widowControl w:val="0"/>
        <w:snapToGrid/>
        <w:spacing w:line="360" w:lineRule="auto"/>
        <w:ind w:firstLine="420"/>
        <w:rPr>
          <w:rFonts w:hAnsi="宋体" w:cs="宋体"/>
          <w:sz w:val="24"/>
          <w:szCs w:val="24"/>
        </w:rPr>
      </w:pPr>
      <w:r>
        <w:rPr>
          <w:rFonts w:hint="eastAsia" w:hAnsi="宋体" w:cs="宋体"/>
          <w:sz w:val="24"/>
          <w:szCs w:val="24"/>
        </w:rPr>
        <w:t>（3）特色经验沉淀</w:t>
      </w:r>
    </w:p>
    <w:p w14:paraId="5113A3FB">
      <w:pPr>
        <w:pStyle w:val="17"/>
        <w:widowControl w:val="0"/>
        <w:snapToGrid/>
        <w:spacing w:line="360" w:lineRule="auto"/>
        <w:ind w:firstLine="420"/>
        <w:rPr>
          <w:rFonts w:hAnsi="宋体" w:cs="宋体"/>
          <w:sz w:val="24"/>
          <w:szCs w:val="24"/>
        </w:rPr>
      </w:pPr>
      <w:r>
        <w:rPr>
          <w:rFonts w:hint="eastAsia" w:hAnsi="宋体" w:cs="宋体"/>
          <w:sz w:val="24"/>
          <w:szCs w:val="24"/>
        </w:rPr>
        <w:t>对标国家、省市区的工作要求，全面梳理余杭区数字化工作特色经验、发展成效、工作亮点等，从理论、实践、制度等方面总结沉淀全区创新实践及方法路径，确保余杭区数字化工作在保持领先优势的同时能够将先进经验“送出去”。</w:t>
      </w:r>
    </w:p>
    <w:p w14:paraId="5E3B62CE">
      <w:pPr>
        <w:pStyle w:val="17"/>
        <w:widowControl w:val="0"/>
        <w:snapToGrid/>
        <w:spacing w:line="360" w:lineRule="auto"/>
        <w:ind w:firstLine="420"/>
        <w:rPr>
          <w:rFonts w:hAnsi="宋体" w:cs="宋体"/>
          <w:sz w:val="24"/>
          <w:szCs w:val="24"/>
        </w:rPr>
      </w:pPr>
      <w:r>
        <w:rPr>
          <w:rFonts w:hint="eastAsia" w:hAnsi="宋体" w:cs="宋体"/>
          <w:sz w:val="24"/>
          <w:szCs w:val="24"/>
        </w:rPr>
        <w:t>要求服务期内输出不少于2项特色经验沉淀报告，相关成果能够凸显余杭特色，具备余杭辨识度、省内排头兵、全国影响力，确保余杭在数字化工作推进赛道上展现自己的风采，助力余杭区打造成为全省乃至全国性示范标杆。</w:t>
      </w:r>
    </w:p>
    <w:p w14:paraId="004DAE62">
      <w:pPr>
        <w:pStyle w:val="17"/>
        <w:widowControl w:val="0"/>
        <w:snapToGrid/>
        <w:spacing w:line="360" w:lineRule="auto"/>
        <w:ind w:firstLine="420"/>
        <w:rPr>
          <w:rFonts w:hAnsi="宋体" w:cs="宋体"/>
          <w:sz w:val="24"/>
          <w:szCs w:val="24"/>
        </w:rPr>
      </w:pPr>
      <w:r>
        <w:rPr>
          <w:rFonts w:hint="eastAsia" w:hAnsi="宋体" w:cs="宋体"/>
          <w:sz w:val="24"/>
          <w:szCs w:val="24"/>
        </w:rPr>
        <w:t>（4）“他山之石“学习借鉴</w:t>
      </w:r>
    </w:p>
    <w:p w14:paraId="100BB482">
      <w:pPr>
        <w:pStyle w:val="17"/>
        <w:widowControl w:val="0"/>
        <w:snapToGrid/>
        <w:spacing w:line="360" w:lineRule="auto"/>
        <w:ind w:firstLine="420"/>
        <w:rPr>
          <w:rFonts w:hAnsi="宋体" w:cs="宋体"/>
          <w:sz w:val="24"/>
          <w:szCs w:val="24"/>
        </w:rPr>
      </w:pPr>
      <w:r>
        <w:rPr>
          <w:rFonts w:hint="eastAsia" w:hAnsi="宋体" w:cs="宋体"/>
          <w:sz w:val="24"/>
          <w:szCs w:val="24"/>
        </w:rPr>
        <w:t>基于余杭区数字化工作需要，聚焦全域关注要点，结合数字中国政策及形势发展要求，按需搜集国内外先进地区数字化发展经验、创新做法、工作路径及建设成效，</w:t>
      </w:r>
      <w:r>
        <w:rPr>
          <w:rFonts w:hAnsi="宋体" w:cs="宋体"/>
          <w:sz w:val="24"/>
          <w:szCs w:val="24"/>
        </w:rPr>
        <w:t>对照</w:t>
      </w:r>
      <w:r>
        <w:rPr>
          <w:rFonts w:hint="eastAsia" w:hAnsi="宋体" w:cs="宋体"/>
          <w:sz w:val="24"/>
          <w:szCs w:val="24"/>
        </w:rPr>
        <w:t>先进地区优秀实践案例，深度剖析先进地区解决工作痛点难点堵点的经验教训，为余杭区数字化工作高质量推进提供参考。</w:t>
      </w:r>
    </w:p>
    <w:p w14:paraId="1A426DE5">
      <w:pPr>
        <w:pStyle w:val="17"/>
        <w:snapToGrid/>
        <w:spacing w:line="360" w:lineRule="auto"/>
        <w:ind w:firstLine="480" w:firstLineChars="200"/>
        <w:rPr>
          <w:rFonts w:hAnsi="宋体" w:cs="宋体"/>
          <w:sz w:val="24"/>
          <w:szCs w:val="24"/>
        </w:rPr>
      </w:pPr>
      <w:r>
        <w:rPr>
          <w:rFonts w:hint="eastAsia" w:hAnsi="宋体" w:cs="宋体"/>
          <w:sz w:val="24"/>
          <w:szCs w:val="24"/>
        </w:rPr>
        <w:t>要求服务期内输出不少于1份对标解析材料，需在充分解析先进地区经验做法、推进思路、解决的问题场景及实施路径方法的基础上，结合全区数字化工作重点方向，为余杭数字化工作高效高质量实施提供可借鉴的思路、方法及理念。</w:t>
      </w:r>
    </w:p>
    <w:p w14:paraId="4B251740">
      <w:pPr>
        <w:pStyle w:val="6"/>
        <w:spacing w:before="0" w:after="0" w:line="360" w:lineRule="auto"/>
        <w:ind w:left="0" w:firstLine="0"/>
        <w:rPr>
          <w:rFonts w:ascii="宋体" w:hAnsi="宋体" w:cs="宋体"/>
          <w:sz w:val="24"/>
          <w:szCs w:val="24"/>
        </w:rPr>
      </w:pPr>
      <w:r>
        <w:rPr>
          <w:rFonts w:hint="eastAsia" w:ascii="宋体" w:hAnsi="宋体" w:cs="宋体"/>
          <w:sz w:val="24"/>
          <w:szCs w:val="24"/>
        </w:rPr>
        <w:t>（三）技术人员要求</w:t>
      </w:r>
    </w:p>
    <w:p w14:paraId="73E4ED3E">
      <w:pPr>
        <w:pStyle w:val="17"/>
        <w:snapToGrid/>
        <w:spacing w:line="360" w:lineRule="auto"/>
        <w:ind w:firstLine="480" w:firstLineChars="200"/>
        <w:jc w:val="left"/>
        <w:rPr>
          <w:rFonts w:hAnsi="宋体" w:cs="宋体"/>
          <w:sz w:val="24"/>
          <w:szCs w:val="24"/>
        </w:rPr>
      </w:pPr>
      <w:r>
        <w:rPr>
          <w:rFonts w:hint="eastAsia" w:hAnsi="宋体" w:cs="宋体"/>
          <w:sz w:val="24"/>
          <w:szCs w:val="24"/>
          <w:lang w:bidi="ar"/>
        </w:rPr>
        <w:t>本标项属于复杂的信息化运营服务项目，投标人需提供实施人员不少于4人，其中驻场人员不少于1人，项目团队人员配置科学合理、分工明确。中标人应选派具有丰富信息化及大数据经验的项目经理和顶层设计工程师，其中项目经理需具有PMP证书或高级技术职称，且具有5年及以上工作经验；顶层设计工程师需具备硕士及以上学历，且参与过相关行业科研项目。</w:t>
      </w:r>
    </w:p>
    <w:p w14:paraId="3E92ADE2">
      <w:pPr>
        <w:pStyle w:val="5"/>
        <w:ind w:left="0" w:firstLine="0"/>
        <w:rPr>
          <w:rFonts w:ascii="宋体" w:hAnsi="宋体" w:eastAsia="宋体" w:cs="宋体"/>
          <w:sz w:val="24"/>
          <w:szCs w:val="24"/>
          <w:lang w:val="en-US"/>
        </w:rPr>
      </w:pPr>
    </w:p>
    <w:p w14:paraId="18B1BC47">
      <w:pPr>
        <w:pStyle w:val="5"/>
        <w:ind w:left="0" w:firstLine="0"/>
        <w:rPr>
          <w:rFonts w:ascii="宋体" w:hAnsi="宋体" w:eastAsia="宋体" w:cs="宋体"/>
          <w:sz w:val="24"/>
          <w:szCs w:val="24"/>
          <w:lang w:val="en-US"/>
        </w:rPr>
      </w:pPr>
      <w:r>
        <w:rPr>
          <w:rFonts w:hint="eastAsia" w:ascii="宋体" w:hAnsi="宋体" w:eastAsia="宋体" w:cs="宋体"/>
          <w:sz w:val="24"/>
          <w:szCs w:val="24"/>
          <w:lang w:val="en-US"/>
        </w:rPr>
        <w:t>四、服务期</w:t>
      </w:r>
    </w:p>
    <w:p w14:paraId="4E212FC5">
      <w:pPr>
        <w:pStyle w:val="61"/>
        <w:widowControl w:val="0"/>
        <w:spacing w:before="0" w:beforeAutospacing="0" w:after="0" w:afterAutospacing="0" w:line="360" w:lineRule="auto"/>
        <w:ind w:firstLine="480" w:firstLineChars="200"/>
        <w:jc w:val="both"/>
        <w:rPr>
          <w:rFonts w:cs="宋体"/>
          <w:kern w:val="2"/>
          <w:lang w:bidi="ar"/>
        </w:rPr>
      </w:pPr>
      <w:r>
        <w:rPr>
          <w:rFonts w:hint="eastAsia" w:cs="宋体"/>
          <w:kern w:val="2"/>
          <w:lang w:bidi="ar"/>
        </w:rPr>
        <w:t>本项目的服务时间为 12 个月，从合同签订后第一个工作日开始计。</w:t>
      </w:r>
    </w:p>
    <w:p w14:paraId="7906E61B">
      <w:pPr>
        <w:pStyle w:val="5"/>
        <w:ind w:left="0" w:firstLine="0"/>
        <w:rPr>
          <w:rFonts w:ascii="宋体" w:hAnsi="宋体" w:eastAsia="宋体" w:cs="宋体"/>
          <w:sz w:val="24"/>
          <w:szCs w:val="24"/>
          <w:lang w:val="en-US"/>
        </w:rPr>
      </w:pPr>
      <w:r>
        <w:rPr>
          <w:rFonts w:hint="eastAsia" w:ascii="宋体" w:hAnsi="宋体" w:eastAsia="宋体" w:cs="宋体"/>
          <w:sz w:val="24"/>
          <w:szCs w:val="24"/>
          <w:lang w:val="en-US"/>
        </w:rPr>
        <w:t>五、付款方式</w:t>
      </w:r>
    </w:p>
    <w:p w14:paraId="28EF2EC6">
      <w:pPr>
        <w:pStyle w:val="61"/>
        <w:spacing w:before="0" w:beforeAutospacing="0" w:after="0" w:afterAutospacing="0" w:line="360" w:lineRule="auto"/>
        <w:ind w:firstLine="480" w:firstLineChars="200"/>
        <w:rPr>
          <w:rFonts w:cs="宋体"/>
          <w:snapToGrid w:val="0"/>
          <w:color w:val="000000"/>
          <w:kern w:val="28"/>
        </w:rPr>
      </w:pPr>
      <w:r>
        <w:rPr>
          <w:rFonts w:hint="eastAsia" w:cs="宋体"/>
          <w:snapToGrid w:val="0"/>
          <w:color w:val="000000"/>
          <w:kern w:val="28"/>
        </w:rPr>
        <w:t>合同签订后，采购人收到中标单位开具的等额发票后</w:t>
      </w:r>
      <w:r>
        <w:rPr>
          <w:rFonts w:cs="宋体"/>
          <w:snapToGrid w:val="0"/>
          <w:color w:val="000000"/>
          <w:kern w:val="28"/>
        </w:rPr>
        <w:t>15</w:t>
      </w:r>
      <w:r>
        <w:rPr>
          <w:rFonts w:hint="eastAsia" w:cs="宋体"/>
          <w:snapToGrid w:val="0"/>
          <w:color w:val="000000"/>
          <w:kern w:val="28"/>
        </w:rPr>
        <w:t>个工作日内支付50%的项目合同款；服务期满半年后支付年度合同款项的30%，项目合同期满后，采购人通过服务验收后支付合同余款。</w:t>
      </w:r>
    </w:p>
    <w:p w14:paraId="48BFBFF6">
      <w:pPr>
        <w:pStyle w:val="5"/>
        <w:ind w:left="0" w:firstLine="0"/>
        <w:rPr>
          <w:rFonts w:ascii="宋体" w:hAnsi="宋体" w:eastAsia="宋体" w:cs="宋体"/>
          <w:sz w:val="24"/>
          <w:szCs w:val="24"/>
          <w:lang w:val="en-US"/>
        </w:rPr>
      </w:pPr>
      <w:r>
        <w:rPr>
          <w:rFonts w:hint="eastAsia" w:ascii="宋体" w:hAnsi="宋体" w:eastAsia="宋体" w:cs="宋体"/>
          <w:sz w:val="24"/>
          <w:szCs w:val="24"/>
          <w:lang w:val="en-US"/>
        </w:rPr>
        <w:t>六、保密责任和义务</w:t>
      </w:r>
    </w:p>
    <w:p w14:paraId="003017B2">
      <w:pPr>
        <w:pStyle w:val="17"/>
        <w:widowControl w:val="0"/>
        <w:snapToGrid/>
        <w:spacing w:line="360" w:lineRule="auto"/>
        <w:ind w:firstLine="480" w:firstLineChars="200"/>
        <w:jc w:val="left"/>
        <w:rPr>
          <w:rFonts w:hAnsi="宋体" w:cs="宋体"/>
          <w:sz w:val="24"/>
          <w:szCs w:val="24"/>
        </w:rPr>
      </w:pPr>
      <w:r>
        <w:rPr>
          <w:rFonts w:hint="eastAsia" w:hAnsi="宋体" w:cs="宋体"/>
          <w:sz w:val="24"/>
          <w:szCs w:val="24"/>
          <w:lang w:bidi="ar"/>
        </w:rPr>
        <w:t>（1）投标人应对本合同所述的技术资料和技术秘密采取保密措施，投标人未经采购人的书面同意，不得将本项目所涉及的技术秘密和资料向与本项目无关的人员或第三方透露，也不能就有关合同内容的任何部分进行新闻的发布、公开的宣称、否认或承认。</w:t>
      </w:r>
    </w:p>
    <w:p w14:paraId="49940168">
      <w:pPr>
        <w:pStyle w:val="17"/>
        <w:widowControl w:val="0"/>
        <w:snapToGrid/>
        <w:spacing w:line="360" w:lineRule="auto"/>
        <w:ind w:firstLine="480" w:firstLineChars="200"/>
        <w:jc w:val="left"/>
        <w:rPr>
          <w:rFonts w:hAnsi="宋体" w:cs="宋体"/>
          <w:sz w:val="24"/>
          <w:szCs w:val="24"/>
        </w:rPr>
      </w:pPr>
      <w:r>
        <w:rPr>
          <w:rFonts w:hint="eastAsia" w:hAnsi="宋体" w:cs="宋体"/>
          <w:sz w:val="24"/>
          <w:szCs w:val="24"/>
          <w:lang w:bidi="ar"/>
        </w:rPr>
        <w:t>（2）投标人知道违反本条规定将给采购人造成难以弥补的损失，为此同意承担由此产生的经济上和法律上的责任。</w:t>
      </w:r>
    </w:p>
    <w:p w14:paraId="68FF81AD">
      <w:pPr>
        <w:pStyle w:val="17"/>
        <w:widowControl w:val="0"/>
        <w:snapToGrid/>
        <w:spacing w:line="360" w:lineRule="auto"/>
        <w:ind w:firstLine="480" w:firstLineChars="200"/>
        <w:jc w:val="left"/>
        <w:rPr>
          <w:rFonts w:hAnsi="宋体" w:cs="宋体"/>
          <w:sz w:val="24"/>
          <w:szCs w:val="24"/>
        </w:rPr>
      </w:pPr>
      <w:r>
        <w:rPr>
          <w:rFonts w:hint="eastAsia" w:hAnsi="宋体" w:cs="宋体"/>
          <w:sz w:val="24"/>
          <w:szCs w:val="24"/>
          <w:lang w:bidi="ar"/>
        </w:rPr>
        <w:t>（3）投标人承认项目合同中涉及的所有技术资料和技术秘密为采购人所专有， 将其对投标人进行披露并不意味着任何所有权、专利权的转让。</w:t>
      </w:r>
    </w:p>
    <w:p w14:paraId="389491DA">
      <w:pPr>
        <w:pStyle w:val="17"/>
        <w:widowControl w:val="0"/>
        <w:snapToGrid/>
        <w:spacing w:line="360" w:lineRule="auto"/>
        <w:ind w:firstLine="480" w:firstLineChars="200"/>
        <w:jc w:val="left"/>
        <w:rPr>
          <w:rFonts w:hAnsi="宋体" w:cs="宋体"/>
          <w:sz w:val="24"/>
          <w:szCs w:val="24"/>
        </w:rPr>
      </w:pPr>
      <w:r>
        <w:rPr>
          <w:rFonts w:hint="eastAsia" w:hAnsi="宋体" w:cs="宋体"/>
          <w:sz w:val="24"/>
          <w:szCs w:val="24"/>
          <w:lang w:bidi="ar"/>
        </w:rPr>
        <w:t>（4）在合同项目的研究开发结束并通过验收后，投标人应向采购人提供合同项目的研究成果，包括技术规范、测试文件和质量标准等相关的技术资料，或者计算机软件、文档及源代码等。投标人应归还采购人提供的所有技术资料或文件等，并承诺不保留任何复印件。</w:t>
      </w:r>
    </w:p>
    <w:p w14:paraId="6463CC83">
      <w:pPr>
        <w:pStyle w:val="17"/>
        <w:widowControl w:val="0"/>
        <w:snapToGrid/>
        <w:spacing w:line="360" w:lineRule="auto"/>
        <w:ind w:firstLine="480" w:firstLineChars="200"/>
        <w:jc w:val="left"/>
        <w:rPr>
          <w:rFonts w:hAnsi="宋体" w:cs="宋体"/>
          <w:sz w:val="24"/>
          <w:szCs w:val="24"/>
        </w:rPr>
      </w:pPr>
      <w:r>
        <w:rPr>
          <w:rFonts w:hint="eastAsia" w:hAnsi="宋体" w:cs="宋体"/>
          <w:sz w:val="24"/>
          <w:szCs w:val="24"/>
          <w:lang w:bidi="ar"/>
        </w:rPr>
        <w:t>（5）中标方团队应按照法律法规加强管理，明确网络和数据安全责任，对人员开展安全背景审查，签订安全保密承诺书和个人安全保密协议，做好人员网络和数据安全宣传教育及培训工作，严格控制人员管理员权限，在授权期满后应当按照要求及时收回权限。如因自身原因造成安全事故的，由中标人负全部安全责任。在实施和维护期间，中标方人员不得出现制造或者故意输入、传播计算机病毒、故意删除数据、窃取数据等违法行为，由此造成本单位业务系统故障或数据丢失等问题， 依照国家法律法规，根据造成的损失，对中标人进行处罚。</w:t>
      </w:r>
    </w:p>
    <w:p w14:paraId="25C81462">
      <w:pPr>
        <w:pStyle w:val="17"/>
        <w:widowControl w:val="0"/>
        <w:snapToGrid/>
        <w:spacing w:line="360" w:lineRule="auto"/>
        <w:ind w:firstLine="480" w:firstLineChars="200"/>
        <w:jc w:val="left"/>
        <w:rPr>
          <w:rFonts w:hAnsi="宋体" w:cs="宋体"/>
          <w:b/>
          <w:bCs/>
          <w:kern w:val="2"/>
          <w:sz w:val="24"/>
          <w:szCs w:val="24"/>
        </w:rPr>
      </w:pPr>
      <w:r>
        <w:rPr>
          <w:rFonts w:hint="eastAsia" w:hAnsi="宋体" w:cs="宋体"/>
          <w:sz w:val="24"/>
          <w:szCs w:val="24"/>
          <w:lang w:bidi="ar"/>
        </w:rPr>
        <w:t>本条规定的义务和权利在项目合同期满或终止后将在采购人要求的时间内持续有效，而不受合同履行完毕时间的限制。</w:t>
      </w:r>
      <w:r>
        <w:rPr>
          <w:rFonts w:hint="eastAsia" w:hAnsi="宋体" w:cs="宋体"/>
          <w:sz w:val="24"/>
          <w:szCs w:val="24"/>
        </w:rPr>
        <w:t xml:space="preserve">  </w:t>
      </w:r>
    </w:p>
    <w:p w14:paraId="1314B214">
      <w:pPr>
        <w:pStyle w:val="5"/>
        <w:ind w:left="0" w:firstLine="0"/>
        <w:rPr>
          <w:rFonts w:ascii="宋体" w:hAnsi="宋体" w:eastAsia="宋体" w:cs="宋体"/>
          <w:sz w:val="24"/>
          <w:szCs w:val="24"/>
          <w:lang w:val="en-US"/>
        </w:rPr>
      </w:pPr>
      <w:r>
        <w:rPr>
          <w:rFonts w:hint="eastAsia" w:ascii="宋体" w:hAnsi="宋体" w:eastAsia="宋体" w:cs="宋体"/>
          <w:sz w:val="24"/>
          <w:szCs w:val="24"/>
          <w:lang w:val="en-US"/>
        </w:rPr>
        <w:t>七、验收要求</w:t>
      </w:r>
    </w:p>
    <w:p w14:paraId="639BA09C">
      <w:pPr>
        <w:numPr>
          <w:ilvl w:val="0"/>
          <w:numId w:val="6"/>
        </w:numPr>
        <w:adjustRightInd/>
        <w:spacing w:line="360" w:lineRule="auto"/>
        <w:ind w:left="60" w:right="62" w:firstLine="435"/>
        <w:rPr>
          <w:rFonts w:ascii="宋体" w:hAnsi="宋体" w:cs="宋体"/>
          <w:sz w:val="24"/>
        </w:rPr>
      </w:pPr>
      <w:r>
        <w:rPr>
          <w:rFonts w:hint="eastAsia" w:ascii="宋体" w:hAnsi="宋体" w:cs="宋体"/>
          <w:sz w:val="24"/>
        </w:rPr>
        <w:t>服务完成后，招标人组织终验。最终验收不合格，中标方整改，由此所产生的所有损失由中标方承担（包括但不限于验收评审费用等）。</w:t>
      </w:r>
    </w:p>
    <w:p w14:paraId="51F2C2F0">
      <w:pPr>
        <w:spacing w:line="360" w:lineRule="auto"/>
        <w:ind w:firstLine="480" w:firstLineChars="200"/>
        <w:rPr>
          <w:rFonts w:ascii="宋体" w:hAnsi="宋体" w:cs="宋体"/>
          <w:sz w:val="24"/>
        </w:rPr>
      </w:pPr>
      <w:r>
        <w:rPr>
          <w:rFonts w:hint="eastAsia" w:ascii="宋体" w:hAnsi="宋体" w:cs="宋体"/>
          <w:kern w:val="0"/>
          <w:sz w:val="24"/>
        </w:rPr>
        <w:t>采购人按照《杭州市政府采购履约验收暂行办法》（杭财采监[2019]10号）规定组织对</w:t>
      </w:r>
      <w:r>
        <w:rPr>
          <w:rFonts w:hint="eastAsia" w:ascii="宋体" w:hAnsi="宋体" w:cs="宋体"/>
          <w:sz w:val="24"/>
        </w:rPr>
        <w:t>中标人</w:t>
      </w:r>
      <w:r>
        <w:rPr>
          <w:rFonts w:hint="eastAsia" w:ascii="宋体" w:hAnsi="宋体" w:cs="宋体"/>
          <w:kern w:val="0"/>
          <w:sz w:val="24"/>
        </w:rPr>
        <w:t>履约的验收。</w:t>
      </w:r>
    </w:p>
    <w:p w14:paraId="7F3B865C">
      <w:pPr>
        <w:tabs>
          <w:tab w:val="left" w:pos="904"/>
        </w:tabs>
        <w:spacing w:line="360" w:lineRule="auto"/>
        <w:ind w:firstLine="480" w:firstLineChars="200"/>
        <w:jc w:val="left"/>
        <w:rPr>
          <w:rFonts w:ascii="宋体" w:hAnsi="宋体" w:cs="宋体"/>
          <w:sz w:val="24"/>
        </w:rPr>
      </w:pPr>
      <w:r>
        <w:rPr>
          <w:rFonts w:hint="eastAsia" w:ascii="宋体" w:hAnsi="宋体" w:cs="宋体"/>
          <w:sz w:val="24"/>
        </w:rPr>
        <w:t>（2）验收内容及资料要求：根据采购文件确定的技术指标或者服务要求确定验收指标和标准。未进行相应约定的，应当符合国家强制性规定、政策要求、安全标准、行业或企业有关标准等。</w:t>
      </w:r>
    </w:p>
    <w:p w14:paraId="0E1C8A33">
      <w:pPr>
        <w:tabs>
          <w:tab w:val="left" w:pos="3780"/>
        </w:tabs>
        <w:adjustRightInd/>
        <w:spacing w:line="360" w:lineRule="auto"/>
        <w:ind w:firstLine="480" w:firstLineChars="200"/>
        <w:jc w:val="left"/>
        <w:rPr>
          <w:rFonts w:ascii="宋体" w:hAnsi="宋体" w:cs="宋体"/>
          <w:sz w:val="24"/>
        </w:rPr>
      </w:pPr>
      <w:r>
        <w:rPr>
          <w:rFonts w:hint="eastAsia" w:ascii="宋体" w:hAnsi="宋体" w:cs="宋体"/>
          <w:sz w:val="24"/>
        </w:rPr>
        <w:t>（3）验收资料要求</w:t>
      </w:r>
    </w:p>
    <w:p w14:paraId="40532708">
      <w:pPr>
        <w:tabs>
          <w:tab w:val="left" w:pos="3780"/>
        </w:tabs>
        <w:adjustRightInd/>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验收资料要求包括（不限于）以下内容：①采购文件；②投标文件；③中标通知书；④采购合同；⑤服务情况说明；⑥ 服务月报；⑦服务内容中要求的输出对应证明材料等。</w:t>
      </w:r>
    </w:p>
    <w:p w14:paraId="5DFF8024">
      <w:pPr>
        <w:spacing w:line="240" w:lineRule="auto"/>
        <w:jc w:val="left"/>
      </w:pPr>
    </w:p>
    <w:p w14:paraId="2BC9CDF6">
      <w:pPr>
        <w:spacing w:line="240" w:lineRule="auto"/>
        <w:jc w:val="left"/>
      </w:pPr>
    </w:p>
    <w:p w14:paraId="3B5EDF63">
      <w:pPr>
        <w:spacing w:line="240" w:lineRule="auto"/>
        <w:jc w:val="left"/>
        <w:rPr>
          <w:rFonts w:ascii="宋体" w:hAnsi="宋体" w:cs="宋体"/>
          <w:b/>
          <w:sz w:val="36"/>
          <w:szCs w:val="36"/>
        </w:rPr>
      </w:pPr>
      <w:r>
        <w:rPr>
          <w:rFonts w:hint="eastAsia" w:ascii="宋体" w:hAnsi="宋体" w:cs="宋体"/>
          <w:b/>
          <w:sz w:val="36"/>
          <w:szCs w:val="36"/>
        </w:rPr>
        <w:br w:type="page"/>
      </w:r>
    </w:p>
    <w:p w14:paraId="2B555D2E">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3" w:name="_Toc184312080"/>
      <w:bookmarkEnd w:id="23"/>
      <w:bookmarkStart w:id="24" w:name="_Toc184312070"/>
      <w:bookmarkEnd w:id="24"/>
      <w:bookmarkStart w:id="25" w:name="_Toc184310327"/>
      <w:bookmarkEnd w:id="25"/>
      <w:bookmarkStart w:id="26" w:name="_Toc184313268"/>
      <w:bookmarkEnd w:id="26"/>
      <w:bookmarkStart w:id="27" w:name="_Toc184310287"/>
      <w:bookmarkEnd w:id="27"/>
      <w:bookmarkStart w:id="28" w:name="_Toc184312099"/>
      <w:bookmarkEnd w:id="28"/>
      <w:bookmarkStart w:id="29" w:name="_Toc184313243"/>
      <w:bookmarkEnd w:id="29"/>
      <w:bookmarkStart w:id="30" w:name="_Toc184313293"/>
      <w:bookmarkEnd w:id="30"/>
      <w:bookmarkStart w:id="31" w:name="_Toc184312075"/>
      <w:bookmarkEnd w:id="31"/>
      <w:bookmarkStart w:id="32" w:name="_Toc184308087"/>
      <w:bookmarkEnd w:id="32"/>
      <w:bookmarkStart w:id="33" w:name="_Toc184313257"/>
      <w:bookmarkEnd w:id="33"/>
      <w:bookmarkStart w:id="34" w:name="_Toc184314446"/>
      <w:bookmarkEnd w:id="34"/>
      <w:bookmarkStart w:id="35" w:name="_Toc184314474"/>
      <w:bookmarkEnd w:id="35"/>
      <w:bookmarkStart w:id="36" w:name="_Toc184308094"/>
      <w:bookmarkEnd w:id="36"/>
      <w:bookmarkStart w:id="37" w:name="_Toc184312069"/>
      <w:bookmarkEnd w:id="37"/>
      <w:bookmarkStart w:id="38" w:name="_Toc184308074"/>
      <w:bookmarkEnd w:id="38"/>
      <w:bookmarkStart w:id="39" w:name="_Toc184313288"/>
      <w:bookmarkEnd w:id="39"/>
      <w:bookmarkStart w:id="40" w:name="_Toc184308038"/>
      <w:bookmarkEnd w:id="40"/>
      <w:bookmarkStart w:id="41" w:name="_Toc184313276"/>
      <w:bookmarkEnd w:id="41"/>
      <w:bookmarkStart w:id="42" w:name="_Toc184312103"/>
      <w:bookmarkEnd w:id="42"/>
      <w:bookmarkStart w:id="43" w:name="_Toc184312135"/>
      <w:bookmarkEnd w:id="43"/>
      <w:bookmarkStart w:id="44" w:name="_Toc184308043"/>
      <w:bookmarkEnd w:id="44"/>
      <w:bookmarkStart w:id="45" w:name="_Toc184310335"/>
      <w:bookmarkEnd w:id="45"/>
      <w:bookmarkStart w:id="46" w:name="_Toc184313269"/>
      <w:bookmarkEnd w:id="46"/>
      <w:bookmarkStart w:id="47" w:name="_Toc184313245"/>
      <w:bookmarkEnd w:id="47"/>
      <w:bookmarkStart w:id="48" w:name="_Toc184313280"/>
      <w:bookmarkEnd w:id="48"/>
      <w:bookmarkStart w:id="49" w:name="_Toc184312114"/>
      <w:bookmarkEnd w:id="49"/>
      <w:bookmarkStart w:id="50" w:name="_Toc184308039"/>
      <w:bookmarkEnd w:id="50"/>
      <w:bookmarkStart w:id="51" w:name="_Toc184308049"/>
      <w:bookmarkEnd w:id="51"/>
      <w:bookmarkStart w:id="52" w:name="_Toc184308040"/>
      <w:bookmarkEnd w:id="52"/>
      <w:bookmarkStart w:id="53" w:name="_Toc184310307"/>
      <w:bookmarkEnd w:id="53"/>
      <w:bookmarkStart w:id="54" w:name="_Toc184313260"/>
      <w:bookmarkEnd w:id="54"/>
      <w:bookmarkStart w:id="55" w:name="_Toc184312086"/>
      <w:bookmarkEnd w:id="55"/>
      <w:bookmarkStart w:id="56" w:name="_Toc184310300"/>
      <w:bookmarkEnd w:id="56"/>
      <w:bookmarkStart w:id="57" w:name="_Toc184310296"/>
      <w:bookmarkEnd w:id="57"/>
      <w:bookmarkStart w:id="58" w:name="_Toc184314438"/>
      <w:bookmarkEnd w:id="58"/>
      <w:bookmarkStart w:id="59" w:name="_Toc184313296"/>
      <w:bookmarkEnd w:id="59"/>
      <w:bookmarkStart w:id="60" w:name="_Toc184310343"/>
      <w:bookmarkEnd w:id="60"/>
      <w:bookmarkStart w:id="61" w:name="_Toc184312123"/>
      <w:bookmarkEnd w:id="61"/>
      <w:bookmarkStart w:id="62" w:name="_Toc184310320"/>
      <w:bookmarkEnd w:id="62"/>
      <w:bookmarkStart w:id="63" w:name="_Toc184314419"/>
      <w:bookmarkEnd w:id="63"/>
      <w:bookmarkStart w:id="64" w:name="_Toc184308051"/>
      <w:bookmarkEnd w:id="64"/>
      <w:bookmarkStart w:id="65" w:name="_Toc184310295"/>
      <w:bookmarkEnd w:id="65"/>
      <w:bookmarkStart w:id="66" w:name="_Toc184308068"/>
      <w:bookmarkEnd w:id="66"/>
      <w:bookmarkStart w:id="67" w:name="_Toc184314435"/>
      <w:bookmarkEnd w:id="67"/>
      <w:bookmarkStart w:id="68" w:name="_Toc184313302"/>
      <w:bookmarkEnd w:id="68"/>
      <w:bookmarkStart w:id="69" w:name="_Toc184308101"/>
      <w:bookmarkEnd w:id="69"/>
      <w:bookmarkStart w:id="70" w:name="_Toc184308086"/>
      <w:bookmarkEnd w:id="70"/>
      <w:bookmarkStart w:id="71" w:name="_Toc184310293"/>
      <w:bookmarkEnd w:id="71"/>
      <w:bookmarkStart w:id="72" w:name="_Toc184310329"/>
      <w:bookmarkEnd w:id="72"/>
      <w:bookmarkStart w:id="73" w:name="_Toc184314476"/>
      <w:bookmarkEnd w:id="73"/>
      <w:bookmarkStart w:id="74" w:name="_Toc184312106"/>
      <w:bookmarkEnd w:id="74"/>
      <w:bookmarkStart w:id="75" w:name="_Toc184312077"/>
      <w:bookmarkEnd w:id="75"/>
      <w:bookmarkStart w:id="76" w:name="_Toc184308055"/>
      <w:bookmarkEnd w:id="76"/>
      <w:bookmarkStart w:id="77" w:name="_Toc184310337"/>
      <w:bookmarkEnd w:id="77"/>
      <w:bookmarkStart w:id="78" w:name="_Toc184308075"/>
      <w:bookmarkEnd w:id="78"/>
      <w:bookmarkStart w:id="79" w:name="_Toc184312121"/>
      <w:bookmarkEnd w:id="79"/>
      <w:bookmarkStart w:id="80" w:name="_Toc184312116"/>
      <w:bookmarkEnd w:id="80"/>
      <w:bookmarkStart w:id="81" w:name="_Toc184312088"/>
      <w:bookmarkEnd w:id="81"/>
      <w:bookmarkStart w:id="82" w:name="_Toc184314467"/>
      <w:bookmarkEnd w:id="82"/>
      <w:bookmarkStart w:id="83" w:name="_Toc184312104"/>
      <w:bookmarkEnd w:id="83"/>
      <w:bookmarkStart w:id="84" w:name="_Toc184310317"/>
      <w:bookmarkEnd w:id="84"/>
      <w:bookmarkStart w:id="85" w:name="_Toc184313309"/>
      <w:bookmarkEnd w:id="85"/>
      <w:bookmarkStart w:id="86" w:name="_Toc184314453"/>
      <w:bookmarkEnd w:id="86"/>
      <w:bookmarkStart w:id="87" w:name="_Toc184312112"/>
      <w:bookmarkEnd w:id="87"/>
      <w:bookmarkStart w:id="88" w:name="_Toc184313270"/>
      <w:bookmarkEnd w:id="88"/>
      <w:bookmarkStart w:id="89" w:name="_Toc184308103"/>
      <w:bookmarkEnd w:id="89"/>
      <w:bookmarkStart w:id="90" w:name="_Toc184308071"/>
      <w:bookmarkEnd w:id="90"/>
      <w:bookmarkStart w:id="91" w:name="_Toc184313307"/>
      <w:bookmarkEnd w:id="91"/>
      <w:bookmarkStart w:id="92" w:name="_Toc184313297"/>
      <w:bookmarkEnd w:id="92"/>
      <w:bookmarkStart w:id="93" w:name="_Toc184313300"/>
      <w:bookmarkEnd w:id="93"/>
      <w:bookmarkStart w:id="94" w:name="_Toc184310278"/>
      <w:bookmarkEnd w:id="94"/>
      <w:bookmarkStart w:id="95" w:name="_Toc184314471"/>
      <w:bookmarkEnd w:id="95"/>
      <w:bookmarkStart w:id="96" w:name="_Toc184313291"/>
      <w:bookmarkEnd w:id="96"/>
      <w:bookmarkStart w:id="97" w:name="_Toc184314482"/>
      <w:bookmarkEnd w:id="97"/>
      <w:bookmarkStart w:id="98" w:name="_Toc184312129"/>
      <w:bookmarkEnd w:id="98"/>
      <w:bookmarkStart w:id="99" w:name="_Toc184308062"/>
      <w:bookmarkEnd w:id="99"/>
      <w:bookmarkStart w:id="100" w:name="_Toc184310312"/>
      <w:bookmarkEnd w:id="100"/>
      <w:bookmarkStart w:id="101" w:name="_Toc184308092"/>
      <w:bookmarkEnd w:id="101"/>
      <w:bookmarkStart w:id="102" w:name="_Toc184310274"/>
      <w:bookmarkEnd w:id="102"/>
      <w:bookmarkStart w:id="103" w:name="_Toc184308052"/>
      <w:bookmarkEnd w:id="103"/>
      <w:bookmarkStart w:id="104" w:name="_Toc184314452"/>
      <w:bookmarkEnd w:id="104"/>
      <w:bookmarkStart w:id="105" w:name="_Toc184314472"/>
      <w:bookmarkEnd w:id="105"/>
      <w:bookmarkStart w:id="106" w:name="_Toc184312113"/>
      <w:bookmarkEnd w:id="106"/>
      <w:bookmarkStart w:id="107" w:name="_Toc184312097"/>
      <w:bookmarkEnd w:id="107"/>
      <w:bookmarkStart w:id="108" w:name="_Toc184313264"/>
      <w:bookmarkEnd w:id="108"/>
      <w:bookmarkStart w:id="109" w:name="_Toc184308063"/>
      <w:bookmarkEnd w:id="109"/>
      <w:bookmarkStart w:id="110" w:name="_Toc184310283"/>
      <w:bookmarkEnd w:id="110"/>
      <w:bookmarkStart w:id="111" w:name="_Toc184314436"/>
      <w:bookmarkEnd w:id="111"/>
      <w:bookmarkStart w:id="112" w:name="_Toc184313248"/>
      <w:bookmarkEnd w:id="112"/>
      <w:bookmarkStart w:id="113" w:name="_Toc184310279"/>
      <w:bookmarkEnd w:id="113"/>
      <w:bookmarkStart w:id="114" w:name="_Toc184313272"/>
      <w:bookmarkEnd w:id="114"/>
      <w:bookmarkStart w:id="115" w:name="_Toc184314465"/>
      <w:bookmarkEnd w:id="115"/>
      <w:bookmarkStart w:id="116" w:name="_Toc184310273"/>
      <w:bookmarkEnd w:id="116"/>
      <w:bookmarkStart w:id="117" w:name="_Toc184310333"/>
      <w:bookmarkEnd w:id="117"/>
      <w:bookmarkStart w:id="118" w:name="_Toc184312109"/>
      <w:bookmarkEnd w:id="118"/>
      <w:bookmarkStart w:id="119" w:name="_Toc184308059"/>
      <w:bookmarkEnd w:id="119"/>
      <w:bookmarkStart w:id="120" w:name="_Toc184314457"/>
      <w:bookmarkEnd w:id="120"/>
      <w:bookmarkStart w:id="121" w:name="_Toc184310316"/>
      <w:bookmarkEnd w:id="121"/>
      <w:bookmarkStart w:id="122" w:name="_Toc184312122"/>
      <w:bookmarkEnd w:id="122"/>
      <w:bookmarkStart w:id="123" w:name="_Toc184308082"/>
      <w:bookmarkEnd w:id="123"/>
      <w:bookmarkStart w:id="124" w:name="_Toc184310290"/>
      <w:bookmarkEnd w:id="124"/>
      <w:bookmarkStart w:id="125" w:name="_Toc184313289"/>
      <w:bookmarkEnd w:id="125"/>
      <w:bookmarkStart w:id="126" w:name="_Toc184312087"/>
      <w:bookmarkEnd w:id="126"/>
      <w:bookmarkStart w:id="127" w:name="_Toc184310284"/>
      <w:bookmarkEnd w:id="127"/>
      <w:bookmarkStart w:id="128" w:name="_Toc184310301"/>
      <w:bookmarkEnd w:id="128"/>
      <w:bookmarkStart w:id="129" w:name="_Toc184314412"/>
      <w:bookmarkEnd w:id="129"/>
      <w:bookmarkStart w:id="130" w:name="_Toc184310330"/>
      <w:bookmarkEnd w:id="130"/>
      <w:bookmarkStart w:id="131" w:name="_Toc184313295"/>
      <w:bookmarkEnd w:id="131"/>
      <w:bookmarkStart w:id="132" w:name="_Toc184308065"/>
      <w:bookmarkEnd w:id="132"/>
      <w:bookmarkStart w:id="133" w:name="_Toc184310331"/>
      <w:bookmarkEnd w:id="133"/>
      <w:bookmarkStart w:id="134" w:name="_Toc184314477"/>
      <w:bookmarkEnd w:id="134"/>
      <w:bookmarkStart w:id="135" w:name="_Toc184310315"/>
      <w:bookmarkEnd w:id="135"/>
      <w:bookmarkStart w:id="136" w:name="_Toc184312134"/>
      <w:bookmarkEnd w:id="136"/>
      <w:bookmarkStart w:id="137" w:name="_Toc184308047"/>
      <w:bookmarkEnd w:id="137"/>
      <w:bookmarkStart w:id="138" w:name="_Toc184310344"/>
      <w:bookmarkEnd w:id="138"/>
      <w:bookmarkStart w:id="139" w:name="_Toc184313246"/>
      <w:bookmarkEnd w:id="139"/>
      <w:bookmarkStart w:id="140" w:name="_Toc184312126"/>
      <w:bookmarkEnd w:id="140"/>
      <w:bookmarkStart w:id="141" w:name="_Toc184312095"/>
      <w:bookmarkEnd w:id="141"/>
      <w:bookmarkStart w:id="142" w:name="_Toc184312078"/>
      <w:bookmarkEnd w:id="142"/>
      <w:bookmarkStart w:id="143" w:name="_Toc184308104"/>
      <w:bookmarkEnd w:id="143"/>
      <w:bookmarkStart w:id="144" w:name="_Toc184314463"/>
      <w:bookmarkEnd w:id="144"/>
      <w:bookmarkStart w:id="145" w:name="_Toc184312117"/>
      <w:bookmarkEnd w:id="145"/>
      <w:bookmarkStart w:id="146" w:name="_Toc184313255"/>
      <w:bookmarkEnd w:id="146"/>
      <w:bookmarkStart w:id="147" w:name="_Toc184308088"/>
      <w:bookmarkEnd w:id="147"/>
      <w:bookmarkStart w:id="148" w:name="_Toc184312093"/>
      <w:bookmarkEnd w:id="148"/>
      <w:bookmarkStart w:id="149" w:name="_Toc184314415"/>
      <w:bookmarkEnd w:id="149"/>
      <w:bookmarkStart w:id="150" w:name="_Toc184308097"/>
      <w:bookmarkEnd w:id="150"/>
      <w:bookmarkStart w:id="151" w:name="_Toc184310297"/>
      <w:bookmarkEnd w:id="151"/>
      <w:bookmarkStart w:id="152" w:name="_Toc184308095"/>
      <w:bookmarkEnd w:id="152"/>
      <w:bookmarkStart w:id="153" w:name="_Toc184314439"/>
      <w:bookmarkEnd w:id="153"/>
      <w:bookmarkStart w:id="154" w:name="_Toc184312071"/>
      <w:bookmarkEnd w:id="154"/>
      <w:bookmarkStart w:id="155" w:name="_Toc184312068"/>
      <w:bookmarkEnd w:id="155"/>
      <w:bookmarkStart w:id="156" w:name="_Toc184308102"/>
      <w:bookmarkEnd w:id="156"/>
      <w:bookmarkStart w:id="157" w:name="_Toc184308044"/>
      <w:bookmarkEnd w:id="157"/>
      <w:bookmarkStart w:id="158" w:name="_Toc184310334"/>
      <w:bookmarkEnd w:id="158"/>
      <w:bookmarkStart w:id="159" w:name="_Toc184314469"/>
      <w:bookmarkEnd w:id="159"/>
      <w:bookmarkStart w:id="160" w:name="_Toc184310310"/>
      <w:bookmarkEnd w:id="160"/>
      <w:bookmarkStart w:id="161" w:name="_Toc184313241"/>
      <w:bookmarkEnd w:id="161"/>
      <w:bookmarkStart w:id="162" w:name="_Toc184313252"/>
      <w:bookmarkEnd w:id="162"/>
      <w:bookmarkStart w:id="163" w:name="_Toc184308081"/>
      <w:bookmarkEnd w:id="163"/>
      <w:bookmarkStart w:id="164" w:name="_Toc184308050"/>
      <w:bookmarkEnd w:id="164"/>
      <w:bookmarkStart w:id="165" w:name="_Toc184310302"/>
      <w:bookmarkEnd w:id="165"/>
      <w:bookmarkStart w:id="166" w:name="_Toc184313239"/>
      <w:bookmarkEnd w:id="166"/>
      <w:bookmarkStart w:id="167" w:name="_Toc184310306"/>
      <w:bookmarkEnd w:id="167"/>
      <w:bookmarkStart w:id="168" w:name="_Toc184313251"/>
      <w:bookmarkEnd w:id="168"/>
      <w:bookmarkStart w:id="169" w:name="_Toc184314481"/>
      <w:bookmarkEnd w:id="169"/>
      <w:bookmarkStart w:id="170" w:name="_Toc184312125"/>
      <w:bookmarkEnd w:id="170"/>
      <w:bookmarkStart w:id="171" w:name="_Toc184314454"/>
      <w:bookmarkEnd w:id="171"/>
      <w:bookmarkStart w:id="172" w:name="_Toc184312132"/>
      <w:bookmarkEnd w:id="172"/>
      <w:bookmarkStart w:id="173" w:name="_Toc184314428"/>
      <w:bookmarkEnd w:id="173"/>
      <w:bookmarkStart w:id="174" w:name="_Toc184312119"/>
      <w:bookmarkEnd w:id="174"/>
      <w:bookmarkStart w:id="175" w:name="_Toc184312108"/>
      <w:bookmarkEnd w:id="175"/>
      <w:bookmarkStart w:id="176" w:name="_Toc184312138"/>
      <w:bookmarkEnd w:id="176"/>
      <w:bookmarkStart w:id="177" w:name="_Toc184314458"/>
      <w:bookmarkEnd w:id="177"/>
      <w:bookmarkStart w:id="178" w:name="_Toc184310336"/>
      <w:bookmarkEnd w:id="178"/>
      <w:bookmarkStart w:id="179" w:name="_Toc184310294"/>
      <w:bookmarkEnd w:id="179"/>
      <w:bookmarkStart w:id="180" w:name="_Toc184314443"/>
      <w:bookmarkEnd w:id="180"/>
      <w:bookmarkStart w:id="181" w:name="_Toc184314473"/>
      <w:bookmarkEnd w:id="181"/>
      <w:bookmarkStart w:id="182" w:name="_Toc184312076"/>
      <w:bookmarkEnd w:id="182"/>
      <w:bookmarkStart w:id="183" w:name="_Toc184313244"/>
      <w:bookmarkEnd w:id="183"/>
      <w:bookmarkStart w:id="184" w:name="_Toc184308089"/>
      <w:bookmarkEnd w:id="184"/>
      <w:bookmarkStart w:id="185" w:name="_Toc184312131"/>
      <w:bookmarkEnd w:id="185"/>
      <w:bookmarkStart w:id="186" w:name="_Toc184314462"/>
      <w:bookmarkEnd w:id="186"/>
      <w:bookmarkStart w:id="187" w:name="_Toc184313282"/>
      <w:bookmarkEnd w:id="187"/>
      <w:bookmarkStart w:id="188" w:name="_Toc184310280"/>
      <w:bookmarkEnd w:id="188"/>
      <w:bookmarkStart w:id="189" w:name="_Toc184314442"/>
      <w:bookmarkEnd w:id="189"/>
      <w:bookmarkStart w:id="190" w:name="_Toc184308069"/>
      <w:bookmarkEnd w:id="190"/>
      <w:bookmarkStart w:id="191" w:name="_Toc184312090"/>
      <w:bookmarkEnd w:id="191"/>
      <w:bookmarkStart w:id="192" w:name="_Toc184312120"/>
      <w:bookmarkEnd w:id="192"/>
      <w:bookmarkStart w:id="193" w:name="_Toc184310291"/>
      <w:bookmarkEnd w:id="193"/>
      <w:bookmarkStart w:id="194" w:name="_Toc184308091"/>
      <w:bookmarkEnd w:id="194"/>
      <w:bookmarkStart w:id="195" w:name="_Toc184310275"/>
      <w:bookmarkEnd w:id="195"/>
      <w:bookmarkStart w:id="196" w:name="_Toc184310299"/>
      <w:bookmarkEnd w:id="196"/>
      <w:bookmarkStart w:id="197" w:name="_Toc184312127"/>
      <w:bookmarkEnd w:id="197"/>
      <w:bookmarkStart w:id="198" w:name="_Toc184308056"/>
      <w:bookmarkEnd w:id="198"/>
      <w:bookmarkStart w:id="199" w:name="_Toc184312092"/>
      <w:bookmarkEnd w:id="199"/>
      <w:bookmarkStart w:id="200" w:name="_Toc184314475"/>
      <w:bookmarkEnd w:id="200"/>
      <w:bookmarkStart w:id="201" w:name="_Toc184310292"/>
      <w:bookmarkEnd w:id="201"/>
      <w:bookmarkStart w:id="202" w:name="_Toc184310322"/>
      <w:bookmarkEnd w:id="202"/>
      <w:bookmarkStart w:id="203" w:name="_Toc184314445"/>
      <w:bookmarkEnd w:id="203"/>
      <w:bookmarkStart w:id="204" w:name="_Toc184314456"/>
      <w:bookmarkEnd w:id="204"/>
      <w:bookmarkStart w:id="205" w:name="_Toc184314414"/>
      <w:bookmarkEnd w:id="205"/>
      <w:bookmarkStart w:id="206" w:name="_Toc184310339"/>
      <w:bookmarkEnd w:id="206"/>
      <w:bookmarkStart w:id="207" w:name="_Toc184308058"/>
      <w:bookmarkEnd w:id="207"/>
      <w:bookmarkStart w:id="208" w:name="_Toc184310313"/>
      <w:bookmarkEnd w:id="208"/>
      <w:bookmarkStart w:id="209" w:name="_Toc184308093"/>
      <w:bookmarkEnd w:id="209"/>
      <w:bookmarkStart w:id="210" w:name="_Toc184314421"/>
      <w:bookmarkEnd w:id="210"/>
      <w:bookmarkStart w:id="211" w:name="_Toc184310288"/>
      <w:bookmarkEnd w:id="211"/>
      <w:bookmarkStart w:id="212" w:name="_Toc184308107"/>
      <w:bookmarkEnd w:id="212"/>
      <w:bookmarkStart w:id="213" w:name="_Toc184310321"/>
      <w:bookmarkEnd w:id="213"/>
      <w:bookmarkStart w:id="214" w:name="_Toc184308066"/>
      <w:bookmarkEnd w:id="214"/>
      <w:bookmarkStart w:id="215" w:name="_Toc184314422"/>
      <w:bookmarkEnd w:id="215"/>
      <w:bookmarkStart w:id="216" w:name="_Toc184312067"/>
      <w:bookmarkEnd w:id="216"/>
      <w:bookmarkStart w:id="217" w:name="_Toc184313258"/>
      <w:bookmarkEnd w:id="217"/>
      <w:bookmarkStart w:id="218" w:name="_Toc184310314"/>
      <w:bookmarkEnd w:id="218"/>
      <w:bookmarkStart w:id="219" w:name="_Toc184314461"/>
      <w:bookmarkEnd w:id="219"/>
      <w:bookmarkStart w:id="220" w:name="_Toc184312110"/>
      <w:bookmarkEnd w:id="220"/>
      <w:bookmarkStart w:id="221" w:name="_Toc184308072"/>
      <w:bookmarkEnd w:id="221"/>
      <w:bookmarkStart w:id="222" w:name="_Toc184308108"/>
      <w:bookmarkEnd w:id="222"/>
      <w:bookmarkStart w:id="223" w:name="_Toc184310277"/>
      <w:bookmarkEnd w:id="223"/>
      <w:bookmarkStart w:id="224" w:name="_Toc184312072"/>
      <w:bookmarkEnd w:id="224"/>
      <w:bookmarkStart w:id="225" w:name="_Toc184314418"/>
      <w:bookmarkEnd w:id="225"/>
      <w:bookmarkStart w:id="226" w:name="_Toc184314411"/>
      <w:bookmarkEnd w:id="226"/>
      <w:bookmarkStart w:id="227" w:name="_Toc184313299"/>
      <w:bookmarkEnd w:id="227"/>
      <w:bookmarkStart w:id="228" w:name="_Toc184314466"/>
      <w:bookmarkEnd w:id="228"/>
      <w:bookmarkStart w:id="229" w:name="_Toc184310298"/>
      <w:bookmarkEnd w:id="229"/>
      <w:bookmarkStart w:id="230" w:name="_Toc184313267"/>
      <w:bookmarkEnd w:id="230"/>
      <w:bookmarkStart w:id="231" w:name="_Toc184310304"/>
      <w:bookmarkEnd w:id="231"/>
      <w:bookmarkStart w:id="232" w:name="_Toc184313271"/>
      <w:bookmarkEnd w:id="232"/>
      <w:bookmarkStart w:id="233" w:name="_Toc184313261"/>
      <w:bookmarkEnd w:id="233"/>
      <w:bookmarkStart w:id="234" w:name="_Toc184308053"/>
      <w:bookmarkEnd w:id="234"/>
      <w:bookmarkStart w:id="235" w:name="_Toc184310272"/>
      <w:bookmarkEnd w:id="235"/>
      <w:bookmarkStart w:id="236" w:name="_Toc184313263"/>
      <w:bookmarkEnd w:id="236"/>
      <w:bookmarkStart w:id="237" w:name="_Toc184313256"/>
      <w:bookmarkEnd w:id="237"/>
      <w:bookmarkStart w:id="238" w:name="_Toc184312118"/>
      <w:bookmarkEnd w:id="238"/>
      <w:bookmarkStart w:id="239" w:name="_Toc184312094"/>
      <w:bookmarkEnd w:id="239"/>
      <w:bookmarkStart w:id="240" w:name="_Toc184312074"/>
      <w:bookmarkEnd w:id="240"/>
      <w:bookmarkStart w:id="241" w:name="_Toc184313303"/>
      <w:bookmarkEnd w:id="241"/>
      <w:bookmarkStart w:id="242" w:name="_Toc184314423"/>
      <w:bookmarkEnd w:id="242"/>
      <w:bookmarkStart w:id="243" w:name="_Toc184310282"/>
      <w:bookmarkEnd w:id="243"/>
      <w:bookmarkStart w:id="244" w:name="_Toc184308080"/>
      <w:bookmarkEnd w:id="244"/>
      <w:bookmarkStart w:id="245" w:name="_Toc184312081"/>
      <w:bookmarkEnd w:id="245"/>
      <w:bookmarkStart w:id="246" w:name="_Toc184314424"/>
      <w:bookmarkEnd w:id="246"/>
      <w:bookmarkStart w:id="247" w:name="_Toc184313305"/>
      <w:bookmarkEnd w:id="247"/>
      <w:bookmarkStart w:id="248" w:name="_Toc184310303"/>
      <w:bookmarkEnd w:id="248"/>
      <w:bookmarkStart w:id="249" w:name="_Toc184312139"/>
      <w:bookmarkEnd w:id="249"/>
      <w:bookmarkStart w:id="250" w:name="_Toc184313238"/>
      <w:bookmarkEnd w:id="250"/>
      <w:bookmarkStart w:id="251" w:name="_Toc184310324"/>
      <w:bookmarkEnd w:id="251"/>
      <w:bookmarkStart w:id="252" w:name="_Toc184308037"/>
      <w:bookmarkEnd w:id="252"/>
      <w:bookmarkStart w:id="253" w:name="_Toc184313304"/>
      <w:bookmarkEnd w:id="253"/>
      <w:bookmarkStart w:id="254" w:name="_Toc184313287"/>
      <w:bookmarkEnd w:id="254"/>
      <w:bookmarkStart w:id="255" w:name="_Toc184313240"/>
      <w:bookmarkEnd w:id="255"/>
      <w:bookmarkStart w:id="256" w:name="_Toc184310342"/>
      <w:bookmarkEnd w:id="256"/>
      <w:bookmarkStart w:id="257" w:name="_Toc184312091"/>
      <w:bookmarkEnd w:id="257"/>
      <w:bookmarkStart w:id="258" w:name="_Toc184310341"/>
      <w:bookmarkEnd w:id="258"/>
      <w:bookmarkStart w:id="259" w:name="_Toc184313290"/>
      <w:bookmarkEnd w:id="259"/>
      <w:bookmarkStart w:id="260" w:name="_Toc184314450"/>
      <w:bookmarkEnd w:id="260"/>
      <w:bookmarkStart w:id="261" w:name="_Toc184312137"/>
      <w:bookmarkEnd w:id="261"/>
      <w:bookmarkStart w:id="262" w:name="_Toc184312128"/>
      <w:bookmarkEnd w:id="262"/>
      <w:bookmarkStart w:id="263" w:name="_Toc184313242"/>
      <w:bookmarkEnd w:id="263"/>
      <w:bookmarkStart w:id="264" w:name="_Toc184310285"/>
      <w:bookmarkEnd w:id="264"/>
      <w:bookmarkStart w:id="265" w:name="_Toc184314470"/>
      <w:bookmarkEnd w:id="265"/>
      <w:bookmarkStart w:id="266" w:name="_Toc184310305"/>
      <w:bookmarkEnd w:id="266"/>
      <w:bookmarkStart w:id="267" w:name="_Toc184314448"/>
      <w:bookmarkEnd w:id="267"/>
      <w:bookmarkStart w:id="268" w:name="_Toc184313278"/>
      <w:bookmarkEnd w:id="268"/>
      <w:bookmarkStart w:id="269" w:name="_Toc184313286"/>
      <w:bookmarkEnd w:id="269"/>
      <w:bookmarkStart w:id="270" w:name="_Toc184310289"/>
      <w:bookmarkEnd w:id="270"/>
      <w:bookmarkStart w:id="271" w:name="_Toc184308054"/>
      <w:bookmarkEnd w:id="271"/>
      <w:bookmarkStart w:id="272" w:name="_Toc184314480"/>
      <w:bookmarkEnd w:id="272"/>
      <w:bookmarkStart w:id="273" w:name="_Toc184308079"/>
      <w:bookmarkEnd w:id="273"/>
      <w:bookmarkStart w:id="274" w:name="_Toc184308048"/>
      <w:bookmarkEnd w:id="274"/>
      <w:bookmarkStart w:id="275" w:name="_Toc184313273"/>
      <w:bookmarkEnd w:id="275"/>
      <w:bookmarkStart w:id="276" w:name="_Toc184308061"/>
      <w:bookmarkEnd w:id="276"/>
      <w:bookmarkStart w:id="277" w:name="_Toc184312083"/>
      <w:bookmarkEnd w:id="277"/>
      <w:bookmarkStart w:id="278" w:name="_Toc184314425"/>
      <w:bookmarkEnd w:id="278"/>
      <w:bookmarkStart w:id="279" w:name="_Toc184310323"/>
      <w:bookmarkEnd w:id="279"/>
      <w:bookmarkStart w:id="280" w:name="_Toc184314420"/>
      <w:bookmarkEnd w:id="280"/>
      <w:bookmarkStart w:id="281" w:name="_Toc184310309"/>
      <w:bookmarkEnd w:id="281"/>
      <w:bookmarkStart w:id="282" w:name="_Toc184308090"/>
      <w:bookmarkEnd w:id="282"/>
      <w:bookmarkStart w:id="283" w:name="_Toc184313274"/>
      <w:bookmarkEnd w:id="283"/>
      <w:bookmarkStart w:id="284" w:name="_Toc184310319"/>
      <w:bookmarkEnd w:id="284"/>
      <w:bookmarkStart w:id="285" w:name="_Toc184314451"/>
      <w:bookmarkEnd w:id="285"/>
      <w:bookmarkStart w:id="286" w:name="_Toc184312082"/>
      <w:bookmarkEnd w:id="286"/>
      <w:bookmarkStart w:id="287" w:name="_Toc184310286"/>
      <w:bookmarkEnd w:id="287"/>
      <w:bookmarkStart w:id="288" w:name="_Toc184310332"/>
      <w:bookmarkEnd w:id="288"/>
      <w:bookmarkStart w:id="289" w:name="_Toc184313259"/>
      <w:bookmarkEnd w:id="289"/>
      <w:bookmarkStart w:id="290" w:name="_Toc184308084"/>
      <w:bookmarkEnd w:id="290"/>
      <w:bookmarkStart w:id="291" w:name="_Toc184314416"/>
      <w:bookmarkEnd w:id="291"/>
      <w:bookmarkStart w:id="292" w:name="_Toc184308064"/>
      <w:bookmarkEnd w:id="292"/>
      <w:bookmarkStart w:id="293" w:name="_Toc184314429"/>
      <w:bookmarkEnd w:id="293"/>
      <w:bookmarkStart w:id="294" w:name="_Toc184314430"/>
      <w:bookmarkEnd w:id="294"/>
      <w:bookmarkStart w:id="295" w:name="_Toc184313298"/>
      <w:bookmarkEnd w:id="295"/>
      <w:bookmarkStart w:id="296" w:name="_Toc184314440"/>
      <w:bookmarkEnd w:id="296"/>
      <w:bookmarkStart w:id="297" w:name="_Toc184308067"/>
      <w:bookmarkEnd w:id="297"/>
      <w:bookmarkStart w:id="298" w:name="_Toc184314459"/>
      <w:bookmarkEnd w:id="298"/>
      <w:bookmarkStart w:id="299" w:name="_Toc184313301"/>
      <w:bookmarkEnd w:id="299"/>
      <w:bookmarkStart w:id="300" w:name="_Toc184310276"/>
      <w:bookmarkEnd w:id="300"/>
      <w:bookmarkStart w:id="301" w:name="_Toc184314464"/>
      <w:bookmarkEnd w:id="301"/>
      <w:bookmarkStart w:id="302" w:name="_Toc184313283"/>
      <w:bookmarkEnd w:id="302"/>
      <w:bookmarkStart w:id="303" w:name="_Toc184312079"/>
      <w:bookmarkEnd w:id="303"/>
      <w:bookmarkStart w:id="304" w:name="_Toc184308098"/>
      <w:bookmarkEnd w:id="304"/>
      <w:bookmarkStart w:id="305" w:name="_Toc184313275"/>
      <w:bookmarkEnd w:id="305"/>
      <w:bookmarkStart w:id="306" w:name="_Toc184308045"/>
      <w:bookmarkEnd w:id="306"/>
      <w:bookmarkStart w:id="307" w:name="_Toc184312124"/>
      <w:bookmarkEnd w:id="307"/>
      <w:bookmarkStart w:id="308" w:name="_Toc184314460"/>
      <w:bookmarkEnd w:id="308"/>
      <w:bookmarkStart w:id="309" w:name="_Toc184313254"/>
      <w:bookmarkEnd w:id="309"/>
      <w:bookmarkStart w:id="310" w:name="_Toc184312136"/>
      <w:bookmarkEnd w:id="310"/>
      <w:bookmarkStart w:id="311" w:name="_Toc184310311"/>
      <w:bookmarkEnd w:id="311"/>
      <w:bookmarkStart w:id="312" w:name="_Toc184313310"/>
      <w:bookmarkEnd w:id="312"/>
      <w:bookmarkStart w:id="313" w:name="_Toc184310326"/>
      <w:bookmarkEnd w:id="313"/>
      <w:bookmarkStart w:id="314" w:name="_Toc184314417"/>
      <w:bookmarkEnd w:id="314"/>
      <w:bookmarkStart w:id="315" w:name="_Toc184313266"/>
      <w:bookmarkEnd w:id="315"/>
      <w:bookmarkStart w:id="316" w:name="_Toc184308085"/>
      <w:bookmarkEnd w:id="316"/>
      <w:bookmarkStart w:id="317" w:name="_Toc184312098"/>
      <w:bookmarkEnd w:id="317"/>
      <w:bookmarkStart w:id="318" w:name="_Toc184312111"/>
      <w:bookmarkEnd w:id="318"/>
      <w:bookmarkStart w:id="319" w:name="_Toc184313279"/>
      <w:bookmarkEnd w:id="319"/>
      <w:bookmarkStart w:id="320" w:name="_Toc184312105"/>
      <w:bookmarkEnd w:id="320"/>
      <w:bookmarkStart w:id="321" w:name="_Toc184314431"/>
      <w:bookmarkEnd w:id="321"/>
      <w:bookmarkStart w:id="322" w:name="_Toc184308070"/>
      <w:bookmarkEnd w:id="322"/>
      <w:bookmarkStart w:id="323" w:name="_Toc184310325"/>
      <w:bookmarkEnd w:id="323"/>
      <w:bookmarkStart w:id="324" w:name="_Toc184314479"/>
      <w:bookmarkEnd w:id="324"/>
      <w:bookmarkStart w:id="325" w:name="_Toc184313265"/>
      <w:bookmarkEnd w:id="325"/>
      <w:bookmarkStart w:id="326" w:name="_Toc184314447"/>
      <w:bookmarkEnd w:id="326"/>
      <w:bookmarkStart w:id="327" w:name="_Toc184312084"/>
      <w:bookmarkEnd w:id="327"/>
      <w:bookmarkStart w:id="328" w:name="_Toc184313247"/>
      <w:bookmarkEnd w:id="328"/>
      <w:bookmarkStart w:id="329" w:name="_Toc184313308"/>
      <w:bookmarkEnd w:id="329"/>
      <w:bookmarkStart w:id="330" w:name="_Toc184313277"/>
      <w:bookmarkEnd w:id="330"/>
      <w:bookmarkStart w:id="331" w:name="_Toc184308036"/>
      <w:bookmarkEnd w:id="331"/>
      <w:bookmarkStart w:id="332" w:name="_Toc184312130"/>
      <w:bookmarkEnd w:id="332"/>
      <w:bookmarkStart w:id="333" w:name="_Toc184308041"/>
      <w:bookmarkEnd w:id="333"/>
      <w:bookmarkStart w:id="334" w:name="_Toc184313281"/>
      <w:bookmarkEnd w:id="334"/>
      <w:bookmarkStart w:id="335" w:name="_Toc184312096"/>
      <w:bookmarkEnd w:id="335"/>
      <w:bookmarkStart w:id="336" w:name="_Toc184314434"/>
      <w:bookmarkEnd w:id="336"/>
      <w:bookmarkStart w:id="337" w:name="_Toc184313262"/>
      <w:bookmarkEnd w:id="337"/>
      <w:bookmarkStart w:id="338" w:name="_Toc184314441"/>
      <w:bookmarkEnd w:id="338"/>
      <w:bookmarkStart w:id="339" w:name="_Toc184310308"/>
      <w:bookmarkEnd w:id="339"/>
      <w:bookmarkStart w:id="340" w:name="_Toc184310281"/>
      <w:bookmarkEnd w:id="340"/>
      <w:bookmarkStart w:id="341" w:name="_Toc184310328"/>
      <w:bookmarkEnd w:id="341"/>
      <w:bookmarkStart w:id="342" w:name="_Toc184314433"/>
      <w:bookmarkEnd w:id="342"/>
      <w:bookmarkStart w:id="343" w:name="_Toc184312100"/>
      <w:bookmarkEnd w:id="343"/>
      <w:bookmarkStart w:id="344" w:name="_Toc184313253"/>
      <w:bookmarkEnd w:id="344"/>
      <w:bookmarkStart w:id="345" w:name="_Toc184308073"/>
      <w:bookmarkEnd w:id="345"/>
      <w:bookmarkStart w:id="346" w:name="_Toc184314426"/>
      <w:bookmarkEnd w:id="346"/>
      <w:bookmarkStart w:id="347" w:name="_Toc184314444"/>
      <w:bookmarkEnd w:id="347"/>
      <w:bookmarkStart w:id="348" w:name="_Toc184314427"/>
      <w:bookmarkEnd w:id="348"/>
      <w:bookmarkStart w:id="349" w:name="_Toc184308046"/>
      <w:bookmarkEnd w:id="349"/>
      <w:bookmarkStart w:id="350" w:name="_Toc184313306"/>
      <w:bookmarkEnd w:id="350"/>
      <w:bookmarkStart w:id="351" w:name="_Toc184308078"/>
      <w:bookmarkEnd w:id="351"/>
      <w:bookmarkStart w:id="352" w:name="_Toc184313284"/>
      <w:bookmarkEnd w:id="352"/>
      <w:bookmarkStart w:id="353" w:name="_Toc184314410"/>
      <w:bookmarkEnd w:id="353"/>
      <w:bookmarkStart w:id="354" w:name="_Toc184314455"/>
      <w:bookmarkEnd w:id="354"/>
      <w:bookmarkStart w:id="355" w:name="_Toc184310318"/>
      <w:bookmarkEnd w:id="355"/>
      <w:bookmarkStart w:id="356" w:name="_Toc184314432"/>
      <w:bookmarkEnd w:id="356"/>
      <w:bookmarkStart w:id="357" w:name="_Toc184312073"/>
      <w:bookmarkEnd w:id="357"/>
      <w:bookmarkStart w:id="358" w:name="_Toc184308099"/>
      <w:bookmarkEnd w:id="358"/>
      <w:bookmarkStart w:id="359" w:name="_Toc184312102"/>
      <w:bookmarkEnd w:id="359"/>
      <w:bookmarkStart w:id="360" w:name="_Toc184314478"/>
      <w:bookmarkEnd w:id="360"/>
      <w:bookmarkStart w:id="361" w:name="_Toc184308057"/>
      <w:bookmarkEnd w:id="361"/>
      <w:bookmarkStart w:id="362" w:name="_Toc184308042"/>
      <w:bookmarkEnd w:id="362"/>
      <w:bookmarkStart w:id="363" w:name="_Toc184310338"/>
      <w:bookmarkEnd w:id="363"/>
      <w:bookmarkStart w:id="364" w:name="_Toc184312085"/>
      <w:bookmarkEnd w:id="364"/>
      <w:bookmarkStart w:id="365" w:name="_Toc184314449"/>
      <w:bookmarkEnd w:id="365"/>
      <w:bookmarkStart w:id="366" w:name="_Toc184308105"/>
      <w:bookmarkEnd w:id="366"/>
      <w:bookmarkStart w:id="367" w:name="_Toc184314468"/>
      <w:bookmarkEnd w:id="367"/>
      <w:bookmarkStart w:id="368" w:name="_Toc184308060"/>
      <w:bookmarkEnd w:id="368"/>
      <w:bookmarkStart w:id="369" w:name="_Toc184308100"/>
      <w:bookmarkEnd w:id="369"/>
      <w:bookmarkStart w:id="370" w:name="_Toc184313250"/>
      <w:bookmarkEnd w:id="370"/>
      <w:bookmarkStart w:id="371" w:name="_Toc184313294"/>
      <w:bookmarkEnd w:id="371"/>
      <w:bookmarkStart w:id="372" w:name="_Toc184308077"/>
      <w:bookmarkEnd w:id="372"/>
      <w:bookmarkStart w:id="373" w:name="_Toc184313249"/>
      <w:bookmarkEnd w:id="373"/>
      <w:bookmarkStart w:id="374" w:name="_Toc184313292"/>
      <w:bookmarkEnd w:id="374"/>
      <w:bookmarkStart w:id="375" w:name="_Toc184312133"/>
      <w:bookmarkEnd w:id="375"/>
      <w:bookmarkStart w:id="376" w:name="_Toc184312089"/>
      <w:bookmarkEnd w:id="376"/>
      <w:bookmarkStart w:id="377" w:name="_Toc184314437"/>
      <w:bookmarkEnd w:id="377"/>
      <w:bookmarkStart w:id="378" w:name="_Toc184314413"/>
      <w:bookmarkEnd w:id="378"/>
      <w:bookmarkStart w:id="379" w:name="_Toc184312101"/>
      <w:bookmarkEnd w:id="379"/>
      <w:bookmarkStart w:id="380" w:name="_Toc184312115"/>
      <w:bookmarkEnd w:id="380"/>
      <w:bookmarkStart w:id="381" w:name="_Toc184313285"/>
      <w:bookmarkEnd w:id="381"/>
      <w:bookmarkStart w:id="382" w:name="_Toc184308096"/>
      <w:bookmarkEnd w:id="382"/>
      <w:bookmarkStart w:id="383" w:name="_Toc184308106"/>
      <w:bookmarkEnd w:id="383"/>
      <w:bookmarkStart w:id="384" w:name="_Toc184312107"/>
      <w:bookmarkEnd w:id="384"/>
      <w:bookmarkStart w:id="385" w:name="_Toc184308076"/>
      <w:bookmarkEnd w:id="385"/>
      <w:bookmarkStart w:id="386" w:name="_Toc184310340"/>
      <w:bookmarkEnd w:id="386"/>
      <w:bookmarkStart w:id="387" w:name="_Toc184308083"/>
      <w:bookmarkEnd w:id="387"/>
      <w:r>
        <w:rPr>
          <w:rFonts w:hint="eastAsia" w:ascii="宋体" w:hAnsi="宋体" w:cs="宋体"/>
          <w:b/>
          <w:sz w:val="36"/>
          <w:szCs w:val="36"/>
        </w:rPr>
        <w:t>评标办法</w:t>
      </w:r>
    </w:p>
    <w:p w14:paraId="620944C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0FBA8791">
      <w:pPr>
        <w:keepNext w:val="0"/>
        <w:keepLines w:val="0"/>
        <w:pageBreakBefore w:val="0"/>
        <w:widowControl w:val="0"/>
        <w:numPr>
          <w:ilvl w:val="0"/>
          <w:numId w:val="7"/>
        </w:numPr>
        <w:kinsoku/>
        <w:wordWrap/>
        <w:overflowPunct/>
        <w:topLinePunct w:val="0"/>
        <w:autoSpaceDE/>
        <w:autoSpaceDN/>
        <w:bidi w:val="0"/>
        <w:adjustRightInd w:val="0"/>
        <w:snapToGrid/>
        <w:spacing w:after="0" w:line="360" w:lineRule="auto"/>
        <w:ind w:firstLine="482" w:firstLineChars="200"/>
        <w:textAlignment w:val="auto"/>
        <w:rPr>
          <w:rFonts w:ascii="宋体" w:hAnsi="宋体" w:cs="宋体"/>
          <w:b/>
          <w:bCs/>
          <w:sz w:val="24"/>
        </w:rPr>
      </w:pPr>
      <w:r>
        <w:rPr>
          <w:rFonts w:hint="eastAsia" w:ascii="宋体" w:hAnsi="宋体" w:cs="宋体"/>
          <w:b/>
          <w:bCs/>
          <w:sz w:val="24"/>
        </w:rPr>
        <w:t>评标标准</w:t>
      </w:r>
    </w:p>
    <w:p w14:paraId="423D154C">
      <w:pPr>
        <w:pStyle w:val="92"/>
        <w:keepNext w:val="0"/>
        <w:keepLines w:val="0"/>
        <w:pageBreakBefore w:val="0"/>
        <w:widowControl w:val="0"/>
        <w:kinsoku/>
        <w:wordWrap/>
        <w:overflowPunct/>
        <w:topLinePunct w:val="0"/>
        <w:autoSpaceDE/>
        <w:autoSpaceDN/>
        <w:bidi w:val="0"/>
        <w:adjustRightInd w:val="0"/>
        <w:snapToGrid/>
        <w:spacing w:before="0" w:after="0"/>
        <w:ind w:firstLine="602" w:firstLineChars="250"/>
        <w:textAlignment w:val="auto"/>
        <w:rPr>
          <w:rFonts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高低顺序排列，得分相同的，按投标报价得分高低顺序排列；得分且投标报价相同的，按技术指标优劣顺序排列。各标项排名第一的投标人为第一中标候选人。评分过程中采用四舍五入法，并保留小数2位。</w:t>
      </w:r>
    </w:p>
    <w:p w14:paraId="308D20E5">
      <w:pPr>
        <w:pStyle w:val="92"/>
        <w:keepNext w:val="0"/>
        <w:keepLines w:val="0"/>
        <w:pageBreakBefore w:val="0"/>
        <w:widowControl w:val="0"/>
        <w:kinsoku/>
        <w:wordWrap/>
        <w:overflowPunct/>
        <w:topLinePunct w:val="0"/>
        <w:autoSpaceDE/>
        <w:autoSpaceDN/>
        <w:bidi w:val="0"/>
        <w:adjustRightInd w:val="0"/>
        <w:snapToGrid/>
        <w:spacing w:before="0" w:after="0"/>
        <w:ind w:firstLine="602" w:firstLineChars="250"/>
        <w:textAlignment w:val="auto"/>
        <w:rPr>
          <w:rFonts w:ascii="宋体" w:hAnsi="宋体" w:cs="宋体"/>
          <w:b/>
          <w:color w:val="000000"/>
        </w:rPr>
      </w:pPr>
      <w:r>
        <w:rPr>
          <w:rFonts w:hint="eastAsia" w:ascii="宋体" w:hAnsi="宋体" w:cs="宋体"/>
          <w:b/>
          <w:color w:val="000000"/>
        </w:rPr>
        <w:t>技术、商务分（90分）</w:t>
      </w:r>
    </w:p>
    <w:p w14:paraId="118910E1">
      <w:pPr>
        <w:pStyle w:val="92"/>
        <w:keepNext w:val="0"/>
        <w:keepLines w:val="0"/>
        <w:pageBreakBefore w:val="0"/>
        <w:widowControl w:val="0"/>
        <w:kinsoku/>
        <w:wordWrap/>
        <w:overflowPunct/>
        <w:topLinePunct w:val="0"/>
        <w:autoSpaceDE/>
        <w:autoSpaceDN/>
        <w:bidi w:val="0"/>
        <w:adjustRightInd w:val="0"/>
        <w:snapToGrid/>
        <w:spacing w:before="0" w:after="0"/>
        <w:ind w:firstLine="602" w:firstLineChars="250"/>
        <w:textAlignment w:val="auto"/>
        <w:rPr>
          <w:rFonts w:ascii="宋体" w:hAnsi="宋体" w:cs="宋体"/>
          <w:b/>
        </w:rPr>
      </w:pPr>
      <w:r>
        <w:rPr>
          <w:rFonts w:hint="eastAsia" w:ascii="宋体" w:hAnsi="宋体" w:cs="宋体"/>
          <w:b/>
          <w:color w:val="000000"/>
        </w:rPr>
        <w:t>（1）技</w:t>
      </w:r>
      <w:r>
        <w:rPr>
          <w:rFonts w:hint="eastAsia" w:ascii="宋体" w:hAnsi="宋体" w:cs="宋体"/>
          <w:b/>
        </w:rPr>
        <w:t>术、商务分的计算：</w:t>
      </w:r>
    </w:p>
    <w:p w14:paraId="7A5393DC">
      <w:pPr>
        <w:pStyle w:val="92"/>
        <w:keepNext w:val="0"/>
        <w:keepLines w:val="0"/>
        <w:pageBreakBefore w:val="0"/>
        <w:widowControl w:val="0"/>
        <w:kinsoku/>
        <w:wordWrap/>
        <w:overflowPunct/>
        <w:topLinePunct w:val="0"/>
        <w:autoSpaceDE/>
        <w:autoSpaceDN/>
        <w:bidi w:val="0"/>
        <w:adjustRightInd w:val="0"/>
        <w:snapToGrid/>
        <w:spacing w:before="0" w:after="0"/>
        <w:ind w:firstLine="600" w:firstLineChars="250"/>
        <w:textAlignment w:val="auto"/>
        <w:rPr>
          <w:rFonts w:ascii="宋体" w:hAnsi="宋体" w:cs="宋体"/>
          <w:bCs/>
          <w:color w:val="000000"/>
        </w:rPr>
      </w:pPr>
      <w:r>
        <w:rPr>
          <w:rFonts w:hint="eastAsia" w:ascii="宋体" w:hAnsi="宋体" w:cs="宋体"/>
        </w:rPr>
        <w:t>技</w:t>
      </w:r>
      <w:r>
        <w:rPr>
          <w:rFonts w:hint="eastAsia" w:ascii="宋体" w:hAnsi="宋体" w:cs="宋体"/>
          <w:bCs/>
          <w:color w:val="000000"/>
        </w:rPr>
        <w:t>术、商务分按照评标委员会成员的独立评分结果汇总数的算术平均分计算，计算公式为：技术、商务分=评标委员会所有成员评分合计数/评标委员会组成人员数；</w:t>
      </w:r>
    </w:p>
    <w:p w14:paraId="68FA712C">
      <w:pPr>
        <w:pStyle w:val="92"/>
        <w:keepNext w:val="0"/>
        <w:keepLines w:val="0"/>
        <w:pageBreakBefore w:val="0"/>
        <w:widowControl w:val="0"/>
        <w:numPr>
          <w:ilvl w:val="0"/>
          <w:numId w:val="8"/>
        </w:numPr>
        <w:kinsoku/>
        <w:wordWrap/>
        <w:overflowPunct/>
        <w:topLinePunct w:val="0"/>
        <w:autoSpaceDE/>
        <w:autoSpaceDN/>
        <w:bidi w:val="0"/>
        <w:adjustRightInd w:val="0"/>
        <w:snapToGrid/>
        <w:spacing w:before="0" w:after="0"/>
        <w:ind w:firstLine="602" w:firstLineChars="250"/>
        <w:textAlignment w:val="auto"/>
        <w:rPr>
          <w:rFonts w:ascii="宋体" w:hAnsi="宋体" w:cs="宋体"/>
          <w:b/>
        </w:rPr>
      </w:pPr>
      <w:r>
        <w:rPr>
          <w:rFonts w:hint="eastAsia" w:ascii="宋体" w:hAnsi="宋体" w:cs="宋体"/>
          <w:b/>
          <w:color w:val="000000"/>
        </w:rPr>
        <w:t>评分</w:t>
      </w:r>
      <w:r>
        <w:rPr>
          <w:rFonts w:hint="eastAsia" w:ascii="宋体" w:hAnsi="宋体" w:cs="宋体"/>
          <w:b/>
        </w:rPr>
        <w:t>细则如下：</w:t>
      </w:r>
    </w:p>
    <w:p w14:paraId="24FB2C3E">
      <w:pPr>
        <w:spacing w:line="360" w:lineRule="auto"/>
        <w:ind w:firstLine="482" w:firstLineChars="200"/>
        <w:jc w:val="center"/>
        <w:rPr>
          <w:rFonts w:ascii="宋体" w:hAnsi="宋体" w:cs="宋体"/>
          <w:b/>
          <w:sz w:val="24"/>
        </w:rPr>
      </w:pPr>
      <w:r>
        <w:rPr>
          <w:rFonts w:hint="eastAsia" w:ascii="宋体" w:hAnsi="宋体" w:cs="宋体"/>
          <w:b/>
          <w:sz w:val="24"/>
        </w:rPr>
        <w:t>标项一评分细则</w:t>
      </w:r>
    </w:p>
    <w:tbl>
      <w:tblPr>
        <w:tblStyle w:val="64"/>
        <w:tblW w:w="5101" w:type="pct"/>
        <w:tblInd w:w="0" w:type="dxa"/>
        <w:tblLayout w:type="autofit"/>
        <w:tblCellMar>
          <w:top w:w="0" w:type="dxa"/>
          <w:left w:w="108" w:type="dxa"/>
          <w:bottom w:w="0" w:type="dxa"/>
          <w:right w:w="108" w:type="dxa"/>
        </w:tblCellMar>
      </w:tblPr>
      <w:tblGrid>
        <w:gridCol w:w="564"/>
        <w:gridCol w:w="822"/>
        <w:gridCol w:w="5429"/>
        <w:gridCol w:w="881"/>
        <w:gridCol w:w="971"/>
      </w:tblGrid>
      <w:tr w14:paraId="11BA8403">
        <w:tblPrEx>
          <w:tblCellMar>
            <w:top w:w="0" w:type="dxa"/>
            <w:left w:w="108" w:type="dxa"/>
            <w:bottom w:w="0" w:type="dxa"/>
            <w:right w:w="108" w:type="dxa"/>
          </w:tblCellMar>
        </w:tblPrEx>
        <w:trPr>
          <w:trHeight w:val="360" w:hRule="atLeast"/>
          <w:tblHeader/>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A2A3E">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序号</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13A0B">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评分项</w:t>
            </w: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8ED88">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评分细则</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5E3C8">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权重/分值</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D0B77">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主/客观分</w:t>
            </w:r>
          </w:p>
        </w:tc>
      </w:tr>
      <w:tr w14:paraId="3093EA63">
        <w:tblPrEx>
          <w:tblCellMar>
            <w:top w:w="0" w:type="dxa"/>
            <w:left w:w="108" w:type="dxa"/>
            <w:bottom w:w="0" w:type="dxa"/>
            <w:right w:w="108" w:type="dxa"/>
          </w:tblCellMar>
        </w:tblPrEx>
        <w:trPr>
          <w:trHeight w:val="10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07A73">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1</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79307">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同类业绩</w:t>
            </w: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AF36D">
            <w:pPr>
              <w:widowControl/>
              <w:adjustRightInd/>
              <w:spacing w:after="0" w:line="276" w:lineRule="auto"/>
              <w:rPr>
                <w:rFonts w:hint="eastAsia" w:ascii="宋体" w:hAnsi="宋体" w:eastAsia="宋体" w:cs="宋体"/>
                <w:kern w:val="0"/>
                <w:sz w:val="24"/>
                <w:lang w:eastAsia="zh-CN"/>
              </w:rPr>
            </w:pPr>
            <w:r>
              <w:rPr>
                <w:rFonts w:hint="eastAsia" w:ascii="宋体" w:hAnsi="宋体" w:cs="宋体"/>
                <w:kern w:val="0"/>
                <w:sz w:val="24"/>
              </w:rPr>
              <w:t>投标人自2020年1月1日（时间以合同签订时间为准）起承担过同类数据目录/归集/回流/开放运营服务的，每个得0.5分，最高不超过1分。</w:t>
            </w:r>
          </w:p>
          <w:p w14:paraId="32A8278F">
            <w:pPr>
              <w:widowControl/>
              <w:adjustRightInd/>
              <w:spacing w:after="0" w:line="276" w:lineRule="auto"/>
              <w:rPr>
                <w:rFonts w:ascii="宋体" w:hAnsi="宋体" w:cs="宋体"/>
                <w:kern w:val="0"/>
                <w:sz w:val="24"/>
              </w:rPr>
            </w:pPr>
            <w:r>
              <w:rPr>
                <w:rFonts w:hint="eastAsia" w:ascii="宋体" w:hAnsi="宋体" w:cs="宋体"/>
                <w:b/>
                <w:bCs/>
                <w:kern w:val="0"/>
                <w:sz w:val="24"/>
              </w:rPr>
              <w:t>投标时提供合同扫描件或复印件加盖投标人公章。</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ED9B5">
            <w:pPr>
              <w:widowControl/>
              <w:adjustRightInd/>
              <w:spacing w:after="0" w:line="276" w:lineRule="auto"/>
              <w:jc w:val="center"/>
              <w:rPr>
                <w:rFonts w:ascii="宋体" w:hAnsi="宋体" w:cs="宋体"/>
                <w:kern w:val="0"/>
                <w:sz w:val="24"/>
              </w:rPr>
            </w:pPr>
            <w:r>
              <w:rPr>
                <w:rFonts w:hint="eastAsia" w:ascii="宋体" w:hAnsi="宋体" w:cs="宋体"/>
                <w:kern w:val="0"/>
                <w:sz w:val="24"/>
              </w:rPr>
              <w:t>1分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53A9B">
            <w:pPr>
              <w:widowControl/>
              <w:adjustRightInd/>
              <w:spacing w:after="0" w:line="276" w:lineRule="auto"/>
              <w:jc w:val="center"/>
              <w:rPr>
                <w:rFonts w:ascii="宋体" w:hAnsi="宋体" w:cs="宋体"/>
                <w:kern w:val="0"/>
                <w:sz w:val="24"/>
              </w:rPr>
            </w:pPr>
            <w:r>
              <w:rPr>
                <w:rFonts w:hint="eastAsia" w:ascii="宋体" w:hAnsi="宋体" w:cs="宋体"/>
                <w:kern w:val="0"/>
                <w:sz w:val="24"/>
              </w:rPr>
              <w:t>客观分</w:t>
            </w:r>
          </w:p>
        </w:tc>
      </w:tr>
      <w:tr w14:paraId="6A407A58">
        <w:tblPrEx>
          <w:tblCellMar>
            <w:top w:w="0" w:type="dxa"/>
            <w:left w:w="108" w:type="dxa"/>
            <w:bottom w:w="0" w:type="dxa"/>
            <w:right w:w="108"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21CAE">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2</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B745C">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企业资信</w:t>
            </w: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1AE27">
            <w:pPr>
              <w:widowControl/>
              <w:adjustRightInd/>
              <w:spacing w:after="0" w:line="276" w:lineRule="auto"/>
              <w:rPr>
                <w:rFonts w:ascii="宋体" w:hAnsi="宋体" w:cs="宋体"/>
                <w:kern w:val="0"/>
                <w:sz w:val="24"/>
              </w:rPr>
            </w:pPr>
            <w:r>
              <w:rPr>
                <w:rFonts w:hint="eastAsia" w:ascii="宋体" w:hAnsi="宋体" w:cs="宋体"/>
                <w:kern w:val="0"/>
                <w:sz w:val="24"/>
              </w:rPr>
              <w:t>投标人具备有效期内的质量管理体系认证证书，得1分。</w:t>
            </w:r>
          </w:p>
          <w:p w14:paraId="06CC1560">
            <w:pPr>
              <w:widowControl/>
              <w:adjustRightInd/>
              <w:spacing w:after="0" w:line="276" w:lineRule="auto"/>
              <w:rPr>
                <w:rFonts w:ascii="宋体" w:hAnsi="宋体" w:cs="宋体"/>
                <w:kern w:val="0"/>
                <w:sz w:val="24"/>
              </w:rPr>
            </w:pPr>
            <w:r>
              <w:rPr>
                <w:rFonts w:hint="eastAsia" w:ascii="宋体" w:hAnsi="宋体" w:cs="宋体"/>
                <w:color w:val="000000"/>
                <w:kern w:val="0"/>
                <w:sz w:val="24"/>
                <w:lang w:bidi="ar"/>
              </w:rPr>
              <w:t>投标时提供证书扫描件或复印件加盖投标人公章。</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FE2E6">
            <w:pPr>
              <w:widowControl/>
              <w:adjustRightInd/>
              <w:spacing w:after="0" w:line="276" w:lineRule="auto"/>
              <w:jc w:val="center"/>
              <w:rPr>
                <w:rFonts w:ascii="宋体" w:hAnsi="宋体" w:cs="宋体"/>
                <w:kern w:val="0"/>
                <w:sz w:val="24"/>
              </w:rPr>
            </w:pPr>
            <w:r>
              <w:rPr>
                <w:rFonts w:hint="eastAsia" w:ascii="宋体" w:hAnsi="宋体" w:cs="宋体"/>
                <w:kern w:val="0"/>
                <w:sz w:val="24"/>
              </w:rPr>
              <w:t>4分</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0E74C">
            <w:pPr>
              <w:widowControl/>
              <w:adjustRightInd/>
              <w:spacing w:after="0" w:line="276" w:lineRule="auto"/>
              <w:jc w:val="center"/>
              <w:rPr>
                <w:rFonts w:ascii="宋体" w:hAnsi="宋体" w:cs="宋体"/>
                <w:kern w:val="0"/>
                <w:sz w:val="24"/>
              </w:rPr>
            </w:pPr>
            <w:r>
              <w:rPr>
                <w:rFonts w:hint="eastAsia" w:ascii="宋体" w:hAnsi="宋体" w:cs="宋体"/>
                <w:kern w:val="0"/>
                <w:sz w:val="24"/>
              </w:rPr>
              <w:t>客观分</w:t>
            </w:r>
          </w:p>
        </w:tc>
      </w:tr>
      <w:tr w14:paraId="2C09E069">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4131175A">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5680EAB6">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B077">
            <w:pPr>
              <w:widowControl/>
              <w:adjustRightInd/>
              <w:spacing w:after="0" w:line="276" w:lineRule="auto"/>
              <w:rPr>
                <w:rFonts w:ascii="宋体" w:hAnsi="宋体" w:cs="宋体"/>
                <w:kern w:val="0"/>
                <w:sz w:val="24"/>
              </w:rPr>
            </w:pPr>
            <w:r>
              <w:rPr>
                <w:rFonts w:hint="eastAsia" w:ascii="宋体" w:hAnsi="宋体" w:cs="宋体"/>
                <w:kern w:val="0"/>
                <w:sz w:val="24"/>
              </w:rPr>
              <w:t>投标人具备有效期内的信息技术服务管理体系认证证书，得1分。</w:t>
            </w:r>
          </w:p>
          <w:p w14:paraId="66D64D42">
            <w:pPr>
              <w:widowControl/>
              <w:adjustRightInd/>
              <w:spacing w:after="0" w:line="276" w:lineRule="auto"/>
              <w:rPr>
                <w:rFonts w:ascii="宋体" w:hAnsi="宋体" w:cs="宋体"/>
                <w:kern w:val="0"/>
                <w:sz w:val="24"/>
              </w:rPr>
            </w:pPr>
            <w:r>
              <w:rPr>
                <w:rFonts w:hint="eastAsia" w:ascii="宋体" w:hAnsi="宋体" w:cs="宋体"/>
                <w:color w:val="000000"/>
                <w:kern w:val="0"/>
                <w:sz w:val="24"/>
                <w:lang w:bidi="ar"/>
              </w:rPr>
              <w:t>投标时提供证书扫描件或复印件加盖投标人公章。</w:t>
            </w:r>
          </w:p>
        </w:tc>
        <w:tc>
          <w:tcPr>
            <w:tcW w:w="508" w:type="pct"/>
            <w:vMerge w:val="continue"/>
            <w:tcBorders>
              <w:top w:val="single" w:color="000000" w:sz="4" w:space="0"/>
              <w:left w:val="single" w:color="000000" w:sz="4" w:space="0"/>
              <w:bottom w:val="single" w:color="000000" w:sz="4" w:space="0"/>
              <w:right w:val="single" w:color="000000" w:sz="4" w:space="0"/>
            </w:tcBorders>
            <w:vAlign w:val="center"/>
          </w:tcPr>
          <w:p w14:paraId="6652675D">
            <w:pPr>
              <w:widowControl/>
              <w:adjustRightInd/>
              <w:spacing w:after="0" w:line="276" w:lineRule="auto"/>
              <w:jc w:val="left"/>
              <w:rPr>
                <w:rFonts w:ascii="宋体" w:hAnsi="宋体" w:cs="宋体"/>
                <w:kern w:val="0"/>
                <w:sz w:val="24"/>
              </w:rPr>
            </w:pP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3E9F86EB">
            <w:pPr>
              <w:widowControl/>
              <w:adjustRightInd/>
              <w:spacing w:after="0" w:line="276" w:lineRule="auto"/>
              <w:jc w:val="left"/>
              <w:rPr>
                <w:rFonts w:ascii="宋体" w:hAnsi="宋体" w:cs="宋体"/>
                <w:kern w:val="0"/>
                <w:sz w:val="24"/>
              </w:rPr>
            </w:pPr>
          </w:p>
        </w:tc>
      </w:tr>
      <w:tr w14:paraId="1FA6F0E0">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7933129A">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5D3B9BD4">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8B260">
            <w:pPr>
              <w:widowControl/>
              <w:adjustRightInd/>
              <w:spacing w:after="0" w:line="276" w:lineRule="auto"/>
              <w:rPr>
                <w:rFonts w:ascii="宋体" w:hAnsi="宋体" w:cs="宋体"/>
                <w:kern w:val="0"/>
                <w:sz w:val="24"/>
              </w:rPr>
            </w:pPr>
            <w:r>
              <w:rPr>
                <w:rFonts w:hint="eastAsia" w:ascii="宋体" w:hAnsi="宋体" w:cs="宋体"/>
                <w:kern w:val="0"/>
                <w:sz w:val="24"/>
              </w:rPr>
              <w:t>投标人具备有效期内的信息安全管理体系认证证书，得1分。</w:t>
            </w:r>
          </w:p>
          <w:p w14:paraId="7F90AA18">
            <w:pPr>
              <w:widowControl/>
              <w:adjustRightInd/>
              <w:spacing w:after="0" w:line="276" w:lineRule="auto"/>
              <w:rPr>
                <w:rFonts w:ascii="宋体" w:hAnsi="宋体" w:cs="宋体"/>
                <w:kern w:val="0"/>
                <w:sz w:val="24"/>
              </w:rPr>
            </w:pPr>
            <w:r>
              <w:rPr>
                <w:rFonts w:hint="eastAsia" w:ascii="宋体" w:hAnsi="宋体" w:cs="宋体"/>
                <w:color w:val="000000"/>
                <w:kern w:val="0"/>
                <w:sz w:val="24"/>
                <w:lang w:bidi="ar"/>
              </w:rPr>
              <w:t>投标时提供证书扫描件或复印件加盖投标人公章。</w:t>
            </w:r>
          </w:p>
        </w:tc>
        <w:tc>
          <w:tcPr>
            <w:tcW w:w="508" w:type="pct"/>
            <w:vMerge w:val="continue"/>
            <w:tcBorders>
              <w:top w:val="single" w:color="000000" w:sz="4" w:space="0"/>
              <w:left w:val="single" w:color="000000" w:sz="4" w:space="0"/>
              <w:bottom w:val="single" w:color="000000" w:sz="4" w:space="0"/>
              <w:right w:val="single" w:color="000000" w:sz="4" w:space="0"/>
            </w:tcBorders>
            <w:vAlign w:val="center"/>
          </w:tcPr>
          <w:p w14:paraId="291C8EA4">
            <w:pPr>
              <w:widowControl/>
              <w:adjustRightInd/>
              <w:spacing w:after="0" w:line="276" w:lineRule="auto"/>
              <w:jc w:val="left"/>
              <w:rPr>
                <w:rFonts w:ascii="宋体" w:hAnsi="宋体" w:cs="宋体"/>
                <w:kern w:val="0"/>
                <w:sz w:val="24"/>
              </w:rPr>
            </w:pP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6857CF06">
            <w:pPr>
              <w:widowControl/>
              <w:adjustRightInd/>
              <w:spacing w:after="0" w:line="276" w:lineRule="auto"/>
              <w:jc w:val="left"/>
              <w:rPr>
                <w:rFonts w:ascii="宋体" w:hAnsi="宋体" w:cs="宋体"/>
                <w:kern w:val="0"/>
                <w:sz w:val="24"/>
              </w:rPr>
            </w:pPr>
          </w:p>
        </w:tc>
      </w:tr>
      <w:tr w14:paraId="5FE8C583">
        <w:tblPrEx>
          <w:tblCellMar>
            <w:top w:w="0" w:type="dxa"/>
            <w:left w:w="108" w:type="dxa"/>
            <w:bottom w:w="0" w:type="dxa"/>
            <w:right w:w="108" w:type="dxa"/>
          </w:tblCellMar>
        </w:tblPrEx>
        <w:trPr>
          <w:trHeight w:val="312"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28E59B29">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597F19C5">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18C64">
            <w:pPr>
              <w:widowControl/>
              <w:adjustRightInd/>
              <w:spacing w:after="0" w:line="276" w:lineRule="auto"/>
              <w:rPr>
                <w:rFonts w:ascii="宋体" w:hAnsi="宋体" w:cs="宋体"/>
                <w:kern w:val="0"/>
                <w:sz w:val="24"/>
              </w:rPr>
            </w:pPr>
            <w:r>
              <w:rPr>
                <w:rFonts w:hint="eastAsia" w:ascii="宋体" w:hAnsi="宋体" w:cs="宋体"/>
                <w:kern w:val="0"/>
                <w:sz w:val="24"/>
              </w:rPr>
              <w:t>投标人具备有效期内的隐私信息安全管理体系认证证书，得1分。</w:t>
            </w:r>
          </w:p>
          <w:p w14:paraId="6E4D7D21">
            <w:pPr>
              <w:widowControl/>
              <w:adjustRightInd/>
              <w:spacing w:after="0" w:line="276" w:lineRule="auto"/>
              <w:rPr>
                <w:rFonts w:ascii="宋体" w:hAnsi="宋体" w:cs="宋体"/>
                <w:kern w:val="0"/>
                <w:sz w:val="24"/>
              </w:rPr>
            </w:pPr>
            <w:r>
              <w:rPr>
                <w:rFonts w:hint="eastAsia" w:ascii="宋体" w:hAnsi="宋体" w:cs="宋体"/>
                <w:color w:val="000000"/>
                <w:kern w:val="0"/>
                <w:sz w:val="24"/>
                <w:lang w:bidi="ar"/>
              </w:rPr>
              <w:t>投标时提供证书扫描件或复印件加盖投标人公章。</w:t>
            </w:r>
          </w:p>
        </w:tc>
        <w:tc>
          <w:tcPr>
            <w:tcW w:w="508" w:type="pct"/>
            <w:vMerge w:val="continue"/>
            <w:tcBorders>
              <w:top w:val="single" w:color="000000" w:sz="4" w:space="0"/>
              <w:left w:val="single" w:color="000000" w:sz="4" w:space="0"/>
              <w:bottom w:val="single" w:color="000000" w:sz="4" w:space="0"/>
              <w:right w:val="single" w:color="000000" w:sz="4" w:space="0"/>
            </w:tcBorders>
            <w:vAlign w:val="center"/>
          </w:tcPr>
          <w:p w14:paraId="150D8A4C">
            <w:pPr>
              <w:widowControl/>
              <w:adjustRightInd/>
              <w:spacing w:after="0" w:line="276" w:lineRule="auto"/>
              <w:jc w:val="left"/>
              <w:rPr>
                <w:rFonts w:ascii="宋体" w:hAnsi="宋体" w:cs="宋体"/>
                <w:kern w:val="0"/>
                <w:sz w:val="24"/>
              </w:rPr>
            </w:pP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552F8B9A">
            <w:pPr>
              <w:widowControl/>
              <w:adjustRightInd/>
              <w:spacing w:after="0" w:line="276" w:lineRule="auto"/>
              <w:jc w:val="left"/>
              <w:rPr>
                <w:rFonts w:ascii="宋体" w:hAnsi="宋体" w:cs="宋体"/>
                <w:kern w:val="0"/>
                <w:sz w:val="24"/>
              </w:rPr>
            </w:pPr>
          </w:p>
        </w:tc>
      </w:tr>
      <w:tr w14:paraId="22CC4AD7">
        <w:tblPrEx>
          <w:tblCellMar>
            <w:top w:w="0" w:type="dxa"/>
            <w:left w:w="108" w:type="dxa"/>
            <w:bottom w:w="0" w:type="dxa"/>
            <w:right w:w="108" w:type="dxa"/>
          </w:tblCellMar>
        </w:tblPrEx>
        <w:trPr>
          <w:trHeight w:val="675"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8E6B4">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3</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59928">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企业实力</w:t>
            </w:r>
          </w:p>
        </w:tc>
        <w:tc>
          <w:tcPr>
            <w:tcW w:w="3131"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F9AE983">
            <w:pPr>
              <w:widowControl/>
              <w:adjustRightInd/>
              <w:spacing w:after="0" w:line="276" w:lineRule="auto"/>
              <w:rPr>
                <w:rFonts w:ascii="宋体" w:hAnsi="宋体" w:cs="宋体"/>
                <w:color w:val="000000"/>
                <w:kern w:val="0"/>
                <w:sz w:val="24"/>
                <w:lang w:bidi="ar"/>
              </w:rPr>
            </w:pPr>
            <w:r>
              <w:rPr>
                <w:rFonts w:hint="eastAsia" w:ascii="宋体" w:hAnsi="宋体" w:cs="宋体"/>
                <w:color w:val="000000"/>
                <w:kern w:val="0"/>
                <w:sz w:val="24"/>
                <w:lang w:bidi="ar"/>
              </w:rPr>
              <w:t>投标人具备高新技术企业证书，省级及以上的得2分，市级的得1分。</w:t>
            </w:r>
          </w:p>
          <w:p w14:paraId="70A0D9D5">
            <w:pPr>
              <w:widowControl/>
              <w:adjustRightInd/>
              <w:spacing w:after="0" w:line="276" w:lineRule="auto"/>
              <w:rPr>
                <w:rFonts w:ascii="宋体" w:hAnsi="宋体" w:cs="宋体"/>
                <w:kern w:val="0"/>
                <w:sz w:val="24"/>
              </w:rPr>
            </w:pPr>
            <w:r>
              <w:rPr>
                <w:rFonts w:hint="eastAsia" w:ascii="宋体" w:hAnsi="宋体" w:cs="宋体"/>
                <w:color w:val="000000"/>
                <w:kern w:val="0"/>
                <w:sz w:val="24"/>
                <w:lang w:bidi="ar"/>
              </w:rPr>
              <w:t>投标时提供证书扫描件或复印件加盖投标人公章。</w:t>
            </w:r>
          </w:p>
        </w:tc>
        <w:tc>
          <w:tcPr>
            <w:tcW w:w="508"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B0B9D6F">
            <w:pPr>
              <w:widowControl/>
              <w:adjustRightInd/>
              <w:spacing w:after="0" w:line="276" w:lineRule="auto"/>
              <w:jc w:val="center"/>
              <w:rPr>
                <w:rFonts w:hint="default" w:ascii="宋体" w:hAnsi="宋体" w:cs="宋体"/>
                <w:kern w:val="0"/>
                <w:sz w:val="24"/>
                <w:lang w:val="en-US" w:eastAsia="zh-CN"/>
              </w:rPr>
            </w:pPr>
            <w:r>
              <w:rPr>
                <w:rFonts w:hint="eastAsia" w:ascii="宋体" w:hAnsi="宋体" w:cs="宋体"/>
                <w:kern w:val="0"/>
                <w:sz w:val="24"/>
                <w:lang w:val="en-US" w:eastAsia="zh-CN"/>
              </w:rPr>
              <w:t>2分</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58D90B">
            <w:pPr>
              <w:widowControl/>
              <w:adjustRightInd/>
              <w:spacing w:after="0" w:line="276" w:lineRule="auto"/>
              <w:jc w:val="center"/>
              <w:rPr>
                <w:rFonts w:ascii="宋体" w:hAnsi="宋体" w:cs="宋体"/>
                <w:kern w:val="0"/>
                <w:sz w:val="24"/>
              </w:rPr>
            </w:pPr>
            <w:r>
              <w:rPr>
                <w:rFonts w:hint="eastAsia" w:ascii="宋体" w:hAnsi="宋体" w:cs="宋体"/>
                <w:kern w:val="0"/>
                <w:sz w:val="24"/>
              </w:rPr>
              <w:t>客观分</w:t>
            </w:r>
          </w:p>
        </w:tc>
      </w:tr>
      <w:tr w14:paraId="3F1E35DC">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1E4D611E">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3BFFE4AC">
            <w:pPr>
              <w:widowControl/>
              <w:adjustRightInd/>
              <w:spacing w:after="0" w:line="276" w:lineRule="auto"/>
              <w:jc w:val="left"/>
              <w:rPr>
                <w:rFonts w:ascii="宋体" w:hAnsi="宋体" w:cs="宋体"/>
                <w:b/>
                <w:bCs/>
                <w:kern w:val="0"/>
                <w:sz w:val="24"/>
              </w:rPr>
            </w:pPr>
          </w:p>
        </w:tc>
        <w:tc>
          <w:tcPr>
            <w:tcW w:w="3131" w:type="pct"/>
            <w:tcBorders>
              <w:top w:val="single" w:color="auto" w:sz="4" w:space="0"/>
              <w:left w:val="single" w:color="000000" w:sz="4" w:space="0"/>
              <w:bottom w:val="single" w:color="auto" w:sz="4" w:space="0"/>
              <w:right w:val="single" w:color="000000" w:sz="4" w:space="0"/>
            </w:tcBorders>
            <w:shd w:val="clear" w:color="auto" w:fill="FFFFFF"/>
            <w:vAlign w:val="center"/>
          </w:tcPr>
          <w:p w14:paraId="1E2FCBBB">
            <w:pPr>
              <w:widowControl/>
              <w:adjustRightInd/>
              <w:spacing w:after="0" w:line="276" w:lineRule="auto"/>
              <w:rPr>
                <w:rFonts w:ascii="宋体" w:hAnsi="宋体" w:cs="宋体"/>
                <w:kern w:val="0"/>
                <w:sz w:val="24"/>
              </w:rPr>
            </w:pPr>
            <w:r>
              <w:rPr>
                <w:rFonts w:hint="eastAsia" w:ascii="宋体" w:hAnsi="宋体" w:cs="宋体"/>
                <w:color w:val="000000"/>
                <w:kern w:val="0"/>
                <w:sz w:val="24"/>
                <w:lang w:bidi="ar"/>
              </w:rPr>
              <w:t>投标人具有软件成熟度集成模型服务能力CMMI3级证书及以上的得2分；投标时提供证书扫描件或复印件加盖投标人公章。</w:t>
            </w:r>
          </w:p>
        </w:tc>
        <w:tc>
          <w:tcPr>
            <w:tcW w:w="508" w:type="pct"/>
            <w:tcBorders>
              <w:top w:val="single" w:color="auto" w:sz="4" w:space="0"/>
              <w:left w:val="single" w:color="000000" w:sz="4" w:space="0"/>
              <w:bottom w:val="single" w:color="auto" w:sz="4" w:space="0"/>
              <w:right w:val="single" w:color="000000" w:sz="4" w:space="0"/>
            </w:tcBorders>
            <w:vAlign w:val="center"/>
          </w:tcPr>
          <w:p w14:paraId="661007DB">
            <w:pPr>
              <w:widowControl/>
              <w:adjustRightInd/>
              <w:spacing w:after="0" w:line="276" w:lineRule="auto"/>
              <w:jc w:val="center"/>
              <w:rPr>
                <w:rFonts w:hint="default" w:ascii="宋体" w:hAnsi="宋体" w:cs="宋体"/>
                <w:kern w:val="0"/>
                <w:sz w:val="24"/>
                <w:lang w:val="en-US" w:eastAsia="zh-CN"/>
              </w:rPr>
            </w:pPr>
            <w:r>
              <w:rPr>
                <w:rFonts w:hint="eastAsia" w:ascii="宋体" w:hAnsi="宋体" w:cs="宋体"/>
                <w:kern w:val="0"/>
                <w:sz w:val="24"/>
                <w:lang w:val="en-US" w:eastAsia="zh-CN"/>
              </w:rPr>
              <w:t>2分</w:t>
            </w: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471285BE">
            <w:pPr>
              <w:widowControl/>
              <w:adjustRightInd/>
              <w:spacing w:after="0" w:line="276" w:lineRule="auto"/>
              <w:jc w:val="left"/>
              <w:rPr>
                <w:rFonts w:ascii="宋体" w:hAnsi="宋体" w:cs="宋体"/>
                <w:kern w:val="0"/>
                <w:sz w:val="24"/>
              </w:rPr>
            </w:pPr>
          </w:p>
        </w:tc>
      </w:tr>
      <w:tr w14:paraId="46D0700C">
        <w:tblPrEx>
          <w:tblCellMar>
            <w:top w:w="0" w:type="dxa"/>
            <w:left w:w="108" w:type="dxa"/>
            <w:bottom w:w="0" w:type="dxa"/>
            <w:right w:w="108" w:type="dxa"/>
          </w:tblCellMar>
        </w:tblPrEx>
        <w:trPr>
          <w:trHeight w:val="948"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493A13ED">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7429B523">
            <w:pPr>
              <w:widowControl/>
              <w:adjustRightInd/>
              <w:spacing w:after="0" w:line="276" w:lineRule="auto"/>
              <w:jc w:val="left"/>
              <w:rPr>
                <w:rFonts w:ascii="宋体" w:hAnsi="宋体" w:cs="宋体"/>
                <w:b/>
                <w:bCs/>
                <w:kern w:val="0"/>
                <w:sz w:val="24"/>
              </w:rPr>
            </w:pPr>
          </w:p>
        </w:tc>
        <w:tc>
          <w:tcPr>
            <w:tcW w:w="3131"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E8A3A14">
            <w:pPr>
              <w:widowControl/>
              <w:adjustRightInd/>
              <w:spacing w:after="0" w:line="276" w:lineRule="auto"/>
              <w:rPr>
                <w:rFonts w:ascii="宋体" w:hAnsi="宋体" w:cs="宋体"/>
                <w:kern w:val="0"/>
                <w:sz w:val="24"/>
              </w:rPr>
            </w:pPr>
            <w:r>
              <w:rPr>
                <w:rFonts w:hint="eastAsia" w:ascii="宋体" w:hAnsi="宋体" w:cs="宋体"/>
                <w:kern w:val="0"/>
                <w:sz w:val="24"/>
              </w:rPr>
              <w:t>投标人承担过数据相关的地方标准、行业标准或国家标准起草，每具备一项得3分，最高得6分。</w:t>
            </w:r>
            <w:r>
              <w:rPr>
                <w:rFonts w:hint="eastAsia" w:ascii="宋体" w:hAnsi="宋体" w:cs="宋体"/>
                <w:color w:val="000000"/>
                <w:kern w:val="0"/>
                <w:sz w:val="24"/>
                <w:lang w:bidi="ar"/>
              </w:rPr>
              <w:t>投标时提供证明材料，否则不得分。</w:t>
            </w:r>
          </w:p>
        </w:tc>
        <w:tc>
          <w:tcPr>
            <w:tcW w:w="508" w:type="pct"/>
            <w:tcBorders>
              <w:top w:val="single" w:color="auto" w:sz="4" w:space="0"/>
              <w:left w:val="single" w:color="000000" w:sz="4" w:space="0"/>
              <w:bottom w:val="single" w:color="000000" w:sz="4" w:space="0"/>
              <w:right w:val="single" w:color="000000" w:sz="4" w:space="0"/>
            </w:tcBorders>
            <w:vAlign w:val="center"/>
          </w:tcPr>
          <w:p w14:paraId="765B0036">
            <w:pPr>
              <w:widowControl/>
              <w:adjustRightInd/>
              <w:spacing w:after="0" w:line="276" w:lineRule="auto"/>
              <w:jc w:val="center"/>
              <w:rPr>
                <w:rFonts w:hint="default" w:ascii="宋体" w:hAnsi="宋体" w:cs="宋体"/>
                <w:kern w:val="0"/>
                <w:sz w:val="24"/>
                <w:lang w:val="en-US" w:eastAsia="zh-CN"/>
              </w:rPr>
            </w:pPr>
            <w:r>
              <w:rPr>
                <w:rFonts w:hint="eastAsia" w:ascii="宋体" w:hAnsi="宋体" w:cs="宋体"/>
                <w:kern w:val="0"/>
                <w:sz w:val="24"/>
                <w:lang w:val="en-US" w:eastAsia="zh-CN"/>
              </w:rPr>
              <w:t>6分</w:t>
            </w: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58B6F5E9">
            <w:pPr>
              <w:widowControl/>
              <w:adjustRightInd/>
              <w:spacing w:after="0" w:line="276" w:lineRule="auto"/>
              <w:jc w:val="left"/>
              <w:rPr>
                <w:rFonts w:ascii="宋体" w:hAnsi="宋体" w:cs="宋体"/>
                <w:kern w:val="0"/>
                <w:sz w:val="24"/>
              </w:rPr>
            </w:pPr>
          </w:p>
        </w:tc>
      </w:tr>
      <w:tr w14:paraId="208A8C6D">
        <w:tblPrEx>
          <w:tblCellMar>
            <w:top w:w="0" w:type="dxa"/>
            <w:left w:w="108" w:type="dxa"/>
            <w:bottom w:w="0" w:type="dxa"/>
            <w:right w:w="108" w:type="dxa"/>
          </w:tblCellMar>
        </w:tblPrEx>
        <w:trPr>
          <w:trHeight w:val="10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D683AA">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4</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270AD">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总体方案</w:t>
            </w: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BA8A5">
            <w:pPr>
              <w:widowControl/>
              <w:adjustRightInd/>
              <w:spacing w:after="0" w:line="276" w:lineRule="auto"/>
              <w:rPr>
                <w:rFonts w:ascii="宋体" w:hAnsi="宋体" w:cs="宋体"/>
                <w:kern w:val="0"/>
                <w:sz w:val="24"/>
              </w:rPr>
            </w:pPr>
            <w:r>
              <w:rPr>
                <w:rFonts w:hint="eastAsia" w:ascii="宋体" w:hAnsi="宋体" w:cs="宋体"/>
                <w:kern w:val="0"/>
                <w:sz w:val="24"/>
              </w:rPr>
              <w:t>需求理解：投标人提供的项目整体方案对背景理解、目标、任务分析到位，</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9CE08">
            <w:pPr>
              <w:widowControl/>
              <w:adjustRightInd/>
              <w:spacing w:after="0" w:line="276" w:lineRule="auto"/>
              <w:jc w:val="center"/>
              <w:rPr>
                <w:rFonts w:hint="eastAsia"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B9C16">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122C01B0">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2050DD63">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7FEB571F">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1642">
            <w:pPr>
              <w:widowControl/>
              <w:adjustRightInd/>
              <w:spacing w:after="0" w:line="276" w:lineRule="auto"/>
              <w:rPr>
                <w:rFonts w:ascii="宋体" w:hAnsi="宋体" w:cs="宋体"/>
                <w:kern w:val="0"/>
                <w:sz w:val="24"/>
              </w:rPr>
            </w:pPr>
            <w:r>
              <w:rPr>
                <w:rFonts w:hint="eastAsia" w:ascii="宋体" w:hAnsi="宋体" w:cs="宋体"/>
                <w:kern w:val="0"/>
                <w:sz w:val="24"/>
              </w:rPr>
              <w:t>投标人能提供数据目录服务方案，思路清晰、逻辑合理、内容详实，</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48934">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38941">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081FACE4">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05F3D39E">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4C8B595F">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846DD">
            <w:pPr>
              <w:widowControl/>
              <w:adjustRightInd/>
              <w:spacing w:after="0" w:line="276" w:lineRule="auto"/>
              <w:rPr>
                <w:rFonts w:ascii="宋体" w:hAnsi="宋体" w:cs="宋体"/>
                <w:kern w:val="0"/>
                <w:sz w:val="24"/>
              </w:rPr>
            </w:pPr>
            <w:r>
              <w:rPr>
                <w:rFonts w:hint="eastAsia" w:ascii="宋体" w:hAnsi="宋体" w:cs="宋体"/>
                <w:kern w:val="0"/>
                <w:sz w:val="24"/>
              </w:rPr>
              <w:t>投标人能提供数据归集服务方案，思路清晰、逻辑合理、内容详实，</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609C1">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BE2EA">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54D1CFCE">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21277221">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3F06C03B">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C427">
            <w:pPr>
              <w:widowControl/>
              <w:adjustRightInd/>
              <w:spacing w:after="0" w:line="276" w:lineRule="auto"/>
              <w:rPr>
                <w:rFonts w:ascii="宋体" w:hAnsi="宋体" w:cs="宋体"/>
                <w:kern w:val="0"/>
                <w:sz w:val="24"/>
              </w:rPr>
            </w:pPr>
            <w:r>
              <w:rPr>
                <w:rFonts w:hint="eastAsia" w:ascii="宋体" w:hAnsi="宋体" w:cs="宋体"/>
                <w:kern w:val="0"/>
                <w:sz w:val="24"/>
              </w:rPr>
              <w:t>投标人能提供数据回流服务方案，思路清晰、逻辑合理、内容详实，</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B57D">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1F55D">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1ACDFE91">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1901A4FE">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1AED63D0">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6FCDB">
            <w:pPr>
              <w:widowControl/>
              <w:adjustRightInd/>
              <w:spacing w:after="0" w:line="276" w:lineRule="auto"/>
              <w:rPr>
                <w:rFonts w:ascii="宋体" w:hAnsi="宋体" w:cs="宋体"/>
                <w:kern w:val="0"/>
                <w:sz w:val="24"/>
              </w:rPr>
            </w:pPr>
            <w:r>
              <w:rPr>
                <w:rFonts w:hint="eastAsia" w:ascii="宋体" w:hAnsi="宋体" w:cs="宋体"/>
                <w:kern w:val="0"/>
                <w:sz w:val="24"/>
              </w:rPr>
              <w:t>投标人能提供数据开放服务方案，思路清晰、逻辑合理、内容详实，</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B995C">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B9830">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637FF3DA">
        <w:tblPrEx>
          <w:tblCellMar>
            <w:top w:w="0" w:type="dxa"/>
            <w:left w:w="108" w:type="dxa"/>
            <w:bottom w:w="0" w:type="dxa"/>
            <w:right w:w="108" w:type="dxa"/>
          </w:tblCellMar>
        </w:tblPrEx>
        <w:trPr>
          <w:trHeight w:val="9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6881979F">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7B0F0537">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2EEFD">
            <w:pPr>
              <w:widowControl/>
              <w:adjustRightInd/>
              <w:spacing w:after="0" w:line="276" w:lineRule="auto"/>
              <w:rPr>
                <w:rFonts w:ascii="宋体" w:hAnsi="宋体" w:cs="宋体"/>
                <w:kern w:val="0"/>
                <w:sz w:val="24"/>
              </w:rPr>
            </w:pPr>
            <w:r>
              <w:rPr>
                <w:rFonts w:hint="eastAsia" w:ascii="宋体" w:hAnsi="宋体" w:cs="宋体"/>
                <w:kern w:val="0"/>
                <w:sz w:val="24"/>
              </w:rPr>
              <w:t>投标人能提供数据易用性服务方案，思路清晰、逻辑合理、内容详实，</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FBB53">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05CD1">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22792DA0">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04349F66">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157B9B5B">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E4F69">
            <w:pPr>
              <w:widowControl/>
              <w:adjustRightInd/>
              <w:spacing w:after="0" w:line="276" w:lineRule="auto"/>
              <w:rPr>
                <w:rFonts w:ascii="宋体" w:hAnsi="宋体" w:cs="宋体"/>
                <w:kern w:val="0"/>
                <w:sz w:val="24"/>
              </w:rPr>
            </w:pPr>
            <w:r>
              <w:rPr>
                <w:rFonts w:hint="eastAsia" w:ascii="宋体" w:hAnsi="宋体" w:cs="宋体"/>
                <w:kern w:val="0"/>
                <w:sz w:val="24"/>
              </w:rPr>
              <w:t>投标人能提供一表通服务方案，思路清晰、逻辑合理、内容详实，</w:t>
            </w:r>
            <w:r>
              <w:rPr>
                <w:rFonts w:hint="eastAsia" w:ascii="宋体" w:hAnsi="宋体" w:cs="宋体"/>
                <w:sz w:val="24"/>
              </w:rPr>
              <w:t>服务方案描述全面、合理的，具有针对性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8C98D">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189B8">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41CDEDF8">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27992786">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0B581922">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48776">
            <w:pPr>
              <w:widowControl/>
              <w:adjustRightInd/>
              <w:spacing w:after="0" w:line="276" w:lineRule="auto"/>
              <w:jc w:val="left"/>
              <w:rPr>
                <w:rFonts w:ascii="宋体" w:hAnsi="宋体" w:cs="宋体"/>
                <w:kern w:val="0"/>
                <w:sz w:val="24"/>
              </w:rPr>
            </w:pPr>
            <w:r>
              <w:rPr>
                <w:rFonts w:hint="eastAsia" w:ascii="宋体" w:hAnsi="宋体" w:cs="宋体"/>
                <w:kern w:val="0"/>
                <w:sz w:val="24"/>
              </w:rPr>
              <w:t>实施方案、实施计划的可行性及合理性，按以下评分要求综合评定，</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78DB6">
            <w:pPr>
              <w:widowControl/>
              <w:adjustRightInd/>
              <w:spacing w:after="0" w:line="276" w:lineRule="auto"/>
              <w:jc w:val="center"/>
              <w:rPr>
                <w:rFonts w:ascii="宋体" w:hAnsi="宋体" w:cs="宋体"/>
                <w:kern w:val="0"/>
                <w:sz w:val="24"/>
              </w:rPr>
            </w:pPr>
            <w:r>
              <w:rPr>
                <w:rFonts w:hint="eastAsia" w:ascii="宋体" w:hAnsi="宋体" w:cs="宋体"/>
                <w:kern w:val="0"/>
                <w:sz w:val="24"/>
              </w:rPr>
              <w:t>6分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DBF0F">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425DDC6C">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67675F57">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644396CD">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27BCA">
            <w:pPr>
              <w:widowControl/>
              <w:adjustRightInd/>
              <w:spacing w:after="0" w:line="276" w:lineRule="auto"/>
              <w:jc w:val="left"/>
              <w:rPr>
                <w:rFonts w:ascii="宋体" w:hAnsi="宋体" w:cs="宋体"/>
                <w:kern w:val="0"/>
                <w:sz w:val="24"/>
              </w:rPr>
            </w:pPr>
            <w:r>
              <w:rPr>
                <w:rFonts w:hint="eastAsia" w:ascii="宋体" w:hAnsi="宋体" w:cs="宋体"/>
                <w:kern w:val="0"/>
                <w:sz w:val="24"/>
              </w:rPr>
              <w:t>项目质量保障措施的可行性及合理性，按以下评分要求综合评定，质量保障措施</w:t>
            </w:r>
            <w:r>
              <w:rPr>
                <w:rFonts w:hint="eastAsia" w:ascii="宋体" w:hAnsi="宋体" w:cs="宋体"/>
                <w:sz w:val="24"/>
              </w:rPr>
              <w:t>具有针对性、利于项目实施得4分，针对性较弱，满足项目实施需要得2分，内容较为简单、存在缺漏的最多得1分。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42FEB">
            <w:pPr>
              <w:widowControl/>
              <w:adjustRightInd/>
              <w:spacing w:after="0" w:line="276" w:lineRule="auto"/>
              <w:jc w:val="center"/>
              <w:rPr>
                <w:rFonts w:ascii="宋体" w:hAnsi="宋体" w:cs="宋体"/>
                <w:kern w:val="0"/>
                <w:sz w:val="24"/>
              </w:rPr>
            </w:pPr>
            <w:r>
              <w:rPr>
                <w:rFonts w:hint="eastAsia" w:ascii="宋体" w:hAnsi="宋体" w:cs="宋体"/>
                <w:kern w:val="0"/>
                <w:sz w:val="24"/>
              </w:rPr>
              <w:t>4分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1FEC9">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38D94161">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25BB88AD">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5989AC19">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E6AF8">
            <w:pPr>
              <w:widowControl/>
              <w:adjustRightInd/>
              <w:spacing w:after="0" w:line="312" w:lineRule="auto"/>
              <w:jc w:val="left"/>
              <w:rPr>
                <w:rFonts w:ascii="宋体" w:hAnsi="宋体" w:cs="宋体"/>
                <w:kern w:val="0"/>
                <w:sz w:val="24"/>
              </w:rPr>
            </w:pPr>
            <w:r>
              <w:rPr>
                <w:rFonts w:hint="eastAsia" w:ascii="宋体" w:hAnsi="宋体" w:cs="宋体"/>
                <w:kern w:val="0"/>
                <w:sz w:val="24"/>
              </w:rPr>
              <w:t>项目售后服务的响应情况（对用户故障响应、处理等），售后服务</w:t>
            </w:r>
            <w:r>
              <w:rPr>
                <w:rFonts w:hint="eastAsia" w:ascii="宋体" w:hAnsi="宋体" w:cs="宋体"/>
                <w:sz w:val="24"/>
              </w:rPr>
              <w:t>方案具有针对性、利于项目实施得3分，针对性较弱，满足项目实施需要得2分，内容较为简单、存在缺漏的最多得1分。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81E9A">
            <w:pPr>
              <w:widowControl/>
              <w:adjustRightInd/>
              <w:spacing w:after="0" w:line="276" w:lineRule="auto"/>
              <w:jc w:val="center"/>
              <w:rPr>
                <w:rFonts w:ascii="宋体" w:hAnsi="宋体" w:cs="宋体"/>
                <w:kern w:val="0"/>
                <w:sz w:val="24"/>
              </w:rPr>
            </w:pPr>
            <w:r>
              <w:rPr>
                <w:rFonts w:hint="eastAsia" w:ascii="宋体" w:hAnsi="宋体" w:cs="宋体"/>
                <w:kern w:val="0"/>
                <w:sz w:val="24"/>
              </w:rPr>
              <w:t>3分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19BC4">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140580EA">
        <w:tblPrEx>
          <w:tblCellMar>
            <w:top w:w="0" w:type="dxa"/>
            <w:left w:w="108" w:type="dxa"/>
            <w:bottom w:w="0" w:type="dxa"/>
            <w:right w:w="108" w:type="dxa"/>
          </w:tblCellMar>
        </w:tblPrEx>
        <w:trPr>
          <w:trHeight w:val="72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3C65EAAC">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240FC0C2">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3EBC0">
            <w:pPr>
              <w:widowControl/>
              <w:adjustRightInd/>
              <w:spacing w:after="0" w:line="312" w:lineRule="auto"/>
              <w:jc w:val="left"/>
              <w:rPr>
                <w:rFonts w:ascii="宋体" w:hAnsi="宋体" w:cs="宋体"/>
                <w:kern w:val="0"/>
                <w:sz w:val="24"/>
              </w:rPr>
            </w:pPr>
            <w:r>
              <w:rPr>
                <w:rFonts w:hint="eastAsia" w:ascii="宋体" w:hAnsi="宋体" w:cs="宋体"/>
                <w:kern w:val="0"/>
                <w:sz w:val="24"/>
              </w:rPr>
              <w:t>项目培训方案、计划的可行性及合理性，按以下评分要求综合评定，</w:t>
            </w:r>
            <w:r>
              <w:rPr>
                <w:rFonts w:hint="eastAsia" w:ascii="宋体" w:hAnsi="宋体" w:cs="宋体"/>
                <w:sz w:val="24"/>
              </w:rPr>
              <w:t>培训计划详细、全面、可行的得3分；培训计划一般，措施基本可行的得2分；培训计划及措施较粗略，可行性较差的得1分</w:t>
            </w:r>
            <w:r>
              <w:rPr>
                <w:rFonts w:hint="eastAsia" w:ascii="宋体" w:hAnsi="宋体" w:cs="宋体"/>
                <w:kern w:val="0"/>
                <w:sz w:val="24"/>
                <w:lang w:val="zh-CN"/>
              </w:rPr>
              <w:t>。</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5512E">
            <w:pPr>
              <w:widowControl/>
              <w:adjustRightInd/>
              <w:spacing w:after="0" w:line="276" w:lineRule="auto"/>
              <w:jc w:val="center"/>
              <w:rPr>
                <w:rFonts w:ascii="宋体" w:hAnsi="宋体" w:cs="宋体"/>
                <w:kern w:val="0"/>
                <w:sz w:val="24"/>
              </w:rPr>
            </w:pPr>
            <w:r>
              <w:rPr>
                <w:rFonts w:hint="eastAsia" w:ascii="宋体" w:hAnsi="宋体" w:cs="宋体"/>
                <w:kern w:val="0"/>
                <w:sz w:val="24"/>
              </w:rPr>
              <w:t>3分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28ECA">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6D3211CC">
        <w:tblPrEx>
          <w:tblCellMar>
            <w:top w:w="0" w:type="dxa"/>
            <w:left w:w="108" w:type="dxa"/>
            <w:bottom w:w="0" w:type="dxa"/>
            <w:right w:w="108" w:type="dxa"/>
          </w:tblCellMar>
        </w:tblPrEx>
        <w:trPr>
          <w:trHeight w:val="173" w:hRule="atLeast"/>
        </w:trPr>
        <w:tc>
          <w:tcPr>
            <w:tcW w:w="325" w:type="pct"/>
            <w:tcBorders>
              <w:top w:val="single" w:color="000000" w:sz="4" w:space="0"/>
              <w:left w:val="single" w:color="000000" w:sz="4" w:space="0"/>
              <w:bottom w:val="single" w:color="000000" w:sz="4" w:space="0"/>
              <w:right w:val="single" w:color="000000" w:sz="4" w:space="0"/>
            </w:tcBorders>
            <w:vAlign w:val="center"/>
          </w:tcPr>
          <w:p w14:paraId="57A34B6E">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5</w:t>
            </w:r>
          </w:p>
        </w:tc>
        <w:tc>
          <w:tcPr>
            <w:tcW w:w="474" w:type="pct"/>
            <w:tcBorders>
              <w:top w:val="single" w:color="000000" w:sz="4" w:space="0"/>
              <w:left w:val="single" w:color="000000" w:sz="4" w:space="0"/>
              <w:bottom w:val="single" w:color="000000" w:sz="4" w:space="0"/>
              <w:right w:val="single" w:color="000000" w:sz="4" w:space="0"/>
            </w:tcBorders>
            <w:vAlign w:val="center"/>
          </w:tcPr>
          <w:p w14:paraId="6380E032">
            <w:pPr>
              <w:spacing w:after="0" w:line="360" w:lineRule="auto"/>
              <w:jc w:val="center"/>
              <w:rPr>
                <w:rFonts w:ascii="宋体" w:hAnsi="宋体" w:cs="宋体"/>
                <w:b/>
                <w:bCs/>
                <w:sz w:val="24"/>
              </w:rPr>
            </w:pPr>
            <w:r>
              <w:rPr>
                <w:rFonts w:hint="eastAsia" w:ascii="宋体" w:hAnsi="宋体" w:cs="宋体"/>
                <w:b/>
                <w:bCs/>
                <w:kern w:val="0"/>
                <w:sz w:val="24"/>
                <w:lang w:val="zh-CN"/>
              </w:rPr>
              <w:t>内部安全保密制度</w:t>
            </w:r>
          </w:p>
        </w:tc>
        <w:tc>
          <w:tcPr>
            <w:tcW w:w="31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04447">
            <w:pPr>
              <w:spacing w:after="0" w:line="312" w:lineRule="auto"/>
              <w:jc w:val="left"/>
              <w:rPr>
                <w:rFonts w:ascii="宋体" w:hAnsi="宋体" w:cs="宋体"/>
                <w:kern w:val="0"/>
                <w:sz w:val="24"/>
                <w:lang w:val="zh-CN"/>
              </w:rPr>
            </w:pPr>
            <w:r>
              <w:rPr>
                <w:rFonts w:hint="eastAsia" w:ascii="宋体" w:hAnsi="宋体" w:cs="宋体"/>
                <w:kern w:val="0"/>
                <w:sz w:val="24"/>
                <w:lang w:val="zh-CN"/>
              </w:rPr>
              <w:t>根据</w:t>
            </w:r>
            <w:r>
              <w:rPr>
                <w:rFonts w:hint="eastAsia" w:ascii="宋体" w:hAnsi="宋体" w:cs="宋体"/>
                <w:kern w:val="0"/>
                <w:sz w:val="24"/>
                <w:lang w:bidi="ar"/>
              </w:rPr>
              <w:t>投标人</w:t>
            </w:r>
            <w:r>
              <w:rPr>
                <w:rFonts w:hint="eastAsia" w:ascii="宋体" w:hAnsi="宋体" w:cs="宋体"/>
                <w:kern w:val="0"/>
                <w:sz w:val="24"/>
                <w:lang w:val="zh-CN"/>
              </w:rPr>
              <w:t>针对本项目制定的内部安全保密制度的制定及实施内容进行打分。</w:t>
            </w:r>
          </w:p>
          <w:p w14:paraId="5A235CE4">
            <w:pPr>
              <w:spacing w:after="0" w:line="312" w:lineRule="auto"/>
              <w:jc w:val="left"/>
              <w:rPr>
                <w:rFonts w:ascii="宋体" w:hAnsi="宋体" w:cs="宋体"/>
                <w:kern w:val="0"/>
                <w:sz w:val="24"/>
                <w:lang w:val="zh-CN"/>
              </w:rPr>
            </w:pPr>
            <w:r>
              <w:rPr>
                <w:rFonts w:hint="eastAsia" w:ascii="宋体" w:hAnsi="宋体" w:cs="宋体"/>
                <w:kern w:val="0"/>
                <w:sz w:val="24"/>
                <w:lang w:val="zh-CN"/>
              </w:rPr>
              <w:t>安全保密制度健全符合要求的得</w:t>
            </w:r>
            <w:r>
              <w:rPr>
                <w:rFonts w:hint="eastAsia" w:ascii="宋体" w:hAnsi="宋体" w:cs="宋体"/>
                <w:kern w:val="0"/>
                <w:sz w:val="24"/>
              </w:rPr>
              <w:t>5</w:t>
            </w:r>
            <w:r>
              <w:rPr>
                <w:rFonts w:hint="eastAsia" w:ascii="宋体" w:hAnsi="宋体" w:cs="宋体"/>
                <w:kern w:val="0"/>
                <w:sz w:val="24"/>
                <w:lang w:val="zh-CN"/>
              </w:rPr>
              <w:t>分；</w:t>
            </w:r>
          </w:p>
          <w:p w14:paraId="2F76978A">
            <w:pPr>
              <w:spacing w:after="0" w:line="312" w:lineRule="auto"/>
              <w:jc w:val="left"/>
              <w:rPr>
                <w:rFonts w:ascii="宋体" w:hAnsi="宋体" w:cs="宋体"/>
                <w:kern w:val="0"/>
                <w:sz w:val="24"/>
              </w:rPr>
            </w:pPr>
            <w:r>
              <w:rPr>
                <w:rFonts w:hint="eastAsia" w:ascii="宋体" w:hAnsi="宋体" w:cs="宋体"/>
                <w:kern w:val="0"/>
                <w:sz w:val="24"/>
                <w:lang w:val="zh-CN"/>
              </w:rPr>
              <w:t>安全保密制度部分符合要求的得</w:t>
            </w:r>
            <w:r>
              <w:rPr>
                <w:rFonts w:hint="eastAsia" w:ascii="宋体" w:hAnsi="宋体" w:cs="宋体"/>
                <w:kern w:val="0"/>
                <w:sz w:val="24"/>
              </w:rPr>
              <w:t>3分；</w:t>
            </w:r>
          </w:p>
          <w:p w14:paraId="02EBD498">
            <w:pPr>
              <w:spacing w:after="0" w:line="312" w:lineRule="auto"/>
              <w:jc w:val="left"/>
              <w:rPr>
                <w:rFonts w:ascii="宋体" w:hAnsi="宋体" w:cs="宋体"/>
                <w:sz w:val="24"/>
              </w:rPr>
            </w:pPr>
            <w:r>
              <w:rPr>
                <w:rFonts w:hint="eastAsia" w:ascii="宋体" w:hAnsi="宋体" w:cs="宋体"/>
                <w:kern w:val="0"/>
                <w:sz w:val="24"/>
                <w:lang w:val="zh-CN"/>
              </w:rPr>
              <w:t>安全保密制度欠缺性较大，符合性较差的得</w:t>
            </w:r>
            <w:r>
              <w:rPr>
                <w:rFonts w:hint="eastAsia" w:ascii="宋体" w:hAnsi="宋体" w:cs="宋体"/>
                <w:kern w:val="0"/>
                <w:sz w:val="24"/>
              </w:rPr>
              <w:t>1</w:t>
            </w:r>
            <w:r>
              <w:rPr>
                <w:rFonts w:hint="eastAsia" w:ascii="宋体" w:hAnsi="宋体" w:cs="宋体"/>
                <w:kern w:val="0"/>
                <w:sz w:val="24"/>
                <w:lang w:val="zh-CN"/>
              </w:rPr>
              <w:t>分；没有提供内容的不得分。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95F9E">
            <w:pPr>
              <w:widowControl/>
              <w:spacing w:after="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r>
              <w:rPr>
                <w:rFonts w:hint="eastAsia" w:ascii="宋体" w:hAnsi="宋体" w:cs="宋体"/>
                <w:kern w:val="0"/>
                <w:sz w:val="24"/>
              </w:rPr>
              <w:t>分</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ACA32">
            <w:pPr>
              <w:widowControl/>
              <w:adjustRightInd/>
              <w:spacing w:after="0" w:line="276" w:lineRule="auto"/>
              <w:jc w:val="center"/>
              <w:rPr>
                <w:rFonts w:ascii="宋体" w:hAnsi="宋体" w:cs="宋体"/>
                <w:kern w:val="0"/>
                <w:sz w:val="24"/>
              </w:rPr>
            </w:pPr>
            <w:r>
              <w:rPr>
                <w:rFonts w:hint="eastAsia" w:ascii="宋体" w:hAnsi="宋体" w:cs="宋体"/>
                <w:kern w:val="0"/>
                <w:sz w:val="24"/>
              </w:rPr>
              <w:t>主观分</w:t>
            </w:r>
          </w:p>
        </w:tc>
      </w:tr>
      <w:tr w14:paraId="1B57B6CB">
        <w:tblPrEx>
          <w:tblCellMar>
            <w:top w:w="0" w:type="dxa"/>
            <w:left w:w="108" w:type="dxa"/>
            <w:bottom w:w="0" w:type="dxa"/>
            <w:right w:w="108" w:type="dxa"/>
          </w:tblCellMar>
        </w:tblPrEx>
        <w:trPr>
          <w:trHeight w:val="228"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BB1A1">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6</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AFB91">
            <w:pPr>
              <w:widowControl/>
              <w:adjustRightInd/>
              <w:spacing w:after="0" w:line="276" w:lineRule="auto"/>
              <w:jc w:val="center"/>
              <w:rPr>
                <w:rFonts w:ascii="宋体" w:hAnsi="宋体" w:cs="宋体"/>
                <w:b/>
                <w:bCs/>
                <w:kern w:val="0"/>
                <w:sz w:val="24"/>
              </w:rPr>
            </w:pPr>
            <w:r>
              <w:rPr>
                <w:rFonts w:hint="eastAsia" w:ascii="宋体" w:hAnsi="宋体" w:cs="宋体"/>
                <w:b/>
                <w:bCs/>
                <w:kern w:val="0"/>
                <w:sz w:val="24"/>
              </w:rPr>
              <w:t>实施团队</w:t>
            </w: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51F1">
            <w:pPr>
              <w:widowControl/>
              <w:adjustRightInd/>
              <w:spacing w:after="0" w:line="276" w:lineRule="auto"/>
              <w:jc w:val="left"/>
              <w:rPr>
                <w:rFonts w:ascii="宋体" w:hAnsi="宋体" w:cs="宋体"/>
                <w:kern w:val="0"/>
                <w:sz w:val="24"/>
              </w:rPr>
            </w:pPr>
            <w:r>
              <w:rPr>
                <w:rFonts w:hint="eastAsia" w:ascii="宋体" w:hAnsi="宋体" w:cs="宋体"/>
                <w:kern w:val="0"/>
                <w:sz w:val="24"/>
              </w:rPr>
              <w:t>投标人拟派项目经理具有PMP证书或中高级职称，具有5年相关工作经验的得2分；</w:t>
            </w:r>
          </w:p>
          <w:p w14:paraId="76A6DA31">
            <w:pPr>
              <w:widowControl/>
              <w:adjustRightInd/>
              <w:spacing w:after="0" w:line="276" w:lineRule="auto"/>
              <w:jc w:val="left"/>
              <w:rPr>
                <w:rFonts w:hint="eastAsia" w:ascii="宋体" w:hAnsi="宋体" w:eastAsia="宋体" w:cs="宋体"/>
                <w:kern w:val="0"/>
                <w:sz w:val="24"/>
                <w:lang w:eastAsia="zh-CN"/>
              </w:rPr>
            </w:pPr>
            <w:r>
              <w:rPr>
                <w:rFonts w:hint="eastAsia" w:ascii="宋体" w:hAnsi="宋体" w:cs="宋体"/>
                <w:kern w:val="0"/>
                <w:sz w:val="24"/>
              </w:rPr>
              <w:t>具有硕士及以上学历的另加1分。</w:t>
            </w:r>
          </w:p>
          <w:p w14:paraId="48340FAE">
            <w:pPr>
              <w:widowControl/>
              <w:adjustRightInd/>
              <w:spacing w:after="0" w:line="276" w:lineRule="auto"/>
              <w:jc w:val="left"/>
              <w:rPr>
                <w:rFonts w:ascii="宋体" w:hAnsi="宋体" w:cs="宋体"/>
                <w:b/>
                <w:bCs/>
                <w:kern w:val="0"/>
                <w:sz w:val="24"/>
              </w:rPr>
            </w:pPr>
            <w:r>
              <w:rPr>
                <w:rFonts w:hint="eastAsia" w:ascii="宋体" w:hAnsi="宋体" w:cs="宋体"/>
                <w:b/>
                <w:bCs/>
                <w:kern w:val="0"/>
                <w:sz w:val="24"/>
              </w:rPr>
              <w:t>注：提供人员劳动合同（或近</w:t>
            </w:r>
            <w:r>
              <w:rPr>
                <w:rFonts w:hint="eastAsia" w:ascii="宋体" w:hAnsi="宋体" w:cs="宋体"/>
                <w:b/>
                <w:bCs/>
                <w:kern w:val="0"/>
                <w:sz w:val="24"/>
                <w:lang w:val="en-US" w:eastAsia="zh-CN"/>
              </w:rPr>
              <w:t>1</w:t>
            </w:r>
            <w:r>
              <w:rPr>
                <w:rFonts w:hint="eastAsia" w:ascii="宋体" w:hAnsi="宋体" w:cs="宋体"/>
                <w:b/>
                <w:bCs/>
                <w:kern w:val="0"/>
                <w:sz w:val="24"/>
              </w:rPr>
              <w:t>个月社保证明）、PMP证书或中高级职称证书、学历证明、工作经验证明材料，复印件加盖公章。</w:t>
            </w:r>
          </w:p>
          <w:p w14:paraId="4878310B">
            <w:pPr>
              <w:widowControl/>
              <w:adjustRightInd/>
              <w:spacing w:after="0" w:line="276" w:lineRule="auto"/>
              <w:jc w:val="left"/>
              <w:rPr>
                <w:rFonts w:ascii="宋体" w:hAnsi="宋体" w:cs="宋体"/>
                <w:kern w:val="0"/>
                <w:sz w:val="24"/>
              </w:rPr>
            </w:pPr>
            <w:r>
              <w:rPr>
                <w:rFonts w:hint="eastAsia" w:ascii="宋体" w:hAnsi="宋体" w:cs="宋体"/>
                <w:b/>
                <w:bCs/>
                <w:kern w:val="0"/>
                <w:sz w:val="24"/>
              </w:rPr>
              <w:t>根据提供材料及对应评分要求进行打分。</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1D5AD">
            <w:pPr>
              <w:widowControl/>
              <w:adjustRightInd/>
              <w:spacing w:after="0" w:line="276" w:lineRule="auto"/>
              <w:jc w:val="center"/>
              <w:rPr>
                <w:rFonts w:ascii="宋体" w:hAnsi="宋体" w:cs="宋体"/>
                <w:kern w:val="0"/>
                <w:sz w:val="24"/>
              </w:rPr>
            </w:pPr>
            <w:r>
              <w:rPr>
                <w:rFonts w:hint="eastAsia" w:ascii="宋体" w:hAnsi="宋体" w:cs="宋体"/>
                <w:kern w:val="0"/>
                <w:sz w:val="24"/>
              </w:rPr>
              <w:t>12分</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FF3AE">
            <w:pPr>
              <w:widowControl/>
              <w:adjustRightInd/>
              <w:spacing w:after="0" w:line="276" w:lineRule="auto"/>
              <w:jc w:val="center"/>
              <w:rPr>
                <w:rFonts w:ascii="宋体" w:hAnsi="宋体" w:cs="宋体"/>
                <w:kern w:val="0"/>
                <w:sz w:val="24"/>
              </w:rPr>
            </w:pPr>
            <w:r>
              <w:rPr>
                <w:rFonts w:hint="eastAsia" w:ascii="宋体" w:hAnsi="宋体" w:cs="宋体"/>
                <w:kern w:val="0"/>
                <w:sz w:val="24"/>
              </w:rPr>
              <w:t>客观分</w:t>
            </w:r>
          </w:p>
        </w:tc>
      </w:tr>
      <w:tr w14:paraId="7C9FC78E">
        <w:tblPrEx>
          <w:tblCellMar>
            <w:top w:w="0" w:type="dxa"/>
            <w:left w:w="108" w:type="dxa"/>
            <w:bottom w:w="0" w:type="dxa"/>
            <w:right w:w="108" w:type="dxa"/>
          </w:tblCellMar>
        </w:tblPrEx>
        <w:trPr>
          <w:trHeight w:val="1060"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50330336">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10387CBF">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D468">
            <w:pPr>
              <w:widowControl/>
              <w:adjustRightInd/>
              <w:spacing w:after="0" w:line="276" w:lineRule="auto"/>
              <w:jc w:val="left"/>
              <w:rPr>
                <w:rFonts w:ascii="宋体" w:hAnsi="宋体" w:cs="宋体"/>
                <w:kern w:val="0"/>
                <w:sz w:val="24"/>
              </w:rPr>
            </w:pPr>
            <w:r>
              <w:rPr>
                <w:rFonts w:hint="eastAsia" w:ascii="宋体" w:hAnsi="宋体" w:cs="宋体"/>
                <w:kern w:val="0"/>
                <w:sz w:val="24"/>
              </w:rPr>
              <w:t>服务人员架构明确、分工明确，拟派成员不少于5人的得1分，成员具有硕士及以上学历每提供1人得1分，成员具有本科及以上学历每提供1人得0.5分。本项最高得3分。</w:t>
            </w:r>
          </w:p>
          <w:p w14:paraId="5C3D8374">
            <w:pPr>
              <w:widowControl/>
              <w:adjustRightInd/>
              <w:spacing w:after="0" w:line="276" w:lineRule="auto"/>
              <w:jc w:val="left"/>
              <w:rPr>
                <w:rFonts w:ascii="宋体" w:hAnsi="宋体" w:cs="宋体"/>
                <w:b/>
                <w:bCs/>
                <w:kern w:val="0"/>
                <w:sz w:val="24"/>
              </w:rPr>
            </w:pPr>
            <w:r>
              <w:rPr>
                <w:rFonts w:hint="eastAsia" w:ascii="宋体" w:hAnsi="宋体" w:cs="宋体"/>
                <w:b/>
                <w:bCs/>
                <w:kern w:val="0"/>
                <w:sz w:val="24"/>
              </w:rPr>
              <w:t>注：提供人员劳动合同（或近</w:t>
            </w:r>
            <w:r>
              <w:rPr>
                <w:rFonts w:hint="eastAsia" w:ascii="宋体" w:hAnsi="宋体" w:cs="宋体"/>
                <w:b/>
                <w:bCs/>
                <w:kern w:val="0"/>
                <w:sz w:val="24"/>
                <w:lang w:val="en-US" w:eastAsia="zh-CN"/>
              </w:rPr>
              <w:t>1</w:t>
            </w:r>
            <w:r>
              <w:rPr>
                <w:rFonts w:hint="eastAsia" w:ascii="宋体" w:hAnsi="宋体" w:cs="宋体"/>
                <w:b/>
                <w:bCs/>
                <w:kern w:val="0"/>
                <w:sz w:val="24"/>
              </w:rPr>
              <w:t>个月社保证明）、学历证明材料复印件加盖公章。</w:t>
            </w:r>
          </w:p>
          <w:p w14:paraId="3D1EEB2D">
            <w:pPr>
              <w:widowControl/>
              <w:adjustRightInd/>
              <w:spacing w:after="0" w:line="276" w:lineRule="auto"/>
              <w:jc w:val="left"/>
              <w:rPr>
                <w:rFonts w:ascii="宋体" w:hAnsi="宋体" w:cs="宋体"/>
                <w:kern w:val="0"/>
                <w:sz w:val="24"/>
              </w:rPr>
            </w:pPr>
            <w:r>
              <w:rPr>
                <w:rFonts w:hint="eastAsia" w:ascii="宋体" w:hAnsi="宋体" w:cs="宋体"/>
                <w:b/>
                <w:bCs/>
                <w:kern w:val="0"/>
                <w:sz w:val="24"/>
              </w:rPr>
              <w:t>根据提供材料及对应评分要求进行打分。</w:t>
            </w:r>
          </w:p>
        </w:tc>
        <w:tc>
          <w:tcPr>
            <w:tcW w:w="508" w:type="pct"/>
            <w:vMerge w:val="continue"/>
            <w:tcBorders>
              <w:top w:val="single" w:color="000000" w:sz="4" w:space="0"/>
              <w:left w:val="single" w:color="000000" w:sz="4" w:space="0"/>
              <w:bottom w:val="single" w:color="000000" w:sz="4" w:space="0"/>
              <w:right w:val="single" w:color="000000" w:sz="4" w:space="0"/>
            </w:tcBorders>
            <w:vAlign w:val="center"/>
          </w:tcPr>
          <w:p w14:paraId="618C909C">
            <w:pPr>
              <w:widowControl/>
              <w:adjustRightInd/>
              <w:spacing w:after="0" w:line="276" w:lineRule="auto"/>
              <w:jc w:val="left"/>
              <w:rPr>
                <w:rFonts w:ascii="宋体" w:hAnsi="宋体" w:cs="宋体"/>
                <w:kern w:val="0"/>
                <w:sz w:val="24"/>
              </w:rPr>
            </w:pP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31709C8D">
            <w:pPr>
              <w:widowControl/>
              <w:adjustRightInd/>
              <w:spacing w:after="0" w:line="276" w:lineRule="auto"/>
              <w:jc w:val="left"/>
              <w:rPr>
                <w:rFonts w:ascii="宋体" w:hAnsi="宋体" w:cs="宋体"/>
                <w:kern w:val="0"/>
                <w:sz w:val="24"/>
              </w:rPr>
            </w:pPr>
          </w:p>
        </w:tc>
      </w:tr>
      <w:tr w14:paraId="058F7DD8">
        <w:tblPrEx>
          <w:tblCellMar>
            <w:top w:w="0" w:type="dxa"/>
            <w:left w:w="108" w:type="dxa"/>
            <w:bottom w:w="0" w:type="dxa"/>
            <w:right w:w="108" w:type="dxa"/>
          </w:tblCellMar>
        </w:tblPrEx>
        <w:trPr>
          <w:trHeight w:val="1877" w:hRule="atLeast"/>
        </w:trPr>
        <w:tc>
          <w:tcPr>
            <w:tcW w:w="325" w:type="pct"/>
            <w:vMerge w:val="continue"/>
            <w:tcBorders>
              <w:top w:val="single" w:color="000000" w:sz="4" w:space="0"/>
              <w:left w:val="single" w:color="000000" w:sz="4" w:space="0"/>
              <w:bottom w:val="single" w:color="000000" w:sz="4" w:space="0"/>
              <w:right w:val="single" w:color="000000" w:sz="4" w:space="0"/>
            </w:tcBorders>
            <w:vAlign w:val="center"/>
          </w:tcPr>
          <w:p w14:paraId="0F7080FE">
            <w:pPr>
              <w:widowControl/>
              <w:adjustRightInd/>
              <w:spacing w:after="0" w:line="276" w:lineRule="auto"/>
              <w:jc w:val="left"/>
              <w:rPr>
                <w:rFonts w:ascii="宋体" w:hAnsi="宋体" w:cs="宋体"/>
                <w:b/>
                <w:bCs/>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14:paraId="755C2928">
            <w:pPr>
              <w:widowControl/>
              <w:adjustRightInd/>
              <w:spacing w:after="0" w:line="276" w:lineRule="auto"/>
              <w:jc w:val="left"/>
              <w:rPr>
                <w:rFonts w:ascii="宋体" w:hAnsi="宋体" w:cs="宋体"/>
                <w:b/>
                <w:bCs/>
                <w:kern w:val="0"/>
                <w:sz w:val="24"/>
              </w:rPr>
            </w:pPr>
          </w:p>
        </w:tc>
        <w:tc>
          <w:tcPr>
            <w:tcW w:w="3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7ABF">
            <w:pPr>
              <w:widowControl/>
              <w:adjustRightInd/>
              <w:spacing w:after="0" w:line="276" w:lineRule="auto"/>
              <w:jc w:val="left"/>
              <w:rPr>
                <w:rFonts w:ascii="宋体" w:hAnsi="宋体" w:cs="宋体"/>
                <w:kern w:val="0"/>
                <w:sz w:val="24"/>
              </w:rPr>
            </w:pPr>
            <w:r>
              <w:rPr>
                <w:rFonts w:hint="eastAsia" w:ascii="宋体" w:hAnsi="宋体" w:cs="宋体"/>
                <w:kern w:val="0"/>
                <w:sz w:val="24"/>
              </w:rPr>
              <w:t>具有电子政务规划设计师、政务大数据运营管理师证书的每提供一个证书得2分，最高得6分。</w:t>
            </w:r>
          </w:p>
          <w:p w14:paraId="0018509F">
            <w:pPr>
              <w:widowControl/>
              <w:adjustRightInd/>
              <w:spacing w:after="0" w:line="276" w:lineRule="auto"/>
              <w:jc w:val="left"/>
              <w:rPr>
                <w:rFonts w:ascii="宋体" w:hAnsi="宋体" w:cs="宋体"/>
                <w:b/>
                <w:bCs/>
                <w:kern w:val="0"/>
                <w:sz w:val="24"/>
              </w:rPr>
            </w:pPr>
            <w:r>
              <w:rPr>
                <w:rFonts w:hint="eastAsia" w:ascii="宋体" w:hAnsi="宋体" w:cs="宋体"/>
                <w:b/>
                <w:bCs/>
                <w:kern w:val="0"/>
                <w:sz w:val="24"/>
              </w:rPr>
              <w:t>注：提供人员劳动合同（或近</w:t>
            </w:r>
            <w:r>
              <w:rPr>
                <w:rFonts w:hint="eastAsia" w:ascii="宋体" w:hAnsi="宋体" w:cs="宋体"/>
                <w:b/>
                <w:bCs/>
                <w:kern w:val="0"/>
                <w:sz w:val="24"/>
                <w:lang w:val="en-US" w:eastAsia="zh-CN"/>
              </w:rPr>
              <w:t>1</w:t>
            </w:r>
            <w:r>
              <w:rPr>
                <w:rFonts w:hint="eastAsia" w:ascii="宋体" w:hAnsi="宋体" w:cs="宋体"/>
                <w:b/>
                <w:bCs/>
                <w:kern w:val="0"/>
                <w:sz w:val="24"/>
              </w:rPr>
              <w:t>个月社保证明）、证书复印件加盖公章。</w:t>
            </w:r>
          </w:p>
          <w:p w14:paraId="03F0C059">
            <w:pPr>
              <w:widowControl/>
              <w:adjustRightInd/>
              <w:spacing w:after="0" w:line="276" w:lineRule="auto"/>
              <w:jc w:val="left"/>
              <w:rPr>
                <w:rFonts w:ascii="宋体" w:hAnsi="宋体" w:cs="宋体"/>
                <w:kern w:val="0"/>
                <w:sz w:val="24"/>
              </w:rPr>
            </w:pPr>
            <w:r>
              <w:rPr>
                <w:rFonts w:hint="eastAsia" w:ascii="宋体" w:hAnsi="宋体" w:cs="宋体"/>
                <w:b/>
                <w:bCs/>
                <w:kern w:val="0"/>
                <w:sz w:val="24"/>
              </w:rPr>
              <w:t>根据提供材料及对应评分要求进行打分。</w:t>
            </w:r>
          </w:p>
        </w:tc>
        <w:tc>
          <w:tcPr>
            <w:tcW w:w="508" w:type="pct"/>
            <w:vMerge w:val="continue"/>
            <w:tcBorders>
              <w:top w:val="single" w:color="000000" w:sz="4" w:space="0"/>
              <w:left w:val="single" w:color="000000" w:sz="4" w:space="0"/>
              <w:bottom w:val="single" w:color="000000" w:sz="4" w:space="0"/>
              <w:right w:val="single" w:color="000000" w:sz="4" w:space="0"/>
            </w:tcBorders>
            <w:vAlign w:val="center"/>
          </w:tcPr>
          <w:p w14:paraId="574F01B3">
            <w:pPr>
              <w:widowControl/>
              <w:adjustRightInd/>
              <w:spacing w:after="0" w:line="276" w:lineRule="auto"/>
              <w:jc w:val="left"/>
              <w:rPr>
                <w:rFonts w:ascii="宋体" w:hAnsi="宋体" w:cs="宋体"/>
                <w:kern w:val="0"/>
                <w:sz w:val="24"/>
              </w:rPr>
            </w:pPr>
          </w:p>
        </w:tc>
        <w:tc>
          <w:tcPr>
            <w:tcW w:w="560" w:type="pct"/>
            <w:vMerge w:val="continue"/>
            <w:tcBorders>
              <w:top w:val="single" w:color="000000" w:sz="4" w:space="0"/>
              <w:left w:val="single" w:color="000000" w:sz="4" w:space="0"/>
              <w:bottom w:val="single" w:color="000000" w:sz="4" w:space="0"/>
              <w:right w:val="single" w:color="000000" w:sz="4" w:space="0"/>
            </w:tcBorders>
            <w:vAlign w:val="center"/>
          </w:tcPr>
          <w:p w14:paraId="11E76212">
            <w:pPr>
              <w:widowControl/>
              <w:adjustRightInd/>
              <w:spacing w:after="0" w:line="276" w:lineRule="auto"/>
              <w:jc w:val="left"/>
              <w:rPr>
                <w:rFonts w:ascii="宋体" w:hAnsi="宋体" w:cs="宋体"/>
                <w:kern w:val="0"/>
                <w:sz w:val="24"/>
              </w:rPr>
            </w:pPr>
          </w:p>
        </w:tc>
      </w:tr>
    </w:tbl>
    <w:p w14:paraId="1874121C">
      <w:pPr>
        <w:jc w:val="left"/>
        <w:rPr>
          <w:rFonts w:ascii="宋体" w:hAnsi="宋体" w:cs="宋体"/>
          <w:b/>
          <w:szCs w:val="21"/>
        </w:rPr>
      </w:pPr>
    </w:p>
    <w:p w14:paraId="43ED0E81">
      <w:pPr>
        <w:spacing w:line="240" w:lineRule="auto"/>
        <w:jc w:val="left"/>
        <w:rPr>
          <w:rFonts w:hint="eastAsia" w:ascii="宋体" w:hAnsi="宋体" w:cs="宋体"/>
          <w:b/>
          <w:sz w:val="24"/>
        </w:rPr>
      </w:pPr>
      <w:r>
        <w:rPr>
          <w:rFonts w:hint="eastAsia" w:ascii="宋体" w:hAnsi="宋体" w:cs="宋体"/>
          <w:b/>
          <w:sz w:val="24"/>
        </w:rPr>
        <w:br w:type="page"/>
      </w:r>
    </w:p>
    <w:p w14:paraId="0A685CAB">
      <w:pPr>
        <w:spacing w:line="288" w:lineRule="auto"/>
        <w:jc w:val="center"/>
        <w:rPr>
          <w:rFonts w:ascii="宋体" w:hAnsi="宋体" w:cs="宋体"/>
          <w:b/>
          <w:bCs/>
          <w:sz w:val="24"/>
        </w:rPr>
      </w:pPr>
      <w:r>
        <w:rPr>
          <w:rFonts w:hint="eastAsia" w:ascii="宋体" w:hAnsi="宋体" w:cs="宋体"/>
          <w:b/>
          <w:sz w:val="24"/>
        </w:rPr>
        <w:t>标项二评分细则</w:t>
      </w:r>
    </w:p>
    <w:tbl>
      <w:tblPr>
        <w:tblStyle w:val="64"/>
        <w:tblW w:w="897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76"/>
        <w:gridCol w:w="5363"/>
        <w:gridCol w:w="1031"/>
        <w:gridCol w:w="1022"/>
      </w:tblGrid>
      <w:tr w14:paraId="1394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0" w:type="dxa"/>
            <w:shd w:val="clear" w:color="auto" w:fill="auto"/>
            <w:vAlign w:val="center"/>
          </w:tcPr>
          <w:p w14:paraId="51998C0A">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876" w:type="dxa"/>
            <w:shd w:val="clear" w:color="auto" w:fill="auto"/>
            <w:vAlign w:val="center"/>
          </w:tcPr>
          <w:p w14:paraId="3239BD32">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评分项</w:t>
            </w:r>
          </w:p>
        </w:tc>
        <w:tc>
          <w:tcPr>
            <w:tcW w:w="5363" w:type="dxa"/>
            <w:shd w:val="clear" w:color="auto" w:fill="auto"/>
            <w:vAlign w:val="center"/>
          </w:tcPr>
          <w:p w14:paraId="134C9D90">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评 分 细 则</w:t>
            </w:r>
          </w:p>
        </w:tc>
        <w:tc>
          <w:tcPr>
            <w:tcW w:w="1031" w:type="dxa"/>
            <w:shd w:val="clear" w:color="auto" w:fill="auto"/>
            <w:vAlign w:val="center"/>
          </w:tcPr>
          <w:p w14:paraId="049488B6">
            <w:pPr>
              <w:widowControl/>
              <w:adjustRightInd/>
              <w:spacing w:after="0" w:line="276" w:lineRule="auto"/>
              <w:jc w:val="center"/>
              <w:rPr>
                <w:rFonts w:ascii="宋体" w:hAnsi="宋体" w:cs="宋体"/>
                <w:color w:val="000000"/>
                <w:sz w:val="24"/>
              </w:rPr>
            </w:pPr>
            <w:r>
              <w:rPr>
                <w:rFonts w:hint="eastAsia" w:ascii="宋体" w:hAnsi="宋体" w:cs="宋体"/>
                <w:kern w:val="0"/>
                <w:sz w:val="24"/>
              </w:rPr>
              <w:t>权重/分值</w:t>
            </w:r>
          </w:p>
        </w:tc>
        <w:tc>
          <w:tcPr>
            <w:tcW w:w="1022" w:type="dxa"/>
            <w:shd w:val="clear" w:color="auto" w:fill="auto"/>
            <w:vAlign w:val="center"/>
          </w:tcPr>
          <w:p w14:paraId="18F6D4F1">
            <w:pPr>
              <w:widowControl/>
              <w:adjustRightInd/>
              <w:spacing w:after="0" w:line="276" w:lineRule="auto"/>
              <w:jc w:val="center"/>
              <w:rPr>
                <w:rFonts w:ascii="宋体" w:hAnsi="宋体" w:cs="宋体"/>
                <w:color w:val="000000"/>
                <w:sz w:val="24"/>
              </w:rPr>
            </w:pPr>
            <w:r>
              <w:rPr>
                <w:rFonts w:hint="eastAsia" w:ascii="宋体" w:hAnsi="宋体" w:cs="宋体"/>
                <w:kern w:val="0"/>
                <w:sz w:val="24"/>
              </w:rPr>
              <w:t>主/客观分</w:t>
            </w:r>
          </w:p>
        </w:tc>
      </w:tr>
      <w:tr w14:paraId="0286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680" w:type="dxa"/>
            <w:shd w:val="clear" w:color="auto" w:fill="auto"/>
            <w:vAlign w:val="center"/>
          </w:tcPr>
          <w:p w14:paraId="39E3E5E9">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1</w:t>
            </w:r>
          </w:p>
        </w:tc>
        <w:tc>
          <w:tcPr>
            <w:tcW w:w="876" w:type="dxa"/>
            <w:shd w:val="clear" w:color="auto" w:fill="auto"/>
            <w:vAlign w:val="center"/>
          </w:tcPr>
          <w:p w14:paraId="60A340E0">
            <w:pPr>
              <w:widowControl/>
              <w:spacing w:after="0" w:line="288"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同类</w:t>
            </w:r>
          </w:p>
          <w:p w14:paraId="2C9A9DD1">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业绩</w:t>
            </w:r>
          </w:p>
        </w:tc>
        <w:tc>
          <w:tcPr>
            <w:tcW w:w="5363" w:type="dxa"/>
            <w:shd w:val="clear" w:color="auto" w:fill="auto"/>
            <w:vAlign w:val="center"/>
          </w:tcPr>
          <w:p w14:paraId="4F8B233B">
            <w:pPr>
              <w:widowControl/>
              <w:spacing w:after="0" w:line="288"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投标人自2020年1月1日（时间以合同签订时间为准）起承担过数据综合治理相关内容的项目合同业绩，每提供1个得1分，最高得1分。</w:t>
            </w:r>
          </w:p>
          <w:p w14:paraId="220AD44B">
            <w:pPr>
              <w:widowControl/>
              <w:spacing w:after="0" w:line="288" w:lineRule="auto"/>
              <w:textAlignment w:val="center"/>
              <w:rPr>
                <w:rFonts w:ascii="宋体" w:hAnsi="宋体" w:cs="宋体"/>
                <w:b/>
                <w:bCs/>
                <w:color w:val="000000"/>
                <w:sz w:val="24"/>
              </w:rPr>
            </w:pPr>
            <w:r>
              <w:rPr>
                <w:rFonts w:hint="eastAsia" w:ascii="宋体" w:hAnsi="宋体" w:cs="宋体"/>
                <w:b/>
                <w:bCs/>
                <w:color w:val="000000"/>
                <w:kern w:val="0"/>
                <w:sz w:val="24"/>
                <w:lang w:bidi="ar"/>
              </w:rPr>
              <w:t>证明材料：须提供合同复印件或扫描件并加盖投标单位公章。</w:t>
            </w:r>
          </w:p>
        </w:tc>
        <w:tc>
          <w:tcPr>
            <w:tcW w:w="1031" w:type="dxa"/>
            <w:shd w:val="clear" w:color="auto" w:fill="auto"/>
            <w:vAlign w:val="center"/>
          </w:tcPr>
          <w:p w14:paraId="1EFF1B3E">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hint="eastAsia" w:ascii="宋体" w:hAnsi="宋体" w:cs="宋体"/>
                <w:kern w:val="0"/>
                <w:sz w:val="24"/>
              </w:rPr>
              <w:t>分</w:t>
            </w:r>
          </w:p>
        </w:tc>
        <w:tc>
          <w:tcPr>
            <w:tcW w:w="1022" w:type="dxa"/>
            <w:shd w:val="clear" w:color="auto" w:fill="auto"/>
            <w:vAlign w:val="center"/>
          </w:tcPr>
          <w:p w14:paraId="3DEED5B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106C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680" w:type="dxa"/>
            <w:vMerge w:val="restart"/>
            <w:shd w:val="clear" w:color="auto" w:fill="auto"/>
            <w:vAlign w:val="center"/>
          </w:tcPr>
          <w:p w14:paraId="72D506E2">
            <w:pPr>
              <w:widowControl/>
              <w:spacing w:after="0" w:line="288"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2</w:t>
            </w:r>
          </w:p>
          <w:p w14:paraId="6FA2C30D">
            <w:pPr>
              <w:widowControl/>
              <w:spacing w:after="0" w:line="288" w:lineRule="auto"/>
              <w:jc w:val="center"/>
              <w:textAlignment w:val="center"/>
              <w:rPr>
                <w:rFonts w:ascii="宋体" w:hAnsi="宋体" w:cs="宋体"/>
                <w:b/>
                <w:bCs/>
                <w:color w:val="000000"/>
                <w:sz w:val="24"/>
              </w:rPr>
            </w:pPr>
          </w:p>
        </w:tc>
        <w:tc>
          <w:tcPr>
            <w:tcW w:w="876" w:type="dxa"/>
            <w:vMerge w:val="restart"/>
            <w:shd w:val="clear" w:color="auto" w:fill="auto"/>
            <w:vAlign w:val="center"/>
          </w:tcPr>
          <w:p w14:paraId="11F1B082">
            <w:pPr>
              <w:widowControl/>
              <w:spacing w:after="0" w:line="288"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企业</w:t>
            </w:r>
          </w:p>
          <w:p w14:paraId="79539925">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资信</w:t>
            </w:r>
          </w:p>
        </w:tc>
        <w:tc>
          <w:tcPr>
            <w:tcW w:w="5363" w:type="dxa"/>
            <w:shd w:val="clear" w:color="auto" w:fill="auto"/>
            <w:vAlign w:val="center"/>
          </w:tcPr>
          <w:p w14:paraId="57570061">
            <w:pPr>
              <w:widowControl/>
              <w:spacing w:after="0" w:line="288"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投标人取得相关领域创新能力证明材料（国家知识产权局专利证书或国家版权局软件著作权证书）且证书名称中包含关键词与"数据服务"、"数据质量"、"数据安全"、"数据管理"、“数据共享”相类似。</w:t>
            </w:r>
          </w:p>
          <w:p w14:paraId="44352B82">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每具有一类上述证书得1分，最多得5分。同类证书只计一次，不得重复计分。</w:t>
            </w:r>
          </w:p>
          <w:p w14:paraId="2A3134ED">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注：提供证书复印件，并加盖投标人公章，未按要求提供的不得分。证书要求在招标公告发布前取得。</w:t>
            </w:r>
          </w:p>
        </w:tc>
        <w:tc>
          <w:tcPr>
            <w:tcW w:w="1031" w:type="dxa"/>
            <w:shd w:val="clear" w:color="auto" w:fill="auto"/>
            <w:vAlign w:val="center"/>
          </w:tcPr>
          <w:p w14:paraId="69AABEBD">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r>
              <w:rPr>
                <w:rFonts w:hint="eastAsia" w:ascii="宋体" w:hAnsi="宋体" w:cs="宋体"/>
                <w:kern w:val="0"/>
                <w:sz w:val="24"/>
              </w:rPr>
              <w:t>分</w:t>
            </w:r>
          </w:p>
        </w:tc>
        <w:tc>
          <w:tcPr>
            <w:tcW w:w="1022" w:type="dxa"/>
            <w:shd w:val="clear" w:color="auto" w:fill="auto"/>
            <w:vAlign w:val="center"/>
          </w:tcPr>
          <w:p w14:paraId="78EA97BA">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3FBB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0" w:type="dxa"/>
            <w:vMerge w:val="continue"/>
            <w:shd w:val="clear" w:color="auto" w:fill="auto"/>
            <w:vAlign w:val="center"/>
          </w:tcPr>
          <w:p w14:paraId="3E1DECC6">
            <w:pPr>
              <w:widowControl/>
              <w:spacing w:after="0" w:line="288" w:lineRule="auto"/>
              <w:jc w:val="center"/>
              <w:textAlignment w:val="center"/>
              <w:rPr>
                <w:rFonts w:ascii="宋体" w:hAnsi="宋体" w:cs="宋体"/>
                <w:b/>
                <w:bCs/>
                <w:color w:val="000000"/>
                <w:sz w:val="24"/>
              </w:rPr>
            </w:pPr>
          </w:p>
        </w:tc>
        <w:tc>
          <w:tcPr>
            <w:tcW w:w="876" w:type="dxa"/>
            <w:vMerge w:val="continue"/>
            <w:shd w:val="clear" w:color="auto" w:fill="auto"/>
            <w:vAlign w:val="center"/>
          </w:tcPr>
          <w:p w14:paraId="26E41954">
            <w:pPr>
              <w:widowControl/>
              <w:spacing w:after="0" w:line="288" w:lineRule="auto"/>
              <w:jc w:val="center"/>
              <w:textAlignment w:val="center"/>
              <w:rPr>
                <w:rFonts w:ascii="宋体" w:hAnsi="宋体" w:cs="宋体"/>
                <w:b/>
                <w:bCs/>
                <w:color w:val="000000"/>
                <w:sz w:val="24"/>
              </w:rPr>
            </w:pPr>
          </w:p>
        </w:tc>
        <w:tc>
          <w:tcPr>
            <w:tcW w:w="5363" w:type="dxa"/>
            <w:shd w:val="clear" w:color="auto" w:fill="auto"/>
            <w:vAlign w:val="center"/>
          </w:tcPr>
          <w:p w14:paraId="2D8AF93D">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投标人具备有效期内的质量管理体系认证证书，得1分。投标时提供证书扫描件或复印件加盖投标人公章。</w:t>
            </w:r>
          </w:p>
        </w:tc>
        <w:tc>
          <w:tcPr>
            <w:tcW w:w="1031" w:type="dxa"/>
            <w:vMerge w:val="restart"/>
            <w:shd w:val="clear" w:color="auto" w:fill="auto"/>
            <w:vAlign w:val="center"/>
          </w:tcPr>
          <w:p w14:paraId="0C297552">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r>
              <w:rPr>
                <w:rFonts w:hint="eastAsia" w:ascii="宋体" w:hAnsi="宋体" w:cs="宋体"/>
                <w:kern w:val="0"/>
                <w:sz w:val="24"/>
              </w:rPr>
              <w:t>分</w:t>
            </w:r>
          </w:p>
        </w:tc>
        <w:tc>
          <w:tcPr>
            <w:tcW w:w="1022" w:type="dxa"/>
            <w:vMerge w:val="restart"/>
            <w:shd w:val="clear" w:color="auto" w:fill="auto"/>
            <w:vAlign w:val="center"/>
          </w:tcPr>
          <w:p w14:paraId="672A738E">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233F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0" w:type="dxa"/>
            <w:vMerge w:val="continue"/>
            <w:shd w:val="clear" w:color="auto" w:fill="auto"/>
            <w:vAlign w:val="center"/>
          </w:tcPr>
          <w:p w14:paraId="39614D7F">
            <w:pPr>
              <w:spacing w:after="0" w:line="288" w:lineRule="auto"/>
              <w:jc w:val="center"/>
              <w:rPr>
                <w:rFonts w:ascii="宋体" w:hAnsi="宋体" w:cs="宋体"/>
                <w:b/>
                <w:bCs/>
                <w:color w:val="000000"/>
                <w:sz w:val="24"/>
              </w:rPr>
            </w:pPr>
          </w:p>
        </w:tc>
        <w:tc>
          <w:tcPr>
            <w:tcW w:w="876" w:type="dxa"/>
            <w:vMerge w:val="continue"/>
            <w:shd w:val="clear" w:color="auto" w:fill="auto"/>
            <w:vAlign w:val="center"/>
          </w:tcPr>
          <w:p w14:paraId="3F112BE4">
            <w:pPr>
              <w:spacing w:after="0" w:line="288" w:lineRule="auto"/>
              <w:jc w:val="center"/>
              <w:rPr>
                <w:rFonts w:ascii="宋体" w:hAnsi="宋体" w:cs="宋体"/>
                <w:b/>
                <w:bCs/>
                <w:color w:val="000000"/>
                <w:sz w:val="24"/>
              </w:rPr>
            </w:pPr>
          </w:p>
        </w:tc>
        <w:tc>
          <w:tcPr>
            <w:tcW w:w="5363" w:type="dxa"/>
            <w:shd w:val="clear" w:color="auto" w:fill="FFFFFF"/>
            <w:vAlign w:val="center"/>
          </w:tcPr>
          <w:p w14:paraId="11C90841">
            <w:pPr>
              <w:widowControl/>
              <w:spacing w:after="0" w:line="288"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投标人具备有效期内的信息技术服务管理体系认证证书，得1分。</w:t>
            </w:r>
          </w:p>
          <w:p w14:paraId="3821C36B">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投标时提供证书扫描件或复印件加盖投标人公章。</w:t>
            </w:r>
          </w:p>
        </w:tc>
        <w:tc>
          <w:tcPr>
            <w:tcW w:w="1031" w:type="dxa"/>
            <w:vMerge w:val="continue"/>
            <w:shd w:val="clear" w:color="auto" w:fill="auto"/>
            <w:vAlign w:val="center"/>
          </w:tcPr>
          <w:p w14:paraId="6633EEAB">
            <w:pPr>
              <w:spacing w:after="0" w:line="288" w:lineRule="auto"/>
              <w:jc w:val="center"/>
              <w:rPr>
                <w:rFonts w:ascii="宋体" w:hAnsi="宋体" w:cs="宋体"/>
                <w:color w:val="000000"/>
                <w:sz w:val="24"/>
              </w:rPr>
            </w:pPr>
          </w:p>
        </w:tc>
        <w:tc>
          <w:tcPr>
            <w:tcW w:w="1022" w:type="dxa"/>
            <w:vMerge w:val="continue"/>
            <w:shd w:val="clear" w:color="auto" w:fill="auto"/>
            <w:vAlign w:val="center"/>
          </w:tcPr>
          <w:p w14:paraId="36E67588">
            <w:pPr>
              <w:spacing w:after="0" w:line="288" w:lineRule="auto"/>
              <w:jc w:val="center"/>
              <w:rPr>
                <w:rFonts w:ascii="宋体" w:hAnsi="宋体" w:cs="宋体"/>
                <w:color w:val="000000"/>
                <w:sz w:val="24"/>
              </w:rPr>
            </w:pPr>
          </w:p>
        </w:tc>
      </w:tr>
      <w:tr w14:paraId="18A8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0" w:type="dxa"/>
            <w:vMerge w:val="continue"/>
            <w:shd w:val="clear" w:color="auto" w:fill="auto"/>
            <w:vAlign w:val="center"/>
          </w:tcPr>
          <w:p w14:paraId="4B8CC04F">
            <w:pPr>
              <w:spacing w:after="0" w:line="288" w:lineRule="auto"/>
              <w:jc w:val="center"/>
              <w:rPr>
                <w:rFonts w:ascii="宋体" w:hAnsi="宋体" w:cs="宋体"/>
                <w:b/>
                <w:bCs/>
                <w:color w:val="000000"/>
                <w:sz w:val="24"/>
              </w:rPr>
            </w:pPr>
          </w:p>
        </w:tc>
        <w:tc>
          <w:tcPr>
            <w:tcW w:w="876" w:type="dxa"/>
            <w:vMerge w:val="continue"/>
            <w:shd w:val="clear" w:color="auto" w:fill="auto"/>
            <w:vAlign w:val="center"/>
          </w:tcPr>
          <w:p w14:paraId="62F87F94">
            <w:pPr>
              <w:spacing w:after="0" w:line="288" w:lineRule="auto"/>
              <w:jc w:val="center"/>
              <w:rPr>
                <w:rFonts w:ascii="宋体" w:hAnsi="宋体" w:cs="宋体"/>
                <w:b/>
                <w:bCs/>
                <w:color w:val="000000"/>
                <w:sz w:val="24"/>
              </w:rPr>
            </w:pPr>
          </w:p>
        </w:tc>
        <w:tc>
          <w:tcPr>
            <w:tcW w:w="5363" w:type="dxa"/>
            <w:shd w:val="clear" w:color="auto" w:fill="FFFFFF"/>
            <w:vAlign w:val="center"/>
          </w:tcPr>
          <w:p w14:paraId="08DF2092">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投标人具备有效期内的信息安全管理体系认证证书，得1分。投标时提供证书扫描件或复印件加盖投标人公章。</w:t>
            </w:r>
          </w:p>
        </w:tc>
        <w:tc>
          <w:tcPr>
            <w:tcW w:w="1031" w:type="dxa"/>
            <w:vMerge w:val="continue"/>
            <w:shd w:val="clear" w:color="auto" w:fill="auto"/>
            <w:vAlign w:val="center"/>
          </w:tcPr>
          <w:p w14:paraId="5D64BDCE">
            <w:pPr>
              <w:spacing w:after="0" w:line="288" w:lineRule="auto"/>
              <w:jc w:val="center"/>
              <w:rPr>
                <w:rFonts w:ascii="宋体" w:hAnsi="宋体" w:cs="宋体"/>
                <w:color w:val="000000"/>
                <w:sz w:val="24"/>
              </w:rPr>
            </w:pPr>
          </w:p>
        </w:tc>
        <w:tc>
          <w:tcPr>
            <w:tcW w:w="1022" w:type="dxa"/>
            <w:vMerge w:val="continue"/>
            <w:shd w:val="clear" w:color="auto" w:fill="auto"/>
            <w:vAlign w:val="center"/>
          </w:tcPr>
          <w:p w14:paraId="1FFC6EED">
            <w:pPr>
              <w:spacing w:after="0" w:line="288" w:lineRule="auto"/>
              <w:jc w:val="center"/>
              <w:rPr>
                <w:rFonts w:ascii="宋体" w:hAnsi="宋体" w:cs="宋体"/>
                <w:color w:val="000000"/>
                <w:sz w:val="24"/>
              </w:rPr>
            </w:pPr>
          </w:p>
        </w:tc>
      </w:tr>
      <w:tr w14:paraId="6A7B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80" w:type="dxa"/>
            <w:vMerge w:val="continue"/>
            <w:shd w:val="clear" w:color="auto" w:fill="auto"/>
            <w:vAlign w:val="center"/>
          </w:tcPr>
          <w:p w14:paraId="0BCB7C89">
            <w:pPr>
              <w:spacing w:after="0" w:line="288" w:lineRule="auto"/>
              <w:jc w:val="center"/>
              <w:rPr>
                <w:rFonts w:ascii="宋体" w:hAnsi="宋体" w:cs="宋体"/>
                <w:b/>
                <w:bCs/>
                <w:color w:val="000000"/>
                <w:sz w:val="24"/>
              </w:rPr>
            </w:pPr>
          </w:p>
        </w:tc>
        <w:tc>
          <w:tcPr>
            <w:tcW w:w="876" w:type="dxa"/>
            <w:vMerge w:val="continue"/>
            <w:shd w:val="clear" w:color="auto" w:fill="auto"/>
            <w:vAlign w:val="center"/>
          </w:tcPr>
          <w:p w14:paraId="782AE7C1">
            <w:pPr>
              <w:spacing w:after="0" w:line="288" w:lineRule="auto"/>
              <w:jc w:val="center"/>
              <w:rPr>
                <w:rFonts w:ascii="宋体" w:hAnsi="宋体" w:cs="宋体"/>
                <w:b/>
                <w:bCs/>
                <w:color w:val="000000"/>
                <w:sz w:val="24"/>
              </w:rPr>
            </w:pPr>
          </w:p>
        </w:tc>
        <w:tc>
          <w:tcPr>
            <w:tcW w:w="5363" w:type="dxa"/>
            <w:shd w:val="clear" w:color="auto" w:fill="FFFFFF"/>
            <w:vAlign w:val="center"/>
          </w:tcPr>
          <w:p w14:paraId="789055B5">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投标人具备有效期内的软件企业和软件产品认证证书，每具备一项得1分，最高得2分。投标时提供证书扫描件或复印件加盖投标人公章。</w:t>
            </w:r>
          </w:p>
        </w:tc>
        <w:tc>
          <w:tcPr>
            <w:tcW w:w="1031" w:type="dxa"/>
            <w:vMerge w:val="continue"/>
            <w:shd w:val="clear" w:color="auto" w:fill="auto"/>
            <w:vAlign w:val="center"/>
          </w:tcPr>
          <w:p w14:paraId="7933603F">
            <w:pPr>
              <w:spacing w:after="0" w:line="288" w:lineRule="auto"/>
              <w:jc w:val="center"/>
              <w:rPr>
                <w:rFonts w:ascii="宋体" w:hAnsi="宋体" w:cs="宋体"/>
                <w:color w:val="000000"/>
                <w:sz w:val="24"/>
              </w:rPr>
            </w:pPr>
          </w:p>
        </w:tc>
        <w:tc>
          <w:tcPr>
            <w:tcW w:w="1022" w:type="dxa"/>
            <w:vMerge w:val="continue"/>
            <w:shd w:val="clear" w:color="auto" w:fill="auto"/>
            <w:vAlign w:val="center"/>
          </w:tcPr>
          <w:p w14:paraId="033A35FF">
            <w:pPr>
              <w:spacing w:after="0" w:line="288" w:lineRule="auto"/>
              <w:jc w:val="center"/>
              <w:rPr>
                <w:rFonts w:ascii="宋体" w:hAnsi="宋体" w:cs="宋体"/>
                <w:color w:val="000000"/>
                <w:sz w:val="24"/>
              </w:rPr>
            </w:pPr>
          </w:p>
        </w:tc>
      </w:tr>
      <w:tr w14:paraId="0B4F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0" w:type="dxa"/>
            <w:vMerge w:val="restart"/>
            <w:shd w:val="clear" w:color="auto" w:fill="auto"/>
            <w:vAlign w:val="center"/>
          </w:tcPr>
          <w:p w14:paraId="35D7DA83">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3</w:t>
            </w:r>
          </w:p>
        </w:tc>
        <w:tc>
          <w:tcPr>
            <w:tcW w:w="876" w:type="dxa"/>
            <w:vMerge w:val="restart"/>
            <w:shd w:val="clear" w:color="auto" w:fill="auto"/>
            <w:vAlign w:val="center"/>
          </w:tcPr>
          <w:p w14:paraId="21E51D35">
            <w:pPr>
              <w:widowControl/>
              <w:spacing w:after="0" w:line="288"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企业</w:t>
            </w:r>
          </w:p>
          <w:p w14:paraId="67B28678">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实力</w:t>
            </w:r>
          </w:p>
        </w:tc>
        <w:tc>
          <w:tcPr>
            <w:tcW w:w="5363" w:type="dxa"/>
            <w:shd w:val="clear" w:color="auto" w:fill="auto"/>
            <w:vAlign w:val="center"/>
          </w:tcPr>
          <w:p w14:paraId="3B18F7CA">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投标人具有专精特新企业资质认证，国家级的得3分，省级的得2分</w:t>
            </w:r>
            <w:r>
              <w:rPr>
                <w:rFonts w:hint="eastAsia" w:cs="宋体"/>
                <w:color w:val="000000"/>
                <w:kern w:val="0"/>
                <w:sz w:val="24"/>
                <w:lang w:eastAsia="zh-CN" w:bidi="ar"/>
              </w:rPr>
              <w:t>，</w:t>
            </w:r>
            <w:r>
              <w:rPr>
                <w:rFonts w:hint="eastAsia" w:cs="宋体"/>
                <w:color w:val="000000"/>
                <w:kern w:val="0"/>
                <w:sz w:val="24"/>
                <w:lang w:val="en-US" w:eastAsia="zh-CN" w:bidi="ar"/>
              </w:rPr>
              <w:t>市级的得1分</w:t>
            </w:r>
            <w:r>
              <w:rPr>
                <w:rFonts w:hint="eastAsia" w:ascii="宋体" w:hAnsi="宋体" w:cs="宋体"/>
                <w:color w:val="000000"/>
                <w:kern w:val="0"/>
                <w:sz w:val="24"/>
                <w:lang w:bidi="ar"/>
              </w:rPr>
              <w:t>；投标时提供证书扫描件或复印件加盖投标人公章。</w:t>
            </w:r>
          </w:p>
        </w:tc>
        <w:tc>
          <w:tcPr>
            <w:tcW w:w="1031" w:type="dxa"/>
            <w:shd w:val="clear" w:color="auto" w:fill="auto"/>
            <w:vAlign w:val="center"/>
          </w:tcPr>
          <w:p w14:paraId="49AFBA2D">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r>
              <w:rPr>
                <w:rFonts w:hint="eastAsia" w:ascii="宋体" w:hAnsi="宋体" w:cs="宋体"/>
                <w:kern w:val="0"/>
                <w:sz w:val="24"/>
              </w:rPr>
              <w:t>分</w:t>
            </w:r>
          </w:p>
        </w:tc>
        <w:tc>
          <w:tcPr>
            <w:tcW w:w="1022" w:type="dxa"/>
            <w:vMerge w:val="restart"/>
            <w:shd w:val="clear" w:color="auto" w:fill="auto"/>
            <w:vAlign w:val="center"/>
          </w:tcPr>
          <w:p w14:paraId="6ED9DD6B">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7DE2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0" w:type="dxa"/>
            <w:vMerge w:val="continue"/>
            <w:shd w:val="clear" w:color="auto" w:fill="auto"/>
            <w:vAlign w:val="center"/>
          </w:tcPr>
          <w:p w14:paraId="1447AFA4">
            <w:pPr>
              <w:spacing w:after="0" w:line="288" w:lineRule="auto"/>
              <w:jc w:val="center"/>
              <w:rPr>
                <w:rFonts w:ascii="宋体" w:hAnsi="宋体" w:cs="宋体"/>
                <w:b/>
                <w:bCs/>
                <w:color w:val="000000"/>
                <w:sz w:val="24"/>
              </w:rPr>
            </w:pPr>
          </w:p>
        </w:tc>
        <w:tc>
          <w:tcPr>
            <w:tcW w:w="876" w:type="dxa"/>
            <w:vMerge w:val="continue"/>
            <w:shd w:val="clear" w:color="auto" w:fill="auto"/>
            <w:vAlign w:val="center"/>
          </w:tcPr>
          <w:p w14:paraId="3AA552A7">
            <w:pPr>
              <w:spacing w:after="0" w:line="288" w:lineRule="auto"/>
              <w:jc w:val="center"/>
              <w:rPr>
                <w:rFonts w:ascii="宋体" w:hAnsi="宋体" w:cs="宋体"/>
                <w:b/>
                <w:bCs/>
                <w:color w:val="000000"/>
                <w:sz w:val="24"/>
              </w:rPr>
            </w:pPr>
          </w:p>
        </w:tc>
        <w:tc>
          <w:tcPr>
            <w:tcW w:w="5363" w:type="dxa"/>
            <w:shd w:val="clear" w:color="auto" w:fill="auto"/>
            <w:vAlign w:val="center"/>
          </w:tcPr>
          <w:p w14:paraId="6D8A6591">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投标人具有软件成熟度集成模型服务能力CMMI</w:t>
            </w:r>
            <w:r>
              <w:rPr>
                <w:rFonts w:ascii="宋体" w:hAnsi="宋体" w:cs="宋体"/>
                <w:color w:val="000000"/>
                <w:kern w:val="0"/>
                <w:sz w:val="24"/>
                <w:lang w:bidi="ar"/>
              </w:rPr>
              <w:t>3</w:t>
            </w:r>
            <w:r>
              <w:rPr>
                <w:rFonts w:hint="eastAsia" w:ascii="宋体" w:hAnsi="宋体" w:cs="宋体"/>
                <w:color w:val="000000"/>
                <w:kern w:val="0"/>
                <w:sz w:val="24"/>
                <w:lang w:bidi="ar"/>
              </w:rPr>
              <w:t>级或以上证书得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分，投标时提供证书扫描件或复印件加盖投标人公章。</w:t>
            </w:r>
          </w:p>
        </w:tc>
        <w:tc>
          <w:tcPr>
            <w:tcW w:w="1031" w:type="dxa"/>
            <w:shd w:val="clear" w:color="auto" w:fill="auto"/>
            <w:vAlign w:val="center"/>
          </w:tcPr>
          <w:p w14:paraId="6791EC55">
            <w:pPr>
              <w:spacing w:after="0" w:line="288" w:lineRule="auto"/>
              <w:jc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kern w:val="0"/>
                <w:sz w:val="24"/>
              </w:rPr>
              <w:t>分</w:t>
            </w:r>
          </w:p>
        </w:tc>
        <w:tc>
          <w:tcPr>
            <w:tcW w:w="1022" w:type="dxa"/>
            <w:vMerge w:val="continue"/>
            <w:shd w:val="clear" w:color="auto" w:fill="auto"/>
            <w:vAlign w:val="center"/>
          </w:tcPr>
          <w:p w14:paraId="08C6BF04">
            <w:pPr>
              <w:spacing w:after="0" w:line="288" w:lineRule="auto"/>
              <w:jc w:val="center"/>
              <w:rPr>
                <w:rFonts w:ascii="宋体" w:hAnsi="宋体" w:cs="宋体"/>
                <w:color w:val="000000"/>
                <w:sz w:val="24"/>
              </w:rPr>
            </w:pPr>
          </w:p>
        </w:tc>
      </w:tr>
      <w:tr w14:paraId="28C8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80" w:type="dxa"/>
            <w:vMerge w:val="continue"/>
            <w:shd w:val="clear" w:color="auto" w:fill="auto"/>
            <w:vAlign w:val="center"/>
          </w:tcPr>
          <w:p w14:paraId="2DF7F5CD">
            <w:pPr>
              <w:spacing w:after="0" w:line="288" w:lineRule="auto"/>
              <w:jc w:val="center"/>
              <w:rPr>
                <w:rFonts w:ascii="宋体" w:hAnsi="宋体" w:cs="宋体"/>
                <w:b/>
                <w:bCs/>
                <w:color w:val="000000"/>
                <w:sz w:val="24"/>
              </w:rPr>
            </w:pPr>
          </w:p>
        </w:tc>
        <w:tc>
          <w:tcPr>
            <w:tcW w:w="876" w:type="dxa"/>
            <w:vMerge w:val="continue"/>
            <w:shd w:val="clear" w:color="auto" w:fill="auto"/>
            <w:vAlign w:val="center"/>
          </w:tcPr>
          <w:p w14:paraId="25C96B04">
            <w:pPr>
              <w:spacing w:after="0" w:line="288" w:lineRule="auto"/>
              <w:jc w:val="center"/>
              <w:rPr>
                <w:rFonts w:ascii="宋体" w:hAnsi="宋体" w:cs="宋体"/>
                <w:b/>
                <w:bCs/>
                <w:color w:val="000000"/>
                <w:sz w:val="24"/>
              </w:rPr>
            </w:pPr>
          </w:p>
        </w:tc>
        <w:tc>
          <w:tcPr>
            <w:tcW w:w="5363" w:type="dxa"/>
            <w:shd w:val="clear" w:color="auto" w:fill="auto"/>
            <w:vAlign w:val="center"/>
          </w:tcPr>
          <w:p w14:paraId="759957D4">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投标人具备高新技术企业证书，省级及以上的得2分，市级的得1分，其他不得分。投标时提供证书扫描件或复印件加盖投标人公章。</w:t>
            </w:r>
          </w:p>
        </w:tc>
        <w:tc>
          <w:tcPr>
            <w:tcW w:w="1031" w:type="dxa"/>
            <w:shd w:val="clear" w:color="auto" w:fill="auto"/>
            <w:vAlign w:val="center"/>
          </w:tcPr>
          <w:p w14:paraId="3524A263">
            <w:pPr>
              <w:spacing w:after="0" w:line="288" w:lineRule="auto"/>
              <w:jc w:val="center"/>
              <w:rPr>
                <w:rFonts w:ascii="宋体" w:hAnsi="宋体" w:cs="宋体"/>
                <w:color w:val="000000"/>
                <w:sz w:val="24"/>
              </w:rPr>
            </w:pPr>
            <w:r>
              <w:rPr>
                <w:rFonts w:ascii="宋体" w:hAnsi="宋体" w:cs="宋体"/>
                <w:color w:val="000000"/>
                <w:sz w:val="24"/>
              </w:rPr>
              <w:t>2</w:t>
            </w:r>
            <w:r>
              <w:rPr>
                <w:rFonts w:hint="eastAsia" w:ascii="宋体" w:hAnsi="宋体" w:cs="宋体"/>
                <w:kern w:val="0"/>
                <w:sz w:val="24"/>
              </w:rPr>
              <w:t>分</w:t>
            </w:r>
          </w:p>
        </w:tc>
        <w:tc>
          <w:tcPr>
            <w:tcW w:w="1022" w:type="dxa"/>
            <w:vMerge w:val="continue"/>
            <w:shd w:val="clear" w:color="auto" w:fill="auto"/>
            <w:vAlign w:val="center"/>
          </w:tcPr>
          <w:p w14:paraId="69E65777">
            <w:pPr>
              <w:spacing w:after="0" w:line="288" w:lineRule="auto"/>
              <w:jc w:val="center"/>
              <w:rPr>
                <w:rFonts w:ascii="宋体" w:hAnsi="宋体" w:cs="宋体"/>
                <w:color w:val="000000"/>
                <w:sz w:val="24"/>
              </w:rPr>
            </w:pPr>
          </w:p>
        </w:tc>
      </w:tr>
      <w:tr w14:paraId="5A45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0" w:type="dxa"/>
            <w:vMerge w:val="continue"/>
            <w:shd w:val="clear" w:color="auto" w:fill="auto"/>
            <w:vAlign w:val="center"/>
          </w:tcPr>
          <w:p w14:paraId="24B15527">
            <w:pPr>
              <w:spacing w:after="0" w:line="288" w:lineRule="auto"/>
              <w:jc w:val="center"/>
              <w:rPr>
                <w:rFonts w:ascii="宋体" w:hAnsi="宋体" w:cs="宋体"/>
                <w:b/>
                <w:bCs/>
                <w:color w:val="000000"/>
                <w:sz w:val="24"/>
              </w:rPr>
            </w:pPr>
          </w:p>
        </w:tc>
        <w:tc>
          <w:tcPr>
            <w:tcW w:w="876" w:type="dxa"/>
            <w:vMerge w:val="continue"/>
            <w:shd w:val="clear" w:color="auto" w:fill="auto"/>
            <w:vAlign w:val="center"/>
          </w:tcPr>
          <w:p w14:paraId="031073A7">
            <w:pPr>
              <w:spacing w:after="0" w:line="288" w:lineRule="auto"/>
              <w:jc w:val="center"/>
              <w:rPr>
                <w:rFonts w:ascii="宋体" w:hAnsi="宋体" w:cs="宋体"/>
                <w:b/>
                <w:bCs/>
                <w:color w:val="000000"/>
                <w:sz w:val="24"/>
              </w:rPr>
            </w:pPr>
          </w:p>
        </w:tc>
        <w:tc>
          <w:tcPr>
            <w:tcW w:w="5363" w:type="dxa"/>
            <w:shd w:val="clear" w:color="auto" w:fill="auto"/>
            <w:vAlign w:val="center"/>
          </w:tcPr>
          <w:p w14:paraId="62C8C42C">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投标人承担过数据相关的地方标准、行业标准或国家标准起草得4分。投标时提供证明材料扫描件或复印件加盖投标人公章。</w:t>
            </w:r>
          </w:p>
        </w:tc>
        <w:tc>
          <w:tcPr>
            <w:tcW w:w="1031" w:type="dxa"/>
            <w:shd w:val="clear" w:color="auto" w:fill="auto"/>
            <w:vAlign w:val="center"/>
          </w:tcPr>
          <w:p w14:paraId="38BB82F3">
            <w:pPr>
              <w:spacing w:after="0" w:line="288" w:lineRule="auto"/>
              <w:jc w:val="center"/>
              <w:rPr>
                <w:rFonts w:ascii="宋体" w:hAnsi="宋体" w:cs="宋体"/>
                <w:color w:val="000000"/>
                <w:sz w:val="24"/>
              </w:rPr>
            </w:pPr>
            <w:r>
              <w:rPr>
                <w:rFonts w:hint="eastAsia" w:ascii="宋体" w:hAnsi="宋体" w:cs="宋体"/>
                <w:color w:val="000000"/>
                <w:sz w:val="24"/>
              </w:rPr>
              <w:t>4</w:t>
            </w:r>
            <w:r>
              <w:rPr>
                <w:rFonts w:hint="eastAsia" w:ascii="宋体" w:hAnsi="宋体" w:cs="宋体"/>
                <w:kern w:val="0"/>
                <w:sz w:val="24"/>
              </w:rPr>
              <w:t>分</w:t>
            </w:r>
          </w:p>
        </w:tc>
        <w:tc>
          <w:tcPr>
            <w:tcW w:w="1022" w:type="dxa"/>
            <w:vMerge w:val="continue"/>
            <w:shd w:val="clear" w:color="auto" w:fill="auto"/>
            <w:vAlign w:val="center"/>
          </w:tcPr>
          <w:p w14:paraId="2BAC7CBD">
            <w:pPr>
              <w:spacing w:after="0" w:line="288" w:lineRule="auto"/>
              <w:jc w:val="center"/>
              <w:rPr>
                <w:rFonts w:ascii="宋体" w:hAnsi="宋体" w:cs="宋体"/>
                <w:color w:val="000000"/>
                <w:sz w:val="24"/>
              </w:rPr>
            </w:pPr>
          </w:p>
        </w:tc>
      </w:tr>
      <w:tr w14:paraId="70B2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80" w:type="dxa"/>
            <w:vMerge w:val="restart"/>
            <w:shd w:val="clear" w:color="auto" w:fill="auto"/>
            <w:noWrap/>
            <w:vAlign w:val="center"/>
          </w:tcPr>
          <w:p w14:paraId="6A08784C">
            <w:pPr>
              <w:spacing w:after="0" w:line="288" w:lineRule="auto"/>
              <w:rPr>
                <w:rFonts w:ascii="宋体" w:hAnsi="宋体" w:cs="宋体"/>
              </w:rPr>
            </w:pPr>
          </w:p>
          <w:p w14:paraId="4E9F23EE">
            <w:pPr>
              <w:spacing w:after="0" w:line="288" w:lineRule="auto"/>
              <w:rPr>
                <w:rFonts w:ascii="宋体" w:hAnsi="宋体" w:cs="宋体"/>
              </w:rPr>
            </w:pPr>
          </w:p>
          <w:p w14:paraId="4D88EAC3">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76" w:type="dxa"/>
            <w:vMerge w:val="restart"/>
            <w:shd w:val="clear" w:color="auto" w:fill="auto"/>
            <w:vAlign w:val="center"/>
          </w:tcPr>
          <w:p w14:paraId="1FDACC71">
            <w:pPr>
              <w:spacing w:after="0" w:line="288" w:lineRule="auto"/>
              <w:rPr>
                <w:rFonts w:ascii="宋体" w:hAnsi="宋体" w:cs="宋体"/>
              </w:rPr>
            </w:pPr>
          </w:p>
          <w:p w14:paraId="6D764FEE">
            <w:pPr>
              <w:spacing w:after="0" w:line="288" w:lineRule="auto"/>
              <w:rPr>
                <w:rFonts w:ascii="宋体" w:hAnsi="宋体" w:cs="宋体"/>
              </w:rPr>
            </w:pPr>
          </w:p>
          <w:p w14:paraId="747635E5">
            <w:pPr>
              <w:widowControl/>
              <w:spacing w:after="0" w:line="288"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总体</w:t>
            </w:r>
          </w:p>
          <w:p w14:paraId="0C004020">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方案</w:t>
            </w:r>
          </w:p>
        </w:tc>
        <w:tc>
          <w:tcPr>
            <w:tcW w:w="5363" w:type="dxa"/>
            <w:shd w:val="clear" w:color="auto" w:fill="auto"/>
            <w:vAlign w:val="center"/>
          </w:tcPr>
          <w:p w14:paraId="5F87AAA6">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投标人对项目现状及需求分析、对项目情况理解程度针对性和全面性情况进行评价打分。描述全面、合理的，具有针对性得</w:t>
            </w:r>
            <w:r>
              <w:rPr>
                <w:rFonts w:ascii="宋体" w:hAnsi="宋体" w:cs="宋体"/>
                <w:color w:val="000000"/>
                <w:kern w:val="0"/>
                <w:sz w:val="24"/>
                <w:lang w:bidi="ar"/>
              </w:rPr>
              <w:t>6</w:t>
            </w:r>
            <w:r>
              <w:rPr>
                <w:rFonts w:hint="eastAsia" w:ascii="宋体" w:hAnsi="宋体" w:cs="宋体"/>
                <w:color w:val="000000"/>
                <w:kern w:val="0"/>
                <w:sz w:val="24"/>
                <w:lang w:bidi="ar"/>
              </w:rPr>
              <w:t>分；描述基本全面、合理的，针对性较弱</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分；描述较为简单或存在缺漏得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tc>
        <w:tc>
          <w:tcPr>
            <w:tcW w:w="1031" w:type="dxa"/>
            <w:shd w:val="clear" w:color="auto" w:fill="auto"/>
            <w:noWrap/>
            <w:vAlign w:val="center"/>
          </w:tcPr>
          <w:p w14:paraId="7CF95189">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1022" w:type="dxa"/>
            <w:shd w:val="clear" w:color="auto" w:fill="auto"/>
            <w:noWrap/>
            <w:vAlign w:val="center"/>
          </w:tcPr>
          <w:p w14:paraId="71CAE5F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7FFC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0" w:type="dxa"/>
            <w:vMerge w:val="continue"/>
            <w:shd w:val="clear" w:color="auto" w:fill="auto"/>
            <w:noWrap/>
            <w:vAlign w:val="center"/>
          </w:tcPr>
          <w:p w14:paraId="6AA54559">
            <w:pPr>
              <w:widowControl/>
              <w:spacing w:after="0" w:line="288" w:lineRule="auto"/>
              <w:jc w:val="center"/>
              <w:textAlignment w:val="center"/>
              <w:rPr>
                <w:rFonts w:ascii="宋体" w:hAnsi="宋体" w:cs="宋体"/>
                <w:color w:val="000000"/>
                <w:sz w:val="24"/>
              </w:rPr>
            </w:pPr>
          </w:p>
        </w:tc>
        <w:tc>
          <w:tcPr>
            <w:tcW w:w="876" w:type="dxa"/>
            <w:vMerge w:val="continue"/>
            <w:shd w:val="clear" w:color="auto" w:fill="auto"/>
            <w:vAlign w:val="center"/>
          </w:tcPr>
          <w:p w14:paraId="10C9FBB1">
            <w:pPr>
              <w:widowControl/>
              <w:spacing w:after="0" w:line="288" w:lineRule="auto"/>
              <w:jc w:val="center"/>
              <w:textAlignment w:val="center"/>
              <w:rPr>
                <w:rFonts w:ascii="宋体" w:hAnsi="宋体" w:cs="宋体"/>
                <w:color w:val="000000"/>
                <w:sz w:val="24"/>
              </w:rPr>
            </w:pPr>
          </w:p>
        </w:tc>
        <w:tc>
          <w:tcPr>
            <w:tcW w:w="5363" w:type="dxa"/>
            <w:shd w:val="clear" w:color="auto" w:fill="auto"/>
            <w:vAlign w:val="center"/>
          </w:tcPr>
          <w:p w14:paraId="403AB648">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投标人能提供数据共享服务方案，思路清晰、逻辑合理、内容详实，按以下评分要求综合评定，方案描述全面、合理的，具有针对性得6分；描述基本全面、合理的，针对性较弱4分；描述较为简单或存在缺漏得2分。</w:t>
            </w:r>
          </w:p>
        </w:tc>
        <w:tc>
          <w:tcPr>
            <w:tcW w:w="1031" w:type="dxa"/>
            <w:shd w:val="clear" w:color="auto" w:fill="auto"/>
            <w:noWrap/>
            <w:vAlign w:val="center"/>
          </w:tcPr>
          <w:p w14:paraId="197656EF">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22" w:type="dxa"/>
            <w:vMerge w:val="restart"/>
            <w:shd w:val="clear" w:color="auto" w:fill="auto"/>
            <w:noWrap/>
            <w:vAlign w:val="center"/>
          </w:tcPr>
          <w:p w14:paraId="057FD9A9">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14E0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0" w:type="dxa"/>
            <w:vMerge w:val="continue"/>
            <w:shd w:val="clear" w:color="auto" w:fill="auto"/>
            <w:noWrap/>
            <w:vAlign w:val="center"/>
          </w:tcPr>
          <w:p w14:paraId="4194B528">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0922117E">
            <w:pPr>
              <w:spacing w:after="0" w:line="288" w:lineRule="auto"/>
              <w:jc w:val="center"/>
              <w:rPr>
                <w:rFonts w:ascii="宋体" w:hAnsi="宋体" w:cs="宋体"/>
                <w:color w:val="000000"/>
                <w:sz w:val="24"/>
              </w:rPr>
            </w:pPr>
          </w:p>
        </w:tc>
        <w:tc>
          <w:tcPr>
            <w:tcW w:w="5363" w:type="dxa"/>
            <w:shd w:val="clear" w:color="auto" w:fill="auto"/>
            <w:vAlign w:val="center"/>
          </w:tcPr>
          <w:p w14:paraId="418CD696">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投标人能提供数据仓服务方案，思路清晰、逻辑合理、内容详实，按以下评分要求综合评定，</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1031" w:type="dxa"/>
            <w:shd w:val="clear" w:color="auto" w:fill="auto"/>
            <w:noWrap/>
            <w:vAlign w:val="center"/>
          </w:tcPr>
          <w:p w14:paraId="7408E01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22" w:type="dxa"/>
            <w:vMerge w:val="continue"/>
            <w:shd w:val="clear" w:color="auto" w:fill="auto"/>
            <w:noWrap/>
            <w:vAlign w:val="center"/>
          </w:tcPr>
          <w:p w14:paraId="6681BD28">
            <w:pPr>
              <w:spacing w:after="0" w:line="288" w:lineRule="auto"/>
              <w:jc w:val="center"/>
              <w:rPr>
                <w:rFonts w:ascii="宋体" w:hAnsi="宋体" w:cs="宋体"/>
                <w:color w:val="000000"/>
                <w:sz w:val="24"/>
              </w:rPr>
            </w:pPr>
          </w:p>
        </w:tc>
      </w:tr>
      <w:tr w14:paraId="0F3E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80" w:type="dxa"/>
            <w:vMerge w:val="continue"/>
            <w:shd w:val="clear" w:color="auto" w:fill="auto"/>
            <w:noWrap/>
            <w:vAlign w:val="center"/>
          </w:tcPr>
          <w:p w14:paraId="56336A6E">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0CB4CFE1">
            <w:pPr>
              <w:spacing w:after="0" w:line="288" w:lineRule="auto"/>
              <w:jc w:val="center"/>
              <w:rPr>
                <w:rFonts w:ascii="宋体" w:hAnsi="宋体" w:cs="宋体"/>
                <w:color w:val="000000"/>
                <w:sz w:val="24"/>
              </w:rPr>
            </w:pPr>
          </w:p>
        </w:tc>
        <w:tc>
          <w:tcPr>
            <w:tcW w:w="5363" w:type="dxa"/>
            <w:shd w:val="clear" w:color="auto" w:fill="auto"/>
            <w:vAlign w:val="center"/>
          </w:tcPr>
          <w:p w14:paraId="36F95212">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投标人能提供数据产品服务方案，思路清晰、逻辑合理、内容详实，</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1031" w:type="dxa"/>
            <w:shd w:val="clear" w:color="auto" w:fill="auto"/>
            <w:noWrap/>
            <w:vAlign w:val="center"/>
          </w:tcPr>
          <w:p w14:paraId="037FC49E">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22" w:type="dxa"/>
            <w:vMerge w:val="continue"/>
            <w:shd w:val="clear" w:color="auto" w:fill="auto"/>
            <w:noWrap/>
            <w:vAlign w:val="center"/>
          </w:tcPr>
          <w:p w14:paraId="405B653B">
            <w:pPr>
              <w:spacing w:after="0" w:line="288" w:lineRule="auto"/>
              <w:jc w:val="center"/>
              <w:rPr>
                <w:rFonts w:ascii="宋体" w:hAnsi="宋体" w:cs="宋体"/>
                <w:color w:val="000000"/>
                <w:sz w:val="24"/>
              </w:rPr>
            </w:pPr>
          </w:p>
        </w:tc>
      </w:tr>
      <w:tr w14:paraId="707D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0" w:type="dxa"/>
            <w:vMerge w:val="continue"/>
            <w:shd w:val="clear" w:color="auto" w:fill="auto"/>
            <w:noWrap/>
            <w:vAlign w:val="center"/>
          </w:tcPr>
          <w:p w14:paraId="4C654B5E">
            <w:pPr>
              <w:widowControl/>
              <w:spacing w:after="0" w:line="288" w:lineRule="auto"/>
              <w:jc w:val="center"/>
              <w:textAlignment w:val="center"/>
              <w:rPr>
                <w:rFonts w:ascii="宋体" w:hAnsi="宋体" w:cs="宋体"/>
                <w:color w:val="000000"/>
                <w:sz w:val="24"/>
              </w:rPr>
            </w:pPr>
          </w:p>
        </w:tc>
        <w:tc>
          <w:tcPr>
            <w:tcW w:w="876" w:type="dxa"/>
            <w:vMerge w:val="continue"/>
            <w:shd w:val="clear" w:color="auto" w:fill="auto"/>
            <w:vAlign w:val="center"/>
          </w:tcPr>
          <w:p w14:paraId="4B3295EC">
            <w:pPr>
              <w:widowControl/>
              <w:spacing w:after="0" w:line="288" w:lineRule="auto"/>
              <w:jc w:val="center"/>
              <w:textAlignment w:val="center"/>
              <w:rPr>
                <w:rFonts w:ascii="宋体" w:hAnsi="宋体" w:cs="宋体"/>
                <w:color w:val="000000"/>
                <w:sz w:val="24"/>
              </w:rPr>
            </w:pPr>
          </w:p>
        </w:tc>
        <w:tc>
          <w:tcPr>
            <w:tcW w:w="5363" w:type="dxa"/>
            <w:shd w:val="clear" w:color="auto" w:fill="auto"/>
            <w:vAlign w:val="center"/>
          </w:tcPr>
          <w:p w14:paraId="3346A6DC">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进度计划：提供整体系统的明确、合理的项目实施周期、进度表。</w:t>
            </w:r>
            <w:r>
              <w:rPr>
                <w:rFonts w:hint="eastAsia" w:ascii="宋体" w:hAnsi="宋体" w:cs="宋体"/>
                <w:sz w:val="24"/>
              </w:rPr>
              <w:t>方案完整全面、内容详细、可行性高的得6分；方案较为完整但不够全面、内容明确、具有一定的可行性的得4分；方案不完整、内容不清晰、可行性较低的得2分。</w:t>
            </w:r>
          </w:p>
        </w:tc>
        <w:tc>
          <w:tcPr>
            <w:tcW w:w="1031" w:type="dxa"/>
            <w:shd w:val="clear" w:color="auto" w:fill="auto"/>
            <w:noWrap/>
            <w:vAlign w:val="center"/>
          </w:tcPr>
          <w:p w14:paraId="5EEAE8CA">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22" w:type="dxa"/>
            <w:vMerge w:val="restart"/>
            <w:shd w:val="clear" w:color="auto" w:fill="auto"/>
            <w:noWrap/>
            <w:vAlign w:val="center"/>
          </w:tcPr>
          <w:p w14:paraId="608449D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4518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0" w:type="dxa"/>
            <w:vMerge w:val="continue"/>
            <w:shd w:val="clear" w:color="auto" w:fill="auto"/>
            <w:noWrap/>
            <w:vAlign w:val="center"/>
          </w:tcPr>
          <w:p w14:paraId="448C3DA6">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4FA3C842">
            <w:pPr>
              <w:spacing w:after="0" w:line="288" w:lineRule="auto"/>
              <w:jc w:val="center"/>
              <w:rPr>
                <w:rFonts w:ascii="宋体" w:hAnsi="宋体" w:cs="宋体"/>
                <w:color w:val="000000"/>
                <w:sz w:val="24"/>
              </w:rPr>
            </w:pPr>
          </w:p>
        </w:tc>
        <w:tc>
          <w:tcPr>
            <w:tcW w:w="5363" w:type="dxa"/>
            <w:shd w:val="clear" w:color="auto" w:fill="auto"/>
            <w:vAlign w:val="center"/>
          </w:tcPr>
          <w:p w14:paraId="3D3A4273">
            <w:pPr>
              <w:widowControl/>
              <w:spacing w:after="0" w:line="288" w:lineRule="auto"/>
              <w:jc w:val="left"/>
              <w:textAlignment w:val="center"/>
              <w:rPr>
                <w:rFonts w:hint="eastAsia" w:ascii="宋体" w:hAnsi="宋体" w:eastAsia="宋体" w:cs="宋体"/>
                <w:sz w:val="24"/>
                <w:lang w:eastAsia="zh-CN"/>
              </w:rPr>
            </w:pPr>
            <w:r>
              <w:rPr>
                <w:rFonts w:hint="eastAsia" w:ascii="宋体" w:hAnsi="宋体" w:cs="宋体"/>
                <w:color w:val="000000"/>
                <w:kern w:val="0"/>
                <w:sz w:val="24"/>
                <w:lang w:bidi="ar"/>
              </w:rPr>
              <w:t>质量管理方案：提供合理的质量管理方案，在实施各阶段提供详细的质量管理说明。</w:t>
            </w:r>
            <w:r>
              <w:rPr>
                <w:rFonts w:hint="eastAsia" w:ascii="宋体" w:hAnsi="宋体" w:cs="宋体"/>
                <w:sz w:val="24"/>
              </w:rPr>
              <w:t>质量保障措施完善、合理性强、有效性及时的得</w:t>
            </w:r>
            <w:r>
              <w:rPr>
                <w:rFonts w:hint="eastAsia" w:ascii="宋体" w:hAnsi="宋体" w:cs="宋体"/>
                <w:sz w:val="24"/>
                <w:lang w:val="en-US" w:eastAsia="zh-CN"/>
              </w:rPr>
              <w:t>6</w:t>
            </w:r>
            <w:r>
              <w:rPr>
                <w:rFonts w:hint="eastAsia" w:ascii="宋体" w:hAnsi="宋体" w:cs="宋体"/>
                <w:sz w:val="24"/>
              </w:rPr>
              <w:t>分；</w:t>
            </w:r>
          </w:p>
          <w:p w14:paraId="7580F0C5">
            <w:pPr>
              <w:widowControl/>
              <w:spacing w:after="0" w:line="288" w:lineRule="auto"/>
              <w:jc w:val="left"/>
              <w:textAlignment w:val="center"/>
              <w:rPr>
                <w:rFonts w:hint="eastAsia" w:ascii="宋体" w:hAnsi="宋体" w:eastAsia="宋体" w:cs="宋体"/>
                <w:sz w:val="24"/>
                <w:lang w:eastAsia="zh-CN"/>
              </w:rPr>
            </w:pPr>
            <w:r>
              <w:rPr>
                <w:rFonts w:hint="eastAsia" w:ascii="宋体" w:hAnsi="宋体" w:cs="宋体"/>
                <w:sz w:val="24"/>
              </w:rPr>
              <w:t>质量保障措施能基本进行有效响应、基本合理性、基本可以执行的得</w:t>
            </w:r>
            <w:r>
              <w:rPr>
                <w:rFonts w:hint="eastAsia" w:ascii="宋体" w:hAnsi="宋体" w:cs="宋体"/>
                <w:sz w:val="24"/>
                <w:lang w:val="en-US" w:eastAsia="zh-CN"/>
              </w:rPr>
              <w:t>4</w:t>
            </w:r>
            <w:r>
              <w:rPr>
                <w:rFonts w:hint="eastAsia" w:ascii="宋体" w:hAnsi="宋体" w:cs="宋体"/>
                <w:sz w:val="24"/>
              </w:rPr>
              <w:t>分；</w:t>
            </w:r>
          </w:p>
          <w:p w14:paraId="3FE28968">
            <w:pPr>
              <w:widowControl/>
              <w:spacing w:after="0" w:line="288" w:lineRule="auto"/>
              <w:jc w:val="left"/>
              <w:textAlignment w:val="center"/>
              <w:rPr>
                <w:rFonts w:ascii="宋体" w:hAnsi="宋体" w:cs="宋体"/>
                <w:color w:val="000000"/>
                <w:sz w:val="24"/>
              </w:rPr>
            </w:pPr>
            <w:r>
              <w:rPr>
                <w:rFonts w:hint="eastAsia" w:ascii="宋体" w:hAnsi="宋体" w:cs="宋体"/>
                <w:sz w:val="24"/>
              </w:rPr>
              <w:t>质量保障措施没有进行有效响应、不具合理性、难以执行的得</w:t>
            </w:r>
            <w:r>
              <w:rPr>
                <w:rFonts w:hint="eastAsia" w:ascii="宋体" w:hAnsi="宋体" w:cs="宋体"/>
                <w:sz w:val="24"/>
                <w:lang w:val="en-US" w:eastAsia="zh-CN"/>
              </w:rPr>
              <w:t>2</w:t>
            </w:r>
            <w:r>
              <w:rPr>
                <w:rFonts w:hint="eastAsia" w:ascii="宋体" w:hAnsi="宋体" w:cs="宋体"/>
                <w:sz w:val="24"/>
              </w:rPr>
              <w:t>分。</w:t>
            </w:r>
          </w:p>
        </w:tc>
        <w:tc>
          <w:tcPr>
            <w:tcW w:w="1031" w:type="dxa"/>
            <w:shd w:val="clear" w:color="auto" w:fill="auto"/>
            <w:noWrap/>
            <w:vAlign w:val="center"/>
          </w:tcPr>
          <w:p w14:paraId="3D589989">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c>
          <w:tcPr>
            <w:tcW w:w="1022" w:type="dxa"/>
            <w:vMerge w:val="continue"/>
            <w:shd w:val="clear" w:color="auto" w:fill="auto"/>
            <w:noWrap/>
            <w:vAlign w:val="center"/>
          </w:tcPr>
          <w:p w14:paraId="48679B95">
            <w:pPr>
              <w:spacing w:after="0" w:line="288" w:lineRule="auto"/>
              <w:jc w:val="center"/>
              <w:rPr>
                <w:rFonts w:ascii="宋体" w:hAnsi="宋体" w:cs="宋体"/>
                <w:color w:val="000000"/>
                <w:sz w:val="24"/>
              </w:rPr>
            </w:pPr>
          </w:p>
        </w:tc>
      </w:tr>
      <w:tr w14:paraId="31DC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80" w:type="dxa"/>
            <w:vMerge w:val="continue"/>
            <w:shd w:val="clear" w:color="auto" w:fill="auto"/>
            <w:noWrap/>
            <w:vAlign w:val="center"/>
          </w:tcPr>
          <w:p w14:paraId="71698FF2">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4A6E1FE1">
            <w:pPr>
              <w:spacing w:after="0" w:line="288" w:lineRule="auto"/>
              <w:jc w:val="center"/>
              <w:rPr>
                <w:rFonts w:ascii="宋体" w:hAnsi="宋体" w:cs="宋体"/>
                <w:color w:val="000000"/>
                <w:sz w:val="24"/>
              </w:rPr>
            </w:pPr>
          </w:p>
        </w:tc>
        <w:tc>
          <w:tcPr>
            <w:tcW w:w="5363" w:type="dxa"/>
            <w:shd w:val="clear" w:color="auto" w:fill="auto"/>
            <w:vAlign w:val="center"/>
          </w:tcPr>
          <w:p w14:paraId="6748786D">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培训方案：投标人需提供相应的培训方案，方案中包括培训计划、培训内容、培训方式、培训人数。</w:t>
            </w:r>
            <w:r>
              <w:rPr>
                <w:rFonts w:hint="eastAsia" w:ascii="宋体" w:hAnsi="宋体" w:cs="宋体"/>
                <w:sz w:val="24"/>
              </w:rPr>
              <w:t>培训计划详细、全面、可行的得6分；培训计划一般，措施基本可行的得4分；培训计划及措施较粗略，可行性较差的得2分。</w:t>
            </w:r>
          </w:p>
        </w:tc>
        <w:tc>
          <w:tcPr>
            <w:tcW w:w="1031" w:type="dxa"/>
            <w:shd w:val="clear" w:color="auto" w:fill="auto"/>
            <w:noWrap/>
            <w:vAlign w:val="center"/>
          </w:tcPr>
          <w:p w14:paraId="5B8C1DCA">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22" w:type="dxa"/>
            <w:vMerge w:val="continue"/>
            <w:shd w:val="clear" w:color="auto" w:fill="auto"/>
            <w:noWrap/>
            <w:vAlign w:val="center"/>
          </w:tcPr>
          <w:p w14:paraId="0695525A">
            <w:pPr>
              <w:spacing w:after="0" w:line="288" w:lineRule="auto"/>
              <w:jc w:val="center"/>
              <w:rPr>
                <w:rFonts w:ascii="宋体" w:hAnsi="宋体" w:cs="宋体"/>
                <w:color w:val="000000"/>
                <w:sz w:val="24"/>
              </w:rPr>
            </w:pPr>
          </w:p>
        </w:tc>
      </w:tr>
      <w:tr w14:paraId="1532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0" w:type="dxa"/>
            <w:vMerge w:val="continue"/>
            <w:shd w:val="clear" w:color="auto" w:fill="auto"/>
            <w:noWrap/>
            <w:vAlign w:val="center"/>
          </w:tcPr>
          <w:p w14:paraId="6CBD41DA">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1F90C2DC">
            <w:pPr>
              <w:spacing w:after="0" w:line="288" w:lineRule="auto"/>
              <w:jc w:val="center"/>
              <w:rPr>
                <w:rFonts w:ascii="宋体" w:hAnsi="宋体" w:cs="宋体"/>
                <w:color w:val="000000"/>
                <w:sz w:val="24"/>
              </w:rPr>
            </w:pPr>
          </w:p>
        </w:tc>
        <w:tc>
          <w:tcPr>
            <w:tcW w:w="5363" w:type="dxa"/>
            <w:shd w:val="clear" w:color="auto" w:fill="auto"/>
            <w:vAlign w:val="center"/>
          </w:tcPr>
          <w:p w14:paraId="4C6B9567">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服务响应：评估项目服务的响应情况（对用户故障响应、处理等）。响应</w:t>
            </w:r>
            <w:r>
              <w:rPr>
                <w:rFonts w:hint="eastAsia" w:ascii="宋体" w:hAnsi="宋体" w:cs="宋体"/>
                <w:sz w:val="24"/>
              </w:rPr>
              <w:t>方案具有针对性、利于项目实施得</w:t>
            </w:r>
            <w:r>
              <w:rPr>
                <w:rFonts w:ascii="宋体" w:hAnsi="宋体" w:cs="宋体"/>
                <w:sz w:val="24"/>
              </w:rPr>
              <w:t>5</w:t>
            </w:r>
            <w:r>
              <w:rPr>
                <w:rFonts w:hint="eastAsia" w:ascii="宋体" w:hAnsi="宋体" w:cs="宋体"/>
                <w:sz w:val="24"/>
              </w:rPr>
              <w:t>分，针对性较弱，满足项目实施需要得</w:t>
            </w:r>
            <w:r>
              <w:rPr>
                <w:rFonts w:ascii="宋体" w:hAnsi="宋体" w:cs="宋体"/>
                <w:sz w:val="24"/>
              </w:rPr>
              <w:t>3</w:t>
            </w:r>
            <w:r>
              <w:rPr>
                <w:rFonts w:hint="eastAsia" w:ascii="宋体" w:hAnsi="宋体" w:cs="宋体"/>
                <w:sz w:val="24"/>
              </w:rPr>
              <w:t>分，内容较为简单、存在缺漏的得1分。</w:t>
            </w:r>
          </w:p>
        </w:tc>
        <w:tc>
          <w:tcPr>
            <w:tcW w:w="1031" w:type="dxa"/>
            <w:shd w:val="clear" w:color="auto" w:fill="auto"/>
            <w:noWrap/>
            <w:vAlign w:val="center"/>
          </w:tcPr>
          <w:p w14:paraId="0FC4D375">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1022" w:type="dxa"/>
            <w:vMerge w:val="continue"/>
            <w:shd w:val="clear" w:color="auto" w:fill="auto"/>
            <w:noWrap/>
            <w:vAlign w:val="center"/>
          </w:tcPr>
          <w:p w14:paraId="6BC4DC9E">
            <w:pPr>
              <w:spacing w:after="0" w:line="288" w:lineRule="auto"/>
              <w:jc w:val="center"/>
              <w:rPr>
                <w:rFonts w:ascii="宋体" w:hAnsi="宋体" w:cs="宋体"/>
                <w:color w:val="000000"/>
                <w:sz w:val="24"/>
              </w:rPr>
            </w:pPr>
          </w:p>
        </w:tc>
      </w:tr>
      <w:tr w14:paraId="0682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80" w:type="dxa"/>
            <w:shd w:val="clear" w:color="auto" w:fill="auto"/>
            <w:noWrap/>
            <w:vAlign w:val="center"/>
          </w:tcPr>
          <w:p w14:paraId="440E6D55">
            <w:pPr>
              <w:spacing w:after="0" w:line="288" w:lineRule="auto"/>
              <w:jc w:val="center"/>
              <w:rPr>
                <w:rFonts w:ascii="宋体" w:hAnsi="宋体" w:cs="宋体"/>
                <w:color w:val="000000"/>
                <w:sz w:val="24"/>
              </w:rPr>
            </w:pPr>
            <w:r>
              <w:rPr>
                <w:rFonts w:hint="eastAsia" w:ascii="宋体" w:hAnsi="宋体" w:cs="宋体"/>
                <w:color w:val="000000"/>
                <w:sz w:val="24"/>
              </w:rPr>
              <w:t>5</w:t>
            </w:r>
          </w:p>
        </w:tc>
        <w:tc>
          <w:tcPr>
            <w:tcW w:w="876" w:type="dxa"/>
            <w:shd w:val="clear" w:color="auto" w:fill="auto"/>
            <w:vAlign w:val="center"/>
          </w:tcPr>
          <w:p w14:paraId="08DE6361">
            <w:pPr>
              <w:spacing w:after="0" w:line="288" w:lineRule="auto"/>
              <w:jc w:val="center"/>
              <w:rPr>
                <w:rFonts w:ascii="宋体" w:hAnsi="宋体" w:cs="宋体"/>
                <w:b/>
                <w:bCs/>
                <w:kern w:val="0"/>
                <w:sz w:val="24"/>
              </w:rPr>
            </w:pPr>
            <w:r>
              <w:rPr>
                <w:rFonts w:hint="eastAsia" w:ascii="宋体" w:hAnsi="宋体" w:cs="宋体"/>
                <w:b/>
                <w:bCs/>
                <w:kern w:val="0"/>
                <w:sz w:val="24"/>
                <w:lang w:val="zh-CN"/>
              </w:rPr>
              <w:t>内部安全保密制度</w:t>
            </w:r>
          </w:p>
        </w:tc>
        <w:tc>
          <w:tcPr>
            <w:tcW w:w="5363" w:type="dxa"/>
            <w:shd w:val="clear" w:color="auto" w:fill="auto"/>
            <w:vAlign w:val="center"/>
          </w:tcPr>
          <w:p w14:paraId="4956C507">
            <w:pPr>
              <w:spacing w:after="0" w:line="360" w:lineRule="auto"/>
              <w:jc w:val="left"/>
              <w:rPr>
                <w:rFonts w:ascii="宋体" w:hAnsi="宋体" w:cs="宋体"/>
                <w:kern w:val="0"/>
                <w:sz w:val="24"/>
                <w:lang w:val="zh-CN"/>
              </w:rPr>
            </w:pPr>
            <w:r>
              <w:rPr>
                <w:rFonts w:hint="eastAsia" w:ascii="宋体" w:hAnsi="宋体" w:cs="宋体"/>
                <w:kern w:val="0"/>
                <w:sz w:val="24"/>
                <w:lang w:val="zh-CN"/>
              </w:rPr>
              <w:t>根据</w:t>
            </w:r>
            <w:r>
              <w:rPr>
                <w:rFonts w:hint="eastAsia" w:ascii="宋体" w:hAnsi="宋体" w:cs="宋体"/>
                <w:kern w:val="0"/>
                <w:sz w:val="24"/>
                <w:lang w:bidi="ar"/>
              </w:rPr>
              <w:t>投标人</w:t>
            </w:r>
            <w:r>
              <w:rPr>
                <w:rFonts w:hint="eastAsia" w:ascii="宋体" w:hAnsi="宋体" w:cs="宋体"/>
                <w:kern w:val="0"/>
                <w:sz w:val="24"/>
                <w:lang w:val="zh-CN"/>
              </w:rPr>
              <w:t>针对本项目制定的内部安全保密制度的制定及实施内容进行打分。</w:t>
            </w:r>
          </w:p>
          <w:p w14:paraId="1CC352FD">
            <w:pPr>
              <w:spacing w:after="0" w:line="360" w:lineRule="auto"/>
              <w:jc w:val="left"/>
              <w:rPr>
                <w:rFonts w:ascii="宋体" w:hAnsi="宋体" w:cs="宋体"/>
                <w:kern w:val="0"/>
                <w:sz w:val="24"/>
                <w:lang w:val="zh-CN"/>
              </w:rPr>
            </w:pPr>
            <w:r>
              <w:rPr>
                <w:rFonts w:hint="eastAsia" w:ascii="宋体" w:hAnsi="宋体" w:cs="宋体"/>
                <w:kern w:val="0"/>
                <w:sz w:val="24"/>
                <w:lang w:val="zh-CN"/>
              </w:rPr>
              <w:t>安全保密制度健全符合要求的得</w:t>
            </w:r>
            <w:r>
              <w:rPr>
                <w:rFonts w:hint="eastAsia" w:ascii="宋体" w:hAnsi="宋体" w:cs="宋体"/>
                <w:kern w:val="0"/>
                <w:sz w:val="24"/>
                <w:lang w:val="en-US" w:eastAsia="zh-CN"/>
              </w:rPr>
              <w:t>5</w:t>
            </w:r>
            <w:r>
              <w:rPr>
                <w:rFonts w:hint="eastAsia" w:ascii="宋体" w:hAnsi="宋体" w:cs="宋体"/>
                <w:kern w:val="0"/>
                <w:sz w:val="24"/>
                <w:lang w:val="zh-CN"/>
              </w:rPr>
              <w:t>分；</w:t>
            </w:r>
          </w:p>
          <w:p w14:paraId="37889E5D">
            <w:pPr>
              <w:spacing w:after="0" w:line="360" w:lineRule="auto"/>
              <w:jc w:val="left"/>
              <w:rPr>
                <w:rFonts w:ascii="宋体" w:hAnsi="宋体" w:cs="宋体"/>
                <w:kern w:val="0"/>
                <w:sz w:val="24"/>
              </w:rPr>
            </w:pPr>
            <w:r>
              <w:rPr>
                <w:rFonts w:hint="eastAsia" w:ascii="宋体" w:hAnsi="宋体" w:cs="宋体"/>
                <w:kern w:val="0"/>
                <w:sz w:val="24"/>
                <w:lang w:val="zh-CN"/>
              </w:rPr>
              <w:t>安全保密制度部分符合要求的得</w:t>
            </w:r>
            <w:r>
              <w:rPr>
                <w:rFonts w:hint="eastAsia" w:ascii="宋体" w:hAnsi="宋体" w:cs="宋体"/>
                <w:kern w:val="0"/>
                <w:sz w:val="24"/>
                <w:lang w:val="en-US" w:eastAsia="zh-CN"/>
              </w:rPr>
              <w:t>3</w:t>
            </w:r>
            <w:r>
              <w:rPr>
                <w:rFonts w:hint="eastAsia" w:ascii="宋体" w:hAnsi="宋体" w:cs="宋体"/>
                <w:kern w:val="0"/>
                <w:sz w:val="24"/>
              </w:rPr>
              <w:t>分；</w:t>
            </w:r>
          </w:p>
          <w:p w14:paraId="389D93B3">
            <w:pPr>
              <w:adjustRightInd/>
              <w:spacing w:after="0" w:line="360" w:lineRule="auto"/>
              <w:jc w:val="left"/>
              <w:rPr>
                <w:rFonts w:ascii="宋体" w:hAnsi="宋体" w:cs="宋体"/>
                <w:sz w:val="24"/>
              </w:rPr>
            </w:pPr>
            <w:r>
              <w:rPr>
                <w:rFonts w:hint="eastAsia" w:ascii="宋体" w:hAnsi="宋体" w:cs="宋体"/>
                <w:kern w:val="0"/>
                <w:sz w:val="24"/>
                <w:lang w:val="zh-CN"/>
              </w:rPr>
              <w:t>安全保密制度欠缺较多，符合性较差的得</w:t>
            </w:r>
            <w:r>
              <w:rPr>
                <w:rFonts w:hint="eastAsia" w:ascii="宋体" w:hAnsi="宋体" w:cs="宋体"/>
                <w:kern w:val="0"/>
                <w:sz w:val="24"/>
              </w:rPr>
              <w:t>1</w:t>
            </w:r>
            <w:r>
              <w:rPr>
                <w:rFonts w:hint="eastAsia" w:ascii="宋体" w:hAnsi="宋体" w:cs="宋体"/>
                <w:kern w:val="0"/>
                <w:sz w:val="24"/>
                <w:lang w:val="zh-CN"/>
              </w:rPr>
              <w:t>分；没有提供内容的不得分。</w:t>
            </w:r>
          </w:p>
        </w:tc>
        <w:tc>
          <w:tcPr>
            <w:tcW w:w="1031" w:type="dxa"/>
            <w:shd w:val="clear" w:color="auto" w:fill="auto"/>
            <w:noWrap/>
            <w:vAlign w:val="center"/>
          </w:tcPr>
          <w:p w14:paraId="342F43F9">
            <w:pPr>
              <w:widowControl/>
              <w:spacing w:after="0" w:line="288"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分</w:t>
            </w:r>
          </w:p>
        </w:tc>
        <w:tc>
          <w:tcPr>
            <w:tcW w:w="1022" w:type="dxa"/>
            <w:shd w:val="clear" w:color="auto" w:fill="auto"/>
            <w:noWrap/>
            <w:vAlign w:val="center"/>
          </w:tcPr>
          <w:p w14:paraId="28562B1A">
            <w:pPr>
              <w:spacing w:after="0" w:line="288" w:lineRule="auto"/>
              <w:jc w:val="center"/>
              <w:rPr>
                <w:rFonts w:ascii="宋体" w:hAnsi="宋体" w:cs="宋体"/>
                <w:color w:val="000000"/>
                <w:sz w:val="24"/>
              </w:rPr>
            </w:pPr>
            <w:r>
              <w:rPr>
                <w:rFonts w:hint="eastAsia" w:ascii="宋体" w:hAnsi="宋体" w:cs="宋体"/>
                <w:color w:val="000000"/>
                <w:kern w:val="0"/>
                <w:sz w:val="24"/>
                <w:lang w:bidi="ar"/>
              </w:rPr>
              <w:t>主观分</w:t>
            </w:r>
          </w:p>
        </w:tc>
      </w:tr>
      <w:tr w14:paraId="185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0" w:type="dxa"/>
            <w:vMerge w:val="restart"/>
            <w:shd w:val="clear" w:color="auto" w:fill="auto"/>
            <w:noWrap/>
            <w:vAlign w:val="center"/>
          </w:tcPr>
          <w:p w14:paraId="3B9A71FB">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76" w:type="dxa"/>
            <w:vMerge w:val="restart"/>
            <w:shd w:val="clear" w:color="auto" w:fill="auto"/>
            <w:vAlign w:val="center"/>
          </w:tcPr>
          <w:p w14:paraId="4722FC1C">
            <w:pPr>
              <w:spacing w:after="0" w:line="288" w:lineRule="auto"/>
              <w:jc w:val="center"/>
              <w:rPr>
                <w:rFonts w:ascii="宋体" w:hAnsi="宋体" w:cs="宋体"/>
                <w:b/>
                <w:bCs/>
                <w:kern w:val="0"/>
                <w:sz w:val="24"/>
                <w:lang w:val="zh-CN"/>
              </w:rPr>
            </w:pPr>
          </w:p>
          <w:p w14:paraId="1C1EE718">
            <w:pPr>
              <w:spacing w:after="0" w:line="288" w:lineRule="auto"/>
              <w:jc w:val="center"/>
              <w:rPr>
                <w:rFonts w:ascii="宋体" w:hAnsi="宋体" w:cs="宋体"/>
                <w:b/>
                <w:bCs/>
                <w:kern w:val="0"/>
                <w:sz w:val="24"/>
              </w:rPr>
            </w:pPr>
            <w:r>
              <w:rPr>
                <w:rFonts w:hint="eastAsia" w:ascii="宋体" w:hAnsi="宋体" w:cs="宋体"/>
                <w:b/>
                <w:bCs/>
                <w:kern w:val="0"/>
                <w:sz w:val="24"/>
              </w:rPr>
              <w:t>实施</w:t>
            </w:r>
          </w:p>
          <w:p w14:paraId="6DC9A3B4">
            <w:pPr>
              <w:spacing w:after="0" w:line="288" w:lineRule="auto"/>
              <w:jc w:val="center"/>
              <w:rPr>
                <w:rFonts w:ascii="宋体" w:hAnsi="宋体" w:cs="宋体"/>
                <w:b/>
                <w:bCs/>
                <w:kern w:val="0"/>
                <w:sz w:val="24"/>
              </w:rPr>
            </w:pPr>
            <w:r>
              <w:rPr>
                <w:rFonts w:hint="eastAsia" w:ascii="宋体" w:hAnsi="宋体" w:cs="宋体"/>
                <w:b/>
                <w:bCs/>
                <w:kern w:val="0"/>
                <w:sz w:val="24"/>
              </w:rPr>
              <w:t>团队</w:t>
            </w:r>
          </w:p>
        </w:tc>
        <w:tc>
          <w:tcPr>
            <w:tcW w:w="5363" w:type="dxa"/>
            <w:shd w:val="clear" w:color="auto" w:fill="auto"/>
            <w:vAlign w:val="center"/>
          </w:tcPr>
          <w:p w14:paraId="184E08CD">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1.具有PMP证书的，每提供1人得2分，最多得</w:t>
            </w: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1031" w:type="dxa"/>
            <w:vMerge w:val="restart"/>
            <w:shd w:val="clear" w:color="auto" w:fill="auto"/>
            <w:noWrap/>
            <w:vAlign w:val="center"/>
          </w:tcPr>
          <w:p w14:paraId="6AFC085E">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分</w:t>
            </w:r>
          </w:p>
        </w:tc>
        <w:tc>
          <w:tcPr>
            <w:tcW w:w="1022" w:type="dxa"/>
            <w:vMerge w:val="restart"/>
            <w:shd w:val="clear" w:color="auto" w:fill="auto"/>
            <w:noWrap/>
            <w:vAlign w:val="center"/>
          </w:tcPr>
          <w:p w14:paraId="4710BB32">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5F2B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80" w:type="dxa"/>
            <w:vMerge w:val="continue"/>
            <w:shd w:val="clear" w:color="auto" w:fill="auto"/>
            <w:noWrap/>
            <w:vAlign w:val="center"/>
          </w:tcPr>
          <w:p w14:paraId="3C49CA7F">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77974516">
            <w:pPr>
              <w:spacing w:after="0" w:line="288" w:lineRule="auto"/>
              <w:jc w:val="center"/>
              <w:rPr>
                <w:rFonts w:ascii="宋体" w:hAnsi="宋体" w:cs="宋体"/>
                <w:color w:val="000000"/>
                <w:sz w:val="24"/>
              </w:rPr>
            </w:pPr>
          </w:p>
        </w:tc>
        <w:tc>
          <w:tcPr>
            <w:tcW w:w="5363" w:type="dxa"/>
            <w:shd w:val="clear" w:color="auto" w:fill="auto"/>
            <w:vAlign w:val="center"/>
          </w:tcPr>
          <w:p w14:paraId="15E0E02F">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2.具有</w:t>
            </w:r>
            <w:r>
              <w:rPr>
                <w:rFonts w:hint="eastAsia" w:ascii="宋体" w:hAnsi="宋体" w:cs="宋体"/>
                <w:color w:val="000000"/>
                <w:kern w:val="0"/>
                <w:sz w:val="24"/>
                <w:lang w:val="en-US" w:eastAsia="zh-CN" w:bidi="ar"/>
              </w:rPr>
              <w:t>中级及以上</w:t>
            </w:r>
            <w:r>
              <w:rPr>
                <w:rFonts w:hint="eastAsia" w:ascii="宋体" w:hAnsi="宋体" w:cs="宋体"/>
                <w:color w:val="000000"/>
                <w:kern w:val="0"/>
                <w:sz w:val="24"/>
                <w:lang w:bidi="ar"/>
              </w:rPr>
              <w:t>技术职称的，每提供1人得2分，最多得4分；</w:t>
            </w:r>
          </w:p>
        </w:tc>
        <w:tc>
          <w:tcPr>
            <w:tcW w:w="1031" w:type="dxa"/>
            <w:vMerge w:val="continue"/>
            <w:shd w:val="clear" w:color="auto" w:fill="auto"/>
            <w:noWrap/>
            <w:vAlign w:val="center"/>
          </w:tcPr>
          <w:p w14:paraId="304E3264">
            <w:pPr>
              <w:spacing w:after="0" w:line="288" w:lineRule="auto"/>
              <w:jc w:val="center"/>
              <w:rPr>
                <w:rFonts w:ascii="宋体" w:hAnsi="宋体" w:cs="宋体"/>
                <w:color w:val="000000"/>
                <w:sz w:val="24"/>
              </w:rPr>
            </w:pPr>
          </w:p>
        </w:tc>
        <w:tc>
          <w:tcPr>
            <w:tcW w:w="1022" w:type="dxa"/>
            <w:vMerge w:val="continue"/>
            <w:shd w:val="clear" w:color="auto" w:fill="auto"/>
            <w:noWrap/>
            <w:vAlign w:val="center"/>
          </w:tcPr>
          <w:p w14:paraId="25CB1E63">
            <w:pPr>
              <w:spacing w:after="0" w:line="288" w:lineRule="auto"/>
              <w:jc w:val="center"/>
              <w:rPr>
                <w:rFonts w:ascii="宋体" w:hAnsi="宋体" w:cs="宋体"/>
                <w:color w:val="000000"/>
                <w:sz w:val="24"/>
              </w:rPr>
            </w:pPr>
          </w:p>
        </w:tc>
      </w:tr>
      <w:tr w14:paraId="4A9B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0" w:type="dxa"/>
            <w:vMerge w:val="continue"/>
            <w:shd w:val="clear" w:color="auto" w:fill="auto"/>
            <w:noWrap/>
            <w:vAlign w:val="center"/>
          </w:tcPr>
          <w:p w14:paraId="48573355">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5DED7294">
            <w:pPr>
              <w:spacing w:after="0" w:line="288" w:lineRule="auto"/>
              <w:jc w:val="center"/>
              <w:rPr>
                <w:rFonts w:ascii="宋体" w:hAnsi="宋体" w:cs="宋体"/>
                <w:color w:val="000000"/>
                <w:sz w:val="24"/>
              </w:rPr>
            </w:pPr>
          </w:p>
        </w:tc>
        <w:tc>
          <w:tcPr>
            <w:tcW w:w="5363" w:type="dxa"/>
            <w:shd w:val="clear" w:color="auto" w:fill="auto"/>
            <w:vAlign w:val="center"/>
          </w:tcPr>
          <w:p w14:paraId="61407D3C">
            <w:pPr>
              <w:widowControl/>
              <w:spacing w:after="0" w:line="288"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备注：同一人员证书不重复计分。提供人员的简历表、相关证书以及本单位</w:t>
            </w:r>
            <w:r>
              <w:rPr>
                <w:rFonts w:hint="eastAsia" w:ascii="宋体" w:hAnsi="宋体" w:cs="宋体"/>
                <w:b/>
                <w:bCs/>
                <w:kern w:val="0"/>
                <w:sz w:val="24"/>
              </w:rPr>
              <w:t>劳动合同（或近1个月社保证明）</w:t>
            </w:r>
            <w:r>
              <w:rPr>
                <w:rFonts w:hint="eastAsia" w:ascii="宋体" w:hAnsi="宋体" w:cs="宋体"/>
                <w:b/>
                <w:bCs/>
                <w:color w:val="000000"/>
                <w:kern w:val="0"/>
                <w:sz w:val="24"/>
                <w:lang w:bidi="ar"/>
              </w:rPr>
              <w:t>复印件加盖公章，不提供不得分。</w:t>
            </w:r>
          </w:p>
        </w:tc>
        <w:tc>
          <w:tcPr>
            <w:tcW w:w="1031" w:type="dxa"/>
            <w:vMerge w:val="continue"/>
            <w:shd w:val="clear" w:color="auto" w:fill="auto"/>
            <w:noWrap/>
            <w:vAlign w:val="center"/>
          </w:tcPr>
          <w:p w14:paraId="4C2E16A2">
            <w:pPr>
              <w:spacing w:after="0" w:line="288" w:lineRule="auto"/>
              <w:jc w:val="center"/>
              <w:rPr>
                <w:rFonts w:ascii="宋体" w:hAnsi="宋体" w:cs="宋体"/>
                <w:color w:val="000000"/>
                <w:sz w:val="24"/>
              </w:rPr>
            </w:pPr>
          </w:p>
        </w:tc>
        <w:tc>
          <w:tcPr>
            <w:tcW w:w="1022" w:type="dxa"/>
            <w:vMerge w:val="continue"/>
            <w:shd w:val="clear" w:color="auto" w:fill="auto"/>
            <w:noWrap/>
            <w:vAlign w:val="center"/>
          </w:tcPr>
          <w:p w14:paraId="18A61D0C">
            <w:pPr>
              <w:spacing w:after="0" w:line="288" w:lineRule="auto"/>
              <w:jc w:val="center"/>
              <w:rPr>
                <w:rFonts w:ascii="宋体" w:hAnsi="宋体" w:cs="宋体"/>
                <w:color w:val="000000"/>
                <w:sz w:val="24"/>
              </w:rPr>
            </w:pPr>
          </w:p>
        </w:tc>
      </w:tr>
      <w:tr w14:paraId="6D79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auto"/>
            <w:noWrap/>
            <w:vAlign w:val="center"/>
          </w:tcPr>
          <w:p w14:paraId="71824117">
            <w:pPr>
              <w:spacing w:after="0" w:line="288" w:lineRule="auto"/>
              <w:jc w:val="center"/>
              <w:rPr>
                <w:rFonts w:ascii="宋体" w:hAnsi="宋体" w:cs="宋体"/>
                <w:color w:val="000000"/>
                <w:sz w:val="24"/>
              </w:rPr>
            </w:pPr>
          </w:p>
        </w:tc>
        <w:tc>
          <w:tcPr>
            <w:tcW w:w="876" w:type="dxa"/>
            <w:vMerge w:val="continue"/>
            <w:shd w:val="clear" w:color="auto" w:fill="auto"/>
            <w:vAlign w:val="center"/>
          </w:tcPr>
          <w:p w14:paraId="6BA9A6A2">
            <w:pPr>
              <w:widowControl/>
              <w:spacing w:after="0" w:line="288" w:lineRule="auto"/>
              <w:jc w:val="center"/>
              <w:textAlignment w:val="center"/>
              <w:rPr>
                <w:rFonts w:ascii="宋体" w:hAnsi="宋体" w:cs="宋体"/>
                <w:color w:val="000000"/>
                <w:sz w:val="24"/>
              </w:rPr>
            </w:pPr>
          </w:p>
        </w:tc>
        <w:tc>
          <w:tcPr>
            <w:tcW w:w="5363" w:type="dxa"/>
            <w:shd w:val="clear" w:color="auto" w:fill="auto"/>
            <w:vAlign w:val="center"/>
          </w:tcPr>
          <w:p w14:paraId="35C0723E">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供应商提供本项目核心人员的项目经验，对其在项目中的主要工作内容、项目角色、解决技术疑难点等方面进行描述。</w:t>
            </w:r>
          </w:p>
          <w:p w14:paraId="479A2EF6">
            <w:pPr>
              <w:widowControl/>
              <w:numPr>
                <w:ilvl w:val="255"/>
                <w:numId w:val="0"/>
              </w:numPr>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人员数量安排充足、项目经验丰富、与本项目要求专业内容契合度高、具有解决相关疑难问题的能力和经验进行打分，</w:t>
            </w:r>
          </w:p>
          <w:p w14:paraId="0F056DCC">
            <w:pPr>
              <w:widowControl/>
              <w:numPr>
                <w:ilvl w:val="255"/>
                <w:numId w:val="0"/>
              </w:numPr>
              <w:spacing w:after="0" w:line="288" w:lineRule="auto"/>
              <w:jc w:val="left"/>
              <w:textAlignment w:val="center"/>
              <w:rPr>
                <w:rFonts w:ascii="宋体" w:hAnsi="宋体" w:cs="宋体"/>
                <w:sz w:val="24"/>
              </w:rPr>
            </w:pPr>
            <w:r>
              <w:rPr>
                <w:rFonts w:hint="eastAsia" w:ascii="宋体" w:hAnsi="宋体" w:cs="宋体"/>
                <w:sz w:val="24"/>
              </w:rPr>
              <w:t>人员数量与配备合理，投入优化好的得</w:t>
            </w:r>
            <w:r>
              <w:rPr>
                <w:rFonts w:ascii="宋体" w:hAnsi="宋体" w:cs="宋体"/>
                <w:sz w:val="24"/>
              </w:rPr>
              <w:t>6</w:t>
            </w:r>
            <w:r>
              <w:rPr>
                <w:rFonts w:hint="eastAsia" w:ascii="宋体" w:hAnsi="宋体" w:cs="宋体"/>
                <w:sz w:val="24"/>
              </w:rPr>
              <w:t>分 ；</w:t>
            </w:r>
          </w:p>
          <w:p w14:paraId="60C788C7">
            <w:pPr>
              <w:widowControl/>
              <w:numPr>
                <w:ilvl w:val="255"/>
                <w:numId w:val="0"/>
              </w:numPr>
              <w:spacing w:after="0" w:line="288" w:lineRule="auto"/>
              <w:jc w:val="left"/>
              <w:textAlignment w:val="center"/>
              <w:rPr>
                <w:rFonts w:ascii="宋体" w:hAnsi="宋体" w:cs="宋体"/>
                <w:sz w:val="24"/>
              </w:rPr>
            </w:pPr>
            <w:r>
              <w:rPr>
                <w:rFonts w:hint="eastAsia" w:ascii="宋体" w:hAnsi="宋体" w:cs="宋体"/>
                <w:sz w:val="24"/>
              </w:rPr>
              <w:t>人员数量与配备较合理，投入优化较好的得3分；</w:t>
            </w:r>
          </w:p>
          <w:p w14:paraId="345F9298">
            <w:pPr>
              <w:widowControl/>
              <w:spacing w:after="0" w:line="288" w:lineRule="auto"/>
              <w:jc w:val="left"/>
              <w:textAlignment w:val="center"/>
              <w:rPr>
                <w:rFonts w:ascii="宋体" w:hAnsi="宋体" w:cs="宋体"/>
                <w:color w:val="000000"/>
                <w:sz w:val="24"/>
              </w:rPr>
            </w:pPr>
            <w:r>
              <w:rPr>
                <w:rFonts w:hint="eastAsia" w:ascii="宋体" w:hAnsi="宋体" w:cs="宋体"/>
                <w:sz w:val="24"/>
              </w:rPr>
              <w:t>人员数量与配备合理性较差，投入不优化的得1分。</w:t>
            </w:r>
          </w:p>
        </w:tc>
        <w:tc>
          <w:tcPr>
            <w:tcW w:w="1031" w:type="dxa"/>
            <w:shd w:val="clear" w:color="auto" w:fill="auto"/>
            <w:noWrap/>
            <w:vAlign w:val="center"/>
          </w:tcPr>
          <w:p w14:paraId="14547000">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1022" w:type="dxa"/>
            <w:shd w:val="clear" w:color="auto" w:fill="auto"/>
            <w:noWrap/>
            <w:vAlign w:val="center"/>
          </w:tcPr>
          <w:p w14:paraId="7016383E">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bl>
    <w:p w14:paraId="5C654CBF">
      <w:pPr>
        <w:spacing w:line="288" w:lineRule="auto"/>
        <w:jc w:val="left"/>
        <w:rPr>
          <w:rFonts w:ascii="宋体" w:hAnsi="宋体" w:cs="宋体"/>
          <w:b/>
          <w:szCs w:val="21"/>
        </w:rPr>
      </w:pPr>
    </w:p>
    <w:p w14:paraId="19984EEF">
      <w:pPr>
        <w:spacing w:line="240" w:lineRule="auto"/>
        <w:jc w:val="center"/>
        <w:rPr>
          <w:rFonts w:hint="eastAsia" w:ascii="宋体" w:hAnsi="宋体" w:cs="宋体"/>
          <w:b/>
          <w:sz w:val="24"/>
        </w:rPr>
      </w:pPr>
    </w:p>
    <w:p w14:paraId="3B0FC5C2">
      <w:pPr>
        <w:spacing w:line="240" w:lineRule="auto"/>
        <w:jc w:val="center"/>
        <w:rPr>
          <w:rFonts w:hint="eastAsia" w:ascii="宋体" w:hAnsi="宋体" w:cs="宋体"/>
          <w:b/>
          <w:sz w:val="24"/>
        </w:rPr>
      </w:pPr>
    </w:p>
    <w:p w14:paraId="2E6B2F1E">
      <w:pPr>
        <w:spacing w:line="240" w:lineRule="auto"/>
        <w:jc w:val="center"/>
        <w:rPr>
          <w:rFonts w:hint="eastAsia" w:ascii="宋体" w:hAnsi="宋体" w:cs="宋体"/>
          <w:b/>
          <w:sz w:val="24"/>
        </w:rPr>
      </w:pPr>
    </w:p>
    <w:p w14:paraId="652EE767">
      <w:pPr>
        <w:spacing w:line="240" w:lineRule="auto"/>
        <w:jc w:val="center"/>
        <w:rPr>
          <w:rFonts w:hint="eastAsia" w:ascii="宋体" w:hAnsi="宋体" w:cs="宋体"/>
          <w:b/>
          <w:sz w:val="24"/>
        </w:rPr>
      </w:pPr>
    </w:p>
    <w:p w14:paraId="4B415C79">
      <w:pPr>
        <w:spacing w:line="240" w:lineRule="auto"/>
        <w:jc w:val="center"/>
        <w:rPr>
          <w:rFonts w:hint="eastAsia" w:ascii="宋体" w:hAnsi="宋体" w:cs="宋体"/>
          <w:b/>
          <w:sz w:val="24"/>
        </w:rPr>
      </w:pPr>
    </w:p>
    <w:p w14:paraId="36352C74">
      <w:pPr>
        <w:spacing w:line="240" w:lineRule="auto"/>
        <w:jc w:val="center"/>
        <w:rPr>
          <w:rFonts w:hint="eastAsia" w:ascii="宋体" w:hAnsi="宋体" w:cs="宋体"/>
          <w:b/>
          <w:sz w:val="24"/>
        </w:rPr>
      </w:pPr>
    </w:p>
    <w:p w14:paraId="105946CD">
      <w:pPr>
        <w:spacing w:line="240" w:lineRule="auto"/>
        <w:jc w:val="center"/>
        <w:rPr>
          <w:rFonts w:hint="eastAsia" w:ascii="宋体" w:hAnsi="宋体" w:cs="宋体"/>
          <w:b/>
          <w:sz w:val="24"/>
        </w:rPr>
      </w:pPr>
    </w:p>
    <w:p w14:paraId="3F5BB67A">
      <w:pPr>
        <w:spacing w:line="240" w:lineRule="auto"/>
        <w:jc w:val="center"/>
        <w:rPr>
          <w:rFonts w:hint="eastAsia" w:ascii="宋体" w:hAnsi="宋体" w:cs="宋体"/>
          <w:b/>
          <w:sz w:val="24"/>
        </w:rPr>
      </w:pPr>
    </w:p>
    <w:p w14:paraId="1492EF82">
      <w:pPr>
        <w:spacing w:line="240" w:lineRule="auto"/>
        <w:jc w:val="center"/>
        <w:rPr>
          <w:rFonts w:hint="eastAsia" w:ascii="宋体" w:hAnsi="宋体" w:cs="宋体"/>
          <w:b/>
          <w:sz w:val="24"/>
        </w:rPr>
      </w:pPr>
    </w:p>
    <w:p w14:paraId="38066558">
      <w:pPr>
        <w:spacing w:line="240" w:lineRule="auto"/>
        <w:jc w:val="center"/>
        <w:rPr>
          <w:rFonts w:hint="eastAsia" w:ascii="宋体" w:hAnsi="宋体" w:cs="宋体"/>
          <w:b/>
          <w:sz w:val="24"/>
        </w:rPr>
      </w:pPr>
    </w:p>
    <w:p w14:paraId="1F551518">
      <w:pPr>
        <w:spacing w:line="240" w:lineRule="auto"/>
        <w:jc w:val="center"/>
        <w:rPr>
          <w:rFonts w:hint="eastAsia" w:ascii="宋体" w:hAnsi="宋体" w:cs="宋体"/>
          <w:b/>
          <w:sz w:val="24"/>
        </w:rPr>
      </w:pPr>
    </w:p>
    <w:p w14:paraId="7507433C">
      <w:pPr>
        <w:spacing w:line="240" w:lineRule="auto"/>
        <w:jc w:val="center"/>
        <w:rPr>
          <w:rFonts w:hint="eastAsia" w:ascii="宋体" w:hAnsi="宋体" w:cs="宋体"/>
          <w:b/>
          <w:sz w:val="24"/>
        </w:rPr>
      </w:pPr>
    </w:p>
    <w:p w14:paraId="2512B347">
      <w:pPr>
        <w:spacing w:line="240" w:lineRule="auto"/>
        <w:jc w:val="center"/>
        <w:rPr>
          <w:rFonts w:hint="eastAsia" w:ascii="宋体" w:hAnsi="宋体" w:cs="宋体"/>
          <w:b/>
          <w:sz w:val="24"/>
        </w:rPr>
      </w:pPr>
    </w:p>
    <w:p w14:paraId="6433C105">
      <w:pPr>
        <w:spacing w:line="240" w:lineRule="auto"/>
        <w:jc w:val="center"/>
        <w:rPr>
          <w:rFonts w:hint="eastAsia" w:ascii="宋体" w:hAnsi="宋体" w:cs="宋体"/>
          <w:b/>
          <w:sz w:val="24"/>
        </w:rPr>
      </w:pPr>
    </w:p>
    <w:p w14:paraId="27C728BB">
      <w:pPr>
        <w:spacing w:line="240" w:lineRule="auto"/>
        <w:jc w:val="center"/>
        <w:rPr>
          <w:rFonts w:hint="eastAsia" w:ascii="宋体" w:hAnsi="宋体" w:cs="宋体"/>
          <w:b/>
          <w:sz w:val="24"/>
        </w:rPr>
      </w:pPr>
    </w:p>
    <w:p w14:paraId="76ADCCCC">
      <w:pPr>
        <w:spacing w:line="240" w:lineRule="auto"/>
        <w:jc w:val="center"/>
        <w:rPr>
          <w:rFonts w:hint="eastAsia" w:ascii="宋体" w:hAnsi="宋体" w:cs="宋体"/>
          <w:b/>
          <w:sz w:val="24"/>
        </w:rPr>
      </w:pPr>
    </w:p>
    <w:p w14:paraId="5EC66481">
      <w:pPr>
        <w:spacing w:line="240" w:lineRule="auto"/>
        <w:jc w:val="center"/>
        <w:rPr>
          <w:rFonts w:hint="eastAsia" w:ascii="宋体" w:hAnsi="宋体" w:cs="宋体"/>
          <w:b/>
          <w:sz w:val="24"/>
        </w:rPr>
      </w:pPr>
    </w:p>
    <w:p w14:paraId="2C3AB0D3">
      <w:pPr>
        <w:spacing w:line="240" w:lineRule="auto"/>
        <w:jc w:val="center"/>
        <w:rPr>
          <w:rFonts w:hint="eastAsia" w:ascii="宋体" w:hAnsi="宋体" w:cs="宋体"/>
          <w:b/>
          <w:sz w:val="24"/>
        </w:rPr>
      </w:pPr>
    </w:p>
    <w:p w14:paraId="263E0C4C">
      <w:pPr>
        <w:spacing w:line="240" w:lineRule="auto"/>
        <w:jc w:val="center"/>
        <w:rPr>
          <w:rFonts w:hint="eastAsia" w:ascii="宋体" w:hAnsi="宋体" w:cs="宋体"/>
          <w:b/>
          <w:sz w:val="24"/>
        </w:rPr>
      </w:pPr>
    </w:p>
    <w:p w14:paraId="09D00513">
      <w:pPr>
        <w:spacing w:line="240" w:lineRule="auto"/>
        <w:jc w:val="center"/>
        <w:rPr>
          <w:rFonts w:hint="eastAsia" w:ascii="宋体" w:hAnsi="宋体" w:cs="宋体"/>
          <w:b/>
          <w:sz w:val="24"/>
        </w:rPr>
      </w:pPr>
    </w:p>
    <w:p w14:paraId="4A17324F">
      <w:pPr>
        <w:spacing w:line="240" w:lineRule="auto"/>
        <w:jc w:val="center"/>
        <w:rPr>
          <w:rFonts w:hint="eastAsia" w:ascii="宋体" w:hAnsi="宋体" w:cs="宋体"/>
          <w:b/>
          <w:sz w:val="24"/>
        </w:rPr>
      </w:pPr>
    </w:p>
    <w:p w14:paraId="7BEC7153">
      <w:pPr>
        <w:spacing w:line="240" w:lineRule="auto"/>
        <w:jc w:val="center"/>
        <w:rPr>
          <w:rFonts w:hint="eastAsia" w:ascii="宋体" w:hAnsi="宋体" w:cs="宋体"/>
          <w:b/>
          <w:sz w:val="24"/>
        </w:rPr>
      </w:pPr>
    </w:p>
    <w:p w14:paraId="0F9DAFBE">
      <w:pPr>
        <w:spacing w:line="240" w:lineRule="auto"/>
        <w:jc w:val="center"/>
        <w:rPr>
          <w:rFonts w:hint="eastAsia" w:ascii="宋体" w:hAnsi="宋体" w:cs="宋体"/>
          <w:b/>
          <w:sz w:val="24"/>
        </w:rPr>
      </w:pPr>
    </w:p>
    <w:p w14:paraId="7425FE2B">
      <w:pPr>
        <w:spacing w:line="240" w:lineRule="auto"/>
        <w:jc w:val="center"/>
        <w:rPr>
          <w:rFonts w:hint="eastAsia" w:ascii="宋体" w:hAnsi="宋体" w:cs="宋体"/>
          <w:b/>
          <w:sz w:val="24"/>
        </w:rPr>
      </w:pPr>
    </w:p>
    <w:p w14:paraId="6A60A30C">
      <w:pPr>
        <w:spacing w:line="240" w:lineRule="auto"/>
        <w:jc w:val="center"/>
        <w:rPr>
          <w:rFonts w:hint="eastAsia" w:ascii="宋体" w:hAnsi="宋体" w:cs="宋体"/>
          <w:b/>
          <w:sz w:val="24"/>
        </w:rPr>
      </w:pPr>
    </w:p>
    <w:p w14:paraId="6209292B">
      <w:pPr>
        <w:spacing w:line="240" w:lineRule="auto"/>
        <w:jc w:val="center"/>
        <w:rPr>
          <w:rFonts w:hint="eastAsia" w:ascii="宋体" w:hAnsi="宋体" w:cs="宋体"/>
          <w:b/>
          <w:sz w:val="24"/>
        </w:rPr>
      </w:pPr>
    </w:p>
    <w:p w14:paraId="71EEDBB9">
      <w:pPr>
        <w:spacing w:line="240" w:lineRule="auto"/>
        <w:jc w:val="center"/>
        <w:rPr>
          <w:rFonts w:hint="eastAsia" w:ascii="宋体" w:hAnsi="宋体" w:cs="宋体"/>
          <w:b/>
          <w:sz w:val="24"/>
        </w:rPr>
      </w:pPr>
    </w:p>
    <w:p w14:paraId="3C06AF08">
      <w:pPr>
        <w:spacing w:line="240" w:lineRule="auto"/>
        <w:jc w:val="center"/>
        <w:rPr>
          <w:rFonts w:ascii="宋体" w:hAnsi="宋体" w:cs="宋体"/>
          <w:b/>
          <w:szCs w:val="21"/>
        </w:rPr>
      </w:pPr>
      <w:r>
        <w:rPr>
          <w:rFonts w:hint="eastAsia" w:ascii="宋体" w:hAnsi="宋体" w:cs="宋体"/>
          <w:b/>
          <w:sz w:val="24"/>
        </w:rPr>
        <w:t>标项三评分细则</w:t>
      </w:r>
    </w:p>
    <w:tbl>
      <w:tblPr>
        <w:tblStyle w:val="64"/>
        <w:tblW w:w="8881" w:type="dxa"/>
        <w:tblInd w:w="-289" w:type="dxa"/>
        <w:tblLayout w:type="fixed"/>
        <w:tblCellMar>
          <w:top w:w="0" w:type="dxa"/>
          <w:left w:w="108" w:type="dxa"/>
          <w:bottom w:w="0" w:type="dxa"/>
          <w:right w:w="108" w:type="dxa"/>
        </w:tblCellMar>
      </w:tblPr>
      <w:tblGrid>
        <w:gridCol w:w="854"/>
        <w:gridCol w:w="1082"/>
        <w:gridCol w:w="5087"/>
        <w:gridCol w:w="885"/>
        <w:gridCol w:w="973"/>
      </w:tblGrid>
      <w:tr w14:paraId="55C94D82">
        <w:tblPrEx>
          <w:tblCellMar>
            <w:top w:w="0" w:type="dxa"/>
            <w:left w:w="108" w:type="dxa"/>
            <w:bottom w:w="0" w:type="dxa"/>
            <w:right w:w="108" w:type="dxa"/>
          </w:tblCellMar>
        </w:tblPrEx>
        <w:trPr>
          <w:trHeight w:val="128"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D27C">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1656">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评分项</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019">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评 分 细 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34B0">
            <w:pPr>
              <w:widowControl/>
              <w:spacing w:after="0"/>
              <w:jc w:val="center"/>
              <w:textAlignment w:val="center"/>
              <w:rPr>
                <w:rFonts w:ascii="宋体" w:hAnsi="宋体" w:cs="宋体"/>
                <w:b/>
                <w:bCs/>
                <w:color w:val="000000"/>
                <w:sz w:val="24"/>
              </w:rPr>
            </w:pPr>
            <w:r>
              <w:rPr>
                <w:rFonts w:hint="eastAsia" w:ascii="宋体" w:hAnsi="宋体" w:cs="宋体"/>
                <w:b/>
                <w:bCs/>
                <w:kern w:val="0"/>
                <w:sz w:val="24"/>
              </w:rPr>
              <w:t>权重/分值</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C3C">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权重</w:t>
            </w:r>
          </w:p>
        </w:tc>
      </w:tr>
      <w:tr w14:paraId="24BF3881">
        <w:tblPrEx>
          <w:tblCellMar>
            <w:top w:w="0" w:type="dxa"/>
            <w:left w:w="108" w:type="dxa"/>
            <w:bottom w:w="0" w:type="dxa"/>
            <w:right w:w="108" w:type="dxa"/>
          </w:tblCellMar>
        </w:tblPrEx>
        <w:trPr>
          <w:trHeight w:val="324"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7236">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3458">
            <w:pPr>
              <w:widowControl/>
              <w:spacing w:after="0"/>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同类</w:t>
            </w:r>
          </w:p>
          <w:p w14:paraId="1A9966C5">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业绩</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DAB">
            <w:pPr>
              <w:widowControl/>
              <w:spacing w:after="0"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投标人自2020年1月1日（时间以合同签订时间为准）起承担过数据综合治理相关内容的项目合同业绩，每提供1个得0.5分，最高得1分。</w:t>
            </w:r>
          </w:p>
          <w:p w14:paraId="1C08A519">
            <w:pPr>
              <w:widowControl/>
              <w:spacing w:after="0" w:line="360" w:lineRule="auto"/>
              <w:textAlignment w:val="center"/>
              <w:rPr>
                <w:rFonts w:ascii="宋体" w:hAnsi="宋体" w:cs="宋体"/>
                <w:b/>
                <w:bCs/>
                <w:color w:val="000000"/>
                <w:sz w:val="24"/>
              </w:rPr>
            </w:pPr>
            <w:r>
              <w:rPr>
                <w:rFonts w:hint="eastAsia" w:ascii="宋体" w:hAnsi="宋体" w:cs="宋体"/>
                <w:b/>
                <w:bCs/>
                <w:color w:val="000000"/>
                <w:kern w:val="0"/>
                <w:sz w:val="24"/>
                <w:lang w:bidi="ar"/>
              </w:rPr>
              <w:t>证明材料：提供合同复印件或扫描件并加盖投标单位公章。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2C0">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1分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ED02">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63C5202A">
        <w:tblPrEx>
          <w:tblCellMar>
            <w:top w:w="0" w:type="dxa"/>
            <w:left w:w="108" w:type="dxa"/>
            <w:bottom w:w="0" w:type="dxa"/>
            <w:right w:w="108" w:type="dxa"/>
          </w:tblCellMar>
        </w:tblPrEx>
        <w:trPr>
          <w:trHeight w:val="72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51894">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2</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C257B">
            <w:pPr>
              <w:widowControl/>
              <w:spacing w:after="0"/>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企业</w:t>
            </w:r>
          </w:p>
          <w:p w14:paraId="333B3BAD">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资信</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41D6">
            <w:pPr>
              <w:widowControl/>
              <w:spacing w:after="0" w:line="360" w:lineRule="auto"/>
              <w:textAlignment w:val="center"/>
              <w:rPr>
                <w:rFonts w:ascii="宋体" w:hAnsi="宋体" w:cs="宋体"/>
                <w:color w:val="000000"/>
                <w:sz w:val="24"/>
              </w:rPr>
            </w:pPr>
            <w:r>
              <w:rPr>
                <w:rFonts w:hint="eastAsia" w:ascii="宋体" w:hAnsi="宋体" w:cs="宋体"/>
                <w:color w:val="000000"/>
                <w:kern w:val="0"/>
                <w:sz w:val="24"/>
                <w:lang w:bidi="ar"/>
              </w:rPr>
              <w:t>投标人具备有效的质量管理体系认证证书，得1分，否则本项不得分。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E83DE">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65273">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09814ED6">
        <w:tblPrEx>
          <w:tblCellMar>
            <w:top w:w="0" w:type="dxa"/>
            <w:left w:w="108" w:type="dxa"/>
            <w:bottom w:w="0" w:type="dxa"/>
            <w:right w:w="108" w:type="dxa"/>
          </w:tblCellMar>
        </w:tblPrEx>
        <w:trPr>
          <w:trHeight w:val="7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A8AF">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08F9">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3D1B">
            <w:pPr>
              <w:widowControl/>
              <w:spacing w:after="0" w:line="360"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投标人具备有效期内的信息技术服务管理体系认证证书，得1分，否则本项不得分。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67E1">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0FA3">
            <w:pPr>
              <w:spacing w:after="0"/>
              <w:jc w:val="center"/>
              <w:rPr>
                <w:rFonts w:ascii="宋体" w:hAnsi="宋体" w:cs="宋体"/>
                <w:color w:val="000000"/>
                <w:sz w:val="24"/>
              </w:rPr>
            </w:pPr>
          </w:p>
        </w:tc>
      </w:tr>
      <w:tr w14:paraId="73B5D14E">
        <w:trPr>
          <w:trHeight w:val="7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B8282">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AB929">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F851">
            <w:pPr>
              <w:widowControl/>
              <w:spacing w:after="0" w:line="360"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投标人具备有效期内的信息安全管理体系认证证书，得1分，否则本项不得分。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6129">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4A74">
            <w:pPr>
              <w:spacing w:after="0"/>
              <w:jc w:val="center"/>
              <w:rPr>
                <w:rFonts w:ascii="宋体" w:hAnsi="宋体" w:cs="宋体"/>
                <w:color w:val="000000"/>
                <w:sz w:val="24"/>
              </w:rPr>
            </w:pPr>
          </w:p>
        </w:tc>
      </w:tr>
      <w:tr w14:paraId="4BC096A1">
        <w:tblPrEx>
          <w:tblCellMar>
            <w:top w:w="0" w:type="dxa"/>
            <w:left w:w="108" w:type="dxa"/>
            <w:bottom w:w="0" w:type="dxa"/>
            <w:right w:w="108" w:type="dxa"/>
          </w:tblCellMar>
        </w:tblPrEx>
        <w:trPr>
          <w:trHeight w:val="7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FB6F5">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AF13">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BB06">
            <w:pPr>
              <w:widowControl/>
              <w:spacing w:after="0" w:line="360"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投标人具备有效期内的软件企业和软件产品认证双证书，得2分，否则本项不得分。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07498">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E400A">
            <w:pPr>
              <w:spacing w:after="0"/>
              <w:jc w:val="center"/>
              <w:rPr>
                <w:rFonts w:ascii="宋体" w:hAnsi="宋体" w:cs="宋体"/>
                <w:color w:val="000000"/>
                <w:sz w:val="24"/>
              </w:rPr>
            </w:pPr>
          </w:p>
        </w:tc>
      </w:tr>
      <w:tr w14:paraId="68DDDE48">
        <w:tblPrEx>
          <w:tblCellMar>
            <w:top w:w="0" w:type="dxa"/>
            <w:left w:w="108" w:type="dxa"/>
            <w:bottom w:w="0" w:type="dxa"/>
            <w:right w:w="108" w:type="dxa"/>
          </w:tblCellMar>
        </w:tblPrEx>
        <w:trPr>
          <w:trHeight w:val="7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CF23">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CE1F">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B051">
            <w:pPr>
              <w:widowControl/>
              <w:spacing w:after="0" w:line="360" w:lineRule="auto"/>
              <w:textAlignment w:val="center"/>
              <w:rPr>
                <w:rFonts w:ascii="宋体" w:hAnsi="宋体" w:cs="宋体"/>
                <w:color w:val="000000"/>
                <w:sz w:val="24"/>
              </w:rPr>
            </w:pPr>
            <w:r>
              <w:rPr>
                <w:rFonts w:hint="eastAsia" w:ascii="宋体" w:hAnsi="宋体" w:cs="宋体"/>
                <w:color w:val="000000"/>
                <w:kern w:val="0"/>
                <w:sz w:val="24"/>
                <w:lang w:bidi="ar"/>
              </w:rPr>
              <w:t>备注：所有在投标文件中提供有效期内的证书复印件加盖投标人公章，不提供不得分。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4275">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A51F8">
            <w:pPr>
              <w:spacing w:after="0"/>
              <w:jc w:val="center"/>
              <w:rPr>
                <w:rFonts w:ascii="宋体" w:hAnsi="宋体" w:cs="宋体"/>
                <w:color w:val="000000"/>
                <w:sz w:val="24"/>
              </w:rPr>
            </w:pPr>
          </w:p>
        </w:tc>
      </w:tr>
      <w:tr w14:paraId="271CB5F9">
        <w:tblPrEx>
          <w:tblCellMar>
            <w:top w:w="0" w:type="dxa"/>
            <w:left w:w="108" w:type="dxa"/>
            <w:bottom w:w="0" w:type="dxa"/>
            <w:right w:w="108" w:type="dxa"/>
          </w:tblCellMar>
        </w:tblPrEx>
        <w:trPr>
          <w:trHeight w:val="72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92570">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3</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7DD64">
            <w:pPr>
              <w:widowControl/>
              <w:spacing w:after="0"/>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企业</w:t>
            </w:r>
          </w:p>
          <w:p w14:paraId="26DDDA50">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实力</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FCC1">
            <w:pPr>
              <w:pStyle w:val="2"/>
              <w:ind w:left="0" w:leftChars="0" w:firstLine="0" w:firstLineChars="0"/>
            </w:pPr>
            <w:r>
              <w:rPr>
                <w:rFonts w:hint="eastAsia" w:ascii="宋体" w:hAnsi="宋体" w:cs="宋体"/>
                <w:color w:val="000000"/>
                <w:kern w:val="0"/>
                <w:sz w:val="24"/>
                <w:lang w:bidi="ar"/>
              </w:rPr>
              <w:t>投标人具有专精特新企业资质认证，国家级的得3分，省级的得2分</w:t>
            </w:r>
            <w:r>
              <w:rPr>
                <w:rFonts w:hint="eastAsia" w:cs="宋体"/>
                <w:color w:val="000000"/>
                <w:kern w:val="0"/>
                <w:sz w:val="24"/>
                <w:lang w:eastAsia="zh-CN" w:bidi="ar"/>
              </w:rPr>
              <w:t>，</w:t>
            </w:r>
            <w:r>
              <w:rPr>
                <w:rFonts w:hint="eastAsia" w:cs="宋体"/>
                <w:color w:val="000000"/>
                <w:kern w:val="0"/>
                <w:sz w:val="24"/>
                <w:lang w:val="en-US" w:eastAsia="zh-CN" w:bidi="ar"/>
              </w:rPr>
              <w:t>市级的得1分</w:t>
            </w:r>
            <w:r>
              <w:rPr>
                <w:rFonts w:hint="eastAsia" w:ascii="宋体" w:hAnsi="宋体" w:cs="宋体"/>
                <w:color w:val="000000"/>
                <w:kern w:val="0"/>
                <w:sz w:val="24"/>
                <w:lang w:bidi="ar"/>
              </w:rPr>
              <w:t>；投标时提供证书扫描件或复印件加盖投标人公章。</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A4495">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2000A">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63E67F31">
        <w:tblPrEx>
          <w:tblCellMar>
            <w:top w:w="0" w:type="dxa"/>
            <w:left w:w="108" w:type="dxa"/>
            <w:bottom w:w="0" w:type="dxa"/>
            <w:right w:w="108" w:type="dxa"/>
          </w:tblCellMar>
        </w:tblPrEx>
        <w:trPr>
          <w:trHeight w:val="7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27F8">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143D">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00D">
            <w:pPr>
              <w:widowControl/>
              <w:spacing w:after="0"/>
              <w:textAlignment w:val="center"/>
              <w:rPr>
                <w:rFonts w:ascii="宋体" w:hAnsi="宋体" w:cs="宋体"/>
                <w:color w:val="000000"/>
                <w:sz w:val="24"/>
              </w:rPr>
            </w:pPr>
            <w:r>
              <w:rPr>
                <w:rFonts w:hint="eastAsia" w:ascii="宋体" w:hAnsi="宋体" w:cs="宋体"/>
                <w:color w:val="000000"/>
                <w:kern w:val="0"/>
                <w:sz w:val="24"/>
                <w:lang w:bidi="ar"/>
              </w:rPr>
              <w:t>投标人具有软件成熟度集成模型服务能力CMMI</w:t>
            </w:r>
            <w:r>
              <w:rPr>
                <w:rFonts w:ascii="宋体" w:hAnsi="宋体" w:cs="宋体"/>
                <w:color w:val="000000"/>
                <w:kern w:val="0"/>
                <w:sz w:val="24"/>
                <w:lang w:bidi="ar"/>
              </w:rPr>
              <w:t>3</w:t>
            </w:r>
            <w:r>
              <w:rPr>
                <w:rFonts w:hint="eastAsia" w:ascii="宋体" w:hAnsi="宋体" w:cs="宋体"/>
                <w:color w:val="000000"/>
                <w:kern w:val="0"/>
                <w:sz w:val="24"/>
                <w:lang w:bidi="ar"/>
              </w:rPr>
              <w:t>级或以上证书得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A3FF6">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BC4A">
            <w:pPr>
              <w:spacing w:after="0"/>
              <w:jc w:val="center"/>
              <w:rPr>
                <w:rFonts w:ascii="宋体" w:hAnsi="宋体" w:cs="宋体"/>
                <w:color w:val="000000"/>
                <w:sz w:val="24"/>
              </w:rPr>
            </w:pPr>
          </w:p>
        </w:tc>
      </w:tr>
      <w:tr w14:paraId="258C9805">
        <w:tblPrEx>
          <w:tblCellMar>
            <w:top w:w="0" w:type="dxa"/>
            <w:left w:w="108" w:type="dxa"/>
            <w:bottom w:w="0" w:type="dxa"/>
            <w:right w:w="108" w:type="dxa"/>
          </w:tblCellMar>
        </w:tblPrEx>
        <w:trPr>
          <w:trHeight w:val="7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AC93">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A49A">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7720">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投标人具备高新技术企业证书，省级及以上的得2分，市级的得1分，其他不得分。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EC49">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E780">
            <w:pPr>
              <w:spacing w:after="0"/>
              <w:jc w:val="center"/>
              <w:rPr>
                <w:rFonts w:ascii="宋体" w:hAnsi="宋体" w:cs="宋体"/>
                <w:color w:val="000000"/>
                <w:sz w:val="24"/>
              </w:rPr>
            </w:pPr>
          </w:p>
        </w:tc>
      </w:tr>
      <w:tr w14:paraId="733D9C4F">
        <w:tblPrEx>
          <w:tblCellMar>
            <w:top w:w="0" w:type="dxa"/>
            <w:left w:w="108" w:type="dxa"/>
            <w:bottom w:w="0" w:type="dxa"/>
            <w:right w:w="108" w:type="dxa"/>
          </w:tblCellMar>
        </w:tblPrEx>
        <w:trPr>
          <w:trHeight w:val="665"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35B2">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422BA">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C514">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投标人承担过数据相关的地方标准、行业标准或国家标准起草的得4分。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2C1A">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5DFF">
            <w:pPr>
              <w:spacing w:after="0"/>
              <w:jc w:val="center"/>
              <w:rPr>
                <w:rFonts w:ascii="宋体" w:hAnsi="宋体" w:cs="宋体"/>
                <w:color w:val="000000"/>
                <w:sz w:val="24"/>
              </w:rPr>
            </w:pPr>
          </w:p>
        </w:tc>
      </w:tr>
      <w:tr w14:paraId="4E2D9F98">
        <w:tblPrEx>
          <w:tblCellMar>
            <w:top w:w="0" w:type="dxa"/>
            <w:left w:w="108" w:type="dxa"/>
            <w:bottom w:w="0" w:type="dxa"/>
            <w:right w:w="108" w:type="dxa"/>
          </w:tblCellMar>
        </w:tblPrEx>
        <w:trPr>
          <w:trHeight w:val="720" w:hRule="atLeast"/>
        </w:trPr>
        <w:tc>
          <w:tcPr>
            <w:tcW w:w="8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BD079E5">
            <w:pPr>
              <w:spacing w:after="0"/>
              <w:jc w:val="center"/>
              <w:rPr>
                <w:rFonts w:ascii="宋体" w:hAnsi="宋体" w:cs="宋体"/>
                <w:b/>
                <w:bCs/>
                <w:color w:val="000000"/>
                <w:sz w:val="24"/>
              </w:rPr>
            </w:pPr>
          </w:p>
        </w:tc>
        <w:tc>
          <w:tcPr>
            <w:tcW w:w="108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4316C14">
            <w:pPr>
              <w:spacing w:after="0"/>
              <w:jc w:val="center"/>
              <w:rPr>
                <w:rFonts w:ascii="宋体" w:hAnsi="宋体" w:cs="宋体"/>
                <w:b/>
                <w:bCs/>
                <w:color w:val="000000"/>
                <w:sz w:val="24"/>
              </w:rPr>
            </w:pPr>
          </w:p>
        </w:tc>
        <w:tc>
          <w:tcPr>
            <w:tcW w:w="5087" w:type="dxa"/>
            <w:tcBorders>
              <w:top w:val="single" w:color="000000" w:sz="4" w:space="0"/>
              <w:left w:val="single" w:color="000000" w:sz="4" w:space="0"/>
              <w:bottom w:val="single" w:color="auto" w:sz="4" w:space="0"/>
              <w:right w:val="single" w:color="000000" w:sz="4" w:space="0"/>
            </w:tcBorders>
            <w:shd w:val="clear" w:color="auto" w:fill="auto"/>
            <w:vAlign w:val="center"/>
          </w:tcPr>
          <w:p w14:paraId="495ECC25">
            <w:pPr>
              <w:widowControl/>
              <w:spacing w:after="0"/>
              <w:textAlignment w:val="center"/>
              <w:rPr>
                <w:rFonts w:ascii="宋体" w:hAnsi="宋体" w:cs="宋体"/>
                <w:b/>
                <w:bCs/>
                <w:color w:val="000000"/>
                <w:sz w:val="24"/>
              </w:rPr>
            </w:pPr>
            <w:r>
              <w:rPr>
                <w:rFonts w:hint="eastAsia" w:ascii="宋体" w:hAnsi="宋体" w:cs="宋体"/>
                <w:b/>
                <w:bCs/>
                <w:color w:val="000000"/>
                <w:kern w:val="0"/>
                <w:sz w:val="24"/>
                <w:lang w:bidi="ar"/>
              </w:rPr>
              <w:t>备注：所有在投标文件中提供有效的证明材料复印件加盖投标人公章，不提供不得分。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13EB">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09315">
            <w:pPr>
              <w:spacing w:after="0"/>
              <w:jc w:val="center"/>
              <w:rPr>
                <w:rFonts w:ascii="宋体" w:hAnsi="宋体" w:cs="宋体"/>
                <w:color w:val="000000"/>
                <w:sz w:val="24"/>
              </w:rPr>
            </w:pPr>
          </w:p>
        </w:tc>
      </w:tr>
      <w:tr w14:paraId="10EC4576">
        <w:tblPrEx>
          <w:tblCellMar>
            <w:top w:w="0" w:type="dxa"/>
            <w:left w:w="108" w:type="dxa"/>
            <w:bottom w:w="0" w:type="dxa"/>
            <w:right w:w="108" w:type="dxa"/>
          </w:tblCellMar>
        </w:tblPrEx>
        <w:trPr>
          <w:trHeight w:val="1420" w:hRule="atLeast"/>
        </w:trPr>
        <w:tc>
          <w:tcPr>
            <w:tcW w:w="854" w:type="dxa"/>
            <w:vMerge w:val="restart"/>
            <w:tcBorders>
              <w:top w:val="single" w:color="auto" w:sz="4" w:space="0"/>
              <w:left w:val="single" w:color="auto" w:sz="4" w:space="0"/>
              <w:right w:val="single" w:color="auto" w:sz="4" w:space="0"/>
            </w:tcBorders>
            <w:shd w:val="clear" w:color="auto" w:fill="auto"/>
            <w:noWrap/>
            <w:vAlign w:val="center"/>
          </w:tcPr>
          <w:p w14:paraId="3DAC90E0">
            <w:pPr>
              <w:spacing w:after="0"/>
              <w:rPr>
                <w:rFonts w:ascii="宋体" w:hAnsi="宋体" w:cs="宋体"/>
                <w:b/>
                <w:bCs/>
              </w:rPr>
            </w:pPr>
          </w:p>
          <w:p w14:paraId="70139DF0">
            <w:pPr>
              <w:spacing w:after="0"/>
              <w:rPr>
                <w:rFonts w:ascii="宋体" w:hAnsi="宋体" w:cs="宋体"/>
                <w:b/>
                <w:bCs/>
              </w:rPr>
            </w:pPr>
          </w:p>
          <w:p w14:paraId="5B2767B7">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4</w:t>
            </w:r>
          </w:p>
        </w:tc>
        <w:tc>
          <w:tcPr>
            <w:tcW w:w="10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7994E">
            <w:pPr>
              <w:spacing w:after="0"/>
              <w:rPr>
                <w:rFonts w:ascii="宋体" w:hAnsi="宋体" w:cs="宋体"/>
                <w:b/>
                <w:bCs/>
              </w:rPr>
            </w:pPr>
          </w:p>
          <w:p w14:paraId="4706C7F2">
            <w:pPr>
              <w:spacing w:after="0"/>
              <w:rPr>
                <w:rFonts w:ascii="宋体" w:hAnsi="宋体" w:cs="宋体"/>
                <w:b/>
                <w:bCs/>
              </w:rPr>
            </w:pPr>
          </w:p>
          <w:p w14:paraId="387B9DB1">
            <w:pPr>
              <w:widowControl/>
              <w:spacing w:after="0"/>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总体</w:t>
            </w:r>
          </w:p>
          <w:p w14:paraId="6DB10B82">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方案</w:t>
            </w: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0A52A2F1">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投标人对项目现状及需求分析、对项目情况理解程度针对性和全面性等情况进行评价打分。内容全部符合的得</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分，内容符合性较低的得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分，较符合的得2分</w:t>
            </w:r>
            <w:r>
              <w:rPr>
                <w:rFonts w:hint="eastAsia" w:ascii="宋体" w:hAnsi="宋体" w:cs="宋体"/>
                <w:kern w:val="0"/>
                <w:sz w:val="24"/>
                <w:lang w:bidi="ar"/>
              </w:rPr>
              <w:t>。</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51685B">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92CD">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0CD6BBB1">
        <w:tblPrEx>
          <w:tblCellMar>
            <w:top w:w="0" w:type="dxa"/>
            <w:left w:w="108" w:type="dxa"/>
            <w:bottom w:w="0" w:type="dxa"/>
            <w:right w:w="108" w:type="dxa"/>
          </w:tblCellMar>
        </w:tblPrEx>
        <w:trPr>
          <w:trHeight w:val="1420" w:hRule="atLeast"/>
        </w:trPr>
        <w:tc>
          <w:tcPr>
            <w:tcW w:w="854" w:type="dxa"/>
            <w:vMerge w:val="continue"/>
            <w:tcBorders>
              <w:left w:val="single" w:color="auto" w:sz="4" w:space="0"/>
              <w:right w:val="single" w:color="auto" w:sz="4" w:space="0"/>
            </w:tcBorders>
            <w:shd w:val="clear" w:color="auto" w:fill="auto"/>
            <w:noWrap/>
            <w:vAlign w:val="center"/>
          </w:tcPr>
          <w:p w14:paraId="2F537D9C">
            <w:pPr>
              <w:widowControl/>
              <w:spacing w:after="0"/>
              <w:jc w:val="center"/>
              <w:textAlignment w:val="center"/>
              <w:rPr>
                <w:rFonts w:ascii="宋体" w:hAnsi="宋体" w:cs="宋体"/>
                <w:color w:val="000000"/>
                <w:sz w:val="24"/>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545AB">
            <w:pPr>
              <w:widowControl/>
              <w:spacing w:after="0"/>
              <w:jc w:val="center"/>
              <w:textAlignment w:val="center"/>
              <w:rPr>
                <w:rFonts w:ascii="宋体" w:hAnsi="宋体" w:cs="宋体"/>
                <w:color w:val="000000"/>
                <w:sz w:val="24"/>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538550C6">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投标人能提供组件运营服务方案，思路清晰、逻辑合理、内容详实，按以下评分要求综合评定，</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lang w:val="en-US" w:eastAsia="zh-CN"/>
              </w:rPr>
              <w:t>6</w:t>
            </w:r>
            <w:r>
              <w:rPr>
                <w:rFonts w:hint="eastAsia" w:ascii="宋体" w:hAnsi="宋体" w:cs="宋体"/>
                <w:sz w:val="24"/>
              </w:rPr>
              <w:t>分；描述基本全面、合理的，针对性较弱</w:t>
            </w:r>
            <w:r>
              <w:rPr>
                <w:rFonts w:hint="eastAsia" w:ascii="宋体" w:hAnsi="宋体" w:cs="宋体"/>
                <w:kern w:val="0"/>
                <w:sz w:val="24"/>
                <w:lang w:val="en-US" w:eastAsia="zh-CN"/>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lang w:val="en-US" w:eastAsia="zh-CN"/>
              </w:rPr>
              <w:t>2</w:t>
            </w:r>
            <w:r>
              <w:rPr>
                <w:rFonts w:hint="eastAsia" w:ascii="宋体" w:hAnsi="宋体" w:cs="宋体"/>
                <w:sz w:val="24"/>
              </w:rPr>
              <w:t>分。</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DE0F8C">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1EB6">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21555B82">
        <w:tblPrEx>
          <w:tblCellMar>
            <w:top w:w="0" w:type="dxa"/>
            <w:left w:w="108" w:type="dxa"/>
            <w:bottom w:w="0" w:type="dxa"/>
            <w:right w:w="108" w:type="dxa"/>
          </w:tblCellMar>
        </w:tblPrEx>
        <w:trPr>
          <w:trHeight w:val="1542" w:hRule="atLeast"/>
        </w:trPr>
        <w:tc>
          <w:tcPr>
            <w:tcW w:w="854" w:type="dxa"/>
            <w:vMerge w:val="continue"/>
            <w:tcBorders>
              <w:left w:val="single" w:color="auto" w:sz="4" w:space="0"/>
              <w:right w:val="single" w:color="auto" w:sz="4" w:space="0"/>
            </w:tcBorders>
            <w:shd w:val="clear" w:color="auto" w:fill="auto"/>
            <w:noWrap/>
            <w:vAlign w:val="center"/>
          </w:tcPr>
          <w:p w14:paraId="6859B66F">
            <w:pPr>
              <w:spacing w:after="0"/>
              <w:jc w:val="center"/>
              <w:rPr>
                <w:rFonts w:ascii="宋体" w:hAnsi="宋体" w:cs="宋体"/>
                <w:color w:val="000000"/>
                <w:sz w:val="24"/>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64FE4">
            <w:pPr>
              <w:spacing w:after="0"/>
              <w:jc w:val="center"/>
              <w:rPr>
                <w:rFonts w:ascii="宋体" w:hAnsi="宋体" w:cs="宋体"/>
                <w:color w:val="000000"/>
                <w:sz w:val="24"/>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30361F6C">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投标人能提供公共数据授权服务方案，思路清晰、逻辑合理、内容详实，按以下评分要求综合评定，</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lang w:val="en-US" w:eastAsia="zh-CN"/>
              </w:rPr>
              <w:t>6</w:t>
            </w:r>
            <w:r>
              <w:rPr>
                <w:rFonts w:hint="eastAsia" w:ascii="宋体" w:hAnsi="宋体" w:cs="宋体"/>
                <w:sz w:val="24"/>
              </w:rPr>
              <w:t>分；描述基本全面、合理的，针对性较弱</w:t>
            </w:r>
            <w:r>
              <w:rPr>
                <w:rFonts w:hint="eastAsia" w:ascii="宋体" w:hAnsi="宋体" w:cs="宋体"/>
                <w:kern w:val="0"/>
                <w:sz w:val="24"/>
                <w:lang w:val="en-US" w:eastAsia="zh-CN"/>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lang w:val="en-US" w:eastAsia="zh-CN"/>
              </w:rPr>
              <w:t>1</w:t>
            </w:r>
            <w:r>
              <w:rPr>
                <w:rFonts w:hint="eastAsia" w:ascii="宋体" w:hAnsi="宋体" w:cs="宋体"/>
                <w:sz w:val="24"/>
              </w:rPr>
              <w:t>分。</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D56A8E">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FFBD">
            <w:pPr>
              <w:spacing w:after="0"/>
              <w:jc w:val="center"/>
              <w:rPr>
                <w:rFonts w:ascii="宋体" w:hAnsi="宋体" w:cs="宋体"/>
                <w:color w:val="000000"/>
                <w:sz w:val="24"/>
              </w:rPr>
            </w:pPr>
          </w:p>
        </w:tc>
      </w:tr>
      <w:tr w14:paraId="26D8BE30">
        <w:tblPrEx>
          <w:tblCellMar>
            <w:top w:w="0" w:type="dxa"/>
            <w:left w:w="108" w:type="dxa"/>
            <w:bottom w:w="0" w:type="dxa"/>
            <w:right w:w="108" w:type="dxa"/>
          </w:tblCellMar>
        </w:tblPrEx>
        <w:trPr>
          <w:trHeight w:val="1060" w:hRule="atLeast"/>
        </w:trPr>
        <w:tc>
          <w:tcPr>
            <w:tcW w:w="854" w:type="dxa"/>
            <w:vMerge w:val="continue"/>
            <w:tcBorders>
              <w:left w:val="single" w:color="auto" w:sz="4" w:space="0"/>
              <w:right w:val="single" w:color="auto" w:sz="4" w:space="0"/>
            </w:tcBorders>
            <w:shd w:val="clear" w:color="auto" w:fill="auto"/>
            <w:noWrap/>
            <w:vAlign w:val="center"/>
          </w:tcPr>
          <w:p w14:paraId="00093594">
            <w:pPr>
              <w:widowControl/>
              <w:spacing w:after="0"/>
              <w:jc w:val="center"/>
              <w:textAlignment w:val="center"/>
              <w:rPr>
                <w:rFonts w:ascii="宋体" w:hAnsi="宋体" w:cs="宋体"/>
                <w:color w:val="000000"/>
                <w:sz w:val="24"/>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CE54E">
            <w:pPr>
              <w:widowControl/>
              <w:spacing w:after="0"/>
              <w:jc w:val="center"/>
              <w:textAlignment w:val="center"/>
              <w:rPr>
                <w:rFonts w:ascii="宋体" w:hAnsi="宋体" w:cs="宋体"/>
                <w:color w:val="000000"/>
                <w:sz w:val="24"/>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062FC4D5">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进度计划：提供整体系统的明确、合理的项目实施周期、进度表。</w:t>
            </w:r>
            <w:r>
              <w:rPr>
                <w:rFonts w:hint="eastAsia" w:ascii="宋体" w:hAnsi="宋体" w:cs="宋体"/>
                <w:sz w:val="24"/>
              </w:rPr>
              <w:t>方案完整全面、内容详细、可行性高的得</w:t>
            </w:r>
            <w:r>
              <w:rPr>
                <w:rFonts w:ascii="宋体" w:hAnsi="宋体" w:cs="宋体"/>
                <w:sz w:val="24"/>
              </w:rPr>
              <w:t>6</w:t>
            </w:r>
            <w:r>
              <w:rPr>
                <w:rFonts w:hint="eastAsia" w:ascii="宋体" w:hAnsi="宋体" w:cs="宋体"/>
                <w:sz w:val="24"/>
              </w:rPr>
              <w:t>分；方案较为完整但不够全面、内容明确、具有一定的可行性的得</w:t>
            </w:r>
            <w:r>
              <w:rPr>
                <w:rFonts w:ascii="宋体" w:hAnsi="宋体" w:cs="宋体"/>
                <w:sz w:val="24"/>
              </w:rPr>
              <w:t>4</w:t>
            </w:r>
            <w:r>
              <w:rPr>
                <w:rFonts w:hint="eastAsia" w:ascii="宋体" w:hAnsi="宋体" w:cs="宋体"/>
                <w:sz w:val="24"/>
              </w:rPr>
              <w:t>分；方案不完整、内容不清晰、可行性较低的得2分。</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46B036">
            <w:pPr>
              <w:widowControl/>
              <w:spacing w:after="0"/>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BE5D">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46572CBB">
        <w:tblPrEx>
          <w:tblCellMar>
            <w:top w:w="0" w:type="dxa"/>
            <w:left w:w="108" w:type="dxa"/>
            <w:bottom w:w="0" w:type="dxa"/>
            <w:right w:w="108" w:type="dxa"/>
          </w:tblCellMar>
        </w:tblPrEx>
        <w:trPr>
          <w:trHeight w:val="1060" w:hRule="atLeast"/>
        </w:trPr>
        <w:tc>
          <w:tcPr>
            <w:tcW w:w="854" w:type="dxa"/>
            <w:vMerge w:val="continue"/>
            <w:tcBorders>
              <w:left w:val="single" w:color="auto" w:sz="4" w:space="0"/>
              <w:right w:val="single" w:color="auto" w:sz="4" w:space="0"/>
            </w:tcBorders>
            <w:shd w:val="clear" w:color="auto" w:fill="auto"/>
            <w:noWrap/>
            <w:vAlign w:val="center"/>
          </w:tcPr>
          <w:p w14:paraId="50CAE753">
            <w:pPr>
              <w:spacing w:after="0"/>
              <w:jc w:val="center"/>
              <w:rPr>
                <w:rFonts w:ascii="宋体" w:hAnsi="宋体" w:cs="宋体"/>
                <w:color w:val="000000"/>
                <w:sz w:val="24"/>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A3BC8">
            <w:pPr>
              <w:spacing w:after="0"/>
              <w:jc w:val="center"/>
              <w:rPr>
                <w:rFonts w:ascii="宋体" w:hAnsi="宋体" w:cs="宋体"/>
                <w:color w:val="000000"/>
                <w:sz w:val="24"/>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4C5C4736">
            <w:pPr>
              <w:widowControl/>
              <w:spacing w:after="0"/>
              <w:jc w:val="left"/>
              <w:textAlignment w:val="center"/>
              <w:rPr>
                <w:rFonts w:hint="eastAsia" w:ascii="宋体" w:hAnsi="宋体" w:eastAsia="宋体" w:cs="宋体"/>
                <w:sz w:val="24"/>
                <w:lang w:eastAsia="zh-CN"/>
              </w:rPr>
            </w:pPr>
            <w:r>
              <w:rPr>
                <w:rFonts w:hint="eastAsia" w:ascii="宋体" w:hAnsi="宋体" w:cs="宋体"/>
                <w:color w:val="000000"/>
                <w:kern w:val="0"/>
                <w:sz w:val="24"/>
                <w:lang w:bidi="ar"/>
              </w:rPr>
              <w:t>质量管理方案：提供合理的质量管理方案，在实施各阶段提供详细的质量管理说明。</w:t>
            </w:r>
            <w:r>
              <w:rPr>
                <w:rFonts w:hint="eastAsia" w:ascii="宋体" w:hAnsi="宋体" w:cs="宋体"/>
                <w:sz w:val="24"/>
              </w:rPr>
              <w:t>质量保障措施完善、合理性强、有效性及时的得</w:t>
            </w:r>
            <w:r>
              <w:rPr>
                <w:rFonts w:ascii="宋体" w:hAnsi="宋体" w:cs="宋体"/>
                <w:sz w:val="24"/>
              </w:rPr>
              <w:t>6</w:t>
            </w:r>
            <w:r>
              <w:rPr>
                <w:rFonts w:hint="eastAsia" w:ascii="宋体" w:hAnsi="宋体" w:cs="宋体"/>
                <w:sz w:val="24"/>
              </w:rPr>
              <w:t>分；</w:t>
            </w:r>
          </w:p>
          <w:p w14:paraId="664187E1">
            <w:pPr>
              <w:widowControl/>
              <w:spacing w:after="0"/>
              <w:jc w:val="left"/>
              <w:textAlignment w:val="center"/>
              <w:rPr>
                <w:rFonts w:hint="eastAsia" w:ascii="宋体" w:hAnsi="宋体" w:eastAsia="宋体" w:cs="宋体"/>
                <w:sz w:val="24"/>
                <w:lang w:eastAsia="zh-CN"/>
              </w:rPr>
            </w:pPr>
            <w:r>
              <w:rPr>
                <w:rFonts w:hint="eastAsia" w:ascii="宋体" w:hAnsi="宋体" w:cs="宋体"/>
                <w:sz w:val="24"/>
              </w:rPr>
              <w:t>质量保障措施能基本进行有效响应、基本合理性、基本可以执行的得</w:t>
            </w:r>
            <w:r>
              <w:rPr>
                <w:rFonts w:ascii="宋体" w:hAnsi="宋体" w:cs="宋体"/>
                <w:sz w:val="24"/>
              </w:rPr>
              <w:t>4</w:t>
            </w:r>
            <w:r>
              <w:rPr>
                <w:rFonts w:hint="eastAsia" w:ascii="宋体" w:hAnsi="宋体" w:cs="宋体"/>
                <w:sz w:val="24"/>
              </w:rPr>
              <w:t>分；</w:t>
            </w:r>
          </w:p>
          <w:p w14:paraId="58E01DFC">
            <w:pPr>
              <w:widowControl/>
              <w:spacing w:after="0"/>
              <w:jc w:val="left"/>
              <w:textAlignment w:val="center"/>
              <w:rPr>
                <w:rFonts w:ascii="宋体" w:hAnsi="宋体" w:cs="宋体"/>
                <w:color w:val="000000"/>
                <w:sz w:val="24"/>
              </w:rPr>
            </w:pPr>
            <w:r>
              <w:rPr>
                <w:rFonts w:hint="eastAsia" w:ascii="宋体" w:hAnsi="宋体" w:cs="宋体"/>
                <w:sz w:val="24"/>
              </w:rPr>
              <w:t>质量保障措施没有进行有效响应、不具合理性、难以执行的得2分。</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293D00">
            <w:pPr>
              <w:widowControl/>
              <w:spacing w:after="0"/>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3BDA">
            <w:pPr>
              <w:spacing w:after="0"/>
              <w:jc w:val="center"/>
              <w:rPr>
                <w:rFonts w:ascii="宋体" w:hAnsi="宋体" w:cs="宋体"/>
                <w:color w:val="000000"/>
                <w:sz w:val="24"/>
              </w:rPr>
            </w:pPr>
          </w:p>
        </w:tc>
      </w:tr>
      <w:tr w14:paraId="26789AF9">
        <w:tblPrEx>
          <w:tblCellMar>
            <w:top w:w="0" w:type="dxa"/>
            <w:left w:w="108" w:type="dxa"/>
            <w:bottom w:w="0" w:type="dxa"/>
            <w:right w:w="108" w:type="dxa"/>
          </w:tblCellMar>
        </w:tblPrEx>
        <w:trPr>
          <w:trHeight w:val="1420" w:hRule="atLeast"/>
        </w:trPr>
        <w:tc>
          <w:tcPr>
            <w:tcW w:w="854" w:type="dxa"/>
            <w:vMerge w:val="continue"/>
            <w:tcBorders>
              <w:left w:val="single" w:color="auto" w:sz="4" w:space="0"/>
              <w:right w:val="single" w:color="auto" w:sz="4" w:space="0"/>
            </w:tcBorders>
            <w:shd w:val="clear" w:color="auto" w:fill="auto"/>
            <w:noWrap/>
            <w:vAlign w:val="center"/>
          </w:tcPr>
          <w:p w14:paraId="72AC6976">
            <w:pPr>
              <w:spacing w:after="0"/>
              <w:jc w:val="center"/>
              <w:rPr>
                <w:rFonts w:ascii="宋体" w:hAnsi="宋体" w:cs="宋体"/>
                <w:color w:val="000000"/>
                <w:sz w:val="24"/>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6DA86">
            <w:pPr>
              <w:spacing w:after="0"/>
              <w:jc w:val="center"/>
              <w:rPr>
                <w:rFonts w:ascii="宋体" w:hAnsi="宋体" w:cs="宋体"/>
                <w:color w:val="000000"/>
                <w:sz w:val="24"/>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7D915181">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培训方案：投标人需提供相应的培训方案，方案中包括培训计划、培训内容、培训方式、培训人数。方案中包括培训计划、培训内容、培训方式、培训人数。</w:t>
            </w:r>
            <w:r>
              <w:rPr>
                <w:rFonts w:hint="eastAsia" w:ascii="宋体" w:hAnsi="宋体" w:cs="宋体"/>
                <w:sz w:val="24"/>
              </w:rPr>
              <w:t>培训计划详细、全面、可行的得</w:t>
            </w:r>
            <w:r>
              <w:rPr>
                <w:rFonts w:ascii="宋体" w:hAnsi="宋体" w:cs="宋体"/>
                <w:sz w:val="24"/>
              </w:rPr>
              <w:t>6</w:t>
            </w:r>
            <w:r>
              <w:rPr>
                <w:rFonts w:hint="eastAsia" w:ascii="宋体" w:hAnsi="宋体" w:cs="宋体"/>
                <w:sz w:val="24"/>
              </w:rPr>
              <w:t>分；培训计划一般，措施基本可行的得</w:t>
            </w:r>
            <w:r>
              <w:rPr>
                <w:rFonts w:ascii="宋体" w:hAnsi="宋体" w:cs="宋体"/>
                <w:sz w:val="24"/>
              </w:rPr>
              <w:t>4</w:t>
            </w:r>
            <w:r>
              <w:rPr>
                <w:rFonts w:hint="eastAsia" w:ascii="宋体" w:hAnsi="宋体" w:cs="宋体"/>
                <w:sz w:val="24"/>
              </w:rPr>
              <w:t>分；培训计划及措施较粗略，可行性较差的得2分。</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E068E7">
            <w:pPr>
              <w:widowControl/>
              <w:spacing w:after="0"/>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8880">
            <w:pPr>
              <w:spacing w:after="0"/>
              <w:jc w:val="center"/>
              <w:rPr>
                <w:rFonts w:ascii="宋体" w:hAnsi="宋体" w:cs="宋体"/>
                <w:color w:val="000000"/>
                <w:sz w:val="24"/>
              </w:rPr>
            </w:pPr>
          </w:p>
        </w:tc>
      </w:tr>
      <w:tr w14:paraId="580C4356">
        <w:tblPrEx>
          <w:tblCellMar>
            <w:top w:w="0" w:type="dxa"/>
            <w:left w:w="108" w:type="dxa"/>
            <w:bottom w:w="0" w:type="dxa"/>
            <w:right w:w="108" w:type="dxa"/>
          </w:tblCellMar>
        </w:tblPrEx>
        <w:trPr>
          <w:trHeight w:val="1060" w:hRule="atLeast"/>
        </w:trPr>
        <w:tc>
          <w:tcPr>
            <w:tcW w:w="854" w:type="dxa"/>
            <w:vMerge w:val="continue"/>
            <w:tcBorders>
              <w:left w:val="single" w:color="auto" w:sz="4" w:space="0"/>
              <w:right w:val="single" w:color="auto" w:sz="4" w:space="0"/>
            </w:tcBorders>
            <w:shd w:val="clear" w:color="auto" w:fill="auto"/>
            <w:noWrap/>
            <w:vAlign w:val="center"/>
          </w:tcPr>
          <w:p w14:paraId="72422092">
            <w:pPr>
              <w:spacing w:after="0"/>
              <w:jc w:val="center"/>
              <w:rPr>
                <w:rFonts w:ascii="宋体" w:hAnsi="宋体" w:cs="宋体"/>
                <w:color w:val="000000"/>
                <w:sz w:val="24"/>
              </w:rPr>
            </w:pP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5B4C3">
            <w:pPr>
              <w:spacing w:after="0"/>
              <w:jc w:val="center"/>
              <w:rPr>
                <w:rFonts w:ascii="宋体" w:hAnsi="宋体" w:cs="宋体"/>
                <w:color w:val="000000"/>
                <w:sz w:val="24"/>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14:paraId="0023CC1B">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服务方案：服务的响应情况（对用户故障响应、处理等）。响应</w:t>
            </w:r>
            <w:r>
              <w:rPr>
                <w:rFonts w:hint="eastAsia" w:ascii="宋体" w:hAnsi="宋体" w:cs="宋体"/>
                <w:sz w:val="24"/>
              </w:rPr>
              <w:t>方案具有针对性、利于项目实施得</w:t>
            </w:r>
            <w:r>
              <w:rPr>
                <w:rFonts w:ascii="宋体" w:hAnsi="宋体" w:cs="宋体"/>
                <w:sz w:val="24"/>
              </w:rPr>
              <w:t>6</w:t>
            </w:r>
            <w:r>
              <w:rPr>
                <w:rFonts w:hint="eastAsia" w:ascii="宋体" w:hAnsi="宋体" w:cs="宋体"/>
                <w:sz w:val="24"/>
              </w:rPr>
              <w:t>分，针对性较弱，满足项目实施需要</w:t>
            </w:r>
            <w:r>
              <w:rPr>
                <w:rFonts w:ascii="宋体" w:hAnsi="宋体" w:cs="宋体"/>
                <w:sz w:val="24"/>
              </w:rPr>
              <w:t>4</w:t>
            </w:r>
            <w:r>
              <w:rPr>
                <w:rFonts w:hint="eastAsia" w:ascii="宋体" w:hAnsi="宋体" w:cs="宋体"/>
                <w:sz w:val="24"/>
              </w:rPr>
              <w:t>分，内容较为简单、存在缺漏的最多得2分。</w:t>
            </w: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21711B">
            <w:pPr>
              <w:widowControl/>
              <w:spacing w:after="0"/>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A822">
            <w:pPr>
              <w:spacing w:after="0"/>
              <w:jc w:val="center"/>
              <w:rPr>
                <w:rFonts w:ascii="宋体" w:hAnsi="宋体" w:cs="宋体"/>
                <w:color w:val="000000"/>
                <w:sz w:val="24"/>
              </w:rPr>
            </w:pPr>
          </w:p>
        </w:tc>
      </w:tr>
      <w:tr w14:paraId="7FACACA6">
        <w:tblPrEx>
          <w:tblCellMar>
            <w:top w:w="0" w:type="dxa"/>
            <w:left w:w="108" w:type="dxa"/>
            <w:bottom w:w="0" w:type="dxa"/>
            <w:right w:w="108" w:type="dxa"/>
          </w:tblCellMar>
        </w:tblPrEx>
        <w:trPr>
          <w:trHeight w:val="1060" w:hRule="atLeast"/>
        </w:trPr>
        <w:tc>
          <w:tcPr>
            <w:tcW w:w="854" w:type="dxa"/>
            <w:vMerge w:val="continue"/>
            <w:tcBorders>
              <w:left w:val="single" w:color="auto" w:sz="4" w:space="0"/>
              <w:right w:val="single" w:color="auto" w:sz="4" w:space="0"/>
            </w:tcBorders>
            <w:shd w:val="clear" w:color="auto" w:fill="auto"/>
            <w:noWrap/>
            <w:vAlign w:val="center"/>
          </w:tcPr>
          <w:p w14:paraId="54EC4773">
            <w:pPr>
              <w:spacing w:after="0"/>
              <w:jc w:val="center"/>
              <w:rPr>
                <w:rFonts w:ascii="宋体" w:hAnsi="宋体" w:cs="宋体"/>
                <w:color w:val="000000"/>
                <w:sz w:val="24"/>
              </w:rPr>
            </w:pPr>
          </w:p>
        </w:tc>
        <w:tc>
          <w:tcPr>
            <w:tcW w:w="1082" w:type="dxa"/>
            <w:vMerge w:val="continue"/>
            <w:tcBorders>
              <w:top w:val="single" w:color="auto" w:sz="4" w:space="0"/>
              <w:left w:val="single" w:color="000000" w:sz="4" w:space="0"/>
              <w:right w:val="single" w:color="000000" w:sz="4" w:space="0"/>
            </w:tcBorders>
            <w:shd w:val="clear" w:color="auto" w:fill="auto"/>
            <w:vAlign w:val="center"/>
          </w:tcPr>
          <w:p w14:paraId="02C0BE9E">
            <w:pPr>
              <w:spacing w:after="0"/>
              <w:jc w:val="center"/>
              <w:rPr>
                <w:rFonts w:ascii="宋体" w:hAnsi="宋体" w:cs="宋体"/>
                <w:color w:val="000000"/>
                <w:sz w:val="24"/>
              </w:rPr>
            </w:pPr>
          </w:p>
        </w:tc>
        <w:tc>
          <w:tcPr>
            <w:tcW w:w="5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03674ED7">
            <w:pPr>
              <w:widowControl/>
              <w:spacing w:after="0"/>
              <w:jc w:val="left"/>
              <w:textAlignment w:val="center"/>
              <w:rPr>
                <w:rFonts w:hint="eastAsia" w:ascii="宋体" w:hAnsi="宋体" w:cs="宋体"/>
                <w:color w:val="000000"/>
                <w:kern w:val="0"/>
                <w:sz w:val="24"/>
                <w:lang w:bidi="ar"/>
              </w:rPr>
            </w:pPr>
            <w:r>
              <w:rPr>
                <w:rFonts w:hint="eastAsia" w:ascii="宋体" w:hAnsi="宋体" w:eastAsia="宋体" w:cs="宋体"/>
                <w:b/>
                <w:bCs w:val="0"/>
                <w:color w:val="auto"/>
                <w:sz w:val="24"/>
                <w:szCs w:val="24"/>
                <w:highlight w:val="none"/>
              </w:rPr>
              <w:t>档案管理制度</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val="0"/>
                <w:color w:val="auto"/>
                <w:sz w:val="24"/>
                <w:szCs w:val="24"/>
                <w:highlight w:val="none"/>
              </w:rPr>
              <w:t>建立和完善档案管理制度，体现标准化服务进行打分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管理制度符合要求，内容完整的得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分；管理制度符合要求，内容有所欠缺的得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分；管理制度有所欠缺，内容不完整的得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SA"/>
              </w:rPr>
              <w:t>不符合的</w:t>
            </w:r>
            <w:r>
              <w:rPr>
                <w:rFonts w:hint="eastAsia" w:ascii="宋体" w:hAnsi="宋体" w:eastAsia="宋体" w:cs="宋体"/>
                <w:b w:val="0"/>
                <w:bCs w:val="0"/>
                <w:color w:val="auto"/>
                <w:sz w:val="24"/>
                <w:szCs w:val="24"/>
                <w:highlight w:val="none"/>
                <w:lang w:val="en-US" w:eastAsia="zh-CN"/>
              </w:rPr>
              <w:t>不得分</w:t>
            </w:r>
            <w:r>
              <w:rPr>
                <w:rFonts w:hint="eastAsia" w:ascii="宋体" w:hAnsi="宋体" w:eastAsia="宋体" w:cs="宋体"/>
                <w:b w:val="0"/>
                <w:bCs w:val="0"/>
                <w:color w:val="auto"/>
                <w:sz w:val="24"/>
                <w:szCs w:val="24"/>
                <w:highlight w:val="none"/>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F6B7">
            <w:pPr>
              <w:widowControl/>
              <w:spacing w:after="0"/>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6分</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D398">
            <w:pPr>
              <w:spacing w:after="0"/>
              <w:jc w:val="center"/>
              <w:rPr>
                <w:rFonts w:ascii="宋体" w:hAnsi="宋体" w:cs="宋体"/>
                <w:color w:val="000000"/>
                <w:sz w:val="24"/>
              </w:rPr>
            </w:pPr>
            <w:r>
              <w:rPr>
                <w:rFonts w:hint="eastAsia" w:ascii="宋体" w:hAnsi="宋体" w:cs="宋体"/>
                <w:color w:val="000000"/>
                <w:kern w:val="0"/>
                <w:sz w:val="24"/>
                <w:lang w:bidi="ar"/>
              </w:rPr>
              <w:t>主观分</w:t>
            </w:r>
          </w:p>
        </w:tc>
      </w:tr>
      <w:tr w14:paraId="64B7F3D0">
        <w:tblPrEx>
          <w:tblCellMar>
            <w:top w:w="0" w:type="dxa"/>
            <w:left w:w="108" w:type="dxa"/>
            <w:bottom w:w="0" w:type="dxa"/>
            <w:right w:w="108" w:type="dxa"/>
          </w:tblCellMar>
        </w:tblPrEx>
        <w:trPr>
          <w:trHeight w:val="1060" w:hRule="atLeast"/>
        </w:trPr>
        <w:tc>
          <w:tcPr>
            <w:tcW w:w="854" w:type="dxa"/>
            <w:vMerge w:val="continue"/>
            <w:tcBorders>
              <w:left w:val="single" w:color="auto" w:sz="4" w:space="0"/>
              <w:bottom w:val="single" w:color="000000" w:sz="4" w:space="0"/>
              <w:right w:val="single" w:color="auto" w:sz="4" w:space="0"/>
            </w:tcBorders>
            <w:shd w:val="clear" w:color="auto" w:fill="auto"/>
            <w:noWrap/>
            <w:vAlign w:val="center"/>
          </w:tcPr>
          <w:p w14:paraId="128173D4">
            <w:pPr>
              <w:spacing w:after="0"/>
              <w:jc w:val="center"/>
              <w:rPr>
                <w:rFonts w:ascii="宋体" w:hAnsi="宋体" w:cs="宋体"/>
                <w:color w:val="000000"/>
                <w:sz w:val="24"/>
              </w:rPr>
            </w:pPr>
          </w:p>
        </w:tc>
        <w:tc>
          <w:tcPr>
            <w:tcW w:w="1082" w:type="dxa"/>
            <w:vMerge w:val="continue"/>
            <w:tcBorders>
              <w:left w:val="single" w:color="000000" w:sz="4" w:space="0"/>
              <w:bottom w:val="single" w:color="000000" w:sz="4" w:space="0"/>
              <w:right w:val="single" w:color="000000" w:sz="4" w:space="0"/>
            </w:tcBorders>
            <w:shd w:val="clear" w:color="auto" w:fill="auto"/>
            <w:vAlign w:val="center"/>
          </w:tcPr>
          <w:p w14:paraId="63647359">
            <w:pPr>
              <w:spacing w:after="0"/>
              <w:jc w:val="center"/>
              <w:rPr>
                <w:rFonts w:ascii="宋体" w:hAnsi="宋体" w:cs="宋体"/>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E1D5">
            <w:pPr>
              <w:widowControl/>
              <w:spacing w:after="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lang w:val="en-US" w:eastAsia="zh-CN"/>
              </w:rPr>
              <w:t>验收方案：</w:t>
            </w:r>
            <w:r>
              <w:rPr>
                <w:rFonts w:hint="eastAsia" w:ascii="宋体" w:hAnsi="宋体" w:eastAsia="宋体" w:cs="宋体"/>
                <w:color w:val="auto"/>
                <w:sz w:val="24"/>
                <w:lang w:val="en-US" w:eastAsia="zh-CN"/>
              </w:rPr>
              <w:t>提供的项目验收方案、相关资料和计划和方案，方案详尽、准确、针对性强且合理可行的，得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分；方案部分内容有欠缺、基本合理可行的，得2分；方案不全面、合理可行性有欠缺的，得1分；完全不符或未提供的不得分。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E204">
            <w:pPr>
              <w:widowControl/>
              <w:spacing w:after="0"/>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4分</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EC5">
            <w:pPr>
              <w:spacing w:after="0"/>
              <w:jc w:val="center"/>
              <w:rPr>
                <w:rFonts w:ascii="宋体" w:hAnsi="宋体" w:cs="宋体"/>
                <w:color w:val="000000"/>
                <w:sz w:val="24"/>
              </w:rPr>
            </w:pPr>
            <w:r>
              <w:rPr>
                <w:rFonts w:hint="eastAsia" w:ascii="宋体" w:hAnsi="宋体" w:cs="宋体"/>
                <w:color w:val="000000"/>
                <w:kern w:val="0"/>
                <w:sz w:val="24"/>
                <w:lang w:bidi="ar"/>
              </w:rPr>
              <w:t>主观分</w:t>
            </w:r>
          </w:p>
        </w:tc>
      </w:tr>
      <w:tr w14:paraId="242AB215">
        <w:tblPrEx>
          <w:tblCellMar>
            <w:top w:w="0" w:type="dxa"/>
            <w:left w:w="108" w:type="dxa"/>
            <w:bottom w:w="0" w:type="dxa"/>
            <w:right w:w="108" w:type="dxa"/>
          </w:tblCellMar>
        </w:tblPrEx>
        <w:trPr>
          <w:trHeight w:val="54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49B5">
            <w:pPr>
              <w:spacing w:after="0"/>
              <w:jc w:val="center"/>
              <w:rPr>
                <w:rFonts w:ascii="宋体" w:hAnsi="宋体" w:cs="宋体"/>
                <w:b/>
                <w:bCs/>
                <w:color w:val="000000"/>
                <w:sz w:val="24"/>
              </w:rPr>
            </w:pPr>
            <w:r>
              <w:rPr>
                <w:rFonts w:hint="eastAsia" w:ascii="宋体" w:hAnsi="宋体" w:cs="宋体"/>
                <w:b/>
                <w:bCs/>
                <w:color w:val="000000"/>
                <w:sz w:val="24"/>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F349">
            <w:pPr>
              <w:spacing w:after="0" w:line="360" w:lineRule="auto"/>
              <w:jc w:val="center"/>
              <w:rPr>
                <w:rFonts w:ascii="宋体" w:hAnsi="宋体" w:cs="宋体"/>
                <w:b/>
                <w:bCs/>
                <w:sz w:val="24"/>
              </w:rPr>
            </w:pPr>
            <w:r>
              <w:rPr>
                <w:rFonts w:hint="eastAsia" w:ascii="宋体" w:hAnsi="宋体" w:cs="宋体"/>
                <w:b/>
                <w:bCs/>
                <w:kern w:val="0"/>
                <w:sz w:val="24"/>
                <w:lang w:val="zh-CN"/>
              </w:rPr>
              <w:t>内部安全保密制度</w:t>
            </w: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7F3">
            <w:pPr>
              <w:spacing w:after="0" w:line="312" w:lineRule="auto"/>
              <w:jc w:val="left"/>
              <w:rPr>
                <w:rFonts w:ascii="宋体" w:hAnsi="宋体" w:cs="宋体"/>
                <w:kern w:val="0"/>
                <w:sz w:val="24"/>
                <w:lang w:val="zh-CN"/>
              </w:rPr>
            </w:pPr>
            <w:r>
              <w:rPr>
                <w:rFonts w:hint="eastAsia" w:ascii="宋体" w:hAnsi="宋体" w:cs="宋体"/>
                <w:kern w:val="0"/>
                <w:sz w:val="24"/>
                <w:lang w:val="zh-CN"/>
              </w:rPr>
              <w:t>根据</w:t>
            </w:r>
            <w:r>
              <w:rPr>
                <w:rFonts w:hint="eastAsia" w:ascii="宋体" w:hAnsi="宋体" w:cs="宋体"/>
                <w:kern w:val="0"/>
                <w:sz w:val="24"/>
                <w:lang w:bidi="ar"/>
              </w:rPr>
              <w:t>投标人</w:t>
            </w:r>
            <w:r>
              <w:rPr>
                <w:rFonts w:hint="eastAsia" w:ascii="宋体" w:hAnsi="宋体" w:cs="宋体"/>
                <w:kern w:val="0"/>
                <w:sz w:val="24"/>
                <w:lang w:val="zh-CN"/>
              </w:rPr>
              <w:t>针对本项目制定的内部安全保密制度的制定及实施内容进行打分；</w:t>
            </w:r>
          </w:p>
          <w:p w14:paraId="7D53B9A1">
            <w:pPr>
              <w:spacing w:after="0" w:line="312" w:lineRule="auto"/>
              <w:jc w:val="left"/>
              <w:rPr>
                <w:rFonts w:ascii="宋体" w:hAnsi="宋体" w:cs="宋体"/>
                <w:kern w:val="0"/>
                <w:sz w:val="24"/>
                <w:lang w:val="zh-CN"/>
              </w:rPr>
            </w:pPr>
            <w:r>
              <w:rPr>
                <w:rFonts w:hint="eastAsia" w:ascii="宋体" w:hAnsi="宋体" w:cs="宋体"/>
                <w:kern w:val="0"/>
                <w:sz w:val="24"/>
                <w:lang w:val="zh-CN"/>
              </w:rPr>
              <w:t>安全保密制度健全符合要求，内容完整、充实的得</w:t>
            </w:r>
            <w:r>
              <w:rPr>
                <w:rFonts w:hint="eastAsia" w:ascii="宋体" w:hAnsi="宋体" w:cs="宋体"/>
                <w:kern w:val="0"/>
                <w:sz w:val="24"/>
              </w:rPr>
              <w:t>5</w:t>
            </w:r>
            <w:r>
              <w:rPr>
                <w:rFonts w:hint="eastAsia" w:ascii="宋体" w:hAnsi="宋体" w:cs="宋体"/>
                <w:kern w:val="0"/>
                <w:sz w:val="24"/>
                <w:lang w:val="zh-CN"/>
              </w:rPr>
              <w:t>分；</w:t>
            </w:r>
          </w:p>
          <w:p w14:paraId="5A4B506C">
            <w:pPr>
              <w:spacing w:after="0" w:line="312" w:lineRule="auto"/>
              <w:jc w:val="left"/>
              <w:rPr>
                <w:rFonts w:ascii="宋体" w:hAnsi="宋体" w:cs="宋体"/>
                <w:kern w:val="0"/>
                <w:sz w:val="24"/>
                <w:lang w:val="zh-CN"/>
              </w:rPr>
            </w:pPr>
            <w:r>
              <w:rPr>
                <w:rFonts w:hint="eastAsia" w:ascii="宋体" w:hAnsi="宋体" w:cs="宋体"/>
                <w:kern w:val="0"/>
                <w:sz w:val="24"/>
                <w:lang w:val="zh-CN"/>
              </w:rPr>
              <w:t>安全保密制度符合要求，内容有所欠缺的得</w:t>
            </w:r>
            <w:r>
              <w:rPr>
                <w:rFonts w:hint="eastAsia" w:ascii="宋体" w:hAnsi="宋体" w:cs="宋体"/>
                <w:kern w:val="0"/>
                <w:sz w:val="24"/>
              </w:rPr>
              <w:t>3</w:t>
            </w:r>
            <w:r>
              <w:rPr>
                <w:rFonts w:hint="eastAsia" w:ascii="宋体" w:hAnsi="宋体" w:cs="宋体"/>
                <w:kern w:val="0"/>
                <w:sz w:val="24"/>
                <w:lang w:val="zh-CN"/>
              </w:rPr>
              <w:t>分；</w:t>
            </w:r>
          </w:p>
          <w:p w14:paraId="068560F8">
            <w:pPr>
              <w:spacing w:after="0" w:line="312" w:lineRule="auto"/>
              <w:jc w:val="left"/>
              <w:rPr>
                <w:rFonts w:ascii="宋体" w:hAnsi="宋体" w:cs="宋体"/>
                <w:sz w:val="24"/>
              </w:rPr>
            </w:pPr>
            <w:r>
              <w:rPr>
                <w:rFonts w:hint="eastAsia" w:ascii="宋体" w:hAnsi="宋体" w:cs="宋体"/>
                <w:kern w:val="0"/>
                <w:sz w:val="24"/>
                <w:lang w:val="zh-CN"/>
              </w:rPr>
              <w:t>合理化、优化建议符合要求，内容不够完整的得1分，没有不得分。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A378">
            <w:pPr>
              <w:widowControl/>
              <w:spacing w:after="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5分</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9BC9">
            <w:pPr>
              <w:spacing w:after="0"/>
              <w:jc w:val="center"/>
              <w:rPr>
                <w:rFonts w:ascii="宋体" w:hAnsi="宋体" w:cs="宋体"/>
                <w:color w:val="000000"/>
                <w:sz w:val="24"/>
              </w:rPr>
            </w:pPr>
            <w:r>
              <w:rPr>
                <w:rFonts w:hint="eastAsia" w:ascii="宋体" w:hAnsi="宋体" w:cs="宋体"/>
                <w:color w:val="000000"/>
                <w:kern w:val="0"/>
                <w:sz w:val="24"/>
                <w:lang w:bidi="ar"/>
              </w:rPr>
              <w:t>主观分</w:t>
            </w:r>
          </w:p>
        </w:tc>
      </w:tr>
      <w:tr w14:paraId="48FFDD34">
        <w:tblPrEx>
          <w:tblCellMar>
            <w:top w:w="0" w:type="dxa"/>
            <w:left w:w="108" w:type="dxa"/>
            <w:bottom w:w="0" w:type="dxa"/>
            <w:right w:w="108" w:type="dxa"/>
          </w:tblCellMar>
        </w:tblPrEx>
        <w:trPr>
          <w:trHeight w:val="315"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531">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6</w:t>
            </w:r>
          </w:p>
        </w:tc>
        <w:tc>
          <w:tcPr>
            <w:tcW w:w="1082" w:type="dxa"/>
            <w:vMerge w:val="restart"/>
            <w:tcBorders>
              <w:top w:val="single" w:color="000000" w:sz="4" w:space="0"/>
              <w:left w:val="single" w:color="000000" w:sz="4" w:space="0"/>
              <w:right w:val="single" w:color="000000" w:sz="4" w:space="0"/>
            </w:tcBorders>
            <w:shd w:val="clear" w:color="auto" w:fill="auto"/>
            <w:vAlign w:val="center"/>
          </w:tcPr>
          <w:p w14:paraId="4CADC9BD">
            <w:pPr>
              <w:spacing w:after="0"/>
              <w:jc w:val="center"/>
              <w:rPr>
                <w:rFonts w:ascii="宋体" w:hAnsi="宋体" w:cs="宋体"/>
                <w:b/>
                <w:bCs/>
                <w:color w:val="000000"/>
                <w:kern w:val="0"/>
                <w:sz w:val="24"/>
                <w:lang w:bidi="ar"/>
              </w:rPr>
            </w:pPr>
            <w:r>
              <w:rPr>
                <w:rFonts w:hint="eastAsia" w:ascii="宋体" w:hAnsi="宋体" w:cs="宋体"/>
                <w:b/>
                <w:bCs/>
                <w:color w:val="000000"/>
                <w:kern w:val="0"/>
                <w:sz w:val="24"/>
                <w:lang w:bidi="ar"/>
              </w:rPr>
              <w:t>实施</w:t>
            </w:r>
          </w:p>
          <w:p w14:paraId="5C60CA5C">
            <w:pPr>
              <w:spacing w:after="0"/>
              <w:jc w:val="center"/>
              <w:rPr>
                <w:rFonts w:ascii="宋体" w:hAnsi="宋体" w:cs="宋体"/>
                <w:b/>
                <w:bCs/>
              </w:rPr>
            </w:pPr>
            <w:r>
              <w:rPr>
                <w:rFonts w:hint="eastAsia" w:ascii="宋体" w:hAnsi="宋体" w:cs="宋体"/>
                <w:b/>
                <w:bCs/>
                <w:color w:val="000000"/>
                <w:kern w:val="0"/>
                <w:sz w:val="24"/>
                <w:lang w:bidi="ar"/>
              </w:rPr>
              <w:t>团队</w:t>
            </w:r>
          </w:p>
          <w:p w14:paraId="305C1020">
            <w:pPr>
              <w:widowControl/>
              <w:spacing w:after="0"/>
              <w:jc w:val="center"/>
              <w:textAlignment w:val="center"/>
              <w:rPr>
                <w:rFonts w:ascii="宋体" w:hAnsi="宋体" w:cs="宋体"/>
                <w:b/>
                <w:bCs/>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2A4">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1.具有PMP证书的，每提供1人得2分，最多得</w:t>
            </w: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2DA8">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0</w:t>
            </w:r>
            <w:r>
              <w:rPr>
                <w:rFonts w:hint="eastAsia" w:ascii="宋体" w:hAnsi="宋体" w:cs="宋体"/>
                <w:color w:val="000000"/>
                <w:kern w:val="0"/>
                <w:sz w:val="24"/>
                <w:lang w:bidi="ar"/>
              </w:rPr>
              <w:t>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0987">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43DE7CEC">
        <w:tblPrEx>
          <w:tblCellMar>
            <w:top w:w="0" w:type="dxa"/>
            <w:left w:w="108" w:type="dxa"/>
            <w:bottom w:w="0" w:type="dxa"/>
            <w:right w:w="108" w:type="dxa"/>
          </w:tblCellMar>
        </w:tblPrEx>
        <w:trPr>
          <w:trHeight w:val="742"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A7C7">
            <w:pPr>
              <w:spacing w:after="0"/>
              <w:jc w:val="center"/>
              <w:rPr>
                <w:rFonts w:ascii="宋体" w:hAnsi="宋体" w:cs="宋体"/>
                <w:color w:val="000000"/>
                <w:sz w:val="24"/>
              </w:rPr>
            </w:pPr>
          </w:p>
        </w:tc>
        <w:tc>
          <w:tcPr>
            <w:tcW w:w="1082" w:type="dxa"/>
            <w:vMerge w:val="continue"/>
            <w:tcBorders>
              <w:left w:val="single" w:color="000000" w:sz="4" w:space="0"/>
              <w:right w:val="single" w:color="000000" w:sz="4" w:space="0"/>
            </w:tcBorders>
            <w:shd w:val="clear" w:color="auto" w:fill="auto"/>
            <w:vAlign w:val="center"/>
          </w:tcPr>
          <w:p w14:paraId="017CDBE4">
            <w:pPr>
              <w:spacing w:after="0"/>
              <w:jc w:val="center"/>
              <w:rPr>
                <w:rFonts w:ascii="宋体" w:hAnsi="宋体" w:cs="宋体"/>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71C4">
            <w:pPr>
              <w:widowControl/>
              <w:spacing w:after="0"/>
              <w:jc w:val="left"/>
              <w:textAlignment w:val="center"/>
              <w:rPr>
                <w:rFonts w:ascii="宋体" w:hAnsi="宋体" w:cs="宋体"/>
                <w:color w:val="000000"/>
                <w:sz w:val="24"/>
              </w:rPr>
            </w:pPr>
            <w:r>
              <w:rPr>
                <w:rFonts w:hint="eastAsia" w:ascii="宋体" w:hAnsi="宋体" w:cs="宋体"/>
                <w:color w:val="000000"/>
                <w:kern w:val="0"/>
                <w:sz w:val="24"/>
                <w:lang w:bidi="ar"/>
              </w:rPr>
              <w:t>2.具有</w:t>
            </w:r>
            <w:r>
              <w:rPr>
                <w:rFonts w:hint="eastAsia" w:ascii="宋体" w:hAnsi="宋体" w:cs="宋体"/>
                <w:color w:val="000000"/>
                <w:kern w:val="0"/>
                <w:sz w:val="24"/>
                <w:lang w:val="en-US" w:eastAsia="zh-CN" w:bidi="ar"/>
              </w:rPr>
              <w:t>中级及以上</w:t>
            </w:r>
            <w:r>
              <w:rPr>
                <w:rFonts w:hint="eastAsia" w:ascii="宋体" w:hAnsi="宋体" w:cs="宋体"/>
                <w:color w:val="000000"/>
                <w:kern w:val="0"/>
                <w:sz w:val="24"/>
                <w:lang w:bidi="ar"/>
              </w:rPr>
              <w:t>技术职称的，每提供1人得2分，最多得4分；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1FF5">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139E">
            <w:pPr>
              <w:spacing w:after="0"/>
              <w:jc w:val="center"/>
              <w:rPr>
                <w:rFonts w:ascii="宋体" w:hAnsi="宋体" w:cs="宋体"/>
                <w:color w:val="000000"/>
                <w:sz w:val="24"/>
              </w:rPr>
            </w:pPr>
          </w:p>
        </w:tc>
      </w:tr>
      <w:tr w14:paraId="3F15D5C6">
        <w:tblPrEx>
          <w:tblCellMar>
            <w:top w:w="0" w:type="dxa"/>
            <w:left w:w="108" w:type="dxa"/>
            <w:bottom w:w="0" w:type="dxa"/>
            <w:right w:w="108" w:type="dxa"/>
          </w:tblCellMar>
        </w:tblPrEx>
        <w:trPr>
          <w:trHeight w:val="70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CC94">
            <w:pPr>
              <w:spacing w:after="0"/>
              <w:jc w:val="center"/>
              <w:rPr>
                <w:rFonts w:ascii="宋体" w:hAnsi="宋体" w:cs="宋体"/>
                <w:color w:val="000000"/>
                <w:sz w:val="24"/>
              </w:rPr>
            </w:pPr>
          </w:p>
        </w:tc>
        <w:tc>
          <w:tcPr>
            <w:tcW w:w="1082" w:type="dxa"/>
            <w:vMerge w:val="continue"/>
            <w:tcBorders>
              <w:left w:val="single" w:color="000000" w:sz="4" w:space="0"/>
              <w:right w:val="single" w:color="000000" w:sz="4" w:space="0"/>
            </w:tcBorders>
            <w:shd w:val="clear" w:color="auto" w:fill="auto"/>
            <w:vAlign w:val="center"/>
          </w:tcPr>
          <w:p w14:paraId="5D9E21C2">
            <w:pPr>
              <w:spacing w:after="0"/>
              <w:jc w:val="center"/>
              <w:rPr>
                <w:rFonts w:ascii="宋体" w:hAnsi="宋体" w:cs="宋体"/>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F1F">
            <w:pPr>
              <w:widowControl/>
              <w:spacing w:after="0"/>
              <w:jc w:val="left"/>
              <w:rPr>
                <w:rFonts w:ascii="宋体" w:hAnsi="宋体" w:cs="宋体"/>
                <w:b/>
                <w:bCs/>
                <w:color w:val="000000"/>
                <w:sz w:val="24"/>
              </w:rPr>
            </w:pPr>
            <w:r>
              <w:rPr>
                <w:rFonts w:hint="eastAsia" w:ascii="宋体" w:hAnsi="宋体" w:cs="宋体"/>
                <w:b/>
                <w:bCs/>
                <w:color w:val="000000"/>
                <w:kern w:val="0"/>
                <w:sz w:val="24"/>
                <w:lang w:bidi="ar"/>
              </w:rPr>
              <w:t>备注：同一人员证书不重复计分。提供人员的简历表、相关证书以及本单位</w:t>
            </w:r>
            <w:r>
              <w:rPr>
                <w:rFonts w:hint="eastAsia" w:ascii="宋体" w:hAnsi="宋体" w:cs="宋体"/>
                <w:b/>
                <w:bCs/>
                <w:kern w:val="0"/>
                <w:sz w:val="24"/>
              </w:rPr>
              <w:t>劳动合同（或近1个月社保证明）</w:t>
            </w:r>
            <w:r>
              <w:rPr>
                <w:rFonts w:hint="eastAsia" w:ascii="宋体" w:hAnsi="宋体" w:cs="宋体"/>
                <w:b/>
                <w:bCs/>
                <w:color w:val="000000"/>
                <w:kern w:val="0"/>
                <w:sz w:val="24"/>
                <w:lang w:bidi="ar"/>
              </w:rPr>
              <w:t>复印件加盖公章，不提供不得分。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1190">
            <w:pPr>
              <w:spacing w:after="0"/>
              <w:jc w:val="center"/>
              <w:rPr>
                <w:rFonts w:ascii="宋体" w:hAnsi="宋体" w:cs="宋体"/>
                <w:color w:val="000000"/>
                <w:sz w:val="24"/>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32E4">
            <w:pPr>
              <w:spacing w:after="0"/>
              <w:jc w:val="center"/>
              <w:rPr>
                <w:rFonts w:ascii="宋体" w:hAnsi="宋体" w:cs="宋体"/>
                <w:color w:val="000000"/>
                <w:sz w:val="24"/>
              </w:rPr>
            </w:pPr>
          </w:p>
        </w:tc>
      </w:tr>
      <w:tr w14:paraId="67F23C9F">
        <w:tblPrEx>
          <w:tblCellMar>
            <w:top w:w="0" w:type="dxa"/>
            <w:left w:w="108" w:type="dxa"/>
            <w:bottom w:w="0" w:type="dxa"/>
            <w:right w:w="108" w:type="dxa"/>
          </w:tblCellMar>
        </w:tblPrEx>
        <w:trPr>
          <w:trHeight w:val="23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3937">
            <w:pPr>
              <w:spacing w:after="0"/>
              <w:jc w:val="center"/>
              <w:rPr>
                <w:rFonts w:ascii="宋体" w:hAnsi="宋体" w:cs="宋体"/>
                <w:color w:val="000000"/>
                <w:sz w:val="24"/>
              </w:rPr>
            </w:pPr>
          </w:p>
        </w:tc>
        <w:tc>
          <w:tcPr>
            <w:tcW w:w="1082" w:type="dxa"/>
            <w:vMerge w:val="continue"/>
            <w:tcBorders>
              <w:left w:val="single" w:color="000000" w:sz="4" w:space="0"/>
              <w:bottom w:val="single" w:color="000000" w:sz="4" w:space="0"/>
              <w:right w:val="single" w:color="000000" w:sz="4" w:space="0"/>
            </w:tcBorders>
            <w:shd w:val="clear" w:color="auto" w:fill="auto"/>
            <w:vAlign w:val="center"/>
          </w:tcPr>
          <w:p w14:paraId="00E9F916">
            <w:pPr>
              <w:widowControl/>
              <w:spacing w:after="0"/>
              <w:jc w:val="center"/>
              <w:textAlignment w:val="center"/>
              <w:rPr>
                <w:rFonts w:ascii="宋体" w:hAnsi="宋体" w:cs="宋体"/>
                <w:color w:val="000000"/>
                <w:sz w:val="24"/>
              </w:rPr>
            </w:pPr>
          </w:p>
        </w:tc>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286">
            <w:pPr>
              <w:widowControl/>
              <w:adjustRightInd/>
              <w:spacing w:after="0"/>
              <w:jc w:val="left"/>
              <w:rPr>
                <w:rFonts w:ascii="宋体" w:hAnsi="宋体" w:cs="宋体"/>
                <w:color w:val="000000"/>
                <w:kern w:val="0"/>
                <w:sz w:val="24"/>
                <w:lang w:bidi="ar"/>
              </w:rPr>
            </w:pPr>
            <w:r>
              <w:rPr>
                <w:rFonts w:hint="eastAsia" w:ascii="宋体" w:hAnsi="宋体" w:cs="宋体"/>
                <w:color w:val="000000"/>
                <w:kern w:val="0"/>
                <w:sz w:val="24"/>
                <w:lang w:bidi="ar"/>
              </w:rPr>
              <w:t>供应商提供本项目核心人员的项目经验，对其在项目中的主要工作内容、项目角色、解决技术疑难点等方面进行描述。</w:t>
            </w:r>
          </w:p>
          <w:p w14:paraId="47E4522D">
            <w:pPr>
              <w:widowControl/>
              <w:numPr>
                <w:ilvl w:val="255"/>
                <w:numId w:val="0"/>
              </w:numPr>
              <w:spacing w:after="0"/>
              <w:jc w:val="left"/>
              <w:rPr>
                <w:rFonts w:ascii="宋体" w:hAnsi="宋体" w:cs="宋体"/>
                <w:color w:val="000000"/>
                <w:kern w:val="0"/>
                <w:sz w:val="24"/>
                <w:lang w:bidi="ar"/>
              </w:rPr>
            </w:pPr>
            <w:r>
              <w:rPr>
                <w:rFonts w:hint="eastAsia" w:ascii="宋体" w:hAnsi="宋体" w:cs="宋体"/>
                <w:color w:val="000000"/>
                <w:kern w:val="0"/>
                <w:sz w:val="24"/>
                <w:lang w:bidi="ar"/>
              </w:rPr>
              <w:t>人员数量安排充足、项目经验丰富、与本项目要求专业内容契合度高、具有解决相关疑难问题的能力和经验进行打分，</w:t>
            </w:r>
          </w:p>
          <w:p w14:paraId="05A487EB">
            <w:pPr>
              <w:widowControl/>
              <w:numPr>
                <w:ilvl w:val="255"/>
                <w:numId w:val="0"/>
              </w:numPr>
              <w:spacing w:after="0"/>
              <w:jc w:val="left"/>
              <w:rPr>
                <w:rFonts w:ascii="宋体" w:hAnsi="宋体" w:cs="宋体"/>
                <w:sz w:val="24"/>
              </w:rPr>
            </w:pPr>
            <w:r>
              <w:rPr>
                <w:rFonts w:hint="eastAsia" w:ascii="宋体" w:hAnsi="宋体" w:cs="宋体"/>
                <w:sz w:val="24"/>
              </w:rPr>
              <w:t>人员数量与配备合理，投入优化好的得</w:t>
            </w:r>
            <w:r>
              <w:rPr>
                <w:rFonts w:ascii="宋体" w:hAnsi="宋体" w:cs="宋体"/>
                <w:sz w:val="24"/>
              </w:rPr>
              <w:t>6</w:t>
            </w:r>
            <w:r>
              <w:rPr>
                <w:rFonts w:hint="eastAsia" w:ascii="宋体" w:hAnsi="宋体" w:cs="宋体"/>
                <w:sz w:val="24"/>
              </w:rPr>
              <w:t>分 ；</w:t>
            </w:r>
          </w:p>
          <w:p w14:paraId="7E85A560">
            <w:pPr>
              <w:widowControl/>
              <w:numPr>
                <w:ilvl w:val="255"/>
                <w:numId w:val="0"/>
              </w:numPr>
              <w:spacing w:after="0"/>
              <w:jc w:val="left"/>
              <w:rPr>
                <w:rFonts w:ascii="宋体" w:hAnsi="宋体" w:cs="宋体"/>
                <w:sz w:val="24"/>
              </w:rPr>
            </w:pPr>
            <w:r>
              <w:rPr>
                <w:rFonts w:hint="eastAsia" w:ascii="宋体" w:hAnsi="宋体" w:cs="宋体"/>
                <w:sz w:val="24"/>
              </w:rPr>
              <w:t>人员数量与配备较合理，投入优化较好的得</w:t>
            </w:r>
            <w:r>
              <w:rPr>
                <w:rFonts w:ascii="宋体" w:hAnsi="宋体" w:cs="宋体"/>
                <w:sz w:val="24"/>
              </w:rPr>
              <w:t>3</w:t>
            </w:r>
            <w:r>
              <w:rPr>
                <w:rFonts w:hint="eastAsia" w:ascii="宋体" w:hAnsi="宋体" w:cs="宋体"/>
                <w:sz w:val="24"/>
              </w:rPr>
              <w:t>分；</w:t>
            </w:r>
          </w:p>
          <w:p w14:paraId="1F275678">
            <w:pPr>
              <w:widowControl/>
              <w:spacing w:after="0"/>
              <w:jc w:val="left"/>
              <w:rPr>
                <w:rFonts w:ascii="宋体" w:hAnsi="宋体" w:cs="宋体"/>
                <w:color w:val="000000"/>
                <w:sz w:val="24"/>
              </w:rPr>
            </w:pPr>
            <w:r>
              <w:rPr>
                <w:rFonts w:hint="eastAsia" w:ascii="宋体" w:hAnsi="宋体" w:cs="宋体"/>
                <w:sz w:val="24"/>
              </w:rPr>
              <w:t>人员数量与配备合理性较差，投入不优化的得1分。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EE59">
            <w:pPr>
              <w:widowControl/>
              <w:spacing w:after="0"/>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2A12">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bl>
    <w:p w14:paraId="4FC4AC10">
      <w:pPr>
        <w:rPr>
          <w:rFonts w:ascii="宋体" w:hAnsi="宋体" w:cs="宋体"/>
        </w:rPr>
      </w:pPr>
    </w:p>
    <w:p w14:paraId="0C82D3FC">
      <w:pPr>
        <w:jc w:val="left"/>
        <w:rPr>
          <w:rFonts w:ascii="宋体" w:hAnsi="宋体" w:cs="宋体"/>
          <w:b/>
          <w:sz w:val="24"/>
        </w:rPr>
      </w:pPr>
      <w:r>
        <w:rPr>
          <w:rFonts w:hint="eastAsia" w:ascii="宋体" w:hAnsi="宋体" w:cs="宋体"/>
          <w:b/>
          <w:sz w:val="24"/>
        </w:rPr>
        <w:br w:type="page"/>
      </w:r>
    </w:p>
    <w:p w14:paraId="1AEC95D1">
      <w:pPr>
        <w:jc w:val="center"/>
        <w:rPr>
          <w:rFonts w:ascii="宋体" w:hAnsi="宋体" w:cs="宋体"/>
          <w:b/>
          <w:sz w:val="24"/>
        </w:rPr>
      </w:pPr>
      <w:r>
        <w:rPr>
          <w:rFonts w:hint="eastAsia" w:ascii="宋体" w:hAnsi="宋体" w:cs="宋体"/>
          <w:b/>
          <w:sz w:val="24"/>
        </w:rPr>
        <w:t>标项四评分细则</w:t>
      </w:r>
    </w:p>
    <w:tbl>
      <w:tblPr>
        <w:tblStyle w:val="64"/>
        <w:tblW w:w="8927" w:type="dxa"/>
        <w:tblInd w:w="-301" w:type="dxa"/>
        <w:tblLayout w:type="fixed"/>
        <w:tblCellMar>
          <w:top w:w="0" w:type="dxa"/>
          <w:left w:w="108" w:type="dxa"/>
          <w:bottom w:w="0" w:type="dxa"/>
          <w:right w:w="108" w:type="dxa"/>
        </w:tblCellMar>
      </w:tblPr>
      <w:tblGrid>
        <w:gridCol w:w="895"/>
        <w:gridCol w:w="1241"/>
        <w:gridCol w:w="4912"/>
        <w:gridCol w:w="829"/>
        <w:gridCol w:w="1050"/>
      </w:tblGrid>
      <w:tr w14:paraId="07F5B3B7">
        <w:tblPrEx>
          <w:tblCellMar>
            <w:top w:w="0" w:type="dxa"/>
            <w:left w:w="108" w:type="dxa"/>
            <w:bottom w:w="0" w:type="dxa"/>
            <w:right w:w="108" w:type="dxa"/>
          </w:tblCellMar>
        </w:tblPrEx>
        <w:trPr>
          <w:trHeight w:val="36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542F">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4550">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评分项</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F2E6">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评 分 细 则</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A297">
            <w:pPr>
              <w:widowControl/>
              <w:spacing w:after="0"/>
              <w:jc w:val="center"/>
              <w:textAlignment w:val="center"/>
              <w:rPr>
                <w:rFonts w:ascii="宋体" w:hAnsi="宋体" w:cs="宋体"/>
                <w:b/>
                <w:bCs/>
                <w:color w:val="000000"/>
                <w:sz w:val="24"/>
              </w:rPr>
            </w:pPr>
            <w:r>
              <w:rPr>
                <w:rFonts w:hint="eastAsia" w:ascii="宋体" w:hAnsi="宋体" w:cs="宋体"/>
                <w:b/>
                <w:bCs/>
                <w:kern w:val="0"/>
                <w:sz w:val="24"/>
              </w:rPr>
              <w:t>权重/分值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3AA4">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权重</w:t>
            </w:r>
          </w:p>
        </w:tc>
      </w:tr>
      <w:tr w14:paraId="42777B13">
        <w:tblPrEx>
          <w:tblCellMar>
            <w:top w:w="0" w:type="dxa"/>
            <w:left w:w="108" w:type="dxa"/>
            <w:bottom w:w="0" w:type="dxa"/>
            <w:right w:w="108" w:type="dxa"/>
          </w:tblCellMar>
        </w:tblPrEx>
        <w:trPr>
          <w:trHeight w:val="294"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1062">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5D43">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同类业绩</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57D">
            <w:pPr>
              <w:widowControl/>
              <w:spacing w:after="0" w:line="288"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投标人自2020年1月1日（时间以合同签订时间为准）起承担过数据综合治理相关内容的项目合同业绩，每提供1个得0.5分，最高得1分。</w:t>
            </w:r>
          </w:p>
          <w:p w14:paraId="0B0D427D">
            <w:pPr>
              <w:widowControl/>
              <w:spacing w:after="0" w:line="288" w:lineRule="auto"/>
              <w:textAlignment w:val="center"/>
              <w:rPr>
                <w:rFonts w:ascii="宋体" w:hAnsi="宋体" w:cs="宋体"/>
                <w:b/>
                <w:bCs/>
                <w:color w:val="000000"/>
                <w:sz w:val="24"/>
              </w:rPr>
            </w:pPr>
            <w:r>
              <w:rPr>
                <w:rFonts w:hint="eastAsia" w:ascii="宋体" w:hAnsi="宋体" w:cs="宋体"/>
                <w:b/>
                <w:bCs/>
                <w:color w:val="000000"/>
                <w:kern w:val="0"/>
                <w:sz w:val="24"/>
                <w:lang w:bidi="ar"/>
              </w:rPr>
              <w:t>证明材料：须提供合同复印件或扫描件并加盖投标单位公章。</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C1A7">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1分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5607">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5080427B">
        <w:tblPrEx>
          <w:tblCellMar>
            <w:top w:w="0" w:type="dxa"/>
            <w:left w:w="108" w:type="dxa"/>
            <w:bottom w:w="0" w:type="dxa"/>
            <w:right w:w="108" w:type="dxa"/>
          </w:tblCellMar>
        </w:tblPrEx>
        <w:trPr>
          <w:trHeight w:val="3170" w:hRule="atLeast"/>
        </w:trPr>
        <w:tc>
          <w:tcPr>
            <w:tcW w:w="895" w:type="dxa"/>
            <w:vMerge w:val="restart"/>
            <w:tcBorders>
              <w:top w:val="single" w:color="000000" w:sz="4" w:space="0"/>
              <w:left w:val="single" w:color="000000" w:sz="4" w:space="0"/>
              <w:right w:val="single" w:color="000000" w:sz="4" w:space="0"/>
            </w:tcBorders>
            <w:shd w:val="clear" w:color="auto" w:fill="auto"/>
            <w:vAlign w:val="center"/>
          </w:tcPr>
          <w:p w14:paraId="1A9387DF">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2</w:t>
            </w:r>
          </w:p>
        </w:tc>
        <w:tc>
          <w:tcPr>
            <w:tcW w:w="1241" w:type="dxa"/>
            <w:vMerge w:val="restart"/>
            <w:tcBorders>
              <w:top w:val="single" w:color="000000" w:sz="4" w:space="0"/>
              <w:left w:val="single" w:color="000000" w:sz="4" w:space="0"/>
              <w:right w:val="single" w:color="000000" w:sz="4" w:space="0"/>
            </w:tcBorders>
            <w:shd w:val="clear" w:color="auto" w:fill="auto"/>
            <w:vAlign w:val="center"/>
          </w:tcPr>
          <w:p w14:paraId="3DD17C2E">
            <w:pPr>
              <w:spacing w:after="0" w:line="288" w:lineRule="auto"/>
              <w:rPr>
                <w:rFonts w:ascii="宋体" w:hAnsi="宋体" w:cs="宋体"/>
              </w:rPr>
            </w:pPr>
          </w:p>
          <w:p w14:paraId="2EBE970C">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企业资信</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336">
            <w:pPr>
              <w:widowControl/>
              <w:spacing w:after="0" w:line="288"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投标人取得相关领域创新能力证明材料（国家知识产权局专利证书或国家版权局软件著作权证书）且证书名称中包含的关键词与"数据服务"、"数据质量"、"数据安全"、"数据管理"、“数据共享”相类似。</w:t>
            </w:r>
          </w:p>
          <w:p w14:paraId="637EDEC7">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每具有一类上述证书得1分，最多得5分。同类证书只计一次，不得重复计分。</w:t>
            </w:r>
          </w:p>
          <w:p w14:paraId="03001E38">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注：提供证书复印件并加盖投标人公章，未按要求提供的不得分。证书要求在招标公告发布前取得。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B921">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4E98">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26CBB999">
        <w:tblPrEx>
          <w:tblCellMar>
            <w:top w:w="0" w:type="dxa"/>
            <w:left w:w="108" w:type="dxa"/>
            <w:bottom w:w="0" w:type="dxa"/>
            <w:right w:w="108" w:type="dxa"/>
          </w:tblCellMar>
        </w:tblPrEx>
        <w:trPr>
          <w:trHeight w:val="720" w:hRule="atLeast"/>
        </w:trPr>
        <w:tc>
          <w:tcPr>
            <w:tcW w:w="895" w:type="dxa"/>
            <w:vMerge w:val="continue"/>
            <w:tcBorders>
              <w:left w:val="single" w:color="000000" w:sz="4" w:space="0"/>
              <w:right w:val="single" w:color="000000" w:sz="4" w:space="0"/>
            </w:tcBorders>
            <w:shd w:val="clear" w:color="auto" w:fill="auto"/>
            <w:vAlign w:val="center"/>
          </w:tcPr>
          <w:p w14:paraId="393E0E93">
            <w:pPr>
              <w:widowControl/>
              <w:spacing w:after="0"/>
              <w:jc w:val="center"/>
              <w:textAlignment w:val="center"/>
              <w:rPr>
                <w:rFonts w:ascii="宋体" w:hAnsi="宋体" w:cs="宋体"/>
                <w:b/>
                <w:bCs/>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19685121">
            <w:pPr>
              <w:widowControl/>
              <w:spacing w:after="0" w:line="288" w:lineRule="auto"/>
              <w:jc w:val="center"/>
              <w:textAlignment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7C02">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投标人具备有效期内的质量管理体系认证证书，得1分，否则本项不得分。</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F3436">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9F3C1">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3CB7B9ED">
        <w:tblPrEx>
          <w:tblCellMar>
            <w:top w:w="0" w:type="dxa"/>
            <w:left w:w="108" w:type="dxa"/>
            <w:bottom w:w="0" w:type="dxa"/>
            <w:right w:w="108" w:type="dxa"/>
          </w:tblCellMar>
        </w:tblPrEx>
        <w:trPr>
          <w:trHeight w:val="720" w:hRule="atLeast"/>
        </w:trPr>
        <w:tc>
          <w:tcPr>
            <w:tcW w:w="895" w:type="dxa"/>
            <w:vMerge w:val="continue"/>
            <w:tcBorders>
              <w:left w:val="single" w:color="000000" w:sz="4" w:space="0"/>
              <w:right w:val="single" w:color="000000" w:sz="4" w:space="0"/>
            </w:tcBorders>
            <w:shd w:val="clear" w:color="auto" w:fill="auto"/>
            <w:vAlign w:val="center"/>
          </w:tcPr>
          <w:p w14:paraId="2A75C95E">
            <w:pPr>
              <w:spacing w:after="0"/>
              <w:jc w:val="center"/>
              <w:rPr>
                <w:rFonts w:ascii="宋体" w:hAnsi="宋体" w:cs="宋体"/>
                <w:b/>
                <w:bCs/>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48251A4E">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2B55">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投标人具备有效期内的信息技术服务管理体系认证证书，得1分，否则本项不得分。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B7E4">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FFF2">
            <w:pPr>
              <w:spacing w:after="0"/>
              <w:jc w:val="center"/>
              <w:rPr>
                <w:rFonts w:ascii="宋体" w:hAnsi="宋体" w:cs="宋体"/>
                <w:color w:val="000000"/>
                <w:sz w:val="24"/>
              </w:rPr>
            </w:pPr>
          </w:p>
        </w:tc>
      </w:tr>
      <w:tr w14:paraId="7C16F96F">
        <w:tblPrEx>
          <w:tblCellMar>
            <w:top w:w="0" w:type="dxa"/>
            <w:left w:w="108" w:type="dxa"/>
            <w:bottom w:w="0" w:type="dxa"/>
            <w:right w:w="108" w:type="dxa"/>
          </w:tblCellMar>
        </w:tblPrEx>
        <w:trPr>
          <w:trHeight w:val="720" w:hRule="atLeast"/>
        </w:trPr>
        <w:tc>
          <w:tcPr>
            <w:tcW w:w="895" w:type="dxa"/>
            <w:vMerge w:val="continue"/>
            <w:tcBorders>
              <w:left w:val="single" w:color="000000" w:sz="4" w:space="0"/>
              <w:right w:val="single" w:color="000000" w:sz="4" w:space="0"/>
            </w:tcBorders>
            <w:shd w:val="clear" w:color="auto" w:fill="auto"/>
            <w:vAlign w:val="center"/>
          </w:tcPr>
          <w:p w14:paraId="4D1552CE">
            <w:pPr>
              <w:spacing w:after="0"/>
              <w:jc w:val="center"/>
              <w:rPr>
                <w:rFonts w:ascii="宋体" w:hAnsi="宋体" w:cs="宋体"/>
                <w:b/>
                <w:bCs/>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3F2DF8AD">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0EAA">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投标人具备有效期内的信息安全管理体系认证证书，得1分，否则本项不得分。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E8C66">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C174">
            <w:pPr>
              <w:spacing w:after="0"/>
              <w:jc w:val="center"/>
              <w:rPr>
                <w:rFonts w:ascii="宋体" w:hAnsi="宋体" w:cs="宋体"/>
                <w:color w:val="000000"/>
                <w:sz w:val="24"/>
              </w:rPr>
            </w:pPr>
          </w:p>
        </w:tc>
      </w:tr>
      <w:tr w14:paraId="2F431B88">
        <w:tblPrEx>
          <w:tblCellMar>
            <w:top w:w="0" w:type="dxa"/>
            <w:left w:w="108" w:type="dxa"/>
            <w:bottom w:w="0" w:type="dxa"/>
            <w:right w:w="108" w:type="dxa"/>
          </w:tblCellMar>
        </w:tblPrEx>
        <w:trPr>
          <w:trHeight w:val="1060" w:hRule="atLeast"/>
        </w:trPr>
        <w:tc>
          <w:tcPr>
            <w:tcW w:w="895" w:type="dxa"/>
            <w:vMerge w:val="continue"/>
            <w:tcBorders>
              <w:left w:val="single" w:color="000000" w:sz="4" w:space="0"/>
              <w:right w:val="single" w:color="000000" w:sz="4" w:space="0"/>
            </w:tcBorders>
            <w:shd w:val="clear" w:color="auto" w:fill="auto"/>
            <w:vAlign w:val="center"/>
          </w:tcPr>
          <w:p w14:paraId="053E551D">
            <w:pPr>
              <w:spacing w:after="0"/>
              <w:jc w:val="center"/>
              <w:rPr>
                <w:rFonts w:ascii="宋体" w:hAnsi="宋体" w:cs="宋体"/>
                <w:b/>
                <w:bCs/>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1EC544FB">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51A6">
            <w:pPr>
              <w:widowControl/>
              <w:spacing w:after="0" w:line="288" w:lineRule="auto"/>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投标人具备有效的软件企业和软件产品认证证书，每具备一项得1分，最高得2分，否则本项不得分</w:t>
            </w:r>
            <w:r>
              <w:rPr>
                <w:rFonts w:hint="eastAsia" w:ascii="宋体" w:hAnsi="宋体" w:cs="宋体"/>
                <w:color w:val="000000"/>
                <w:kern w:val="0"/>
                <w:sz w:val="24"/>
                <w:lang w:eastAsia="zh-CN" w:bidi="ar"/>
              </w:rPr>
              <w:t>。</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93FA">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4FBE">
            <w:pPr>
              <w:spacing w:after="0"/>
              <w:jc w:val="center"/>
              <w:rPr>
                <w:rFonts w:ascii="宋体" w:hAnsi="宋体" w:cs="宋体"/>
                <w:color w:val="000000"/>
                <w:sz w:val="24"/>
              </w:rPr>
            </w:pPr>
          </w:p>
        </w:tc>
      </w:tr>
      <w:tr w14:paraId="27A9DAA7">
        <w:tblPrEx>
          <w:tblCellMar>
            <w:top w:w="0" w:type="dxa"/>
            <w:left w:w="108" w:type="dxa"/>
            <w:bottom w:w="0" w:type="dxa"/>
            <w:right w:w="108" w:type="dxa"/>
          </w:tblCellMar>
        </w:tblPrEx>
        <w:trPr>
          <w:trHeight w:val="720" w:hRule="atLeast"/>
        </w:trPr>
        <w:tc>
          <w:tcPr>
            <w:tcW w:w="895" w:type="dxa"/>
            <w:vMerge w:val="continue"/>
            <w:tcBorders>
              <w:left w:val="single" w:color="000000" w:sz="4" w:space="0"/>
              <w:bottom w:val="single" w:color="000000" w:sz="4" w:space="0"/>
              <w:right w:val="single" w:color="000000" w:sz="4" w:space="0"/>
            </w:tcBorders>
            <w:shd w:val="clear" w:color="auto" w:fill="auto"/>
            <w:vAlign w:val="center"/>
          </w:tcPr>
          <w:p w14:paraId="487DDB4D">
            <w:pPr>
              <w:spacing w:after="0"/>
              <w:jc w:val="center"/>
              <w:rPr>
                <w:rFonts w:ascii="宋体" w:hAnsi="宋体" w:cs="宋体"/>
                <w:b/>
                <w:bCs/>
                <w:color w:val="000000"/>
                <w:sz w:val="24"/>
              </w:rPr>
            </w:pPr>
          </w:p>
        </w:tc>
        <w:tc>
          <w:tcPr>
            <w:tcW w:w="1241" w:type="dxa"/>
            <w:vMerge w:val="continue"/>
            <w:tcBorders>
              <w:left w:val="single" w:color="000000" w:sz="4" w:space="0"/>
              <w:bottom w:val="single" w:color="000000" w:sz="4" w:space="0"/>
              <w:right w:val="single" w:color="000000" w:sz="4" w:space="0"/>
            </w:tcBorders>
            <w:shd w:val="clear" w:color="auto" w:fill="auto"/>
            <w:vAlign w:val="center"/>
          </w:tcPr>
          <w:p w14:paraId="5E073DE8">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2A79">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备注：所有在投标文件中提供有效期内的证书材料复印件加盖公章，不提供不得分。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5593">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D45D6">
            <w:pPr>
              <w:spacing w:after="0"/>
              <w:jc w:val="center"/>
              <w:rPr>
                <w:rFonts w:ascii="宋体" w:hAnsi="宋体" w:cs="宋体"/>
                <w:color w:val="000000"/>
                <w:sz w:val="24"/>
              </w:rPr>
            </w:pPr>
          </w:p>
        </w:tc>
      </w:tr>
      <w:tr w14:paraId="1212B599">
        <w:tblPrEx>
          <w:tblCellMar>
            <w:top w:w="0" w:type="dxa"/>
            <w:left w:w="108" w:type="dxa"/>
            <w:bottom w:w="0" w:type="dxa"/>
            <w:right w:w="108" w:type="dxa"/>
          </w:tblCellMar>
        </w:tblPrEx>
        <w:trPr>
          <w:trHeight w:val="297"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FB2B9">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3</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E9ACB">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企业实力</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4D2">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投标人具有专精特新企业资质认证，国家级的得3分，省级的得2分</w:t>
            </w:r>
            <w:r>
              <w:rPr>
                <w:rFonts w:hint="eastAsia" w:cs="宋体"/>
                <w:color w:val="000000"/>
                <w:kern w:val="0"/>
                <w:sz w:val="24"/>
                <w:lang w:eastAsia="zh-CN" w:bidi="ar"/>
              </w:rPr>
              <w:t>，</w:t>
            </w:r>
            <w:r>
              <w:rPr>
                <w:rFonts w:hint="eastAsia" w:cs="宋体"/>
                <w:color w:val="000000"/>
                <w:kern w:val="0"/>
                <w:sz w:val="24"/>
                <w:lang w:val="en-US" w:eastAsia="zh-CN" w:bidi="ar"/>
              </w:rPr>
              <w:t>市级的得1分</w:t>
            </w:r>
            <w:r>
              <w:rPr>
                <w:rFonts w:hint="eastAsia" w:ascii="宋体" w:hAnsi="宋体" w:cs="宋体"/>
                <w:color w:val="000000"/>
                <w:kern w:val="0"/>
                <w:sz w:val="24"/>
                <w:lang w:bidi="ar"/>
              </w:rPr>
              <w:t>；投标时提供证书扫描件或复印件加盖投标人公章。</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528A3">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11分</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16820">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04443C13">
        <w:tblPrEx>
          <w:tblCellMar>
            <w:top w:w="0" w:type="dxa"/>
            <w:left w:w="108" w:type="dxa"/>
            <w:bottom w:w="0" w:type="dxa"/>
            <w:right w:w="108" w:type="dxa"/>
          </w:tblCellMar>
        </w:tblPrEx>
        <w:trPr>
          <w:trHeight w:val="72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54423">
            <w:pPr>
              <w:spacing w:after="0"/>
              <w:jc w:val="center"/>
              <w:rPr>
                <w:rFonts w:ascii="宋体" w:hAnsi="宋体" w:cs="宋体"/>
                <w:b/>
                <w:bCs/>
                <w:color w:val="000000"/>
                <w:sz w:val="24"/>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9BF0">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AD70">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投标人具有软件成熟度集成模型服务能力CMMI</w:t>
            </w:r>
            <w:r>
              <w:rPr>
                <w:rFonts w:ascii="宋体" w:hAnsi="宋体" w:cs="宋体"/>
                <w:color w:val="000000"/>
                <w:kern w:val="0"/>
                <w:sz w:val="24"/>
                <w:lang w:bidi="ar"/>
              </w:rPr>
              <w:t>3</w:t>
            </w:r>
            <w:r>
              <w:rPr>
                <w:rFonts w:hint="eastAsia" w:ascii="宋体" w:hAnsi="宋体" w:cs="宋体"/>
                <w:color w:val="000000"/>
                <w:kern w:val="0"/>
                <w:sz w:val="24"/>
                <w:lang w:bidi="ar"/>
              </w:rPr>
              <w:t>级或以上证书得</w:t>
            </w:r>
            <w:r>
              <w:rPr>
                <w:rFonts w:ascii="宋体" w:hAnsi="宋体" w:cs="宋体"/>
                <w:color w:val="000000"/>
                <w:kern w:val="0"/>
                <w:sz w:val="24"/>
                <w:lang w:bidi="ar"/>
              </w:rPr>
              <w:t>2</w:t>
            </w:r>
            <w:r>
              <w:rPr>
                <w:rFonts w:hint="eastAsia" w:ascii="宋体" w:hAnsi="宋体" w:cs="宋体"/>
                <w:color w:val="000000"/>
                <w:kern w:val="0"/>
                <w:sz w:val="24"/>
                <w:lang w:bidi="ar"/>
              </w:rPr>
              <w:t>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A5298">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A0CB">
            <w:pPr>
              <w:spacing w:after="0"/>
              <w:jc w:val="center"/>
              <w:rPr>
                <w:rFonts w:ascii="宋体" w:hAnsi="宋体" w:cs="宋体"/>
                <w:color w:val="000000"/>
                <w:sz w:val="24"/>
              </w:rPr>
            </w:pPr>
          </w:p>
        </w:tc>
      </w:tr>
      <w:tr w14:paraId="13C529B1">
        <w:tblPrEx>
          <w:tblCellMar>
            <w:top w:w="0" w:type="dxa"/>
            <w:left w:w="108" w:type="dxa"/>
            <w:bottom w:w="0" w:type="dxa"/>
            <w:right w:w="108" w:type="dxa"/>
          </w:tblCellMar>
        </w:tblPrEx>
        <w:trPr>
          <w:trHeight w:val="72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390C">
            <w:pPr>
              <w:spacing w:after="0"/>
              <w:jc w:val="center"/>
              <w:rPr>
                <w:rFonts w:ascii="宋体" w:hAnsi="宋体" w:cs="宋体"/>
                <w:b/>
                <w:bCs/>
                <w:color w:val="000000"/>
                <w:sz w:val="24"/>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50E79">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056D">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投标人具备高新技术企业证书，省级及以上的得2分，市级的得1分，其他不得分。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9AE0">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1BA1">
            <w:pPr>
              <w:spacing w:after="0"/>
              <w:jc w:val="center"/>
              <w:rPr>
                <w:rFonts w:ascii="宋体" w:hAnsi="宋体" w:cs="宋体"/>
                <w:color w:val="000000"/>
                <w:sz w:val="24"/>
              </w:rPr>
            </w:pPr>
          </w:p>
        </w:tc>
      </w:tr>
      <w:tr w14:paraId="0F39A64E">
        <w:tblPrEx>
          <w:tblCellMar>
            <w:top w:w="0" w:type="dxa"/>
            <w:left w:w="108" w:type="dxa"/>
            <w:bottom w:w="0" w:type="dxa"/>
            <w:right w:w="108" w:type="dxa"/>
          </w:tblCellMar>
        </w:tblPrEx>
        <w:trPr>
          <w:trHeight w:val="72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A3136">
            <w:pPr>
              <w:spacing w:after="0"/>
              <w:jc w:val="center"/>
              <w:rPr>
                <w:rFonts w:ascii="宋体" w:hAnsi="宋体" w:cs="宋体"/>
                <w:b/>
                <w:bCs/>
                <w:color w:val="000000"/>
                <w:sz w:val="24"/>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0270">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5E91">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投标人承担过数据相关的地方标准、行业标准或国家标准起草的得4分。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A519">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9553">
            <w:pPr>
              <w:spacing w:after="0"/>
              <w:jc w:val="center"/>
              <w:rPr>
                <w:rFonts w:ascii="宋体" w:hAnsi="宋体" w:cs="宋体"/>
                <w:color w:val="000000"/>
                <w:sz w:val="24"/>
              </w:rPr>
            </w:pPr>
          </w:p>
        </w:tc>
      </w:tr>
      <w:tr w14:paraId="026E8231">
        <w:tblPrEx>
          <w:tblCellMar>
            <w:top w:w="0" w:type="dxa"/>
            <w:left w:w="108" w:type="dxa"/>
            <w:bottom w:w="0" w:type="dxa"/>
            <w:right w:w="108" w:type="dxa"/>
          </w:tblCellMar>
        </w:tblPrEx>
        <w:trPr>
          <w:trHeight w:val="72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69E7">
            <w:pPr>
              <w:spacing w:after="0"/>
              <w:jc w:val="center"/>
              <w:rPr>
                <w:rFonts w:ascii="宋体" w:hAnsi="宋体" w:cs="宋体"/>
                <w:b/>
                <w:bCs/>
                <w:color w:val="000000"/>
                <w:sz w:val="24"/>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437D">
            <w:pPr>
              <w:spacing w:after="0" w:line="288" w:lineRule="auto"/>
              <w:jc w:val="center"/>
              <w:rPr>
                <w:rFonts w:ascii="宋体" w:hAnsi="宋体" w:cs="宋体"/>
                <w:b/>
                <w:bCs/>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2105">
            <w:pPr>
              <w:widowControl/>
              <w:spacing w:after="0" w:line="288" w:lineRule="auto"/>
              <w:textAlignment w:val="center"/>
              <w:rPr>
                <w:rFonts w:ascii="宋体" w:hAnsi="宋体" w:cs="宋体"/>
                <w:b/>
                <w:bCs/>
                <w:color w:val="000000"/>
                <w:sz w:val="24"/>
              </w:rPr>
            </w:pPr>
            <w:r>
              <w:rPr>
                <w:rFonts w:hint="eastAsia" w:ascii="宋体" w:hAnsi="宋体" w:cs="宋体"/>
                <w:b/>
                <w:bCs/>
                <w:color w:val="000000"/>
                <w:kern w:val="0"/>
                <w:sz w:val="24"/>
                <w:lang w:bidi="ar"/>
              </w:rPr>
              <w:t>备注：在投标文件中提供有效期内的证明材料复印件加盖公章，不提供不得分。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B66D2">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3107">
            <w:pPr>
              <w:spacing w:after="0"/>
              <w:jc w:val="center"/>
              <w:rPr>
                <w:rFonts w:ascii="宋体" w:hAnsi="宋体" w:cs="宋体"/>
                <w:color w:val="000000"/>
                <w:sz w:val="24"/>
              </w:rPr>
            </w:pPr>
          </w:p>
        </w:tc>
      </w:tr>
      <w:tr w14:paraId="51292090">
        <w:tblPrEx>
          <w:tblCellMar>
            <w:top w:w="0" w:type="dxa"/>
            <w:left w:w="108" w:type="dxa"/>
            <w:bottom w:w="0" w:type="dxa"/>
            <w:right w:w="108" w:type="dxa"/>
          </w:tblCellMar>
        </w:tblPrEx>
        <w:trPr>
          <w:trHeight w:val="1420" w:hRule="atLeast"/>
        </w:trPr>
        <w:tc>
          <w:tcPr>
            <w:tcW w:w="895" w:type="dxa"/>
            <w:vMerge w:val="restart"/>
            <w:tcBorders>
              <w:top w:val="single" w:color="000000" w:sz="4" w:space="0"/>
              <w:left w:val="single" w:color="000000" w:sz="4" w:space="0"/>
              <w:right w:val="single" w:color="000000" w:sz="4" w:space="0"/>
            </w:tcBorders>
            <w:shd w:val="clear" w:color="auto" w:fill="auto"/>
            <w:noWrap/>
            <w:vAlign w:val="center"/>
          </w:tcPr>
          <w:p w14:paraId="42995F2F">
            <w:pPr>
              <w:spacing w:after="0"/>
              <w:jc w:val="center"/>
              <w:rPr>
                <w:rFonts w:ascii="宋体" w:hAnsi="宋体" w:cs="宋体"/>
                <w:b/>
                <w:bCs/>
              </w:rPr>
            </w:pPr>
            <w:r>
              <w:rPr>
                <w:rFonts w:hint="eastAsia" w:ascii="宋体" w:hAnsi="宋体" w:cs="宋体"/>
                <w:b/>
                <w:bCs/>
                <w:color w:val="000000"/>
                <w:kern w:val="0"/>
                <w:sz w:val="24"/>
                <w:lang w:bidi="ar"/>
              </w:rPr>
              <w:t>4</w:t>
            </w:r>
          </w:p>
          <w:p w14:paraId="3012483A">
            <w:pPr>
              <w:spacing w:after="0"/>
              <w:jc w:val="center"/>
              <w:rPr>
                <w:rFonts w:ascii="宋体" w:hAnsi="宋体" w:cs="宋体"/>
                <w:b/>
                <w:bCs/>
              </w:rPr>
            </w:pPr>
          </w:p>
          <w:p w14:paraId="4BA0F9EE">
            <w:pPr>
              <w:spacing w:after="0"/>
              <w:jc w:val="center"/>
              <w:rPr>
                <w:rFonts w:ascii="宋体" w:hAnsi="宋体" w:cs="宋体"/>
                <w:b/>
                <w:bCs/>
              </w:rPr>
            </w:pPr>
          </w:p>
          <w:p w14:paraId="5850613F">
            <w:pPr>
              <w:widowControl/>
              <w:spacing w:after="0"/>
              <w:jc w:val="center"/>
              <w:textAlignment w:val="center"/>
              <w:rPr>
                <w:rFonts w:ascii="宋体" w:hAnsi="宋体" w:cs="宋体"/>
                <w:b/>
                <w:bCs/>
                <w:color w:val="000000"/>
                <w:sz w:val="24"/>
              </w:rPr>
            </w:pPr>
          </w:p>
        </w:tc>
        <w:tc>
          <w:tcPr>
            <w:tcW w:w="1241" w:type="dxa"/>
            <w:vMerge w:val="restart"/>
            <w:tcBorders>
              <w:top w:val="single" w:color="000000" w:sz="4" w:space="0"/>
              <w:left w:val="single" w:color="000000" w:sz="4" w:space="0"/>
              <w:right w:val="single" w:color="000000" w:sz="4" w:space="0"/>
            </w:tcBorders>
            <w:shd w:val="clear" w:color="auto" w:fill="auto"/>
            <w:vAlign w:val="center"/>
          </w:tcPr>
          <w:p w14:paraId="199224F2">
            <w:pPr>
              <w:spacing w:after="0" w:line="288" w:lineRule="auto"/>
              <w:rPr>
                <w:rFonts w:ascii="宋体" w:hAnsi="宋体" w:cs="宋体"/>
              </w:rPr>
            </w:pPr>
          </w:p>
          <w:p w14:paraId="51999884">
            <w:pPr>
              <w:spacing w:after="0" w:line="288" w:lineRule="auto"/>
              <w:rPr>
                <w:rFonts w:ascii="宋体" w:hAnsi="宋体" w:cs="宋体"/>
              </w:rPr>
            </w:pPr>
          </w:p>
          <w:p w14:paraId="60216FA1">
            <w:pPr>
              <w:spacing w:after="0" w:line="288" w:lineRule="auto"/>
              <w:rPr>
                <w:rFonts w:ascii="宋体" w:hAnsi="宋体" w:cs="宋体"/>
              </w:rPr>
            </w:pPr>
          </w:p>
          <w:p w14:paraId="15322AD6">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总体方案</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DF2">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投标人对项目现状及需求分析、对项目情况理解程度针对性和全面性等情况进行评价打分。内容全部符合的得</w:t>
            </w:r>
            <w:r>
              <w:rPr>
                <w:rFonts w:ascii="宋体" w:hAnsi="宋体" w:cs="宋体"/>
                <w:color w:val="000000"/>
                <w:kern w:val="0"/>
                <w:sz w:val="24"/>
                <w:lang w:bidi="ar"/>
              </w:rPr>
              <w:t>6</w:t>
            </w:r>
            <w:r>
              <w:rPr>
                <w:rFonts w:hint="eastAsia" w:ascii="宋体" w:hAnsi="宋体" w:cs="宋体"/>
                <w:color w:val="000000"/>
                <w:kern w:val="0"/>
                <w:sz w:val="24"/>
                <w:lang w:bidi="ar"/>
              </w:rPr>
              <w:t>分，内容符合性较低的得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分，较符合的得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r>
              <w:rPr>
                <w:rFonts w:hint="eastAsia" w:ascii="宋体" w:hAnsi="宋体" w:cs="宋体"/>
                <w:kern w:val="0"/>
                <w:sz w:val="24"/>
                <w:lang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27F2">
            <w:pPr>
              <w:widowControl/>
              <w:spacing w:after="0"/>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11D8">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70B39EBB">
        <w:tblPrEx>
          <w:tblCellMar>
            <w:top w:w="0" w:type="dxa"/>
            <w:left w:w="108" w:type="dxa"/>
            <w:bottom w:w="0" w:type="dxa"/>
            <w:right w:w="108" w:type="dxa"/>
          </w:tblCellMar>
        </w:tblPrEx>
        <w:trPr>
          <w:trHeight w:val="1420" w:hRule="atLeast"/>
        </w:trPr>
        <w:tc>
          <w:tcPr>
            <w:tcW w:w="895" w:type="dxa"/>
            <w:vMerge w:val="continue"/>
            <w:tcBorders>
              <w:left w:val="single" w:color="000000" w:sz="4" w:space="0"/>
              <w:right w:val="single" w:color="000000" w:sz="4" w:space="0"/>
            </w:tcBorders>
            <w:shd w:val="clear" w:color="auto" w:fill="auto"/>
            <w:noWrap/>
            <w:vAlign w:val="center"/>
          </w:tcPr>
          <w:p w14:paraId="1EB20182">
            <w:pPr>
              <w:widowControl/>
              <w:spacing w:after="0"/>
              <w:jc w:val="center"/>
              <w:textAlignment w:val="center"/>
              <w:rPr>
                <w:rFonts w:ascii="宋体" w:hAnsi="宋体" w:cs="宋体"/>
                <w:color w:val="000000"/>
                <w:kern w:val="0"/>
                <w:sz w:val="24"/>
                <w:lang w:bidi="ar"/>
              </w:rPr>
            </w:pPr>
          </w:p>
        </w:tc>
        <w:tc>
          <w:tcPr>
            <w:tcW w:w="1241" w:type="dxa"/>
            <w:vMerge w:val="continue"/>
            <w:tcBorders>
              <w:left w:val="single" w:color="000000" w:sz="4" w:space="0"/>
              <w:right w:val="single" w:color="000000" w:sz="4" w:space="0"/>
            </w:tcBorders>
            <w:shd w:val="clear" w:color="auto" w:fill="auto"/>
            <w:vAlign w:val="center"/>
          </w:tcPr>
          <w:p w14:paraId="256BAF73">
            <w:pPr>
              <w:spacing w:after="0" w:line="288" w:lineRule="auto"/>
              <w:jc w:val="center"/>
              <w:rPr>
                <w:rFonts w:ascii="宋体" w:hAnsi="宋体" w:cs="宋体"/>
                <w:b/>
                <w:bCs/>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5FD1">
            <w:pPr>
              <w:spacing w:after="0" w:line="288" w:lineRule="auto"/>
              <w:rPr>
                <w:rFonts w:ascii="宋体" w:hAnsi="宋体" w:cs="宋体"/>
                <w:sz w:val="24"/>
              </w:rPr>
            </w:pPr>
            <w:r>
              <w:rPr>
                <w:rFonts w:hint="eastAsia" w:ascii="宋体" w:hAnsi="宋体" w:cs="宋体"/>
                <w:sz w:val="24"/>
              </w:rPr>
              <w:t>根据对本项目的重难点、关键点分析及对应的监理措施和建议，根据理解的针对性强、深入、全面、准确到位、阐述准确、提出观点的前瞻性和指导性等进行打分。</w:t>
            </w:r>
          </w:p>
          <w:p w14:paraId="1045BDEE">
            <w:pPr>
              <w:spacing w:after="0" w:line="288" w:lineRule="auto"/>
              <w:rPr>
                <w:rFonts w:ascii="宋体" w:hAnsi="宋体" w:cs="宋体"/>
                <w:sz w:val="24"/>
              </w:rPr>
            </w:pPr>
            <w:r>
              <w:rPr>
                <w:rFonts w:hint="eastAsia" w:ascii="宋体" w:hAnsi="宋体" w:cs="宋体"/>
                <w:sz w:val="24"/>
              </w:rPr>
              <w:t>重点、难点、关键点分析透彻，措施建议得力得</w:t>
            </w:r>
            <w:r>
              <w:rPr>
                <w:rFonts w:ascii="宋体" w:hAnsi="宋体" w:cs="宋体"/>
                <w:sz w:val="24"/>
              </w:rPr>
              <w:t>6</w:t>
            </w:r>
            <w:r>
              <w:rPr>
                <w:rFonts w:hint="eastAsia" w:ascii="宋体" w:hAnsi="宋体" w:cs="宋体"/>
                <w:sz w:val="24"/>
              </w:rPr>
              <w:t>分；重点、难点、关键点分析较透彻，措施建议可行得</w:t>
            </w:r>
            <w:r>
              <w:rPr>
                <w:rFonts w:hint="eastAsia" w:ascii="宋体" w:hAnsi="宋体" w:cs="宋体"/>
                <w:sz w:val="24"/>
                <w:lang w:val="en-US" w:eastAsia="zh-CN"/>
              </w:rPr>
              <w:t>4</w:t>
            </w:r>
            <w:r>
              <w:rPr>
                <w:rFonts w:hint="eastAsia" w:ascii="宋体" w:hAnsi="宋体" w:cs="宋体"/>
                <w:sz w:val="24"/>
              </w:rPr>
              <w:t>分；重点、难点、关键点分析有欠缺，措施建议一般得</w:t>
            </w:r>
            <w:r>
              <w:rPr>
                <w:rFonts w:hint="eastAsia" w:ascii="宋体" w:hAnsi="宋体" w:cs="宋体"/>
                <w:sz w:val="24"/>
                <w:lang w:val="en-US" w:eastAsia="zh-CN"/>
              </w:rPr>
              <w:t>2</w:t>
            </w:r>
            <w:r>
              <w:rPr>
                <w:rFonts w:hint="eastAsia" w:ascii="宋体" w:hAnsi="宋体" w:cs="宋体"/>
                <w:sz w:val="24"/>
              </w:rPr>
              <w:t>分；未提供不得分。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8BC0">
            <w:pPr>
              <w:spacing w:after="0" w:line="312" w:lineRule="auto"/>
              <w:jc w:val="center"/>
              <w:rPr>
                <w:rFonts w:ascii="宋体" w:hAnsi="宋体" w:cs="宋体"/>
                <w:sz w:val="24"/>
              </w:rPr>
            </w:pPr>
            <w:r>
              <w:rPr>
                <w:rFonts w:ascii="宋体" w:hAnsi="宋体" w:cs="宋体"/>
                <w:sz w:val="24"/>
              </w:rPr>
              <w:t>6</w:t>
            </w:r>
            <w:r>
              <w:rPr>
                <w:rFonts w:hint="eastAsia" w:ascii="宋体" w:hAnsi="宋体" w:cs="宋体"/>
                <w:color w:val="000000"/>
                <w:kern w:val="0"/>
                <w:sz w:val="24"/>
                <w:lang w:bidi="ar"/>
              </w:rPr>
              <w:t>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8EBA">
            <w:pPr>
              <w:widowControl/>
              <w:spacing w:after="0"/>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主观分</w:t>
            </w:r>
          </w:p>
        </w:tc>
      </w:tr>
      <w:tr w14:paraId="3576AE70">
        <w:tblPrEx>
          <w:tblCellMar>
            <w:top w:w="0" w:type="dxa"/>
            <w:left w:w="108" w:type="dxa"/>
            <w:bottom w:w="0" w:type="dxa"/>
            <w:right w:w="108" w:type="dxa"/>
          </w:tblCellMar>
        </w:tblPrEx>
        <w:trPr>
          <w:trHeight w:val="1420" w:hRule="atLeast"/>
        </w:trPr>
        <w:tc>
          <w:tcPr>
            <w:tcW w:w="895" w:type="dxa"/>
            <w:vMerge w:val="continue"/>
            <w:tcBorders>
              <w:left w:val="single" w:color="000000" w:sz="4" w:space="0"/>
              <w:right w:val="single" w:color="000000" w:sz="4" w:space="0"/>
            </w:tcBorders>
            <w:shd w:val="clear" w:color="auto" w:fill="auto"/>
            <w:noWrap/>
            <w:vAlign w:val="center"/>
          </w:tcPr>
          <w:p w14:paraId="577B9684">
            <w:pPr>
              <w:widowControl/>
              <w:spacing w:after="0"/>
              <w:jc w:val="center"/>
              <w:textAlignment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0AAFBD79">
            <w:pPr>
              <w:widowControl/>
              <w:spacing w:after="0" w:line="288" w:lineRule="auto"/>
              <w:jc w:val="center"/>
              <w:textAlignment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BF41">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投标人能提供数据治理服务方案，思路清晰、逻辑合理、内容详实，按以下评分要求综合评定，</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D079">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996F">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20541806">
        <w:tblPrEx>
          <w:tblCellMar>
            <w:top w:w="0" w:type="dxa"/>
            <w:left w:w="108" w:type="dxa"/>
            <w:bottom w:w="0" w:type="dxa"/>
            <w:right w:w="108" w:type="dxa"/>
          </w:tblCellMar>
        </w:tblPrEx>
        <w:trPr>
          <w:trHeight w:val="1060" w:hRule="atLeast"/>
        </w:trPr>
        <w:tc>
          <w:tcPr>
            <w:tcW w:w="895" w:type="dxa"/>
            <w:vMerge w:val="continue"/>
            <w:tcBorders>
              <w:left w:val="single" w:color="000000" w:sz="4" w:space="0"/>
              <w:right w:val="single" w:color="000000" w:sz="4" w:space="0"/>
            </w:tcBorders>
            <w:shd w:val="clear" w:color="auto" w:fill="auto"/>
            <w:noWrap/>
            <w:vAlign w:val="center"/>
          </w:tcPr>
          <w:p w14:paraId="33F08285">
            <w:pPr>
              <w:spacing w:after="0"/>
              <w:jc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3E1B25EE">
            <w:pPr>
              <w:spacing w:after="0" w:line="288" w:lineRule="auto"/>
              <w:jc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226">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投标人能提供数据仓服务方案，思路清晰、逻辑合理、内容详实，按以下评分要求综合评定，</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6分；描述基本全面、合理的，针对性较弱</w:t>
            </w:r>
            <w:r>
              <w:rPr>
                <w:rFonts w:hint="eastAsia" w:ascii="宋体" w:hAnsi="宋体" w:cs="宋体"/>
                <w:kern w:val="0"/>
                <w:sz w:val="24"/>
              </w:rPr>
              <w:t>4</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2分。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43D2">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B780">
            <w:pPr>
              <w:spacing w:after="0"/>
              <w:jc w:val="center"/>
              <w:rPr>
                <w:rFonts w:ascii="宋体" w:hAnsi="宋体" w:cs="宋体"/>
                <w:color w:val="000000"/>
                <w:sz w:val="24"/>
              </w:rPr>
            </w:pPr>
          </w:p>
        </w:tc>
      </w:tr>
      <w:tr w14:paraId="6163650B">
        <w:tblPrEx>
          <w:tblCellMar>
            <w:top w:w="0" w:type="dxa"/>
            <w:left w:w="108" w:type="dxa"/>
            <w:bottom w:w="0" w:type="dxa"/>
            <w:right w:w="108" w:type="dxa"/>
          </w:tblCellMar>
        </w:tblPrEx>
        <w:trPr>
          <w:trHeight w:val="1060" w:hRule="atLeast"/>
        </w:trPr>
        <w:tc>
          <w:tcPr>
            <w:tcW w:w="895" w:type="dxa"/>
            <w:vMerge w:val="continue"/>
            <w:tcBorders>
              <w:left w:val="single" w:color="000000" w:sz="4" w:space="0"/>
              <w:right w:val="single" w:color="000000" w:sz="4" w:space="0"/>
            </w:tcBorders>
            <w:shd w:val="clear" w:color="auto" w:fill="auto"/>
            <w:noWrap/>
            <w:vAlign w:val="center"/>
          </w:tcPr>
          <w:p w14:paraId="7753FE28">
            <w:pPr>
              <w:widowControl/>
              <w:spacing w:after="0"/>
              <w:jc w:val="center"/>
              <w:textAlignment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6AAEAB32">
            <w:pPr>
              <w:widowControl/>
              <w:spacing w:after="0" w:line="288" w:lineRule="auto"/>
              <w:jc w:val="center"/>
              <w:textAlignment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739">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进度计划：提供整体系统的明确、合理的项目实施周期、进度表。</w:t>
            </w:r>
            <w:r>
              <w:rPr>
                <w:rFonts w:hint="eastAsia" w:ascii="宋体" w:hAnsi="宋体" w:cs="宋体"/>
                <w:sz w:val="24"/>
              </w:rPr>
              <w:t>方案完整全面、内容详细、可行性高的得6分；方案较为完整但不够全面、内容明确、具有一定的可行性的得4分；方案不完整、内容不清晰、可行性较低的得2分。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5355">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1D5C">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26F3C353">
        <w:tblPrEx>
          <w:tblCellMar>
            <w:top w:w="0" w:type="dxa"/>
            <w:left w:w="108" w:type="dxa"/>
            <w:bottom w:w="0" w:type="dxa"/>
            <w:right w:w="108" w:type="dxa"/>
          </w:tblCellMar>
        </w:tblPrEx>
        <w:trPr>
          <w:trHeight w:val="1060" w:hRule="atLeast"/>
        </w:trPr>
        <w:tc>
          <w:tcPr>
            <w:tcW w:w="895" w:type="dxa"/>
            <w:vMerge w:val="continue"/>
            <w:tcBorders>
              <w:left w:val="single" w:color="000000" w:sz="4" w:space="0"/>
              <w:right w:val="single" w:color="000000" w:sz="4" w:space="0"/>
            </w:tcBorders>
            <w:shd w:val="clear" w:color="auto" w:fill="auto"/>
            <w:noWrap/>
            <w:vAlign w:val="center"/>
          </w:tcPr>
          <w:p w14:paraId="401CAA19">
            <w:pPr>
              <w:spacing w:after="0"/>
              <w:jc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251C8A61">
            <w:pPr>
              <w:spacing w:after="0" w:line="288" w:lineRule="auto"/>
              <w:jc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75C">
            <w:pPr>
              <w:widowControl/>
              <w:spacing w:after="0" w:line="288" w:lineRule="auto"/>
              <w:jc w:val="left"/>
              <w:textAlignment w:val="center"/>
              <w:rPr>
                <w:rFonts w:hint="eastAsia" w:ascii="宋体" w:hAnsi="宋体" w:eastAsia="宋体" w:cs="宋体"/>
                <w:sz w:val="24"/>
                <w:lang w:eastAsia="zh-CN"/>
              </w:rPr>
            </w:pPr>
            <w:r>
              <w:rPr>
                <w:rFonts w:hint="eastAsia" w:ascii="宋体" w:hAnsi="宋体" w:cs="宋体"/>
                <w:color w:val="000000"/>
                <w:kern w:val="0"/>
                <w:sz w:val="24"/>
                <w:lang w:bidi="ar"/>
              </w:rPr>
              <w:t>质量管理方案：提供合理的质量管理方案，在实施各阶段提供详细的质量管理说明。</w:t>
            </w:r>
            <w:r>
              <w:rPr>
                <w:rFonts w:hint="eastAsia" w:ascii="宋体" w:hAnsi="宋体" w:cs="宋体"/>
                <w:sz w:val="24"/>
              </w:rPr>
              <w:t>质量保障措施完善、合理性强、有效性及时的得6分；</w:t>
            </w:r>
          </w:p>
          <w:p w14:paraId="19CB3250">
            <w:pPr>
              <w:widowControl/>
              <w:spacing w:after="0" w:line="288" w:lineRule="auto"/>
              <w:jc w:val="left"/>
              <w:textAlignment w:val="center"/>
              <w:rPr>
                <w:rFonts w:hint="eastAsia" w:ascii="宋体" w:hAnsi="宋体" w:eastAsia="宋体" w:cs="宋体"/>
                <w:sz w:val="24"/>
                <w:lang w:eastAsia="zh-CN"/>
              </w:rPr>
            </w:pPr>
            <w:r>
              <w:rPr>
                <w:rFonts w:hint="eastAsia" w:ascii="宋体" w:hAnsi="宋体" w:cs="宋体"/>
                <w:sz w:val="24"/>
              </w:rPr>
              <w:t>质量保障措施能基本进行有效响应、基本合理性、基本可以执行的得4分；</w:t>
            </w:r>
          </w:p>
          <w:p w14:paraId="172B340A">
            <w:pPr>
              <w:widowControl/>
              <w:spacing w:after="0" w:line="288" w:lineRule="auto"/>
              <w:jc w:val="left"/>
              <w:textAlignment w:val="center"/>
              <w:rPr>
                <w:rFonts w:ascii="宋体" w:hAnsi="宋体" w:cs="宋体"/>
                <w:color w:val="000000"/>
                <w:sz w:val="24"/>
              </w:rPr>
            </w:pPr>
            <w:r>
              <w:rPr>
                <w:rFonts w:hint="eastAsia" w:ascii="宋体" w:hAnsi="宋体" w:cs="宋体"/>
                <w:sz w:val="24"/>
              </w:rPr>
              <w:t>质量保障措施没有进行有效响应、不具合理性、难以执行的得2分。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FCEA">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F27F">
            <w:pPr>
              <w:spacing w:after="0"/>
              <w:jc w:val="center"/>
              <w:rPr>
                <w:rFonts w:ascii="宋体" w:hAnsi="宋体" w:cs="宋体"/>
                <w:color w:val="000000"/>
                <w:sz w:val="24"/>
              </w:rPr>
            </w:pPr>
          </w:p>
        </w:tc>
      </w:tr>
      <w:tr w14:paraId="6642A7C6">
        <w:tblPrEx>
          <w:tblCellMar>
            <w:top w:w="0" w:type="dxa"/>
            <w:left w:w="108" w:type="dxa"/>
            <w:bottom w:w="0" w:type="dxa"/>
            <w:right w:w="108" w:type="dxa"/>
          </w:tblCellMar>
        </w:tblPrEx>
        <w:trPr>
          <w:trHeight w:val="1420" w:hRule="atLeast"/>
        </w:trPr>
        <w:tc>
          <w:tcPr>
            <w:tcW w:w="895" w:type="dxa"/>
            <w:vMerge w:val="continue"/>
            <w:tcBorders>
              <w:left w:val="single" w:color="000000" w:sz="4" w:space="0"/>
              <w:right w:val="single" w:color="000000" w:sz="4" w:space="0"/>
            </w:tcBorders>
            <w:shd w:val="clear" w:color="auto" w:fill="auto"/>
            <w:noWrap/>
            <w:vAlign w:val="center"/>
          </w:tcPr>
          <w:p w14:paraId="458E9FE9">
            <w:pPr>
              <w:spacing w:after="0"/>
              <w:jc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401D4F18">
            <w:pPr>
              <w:spacing w:after="0" w:line="288" w:lineRule="auto"/>
              <w:jc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B2B">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培训方案：投标人需提供相应的培训方案，方案中包括培训计划、培训内容、培训方式、培训人数。</w:t>
            </w:r>
            <w:r>
              <w:rPr>
                <w:rFonts w:hint="eastAsia" w:ascii="宋体" w:hAnsi="宋体" w:cs="宋体"/>
                <w:sz w:val="24"/>
              </w:rPr>
              <w:t>培训计划详细、全面、可行的得6分；培训计划一般，措施基本可行的得4分；培训计划及措施较粗略，可行性较差的得2分。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3AC">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F12">
            <w:pPr>
              <w:spacing w:after="0"/>
              <w:jc w:val="center"/>
              <w:rPr>
                <w:rFonts w:ascii="宋体" w:hAnsi="宋体" w:cs="宋体"/>
                <w:color w:val="000000"/>
                <w:sz w:val="24"/>
              </w:rPr>
            </w:pPr>
          </w:p>
        </w:tc>
      </w:tr>
      <w:tr w14:paraId="28B79EF3">
        <w:tblPrEx>
          <w:tblCellMar>
            <w:top w:w="0" w:type="dxa"/>
            <w:left w:w="108" w:type="dxa"/>
            <w:bottom w:w="0" w:type="dxa"/>
            <w:right w:w="108" w:type="dxa"/>
          </w:tblCellMar>
        </w:tblPrEx>
        <w:trPr>
          <w:trHeight w:val="1060" w:hRule="atLeast"/>
        </w:trPr>
        <w:tc>
          <w:tcPr>
            <w:tcW w:w="895" w:type="dxa"/>
            <w:vMerge w:val="continue"/>
            <w:tcBorders>
              <w:left w:val="single" w:color="000000" w:sz="4" w:space="0"/>
              <w:bottom w:val="single" w:color="000000" w:sz="4" w:space="0"/>
              <w:right w:val="single" w:color="000000" w:sz="4" w:space="0"/>
            </w:tcBorders>
            <w:shd w:val="clear" w:color="auto" w:fill="auto"/>
            <w:noWrap/>
            <w:vAlign w:val="center"/>
          </w:tcPr>
          <w:p w14:paraId="56CE47DC">
            <w:pPr>
              <w:spacing w:after="0"/>
              <w:jc w:val="center"/>
              <w:rPr>
                <w:rFonts w:ascii="宋体" w:hAnsi="宋体" w:cs="宋体"/>
                <w:color w:val="000000"/>
                <w:sz w:val="24"/>
              </w:rPr>
            </w:pPr>
          </w:p>
        </w:tc>
        <w:tc>
          <w:tcPr>
            <w:tcW w:w="1241" w:type="dxa"/>
            <w:vMerge w:val="continue"/>
            <w:tcBorders>
              <w:left w:val="single" w:color="000000" w:sz="4" w:space="0"/>
              <w:bottom w:val="single" w:color="000000" w:sz="4" w:space="0"/>
              <w:right w:val="single" w:color="000000" w:sz="4" w:space="0"/>
            </w:tcBorders>
            <w:shd w:val="clear" w:color="auto" w:fill="auto"/>
            <w:vAlign w:val="center"/>
          </w:tcPr>
          <w:p w14:paraId="5C70643F">
            <w:pPr>
              <w:spacing w:after="0" w:line="288" w:lineRule="auto"/>
              <w:jc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834E">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服务方案：评估项目服务的响应情况（对用户故障响应、处理等）。响应</w:t>
            </w:r>
            <w:r>
              <w:rPr>
                <w:rFonts w:hint="eastAsia" w:ascii="宋体" w:hAnsi="宋体" w:cs="宋体"/>
                <w:sz w:val="24"/>
              </w:rPr>
              <w:t>方案具有针对性、利于项目实施得</w:t>
            </w:r>
            <w:r>
              <w:rPr>
                <w:rFonts w:hint="eastAsia" w:ascii="宋体" w:hAnsi="宋体" w:cs="宋体"/>
                <w:sz w:val="24"/>
                <w:lang w:val="en-US" w:eastAsia="zh-CN"/>
              </w:rPr>
              <w:t>5</w:t>
            </w:r>
            <w:r>
              <w:rPr>
                <w:rFonts w:hint="eastAsia" w:ascii="宋体" w:hAnsi="宋体" w:cs="宋体"/>
                <w:sz w:val="24"/>
              </w:rPr>
              <w:t>分，针对性较弱，满足项目实施需要得</w:t>
            </w:r>
            <w:r>
              <w:rPr>
                <w:rFonts w:hint="eastAsia" w:ascii="宋体" w:hAnsi="宋体" w:cs="宋体"/>
                <w:sz w:val="24"/>
                <w:lang w:val="en-US" w:eastAsia="zh-CN"/>
              </w:rPr>
              <w:t>3</w:t>
            </w:r>
            <w:r>
              <w:rPr>
                <w:rFonts w:hint="eastAsia" w:ascii="宋体" w:hAnsi="宋体" w:cs="宋体"/>
                <w:sz w:val="24"/>
              </w:rPr>
              <w:t>分，内容较为简单、存在缺漏的最多得1分。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D87C">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分</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BE53">
            <w:pPr>
              <w:spacing w:after="0"/>
              <w:jc w:val="center"/>
              <w:rPr>
                <w:rFonts w:ascii="宋体" w:hAnsi="宋体" w:cs="宋体"/>
                <w:color w:val="000000"/>
                <w:sz w:val="24"/>
              </w:rPr>
            </w:pPr>
          </w:p>
        </w:tc>
      </w:tr>
      <w:tr w14:paraId="271B2125">
        <w:tblPrEx>
          <w:tblCellMar>
            <w:top w:w="0" w:type="dxa"/>
            <w:left w:w="108" w:type="dxa"/>
            <w:bottom w:w="0" w:type="dxa"/>
            <w:right w:w="108" w:type="dxa"/>
          </w:tblCellMar>
        </w:tblPrEx>
        <w:trPr>
          <w:trHeight w:val="106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510C">
            <w:pPr>
              <w:spacing w:after="0"/>
              <w:jc w:val="center"/>
              <w:rPr>
                <w:rFonts w:ascii="宋体" w:hAnsi="宋体" w:cs="宋体"/>
                <w:b/>
                <w:bCs/>
                <w:color w:val="000000"/>
                <w:sz w:val="24"/>
              </w:rPr>
            </w:pPr>
            <w:r>
              <w:rPr>
                <w:rFonts w:hint="eastAsia" w:ascii="宋体" w:hAnsi="宋体" w:cs="宋体"/>
                <w:b/>
                <w:bCs/>
                <w:color w:val="000000"/>
                <w:sz w:val="24"/>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9D5F">
            <w:pPr>
              <w:spacing w:after="0" w:line="288" w:lineRule="auto"/>
              <w:jc w:val="center"/>
              <w:rPr>
                <w:rFonts w:ascii="宋体" w:hAnsi="宋体" w:cs="宋体"/>
                <w:b/>
                <w:bCs/>
                <w:sz w:val="24"/>
              </w:rPr>
            </w:pPr>
            <w:r>
              <w:rPr>
                <w:rFonts w:hint="eastAsia" w:ascii="宋体" w:hAnsi="宋体" w:cs="宋体"/>
                <w:b/>
                <w:bCs/>
                <w:kern w:val="0"/>
                <w:sz w:val="24"/>
                <w:lang w:val="zh-CN"/>
              </w:rPr>
              <w:t>内部安全保密制度</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1BD3">
            <w:pPr>
              <w:spacing w:after="0" w:line="288" w:lineRule="auto"/>
              <w:jc w:val="left"/>
              <w:rPr>
                <w:rFonts w:ascii="宋体" w:hAnsi="宋体" w:cs="宋体"/>
                <w:kern w:val="0"/>
                <w:sz w:val="24"/>
                <w:lang w:val="zh-CN"/>
              </w:rPr>
            </w:pPr>
            <w:r>
              <w:rPr>
                <w:rFonts w:hint="eastAsia" w:ascii="宋体" w:hAnsi="宋体" w:cs="宋体"/>
                <w:kern w:val="0"/>
                <w:sz w:val="24"/>
                <w:lang w:val="zh-CN"/>
              </w:rPr>
              <w:t>根据</w:t>
            </w:r>
            <w:r>
              <w:rPr>
                <w:rFonts w:hint="eastAsia" w:ascii="宋体" w:hAnsi="宋体" w:cs="宋体"/>
                <w:kern w:val="0"/>
                <w:sz w:val="24"/>
                <w:lang w:bidi="ar"/>
              </w:rPr>
              <w:t>投标人</w:t>
            </w:r>
            <w:r>
              <w:rPr>
                <w:rFonts w:hint="eastAsia" w:ascii="宋体" w:hAnsi="宋体" w:cs="宋体"/>
                <w:kern w:val="0"/>
                <w:sz w:val="24"/>
                <w:lang w:val="zh-CN"/>
              </w:rPr>
              <w:t>针对本项目制定的内部安全保密制度的制定及实施内容进行打分；</w:t>
            </w:r>
          </w:p>
          <w:p w14:paraId="3147DC9E">
            <w:pPr>
              <w:spacing w:after="0" w:line="288" w:lineRule="auto"/>
              <w:jc w:val="left"/>
              <w:rPr>
                <w:rFonts w:ascii="宋体" w:hAnsi="宋体" w:cs="宋体"/>
                <w:kern w:val="0"/>
                <w:sz w:val="24"/>
                <w:lang w:val="zh-CN"/>
              </w:rPr>
            </w:pPr>
            <w:r>
              <w:rPr>
                <w:rFonts w:hint="eastAsia" w:ascii="宋体" w:hAnsi="宋体" w:cs="宋体"/>
                <w:kern w:val="0"/>
                <w:sz w:val="24"/>
                <w:lang w:val="zh-CN"/>
              </w:rPr>
              <w:t>安全保密制度健全符合要求，内容完整、充实的得</w:t>
            </w:r>
            <w:r>
              <w:rPr>
                <w:rFonts w:hint="eastAsia" w:ascii="宋体" w:hAnsi="宋体" w:cs="宋体"/>
                <w:kern w:val="0"/>
                <w:sz w:val="24"/>
                <w:lang w:val="en-US" w:eastAsia="zh-CN"/>
              </w:rPr>
              <w:t>5</w:t>
            </w:r>
            <w:r>
              <w:rPr>
                <w:rFonts w:hint="eastAsia" w:ascii="宋体" w:hAnsi="宋体" w:cs="宋体"/>
                <w:kern w:val="0"/>
                <w:sz w:val="24"/>
                <w:lang w:val="zh-CN"/>
              </w:rPr>
              <w:t>分；</w:t>
            </w:r>
          </w:p>
          <w:p w14:paraId="29237522">
            <w:pPr>
              <w:spacing w:after="0" w:line="288" w:lineRule="auto"/>
              <w:jc w:val="left"/>
              <w:rPr>
                <w:rFonts w:ascii="宋体" w:hAnsi="宋体" w:cs="宋体"/>
                <w:kern w:val="0"/>
                <w:sz w:val="24"/>
                <w:lang w:val="zh-CN"/>
              </w:rPr>
            </w:pPr>
            <w:r>
              <w:rPr>
                <w:rFonts w:hint="eastAsia" w:ascii="宋体" w:hAnsi="宋体" w:cs="宋体"/>
                <w:kern w:val="0"/>
                <w:sz w:val="24"/>
                <w:lang w:val="zh-CN"/>
              </w:rPr>
              <w:t>安全保密制度符合要求，内容有所欠缺的得</w:t>
            </w:r>
            <w:r>
              <w:rPr>
                <w:rFonts w:hint="eastAsia" w:ascii="宋体" w:hAnsi="宋体" w:cs="宋体"/>
                <w:kern w:val="0"/>
                <w:sz w:val="24"/>
                <w:lang w:val="en-US" w:eastAsia="zh-CN"/>
              </w:rPr>
              <w:t>3</w:t>
            </w:r>
            <w:r>
              <w:rPr>
                <w:rFonts w:hint="eastAsia" w:ascii="宋体" w:hAnsi="宋体" w:cs="宋体"/>
                <w:kern w:val="0"/>
                <w:sz w:val="24"/>
                <w:lang w:val="zh-CN"/>
              </w:rPr>
              <w:t>分；</w:t>
            </w:r>
          </w:p>
          <w:p w14:paraId="61380A72">
            <w:pPr>
              <w:spacing w:after="0" w:line="288" w:lineRule="auto"/>
              <w:jc w:val="left"/>
              <w:rPr>
                <w:rFonts w:ascii="宋体" w:hAnsi="宋体" w:cs="宋体"/>
                <w:sz w:val="24"/>
              </w:rPr>
            </w:pPr>
            <w:r>
              <w:rPr>
                <w:rFonts w:hint="eastAsia" w:ascii="宋体" w:hAnsi="宋体" w:cs="宋体"/>
                <w:kern w:val="0"/>
                <w:sz w:val="24"/>
                <w:lang w:val="zh-CN"/>
              </w:rPr>
              <w:t>合理化、优化建议符合要求，内容不够完整的得1分，没有不得分。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26A3">
            <w:pPr>
              <w:widowControl/>
              <w:spacing w:after="0"/>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B62F">
            <w:pPr>
              <w:spacing w:after="0"/>
              <w:jc w:val="center"/>
              <w:rPr>
                <w:rFonts w:ascii="宋体" w:hAnsi="宋体" w:cs="宋体"/>
                <w:color w:val="000000"/>
                <w:sz w:val="24"/>
              </w:rPr>
            </w:pPr>
            <w:r>
              <w:rPr>
                <w:rFonts w:hint="eastAsia" w:ascii="宋体" w:hAnsi="宋体" w:cs="宋体"/>
                <w:color w:val="000000"/>
                <w:kern w:val="0"/>
                <w:sz w:val="24"/>
                <w:lang w:bidi="ar"/>
              </w:rPr>
              <w:t>主观分</w:t>
            </w:r>
          </w:p>
        </w:tc>
      </w:tr>
      <w:tr w14:paraId="6D36FA31">
        <w:tblPrEx>
          <w:tblCellMar>
            <w:top w:w="0" w:type="dxa"/>
            <w:left w:w="108" w:type="dxa"/>
            <w:bottom w:w="0" w:type="dxa"/>
            <w:right w:w="108" w:type="dxa"/>
          </w:tblCellMar>
        </w:tblPrEx>
        <w:trPr>
          <w:trHeight w:val="666"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BF1C">
            <w:pPr>
              <w:widowControl/>
              <w:spacing w:after="0"/>
              <w:jc w:val="center"/>
              <w:textAlignment w:val="center"/>
              <w:rPr>
                <w:rFonts w:ascii="宋体" w:hAnsi="宋体" w:cs="宋体"/>
                <w:b/>
                <w:bCs/>
                <w:color w:val="000000"/>
                <w:sz w:val="24"/>
              </w:rPr>
            </w:pPr>
            <w:r>
              <w:rPr>
                <w:rFonts w:hint="eastAsia" w:ascii="宋体" w:hAnsi="宋体" w:cs="宋体"/>
                <w:b/>
                <w:bCs/>
                <w:color w:val="000000"/>
                <w:kern w:val="0"/>
                <w:sz w:val="24"/>
                <w:lang w:bidi="ar"/>
              </w:rPr>
              <w:t>6</w:t>
            </w:r>
          </w:p>
        </w:tc>
        <w:tc>
          <w:tcPr>
            <w:tcW w:w="1241" w:type="dxa"/>
            <w:vMerge w:val="restart"/>
            <w:tcBorders>
              <w:top w:val="single" w:color="000000" w:sz="4" w:space="0"/>
              <w:left w:val="single" w:color="000000" w:sz="4" w:space="0"/>
              <w:right w:val="single" w:color="000000" w:sz="4" w:space="0"/>
            </w:tcBorders>
            <w:shd w:val="clear" w:color="auto" w:fill="auto"/>
            <w:vAlign w:val="center"/>
          </w:tcPr>
          <w:p w14:paraId="21F1CF36">
            <w:pPr>
              <w:spacing w:after="0" w:line="288" w:lineRule="auto"/>
              <w:rPr>
                <w:rFonts w:ascii="宋体" w:hAnsi="宋体" w:cs="宋体"/>
              </w:rPr>
            </w:pPr>
          </w:p>
          <w:p w14:paraId="67A3C2A4">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实施团队</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F38C">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1.具有PMP证书的，每提供1人得2分，最多得</w:t>
            </w:r>
            <w:r>
              <w:rPr>
                <w:rFonts w:ascii="宋体" w:hAnsi="宋体" w:cs="宋体"/>
                <w:color w:val="000000"/>
                <w:kern w:val="0"/>
                <w:sz w:val="24"/>
                <w:lang w:bidi="ar"/>
              </w:rPr>
              <w:t>6</w:t>
            </w:r>
            <w:r>
              <w:rPr>
                <w:rFonts w:hint="eastAsia" w:ascii="宋体" w:hAnsi="宋体" w:cs="宋体"/>
                <w:color w:val="000000"/>
                <w:kern w:val="0"/>
                <w:sz w:val="24"/>
                <w:lang w:bidi="ar"/>
              </w:rPr>
              <w:t>分；</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4093">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分</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5BB8">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31FFB6D9">
        <w:tblPrEx>
          <w:tblCellMar>
            <w:top w:w="0" w:type="dxa"/>
            <w:left w:w="108" w:type="dxa"/>
            <w:bottom w:w="0" w:type="dxa"/>
            <w:right w:w="108" w:type="dxa"/>
          </w:tblCellMar>
        </w:tblPrEx>
        <w:trPr>
          <w:trHeight w:val="9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DE8E">
            <w:pPr>
              <w:spacing w:after="0"/>
              <w:jc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5DF127FE">
            <w:pPr>
              <w:spacing w:after="0" w:line="288" w:lineRule="auto"/>
              <w:jc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DFC">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2.具有</w:t>
            </w:r>
            <w:r>
              <w:rPr>
                <w:rFonts w:hint="eastAsia" w:ascii="宋体" w:hAnsi="宋体" w:cs="宋体"/>
                <w:color w:val="000000"/>
                <w:kern w:val="0"/>
                <w:sz w:val="24"/>
                <w:lang w:val="en-US" w:eastAsia="zh-CN" w:bidi="ar"/>
              </w:rPr>
              <w:t>中级及以上</w:t>
            </w:r>
            <w:r>
              <w:rPr>
                <w:rFonts w:hint="eastAsia" w:ascii="宋体" w:hAnsi="宋体" w:cs="宋体"/>
                <w:color w:val="000000"/>
                <w:kern w:val="0"/>
                <w:sz w:val="24"/>
                <w:lang w:bidi="ar"/>
              </w:rPr>
              <w:t>技术职称的，每提供1人得2分，最多得4分；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A86">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AD6C">
            <w:pPr>
              <w:spacing w:after="0"/>
              <w:jc w:val="center"/>
              <w:rPr>
                <w:rFonts w:ascii="宋体" w:hAnsi="宋体" w:cs="宋体"/>
                <w:color w:val="000000"/>
                <w:sz w:val="24"/>
              </w:rPr>
            </w:pPr>
          </w:p>
        </w:tc>
      </w:tr>
      <w:tr w14:paraId="0156AF38">
        <w:tblPrEx>
          <w:tblCellMar>
            <w:top w:w="0" w:type="dxa"/>
            <w:left w:w="108" w:type="dxa"/>
            <w:bottom w:w="0" w:type="dxa"/>
            <w:right w:w="108" w:type="dxa"/>
          </w:tblCellMar>
        </w:tblPrEx>
        <w:trPr>
          <w:trHeight w:val="100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D11A">
            <w:pPr>
              <w:spacing w:after="0"/>
              <w:jc w:val="center"/>
              <w:rPr>
                <w:rFonts w:ascii="宋体" w:hAnsi="宋体" w:cs="宋体"/>
                <w:color w:val="000000"/>
                <w:sz w:val="24"/>
              </w:rPr>
            </w:pPr>
          </w:p>
        </w:tc>
        <w:tc>
          <w:tcPr>
            <w:tcW w:w="1241" w:type="dxa"/>
            <w:vMerge w:val="continue"/>
            <w:tcBorders>
              <w:left w:val="single" w:color="000000" w:sz="4" w:space="0"/>
              <w:right w:val="single" w:color="000000" w:sz="4" w:space="0"/>
            </w:tcBorders>
            <w:shd w:val="clear" w:color="auto" w:fill="auto"/>
            <w:vAlign w:val="center"/>
          </w:tcPr>
          <w:p w14:paraId="036781F3">
            <w:pPr>
              <w:spacing w:after="0" w:line="288" w:lineRule="auto"/>
              <w:jc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005">
            <w:pPr>
              <w:widowControl/>
              <w:spacing w:after="0" w:line="240" w:lineRule="auto"/>
              <w:jc w:val="left"/>
              <w:rPr>
                <w:rFonts w:ascii="宋体" w:hAnsi="宋体" w:cs="宋体"/>
                <w:b/>
                <w:bCs/>
                <w:color w:val="000000"/>
                <w:sz w:val="24"/>
              </w:rPr>
            </w:pPr>
            <w:r>
              <w:rPr>
                <w:rFonts w:hint="eastAsia" w:ascii="宋体" w:hAnsi="宋体" w:cs="宋体"/>
                <w:b/>
                <w:bCs/>
                <w:color w:val="000000"/>
                <w:kern w:val="0"/>
                <w:sz w:val="24"/>
                <w:lang w:bidi="ar"/>
              </w:rPr>
              <w:t>备注：同一人员证书不重复计分。提供人员的简历表、相关证书以及</w:t>
            </w:r>
            <w:r>
              <w:rPr>
                <w:rFonts w:hint="eastAsia" w:ascii="宋体" w:hAnsi="宋体" w:cs="宋体"/>
                <w:b/>
                <w:bCs/>
                <w:kern w:val="0"/>
                <w:sz w:val="24"/>
              </w:rPr>
              <w:t>劳动合同（或近1个月及以上社保证明）</w:t>
            </w:r>
            <w:r>
              <w:rPr>
                <w:rFonts w:hint="eastAsia" w:ascii="宋体" w:hAnsi="宋体" w:cs="宋体"/>
                <w:b/>
                <w:bCs/>
                <w:color w:val="000000"/>
                <w:kern w:val="0"/>
                <w:sz w:val="24"/>
                <w:lang w:bidi="ar"/>
              </w:rPr>
              <w:t>复印件加盖公章，不提供不得分。</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BA8C">
            <w:pPr>
              <w:spacing w:after="0"/>
              <w:jc w:val="center"/>
              <w:rPr>
                <w:rFonts w:ascii="宋体" w:hAnsi="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B0C4">
            <w:pPr>
              <w:spacing w:after="0"/>
              <w:jc w:val="center"/>
              <w:rPr>
                <w:rFonts w:ascii="宋体" w:hAnsi="宋体" w:cs="宋体"/>
                <w:color w:val="000000"/>
                <w:sz w:val="24"/>
              </w:rPr>
            </w:pPr>
          </w:p>
        </w:tc>
      </w:tr>
      <w:tr w14:paraId="6D41EAAE">
        <w:tblPrEx>
          <w:tblCellMar>
            <w:top w:w="0" w:type="dxa"/>
            <w:left w:w="108" w:type="dxa"/>
            <w:bottom w:w="0" w:type="dxa"/>
            <w:right w:w="108" w:type="dxa"/>
          </w:tblCellMar>
        </w:tblPrEx>
        <w:trPr>
          <w:trHeight w:val="33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7341">
            <w:pPr>
              <w:spacing w:after="0"/>
              <w:jc w:val="center"/>
              <w:rPr>
                <w:rFonts w:ascii="宋体" w:hAnsi="宋体" w:cs="宋体"/>
                <w:color w:val="000000"/>
                <w:sz w:val="24"/>
              </w:rPr>
            </w:pPr>
          </w:p>
        </w:tc>
        <w:tc>
          <w:tcPr>
            <w:tcW w:w="1241" w:type="dxa"/>
            <w:vMerge w:val="continue"/>
            <w:tcBorders>
              <w:left w:val="single" w:color="000000" w:sz="4" w:space="0"/>
              <w:bottom w:val="single" w:color="000000" w:sz="4" w:space="0"/>
              <w:right w:val="single" w:color="000000" w:sz="4" w:space="0"/>
            </w:tcBorders>
            <w:shd w:val="clear" w:color="auto" w:fill="auto"/>
            <w:vAlign w:val="center"/>
          </w:tcPr>
          <w:p w14:paraId="12285AAC">
            <w:pPr>
              <w:widowControl/>
              <w:spacing w:after="0" w:line="288" w:lineRule="auto"/>
              <w:jc w:val="center"/>
              <w:textAlignment w:val="center"/>
              <w:rPr>
                <w:rFonts w:ascii="宋体" w:hAnsi="宋体" w:cs="宋体"/>
                <w:color w:val="000000"/>
                <w:sz w:val="24"/>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7D34">
            <w:pPr>
              <w:widowControl/>
              <w:adjustRightInd/>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供应商提供本项目核心人员的项目经验，对其在项目中的主要工作内容、项目角色、解决技术疑难点等方面进行描述。</w:t>
            </w:r>
          </w:p>
          <w:p w14:paraId="0662EFB8">
            <w:pPr>
              <w:widowControl/>
              <w:numPr>
                <w:ilvl w:val="255"/>
                <w:numId w:val="0"/>
              </w:numPr>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人员数量安排充足、项目经验丰富、与本项目要求专业内容契合度高、具有解决相关疑难问题的能力和经验进行打分，</w:t>
            </w:r>
          </w:p>
          <w:p w14:paraId="39247800">
            <w:pPr>
              <w:widowControl/>
              <w:numPr>
                <w:ilvl w:val="255"/>
                <w:numId w:val="0"/>
              </w:numPr>
              <w:spacing w:after="0" w:line="288" w:lineRule="auto"/>
              <w:jc w:val="left"/>
              <w:textAlignment w:val="center"/>
              <w:rPr>
                <w:rFonts w:ascii="宋体" w:hAnsi="宋体" w:cs="宋体"/>
                <w:sz w:val="24"/>
              </w:rPr>
            </w:pPr>
            <w:r>
              <w:rPr>
                <w:rFonts w:hint="eastAsia" w:ascii="宋体" w:hAnsi="宋体" w:cs="宋体"/>
                <w:sz w:val="24"/>
              </w:rPr>
              <w:t>人员数量与配备合理，投入优化好的得6分 ；</w:t>
            </w:r>
          </w:p>
          <w:p w14:paraId="32FEB4BF">
            <w:pPr>
              <w:widowControl/>
              <w:numPr>
                <w:ilvl w:val="255"/>
                <w:numId w:val="0"/>
              </w:numPr>
              <w:spacing w:after="0" w:line="288" w:lineRule="auto"/>
              <w:jc w:val="left"/>
              <w:textAlignment w:val="center"/>
              <w:rPr>
                <w:rFonts w:ascii="宋体" w:hAnsi="宋体" w:cs="宋体"/>
                <w:sz w:val="24"/>
              </w:rPr>
            </w:pPr>
            <w:r>
              <w:rPr>
                <w:rFonts w:hint="eastAsia" w:ascii="宋体" w:hAnsi="宋体" w:cs="宋体"/>
                <w:sz w:val="24"/>
              </w:rPr>
              <w:t>人员数量与配备较合理，投入优化较好的得4分；</w:t>
            </w:r>
          </w:p>
          <w:p w14:paraId="01C2D216">
            <w:pPr>
              <w:widowControl/>
              <w:spacing w:after="0" w:line="288" w:lineRule="auto"/>
              <w:jc w:val="left"/>
              <w:textAlignment w:val="center"/>
              <w:rPr>
                <w:rFonts w:ascii="宋体" w:hAnsi="宋体" w:cs="宋体"/>
                <w:color w:val="000000"/>
                <w:sz w:val="24"/>
              </w:rPr>
            </w:pPr>
            <w:r>
              <w:rPr>
                <w:rFonts w:hint="eastAsia" w:ascii="宋体" w:hAnsi="宋体" w:cs="宋体"/>
                <w:sz w:val="24"/>
              </w:rPr>
              <w:t>人员数量与配备合理性较差，投入不优化的得2分。</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2E2F">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6分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4F34">
            <w:pPr>
              <w:widowControl/>
              <w:spacing w:after="0"/>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bl>
    <w:p w14:paraId="78803D81">
      <w:pPr>
        <w:pStyle w:val="17"/>
        <w:rPr>
          <w:rFonts w:hAnsi="宋体" w:cs="宋体"/>
          <w:lang w:val="zh-CN"/>
        </w:rPr>
      </w:pPr>
    </w:p>
    <w:p w14:paraId="5965618F">
      <w:pPr>
        <w:jc w:val="left"/>
        <w:rPr>
          <w:rFonts w:hint="eastAsia" w:ascii="宋体" w:hAnsi="宋体" w:cs="宋体"/>
          <w:b/>
          <w:sz w:val="24"/>
        </w:rPr>
      </w:pPr>
      <w:r>
        <w:rPr>
          <w:rFonts w:hint="eastAsia" w:ascii="宋体" w:hAnsi="宋体" w:cs="宋体"/>
          <w:b/>
          <w:sz w:val="24"/>
        </w:rPr>
        <w:br w:type="page"/>
      </w:r>
    </w:p>
    <w:p w14:paraId="3B6C0D09">
      <w:pPr>
        <w:jc w:val="center"/>
        <w:rPr>
          <w:rFonts w:ascii="宋体" w:hAnsi="宋体" w:cs="宋体"/>
          <w:b/>
          <w:sz w:val="24"/>
        </w:rPr>
      </w:pPr>
      <w:r>
        <w:rPr>
          <w:rFonts w:hint="eastAsia" w:ascii="宋体" w:hAnsi="宋体" w:cs="宋体"/>
          <w:b/>
          <w:sz w:val="24"/>
        </w:rPr>
        <w:t>标项五评分细则</w:t>
      </w:r>
    </w:p>
    <w:tbl>
      <w:tblPr>
        <w:tblStyle w:val="64"/>
        <w:tblW w:w="5297" w:type="pct"/>
        <w:tblInd w:w="-331" w:type="dxa"/>
        <w:tblLayout w:type="fixed"/>
        <w:tblCellMar>
          <w:top w:w="0" w:type="dxa"/>
          <w:left w:w="108" w:type="dxa"/>
          <w:bottom w:w="0" w:type="dxa"/>
          <w:right w:w="108" w:type="dxa"/>
        </w:tblCellMar>
      </w:tblPr>
      <w:tblGrid>
        <w:gridCol w:w="944"/>
        <w:gridCol w:w="1255"/>
        <w:gridCol w:w="4865"/>
        <w:gridCol w:w="916"/>
        <w:gridCol w:w="1020"/>
      </w:tblGrid>
      <w:tr w14:paraId="77BC862A">
        <w:tblPrEx>
          <w:tblCellMar>
            <w:top w:w="0" w:type="dxa"/>
            <w:left w:w="108" w:type="dxa"/>
            <w:bottom w:w="0" w:type="dxa"/>
            <w:right w:w="108" w:type="dxa"/>
          </w:tblCellMar>
        </w:tblPrEx>
        <w:trPr>
          <w:trHeight w:val="36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2345">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697" w:type="pct"/>
            <w:tcBorders>
              <w:top w:val="single" w:color="000000" w:sz="4" w:space="0"/>
              <w:left w:val="single" w:color="000000" w:sz="4" w:space="0"/>
              <w:bottom w:val="single" w:color="000000" w:sz="4" w:space="0"/>
              <w:right w:val="nil"/>
            </w:tcBorders>
            <w:shd w:val="clear" w:color="auto" w:fill="auto"/>
            <w:vAlign w:val="center"/>
          </w:tcPr>
          <w:p w14:paraId="3EA70002">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评分项</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4AA8309F">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评 分 细 则</w:t>
            </w:r>
          </w:p>
        </w:tc>
        <w:tc>
          <w:tcPr>
            <w:tcW w:w="508" w:type="pct"/>
            <w:tcBorders>
              <w:top w:val="single" w:color="000000" w:sz="4" w:space="0"/>
              <w:left w:val="single" w:color="000000" w:sz="4" w:space="0"/>
              <w:bottom w:val="single" w:color="000000" w:sz="4" w:space="0"/>
              <w:right w:val="single" w:color="auto" w:sz="4" w:space="0"/>
            </w:tcBorders>
            <w:shd w:val="clear" w:color="auto" w:fill="auto"/>
            <w:vAlign w:val="center"/>
          </w:tcPr>
          <w:p w14:paraId="13146327">
            <w:pPr>
              <w:widowControl/>
              <w:spacing w:after="0" w:line="288" w:lineRule="auto"/>
              <w:jc w:val="center"/>
              <w:textAlignment w:val="center"/>
              <w:rPr>
                <w:rFonts w:ascii="宋体" w:hAnsi="宋体" w:cs="宋体"/>
                <w:b/>
                <w:bCs/>
                <w:color w:val="000000"/>
                <w:sz w:val="24"/>
              </w:rPr>
            </w:pPr>
            <w:r>
              <w:rPr>
                <w:rFonts w:hint="eastAsia" w:ascii="宋体" w:hAnsi="宋体" w:cs="宋体"/>
                <w:b/>
                <w:bCs/>
                <w:kern w:val="0"/>
                <w:sz w:val="24"/>
              </w:rPr>
              <w:t>权重/分值</w:t>
            </w:r>
          </w:p>
        </w:tc>
        <w:tc>
          <w:tcPr>
            <w:tcW w:w="566" w:type="pct"/>
            <w:tcBorders>
              <w:top w:val="single" w:color="000000" w:sz="4" w:space="0"/>
              <w:left w:val="single" w:color="auto" w:sz="4" w:space="0"/>
              <w:bottom w:val="single" w:color="000000" w:sz="4" w:space="0"/>
              <w:right w:val="single" w:color="000000" w:sz="4" w:space="0"/>
            </w:tcBorders>
            <w:shd w:val="clear" w:color="auto" w:fill="auto"/>
            <w:vAlign w:val="center"/>
          </w:tcPr>
          <w:p w14:paraId="0DB1B8E2">
            <w:pPr>
              <w:widowControl/>
              <w:spacing w:after="0" w:line="288" w:lineRule="auto"/>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主观分/客观分</w:t>
            </w:r>
          </w:p>
        </w:tc>
      </w:tr>
      <w:tr w14:paraId="10CEBF3A">
        <w:tblPrEx>
          <w:tblCellMar>
            <w:top w:w="0" w:type="dxa"/>
            <w:left w:w="108" w:type="dxa"/>
            <w:bottom w:w="0" w:type="dxa"/>
            <w:right w:w="108" w:type="dxa"/>
          </w:tblCellMar>
        </w:tblPrEx>
        <w:trPr>
          <w:trHeight w:val="1663"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1247">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0DC5">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同类业绩</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4E0C3D34">
            <w:pPr>
              <w:widowControl/>
              <w:spacing w:after="0" w:line="288"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投标人自2020年1月1日（时间以合同签订时间为准）起，有大数据相关领域规划咨询合同业绩，每提供1个得0.5分，最高得1分。</w:t>
            </w:r>
          </w:p>
          <w:p w14:paraId="431B1F5B">
            <w:pPr>
              <w:widowControl/>
              <w:spacing w:after="0" w:line="288" w:lineRule="auto"/>
              <w:textAlignment w:val="center"/>
              <w:rPr>
                <w:rFonts w:ascii="宋体" w:hAnsi="宋体" w:cs="宋体"/>
                <w:b/>
                <w:bCs/>
                <w:color w:val="000000"/>
                <w:sz w:val="24"/>
              </w:rPr>
            </w:pPr>
            <w:r>
              <w:rPr>
                <w:rFonts w:hint="eastAsia" w:ascii="宋体" w:hAnsi="宋体" w:cs="宋体"/>
                <w:b/>
                <w:bCs/>
                <w:color w:val="000000"/>
                <w:kern w:val="0"/>
                <w:sz w:val="24"/>
                <w:lang w:bidi="ar"/>
              </w:rPr>
              <w:t>证明材料：提供合同复印件或扫描件并加盖投标单位公章。</w:t>
            </w:r>
          </w:p>
        </w:tc>
        <w:tc>
          <w:tcPr>
            <w:tcW w:w="508" w:type="pct"/>
            <w:tcBorders>
              <w:top w:val="nil"/>
              <w:left w:val="single" w:color="000000" w:sz="4" w:space="0"/>
              <w:bottom w:val="single" w:color="000000" w:sz="4" w:space="0"/>
              <w:right w:val="single" w:color="auto" w:sz="4" w:space="0"/>
            </w:tcBorders>
            <w:shd w:val="clear" w:color="auto" w:fill="auto"/>
            <w:vAlign w:val="center"/>
          </w:tcPr>
          <w:p w14:paraId="0D4F0B1E">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1分</w:t>
            </w:r>
          </w:p>
        </w:tc>
        <w:tc>
          <w:tcPr>
            <w:tcW w:w="566" w:type="pct"/>
            <w:tcBorders>
              <w:top w:val="nil"/>
              <w:left w:val="single" w:color="auto" w:sz="4" w:space="0"/>
              <w:right w:val="single" w:color="000000" w:sz="4" w:space="0"/>
            </w:tcBorders>
            <w:shd w:val="clear" w:color="auto" w:fill="auto"/>
            <w:vAlign w:val="center"/>
          </w:tcPr>
          <w:p w14:paraId="432BA2F2">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61B0D972">
        <w:tblPrEx>
          <w:tblCellMar>
            <w:top w:w="0" w:type="dxa"/>
            <w:left w:w="108" w:type="dxa"/>
            <w:bottom w:w="0" w:type="dxa"/>
            <w:right w:w="108" w:type="dxa"/>
          </w:tblCellMar>
        </w:tblPrEx>
        <w:trPr>
          <w:trHeight w:val="15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50ED3">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2</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C0724">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企业资信</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29EFD35C">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投标人自2020年1月1日以来在数字经济、大数据、数字化转型相关行业出版专著、参与撰写白皮书、参与标准制定工作，每一项得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分，最高得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68EA">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c>
          <w:tcPr>
            <w:tcW w:w="566" w:type="pct"/>
            <w:vMerge w:val="restart"/>
            <w:tcBorders>
              <w:top w:val="single" w:color="000000" w:sz="4" w:space="0"/>
              <w:left w:val="nil"/>
              <w:bottom w:val="single" w:color="000000" w:sz="4" w:space="0"/>
              <w:right w:val="single" w:color="000000" w:sz="4" w:space="0"/>
            </w:tcBorders>
            <w:shd w:val="clear" w:color="auto" w:fill="auto"/>
            <w:vAlign w:val="center"/>
          </w:tcPr>
          <w:p w14:paraId="6EEE8C5F">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319113C0">
        <w:tblPrEx>
          <w:tblCellMar>
            <w:top w:w="0" w:type="dxa"/>
            <w:left w:w="108" w:type="dxa"/>
            <w:bottom w:w="0" w:type="dxa"/>
            <w:right w:w="108" w:type="dxa"/>
          </w:tblCellMar>
        </w:tblPrEx>
        <w:trPr>
          <w:trHeight w:val="459"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F080">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1DF74">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3208937C">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w:t>
            </w:r>
            <w:r>
              <w:rPr>
                <w:rFonts w:hint="eastAsia" w:ascii="宋体" w:hAnsi="宋体" w:cs="宋体"/>
                <w:color w:val="000000"/>
                <w:kern w:val="0"/>
                <w:sz w:val="24"/>
                <w:lang w:val="en-US" w:eastAsia="zh-CN" w:bidi="ar"/>
              </w:rPr>
              <w:t>为</w:t>
            </w:r>
            <w:r>
              <w:rPr>
                <w:rFonts w:hint="eastAsia" w:ascii="宋体" w:hAnsi="宋体" w:cs="宋体"/>
                <w:color w:val="000000"/>
                <w:kern w:val="0"/>
                <w:sz w:val="24"/>
                <w:lang w:bidi="ar"/>
              </w:rPr>
              <w:t>省级大数据产业理事会员单位的，得2分。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212B">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2分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474C0939">
            <w:pPr>
              <w:spacing w:after="0" w:line="288" w:lineRule="auto"/>
              <w:jc w:val="center"/>
              <w:rPr>
                <w:rFonts w:ascii="宋体" w:hAnsi="宋体" w:cs="宋体"/>
                <w:color w:val="000000"/>
                <w:sz w:val="24"/>
              </w:rPr>
            </w:pPr>
          </w:p>
        </w:tc>
      </w:tr>
      <w:tr w14:paraId="79E3CC03">
        <w:tblPrEx>
          <w:tblCellMar>
            <w:top w:w="0" w:type="dxa"/>
            <w:left w:w="108" w:type="dxa"/>
            <w:bottom w:w="0" w:type="dxa"/>
            <w:right w:w="108" w:type="dxa"/>
          </w:tblCellMar>
        </w:tblPrEx>
        <w:trPr>
          <w:trHeight w:val="68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96D5">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6D6D">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72F39865">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投标人具备有效的数智分析类软件产品证书的，得2分。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D779">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2分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6C15CBD0">
            <w:pPr>
              <w:spacing w:after="0" w:line="288" w:lineRule="auto"/>
              <w:jc w:val="center"/>
              <w:rPr>
                <w:rFonts w:ascii="宋体" w:hAnsi="宋体" w:cs="宋体"/>
                <w:color w:val="000000"/>
                <w:sz w:val="24"/>
              </w:rPr>
            </w:pPr>
          </w:p>
        </w:tc>
      </w:tr>
      <w:tr w14:paraId="767C7BDF">
        <w:tblPrEx>
          <w:tblCellMar>
            <w:top w:w="0" w:type="dxa"/>
            <w:left w:w="108" w:type="dxa"/>
            <w:bottom w:w="0" w:type="dxa"/>
            <w:right w:w="108" w:type="dxa"/>
          </w:tblCellMar>
        </w:tblPrEx>
        <w:trPr>
          <w:trHeight w:val="72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A99C">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D0AA">
            <w:pPr>
              <w:spacing w:after="0" w:line="288" w:lineRule="auto"/>
              <w:jc w:val="center"/>
              <w:rPr>
                <w:rFonts w:ascii="宋体" w:hAnsi="宋体" w:cs="宋体"/>
                <w:b/>
                <w:bCs/>
                <w:color w:val="000000"/>
                <w:sz w:val="24"/>
              </w:rPr>
            </w:pPr>
          </w:p>
        </w:tc>
        <w:tc>
          <w:tcPr>
            <w:tcW w:w="3211" w:type="pct"/>
            <w:gridSpan w:val="2"/>
            <w:tcBorders>
              <w:top w:val="single" w:color="000000" w:sz="4" w:space="0"/>
              <w:left w:val="nil"/>
              <w:bottom w:val="single" w:color="000000" w:sz="4" w:space="0"/>
              <w:right w:val="single" w:color="000000" w:sz="4" w:space="0"/>
            </w:tcBorders>
            <w:shd w:val="clear" w:color="auto" w:fill="auto"/>
            <w:vAlign w:val="center"/>
          </w:tcPr>
          <w:p w14:paraId="5B89E44D">
            <w:pPr>
              <w:spacing w:after="0" w:line="288" w:lineRule="auto"/>
              <w:jc w:val="left"/>
              <w:rPr>
                <w:rFonts w:ascii="宋体" w:hAnsi="宋体" w:cs="宋体"/>
                <w:color w:val="000000"/>
                <w:sz w:val="24"/>
              </w:rPr>
            </w:pPr>
            <w:r>
              <w:rPr>
                <w:rFonts w:hint="eastAsia" w:ascii="宋体" w:hAnsi="宋体" w:cs="宋体"/>
                <w:b/>
                <w:bCs/>
                <w:color w:val="000000"/>
                <w:kern w:val="0"/>
                <w:sz w:val="24"/>
                <w:lang w:bidi="ar"/>
              </w:rPr>
              <w:t>备注：所有在投标文件中提供有效的证明材料复印件加盖公章，不提供不得分。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2F44CD3C">
            <w:pPr>
              <w:spacing w:after="0" w:line="288" w:lineRule="auto"/>
              <w:jc w:val="center"/>
              <w:rPr>
                <w:rFonts w:ascii="宋体" w:hAnsi="宋体" w:cs="宋体"/>
                <w:color w:val="000000"/>
                <w:sz w:val="24"/>
              </w:rPr>
            </w:pPr>
          </w:p>
        </w:tc>
      </w:tr>
      <w:tr w14:paraId="313FFF45">
        <w:tblPrEx>
          <w:tblCellMar>
            <w:top w:w="0" w:type="dxa"/>
            <w:left w:w="108" w:type="dxa"/>
            <w:bottom w:w="0" w:type="dxa"/>
            <w:right w:w="108" w:type="dxa"/>
          </w:tblCellMar>
        </w:tblPrEx>
        <w:trPr>
          <w:trHeight w:val="9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4CD42">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3</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9C7C">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企业实力</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60950AAE">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投标人具备有效的ISO9001质量管理体系认证证书、ISO20000信息技术服务管理体系认证证书、ISO27001信息安全管理体系认证证书、ISO14001环境管理体系认证证书、</w:t>
            </w:r>
            <w:r>
              <w:rPr>
                <w:rFonts w:ascii="宋体" w:hAnsi="宋体" w:cs="宋体"/>
                <w:sz w:val="24"/>
              </w:rPr>
              <w:t>ISO45001</w:t>
            </w:r>
            <w:r>
              <w:rPr>
                <w:rFonts w:hint="eastAsia" w:ascii="宋体" w:hAnsi="宋体" w:cs="宋体"/>
                <w:color w:val="000000"/>
                <w:kern w:val="0"/>
                <w:sz w:val="24"/>
                <w:lang w:bidi="ar"/>
              </w:rPr>
              <w:t>职业健康安全资质证书，每提供一项得1分，最高得</w:t>
            </w:r>
            <w:r>
              <w:rPr>
                <w:rFonts w:ascii="宋体" w:hAnsi="宋体" w:cs="宋体"/>
                <w:color w:val="000000"/>
                <w:kern w:val="0"/>
                <w:sz w:val="24"/>
                <w:lang w:bidi="ar"/>
              </w:rPr>
              <w:t>3</w:t>
            </w:r>
            <w:r>
              <w:rPr>
                <w:rFonts w:hint="eastAsia" w:ascii="宋体" w:hAnsi="宋体" w:cs="宋体"/>
                <w:color w:val="000000"/>
                <w:kern w:val="0"/>
                <w:sz w:val="24"/>
                <w:lang w:bidi="ar"/>
              </w:rPr>
              <w:t>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D9A1">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3</w:t>
            </w:r>
            <w:r>
              <w:rPr>
                <w:rFonts w:hint="eastAsia" w:ascii="宋体" w:hAnsi="宋体" w:cs="宋体"/>
                <w:color w:val="000000"/>
                <w:kern w:val="0"/>
                <w:sz w:val="24"/>
                <w:lang w:bidi="ar"/>
              </w:rPr>
              <w:t>分</w:t>
            </w:r>
          </w:p>
        </w:tc>
        <w:tc>
          <w:tcPr>
            <w:tcW w:w="566" w:type="pct"/>
            <w:vMerge w:val="restart"/>
            <w:tcBorders>
              <w:top w:val="single" w:color="000000" w:sz="4" w:space="0"/>
              <w:left w:val="nil"/>
              <w:bottom w:val="single" w:color="000000" w:sz="4" w:space="0"/>
              <w:right w:val="single" w:color="000000" w:sz="4" w:space="0"/>
            </w:tcBorders>
            <w:shd w:val="clear" w:color="auto" w:fill="auto"/>
            <w:vAlign w:val="center"/>
          </w:tcPr>
          <w:p w14:paraId="3770B7CD">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7D10836C">
        <w:tblPrEx>
          <w:tblCellMar>
            <w:top w:w="0" w:type="dxa"/>
            <w:left w:w="108" w:type="dxa"/>
            <w:bottom w:w="0" w:type="dxa"/>
            <w:right w:w="108" w:type="dxa"/>
          </w:tblCellMar>
        </w:tblPrEx>
        <w:trPr>
          <w:trHeight w:val="399"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F2389">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CC32D">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2847C7EF">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投标人具有专精特新企业资质认证，国家级的得3分，省级的得2分</w:t>
            </w:r>
            <w:r>
              <w:rPr>
                <w:rFonts w:hint="eastAsia" w:cs="宋体"/>
                <w:color w:val="000000"/>
                <w:kern w:val="0"/>
                <w:sz w:val="24"/>
                <w:lang w:eastAsia="zh-CN" w:bidi="ar"/>
              </w:rPr>
              <w:t>，</w:t>
            </w:r>
            <w:r>
              <w:rPr>
                <w:rFonts w:hint="eastAsia" w:cs="宋体"/>
                <w:color w:val="000000"/>
                <w:kern w:val="0"/>
                <w:sz w:val="24"/>
                <w:lang w:val="en-US" w:eastAsia="zh-CN" w:bidi="ar"/>
              </w:rPr>
              <w:t>市级的得1分</w:t>
            </w:r>
            <w:r>
              <w:rPr>
                <w:rFonts w:hint="eastAsia" w:ascii="宋体" w:hAnsi="宋体" w:cs="宋体"/>
                <w:color w:val="000000"/>
                <w:kern w:val="0"/>
                <w:sz w:val="24"/>
                <w:lang w:bidi="ar"/>
              </w:rPr>
              <w:t>；投标时提供证书扫描件或复印件加盖投标人公章。</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EAEF">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6077DFDF">
            <w:pPr>
              <w:spacing w:after="0" w:line="288" w:lineRule="auto"/>
              <w:jc w:val="center"/>
              <w:rPr>
                <w:rFonts w:ascii="宋体" w:hAnsi="宋体" w:cs="宋体"/>
                <w:color w:val="000000"/>
                <w:sz w:val="24"/>
              </w:rPr>
            </w:pPr>
          </w:p>
        </w:tc>
      </w:tr>
      <w:tr w14:paraId="5FFDCB5B">
        <w:tblPrEx>
          <w:tblCellMar>
            <w:top w:w="0" w:type="dxa"/>
            <w:left w:w="108" w:type="dxa"/>
            <w:bottom w:w="0" w:type="dxa"/>
            <w:right w:w="108" w:type="dxa"/>
          </w:tblCellMar>
        </w:tblPrEx>
        <w:trPr>
          <w:trHeight w:val="72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5B0AA">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21EE">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17A516CA">
            <w:pPr>
              <w:widowControl/>
              <w:spacing w:after="0" w:line="288" w:lineRule="auto"/>
              <w:textAlignment w:val="center"/>
              <w:rPr>
                <w:rFonts w:ascii="宋体" w:hAnsi="宋体" w:cs="宋体"/>
                <w:color w:val="000000"/>
                <w:sz w:val="24"/>
              </w:rPr>
            </w:pPr>
            <w:r>
              <w:rPr>
                <w:rFonts w:hint="eastAsia" w:ascii="宋体" w:hAnsi="宋体" w:cs="宋体"/>
                <w:color w:val="000000"/>
                <w:kern w:val="0"/>
                <w:sz w:val="24"/>
                <w:lang w:bidi="ar"/>
              </w:rPr>
              <w:t>投标人具有数据类软著证书，每提供1个得1分，最高得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13C2">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04105802">
            <w:pPr>
              <w:spacing w:after="0" w:line="288" w:lineRule="auto"/>
              <w:jc w:val="center"/>
              <w:rPr>
                <w:rFonts w:ascii="宋体" w:hAnsi="宋体" w:cs="宋体"/>
                <w:color w:val="000000"/>
                <w:sz w:val="24"/>
              </w:rPr>
            </w:pPr>
          </w:p>
        </w:tc>
      </w:tr>
      <w:tr w14:paraId="450BB5C0">
        <w:tblPrEx>
          <w:tblCellMar>
            <w:top w:w="0" w:type="dxa"/>
            <w:left w:w="108" w:type="dxa"/>
            <w:bottom w:w="0" w:type="dxa"/>
            <w:right w:w="108" w:type="dxa"/>
          </w:tblCellMar>
        </w:tblPrEx>
        <w:trPr>
          <w:trHeight w:val="72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FB69">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88F8">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64B32971">
            <w:pPr>
              <w:widowControl/>
              <w:spacing w:after="0" w:line="288" w:lineRule="auto"/>
              <w:jc w:val="left"/>
              <w:textAlignment w:val="center"/>
              <w:rPr>
                <w:rFonts w:ascii="宋体" w:hAnsi="宋体" w:cs="宋体"/>
                <w:color w:val="000000"/>
                <w:sz w:val="24"/>
              </w:rPr>
            </w:pPr>
            <w:r>
              <w:rPr>
                <w:rFonts w:hint="eastAsia" w:ascii="宋体" w:hAnsi="宋体" w:cs="宋体"/>
                <w:color w:val="000000"/>
                <w:kern w:val="0"/>
                <w:sz w:val="24"/>
                <w:lang w:bidi="ar"/>
              </w:rPr>
              <w:t>投标人具备高新技术企业证书，省级及以上的得2分，市级的得1分，其他不得分。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951C">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7F30A5D7">
            <w:pPr>
              <w:spacing w:after="0" w:line="288" w:lineRule="auto"/>
              <w:jc w:val="center"/>
              <w:rPr>
                <w:rFonts w:ascii="宋体" w:hAnsi="宋体" w:cs="宋体"/>
                <w:color w:val="000000"/>
                <w:sz w:val="24"/>
              </w:rPr>
            </w:pPr>
          </w:p>
        </w:tc>
      </w:tr>
      <w:tr w14:paraId="41640582">
        <w:tblPrEx>
          <w:tblCellMar>
            <w:top w:w="0" w:type="dxa"/>
            <w:left w:w="108" w:type="dxa"/>
            <w:bottom w:w="0" w:type="dxa"/>
            <w:right w:w="108" w:type="dxa"/>
          </w:tblCellMar>
        </w:tblPrEx>
        <w:trPr>
          <w:trHeight w:val="72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44B4">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F348">
            <w:pPr>
              <w:spacing w:after="0" w:line="288" w:lineRule="auto"/>
              <w:jc w:val="center"/>
              <w:rPr>
                <w:rFonts w:ascii="宋体" w:hAnsi="宋体" w:cs="宋体"/>
                <w:b/>
                <w:bCs/>
                <w:color w:val="000000"/>
                <w:sz w:val="24"/>
              </w:rPr>
            </w:pPr>
          </w:p>
        </w:tc>
        <w:tc>
          <w:tcPr>
            <w:tcW w:w="3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FFE93">
            <w:pPr>
              <w:spacing w:after="0" w:line="288" w:lineRule="auto"/>
              <w:jc w:val="left"/>
              <w:rPr>
                <w:rFonts w:ascii="宋体" w:hAnsi="宋体" w:cs="宋体"/>
                <w:color w:val="000000"/>
                <w:sz w:val="24"/>
              </w:rPr>
            </w:pPr>
            <w:r>
              <w:rPr>
                <w:rFonts w:hint="eastAsia" w:ascii="宋体" w:hAnsi="宋体" w:cs="宋体"/>
                <w:b/>
                <w:bCs/>
                <w:color w:val="000000"/>
                <w:kern w:val="0"/>
                <w:sz w:val="24"/>
                <w:lang w:bidi="ar"/>
              </w:rPr>
              <w:t>备注：所有在投标文件中提供有效的证明材料复印件加盖公章，不提供不得分。</w:t>
            </w:r>
          </w:p>
        </w:tc>
        <w:tc>
          <w:tcPr>
            <w:tcW w:w="566" w:type="pct"/>
            <w:vMerge w:val="continue"/>
            <w:tcBorders>
              <w:top w:val="single" w:color="000000" w:sz="4" w:space="0"/>
              <w:left w:val="nil"/>
              <w:bottom w:val="single" w:color="000000" w:sz="4" w:space="0"/>
              <w:right w:val="single" w:color="000000" w:sz="4" w:space="0"/>
            </w:tcBorders>
            <w:shd w:val="clear" w:color="auto" w:fill="auto"/>
            <w:vAlign w:val="center"/>
          </w:tcPr>
          <w:p w14:paraId="3E8849D3">
            <w:pPr>
              <w:spacing w:after="0" w:line="288" w:lineRule="auto"/>
              <w:jc w:val="center"/>
              <w:rPr>
                <w:rFonts w:ascii="宋体" w:hAnsi="宋体" w:cs="宋体"/>
                <w:color w:val="000000"/>
                <w:sz w:val="24"/>
              </w:rPr>
            </w:pPr>
          </w:p>
        </w:tc>
      </w:tr>
      <w:tr w14:paraId="565CDBB4">
        <w:tblPrEx>
          <w:tblCellMar>
            <w:top w:w="0" w:type="dxa"/>
            <w:left w:w="108" w:type="dxa"/>
            <w:bottom w:w="0" w:type="dxa"/>
            <w:right w:w="108" w:type="dxa"/>
          </w:tblCellMar>
        </w:tblPrEx>
        <w:trPr>
          <w:trHeight w:val="110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C362">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41EC">
            <w:pPr>
              <w:widowControl/>
              <w:spacing w:after="0" w:line="288" w:lineRule="auto"/>
              <w:jc w:val="left"/>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项目需求理解</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54791F3F">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投标人对本项目现状及需求分析、对项目情况理解程度针对性和全面性进行打分。内容全部符合的得5分，内容符合性较低的得3分，较符合的得1分</w:t>
            </w:r>
            <w:r>
              <w:rPr>
                <w:rFonts w:hint="eastAsia" w:ascii="宋体" w:hAnsi="宋体" w:cs="宋体"/>
                <w:kern w:val="0"/>
                <w:sz w:val="24"/>
                <w:lang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FF40">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06F8ED49">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009BE136">
        <w:tblPrEx>
          <w:tblCellMar>
            <w:top w:w="0" w:type="dxa"/>
            <w:left w:w="108" w:type="dxa"/>
            <w:bottom w:w="0" w:type="dxa"/>
            <w:right w:w="108" w:type="dxa"/>
          </w:tblCellMar>
        </w:tblPrEx>
        <w:trPr>
          <w:trHeight w:val="432"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A440">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5</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E49DA">
            <w:pPr>
              <w:widowControl/>
              <w:spacing w:after="0" w:line="288" w:lineRule="auto"/>
              <w:jc w:val="left"/>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服务方案</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2DBBAD44">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kern w:val="0"/>
                <w:sz w:val="24"/>
                <w:lang w:bidi="ar"/>
              </w:rPr>
              <w:t>发展方向建议：投标人能提供发展方向建议服务方案，</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5分；描述基本全面、合理的，针对性较弱</w:t>
            </w:r>
            <w:r>
              <w:rPr>
                <w:rFonts w:hint="eastAsia" w:ascii="宋体" w:hAnsi="宋体" w:cs="宋体"/>
                <w:kern w:val="0"/>
                <w:sz w:val="24"/>
              </w:rPr>
              <w:t>3</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CD35">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56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B9866D">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39C276FB">
        <w:tblPrEx>
          <w:tblCellMar>
            <w:top w:w="0" w:type="dxa"/>
            <w:left w:w="108" w:type="dxa"/>
            <w:bottom w:w="0" w:type="dxa"/>
            <w:right w:w="108" w:type="dxa"/>
          </w:tblCellMar>
        </w:tblPrEx>
        <w:trPr>
          <w:trHeight w:val="33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8EB3">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5F68">
            <w:pPr>
              <w:widowControl/>
              <w:spacing w:after="0" w:line="288" w:lineRule="auto"/>
              <w:jc w:val="left"/>
              <w:textAlignment w:val="center"/>
              <w:rPr>
                <w:rFonts w:ascii="宋体" w:hAnsi="宋体" w:cs="宋体"/>
                <w:b/>
                <w:bCs/>
                <w:color w:val="000000"/>
                <w:kern w:val="0"/>
                <w:sz w:val="24"/>
                <w:lang w:bidi="ar"/>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6C2442EA">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kern w:val="0"/>
                <w:sz w:val="24"/>
                <w:lang w:bidi="ar"/>
              </w:rPr>
              <w:t>重大专题综合分析：投标人能提供重大专题综合分析服务方案，</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5分；描述基本全面、合理的，针对性较弱</w:t>
            </w:r>
            <w:r>
              <w:rPr>
                <w:rFonts w:hint="eastAsia" w:ascii="宋体" w:hAnsi="宋体" w:cs="宋体"/>
                <w:kern w:val="0"/>
                <w:sz w:val="24"/>
              </w:rPr>
              <w:t>3</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8AA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01B2B0D">
            <w:pPr>
              <w:spacing w:after="0" w:line="288" w:lineRule="auto"/>
              <w:jc w:val="center"/>
              <w:rPr>
                <w:rFonts w:ascii="宋体" w:hAnsi="宋体" w:cs="宋体"/>
                <w:color w:val="000000"/>
                <w:sz w:val="24"/>
              </w:rPr>
            </w:pPr>
          </w:p>
        </w:tc>
      </w:tr>
      <w:tr w14:paraId="281DF918">
        <w:tblPrEx>
          <w:tblCellMar>
            <w:top w:w="0" w:type="dxa"/>
            <w:left w:w="108" w:type="dxa"/>
            <w:bottom w:w="0" w:type="dxa"/>
            <w:right w:w="108" w:type="dxa"/>
          </w:tblCellMar>
        </w:tblPrEx>
        <w:trPr>
          <w:trHeight w:val="106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A455">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E8A54">
            <w:pPr>
              <w:widowControl/>
              <w:spacing w:after="0" w:line="288" w:lineRule="auto"/>
              <w:jc w:val="left"/>
              <w:textAlignment w:val="center"/>
              <w:rPr>
                <w:rFonts w:ascii="宋体" w:hAnsi="宋体" w:cs="宋体"/>
                <w:b/>
                <w:bCs/>
                <w:color w:val="000000"/>
                <w:kern w:val="0"/>
                <w:sz w:val="24"/>
                <w:lang w:bidi="ar"/>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372735E1">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kern w:val="0"/>
                <w:sz w:val="24"/>
                <w:lang w:bidi="ar"/>
              </w:rPr>
              <w:t>特色经验沉淀：投标人能提供特色经验沉淀服务方案，</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5分；描述基本全面、合理的，针对性较弱</w:t>
            </w:r>
            <w:r>
              <w:rPr>
                <w:rFonts w:hint="eastAsia" w:ascii="宋体" w:hAnsi="宋体" w:cs="宋体"/>
                <w:kern w:val="0"/>
                <w:sz w:val="24"/>
              </w:rPr>
              <w:t>3</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3BA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740809">
            <w:pPr>
              <w:spacing w:after="0" w:line="288" w:lineRule="auto"/>
              <w:jc w:val="center"/>
              <w:rPr>
                <w:rFonts w:ascii="宋体" w:hAnsi="宋体" w:cs="宋体"/>
                <w:color w:val="000000"/>
                <w:sz w:val="24"/>
              </w:rPr>
            </w:pPr>
          </w:p>
        </w:tc>
      </w:tr>
      <w:tr w14:paraId="32A52168">
        <w:tblPrEx>
          <w:tblCellMar>
            <w:top w:w="0" w:type="dxa"/>
            <w:left w:w="108" w:type="dxa"/>
            <w:bottom w:w="0" w:type="dxa"/>
            <w:right w:w="108" w:type="dxa"/>
          </w:tblCellMar>
        </w:tblPrEx>
        <w:trPr>
          <w:trHeight w:val="1977"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DEBE">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56930">
            <w:pPr>
              <w:widowControl/>
              <w:spacing w:after="0" w:line="288" w:lineRule="auto"/>
              <w:jc w:val="left"/>
              <w:textAlignment w:val="center"/>
              <w:rPr>
                <w:rFonts w:ascii="宋体" w:hAnsi="宋体" w:cs="宋体"/>
                <w:b/>
                <w:bCs/>
                <w:color w:val="000000"/>
                <w:kern w:val="0"/>
                <w:sz w:val="24"/>
                <w:lang w:bidi="ar"/>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31797BC5">
            <w:pPr>
              <w:widowControl/>
              <w:spacing w:after="0" w:line="288" w:lineRule="auto"/>
              <w:jc w:val="left"/>
              <w:textAlignment w:val="center"/>
              <w:rPr>
                <w:rFonts w:ascii="宋体" w:hAnsi="宋体" w:cs="宋体"/>
                <w:color w:val="000000"/>
                <w:kern w:val="0"/>
                <w:sz w:val="24"/>
                <w:lang w:bidi="ar"/>
              </w:rPr>
            </w:pPr>
            <w:r>
              <w:rPr>
                <w:rFonts w:hint="eastAsia" w:ascii="宋体" w:hAnsi="宋体" w:cs="宋体"/>
                <w:kern w:val="0"/>
                <w:sz w:val="24"/>
                <w:lang w:bidi="ar"/>
              </w:rPr>
              <w:t>“他山之石”学习借鉴：投标人能提供“他山之石”学习借鉴服务方案，</w:t>
            </w:r>
            <w:r>
              <w:rPr>
                <w:rFonts w:hint="eastAsia" w:ascii="宋体" w:hAnsi="宋体" w:cs="宋体"/>
                <w:sz w:val="24"/>
              </w:rPr>
              <w:t>方案描述全面、合理的，具有针对性</w:t>
            </w:r>
            <w:r>
              <w:rPr>
                <w:rFonts w:hint="eastAsia" w:ascii="宋体" w:hAnsi="宋体" w:cs="宋体"/>
                <w:kern w:val="0"/>
                <w:sz w:val="24"/>
              </w:rPr>
              <w:t>得</w:t>
            </w:r>
            <w:r>
              <w:rPr>
                <w:rFonts w:hint="eastAsia" w:ascii="宋体" w:hAnsi="宋体" w:cs="宋体"/>
                <w:sz w:val="24"/>
              </w:rPr>
              <w:t>5分；描述基本全面、合理的，针对性较弱</w:t>
            </w:r>
            <w:r>
              <w:rPr>
                <w:rFonts w:hint="eastAsia" w:ascii="宋体" w:hAnsi="宋体" w:cs="宋体"/>
                <w:kern w:val="0"/>
                <w:sz w:val="24"/>
              </w:rPr>
              <w:t>3</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0B89">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361D09">
            <w:pPr>
              <w:spacing w:after="0" w:line="288" w:lineRule="auto"/>
              <w:jc w:val="center"/>
              <w:rPr>
                <w:rFonts w:ascii="宋体" w:hAnsi="宋体" w:cs="宋体"/>
                <w:color w:val="000000"/>
                <w:sz w:val="24"/>
              </w:rPr>
            </w:pPr>
          </w:p>
        </w:tc>
      </w:tr>
      <w:tr w14:paraId="7F9471A2">
        <w:tblPrEx>
          <w:tblCellMar>
            <w:top w:w="0" w:type="dxa"/>
            <w:left w:w="108" w:type="dxa"/>
            <w:bottom w:w="0" w:type="dxa"/>
            <w:right w:w="108" w:type="dxa"/>
          </w:tblCellMar>
        </w:tblPrEx>
        <w:trPr>
          <w:trHeight w:val="33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E5FD">
            <w:pPr>
              <w:widowControl/>
              <w:spacing w:after="0" w:line="288"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6</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FB621">
            <w:pPr>
              <w:widowControl/>
              <w:spacing w:after="0" w:line="288"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总体</w:t>
            </w:r>
          </w:p>
          <w:p w14:paraId="0025663D">
            <w:pPr>
              <w:widowControl/>
              <w:spacing w:after="0" w:line="288" w:lineRule="auto"/>
              <w:jc w:val="center"/>
              <w:textAlignment w:val="center"/>
              <w:rPr>
                <w:rFonts w:ascii="宋体" w:hAnsi="宋体" w:cs="宋体"/>
                <w:b/>
                <w:bCs/>
                <w:color w:val="000000"/>
                <w:sz w:val="24"/>
              </w:rPr>
            </w:pPr>
            <w:r>
              <w:rPr>
                <w:rFonts w:hint="eastAsia" w:ascii="宋体" w:hAnsi="宋体" w:cs="宋体"/>
                <w:color w:val="000000"/>
                <w:kern w:val="0"/>
                <w:sz w:val="24"/>
                <w:lang w:bidi="ar"/>
              </w:rPr>
              <w:t>方案</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5363AD7C">
            <w:pPr>
              <w:widowControl/>
              <w:spacing w:after="0" w:line="288" w:lineRule="auto"/>
              <w:jc w:val="left"/>
              <w:textAlignment w:val="center"/>
              <w:rPr>
                <w:rFonts w:ascii="宋体" w:hAnsi="宋体" w:cs="宋体"/>
                <w:b/>
                <w:bCs/>
                <w:color w:val="000000"/>
                <w:sz w:val="24"/>
              </w:rPr>
            </w:pPr>
            <w:r>
              <w:rPr>
                <w:rStyle w:val="851"/>
                <w:rFonts w:hint="default" w:ascii="宋体" w:hAnsi="宋体" w:eastAsia="宋体" w:cs="宋体"/>
                <w:sz w:val="24"/>
                <w:szCs w:val="24"/>
                <w:lang w:bidi="ar"/>
              </w:rPr>
              <w:t>人员组织方案</w:t>
            </w:r>
            <w:r>
              <w:rPr>
                <w:rStyle w:val="685"/>
                <w:rFonts w:hint="default" w:ascii="宋体" w:hAnsi="宋体" w:eastAsia="宋体" w:cs="宋体"/>
                <w:sz w:val="24"/>
                <w:szCs w:val="24"/>
                <w:lang w:bidi="ar"/>
              </w:rPr>
              <w:t>：投标人提供科学合理、安全严密，具有可操作性的人员组织方案，</w:t>
            </w:r>
            <w:r>
              <w:rPr>
                <w:rFonts w:hint="eastAsia" w:ascii="宋体" w:hAnsi="宋体" w:cs="宋体"/>
                <w:kern w:val="0"/>
                <w:sz w:val="24"/>
              </w:rPr>
              <w:t>包括人员数量、配备合理，各岗位的配置和劳动力的投入经优化配置，岗位人员配备是否齐全，满足各岗位和工作量的需要，</w:t>
            </w:r>
            <w:r>
              <w:rPr>
                <w:rFonts w:hint="eastAsia" w:ascii="宋体" w:hAnsi="宋体" w:cs="宋体"/>
                <w:sz w:val="24"/>
                <w:lang w:eastAsia="zh-Hans"/>
              </w:rPr>
              <w:t>合理的得</w:t>
            </w:r>
            <w:r>
              <w:rPr>
                <w:rFonts w:hint="eastAsia" w:ascii="宋体" w:hAnsi="宋体" w:cs="宋体"/>
                <w:sz w:val="24"/>
              </w:rPr>
              <w:t>5</w:t>
            </w:r>
            <w:r>
              <w:rPr>
                <w:rFonts w:hint="eastAsia" w:ascii="宋体" w:hAnsi="宋体" w:cs="宋体"/>
                <w:sz w:val="24"/>
                <w:lang w:eastAsia="zh-Hans"/>
              </w:rPr>
              <w:t>分，基本合理的</w:t>
            </w:r>
            <w:r>
              <w:rPr>
                <w:rFonts w:hint="eastAsia" w:ascii="宋体" w:hAnsi="宋体" w:cs="宋体"/>
                <w:sz w:val="24"/>
              </w:rPr>
              <w:t>得3</w:t>
            </w:r>
            <w:r>
              <w:rPr>
                <w:rFonts w:hint="eastAsia" w:ascii="宋体" w:hAnsi="宋体" w:cs="宋体"/>
                <w:sz w:val="24"/>
                <w:lang w:eastAsia="zh-Hans"/>
              </w:rPr>
              <w:t>分，不合理或缺项的</w:t>
            </w:r>
            <w:r>
              <w:rPr>
                <w:rFonts w:hint="eastAsia" w:ascii="宋体" w:hAnsi="宋体" w:cs="宋体"/>
                <w:sz w:val="24"/>
              </w:rPr>
              <w:t>最高</w:t>
            </w:r>
            <w:r>
              <w:rPr>
                <w:rFonts w:hint="eastAsia" w:ascii="宋体" w:hAnsi="宋体" w:cs="宋体"/>
                <w:sz w:val="24"/>
                <w:lang w:eastAsia="zh-Hans"/>
              </w:rPr>
              <w:t>得</w:t>
            </w:r>
            <w:r>
              <w:rPr>
                <w:rFonts w:hint="eastAsia" w:ascii="宋体" w:hAnsi="宋体" w:cs="宋体"/>
                <w:sz w:val="24"/>
              </w:rPr>
              <w:t>1</w:t>
            </w:r>
            <w:r>
              <w:rPr>
                <w:rFonts w:hint="eastAsia" w:ascii="宋体" w:hAnsi="宋体" w:cs="宋体"/>
                <w:sz w:val="24"/>
                <w:lang w:eastAsia="zh-Hans"/>
              </w:rPr>
              <w:t>分</w:t>
            </w:r>
            <w:r>
              <w:rPr>
                <w:rFonts w:hint="eastAsia" w:ascii="宋体" w:hAnsi="宋体" w:cs="宋体"/>
                <w:sz w:val="24"/>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28C8">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5分</w:t>
            </w:r>
          </w:p>
        </w:tc>
        <w:tc>
          <w:tcPr>
            <w:tcW w:w="566" w:type="pct"/>
            <w:vMerge w:val="restart"/>
            <w:tcBorders>
              <w:top w:val="single" w:color="000000" w:sz="4" w:space="0"/>
              <w:left w:val="nil"/>
              <w:bottom w:val="single" w:color="000000" w:sz="4" w:space="0"/>
              <w:right w:val="single" w:color="000000" w:sz="4" w:space="0"/>
            </w:tcBorders>
            <w:shd w:val="clear" w:color="auto" w:fill="auto"/>
            <w:noWrap/>
            <w:vAlign w:val="center"/>
          </w:tcPr>
          <w:p w14:paraId="642B97D9">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主观分</w:t>
            </w:r>
          </w:p>
        </w:tc>
      </w:tr>
      <w:tr w14:paraId="5528572A">
        <w:tblPrEx>
          <w:tblCellMar>
            <w:top w:w="0" w:type="dxa"/>
            <w:left w:w="108" w:type="dxa"/>
            <w:bottom w:w="0" w:type="dxa"/>
            <w:right w:w="108" w:type="dxa"/>
          </w:tblCellMar>
        </w:tblPrEx>
        <w:trPr>
          <w:trHeight w:val="165"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5FA">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BEEE">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50CE5F8A">
            <w:pPr>
              <w:widowControl/>
              <w:spacing w:after="0" w:line="288" w:lineRule="auto"/>
              <w:jc w:val="left"/>
              <w:textAlignment w:val="center"/>
              <w:rPr>
                <w:rFonts w:ascii="宋体" w:hAnsi="宋体" w:cs="宋体"/>
                <w:b/>
                <w:bCs/>
                <w:color w:val="000000"/>
                <w:sz w:val="24"/>
              </w:rPr>
            </w:pPr>
            <w:r>
              <w:rPr>
                <w:rStyle w:val="851"/>
                <w:rFonts w:hint="default" w:ascii="宋体" w:hAnsi="宋体" w:eastAsia="宋体" w:cs="宋体"/>
                <w:sz w:val="24"/>
                <w:szCs w:val="24"/>
                <w:lang w:bidi="ar"/>
              </w:rPr>
              <w:t>进度管理措施</w:t>
            </w:r>
            <w:r>
              <w:rPr>
                <w:rStyle w:val="685"/>
                <w:rFonts w:hint="default" w:ascii="宋体" w:hAnsi="宋体" w:eastAsia="宋体" w:cs="宋体"/>
                <w:sz w:val="24"/>
                <w:szCs w:val="24"/>
                <w:lang w:bidi="ar"/>
              </w:rPr>
              <w:t>：投标人提供科学合理、安全严密，具有可操作性的进度管理措施方案，</w:t>
            </w:r>
            <w:r>
              <w:rPr>
                <w:rFonts w:hint="eastAsia" w:ascii="宋体" w:hAnsi="宋体" w:cs="宋体"/>
                <w:sz w:val="24"/>
              </w:rPr>
              <w:t>方案完整全面、内容详细、可行性高的得</w:t>
            </w:r>
            <w:r>
              <w:rPr>
                <w:rFonts w:ascii="宋体" w:hAnsi="宋体" w:cs="宋体"/>
                <w:sz w:val="24"/>
              </w:rPr>
              <w:t>5</w:t>
            </w:r>
            <w:r>
              <w:rPr>
                <w:rFonts w:hint="eastAsia" w:ascii="宋体" w:hAnsi="宋体" w:cs="宋体"/>
                <w:sz w:val="24"/>
              </w:rPr>
              <w:t>分；方案较为完整但不够全面、内容明确、具有一定的可行性的得</w:t>
            </w:r>
            <w:r>
              <w:rPr>
                <w:rFonts w:hint="eastAsia" w:ascii="宋体" w:hAnsi="宋体" w:cs="宋体"/>
                <w:sz w:val="24"/>
                <w:lang w:val="en-US" w:eastAsia="zh-CN"/>
              </w:rPr>
              <w:t>3</w:t>
            </w:r>
            <w:r>
              <w:rPr>
                <w:rFonts w:hint="eastAsia" w:ascii="宋体" w:hAnsi="宋体" w:cs="宋体"/>
                <w:sz w:val="24"/>
              </w:rPr>
              <w:t>分；方案不完整、内容不清晰、可行性较低的得1分。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1CEC">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EE57C87">
            <w:pPr>
              <w:spacing w:after="0" w:line="288" w:lineRule="auto"/>
              <w:jc w:val="center"/>
              <w:rPr>
                <w:rFonts w:ascii="宋体" w:hAnsi="宋体" w:cs="宋体"/>
                <w:color w:val="000000"/>
                <w:sz w:val="24"/>
              </w:rPr>
            </w:pPr>
          </w:p>
        </w:tc>
      </w:tr>
      <w:tr w14:paraId="5C85A5F3">
        <w:tblPrEx>
          <w:tblCellMar>
            <w:top w:w="0" w:type="dxa"/>
            <w:left w:w="108" w:type="dxa"/>
            <w:bottom w:w="0" w:type="dxa"/>
            <w:right w:w="108" w:type="dxa"/>
          </w:tblCellMar>
        </w:tblPrEx>
        <w:trPr>
          <w:trHeight w:val="106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FC74">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C9AF">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024F03B2">
            <w:pPr>
              <w:widowControl/>
              <w:spacing w:after="0"/>
              <w:jc w:val="left"/>
              <w:rPr>
                <w:rFonts w:ascii="宋体" w:hAnsi="宋体" w:cs="宋体"/>
                <w:b/>
                <w:bCs/>
                <w:color w:val="000000"/>
                <w:sz w:val="24"/>
              </w:rPr>
            </w:pPr>
            <w:r>
              <w:rPr>
                <w:rStyle w:val="851"/>
                <w:rFonts w:hint="default" w:ascii="宋体" w:hAnsi="宋体" w:eastAsia="宋体" w:cs="宋体"/>
                <w:sz w:val="24"/>
                <w:szCs w:val="24"/>
                <w:lang w:bidi="ar"/>
              </w:rPr>
              <w:t>保密措施</w:t>
            </w:r>
            <w:r>
              <w:rPr>
                <w:rStyle w:val="685"/>
                <w:rFonts w:hint="default" w:ascii="宋体" w:hAnsi="宋体" w:eastAsia="宋体" w:cs="宋体"/>
                <w:sz w:val="24"/>
                <w:szCs w:val="24"/>
                <w:lang w:bidi="ar"/>
              </w:rPr>
              <w:t>：投标人</w:t>
            </w:r>
            <w:r>
              <w:rPr>
                <w:rStyle w:val="685"/>
                <w:rFonts w:ascii="宋体" w:hAnsi="宋体" w:eastAsia="宋体" w:cs="宋体"/>
                <w:sz w:val="24"/>
                <w:szCs w:val="24"/>
                <w:lang w:bidi="ar"/>
              </w:rPr>
              <w:t>提供</w:t>
            </w:r>
            <w:r>
              <w:rPr>
                <w:rStyle w:val="685"/>
                <w:rFonts w:hint="default" w:ascii="宋体" w:hAnsi="宋体" w:eastAsia="宋体" w:cs="宋体"/>
                <w:sz w:val="24"/>
                <w:szCs w:val="24"/>
                <w:lang w:bidi="ar"/>
              </w:rPr>
              <w:t>科学合理、安全严密，具有可操作性的保密措施方案，</w:t>
            </w:r>
            <w:r>
              <w:rPr>
                <w:rFonts w:hint="eastAsia" w:ascii="宋体" w:hAnsi="宋体" w:cs="宋体"/>
                <w:kern w:val="0"/>
                <w:sz w:val="24"/>
                <w:lang w:val="zh-CN"/>
              </w:rPr>
              <w:t>安全保密制度健全符合要求，内容完整的得</w:t>
            </w:r>
            <w:r>
              <w:rPr>
                <w:rFonts w:ascii="宋体" w:hAnsi="宋体" w:cs="宋体"/>
                <w:kern w:val="0"/>
                <w:sz w:val="24"/>
              </w:rPr>
              <w:t>5</w:t>
            </w:r>
            <w:r>
              <w:rPr>
                <w:rFonts w:hint="eastAsia" w:ascii="宋体" w:hAnsi="宋体" w:cs="宋体"/>
                <w:kern w:val="0"/>
                <w:sz w:val="24"/>
                <w:lang w:val="zh-CN"/>
              </w:rPr>
              <w:t>分；安全保密制度符合要求，内容有所欠缺的得</w:t>
            </w:r>
            <w:r>
              <w:rPr>
                <w:rFonts w:hint="eastAsia" w:ascii="宋体" w:hAnsi="宋体" w:cs="宋体"/>
                <w:kern w:val="0"/>
                <w:sz w:val="24"/>
                <w:lang w:val="en-US" w:eastAsia="zh-CN"/>
              </w:rPr>
              <w:t>3</w:t>
            </w:r>
            <w:r>
              <w:rPr>
                <w:rFonts w:hint="eastAsia" w:ascii="宋体" w:hAnsi="宋体" w:cs="宋体"/>
                <w:kern w:val="0"/>
                <w:sz w:val="24"/>
                <w:lang w:val="zh-CN"/>
              </w:rPr>
              <w:t>分；安全保密制度欠缺性较大，符合性较差的得</w:t>
            </w:r>
            <w:r>
              <w:rPr>
                <w:rFonts w:hint="eastAsia" w:ascii="宋体" w:hAnsi="宋体" w:cs="宋体"/>
                <w:kern w:val="0"/>
                <w:sz w:val="24"/>
              </w:rPr>
              <w:t>1</w:t>
            </w:r>
            <w:r>
              <w:rPr>
                <w:rFonts w:hint="eastAsia" w:ascii="宋体" w:hAnsi="宋体" w:cs="宋体"/>
                <w:kern w:val="0"/>
                <w:sz w:val="24"/>
                <w:lang w:val="zh-CN"/>
              </w:rPr>
              <w:t>分；没有提供内容的不得分。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CF57">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B57F683">
            <w:pPr>
              <w:spacing w:after="0" w:line="288" w:lineRule="auto"/>
              <w:jc w:val="center"/>
              <w:rPr>
                <w:rFonts w:ascii="宋体" w:hAnsi="宋体" w:cs="宋体"/>
                <w:color w:val="000000"/>
                <w:sz w:val="24"/>
              </w:rPr>
            </w:pPr>
          </w:p>
        </w:tc>
      </w:tr>
      <w:tr w14:paraId="43E935BC">
        <w:tblPrEx>
          <w:tblCellMar>
            <w:top w:w="0" w:type="dxa"/>
            <w:left w:w="108" w:type="dxa"/>
            <w:bottom w:w="0" w:type="dxa"/>
            <w:right w:w="108" w:type="dxa"/>
          </w:tblCellMar>
        </w:tblPrEx>
        <w:trPr>
          <w:trHeight w:val="106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4DCF">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9A84">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4F0C5899">
            <w:pPr>
              <w:widowControl/>
              <w:spacing w:after="0" w:line="288" w:lineRule="auto"/>
              <w:jc w:val="left"/>
              <w:textAlignment w:val="center"/>
              <w:rPr>
                <w:rFonts w:ascii="宋体" w:hAnsi="宋体" w:cs="宋体"/>
                <w:b/>
                <w:bCs/>
                <w:color w:val="000000"/>
                <w:sz w:val="24"/>
              </w:rPr>
            </w:pPr>
            <w:r>
              <w:rPr>
                <w:rStyle w:val="851"/>
                <w:rFonts w:hint="default" w:ascii="宋体" w:hAnsi="宋体" w:eastAsia="宋体" w:cs="宋体"/>
                <w:sz w:val="24"/>
                <w:szCs w:val="24"/>
                <w:lang w:bidi="ar"/>
              </w:rPr>
              <w:t>廉政执业措施</w:t>
            </w:r>
            <w:r>
              <w:rPr>
                <w:rStyle w:val="685"/>
                <w:rFonts w:hint="default" w:ascii="宋体" w:hAnsi="宋体" w:eastAsia="宋体" w:cs="宋体"/>
                <w:sz w:val="24"/>
                <w:szCs w:val="24"/>
                <w:lang w:bidi="ar"/>
              </w:rPr>
              <w:t>：投标人</w:t>
            </w:r>
            <w:r>
              <w:rPr>
                <w:rStyle w:val="685"/>
                <w:rFonts w:ascii="宋体" w:hAnsi="宋体" w:eastAsia="宋体" w:cs="宋体"/>
                <w:sz w:val="24"/>
                <w:szCs w:val="24"/>
                <w:lang w:bidi="ar"/>
              </w:rPr>
              <w:t>提供</w:t>
            </w:r>
            <w:r>
              <w:rPr>
                <w:rStyle w:val="685"/>
                <w:rFonts w:hint="default" w:ascii="宋体" w:hAnsi="宋体" w:eastAsia="宋体" w:cs="宋体"/>
                <w:sz w:val="24"/>
                <w:szCs w:val="24"/>
                <w:lang w:bidi="ar"/>
              </w:rPr>
              <w:t>科学合理、安全严密，具有可操作性的廉政执业措施方案，措施</w:t>
            </w:r>
            <w:r>
              <w:rPr>
                <w:rFonts w:hint="eastAsia" w:ascii="宋体" w:hAnsi="宋体" w:cs="宋体"/>
                <w:sz w:val="24"/>
              </w:rPr>
              <w:t>方案描述全面、合理的，具有针对性</w:t>
            </w:r>
            <w:r>
              <w:rPr>
                <w:rFonts w:hint="eastAsia" w:ascii="宋体" w:hAnsi="宋体" w:cs="宋体"/>
                <w:kern w:val="0"/>
                <w:sz w:val="24"/>
              </w:rPr>
              <w:t>得</w:t>
            </w:r>
            <w:r>
              <w:rPr>
                <w:rFonts w:ascii="宋体" w:hAnsi="宋体" w:cs="宋体"/>
                <w:sz w:val="24"/>
              </w:rPr>
              <w:t>5</w:t>
            </w:r>
            <w:r>
              <w:rPr>
                <w:rFonts w:hint="eastAsia" w:ascii="宋体" w:hAnsi="宋体" w:cs="宋体"/>
                <w:sz w:val="24"/>
              </w:rPr>
              <w:t>分；描述基本全面、合理的，针对性较弱</w:t>
            </w:r>
            <w:r>
              <w:rPr>
                <w:rFonts w:hint="eastAsia" w:ascii="宋体" w:hAnsi="宋体" w:cs="宋体"/>
                <w:kern w:val="0"/>
                <w:sz w:val="24"/>
                <w:lang w:val="en-US" w:eastAsia="zh-CN"/>
              </w:rPr>
              <w:t>3</w:t>
            </w:r>
            <w:r>
              <w:rPr>
                <w:rFonts w:hint="eastAsia" w:ascii="宋体" w:hAnsi="宋体" w:cs="宋体"/>
                <w:sz w:val="24"/>
              </w:rPr>
              <w:t>分；描述较为简单或存在缺漏</w:t>
            </w:r>
            <w:r>
              <w:rPr>
                <w:rFonts w:hint="eastAsia" w:ascii="宋体" w:hAnsi="宋体" w:cs="宋体"/>
                <w:kern w:val="0"/>
                <w:sz w:val="24"/>
              </w:rPr>
              <w:t>得</w:t>
            </w:r>
            <w:r>
              <w:rPr>
                <w:rFonts w:hint="eastAsia" w:ascii="宋体" w:hAnsi="宋体" w:cs="宋体"/>
                <w:sz w:val="24"/>
              </w:rPr>
              <w:t>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0FE1">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78191AB">
            <w:pPr>
              <w:spacing w:after="0" w:line="288" w:lineRule="auto"/>
              <w:jc w:val="center"/>
              <w:rPr>
                <w:rFonts w:ascii="宋体" w:hAnsi="宋体" w:cs="宋体"/>
                <w:color w:val="000000"/>
                <w:sz w:val="24"/>
              </w:rPr>
            </w:pPr>
          </w:p>
        </w:tc>
      </w:tr>
      <w:tr w14:paraId="4F8DC531">
        <w:tblPrEx>
          <w:tblCellMar>
            <w:top w:w="0" w:type="dxa"/>
            <w:left w:w="108" w:type="dxa"/>
            <w:bottom w:w="0" w:type="dxa"/>
            <w:right w:w="108" w:type="dxa"/>
          </w:tblCellMar>
        </w:tblPrEx>
        <w:trPr>
          <w:trHeight w:val="166"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7B6F">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A260">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7C6A3E7B">
            <w:pPr>
              <w:widowControl/>
              <w:spacing w:after="0" w:line="288" w:lineRule="auto"/>
              <w:jc w:val="left"/>
              <w:textAlignment w:val="center"/>
              <w:rPr>
                <w:rFonts w:ascii="宋体" w:hAnsi="宋体" w:cs="宋体"/>
                <w:b/>
                <w:bCs/>
                <w:color w:val="000000"/>
                <w:sz w:val="24"/>
              </w:rPr>
            </w:pPr>
            <w:r>
              <w:rPr>
                <w:rStyle w:val="851"/>
                <w:rFonts w:hint="default" w:ascii="宋体" w:hAnsi="宋体" w:eastAsia="宋体" w:cs="宋体"/>
                <w:sz w:val="24"/>
                <w:szCs w:val="24"/>
                <w:lang w:bidi="ar"/>
              </w:rPr>
              <w:t>服务质量保证措施</w:t>
            </w:r>
            <w:r>
              <w:rPr>
                <w:rStyle w:val="685"/>
                <w:rFonts w:hint="default" w:ascii="宋体" w:hAnsi="宋体" w:eastAsia="宋体" w:cs="宋体"/>
                <w:sz w:val="24"/>
                <w:szCs w:val="24"/>
                <w:lang w:bidi="ar"/>
              </w:rPr>
              <w:t>：投标人</w:t>
            </w:r>
            <w:r>
              <w:rPr>
                <w:rStyle w:val="685"/>
                <w:rFonts w:ascii="宋体" w:hAnsi="宋体" w:eastAsia="宋体" w:cs="宋体"/>
                <w:sz w:val="24"/>
                <w:szCs w:val="24"/>
                <w:lang w:bidi="ar"/>
              </w:rPr>
              <w:t>提供</w:t>
            </w:r>
            <w:r>
              <w:rPr>
                <w:rStyle w:val="685"/>
                <w:rFonts w:hint="default" w:ascii="宋体" w:hAnsi="宋体" w:eastAsia="宋体" w:cs="宋体"/>
                <w:sz w:val="24"/>
                <w:szCs w:val="24"/>
                <w:lang w:bidi="ar"/>
              </w:rPr>
              <w:t>科学合理、安全严密，具有可操作性的服务质量保证措施方案，</w:t>
            </w:r>
            <w:r>
              <w:rPr>
                <w:rFonts w:hint="eastAsia" w:ascii="宋体" w:hAnsi="宋体" w:cs="宋体"/>
                <w:sz w:val="24"/>
              </w:rPr>
              <w:t>服务质量保障措施方案具有针对性、利于项目实施得</w:t>
            </w:r>
            <w:r>
              <w:rPr>
                <w:rFonts w:ascii="宋体" w:hAnsi="宋体" w:cs="宋体"/>
                <w:sz w:val="24"/>
              </w:rPr>
              <w:t>5</w:t>
            </w:r>
            <w:r>
              <w:rPr>
                <w:rFonts w:hint="eastAsia" w:ascii="宋体" w:hAnsi="宋体" w:cs="宋体"/>
                <w:sz w:val="24"/>
              </w:rPr>
              <w:t>分，针对性较弱，满足项目实施需要得</w:t>
            </w:r>
            <w:r>
              <w:rPr>
                <w:rFonts w:hint="eastAsia" w:ascii="宋体" w:hAnsi="宋体" w:cs="宋体"/>
                <w:sz w:val="24"/>
                <w:lang w:val="en-US" w:eastAsia="zh-CN"/>
              </w:rPr>
              <w:t>3</w:t>
            </w:r>
            <w:r>
              <w:rPr>
                <w:rFonts w:hint="eastAsia" w:ascii="宋体" w:hAnsi="宋体" w:cs="宋体"/>
                <w:sz w:val="24"/>
              </w:rPr>
              <w:t>分，内容较为简单、存在缺漏的得1分。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2680">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BB073E">
            <w:pPr>
              <w:spacing w:after="0" w:line="288" w:lineRule="auto"/>
              <w:jc w:val="center"/>
              <w:rPr>
                <w:rFonts w:ascii="宋体" w:hAnsi="宋体" w:cs="宋体"/>
                <w:color w:val="000000"/>
                <w:sz w:val="24"/>
              </w:rPr>
            </w:pPr>
          </w:p>
        </w:tc>
      </w:tr>
      <w:tr w14:paraId="125F4541">
        <w:tblPrEx>
          <w:tblCellMar>
            <w:top w:w="0" w:type="dxa"/>
            <w:left w:w="108" w:type="dxa"/>
            <w:bottom w:w="0" w:type="dxa"/>
            <w:right w:w="108" w:type="dxa"/>
          </w:tblCellMar>
        </w:tblPrEx>
        <w:trPr>
          <w:trHeight w:val="106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F494">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1526">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699CE381">
            <w:pPr>
              <w:widowControl/>
              <w:spacing w:after="0" w:line="288" w:lineRule="auto"/>
              <w:jc w:val="left"/>
              <w:textAlignment w:val="center"/>
              <w:rPr>
                <w:rFonts w:ascii="宋体" w:hAnsi="宋体" w:cs="宋体"/>
                <w:b/>
                <w:bCs/>
                <w:color w:val="000000"/>
                <w:sz w:val="24"/>
              </w:rPr>
            </w:pPr>
            <w:r>
              <w:rPr>
                <w:rStyle w:val="851"/>
                <w:rFonts w:hint="default" w:ascii="宋体" w:hAnsi="宋体" w:eastAsia="宋体" w:cs="宋体"/>
                <w:sz w:val="24"/>
                <w:szCs w:val="24"/>
                <w:lang w:bidi="ar"/>
              </w:rPr>
              <w:t>售后服务方案</w:t>
            </w:r>
            <w:r>
              <w:rPr>
                <w:rStyle w:val="685"/>
                <w:rFonts w:hint="default" w:ascii="宋体" w:hAnsi="宋体" w:eastAsia="宋体" w:cs="宋体"/>
                <w:sz w:val="24"/>
                <w:szCs w:val="24"/>
                <w:lang w:bidi="ar"/>
              </w:rPr>
              <w:t>：投标人</w:t>
            </w:r>
            <w:r>
              <w:rPr>
                <w:rStyle w:val="685"/>
                <w:rFonts w:ascii="宋体" w:hAnsi="宋体" w:eastAsia="宋体" w:cs="宋体"/>
                <w:sz w:val="24"/>
                <w:szCs w:val="24"/>
                <w:lang w:bidi="ar"/>
              </w:rPr>
              <w:t>提供</w:t>
            </w:r>
            <w:r>
              <w:rPr>
                <w:rStyle w:val="685"/>
                <w:rFonts w:hint="default" w:ascii="宋体" w:hAnsi="宋体" w:eastAsia="宋体" w:cs="宋体"/>
                <w:sz w:val="24"/>
                <w:szCs w:val="24"/>
                <w:lang w:bidi="ar"/>
              </w:rPr>
              <w:t>科学合理、安全严密，具有可操作性的售后服务方案，</w:t>
            </w:r>
            <w:r>
              <w:rPr>
                <w:rFonts w:hint="eastAsia" w:ascii="宋体" w:hAnsi="宋体" w:cs="宋体"/>
                <w:sz w:val="24"/>
              </w:rPr>
              <w:t>内容规范、全面且具有针对性的得</w:t>
            </w:r>
            <w:r>
              <w:rPr>
                <w:rFonts w:ascii="宋体" w:hAnsi="宋体" w:cs="宋体"/>
                <w:sz w:val="24"/>
              </w:rPr>
              <w:t>5</w:t>
            </w:r>
            <w:r>
              <w:rPr>
                <w:rFonts w:hint="eastAsia" w:ascii="宋体" w:hAnsi="宋体" w:cs="宋体"/>
                <w:sz w:val="24"/>
              </w:rPr>
              <w:t>分；内容基本规范、针对性较弱得</w:t>
            </w:r>
            <w:r>
              <w:rPr>
                <w:rFonts w:hint="eastAsia" w:ascii="宋体" w:hAnsi="宋体" w:cs="宋体"/>
                <w:sz w:val="24"/>
                <w:lang w:val="en-US" w:eastAsia="zh-CN"/>
              </w:rPr>
              <w:t>3</w:t>
            </w:r>
            <w:r>
              <w:rPr>
                <w:rFonts w:hint="eastAsia" w:ascii="宋体" w:hAnsi="宋体" w:cs="宋体"/>
                <w:sz w:val="24"/>
              </w:rPr>
              <w:t>分；内容较为简单、存在缺漏得1分。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E4C4">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E7356C5">
            <w:pPr>
              <w:spacing w:after="0" w:line="288" w:lineRule="auto"/>
              <w:jc w:val="center"/>
              <w:rPr>
                <w:rFonts w:ascii="宋体" w:hAnsi="宋体" w:cs="宋体"/>
                <w:color w:val="000000"/>
                <w:sz w:val="24"/>
              </w:rPr>
            </w:pPr>
          </w:p>
        </w:tc>
      </w:tr>
      <w:tr w14:paraId="1E934AAF">
        <w:tblPrEx>
          <w:tblCellMar>
            <w:top w:w="0" w:type="dxa"/>
            <w:left w:w="108" w:type="dxa"/>
            <w:bottom w:w="0" w:type="dxa"/>
            <w:right w:w="108" w:type="dxa"/>
          </w:tblCellMar>
        </w:tblPrEx>
        <w:trPr>
          <w:trHeight w:val="1694"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2D54">
            <w:pPr>
              <w:spacing w:after="0" w:line="288" w:lineRule="auto"/>
              <w:jc w:val="center"/>
              <w:rPr>
                <w:rFonts w:ascii="宋体" w:hAnsi="宋体" w:cs="宋体"/>
                <w:b/>
                <w:bCs/>
                <w:color w:val="000000"/>
                <w:sz w:val="24"/>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E6A6">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5D6236F1">
            <w:pPr>
              <w:widowControl/>
              <w:spacing w:after="0" w:line="288" w:lineRule="auto"/>
              <w:jc w:val="left"/>
              <w:textAlignment w:val="center"/>
              <w:rPr>
                <w:rFonts w:ascii="宋体" w:hAnsi="宋体" w:cs="宋体"/>
                <w:b/>
                <w:bCs/>
                <w:color w:val="000000"/>
                <w:sz w:val="24"/>
              </w:rPr>
            </w:pPr>
            <w:r>
              <w:rPr>
                <w:rStyle w:val="851"/>
                <w:rFonts w:hint="default" w:ascii="宋体" w:hAnsi="宋体" w:eastAsia="宋体" w:cs="宋体"/>
                <w:sz w:val="24"/>
                <w:szCs w:val="24"/>
                <w:lang w:bidi="ar"/>
              </w:rPr>
              <w:t>文档管理方案</w:t>
            </w:r>
            <w:r>
              <w:rPr>
                <w:rStyle w:val="685"/>
                <w:rFonts w:hint="default" w:ascii="宋体" w:hAnsi="宋体" w:eastAsia="宋体" w:cs="宋体"/>
                <w:sz w:val="24"/>
                <w:szCs w:val="24"/>
                <w:lang w:bidi="ar"/>
              </w:rPr>
              <w:t>：投标人</w:t>
            </w:r>
            <w:r>
              <w:rPr>
                <w:rStyle w:val="685"/>
                <w:rFonts w:ascii="宋体" w:hAnsi="宋体" w:eastAsia="宋体" w:cs="宋体"/>
                <w:sz w:val="24"/>
                <w:szCs w:val="24"/>
                <w:lang w:bidi="ar"/>
              </w:rPr>
              <w:t>提供</w:t>
            </w:r>
            <w:r>
              <w:rPr>
                <w:rStyle w:val="685"/>
                <w:rFonts w:hint="default" w:ascii="宋体" w:hAnsi="宋体" w:eastAsia="宋体" w:cs="宋体"/>
                <w:sz w:val="24"/>
                <w:szCs w:val="24"/>
                <w:lang w:bidi="ar"/>
              </w:rPr>
              <w:t>科学合理、安全严密，具有可操作性的文档管理措施方案，</w:t>
            </w:r>
            <w:r>
              <w:rPr>
                <w:rFonts w:hint="eastAsia" w:ascii="宋体" w:hAnsi="宋体" w:cs="宋体"/>
                <w:sz w:val="24"/>
              </w:rPr>
              <w:t>方案</w:t>
            </w:r>
            <w:r>
              <w:rPr>
                <w:rFonts w:hint="eastAsia" w:ascii="宋体" w:hAnsi="宋体" w:cs="宋体"/>
                <w:sz w:val="24"/>
                <w:lang w:val="zh-CN"/>
              </w:rPr>
              <w:t>全面详细、思路清晰、</w:t>
            </w:r>
            <w:r>
              <w:rPr>
                <w:rFonts w:hint="eastAsia" w:ascii="宋体" w:hAnsi="宋体" w:cs="宋体"/>
                <w:sz w:val="24"/>
              </w:rPr>
              <w:t>可行性强</w:t>
            </w:r>
            <w:r>
              <w:rPr>
                <w:rFonts w:hint="eastAsia" w:ascii="宋体" w:hAnsi="宋体" w:cs="宋体"/>
                <w:sz w:val="24"/>
                <w:lang w:val="zh-CN"/>
              </w:rPr>
              <w:t>的得</w:t>
            </w:r>
            <w:r>
              <w:rPr>
                <w:rFonts w:ascii="宋体" w:hAnsi="宋体" w:cs="宋体"/>
                <w:sz w:val="24"/>
              </w:rPr>
              <w:t>5</w:t>
            </w:r>
            <w:r>
              <w:rPr>
                <w:rFonts w:hint="eastAsia" w:ascii="宋体" w:hAnsi="宋体" w:cs="宋体"/>
                <w:sz w:val="24"/>
                <w:lang w:val="zh-CN"/>
              </w:rPr>
              <w:t>分，较全面详细、思路较清晰、</w:t>
            </w:r>
            <w:r>
              <w:rPr>
                <w:rFonts w:hint="eastAsia" w:ascii="宋体" w:hAnsi="宋体" w:cs="宋体"/>
                <w:sz w:val="24"/>
              </w:rPr>
              <w:t>可行性一般</w:t>
            </w:r>
            <w:r>
              <w:rPr>
                <w:rFonts w:hint="eastAsia" w:ascii="宋体" w:hAnsi="宋体" w:cs="宋体"/>
                <w:sz w:val="24"/>
                <w:lang w:val="zh-CN"/>
              </w:rPr>
              <w:t>的得</w:t>
            </w:r>
            <w:r>
              <w:rPr>
                <w:rFonts w:hint="eastAsia" w:ascii="宋体" w:hAnsi="宋体" w:cs="宋体"/>
                <w:sz w:val="24"/>
                <w:lang w:val="en-US" w:eastAsia="zh-CN"/>
              </w:rPr>
              <w:t>3</w:t>
            </w:r>
            <w:r>
              <w:rPr>
                <w:rFonts w:hint="eastAsia" w:ascii="宋体" w:hAnsi="宋体" w:cs="宋体"/>
                <w:sz w:val="24"/>
                <w:lang w:val="zh-CN"/>
              </w:rPr>
              <w:t>分，不够全面详细、清晰的得</w:t>
            </w:r>
            <w:r>
              <w:rPr>
                <w:rFonts w:hint="eastAsia" w:ascii="宋体" w:hAnsi="宋体" w:cs="宋体"/>
                <w:sz w:val="24"/>
              </w:rPr>
              <w:t>1</w:t>
            </w:r>
            <w:r>
              <w:rPr>
                <w:rFonts w:hint="eastAsia" w:ascii="宋体" w:hAnsi="宋体" w:cs="宋体"/>
                <w:sz w:val="24"/>
                <w:lang w:val="zh-CN"/>
              </w:rPr>
              <w:t>分。</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D48">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56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9A25884">
            <w:pPr>
              <w:spacing w:after="0" w:line="288" w:lineRule="auto"/>
              <w:jc w:val="center"/>
              <w:rPr>
                <w:rFonts w:ascii="宋体" w:hAnsi="宋体" w:cs="宋体"/>
                <w:color w:val="000000"/>
                <w:sz w:val="24"/>
              </w:rPr>
            </w:pPr>
          </w:p>
        </w:tc>
      </w:tr>
      <w:tr w14:paraId="417F1A96">
        <w:tblPrEx>
          <w:tblCellMar>
            <w:top w:w="0" w:type="dxa"/>
            <w:left w:w="108" w:type="dxa"/>
            <w:bottom w:w="0" w:type="dxa"/>
            <w:right w:w="108" w:type="dxa"/>
          </w:tblCellMar>
        </w:tblPrEx>
        <w:trPr>
          <w:trHeight w:val="271" w:hRule="atLeast"/>
        </w:trPr>
        <w:tc>
          <w:tcPr>
            <w:tcW w:w="524" w:type="pct"/>
            <w:vMerge w:val="restart"/>
            <w:tcBorders>
              <w:top w:val="single" w:color="000000" w:sz="4" w:space="0"/>
              <w:left w:val="single" w:color="000000" w:sz="4" w:space="0"/>
              <w:right w:val="single" w:color="000000" w:sz="4" w:space="0"/>
            </w:tcBorders>
            <w:shd w:val="clear" w:color="auto" w:fill="auto"/>
            <w:noWrap/>
            <w:vAlign w:val="center"/>
          </w:tcPr>
          <w:p w14:paraId="4D316A67">
            <w:pPr>
              <w:spacing w:after="0" w:line="288" w:lineRule="auto"/>
              <w:jc w:val="center"/>
              <w:rPr>
                <w:rFonts w:ascii="宋体" w:hAnsi="宋体" w:cs="宋体"/>
                <w:b/>
                <w:bCs/>
                <w:color w:val="000000"/>
                <w:sz w:val="24"/>
              </w:rPr>
            </w:pPr>
            <w:r>
              <w:rPr>
                <w:rFonts w:hint="eastAsia" w:ascii="宋体" w:hAnsi="宋体" w:cs="宋体"/>
                <w:b/>
                <w:bCs/>
                <w:color w:val="000000"/>
                <w:sz w:val="24"/>
              </w:rPr>
              <w:t>7</w:t>
            </w:r>
          </w:p>
        </w:tc>
        <w:tc>
          <w:tcPr>
            <w:tcW w:w="697" w:type="pct"/>
            <w:vMerge w:val="restart"/>
            <w:tcBorders>
              <w:top w:val="single" w:color="000000" w:sz="4" w:space="0"/>
              <w:left w:val="single" w:color="000000" w:sz="4" w:space="0"/>
              <w:right w:val="single" w:color="000000" w:sz="4" w:space="0"/>
            </w:tcBorders>
            <w:shd w:val="clear" w:color="auto" w:fill="auto"/>
            <w:vAlign w:val="center"/>
          </w:tcPr>
          <w:p w14:paraId="4533DAD6">
            <w:pPr>
              <w:widowControl/>
              <w:spacing w:after="0" w:line="288"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实施</w:t>
            </w:r>
          </w:p>
          <w:p w14:paraId="1068E4E8">
            <w:pPr>
              <w:widowControl/>
              <w:spacing w:after="0" w:line="288" w:lineRule="auto"/>
              <w:jc w:val="center"/>
              <w:textAlignment w:val="center"/>
              <w:rPr>
                <w:rFonts w:ascii="宋体" w:hAnsi="宋体" w:cs="宋体"/>
                <w:b/>
                <w:bCs/>
                <w:color w:val="000000"/>
                <w:sz w:val="24"/>
              </w:rPr>
            </w:pPr>
            <w:r>
              <w:rPr>
                <w:rFonts w:hint="eastAsia" w:ascii="宋体" w:hAnsi="宋体" w:cs="宋体"/>
                <w:color w:val="000000"/>
                <w:kern w:val="0"/>
                <w:sz w:val="24"/>
                <w:lang w:bidi="ar"/>
              </w:rPr>
              <w:t>团队</w:t>
            </w: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2C581876">
            <w:pPr>
              <w:spacing w:after="0" w:line="240" w:lineRule="auto"/>
              <w:rPr>
                <w:rFonts w:hint="default" w:ascii="宋体" w:hAnsi="宋体" w:eastAsia="宋体" w:cs="宋体"/>
                <w:color w:val="000000"/>
                <w:kern w:val="0"/>
                <w:sz w:val="24"/>
                <w:lang w:val="en-US" w:eastAsia="zh-CN" w:bidi="ar"/>
              </w:rPr>
            </w:pPr>
            <w:bookmarkStart w:id="490" w:name="_GoBack"/>
            <w:r>
              <w:rPr>
                <w:rFonts w:hint="eastAsia" w:ascii="宋体" w:hAnsi="宋体" w:cs="宋体"/>
                <w:color w:val="000000"/>
                <w:kern w:val="0"/>
                <w:sz w:val="24"/>
                <w:lang w:bidi="ar"/>
              </w:rPr>
              <w:t>1.拟派项目经理具有PMP证书或高级技术职称，且具有5年及以上工作经验的，得</w:t>
            </w:r>
            <w:r>
              <w:rPr>
                <w:rFonts w:ascii="宋体" w:hAnsi="宋体" w:cs="宋体"/>
                <w:color w:val="000000"/>
                <w:kern w:val="0"/>
                <w:sz w:val="24"/>
                <w:lang w:bidi="ar"/>
              </w:rPr>
              <w:t>4</w:t>
            </w:r>
            <w:r>
              <w:rPr>
                <w:rFonts w:hint="eastAsia" w:ascii="宋体" w:hAnsi="宋体" w:cs="宋体"/>
                <w:color w:val="000000"/>
                <w:kern w:val="0"/>
                <w:sz w:val="24"/>
                <w:lang w:bidi="ar"/>
              </w:rPr>
              <w:t>分；3年及以上工作经验的，得2分，3年以下工作经验的得1分。</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工作经验可提供单位证明材料加盖投标人公章）</w:t>
            </w:r>
          </w:p>
          <w:p w14:paraId="55D38C60">
            <w:pPr>
              <w:spacing w:after="0" w:line="240" w:lineRule="auto"/>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2.团队成员参与过科研项目，且具有硕士及以上学历的，得</w:t>
            </w:r>
            <w:r>
              <w:rPr>
                <w:rFonts w:ascii="宋体" w:hAnsi="宋体" w:cs="宋体"/>
                <w:color w:val="000000"/>
                <w:kern w:val="0"/>
                <w:sz w:val="24"/>
                <w:lang w:bidi="ar"/>
              </w:rPr>
              <w:t>3</w:t>
            </w:r>
            <w:r>
              <w:rPr>
                <w:rFonts w:hint="eastAsia" w:ascii="宋体" w:hAnsi="宋体" w:cs="宋体"/>
                <w:color w:val="000000"/>
                <w:kern w:val="0"/>
                <w:sz w:val="24"/>
                <w:lang w:bidi="ar"/>
              </w:rPr>
              <w:t>分；</w:t>
            </w:r>
          </w:p>
          <w:p w14:paraId="6D0F2209">
            <w:pPr>
              <w:spacing w:after="0" w:line="240" w:lineRule="auto"/>
              <w:rPr>
                <w:rFonts w:ascii="宋体" w:hAnsi="宋体" w:cs="宋体"/>
                <w:color w:val="000000"/>
                <w:sz w:val="24"/>
              </w:rPr>
            </w:pPr>
            <w:r>
              <w:rPr>
                <w:rFonts w:hint="eastAsia" w:ascii="宋体" w:hAnsi="宋体" w:cs="宋体"/>
                <w:color w:val="000000"/>
                <w:kern w:val="0"/>
                <w:sz w:val="24"/>
                <w:lang w:bidi="ar"/>
              </w:rPr>
              <w:t>3.团队成员具有C</w:t>
            </w:r>
            <w:r>
              <w:rPr>
                <w:rFonts w:ascii="宋体" w:hAnsi="宋体" w:cs="宋体"/>
                <w:color w:val="000000"/>
                <w:kern w:val="0"/>
                <w:sz w:val="24"/>
                <w:lang w:bidi="ar"/>
              </w:rPr>
              <w:t>ISP</w:t>
            </w:r>
            <w:r>
              <w:rPr>
                <w:rFonts w:hint="eastAsia" w:ascii="宋体" w:hAnsi="宋体" w:cs="宋体"/>
                <w:color w:val="000000"/>
                <w:kern w:val="0"/>
                <w:sz w:val="24"/>
                <w:lang w:bidi="ar"/>
              </w:rPr>
              <w:t>信息安全证书，且具有硕士及以上学历的，得2分；</w:t>
            </w:r>
            <w:bookmarkEnd w:id="490"/>
          </w:p>
        </w:tc>
        <w:tc>
          <w:tcPr>
            <w:tcW w:w="508" w:type="pct"/>
            <w:vMerge w:val="restart"/>
            <w:tcBorders>
              <w:top w:val="single" w:color="000000" w:sz="4" w:space="0"/>
              <w:left w:val="single" w:color="000000" w:sz="4" w:space="0"/>
              <w:right w:val="single" w:color="000000" w:sz="4" w:space="0"/>
            </w:tcBorders>
            <w:shd w:val="clear" w:color="auto" w:fill="auto"/>
            <w:noWrap/>
            <w:vAlign w:val="center"/>
          </w:tcPr>
          <w:p w14:paraId="2E66D46E">
            <w:pPr>
              <w:widowControl/>
              <w:spacing w:after="0" w:line="288" w:lineRule="auto"/>
              <w:jc w:val="center"/>
              <w:textAlignment w:val="center"/>
              <w:rPr>
                <w:rFonts w:ascii="宋体" w:hAnsi="宋体" w:cs="宋体"/>
                <w:color w:val="000000"/>
                <w:sz w:val="24"/>
              </w:rPr>
            </w:pPr>
            <w:r>
              <w:rPr>
                <w:rFonts w:ascii="宋体" w:hAnsi="宋体" w:cs="宋体"/>
                <w:color w:val="000000"/>
                <w:kern w:val="0"/>
                <w:sz w:val="24"/>
                <w:lang w:bidi="ar"/>
              </w:rPr>
              <w:t>9</w:t>
            </w:r>
            <w:r>
              <w:rPr>
                <w:rFonts w:hint="eastAsia" w:ascii="宋体" w:hAnsi="宋体" w:cs="宋体"/>
                <w:color w:val="000000"/>
                <w:kern w:val="0"/>
                <w:sz w:val="24"/>
                <w:lang w:bidi="ar"/>
              </w:rPr>
              <w:t>分</w:t>
            </w:r>
          </w:p>
        </w:tc>
        <w:tc>
          <w:tcPr>
            <w:tcW w:w="566" w:type="pct"/>
            <w:vMerge w:val="restart"/>
            <w:tcBorders>
              <w:top w:val="single" w:color="000000" w:sz="4" w:space="0"/>
              <w:left w:val="nil"/>
              <w:right w:val="single" w:color="000000" w:sz="4" w:space="0"/>
            </w:tcBorders>
            <w:shd w:val="clear" w:color="auto" w:fill="auto"/>
            <w:noWrap/>
            <w:vAlign w:val="center"/>
          </w:tcPr>
          <w:p w14:paraId="12ECD9F6">
            <w:pPr>
              <w:widowControl/>
              <w:spacing w:after="0" w:line="288" w:lineRule="auto"/>
              <w:jc w:val="center"/>
              <w:textAlignment w:val="center"/>
              <w:rPr>
                <w:rFonts w:ascii="宋体" w:hAnsi="宋体" w:cs="宋体"/>
                <w:color w:val="000000"/>
                <w:sz w:val="24"/>
              </w:rPr>
            </w:pPr>
            <w:r>
              <w:rPr>
                <w:rFonts w:hint="eastAsia" w:ascii="宋体" w:hAnsi="宋体" w:cs="宋体"/>
                <w:color w:val="000000"/>
                <w:kern w:val="0"/>
                <w:sz w:val="24"/>
                <w:lang w:bidi="ar"/>
              </w:rPr>
              <w:t>客观分</w:t>
            </w:r>
          </w:p>
        </w:tc>
      </w:tr>
      <w:tr w14:paraId="0E939135">
        <w:tblPrEx>
          <w:tblCellMar>
            <w:top w:w="0" w:type="dxa"/>
            <w:left w:w="108" w:type="dxa"/>
            <w:bottom w:w="0" w:type="dxa"/>
            <w:right w:w="108" w:type="dxa"/>
          </w:tblCellMar>
        </w:tblPrEx>
        <w:trPr>
          <w:trHeight w:val="1194" w:hRule="atLeast"/>
        </w:trPr>
        <w:tc>
          <w:tcPr>
            <w:tcW w:w="524" w:type="pct"/>
            <w:vMerge w:val="continue"/>
            <w:tcBorders>
              <w:left w:val="single" w:color="000000" w:sz="4" w:space="0"/>
              <w:bottom w:val="single" w:color="000000" w:sz="4" w:space="0"/>
              <w:right w:val="single" w:color="000000" w:sz="4" w:space="0"/>
            </w:tcBorders>
            <w:shd w:val="clear" w:color="auto" w:fill="auto"/>
            <w:noWrap/>
            <w:vAlign w:val="center"/>
          </w:tcPr>
          <w:p w14:paraId="172FC1BC">
            <w:pPr>
              <w:spacing w:after="0" w:line="288" w:lineRule="auto"/>
              <w:jc w:val="center"/>
              <w:rPr>
                <w:rFonts w:ascii="宋体" w:hAnsi="宋体" w:cs="宋体"/>
                <w:b/>
                <w:bCs/>
                <w:color w:val="000000"/>
                <w:sz w:val="24"/>
              </w:rPr>
            </w:pPr>
          </w:p>
        </w:tc>
        <w:tc>
          <w:tcPr>
            <w:tcW w:w="697" w:type="pct"/>
            <w:vMerge w:val="continue"/>
            <w:tcBorders>
              <w:left w:val="single" w:color="000000" w:sz="4" w:space="0"/>
              <w:bottom w:val="single" w:color="000000" w:sz="4" w:space="0"/>
              <w:right w:val="single" w:color="000000" w:sz="4" w:space="0"/>
            </w:tcBorders>
            <w:shd w:val="clear" w:color="auto" w:fill="auto"/>
            <w:vAlign w:val="center"/>
          </w:tcPr>
          <w:p w14:paraId="40AA268D">
            <w:pPr>
              <w:spacing w:after="0" w:line="288" w:lineRule="auto"/>
              <w:jc w:val="center"/>
              <w:rPr>
                <w:rFonts w:ascii="宋体" w:hAnsi="宋体" w:cs="宋体"/>
                <w:b/>
                <w:bCs/>
                <w:color w:val="000000"/>
                <w:sz w:val="24"/>
              </w:rPr>
            </w:pPr>
          </w:p>
        </w:tc>
        <w:tc>
          <w:tcPr>
            <w:tcW w:w="2702" w:type="pct"/>
            <w:tcBorders>
              <w:top w:val="single" w:color="000000" w:sz="4" w:space="0"/>
              <w:left w:val="single" w:color="000000" w:sz="4" w:space="0"/>
              <w:bottom w:val="single" w:color="000000" w:sz="4" w:space="0"/>
              <w:right w:val="nil"/>
            </w:tcBorders>
            <w:shd w:val="clear" w:color="auto" w:fill="auto"/>
            <w:vAlign w:val="center"/>
          </w:tcPr>
          <w:p w14:paraId="558D0447">
            <w:pPr>
              <w:widowControl/>
              <w:spacing w:after="0" w:line="240" w:lineRule="auto"/>
              <w:jc w:val="left"/>
              <w:rPr>
                <w:rFonts w:ascii="宋体" w:hAnsi="宋体" w:cs="宋体"/>
                <w:b/>
                <w:bCs/>
                <w:color w:val="000000"/>
                <w:sz w:val="24"/>
              </w:rPr>
            </w:pPr>
            <w:r>
              <w:rPr>
                <w:rFonts w:hint="eastAsia" w:ascii="宋体" w:hAnsi="宋体" w:cs="宋体"/>
                <w:b/>
                <w:bCs/>
                <w:color w:val="000000"/>
                <w:kern w:val="0"/>
                <w:sz w:val="24"/>
                <w:lang w:bidi="ar"/>
              </w:rPr>
              <w:t>备注：同一人员证书不重复计分。提供人员的简历表、相关证书以及本单位</w:t>
            </w:r>
            <w:r>
              <w:rPr>
                <w:rFonts w:hint="eastAsia" w:ascii="宋体" w:hAnsi="宋体" w:cs="宋体"/>
                <w:b/>
                <w:bCs/>
                <w:kern w:val="0"/>
                <w:sz w:val="24"/>
              </w:rPr>
              <w:t>劳动合同（或近1个月及以上社保证明）</w:t>
            </w:r>
            <w:r>
              <w:rPr>
                <w:rFonts w:hint="eastAsia" w:ascii="宋体" w:hAnsi="宋体" w:cs="宋体"/>
                <w:b/>
                <w:bCs/>
                <w:color w:val="000000"/>
                <w:kern w:val="0"/>
                <w:sz w:val="24"/>
                <w:lang w:bidi="ar"/>
              </w:rPr>
              <w:t>复印件加盖公章，不提供不得分。</w:t>
            </w:r>
          </w:p>
        </w:tc>
        <w:tc>
          <w:tcPr>
            <w:tcW w:w="508" w:type="pct"/>
            <w:vMerge w:val="continue"/>
            <w:tcBorders>
              <w:left w:val="single" w:color="000000" w:sz="4" w:space="0"/>
              <w:bottom w:val="single" w:color="000000" w:sz="4" w:space="0"/>
              <w:right w:val="single" w:color="000000" w:sz="4" w:space="0"/>
            </w:tcBorders>
            <w:shd w:val="clear" w:color="auto" w:fill="auto"/>
            <w:noWrap/>
            <w:vAlign w:val="center"/>
          </w:tcPr>
          <w:p w14:paraId="4BBC6A95">
            <w:pPr>
              <w:widowControl/>
              <w:spacing w:after="0" w:line="288" w:lineRule="auto"/>
              <w:jc w:val="center"/>
              <w:textAlignment w:val="center"/>
              <w:rPr>
                <w:rFonts w:ascii="宋体" w:hAnsi="宋体" w:cs="宋体"/>
                <w:color w:val="000000"/>
                <w:kern w:val="0"/>
                <w:sz w:val="24"/>
                <w:lang w:bidi="ar"/>
              </w:rPr>
            </w:pPr>
          </w:p>
        </w:tc>
        <w:tc>
          <w:tcPr>
            <w:tcW w:w="566" w:type="pct"/>
            <w:vMerge w:val="continue"/>
            <w:tcBorders>
              <w:left w:val="nil"/>
              <w:bottom w:val="single" w:color="000000" w:sz="4" w:space="0"/>
              <w:right w:val="single" w:color="000000" w:sz="4" w:space="0"/>
            </w:tcBorders>
            <w:shd w:val="clear" w:color="auto" w:fill="auto"/>
            <w:noWrap/>
            <w:vAlign w:val="center"/>
          </w:tcPr>
          <w:p w14:paraId="2D5D863A">
            <w:pPr>
              <w:spacing w:after="0" w:line="288" w:lineRule="auto"/>
              <w:jc w:val="center"/>
              <w:rPr>
                <w:rFonts w:ascii="宋体" w:hAnsi="宋体" w:cs="宋体"/>
                <w:color w:val="000000"/>
                <w:sz w:val="24"/>
              </w:rPr>
            </w:pPr>
          </w:p>
        </w:tc>
      </w:tr>
    </w:tbl>
    <w:p w14:paraId="2A7E75E3">
      <w:pPr>
        <w:spacing w:line="360" w:lineRule="auto"/>
        <w:rPr>
          <w:rFonts w:ascii="宋体" w:hAnsi="宋体" w:cs="宋体"/>
          <w:b/>
          <w:bCs/>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C1FA56A">
      <w:pPr>
        <w:spacing w:line="360" w:lineRule="auto"/>
        <w:ind w:firstLine="482" w:firstLineChars="200"/>
        <w:rPr>
          <w:rFonts w:ascii="宋体" w:hAnsi="宋体" w:cs="宋体"/>
          <w:b/>
          <w:bCs/>
          <w:sz w:val="24"/>
        </w:rPr>
      </w:pPr>
      <w:r>
        <w:rPr>
          <w:rFonts w:hint="eastAsia" w:ascii="宋体" w:hAnsi="宋体" w:cs="宋体"/>
          <w:b/>
          <w:bCs/>
          <w:sz w:val="24"/>
        </w:rPr>
        <w:t>各标项商务分+技术分=评标委员会所有成员评分合计数/评标委员会组成人员数（精确到小数点后二位）；</w:t>
      </w:r>
    </w:p>
    <w:p w14:paraId="47B1A0FE">
      <w:pPr>
        <w:spacing w:line="360" w:lineRule="auto"/>
        <w:ind w:firstLine="482" w:firstLineChars="200"/>
        <w:rPr>
          <w:rFonts w:ascii="宋体" w:hAnsi="宋体" w:cs="宋体"/>
          <w:sz w:val="24"/>
        </w:rPr>
      </w:pPr>
      <w:r>
        <w:rPr>
          <w:rFonts w:hint="eastAsia" w:ascii="宋体" w:hAnsi="宋体" w:cs="宋体"/>
          <w:b/>
          <w:bCs/>
          <w:sz w:val="24"/>
        </w:rPr>
        <w:t>2、各标项价格分（10分）</w:t>
      </w:r>
      <w:r>
        <w:rPr>
          <w:rFonts w:hint="eastAsia" w:ascii="宋体" w:hAnsi="宋体" w:cs="宋体"/>
          <w:sz w:val="24"/>
        </w:rPr>
        <w:t>采用低价优先法计算，即满足招标文件各标项报价要求且投标价格最低的投标报价为评标基准价，其他投标人的价格分按照下列公式计算：</w:t>
      </w:r>
    </w:p>
    <w:p w14:paraId="38481EB7">
      <w:pPr>
        <w:spacing w:line="360" w:lineRule="auto"/>
        <w:ind w:firstLine="482" w:firstLineChars="200"/>
        <w:rPr>
          <w:rFonts w:ascii="宋体" w:hAnsi="宋体" w:cs="宋体"/>
          <w:b/>
          <w:bCs/>
          <w:sz w:val="24"/>
        </w:rPr>
      </w:pPr>
      <w:r>
        <w:rPr>
          <w:rFonts w:hint="eastAsia" w:ascii="宋体" w:hAnsi="宋体" w:cs="宋体"/>
          <w:b/>
          <w:bCs/>
          <w:sz w:val="24"/>
        </w:rPr>
        <w:t>各标项价格分=（评标基准价/投标报价）×10%×100（精确到小数点后二位）；</w:t>
      </w:r>
    </w:p>
    <w:p w14:paraId="3999DABE">
      <w:pPr>
        <w:spacing w:line="360" w:lineRule="auto"/>
        <w:ind w:firstLine="482" w:firstLineChars="200"/>
        <w:rPr>
          <w:rFonts w:ascii="宋体" w:hAnsi="宋体" w:cs="宋体"/>
          <w:b/>
          <w:bCs/>
          <w:sz w:val="24"/>
        </w:rPr>
      </w:pPr>
      <w:r>
        <w:rPr>
          <w:rFonts w:hint="eastAsia" w:ascii="宋体" w:hAnsi="宋体" w:cs="宋体"/>
          <w:b/>
          <w:bCs/>
          <w:sz w:val="24"/>
        </w:rPr>
        <w:t>3、各标项投标人评标综合得分=价格分+商务分+技术分（精确到小数点后二位）；</w:t>
      </w:r>
    </w:p>
    <w:p w14:paraId="4E0749FE">
      <w:pPr>
        <w:spacing w:line="360" w:lineRule="auto"/>
        <w:ind w:firstLine="472" w:firstLineChars="196"/>
        <w:rPr>
          <w:rFonts w:ascii="宋体" w:hAnsi="宋体" w:cs="宋体"/>
          <w:b/>
          <w:sz w:val="24"/>
        </w:rPr>
      </w:pPr>
      <w:r>
        <w:rPr>
          <w:rFonts w:hint="eastAsia" w:ascii="宋体" w:hAnsi="宋体" w:cs="宋体"/>
          <w:b/>
          <w:sz w:val="24"/>
        </w:rPr>
        <w:t>报价是中标的一个重要因素，但最低报价不是中标的唯一依据。</w:t>
      </w:r>
    </w:p>
    <w:p w14:paraId="106EF49A">
      <w:pPr>
        <w:snapToGrid w:val="0"/>
        <w:spacing w:line="360" w:lineRule="auto"/>
        <w:rPr>
          <w:rFonts w:ascii="宋体" w:hAnsi="宋体" w:cs="宋体"/>
          <w:b/>
          <w:sz w:val="24"/>
        </w:rPr>
      </w:pPr>
      <w:r>
        <w:rPr>
          <w:rFonts w:hint="eastAsia" w:ascii="宋体" w:hAnsi="宋体" w:cs="宋体"/>
          <w:b/>
          <w:sz w:val="28"/>
          <w:szCs w:val="22"/>
        </w:rPr>
        <w:t>一、评标方法</w:t>
      </w:r>
    </w:p>
    <w:p w14:paraId="013D9E6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49A4AA2">
      <w:pPr>
        <w:snapToGrid w:val="0"/>
        <w:spacing w:line="360" w:lineRule="auto"/>
        <w:rPr>
          <w:rFonts w:ascii="宋体" w:hAnsi="宋体" w:cs="宋体"/>
          <w:b/>
          <w:sz w:val="28"/>
          <w:szCs w:val="22"/>
        </w:rPr>
      </w:pPr>
      <w:r>
        <w:rPr>
          <w:rFonts w:hint="eastAsia" w:ascii="宋体" w:hAnsi="宋体" w:cs="宋体"/>
          <w:b/>
          <w:sz w:val="28"/>
          <w:szCs w:val="22"/>
        </w:rPr>
        <w:t>二、评标标准</w:t>
      </w:r>
    </w:p>
    <w:p w14:paraId="45D52B4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C60DD39">
      <w:pPr>
        <w:snapToGrid w:val="0"/>
        <w:spacing w:line="360" w:lineRule="auto"/>
        <w:rPr>
          <w:rFonts w:ascii="宋体" w:hAnsi="宋体" w:cs="宋体"/>
          <w:b/>
          <w:sz w:val="28"/>
          <w:szCs w:val="22"/>
        </w:rPr>
      </w:pPr>
      <w:r>
        <w:rPr>
          <w:rFonts w:hint="eastAsia" w:ascii="宋体" w:hAnsi="宋体" w:cs="宋体"/>
          <w:b/>
          <w:sz w:val="28"/>
          <w:szCs w:val="22"/>
        </w:rPr>
        <w:t>三、评标程序</w:t>
      </w:r>
    </w:p>
    <w:p w14:paraId="603749D3">
      <w:pPr>
        <w:snapToGrid w:val="0"/>
        <w:spacing w:line="360" w:lineRule="auto"/>
        <w:ind w:firstLine="482" w:firstLineChars="200"/>
        <w:rPr>
          <w:rFonts w:ascii="宋体" w:hAnsi="宋体" w:cs="宋体"/>
          <w:b/>
          <w:bCs/>
          <w:sz w:val="24"/>
        </w:rPr>
      </w:pPr>
      <w:r>
        <w:rPr>
          <w:rFonts w:hint="eastAsia" w:ascii="宋体" w:hAnsi="宋体" w:cs="宋体"/>
          <w:b/>
          <w:kern w:val="0"/>
          <w:sz w:val="24"/>
        </w:rPr>
        <w:t>3.1</w:t>
      </w:r>
      <w:r>
        <w:rPr>
          <w:rFonts w:hint="eastAsia" w:ascii="宋体" w:hAnsi="宋体" w:cs="宋体"/>
          <w:b/>
          <w:bCs/>
          <w:sz w:val="24"/>
        </w:rPr>
        <w:t>资格审查</w:t>
      </w:r>
    </w:p>
    <w:p w14:paraId="1453DD9E">
      <w:pPr>
        <w:pStyle w:val="21"/>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64"/>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1"/>
        <w:gridCol w:w="6514"/>
      </w:tblGrid>
      <w:tr w14:paraId="2EE0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2491" w:type="dxa"/>
            <w:tcMar>
              <w:top w:w="57" w:type="dxa"/>
              <w:left w:w="108" w:type="dxa"/>
              <w:bottom w:w="0" w:type="dxa"/>
              <w:right w:w="108" w:type="dxa"/>
            </w:tcMar>
            <w:vAlign w:val="center"/>
          </w:tcPr>
          <w:p w14:paraId="1871C871">
            <w:pPr>
              <w:pStyle w:val="619"/>
              <w:spacing w:before="1" w:after="0" w:line="300" w:lineRule="auto"/>
              <w:ind w:right="3" w:hanging="10"/>
              <w:jc w:val="center"/>
              <w:rPr>
                <w:rFonts w:ascii="宋体" w:hAnsi="宋体" w:cs="宋体"/>
                <w:szCs w:val="21"/>
                <w:lang w:eastAsia="zh-CN"/>
              </w:rPr>
            </w:pPr>
            <w:r>
              <w:rPr>
                <w:rFonts w:hint="eastAsia" w:ascii="宋体" w:hAnsi="宋体" w:cs="宋体"/>
                <w:szCs w:val="21"/>
                <w:lang w:eastAsia="zh-CN"/>
              </w:rPr>
              <w:t>具有独立承担民事责任的能力</w:t>
            </w:r>
          </w:p>
        </w:tc>
        <w:tc>
          <w:tcPr>
            <w:tcW w:w="6514" w:type="dxa"/>
            <w:tcMar>
              <w:top w:w="57" w:type="dxa"/>
              <w:left w:w="108" w:type="dxa"/>
              <w:bottom w:w="0" w:type="dxa"/>
              <w:right w:w="108" w:type="dxa"/>
            </w:tcMar>
            <w:vAlign w:val="center"/>
          </w:tcPr>
          <w:p w14:paraId="3B5DE0E5">
            <w:pPr>
              <w:pStyle w:val="619"/>
              <w:spacing w:after="0" w:line="300" w:lineRule="auto"/>
              <w:ind w:right="-17" w:rightChars="-8"/>
              <w:rPr>
                <w:rFonts w:ascii="宋体" w:hAnsi="宋体" w:cs="宋体"/>
                <w:szCs w:val="21"/>
                <w:lang w:eastAsia="zh-CN"/>
              </w:rPr>
            </w:pPr>
            <w:r>
              <w:rPr>
                <w:rFonts w:hint="eastAsia" w:ascii="宋体" w:hAnsi="宋体" w:cs="宋体"/>
                <w:szCs w:val="21"/>
                <w:lang w:eastAsia="zh-CN"/>
              </w:rPr>
              <w:t>在中华人民共和国境内注册的法人或其他组织或自然人，投标时提交有效的营业执照（或事业法人登记证或身份证等相关证明）扫描件。</w:t>
            </w:r>
          </w:p>
        </w:tc>
      </w:tr>
      <w:tr w14:paraId="649B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1" w:type="dxa"/>
            <w:shd w:val="clear" w:color="auto" w:fill="F6F6F6"/>
            <w:tcMar>
              <w:top w:w="57" w:type="dxa"/>
              <w:left w:w="108" w:type="dxa"/>
              <w:bottom w:w="0" w:type="dxa"/>
              <w:right w:w="108" w:type="dxa"/>
            </w:tcMar>
            <w:vAlign w:val="center"/>
          </w:tcPr>
          <w:p w14:paraId="14CC44A5">
            <w:pPr>
              <w:pStyle w:val="619"/>
              <w:spacing w:before="1" w:after="0" w:line="300" w:lineRule="auto"/>
              <w:ind w:right="3" w:hanging="10"/>
              <w:jc w:val="center"/>
              <w:rPr>
                <w:rFonts w:ascii="宋体" w:hAnsi="宋体" w:cs="宋体"/>
                <w:szCs w:val="21"/>
                <w:lang w:eastAsia="zh-CN"/>
              </w:rPr>
            </w:pPr>
            <w:r>
              <w:rPr>
                <w:rFonts w:hint="eastAsia" w:ascii="宋体" w:hAnsi="宋体" w:cs="宋体"/>
                <w:szCs w:val="21"/>
                <w:lang w:eastAsia="zh-CN"/>
              </w:rPr>
              <w:t>有依法缴纳税收和社会保障资金的良好记录</w:t>
            </w:r>
          </w:p>
        </w:tc>
        <w:tc>
          <w:tcPr>
            <w:tcW w:w="6514" w:type="dxa"/>
            <w:shd w:val="clear" w:color="auto" w:fill="F6F6F6"/>
            <w:tcMar>
              <w:top w:w="57" w:type="dxa"/>
              <w:left w:w="108" w:type="dxa"/>
              <w:bottom w:w="0" w:type="dxa"/>
              <w:right w:w="108" w:type="dxa"/>
            </w:tcMar>
            <w:vAlign w:val="center"/>
          </w:tcPr>
          <w:p w14:paraId="2A19B9AA">
            <w:pPr>
              <w:pStyle w:val="619"/>
              <w:spacing w:after="0" w:line="300" w:lineRule="auto"/>
              <w:ind w:right="-17" w:rightChars="-8"/>
              <w:rPr>
                <w:rFonts w:ascii="宋体" w:hAnsi="宋体" w:cs="宋体"/>
                <w:szCs w:val="21"/>
                <w:lang w:eastAsia="zh-CN"/>
              </w:rPr>
            </w:pPr>
            <w:r>
              <w:rPr>
                <w:rFonts w:hint="eastAsia" w:ascii="宋体" w:hAnsi="宋体" w:cs="宋体"/>
                <w:szCs w:val="21"/>
                <w:lang w:eastAsia="zh-CN"/>
              </w:rPr>
              <w:t>提交符合参加政府采购活动应当具备的一般条件的承诺函；</w:t>
            </w:r>
          </w:p>
        </w:tc>
      </w:tr>
      <w:tr w14:paraId="2B11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91" w:type="dxa"/>
            <w:tcMar>
              <w:top w:w="57" w:type="dxa"/>
              <w:left w:w="108" w:type="dxa"/>
              <w:bottom w:w="0" w:type="dxa"/>
              <w:right w:w="108" w:type="dxa"/>
            </w:tcMar>
            <w:vAlign w:val="center"/>
          </w:tcPr>
          <w:p w14:paraId="3245B789">
            <w:pPr>
              <w:pStyle w:val="619"/>
              <w:spacing w:before="1" w:after="0" w:line="300" w:lineRule="auto"/>
              <w:ind w:right="3" w:hanging="10"/>
              <w:jc w:val="center"/>
              <w:rPr>
                <w:rFonts w:ascii="宋体" w:hAnsi="宋体" w:cs="宋体"/>
                <w:szCs w:val="21"/>
                <w:lang w:eastAsia="zh-CN"/>
              </w:rPr>
            </w:pPr>
            <w:r>
              <w:rPr>
                <w:rFonts w:hint="eastAsia" w:ascii="宋体" w:hAnsi="宋体" w:cs="宋体"/>
                <w:szCs w:val="21"/>
                <w:lang w:eastAsia="zh-CN"/>
              </w:rPr>
              <w:t>具有良好的商业信誉和健全的财务会计制度</w:t>
            </w:r>
          </w:p>
        </w:tc>
        <w:tc>
          <w:tcPr>
            <w:tcW w:w="6514" w:type="dxa"/>
            <w:tcMar>
              <w:top w:w="57" w:type="dxa"/>
              <w:left w:w="108" w:type="dxa"/>
              <w:bottom w:w="0" w:type="dxa"/>
              <w:right w:w="108" w:type="dxa"/>
            </w:tcMar>
            <w:vAlign w:val="center"/>
          </w:tcPr>
          <w:p w14:paraId="3586342E">
            <w:pPr>
              <w:pStyle w:val="619"/>
              <w:spacing w:before="117" w:after="0" w:line="300" w:lineRule="auto"/>
              <w:ind w:right="-17" w:rightChars="-8"/>
              <w:rPr>
                <w:rFonts w:ascii="宋体" w:hAnsi="宋体" w:cs="宋体"/>
                <w:szCs w:val="21"/>
                <w:lang w:eastAsia="zh-CN"/>
              </w:rPr>
            </w:pPr>
            <w:r>
              <w:rPr>
                <w:rFonts w:hint="eastAsia" w:ascii="宋体" w:hAnsi="宋体" w:cs="宋体"/>
                <w:szCs w:val="21"/>
                <w:lang w:eastAsia="zh-CN"/>
              </w:rPr>
              <w:t>提交符合参加政府采购活动应当具备的一般条件的承诺函；</w:t>
            </w:r>
          </w:p>
        </w:tc>
      </w:tr>
      <w:tr w14:paraId="02D7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1" w:type="dxa"/>
            <w:shd w:val="clear" w:color="auto" w:fill="F6F6F6"/>
            <w:tcMar>
              <w:top w:w="57" w:type="dxa"/>
              <w:left w:w="108" w:type="dxa"/>
              <w:bottom w:w="0" w:type="dxa"/>
              <w:right w:w="108" w:type="dxa"/>
            </w:tcMar>
            <w:vAlign w:val="center"/>
          </w:tcPr>
          <w:p w14:paraId="4583B23B">
            <w:pPr>
              <w:pStyle w:val="619"/>
              <w:spacing w:before="1" w:after="0" w:line="300" w:lineRule="auto"/>
              <w:ind w:right="3" w:hanging="10"/>
              <w:jc w:val="center"/>
              <w:rPr>
                <w:rFonts w:ascii="宋体" w:hAnsi="宋体" w:cs="宋体"/>
                <w:szCs w:val="21"/>
                <w:lang w:eastAsia="zh-CN"/>
              </w:rPr>
            </w:pPr>
            <w:r>
              <w:rPr>
                <w:rFonts w:hint="eastAsia" w:ascii="宋体" w:hAnsi="宋体" w:cs="宋体"/>
                <w:szCs w:val="21"/>
                <w:lang w:eastAsia="zh-CN"/>
              </w:rPr>
              <w:t>履行合同所必需的设备和专业技术能力</w:t>
            </w:r>
          </w:p>
        </w:tc>
        <w:tc>
          <w:tcPr>
            <w:tcW w:w="6514" w:type="dxa"/>
            <w:shd w:val="clear" w:color="auto" w:fill="F6F6F6"/>
            <w:tcMar>
              <w:top w:w="57" w:type="dxa"/>
              <w:left w:w="108" w:type="dxa"/>
              <w:bottom w:w="0" w:type="dxa"/>
              <w:right w:w="108" w:type="dxa"/>
            </w:tcMar>
            <w:vAlign w:val="center"/>
          </w:tcPr>
          <w:p w14:paraId="540485A5">
            <w:pPr>
              <w:pStyle w:val="619"/>
              <w:spacing w:before="1" w:after="0" w:line="300" w:lineRule="auto"/>
              <w:ind w:right="-17" w:rightChars="-8"/>
              <w:rPr>
                <w:rFonts w:ascii="宋体" w:hAnsi="宋体" w:cs="宋体"/>
                <w:szCs w:val="21"/>
                <w:lang w:eastAsia="zh-CN"/>
              </w:rPr>
            </w:pPr>
            <w:r>
              <w:rPr>
                <w:rFonts w:hint="eastAsia" w:ascii="宋体" w:hAnsi="宋体" w:cs="宋体"/>
                <w:szCs w:val="21"/>
                <w:lang w:eastAsia="zh-CN"/>
              </w:rPr>
              <w:t>提交符合参加政府采购活动应当具备的一般条件的承诺函；</w:t>
            </w:r>
          </w:p>
        </w:tc>
      </w:tr>
      <w:tr w14:paraId="26C8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1" w:type="dxa"/>
            <w:tcMar>
              <w:top w:w="57" w:type="dxa"/>
              <w:left w:w="108" w:type="dxa"/>
              <w:bottom w:w="0" w:type="dxa"/>
              <w:right w:w="108" w:type="dxa"/>
            </w:tcMar>
            <w:vAlign w:val="center"/>
          </w:tcPr>
          <w:p w14:paraId="6A29B0A4">
            <w:pPr>
              <w:pStyle w:val="619"/>
              <w:spacing w:after="0" w:line="300" w:lineRule="auto"/>
              <w:ind w:right="3" w:hanging="10"/>
              <w:jc w:val="center"/>
              <w:rPr>
                <w:rFonts w:ascii="宋体" w:hAnsi="宋体" w:cs="宋体"/>
                <w:szCs w:val="21"/>
                <w:lang w:eastAsia="zh-CN"/>
              </w:rPr>
            </w:pPr>
            <w:r>
              <w:rPr>
                <w:rFonts w:hint="eastAsia" w:ascii="宋体" w:hAnsi="宋体" w:cs="宋体"/>
                <w:szCs w:val="21"/>
                <w:lang w:eastAsia="zh-CN"/>
              </w:rPr>
              <w:t>参加采购活动前3年内，在经营活动中没有重大违法记录</w:t>
            </w:r>
          </w:p>
        </w:tc>
        <w:tc>
          <w:tcPr>
            <w:tcW w:w="6514" w:type="dxa"/>
            <w:tcMar>
              <w:top w:w="57" w:type="dxa"/>
              <w:left w:w="108" w:type="dxa"/>
              <w:bottom w:w="0" w:type="dxa"/>
              <w:right w:w="108" w:type="dxa"/>
            </w:tcMar>
            <w:vAlign w:val="center"/>
          </w:tcPr>
          <w:p w14:paraId="4BE1FAB8">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参照投标函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090F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1" w:type="dxa"/>
            <w:shd w:val="clear" w:color="auto" w:fill="F6F6F6"/>
            <w:tcMar>
              <w:top w:w="57" w:type="dxa"/>
              <w:left w:w="108" w:type="dxa"/>
              <w:bottom w:w="0" w:type="dxa"/>
              <w:right w:w="108" w:type="dxa"/>
            </w:tcMar>
            <w:vAlign w:val="center"/>
          </w:tcPr>
          <w:p w14:paraId="6292E3C9">
            <w:pPr>
              <w:pStyle w:val="619"/>
              <w:spacing w:after="0" w:line="300" w:lineRule="auto"/>
              <w:ind w:right="3" w:hanging="10"/>
              <w:jc w:val="center"/>
              <w:rPr>
                <w:rFonts w:ascii="宋体" w:hAnsi="宋体" w:cs="宋体"/>
                <w:szCs w:val="21"/>
              </w:rPr>
            </w:pPr>
            <w:r>
              <w:rPr>
                <w:rFonts w:hint="eastAsia" w:ascii="宋体" w:hAnsi="宋体" w:cs="宋体"/>
                <w:szCs w:val="21"/>
              </w:rPr>
              <w:t>信用记录</w:t>
            </w:r>
          </w:p>
        </w:tc>
        <w:tc>
          <w:tcPr>
            <w:tcW w:w="6514" w:type="dxa"/>
            <w:shd w:val="clear" w:color="auto" w:fill="F6F6F6"/>
            <w:tcMar>
              <w:top w:w="57" w:type="dxa"/>
              <w:left w:w="108" w:type="dxa"/>
              <w:bottom w:w="0" w:type="dxa"/>
              <w:right w:w="108" w:type="dxa"/>
            </w:tcMar>
            <w:vAlign w:val="center"/>
          </w:tcPr>
          <w:p w14:paraId="5ABE9E33">
            <w:pPr>
              <w:spacing w:after="0" w:line="300" w:lineRule="auto"/>
              <w:ind w:right="-17" w:rightChars="-8"/>
              <w:rPr>
                <w:rFonts w:ascii="宋体" w:hAnsi="宋体" w:cs="宋体"/>
                <w:szCs w:val="21"/>
              </w:rPr>
            </w:pPr>
            <w:r>
              <w:rPr>
                <w:rFonts w:hint="eastAsia" w:ascii="宋体" w:hAnsi="宋体" w:cs="宋体"/>
                <w:szCs w:val="21"/>
              </w:rPr>
              <w:t>1.截止时点：开标后评标前。</w:t>
            </w:r>
          </w:p>
          <w:p w14:paraId="10371891">
            <w:pPr>
              <w:spacing w:after="0" w:line="300" w:lineRule="auto"/>
              <w:ind w:right="-17" w:rightChars="-8"/>
              <w:rPr>
                <w:rFonts w:hint="eastAsia" w:ascii="宋体" w:hAnsi="宋体" w:eastAsia="宋体" w:cs="宋体"/>
                <w:szCs w:val="21"/>
                <w:lang w:eastAsia="zh-CN"/>
              </w:rPr>
            </w:pPr>
            <w:r>
              <w:rPr>
                <w:rFonts w:hint="eastAsia" w:ascii="宋体" w:hAnsi="宋体" w:cs="宋体"/>
                <w:szCs w:val="21"/>
              </w:rPr>
              <w:t>2.信用信息查询记录和证据留存的具体方式：由采购组织机构在规定查询时间内打印信用信息查询记录并归入项目档案。</w:t>
            </w:r>
          </w:p>
          <w:p w14:paraId="5C8C116A">
            <w:pPr>
              <w:spacing w:after="0" w:line="300" w:lineRule="auto"/>
              <w:ind w:right="-17" w:rightChars="-8"/>
              <w:rPr>
                <w:rFonts w:ascii="宋体" w:hAnsi="宋体" w:cs="宋体"/>
                <w:szCs w:val="21"/>
              </w:rPr>
            </w:pPr>
            <w:r>
              <w:rPr>
                <w:rFonts w:hint="eastAsia" w:ascii="宋体" w:hAnsi="宋体" w:cs="宋体"/>
                <w:szCs w:val="21"/>
              </w:rPr>
              <w:t>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7918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1" w:type="dxa"/>
            <w:tcMar>
              <w:top w:w="57" w:type="dxa"/>
              <w:left w:w="108" w:type="dxa"/>
              <w:bottom w:w="0" w:type="dxa"/>
              <w:right w:w="108" w:type="dxa"/>
            </w:tcMar>
            <w:vAlign w:val="center"/>
          </w:tcPr>
          <w:p w14:paraId="21D91A88">
            <w:pPr>
              <w:pStyle w:val="619"/>
              <w:spacing w:after="0" w:line="300" w:lineRule="auto"/>
              <w:ind w:right="3" w:hanging="10"/>
              <w:jc w:val="center"/>
              <w:rPr>
                <w:rFonts w:ascii="宋体" w:hAnsi="宋体" w:cs="宋体"/>
                <w:szCs w:val="21"/>
                <w:lang w:eastAsia="zh-CN"/>
              </w:rPr>
            </w:pPr>
            <w:r>
              <w:rPr>
                <w:rFonts w:hint="eastAsia" w:ascii="宋体" w:hAnsi="宋体" w:cs="宋体"/>
                <w:szCs w:val="21"/>
                <w:lang w:eastAsia="zh-CN"/>
              </w:rPr>
              <w:t>必须符合法律、行政法规规定的其他条件</w:t>
            </w:r>
          </w:p>
        </w:tc>
        <w:tc>
          <w:tcPr>
            <w:tcW w:w="6514" w:type="dxa"/>
            <w:tcMar>
              <w:top w:w="57" w:type="dxa"/>
              <w:left w:w="108" w:type="dxa"/>
              <w:bottom w:w="0" w:type="dxa"/>
              <w:right w:w="108" w:type="dxa"/>
            </w:tcMar>
            <w:vAlign w:val="center"/>
          </w:tcPr>
          <w:p w14:paraId="5BF84A3A">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6D0C7AEC">
            <w:pPr>
              <w:pStyle w:val="619"/>
              <w:spacing w:before="48" w:after="0" w:line="300" w:lineRule="auto"/>
              <w:ind w:right="-17" w:rightChars="-8"/>
              <w:rPr>
                <w:rFonts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.投标（报价）文件相关承诺要求内容（以联合体形式投标时，联合体各方均须满足该条款）。</w:t>
            </w:r>
          </w:p>
        </w:tc>
      </w:tr>
      <w:tr w14:paraId="618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1" w:type="dxa"/>
            <w:shd w:val="clear" w:color="auto" w:fill="F6F6F6"/>
            <w:tcMar>
              <w:top w:w="57" w:type="dxa"/>
              <w:left w:w="108" w:type="dxa"/>
              <w:bottom w:w="0" w:type="dxa"/>
              <w:right w:w="108" w:type="dxa"/>
            </w:tcMar>
            <w:vAlign w:val="center"/>
          </w:tcPr>
          <w:p w14:paraId="6F083259">
            <w:pPr>
              <w:pStyle w:val="619"/>
              <w:spacing w:before="48" w:after="0" w:line="300" w:lineRule="auto"/>
              <w:ind w:right="3" w:hanging="10"/>
              <w:jc w:val="center"/>
              <w:rPr>
                <w:rFonts w:ascii="宋体" w:hAnsi="宋体" w:cs="宋体"/>
                <w:szCs w:val="21"/>
                <w:lang w:eastAsia="zh-CN"/>
              </w:rPr>
            </w:pPr>
            <w:r>
              <w:rPr>
                <w:rFonts w:hint="eastAsia" w:ascii="宋体" w:hAnsi="宋体" w:cs="宋体"/>
                <w:szCs w:val="21"/>
                <w:lang w:eastAsia="zh-CN"/>
              </w:rPr>
              <w:t>落实政府采购政策需满足的资格要求</w:t>
            </w:r>
          </w:p>
        </w:tc>
        <w:tc>
          <w:tcPr>
            <w:tcW w:w="6514" w:type="dxa"/>
            <w:shd w:val="clear" w:color="auto" w:fill="F6F6F6"/>
            <w:tcMar>
              <w:top w:w="57" w:type="dxa"/>
              <w:left w:w="108" w:type="dxa"/>
              <w:bottom w:w="0" w:type="dxa"/>
              <w:right w:w="108" w:type="dxa"/>
            </w:tcMar>
            <w:vAlign w:val="center"/>
          </w:tcPr>
          <w:p w14:paraId="75BB055C">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提供中小企业声明函或残疾人福利性单位声明函或监狱企业证明文件。</w:t>
            </w:r>
          </w:p>
        </w:tc>
      </w:tr>
    </w:tbl>
    <w:p w14:paraId="6F630E6B">
      <w:pPr>
        <w:spacing w:line="360" w:lineRule="auto"/>
        <w:ind w:firstLine="472" w:firstLineChars="196"/>
        <w:rPr>
          <w:rFonts w:ascii="宋体" w:hAnsi="宋体" w:cs="宋体"/>
          <w:kern w:val="0"/>
          <w:sz w:val="24"/>
        </w:rPr>
      </w:pPr>
      <w:r>
        <w:rPr>
          <w:rFonts w:hint="eastAsia" w:ascii="宋体" w:hAnsi="宋体" w:cs="宋体"/>
          <w:b/>
          <w:kern w:val="0"/>
          <w:sz w:val="24"/>
        </w:rPr>
        <w:t>3.2符合性审查。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tbl>
      <w:tblPr>
        <w:tblStyle w:val="64"/>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7"/>
        <w:gridCol w:w="6956"/>
      </w:tblGrid>
      <w:tr w14:paraId="768E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14:paraId="3913C6C8">
            <w:pPr>
              <w:pStyle w:val="619"/>
              <w:spacing w:before="48" w:after="0" w:line="300" w:lineRule="auto"/>
              <w:ind w:right="-17" w:rightChars="-8"/>
              <w:jc w:val="center"/>
              <w:rPr>
                <w:rFonts w:ascii="宋体" w:hAnsi="宋体" w:cs="宋体"/>
                <w:szCs w:val="21"/>
              </w:rPr>
            </w:pPr>
            <w:r>
              <w:rPr>
                <w:rFonts w:hint="eastAsia" w:ascii="宋体" w:hAnsi="宋体" w:cs="宋体"/>
                <w:szCs w:val="21"/>
              </w:rPr>
              <w:t>投标文件</w:t>
            </w:r>
          </w:p>
        </w:tc>
        <w:tc>
          <w:tcPr>
            <w:tcW w:w="6956" w:type="dxa"/>
            <w:tcMar>
              <w:top w:w="57" w:type="dxa"/>
              <w:left w:w="108" w:type="dxa"/>
              <w:bottom w:w="0" w:type="dxa"/>
              <w:right w:w="108" w:type="dxa"/>
            </w:tcMar>
            <w:vAlign w:val="center"/>
          </w:tcPr>
          <w:p w14:paraId="41404845">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投标文件完整且编排有序，投标内容基本完整，无重大错漏，并按要求签署、盖章。</w:t>
            </w:r>
          </w:p>
        </w:tc>
      </w:tr>
      <w:tr w14:paraId="6CE5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shd w:val="clear" w:color="auto" w:fill="F6F6F6"/>
            <w:tcMar>
              <w:top w:w="57" w:type="dxa"/>
              <w:left w:w="108" w:type="dxa"/>
              <w:bottom w:w="0" w:type="dxa"/>
              <w:right w:w="108" w:type="dxa"/>
            </w:tcMar>
            <w:vAlign w:val="center"/>
          </w:tcPr>
          <w:p w14:paraId="41A28A42">
            <w:pPr>
              <w:pStyle w:val="619"/>
              <w:spacing w:before="48" w:after="0" w:line="300" w:lineRule="auto"/>
              <w:ind w:right="-17" w:rightChars="-8"/>
              <w:jc w:val="center"/>
              <w:rPr>
                <w:rFonts w:ascii="宋体" w:hAnsi="宋体" w:cs="宋体"/>
                <w:szCs w:val="21"/>
                <w:lang w:eastAsia="zh-CN"/>
              </w:rPr>
            </w:pPr>
            <w:r>
              <w:rPr>
                <w:rFonts w:hint="eastAsia" w:ascii="宋体" w:hAnsi="宋体" w:cs="宋体"/>
                <w:szCs w:val="21"/>
                <w:lang w:eastAsia="zh-CN"/>
              </w:rPr>
              <w:t>法定代表人/负责人授权委托书</w:t>
            </w:r>
          </w:p>
        </w:tc>
        <w:tc>
          <w:tcPr>
            <w:tcW w:w="6956" w:type="dxa"/>
            <w:shd w:val="clear" w:color="auto" w:fill="F6F6F6"/>
            <w:tcMar>
              <w:top w:w="57" w:type="dxa"/>
              <w:left w:w="108" w:type="dxa"/>
              <w:bottom w:w="0" w:type="dxa"/>
              <w:right w:w="108" w:type="dxa"/>
            </w:tcMar>
            <w:vAlign w:val="center"/>
          </w:tcPr>
          <w:p w14:paraId="7CE418DE">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法定代表人/负责人授权委托书，按对应格式文件签署、盖章。</w:t>
            </w:r>
          </w:p>
        </w:tc>
      </w:tr>
      <w:tr w14:paraId="7E1E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14:paraId="3ECD82C3">
            <w:pPr>
              <w:pStyle w:val="619"/>
              <w:spacing w:before="48" w:after="0" w:line="300" w:lineRule="auto"/>
              <w:ind w:right="-17" w:rightChars="-8"/>
              <w:jc w:val="center"/>
              <w:rPr>
                <w:rFonts w:ascii="宋体" w:hAnsi="宋体" w:cs="宋体"/>
                <w:szCs w:val="21"/>
              </w:rPr>
            </w:pPr>
            <w:r>
              <w:rPr>
                <w:rFonts w:hint="eastAsia" w:ascii="宋体" w:hAnsi="宋体" w:cs="宋体"/>
                <w:szCs w:val="21"/>
              </w:rPr>
              <w:t>“▲”实质性条款</w:t>
            </w:r>
          </w:p>
        </w:tc>
        <w:tc>
          <w:tcPr>
            <w:tcW w:w="6956" w:type="dxa"/>
            <w:tcMar>
              <w:top w:w="57" w:type="dxa"/>
              <w:left w:w="108" w:type="dxa"/>
              <w:bottom w:w="0" w:type="dxa"/>
              <w:right w:w="108" w:type="dxa"/>
            </w:tcMar>
            <w:vAlign w:val="center"/>
          </w:tcPr>
          <w:p w14:paraId="1DACA0F0">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“▲”实质性条款必须满足采购文件要求。</w:t>
            </w:r>
          </w:p>
        </w:tc>
      </w:tr>
      <w:tr w14:paraId="4D80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shd w:val="clear" w:color="auto" w:fill="F6F6F6"/>
            <w:tcMar>
              <w:top w:w="57" w:type="dxa"/>
              <w:left w:w="108" w:type="dxa"/>
              <w:bottom w:w="0" w:type="dxa"/>
              <w:right w:w="108" w:type="dxa"/>
            </w:tcMar>
            <w:vAlign w:val="center"/>
          </w:tcPr>
          <w:p w14:paraId="4F9EEA5A">
            <w:pPr>
              <w:pStyle w:val="619"/>
              <w:spacing w:before="48" w:after="0" w:line="300" w:lineRule="auto"/>
              <w:ind w:right="-17" w:rightChars="-8"/>
              <w:jc w:val="center"/>
              <w:rPr>
                <w:rFonts w:ascii="宋体" w:hAnsi="宋体" w:cs="宋体"/>
                <w:szCs w:val="21"/>
              </w:rPr>
            </w:pPr>
            <w:r>
              <w:rPr>
                <w:rFonts w:hint="eastAsia" w:ascii="宋体" w:hAnsi="宋体" w:cs="宋体"/>
                <w:szCs w:val="21"/>
              </w:rPr>
              <w:t>串通投标</w:t>
            </w:r>
          </w:p>
        </w:tc>
        <w:tc>
          <w:tcPr>
            <w:tcW w:w="6956" w:type="dxa"/>
            <w:shd w:val="clear" w:color="auto" w:fill="F6F6F6"/>
            <w:tcMar>
              <w:top w:w="57" w:type="dxa"/>
              <w:left w:w="108" w:type="dxa"/>
              <w:bottom w:w="0" w:type="dxa"/>
              <w:right w:w="108" w:type="dxa"/>
            </w:tcMar>
            <w:vAlign w:val="center"/>
          </w:tcPr>
          <w:p w14:paraId="22E5735F">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未出现财政部87号令《政府采购货物和服务招标投标管理办法》第三十七条规定的串通投标情形。</w:t>
            </w:r>
          </w:p>
        </w:tc>
      </w:tr>
      <w:tr w14:paraId="3E63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7" w:type="dxa"/>
            <w:tcMar>
              <w:top w:w="57" w:type="dxa"/>
              <w:left w:w="108" w:type="dxa"/>
              <w:bottom w:w="0" w:type="dxa"/>
              <w:right w:w="108" w:type="dxa"/>
            </w:tcMar>
            <w:vAlign w:val="center"/>
          </w:tcPr>
          <w:p w14:paraId="2D9C69FB">
            <w:pPr>
              <w:pStyle w:val="619"/>
              <w:spacing w:after="0" w:line="300" w:lineRule="auto"/>
              <w:ind w:right="3" w:hanging="10"/>
              <w:jc w:val="center"/>
              <w:rPr>
                <w:rFonts w:ascii="宋体" w:hAnsi="宋体" w:cs="宋体"/>
                <w:szCs w:val="21"/>
              </w:rPr>
            </w:pPr>
            <w:r>
              <w:rPr>
                <w:rFonts w:hint="eastAsia" w:ascii="宋体" w:hAnsi="宋体" w:cs="宋体"/>
                <w:szCs w:val="21"/>
              </w:rPr>
              <w:t>附加条件</w:t>
            </w:r>
          </w:p>
        </w:tc>
        <w:tc>
          <w:tcPr>
            <w:tcW w:w="6956" w:type="dxa"/>
            <w:tcMar>
              <w:top w:w="57" w:type="dxa"/>
              <w:left w:w="108" w:type="dxa"/>
              <w:bottom w:w="0" w:type="dxa"/>
              <w:right w:w="108" w:type="dxa"/>
            </w:tcMar>
            <w:vAlign w:val="center"/>
          </w:tcPr>
          <w:p w14:paraId="293C8774">
            <w:pPr>
              <w:pStyle w:val="619"/>
              <w:spacing w:before="48" w:after="0" w:line="300" w:lineRule="auto"/>
              <w:ind w:right="-17" w:rightChars="-8"/>
              <w:rPr>
                <w:rFonts w:ascii="宋体" w:hAnsi="宋体" w:cs="宋体"/>
                <w:szCs w:val="21"/>
                <w:lang w:eastAsia="zh-CN"/>
              </w:rPr>
            </w:pPr>
            <w:r>
              <w:rPr>
                <w:rFonts w:hint="eastAsia" w:ascii="宋体" w:hAnsi="宋体" w:cs="宋体"/>
                <w:szCs w:val="21"/>
                <w:lang w:eastAsia="zh-CN"/>
              </w:rPr>
              <w:t>投标文件未含有采购人不可接受的附加条件。</w:t>
            </w:r>
          </w:p>
        </w:tc>
      </w:tr>
    </w:tbl>
    <w:p w14:paraId="2AE06FAD">
      <w:pPr>
        <w:keepNext w:val="0"/>
        <w:keepLines w:val="0"/>
        <w:pageBreakBefore w:val="0"/>
        <w:widowControl w:val="0"/>
        <w:kinsoku/>
        <w:wordWrap/>
        <w:overflowPunct/>
        <w:topLinePunct w:val="0"/>
        <w:autoSpaceDE/>
        <w:autoSpaceDN/>
        <w:bidi w:val="0"/>
        <w:adjustRightInd w:val="0"/>
        <w:snapToGrid/>
        <w:spacing w:after="0" w:line="360" w:lineRule="auto"/>
        <w:ind w:firstLine="472" w:firstLineChars="196"/>
        <w:textAlignment w:val="auto"/>
        <w:rPr>
          <w:rFonts w:ascii="宋体" w:hAnsi="宋体" w:cs="宋体"/>
          <w:kern w:val="0"/>
          <w:sz w:val="24"/>
        </w:rPr>
      </w:pPr>
      <w:r>
        <w:rPr>
          <w:rFonts w:hint="eastAsia" w:ascii="宋体" w:hAnsi="宋体" w:cs="宋体"/>
          <w:b/>
          <w:kern w:val="0"/>
          <w:sz w:val="24"/>
        </w:rPr>
        <w:t>3.3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AB4C981">
      <w:pPr>
        <w:keepNext w:val="0"/>
        <w:keepLines w:val="0"/>
        <w:pageBreakBefore w:val="0"/>
        <w:widowControl w:val="0"/>
        <w:kinsoku/>
        <w:wordWrap/>
        <w:overflowPunct/>
        <w:topLinePunct w:val="0"/>
        <w:autoSpaceDE/>
        <w:autoSpaceDN/>
        <w:bidi w:val="0"/>
        <w:adjustRightInd w:val="0"/>
        <w:snapToGrid/>
        <w:spacing w:after="0" w:line="360" w:lineRule="auto"/>
        <w:ind w:firstLine="472" w:firstLineChars="196"/>
        <w:textAlignment w:val="auto"/>
        <w:rPr>
          <w:rFonts w:ascii="宋体" w:hAnsi="宋体" w:cs="宋体"/>
          <w:kern w:val="0"/>
          <w:sz w:val="24"/>
        </w:rPr>
      </w:pPr>
      <w:r>
        <w:rPr>
          <w:rFonts w:hint="eastAsia" w:ascii="宋体" w:hAnsi="宋体" w:cs="宋体"/>
          <w:b/>
          <w:kern w:val="0"/>
          <w:sz w:val="24"/>
        </w:rPr>
        <w:t>3.4 汇总商务技术得分。</w:t>
      </w:r>
      <w:r>
        <w:rPr>
          <w:rFonts w:hint="eastAsia" w:ascii="宋体" w:hAnsi="宋体" w:cs="宋体"/>
          <w:kern w:val="0"/>
          <w:sz w:val="24"/>
        </w:rPr>
        <w:t>评标委员会各成员应当独立对每个投标人的商务和技术文件进行评价，并汇总商务技术得分情况。</w:t>
      </w:r>
    </w:p>
    <w:p w14:paraId="20BF6682">
      <w:pPr>
        <w:keepNext w:val="0"/>
        <w:keepLines w:val="0"/>
        <w:pageBreakBefore w:val="0"/>
        <w:widowControl w:val="0"/>
        <w:kinsoku/>
        <w:wordWrap/>
        <w:overflowPunct/>
        <w:topLinePunct w:val="0"/>
        <w:autoSpaceDE/>
        <w:autoSpaceDN/>
        <w:bidi w:val="0"/>
        <w:adjustRightInd w:val="0"/>
        <w:snapToGrid/>
        <w:spacing w:after="0" w:line="360" w:lineRule="auto"/>
        <w:ind w:firstLine="472" w:firstLineChars="196"/>
        <w:textAlignment w:val="auto"/>
        <w:rPr>
          <w:rFonts w:ascii="宋体" w:hAnsi="宋体" w:cs="宋体"/>
          <w:b/>
          <w:kern w:val="0"/>
          <w:sz w:val="24"/>
        </w:rPr>
      </w:pPr>
      <w:r>
        <w:rPr>
          <w:rFonts w:hint="eastAsia" w:ascii="宋体" w:hAnsi="宋体" w:cs="宋体"/>
          <w:b/>
          <w:kern w:val="0"/>
          <w:sz w:val="24"/>
        </w:rPr>
        <w:t>3.5 报价评审。</w:t>
      </w:r>
    </w:p>
    <w:p w14:paraId="32BB22C2">
      <w:pPr>
        <w:pStyle w:val="92"/>
        <w:keepNext w:val="0"/>
        <w:keepLines w:val="0"/>
        <w:pageBreakBefore w:val="0"/>
        <w:widowControl w:val="0"/>
        <w:kinsoku/>
        <w:wordWrap/>
        <w:overflowPunct/>
        <w:topLinePunct w:val="0"/>
        <w:autoSpaceDE/>
        <w:autoSpaceDN/>
        <w:bidi w:val="0"/>
        <w:adjustRightInd w:val="0"/>
        <w:snapToGrid/>
        <w:spacing w:before="0" w:after="0"/>
        <w:ind w:firstLine="508" w:firstLineChars="212"/>
        <w:textAlignment w:val="auto"/>
        <w:rPr>
          <w:rFonts w:ascii="宋体" w:hAnsi="宋体" w:cs="宋体"/>
          <w:kern w:val="0"/>
        </w:rPr>
      </w:pPr>
      <w:r>
        <w:rPr>
          <w:rFonts w:hint="eastAsia" w:ascii="宋体" w:hAnsi="宋体" w:cs="宋体"/>
          <w:kern w:val="0"/>
        </w:rPr>
        <w:t>3.5.1投标文件报价出现前后不一致的，按照下列规定修正：</w:t>
      </w:r>
    </w:p>
    <w:p w14:paraId="25EB02FD">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3.5.1.1投标文件中开标一览表(报价表)内容与投标文件中相应内容不一致的，以开标一览表(报价表)为准;</w:t>
      </w:r>
    </w:p>
    <w:p w14:paraId="17D3C276">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3.5.1.2大写金额和小写金额不一致的，以大写金额为准;</w:t>
      </w:r>
    </w:p>
    <w:p w14:paraId="26F02954">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3.5.1.3单价金额小数点或者百分比有明显错位的，以开标一览表的总价为准，并修改单价;</w:t>
      </w:r>
    </w:p>
    <w:p w14:paraId="0FD087A5">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3.5.1.4总价金额与按单价汇总金额不一致的，以单价金额计算结果为准</w:t>
      </w:r>
      <w:r>
        <w:rPr>
          <w:rFonts w:hint="eastAsia" w:ascii="宋体" w:hAnsi="宋体" w:cs="宋体"/>
          <w:kern w:val="0"/>
          <w:szCs w:val="24"/>
          <w:lang w:eastAsia="zh-CN"/>
        </w:rPr>
        <w:t>，</w:t>
      </w:r>
      <w:r>
        <w:rPr>
          <w:rFonts w:hint="eastAsia" w:ascii="宋体" w:hAnsi="宋体" w:cs="宋体"/>
          <w:kern w:val="0"/>
          <w:szCs w:val="24"/>
          <w:lang w:val="en-US" w:eastAsia="zh-CN"/>
        </w:rPr>
        <w:t>并修改总价</w:t>
      </w:r>
      <w:r>
        <w:rPr>
          <w:rFonts w:hint="eastAsia" w:ascii="宋体" w:hAnsi="宋体" w:cs="宋体"/>
          <w:kern w:val="0"/>
          <w:szCs w:val="24"/>
        </w:rPr>
        <w:t>。</w:t>
      </w:r>
    </w:p>
    <w:p w14:paraId="6B94F803">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3.5.1.5同时出现两种以上不一致的，按照3.</w:t>
      </w:r>
      <w:r>
        <w:rPr>
          <w:rFonts w:hint="eastAsia" w:ascii="宋体" w:hAnsi="宋体" w:cs="宋体"/>
          <w:kern w:val="0"/>
          <w:szCs w:val="24"/>
          <w:lang w:val="en-US" w:eastAsia="zh-CN"/>
        </w:rPr>
        <w:t>5</w:t>
      </w:r>
      <w:r>
        <w:rPr>
          <w:rFonts w:hint="eastAsia" w:ascii="宋体" w:hAnsi="宋体" w:cs="宋体"/>
          <w:kern w:val="0"/>
          <w:szCs w:val="24"/>
        </w:rPr>
        <w:t>.1规定的顺序修正。修正后的报价按照财政部第87号令 《政府采购货物和服务招标投标管理办法》第五十一条第二款的规定经投标人确认后产生约束力。</w:t>
      </w:r>
    </w:p>
    <w:p w14:paraId="2EC9972F">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3.5.2投标文件出现不是唯一的、有选择性投标报价的，投标无效。</w:t>
      </w:r>
    </w:p>
    <w:p w14:paraId="6CBBBA4A">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3.5.3投标报价超过招标文件中规定的预算金额或者最高限价的，投标无效。</w:t>
      </w:r>
    </w:p>
    <w:p w14:paraId="356D1251">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5F0219">
      <w:pPr>
        <w:pStyle w:val="92"/>
        <w:keepNext w:val="0"/>
        <w:keepLines w:val="0"/>
        <w:pageBreakBefore w:val="0"/>
        <w:widowControl w:val="0"/>
        <w:kinsoku/>
        <w:wordWrap/>
        <w:overflowPunct/>
        <w:topLinePunct w:val="0"/>
        <w:autoSpaceDE/>
        <w:autoSpaceDN/>
        <w:bidi w:val="0"/>
        <w:adjustRightInd w:val="0"/>
        <w:snapToGrid/>
        <w:spacing w:before="0" w:after="0"/>
        <w:ind w:firstLine="480"/>
        <w:textAlignment w:val="auto"/>
        <w:rPr>
          <w:rFonts w:ascii="宋体" w:hAnsi="宋体" w:cs="宋体"/>
          <w:kern w:val="0"/>
          <w:szCs w:val="24"/>
        </w:rPr>
      </w:pPr>
      <w:r>
        <w:rPr>
          <w:rFonts w:hint="eastAsia" w:ascii="宋体" w:hAnsi="宋体" w:cs="宋体"/>
          <w:kern w:val="0"/>
          <w:szCs w:val="24"/>
        </w:rPr>
        <w:t>3.5.5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2F942B">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textAlignment w:val="auto"/>
        <w:rPr>
          <w:rFonts w:ascii="宋体" w:hAnsi="宋体" w:cs="宋体"/>
          <w:kern w:val="0"/>
          <w:sz w:val="24"/>
        </w:rPr>
      </w:pPr>
      <w:r>
        <w:rPr>
          <w:rFonts w:hint="eastAsia" w:ascii="宋体" w:hAnsi="宋体" w:cs="宋体"/>
          <w:b/>
          <w:kern w:val="0"/>
          <w:sz w:val="24"/>
        </w:rPr>
        <w:t>3.6排序与推荐。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58DF3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6B7219">
      <w:pPr>
        <w:spacing w:line="360" w:lineRule="auto"/>
        <w:ind w:firstLine="472" w:firstLineChars="196"/>
        <w:rPr>
          <w:rFonts w:ascii="宋体" w:hAnsi="宋体" w:cs="宋体"/>
          <w:kern w:val="0"/>
          <w:sz w:val="24"/>
        </w:rPr>
      </w:pPr>
      <w:r>
        <w:rPr>
          <w:rFonts w:hint="eastAsia" w:ascii="宋体" w:hAnsi="宋体" w:cs="宋体"/>
          <w:b/>
          <w:kern w:val="0"/>
          <w:sz w:val="24"/>
        </w:rPr>
        <w:t>3.7编写评标报告。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0AAFCC">
      <w:pPr>
        <w:snapToGrid w:val="0"/>
        <w:spacing w:line="360" w:lineRule="auto"/>
        <w:rPr>
          <w:rFonts w:ascii="宋体" w:hAnsi="宋体" w:cs="宋体"/>
          <w:b/>
          <w:sz w:val="28"/>
          <w:szCs w:val="22"/>
        </w:rPr>
      </w:pPr>
      <w:r>
        <w:rPr>
          <w:rFonts w:hint="eastAsia" w:ascii="宋体" w:hAnsi="宋体" w:cs="宋体"/>
          <w:b/>
          <w:sz w:val="28"/>
          <w:szCs w:val="22"/>
        </w:rPr>
        <w:t>四、评标中的其他事项</w:t>
      </w:r>
    </w:p>
    <w:p w14:paraId="1282680C">
      <w:pPr>
        <w:pStyle w:val="92"/>
        <w:pageBreakBefore w:val="0"/>
        <w:widowControl w:val="0"/>
        <w:kinsoku/>
        <w:wordWrap/>
        <w:overflowPunct/>
        <w:topLinePunct w:val="0"/>
        <w:autoSpaceDE/>
        <w:autoSpaceDN/>
        <w:bidi w:val="0"/>
        <w:spacing w:before="0" w:after="0"/>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7113A8">
      <w:pPr>
        <w:pStyle w:val="3"/>
        <w:pageBreakBefore w:val="0"/>
        <w:widowControl w:val="0"/>
        <w:kinsoku/>
        <w:wordWrap/>
        <w:overflowPunct/>
        <w:topLinePunct w:val="0"/>
        <w:autoSpaceDE/>
        <w:autoSpaceDN/>
        <w:bidi w:val="0"/>
        <w:spacing w:after="0" w:line="360"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FA759B8">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932BF40">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2529F431">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E7906D5">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0CC2B1C5">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66ABA61">
      <w:pPr>
        <w:pageBreakBefore w:val="0"/>
        <w:widowControl w:val="0"/>
        <w:kinsoku/>
        <w:wordWrap/>
        <w:overflowPunct/>
        <w:topLinePunct w:val="0"/>
        <w:autoSpaceDE/>
        <w:autoSpaceDN/>
        <w:bidi w:val="0"/>
        <w:snapToGrid w:val="0"/>
        <w:spacing w:after="0" w:line="360"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B92C83F">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0DF59363">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13D3666">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0C9182B2">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478BCCA6">
      <w:pPr>
        <w:pageBreakBefore w:val="0"/>
        <w:widowControl w:val="0"/>
        <w:kinsoku/>
        <w:wordWrap/>
        <w:overflowPunct/>
        <w:topLinePunct w:val="0"/>
        <w:autoSpaceDE/>
        <w:autoSpaceDN/>
        <w:bidi w:val="0"/>
        <w:spacing w:after="0" w:line="360"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3CAB4B1">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7F55A63">
      <w:pPr>
        <w:pStyle w:val="5"/>
        <w:pageBreakBefore w:val="0"/>
        <w:widowControl w:val="0"/>
        <w:kinsoku/>
        <w:wordWrap/>
        <w:overflowPunct/>
        <w:topLinePunct w:val="0"/>
        <w:autoSpaceDE/>
        <w:autoSpaceDN/>
        <w:bidi w:val="0"/>
        <w:spacing w:after="0"/>
        <w:ind w:left="862" w:leftChars="205"/>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0CD107D">
      <w:pPr>
        <w:pageBreakBefore w:val="0"/>
        <w:widowControl w:val="0"/>
        <w:kinsoku/>
        <w:wordWrap/>
        <w:overflowPunct/>
        <w:topLinePunct w:val="0"/>
        <w:autoSpaceDE/>
        <w:autoSpaceDN/>
        <w:bidi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FC5D7EF">
      <w:pPr>
        <w:pStyle w:val="3"/>
        <w:pageBreakBefore w:val="0"/>
        <w:widowControl w:val="0"/>
        <w:kinsoku/>
        <w:wordWrap/>
        <w:overflowPunct/>
        <w:topLinePunct w:val="0"/>
        <w:autoSpaceDE/>
        <w:autoSpaceDN/>
        <w:bidi w:val="0"/>
        <w:snapToGrid w:val="0"/>
        <w:spacing w:after="0" w:line="360" w:lineRule="auto"/>
        <w:ind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5D6E391">
      <w:pPr>
        <w:pStyle w:val="3"/>
        <w:pageBreakBefore w:val="0"/>
        <w:widowControl w:val="0"/>
        <w:kinsoku/>
        <w:wordWrap/>
        <w:overflowPunct/>
        <w:topLinePunct w:val="0"/>
        <w:autoSpaceDE/>
        <w:autoSpaceDN/>
        <w:bidi w:val="0"/>
        <w:snapToGrid w:val="0"/>
        <w:spacing w:after="0" w:line="360" w:lineRule="auto"/>
        <w:textAlignment w:val="auto"/>
        <w:rPr>
          <w:rFonts w:cs="宋体"/>
        </w:rPr>
      </w:pPr>
      <w:r>
        <w:rPr>
          <w:rFonts w:hint="eastAsia" w:cs="宋体"/>
        </w:rPr>
        <w:t>5.1符合专业条件的供应商或者对招标文件作实质响应的供应商不足3家的；</w:t>
      </w:r>
    </w:p>
    <w:p w14:paraId="4443FE81">
      <w:pPr>
        <w:pStyle w:val="3"/>
        <w:pageBreakBefore w:val="0"/>
        <w:widowControl w:val="0"/>
        <w:kinsoku/>
        <w:wordWrap/>
        <w:overflowPunct/>
        <w:topLinePunct w:val="0"/>
        <w:autoSpaceDE/>
        <w:autoSpaceDN/>
        <w:bidi w:val="0"/>
        <w:snapToGrid w:val="0"/>
        <w:spacing w:after="0" w:line="360" w:lineRule="auto"/>
        <w:textAlignment w:val="auto"/>
        <w:rPr>
          <w:rFonts w:cs="宋体"/>
        </w:rPr>
      </w:pPr>
      <w:r>
        <w:rPr>
          <w:rFonts w:hint="eastAsia" w:cs="宋体"/>
        </w:rPr>
        <w:t>5.2出现影响采购公正的违法、违规行为的；</w:t>
      </w:r>
    </w:p>
    <w:p w14:paraId="1226CA1B">
      <w:pPr>
        <w:pStyle w:val="3"/>
        <w:pageBreakBefore w:val="0"/>
        <w:widowControl w:val="0"/>
        <w:kinsoku/>
        <w:wordWrap/>
        <w:overflowPunct/>
        <w:topLinePunct w:val="0"/>
        <w:autoSpaceDE/>
        <w:autoSpaceDN/>
        <w:bidi w:val="0"/>
        <w:snapToGrid w:val="0"/>
        <w:spacing w:after="0" w:line="360" w:lineRule="auto"/>
        <w:textAlignment w:val="auto"/>
        <w:rPr>
          <w:rFonts w:cs="宋体"/>
        </w:rPr>
      </w:pPr>
      <w:r>
        <w:rPr>
          <w:rFonts w:hint="eastAsia" w:cs="宋体"/>
        </w:rPr>
        <w:t>5.3投标人的报价均超过了采购预算，采购人不能支付的；</w:t>
      </w:r>
    </w:p>
    <w:p w14:paraId="43215562">
      <w:pPr>
        <w:pStyle w:val="3"/>
        <w:pageBreakBefore w:val="0"/>
        <w:widowControl w:val="0"/>
        <w:kinsoku/>
        <w:wordWrap/>
        <w:overflowPunct/>
        <w:topLinePunct w:val="0"/>
        <w:autoSpaceDE/>
        <w:autoSpaceDN/>
        <w:bidi w:val="0"/>
        <w:snapToGrid w:val="0"/>
        <w:spacing w:after="0" w:line="360" w:lineRule="auto"/>
        <w:textAlignment w:val="auto"/>
        <w:rPr>
          <w:rFonts w:cs="宋体"/>
        </w:rPr>
      </w:pPr>
      <w:r>
        <w:rPr>
          <w:rFonts w:hint="eastAsia" w:cs="宋体"/>
        </w:rPr>
        <w:t>5.4因重大变故，采购任务取消的。</w:t>
      </w:r>
    </w:p>
    <w:p w14:paraId="24C5E2DD">
      <w:pPr>
        <w:pStyle w:val="3"/>
        <w:pageBreakBefore w:val="0"/>
        <w:widowControl w:val="0"/>
        <w:kinsoku/>
        <w:wordWrap/>
        <w:overflowPunct/>
        <w:topLinePunct w:val="0"/>
        <w:autoSpaceDE/>
        <w:autoSpaceDN/>
        <w:bidi w:val="0"/>
        <w:snapToGrid w:val="0"/>
        <w:spacing w:after="0" w:line="360" w:lineRule="auto"/>
        <w:textAlignment w:val="auto"/>
        <w:rPr>
          <w:rFonts w:cs="宋体"/>
        </w:rPr>
      </w:pPr>
      <w:r>
        <w:rPr>
          <w:rFonts w:hint="eastAsia" w:cs="宋体"/>
        </w:rPr>
        <w:t>废标后，采购机构应当将废标理由通知所有投标人。</w:t>
      </w:r>
    </w:p>
    <w:p w14:paraId="5873EAA8">
      <w:pPr>
        <w:pStyle w:val="3"/>
        <w:pageBreakBefore w:val="0"/>
        <w:widowControl w:val="0"/>
        <w:kinsoku/>
        <w:wordWrap/>
        <w:overflowPunct/>
        <w:topLinePunct w:val="0"/>
        <w:autoSpaceDE/>
        <w:autoSpaceDN/>
        <w:bidi w:val="0"/>
        <w:snapToGrid w:val="0"/>
        <w:spacing w:after="0" w:line="360"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5303D2">
      <w:pPr>
        <w:pStyle w:val="3"/>
        <w:keepNext w:val="0"/>
        <w:keepLines w:val="0"/>
        <w:pageBreakBefore w:val="0"/>
        <w:widowControl w:val="0"/>
        <w:kinsoku/>
        <w:wordWrap/>
        <w:overflowPunct/>
        <w:topLinePunct w:val="0"/>
        <w:autoSpaceDE/>
        <w:autoSpaceDN/>
        <w:bidi w:val="0"/>
        <w:adjustRightInd w:val="0"/>
        <w:snapToGrid/>
        <w:spacing w:after="0" w:line="360" w:lineRule="auto"/>
        <w:ind w:firstLine="489"/>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63F0E64">
      <w:pPr>
        <w:pStyle w:val="3"/>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cs="宋体"/>
        </w:rPr>
      </w:pPr>
      <w:r>
        <w:rPr>
          <w:rFonts w:hint="eastAsia" w:cs="宋体"/>
        </w:rPr>
        <w:t>7.1未确定中标供应商的，终止本次政府采购活动，重新开展政府采购活动。</w:t>
      </w:r>
    </w:p>
    <w:p w14:paraId="6BE0C239">
      <w:pPr>
        <w:pStyle w:val="3"/>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BE343FD">
      <w:pPr>
        <w:pStyle w:val="3"/>
        <w:keepNext w:val="0"/>
        <w:keepLines w:val="0"/>
        <w:pageBreakBefore w:val="0"/>
        <w:widowControl w:val="0"/>
        <w:kinsoku/>
        <w:wordWrap/>
        <w:overflowPunct/>
        <w:topLinePunct w:val="0"/>
        <w:autoSpaceDE/>
        <w:autoSpaceDN/>
        <w:bidi w:val="0"/>
        <w:adjustRightInd w:val="0"/>
        <w:snapToGrid/>
        <w:spacing w:line="360" w:lineRule="auto"/>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BC04F56">
      <w:pPr>
        <w:pStyle w:val="3"/>
        <w:keepNext w:val="0"/>
        <w:keepLines w:val="0"/>
        <w:pageBreakBefore w:val="0"/>
        <w:widowControl w:val="0"/>
        <w:kinsoku/>
        <w:wordWrap/>
        <w:overflowPunct/>
        <w:topLinePunct w:val="0"/>
        <w:autoSpaceDE/>
        <w:autoSpaceDN/>
        <w:bidi w:val="0"/>
        <w:adjustRightInd w:val="0"/>
        <w:snapToGrid/>
        <w:spacing w:line="360" w:lineRule="auto"/>
        <w:textAlignment w:val="auto"/>
        <w:rPr>
          <w:rFonts w:cs="宋体"/>
        </w:rPr>
      </w:pPr>
      <w:r>
        <w:rPr>
          <w:rFonts w:hint="eastAsia" w:cs="宋体"/>
        </w:rPr>
        <w:t>7.4政府采购合同已经履行，给采购人、供应商造成损失的，由责任人承担赔偿责任。</w:t>
      </w:r>
    </w:p>
    <w:p w14:paraId="2A2F540A">
      <w:pPr>
        <w:pStyle w:val="3"/>
        <w:keepNext w:val="0"/>
        <w:keepLines w:val="0"/>
        <w:pageBreakBefore w:val="0"/>
        <w:widowControl w:val="0"/>
        <w:kinsoku/>
        <w:wordWrap/>
        <w:overflowPunct/>
        <w:topLinePunct w:val="0"/>
        <w:autoSpaceDE/>
        <w:autoSpaceDN/>
        <w:bidi w:val="0"/>
        <w:adjustRightInd w:val="0"/>
        <w:snapToGrid/>
        <w:spacing w:line="360" w:lineRule="auto"/>
        <w:textAlignment w:val="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2"/>
    <w:p w14:paraId="7822609D">
      <w:pPr>
        <w:rPr>
          <w:rFonts w:hint="eastAsia" w:ascii="宋体" w:hAnsi="宋体" w:cs="宋体"/>
          <w:b/>
          <w:sz w:val="36"/>
          <w:szCs w:val="36"/>
        </w:rPr>
      </w:pPr>
      <w:bookmarkStart w:id="388" w:name="第五部分"/>
      <w:bookmarkStart w:id="389" w:name="_Toc86217003"/>
      <w:r>
        <w:rPr>
          <w:rFonts w:hint="eastAsia" w:ascii="宋体" w:hAnsi="宋体" w:cs="宋体"/>
          <w:b/>
          <w:sz w:val="36"/>
          <w:szCs w:val="36"/>
        </w:rPr>
        <w:br w:type="page"/>
      </w:r>
    </w:p>
    <w:p w14:paraId="7BD5F66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B95F22C">
      <w:pPr>
        <w:spacing w:line="384" w:lineRule="auto"/>
        <w:ind w:firstLine="482" w:firstLineChars="200"/>
        <w:jc w:val="left"/>
        <w:rPr>
          <w:rFonts w:ascii="宋体" w:hAnsi="宋体" w:cs="宋体"/>
          <w:b/>
          <w:bCs/>
          <w:color w:val="000000"/>
          <w:sz w:val="24"/>
        </w:rPr>
      </w:pPr>
      <w:bookmarkStart w:id="390" w:name="_Toc868"/>
      <w:r>
        <w:rPr>
          <w:rFonts w:hint="eastAsia" w:ascii="宋体" w:hAnsi="宋体" w:cs="宋体"/>
          <w:b/>
          <w:bCs/>
          <w:color w:val="000000"/>
          <w:sz w:val="24"/>
          <w:lang w:val="en-US" w:eastAsia="zh-CN"/>
        </w:rPr>
        <w:t>注：</w:t>
      </w:r>
      <w:r>
        <w:rPr>
          <w:rFonts w:hint="eastAsia" w:ascii="宋体" w:hAnsi="宋体" w:cs="宋体"/>
          <w:b/>
          <w:bCs/>
          <w:color w:val="000000"/>
          <w:sz w:val="24"/>
        </w:rPr>
        <w:t>此仅为合同书样本，中标单位需根据实际情况和采购人签订相应的合同！</w:t>
      </w:r>
      <w:bookmarkEnd w:id="390"/>
      <w:r>
        <w:rPr>
          <w:rFonts w:hint="eastAsia" w:ascii="宋体" w:hAnsi="宋体" w:cs="宋体"/>
          <w:b/>
          <w:bCs/>
          <w:color w:val="000000"/>
          <w:sz w:val="24"/>
        </w:rPr>
        <w:t>本项目分五个标项，各标项根据合同文本单独草拟。</w:t>
      </w:r>
    </w:p>
    <w:p w14:paraId="6A94FBE3">
      <w:pPr>
        <w:spacing w:line="480" w:lineRule="auto"/>
        <w:jc w:val="center"/>
        <w:rPr>
          <w:rFonts w:ascii="宋体" w:hAnsi="宋体" w:cs="宋体"/>
          <w:b/>
          <w:bCs/>
          <w:color w:val="000000"/>
          <w:sz w:val="24"/>
        </w:rPr>
      </w:pPr>
      <w:r>
        <w:rPr>
          <w:rFonts w:hint="eastAsia" w:ascii="宋体" w:hAnsi="宋体" w:cs="宋体"/>
          <w:b/>
          <w:sz w:val="36"/>
          <w:szCs w:val="36"/>
        </w:rPr>
        <w:t>政府采购合同参考范本</w:t>
      </w:r>
    </w:p>
    <w:p w14:paraId="5CD38D8B">
      <w:pPr>
        <w:spacing w:line="480" w:lineRule="auto"/>
        <w:jc w:val="center"/>
        <w:rPr>
          <w:rFonts w:ascii="宋体" w:hAnsi="宋体" w:cs="宋体"/>
          <w:b/>
          <w:sz w:val="36"/>
          <w:szCs w:val="36"/>
        </w:rPr>
      </w:pPr>
      <w:r>
        <w:rPr>
          <w:rFonts w:hint="eastAsia" w:ascii="宋体" w:hAnsi="宋体" w:cs="宋体"/>
          <w:b/>
          <w:sz w:val="36"/>
          <w:szCs w:val="36"/>
        </w:rPr>
        <w:t>（服务类）</w:t>
      </w:r>
    </w:p>
    <w:p w14:paraId="655F3740">
      <w:pPr>
        <w:pStyle w:val="82"/>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611419EF">
      <w:pPr>
        <w:spacing w:before="120" w:line="22" w:lineRule="atLeast"/>
        <w:rPr>
          <w:rFonts w:ascii="宋体" w:hAnsi="宋体" w:cs="宋体"/>
          <w:sz w:val="24"/>
        </w:rPr>
      </w:pPr>
    </w:p>
    <w:p w14:paraId="41478C97">
      <w:pPr>
        <w:pStyle w:val="5"/>
        <w:rPr>
          <w:rFonts w:ascii="宋体" w:hAnsi="宋体" w:eastAsia="宋体" w:cs="宋体"/>
        </w:rPr>
      </w:pPr>
    </w:p>
    <w:p w14:paraId="2A80839B">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3D744F3">
      <w:pPr>
        <w:pStyle w:val="289"/>
        <w:spacing w:before="120" w:line="22" w:lineRule="atLeast"/>
        <w:rPr>
          <w:rFonts w:ascii="宋体" w:hAnsi="宋体" w:eastAsia="宋体" w:cs="宋体"/>
          <w:szCs w:val="24"/>
        </w:rPr>
      </w:pPr>
    </w:p>
    <w:p w14:paraId="69A8D652">
      <w:pPr>
        <w:spacing w:before="120" w:line="22" w:lineRule="atLeast"/>
        <w:ind w:left="960"/>
        <w:rPr>
          <w:rFonts w:ascii="宋体" w:hAnsi="宋体" w:cs="宋体"/>
          <w:sz w:val="24"/>
        </w:rPr>
      </w:pPr>
      <w:r>
        <w:rPr>
          <w:rFonts w:hint="eastAsia" w:ascii="宋体" w:hAnsi="宋体" w:cs="宋体"/>
          <w:sz w:val="24"/>
        </w:rPr>
        <w:t>标项名称：</w:t>
      </w:r>
      <w:r>
        <w:rPr>
          <w:rFonts w:hint="eastAsia" w:ascii="宋体" w:hAnsi="宋体" w:cs="宋体"/>
          <w:sz w:val="24"/>
          <w:u w:val="single"/>
        </w:rPr>
        <w:t xml:space="preserve">                                   </w:t>
      </w:r>
    </w:p>
    <w:p w14:paraId="4D3E4A3A">
      <w:pPr>
        <w:pStyle w:val="289"/>
        <w:spacing w:before="120" w:line="22" w:lineRule="atLeast"/>
        <w:rPr>
          <w:rFonts w:ascii="宋体" w:hAnsi="宋体" w:eastAsia="宋体" w:cs="宋体"/>
          <w:szCs w:val="24"/>
        </w:rPr>
      </w:pPr>
    </w:p>
    <w:p w14:paraId="203FB721">
      <w:pPr>
        <w:rPr>
          <w:rFonts w:ascii="宋体" w:hAnsi="宋体" w:cs="宋体"/>
          <w:sz w:val="24"/>
        </w:rPr>
      </w:pPr>
    </w:p>
    <w:p w14:paraId="5311AF8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3A60B5D">
      <w:pPr>
        <w:spacing w:before="120" w:line="22" w:lineRule="atLeast"/>
        <w:rPr>
          <w:rFonts w:ascii="宋体" w:hAnsi="宋体" w:cs="宋体"/>
          <w:sz w:val="24"/>
        </w:rPr>
      </w:pPr>
    </w:p>
    <w:p w14:paraId="45B6BB4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308085D">
      <w:pPr>
        <w:spacing w:before="120" w:line="22" w:lineRule="atLeast"/>
        <w:rPr>
          <w:rFonts w:ascii="宋体" w:hAnsi="宋体" w:cs="宋体"/>
          <w:sz w:val="24"/>
        </w:rPr>
      </w:pPr>
    </w:p>
    <w:p w14:paraId="1D86AD5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D4F9BE1">
      <w:pPr>
        <w:spacing w:before="120" w:line="22" w:lineRule="atLeast"/>
        <w:rPr>
          <w:rFonts w:ascii="宋体" w:hAnsi="宋体" w:cs="宋体"/>
          <w:sz w:val="24"/>
        </w:rPr>
      </w:pPr>
    </w:p>
    <w:p w14:paraId="7E35D46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ED92424">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pgNumType w:fmt="numberInDash" w:start="1"/>
          <w:cols w:space="720" w:num="1"/>
        </w:sectPr>
      </w:pPr>
    </w:p>
    <w:p w14:paraId="1B1B4CF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4C1FD73E">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r>
        <w:rPr>
          <w:rFonts w:hint="eastAsia" w:ascii="宋体" w:hAnsi="宋体" w:cs="宋体"/>
          <w:color w:val="0000FF"/>
          <w:sz w:val="24"/>
          <w:u w:val="single"/>
        </w:rPr>
        <w:t xml:space="preserve">（采购人） </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6CA19CD">
      <w:pPr>
        <w:spacing w:line="560" w:lineRule="exact"/>
        <w:ind w:firstLine="482" w:firstLineChars="200"/>
        <w:outlineLvl w:val="0"/>
        <w:rPr>
          <w:rFonts w:ascii="宋体" w:hAnsi="宋体" w:cs="宋体"/>
          <w:sz w:val="24"/>
        </w:rPr>
      </w:pPr>
      <w:r>
        <w:rPr>
          <w:rFonts w:hint="eastAsia" w:ascii="宋体" w:hAnsi="宋体" w:cs="宋体"/>
          <w:b/>
          <w:sz w:val="24"/>
        </w:rPr>
        <w:t>1.1 合同组成部分</w:t>
      </w:r>
    </w:p>
    <w:p w14:paraId="490E404D">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9D861B">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DA8CA20">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F24CB12">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84D4213">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3DFEA777">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CF2737A">
      <w:pPr>
        <w:spacing w:line="560" w:lineRule="exact"/>
        <w:ind w:firstLine="482" w:firstLineChars="200"/>
        <w:outlineLvl w:val="0"/>
        <w:rPr>
          <w:rFonts w:ascii="宋体" w:hAnsi="宋体" w:cs="宋体"/>
          <w:b/>
          <w:sz w:val="24"/>
        </w:rPr>
      </w:pPr>
      <w:r>
        <w:rPr>
          <w:rFonts w:hint="eastAsia" w:ascii="宋体" w:hAnsi="宋体" w:cs="宋体"/>
          <w:b/>
          <w:sz w:val="24"/>
        </w:rPr>
        <w:t>1.2 标的</w:t>
      </w:r>
    </w:p>
    <w:p w14:paraId="689BC2FA">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0213F707">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618274ED">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5B12E840">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196CEF00">
      <w:pPr>
        <w:pStyle w:val="622"/>
        <w:spacing w:before="0" w:beforeAutospacing="0" w:after="0" w:afterAutospacing="0" w:line="360" w:lineRule="auto"/>
        <w:ind w:firstLine="480"/>
      </w:pPr>
      <w:r>
        <w:rPr>
          <w:rFonts w:hint="eastAsia"/>
        </w:rPr>
        <w:t>1.2.5合同</w:t>
      </w:r>
      <w:r>
        <w:rPr>
          <w:rFonts w:hint="eastAsia"/>
          <w:u w:val="single"/>
        </w:rPr>
        <w:t xml:space="preserve"> </w:t>
      </w:r>
      <w:r>
        <w:rPr>
          <w:rFonts w:hint="eastAsia"/>
        </w:rPr>
        <w:t>否</w:t>
      </w:r>
      <w:r>
        <w:rPr>
          <w:rFonts w:hint="eastAsia"/>
          <w:u w:val="single"/>
        </w:rPr>
        <w:t xml:space="preserve">  </w:t>
      </w:r>
      <w:r>
        <w:rPr>
          <w:rFonts w:hint="eastAsia"/>
        </w:rPr>
        <w:t>（是/否）涉及货物。</w:t>
      </w:r>
    </w:p>
    <w:p w14:paraId="000DB334">
      <w:pPr>
        <w:spacing w:line="560" w:lineRule="exact"/>
        <w:ind w:firstLine="482" w:firstLineChars="200"/>
        <w:outlineLvl w:val="0"/>
        <w:rPr>
          <w:rFonts w:ascii="宋体" w:hAnsi="宋体" w:cs="宋体"/>
          <w:b/>
          <w:sz w:val="24"/>
        </w:rPr>
      </w:pPr>
      <w:r>
        <w:rPr>
          <w:rFonts w:hint="eastAsia" w:ascii="宋体" w:hAnsi="宋体" w:cs="宋体"/>
          <w:b/>
          <w:sz w:val="24"/>
        </w:rPr>
        <w:t>1.3 价款</w:t>
      </w:r>
    </w:p>
    <w:p w14:paraId="18C59E72">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B35E127">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34C224E">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9A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DEF104">
            <w:pPr>
              <w:pStyle w:val="112"/>
              <w:spacing w:after="0"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43F9BDC9">
            <w:pPr>
              <w:pStyle w:val="112"/>
              <w:spacing w:after="0"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099C8322">
            <w:pPr>
              <w:pStyle w:val="112"/>
              <w:spacing w:after="0" w:line="560" w:lineRule="exact"/>
              <w:jc w:val="center"/>
              <w:rPr>
                <w:rFonts w:hAnsi="宋体" w:cs="宋体"/>
                <w:sz w:val="24"/>
                <w:szCs w:val="24"/>
              </w:rPr>
            </w:pPr>
            <w:r>
              <w:rPr>
                <w:rFonts w:hint="eastAsia" w:hAnsi="宋体" w:cs="宋体"/>
                <w:sz w:val="24"/>
                <w:szCs w:val="24"/>
              </w:rPr>
              <w:t>分项价格</w:t>
            </w:r>
          </w:p>
        </w:tc>
      </w:tr>
      <w:tr w14:paraId="1A3D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10AE9C">
            <w:pPr>
              <w:pStyle w:val="112"/>
              <w:spacing w:after="0" w:line="560" w:lineRule="exact"/>
              <w:ind w:firstLine="200"/>
              <w:jc w:val="center"/>
              <w:rPr>
                <w:rFonts w:hAnsi="宋体" w:cs="宋体"/>
                <w:sz w:val="24"/>
                <w:szCs w:val="24"/>
              </w:rPr>
            </w:pPr>
          </w:p>
        </w:tc>
        <w:tc>
          <w:tcPr>
            <w:tcW w:w="3402" w:type="dxa"/>
            <w:vAlign w:val="center"/>
          </w:tcPr>
          <w:p w14:paraId="0A62E891">
            <w:pPr>
              <w:pStyle w:val="112"/>
              <w:spacing w:after="0" w:line="560" w:lineRule="exact"/>
              <w:ind w:firstLine="200"/>
              <w:jc w:val="center"/>
              <w:rPr>
                <w:rFonts w:hAnsi="宋体" w:cs="宋体"/>
                <w:sz w:val="24"/>
                <w:szCs w:val="24"/>
              </w:rPr>
            </w:pPr>
          </w:p>
        </w:tc>
        <w:tc>
          <w:tcPr>
            <w:tcW w:w="2552" w:type="dxa"/>
            <w:vAlign w:val="center"/>
          </w:tcPr>
          <w:p w14:paraId="112835EB">
            <w:pPr>
              <w:pStyle w:val="112"/>
              <w:spacing w:after="0" w:line="560" w:lineRule="exact"/>
              <w:ind w:firstLine="200"/>
              <w:jc w:val="center"/>
              <w:rPr>
                <w:rFonts w:hAnsi="宋体" w:cs="宋体"/>
                <w:sz w:val="24"/>
                <w:szCs w:val="24"/>
              </w:rPr>
            </w:pPr>
          </w:p>
        </w:tc>
      </w:tr>
      <w:tr w14:paraId="3E9C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554CE2">
            <w:pPr>
              <w:pStyle w:val="112"/>
              <w:spacing w:after="0" w:line="560" w:lineRule="exact"/>
              <w:ind w:firstLine="200"/>
              <w:jc w:val="center"/>
              <w:rPr>
                <w:rFonts w:hAnsi="宋体" w:cs="宋体"/>
                <w:sz w:val="24"/>
                <w:szCs w:val="24"/>
              </w:rPr>
            </w:pPr>
          </w:p>
        </w:tc>
        <w:tc>
          <w:tcPr>
            <w:tcW w:w="3402" w:type="dxa"/>
            <w:vAlign w:val="center"/>
          </w:tcPr>
          <w:p w14:paraId="3DB0F5BF">
            <w:pPr>
              <w:pStyle w:val="112"/>
              <w:spacing w:after="0" w:line="560" w:lineRule="exact"/>
              <w:ind w:firstLine="200"/>
              <w:jc w:val="center"/>
              <w:rPr>
                <w:rFonts w:hAnsi="宋体" w:cs="宋体"/>
                <w:sz w:val="24"/>
                <w:szCs w:val="24"/>
              </w:rPr>
            </w:pPr>
          </w:p>
        </w:tc>
        <w:tc>
          <w:tcPr>
            <w:tcW w:w="2552" w:type="dxa"/>
            <w:vAlign w:val="center"/>
          </w:tcPr>
          <w:p w14:paraId="42924E9A">
            <w:pPr>
              <w:pStyle w:val="112"/>
              <w:spacing w:after="0" w:line="560" w:lineRule="exact"/>
              <w:ind w:firstLine="200"/>
              <w:jc w:val="center"/>
              <w:rPr>
                <w:rFonts w:hAnsi="宋体" w:cs="宋体"/>
                <w:sz w:val="24"/>
                <w:szCs w:val="24"/>
              </w:rPr>
            </w:pPr>
          </w:p>
        </w:tc>
      </w:tr>
      <w:tr w14:paraId="5F0D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815470">
            <w:pPr>
              <w:pStyle w:val="112"/>
              <w:spacing w:after="0" w:line="560" w:lineRule="exact"/>
              <w:ind w:firstLine="200"/>
              <w:jc w:val="center"/>
              <w:rPr>
                <w:rFonts w:hAnsi="宋体" w:cs="宋体"/>
                <w:sz w:val="24"/>
                <w:szCs w:val="24"/>
              </w:rPr>
            </w:pPr>
          </w:p>
        </w:tc>
        <w:tc>
          <w:tcPr>
            <w:tcW w:w="3402" w:type="dxa"/>
            <w:vAlign w:val="center"/>
          </w:tcPr>
          <w:p w14:paraId="635CAA1B">
            <w:pPr>
              <w:pStyle w:val="112"/>
              <w:spacing w:after="0" w:line="560" w:lineRule="exact"/>
              <w:ind w:firstLine="200"/>
              <w:jc w:val="center"/>
              <w:rPr>
                <w:rFonts w:hAnsi="宋体" w:cs="宋体"/>
                <w:sz w:val="24"/>
                <w:szCs w:val="24"/>
              </w:rPr>
            </w:pPr>
          </w:p>
        </w:tc>
        <w:tc>
          <w:tcPr>
            <w:tcW w:w="2552" w:type="dxa"/>
            <w:vAlign w:val="center"/>
          </w:tcPr>
          <w:p w14:paraId="74C6A15A">
            <w:pPr>
              <w:pStyle w:val="112"/>
              <w:spacing w:after="0" w:line="560" w:lineRule="exact"/>
              <w:ind w:firstLine="200"/>
              <w:jc w:val="center"/>
              <w:rPr>
                <w:rFonts w:hAnsi="宋体" w:cs="宋体"/>
                <w:sz w:val="24"/>
                <w:szCs w:val="24"/>
              </w:rPr>
            </w:pPr>
          </w:p>
        </w:tc>
      </w:tr>
      <w:tr w14:paraId="45C7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311164">
            <w:pPr>
              <w:pStyle w:val="112"/>
              <w:spacing w:after="0" w:line="560" w:lineRule="exact"/>
              <w:ind w:firstLine="200"/>
              <w:jc w:val="center"/>
              <w:rPr>
                <w:rFonts w:hAnsi="宋体" w:cs="宋体"/>
                <w:sz w:val="24"/>
                <w:szCs w:val="24"/>
              </w:rPr>
            </w:pPr>
          </w:p>
        </w:tc>
        <w:tc>
          <w:tcPr>
            <w:tcW w:w="3402" w:type="dxa"/>
            <w:vAlign w:val="center"/>
          </w:tcPr>
          <w:p w14:paraId="4DCF3C32">
            <w:pPr>
              <w:pStyle w:val="112"/>
              <w:spacing w:after="0" w:line="560" w:lineRule="exact"/>
              <w:ind w:firstLine="200"/>
              <w:jc w:val="center"/>
              <w:rPr>
                <w:rFonts w:hAnsi="宋体" w:cs="宋体"/>
                <w:sz w:val="24"/>
                <w:szCs w:val="24"/>
              </w:rPr>
            </w:pPr>
          </w:p>
        </w:tc>
        <w:tc>
          <w:tcPr>
            <w:tcW w:w="2552" w:type="dxa"/>
            <w:vAlign w:val="center"/>
          </w:tcPr>
          <w:p w14:paraId="043385EA">
            <w:pPr>
              <w:pStyle w:val="112"/>
              <w:spacing w:after="0" w:line="560" w:lineRule="exact"/>
              <w:ind w:firstLine="200"/>
              <w:jc w:val="center"/>
              <w:rPr>
                <w:rFonts w:hAnsi="宋体" w:cs="宋体"/>
                <w:sz w:val="24"/>
                <w:szCs w:val="24"/>
              </w:rPr>
            </w:pPr>
          </w:p>
        </w:tc>
      </w:tr>
      <w:tr w14:paraId="4B9A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06344DF">
            <w:pPr>
              <w:pStyle w:val="112"/>
              <w:spacing w:after="0"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64B35597">
            <w:pPr>
              <w:pStyle w:val="112"/>
              <w:spacing w:after="0" w:line="560" w:lineRule="exact"/>
              <w:ind w:firstLine="200"/>
              <w:jc w:val="center"/>
              <w:rPr>
                <w:rFonts w:hAnsi="宋体" w:cs="宋体"/>
                <w:sz w:val="24"/>
                <w:szCs w:val="24"/>
              </w:rPr>
            </w:pPr>
          </w:p>
        </w:tc>
      </w:tr>
    </w:tbl>
    <w:p w14:paraId="71D665C1">
      <w:pPr>
        <w:spacing w:line="560" w:lineRule="exact"/>
        <w:ind w:firstLine="480" w:firstLineChars="200"/>
        <w:rPr>
          <w:rFonts w:ascii="宋体" w:hAnsi="宋体" w:cs="宋体"/>
          <w:sz w:val="24"/>
        </w:rPr>
      </w:pPr>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2655A07">
      <w:pPr>
        <w:pStyle w:val="5"/>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478320AD">
      <w:pPr>
        <w:pStyle w:val="622"/>
        <w:spacing w:before="0" w:beforeAutospacing="0" w:after="0" w:afterAutospacing="0" w:line="360" w:lineRule="auto"/>
        <w:ind w:firstLine="480"/>
        <w:rPr>
          <w:b/>
        </w:rPr>
      </w:pPr>
      <w:bookmarkStart w:id="391" w:name="_Toc10340"/>
      <w:bookmarkStart w:id="392" w:name="_Toc1814"/>
      <w:bookmarkStart w:id="393" w:name="_Toc22618"/>
      <w:r>
        <w:rPr>
          <w:rFonts w:hint="eastAsia"/>
          <w:b/>
        </w:rPr>
        <w:t>1.4履约保证金</w:t>
      </w:r>
    </w:p>
    <w:p w14:paraId="7A9DF649">
      <w:pPr>
        <w:pStyle w:val="622"/>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1971D6C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492611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3916FD">
      <w:pPr>
        <w:pStyle w:val="5"/>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A104F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ADCE0D8">
      <w:pPr>
        <w:spacing w:line="560" w:lineRule="exact"/>
        <w:ind w:firstLine="482" w:firstLineChars="200"/>
        <w:outlineLvl w:val="0"/>
        <w:rPr>
          <w:rFonts w:ascii="宋体" w:hAnsi="宋体" w:cs="宋体"/>
          <w:b/>
          <w:sz w:val="24"/>
        </w:rPr>
      </w:pPr>
      <w:r>
        <w:rPr>
          <w:rFonts w:hint="eastAsia" w:ascii="宋体" w:hAnsi="宋体" w:cs="宋体"/>
          <w:b/>
          <w:sz w:val="24"/>
        </w:rPr>
        <w:t>1.5</w:t>
      </w:r>
      <w:bookmarkEnd w:id="391"/>
      <w:bookmarkEnd w:id="392"/>
      <w:bookmarkEnd w:id="393"/>
      <w:r>
        <w:rPr>
          <w:rFonts w:hint="eastAsia" w:ascii="宋体" w:hAnsi="宋体" w:cs="宋体"/>
          <w:b/>
          <w:sz w:val="24"/>
        </w:rPr>
        <w:t>预付款</w:t>
      </w:r>
    </w:p>
    <w:p w14:paraId="4A0CF41C">
      <w:pPr>
        <w:pStyle w:val="622"/>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7AC53C0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详见采购需求    </w:t>
      </w:r>
      <w:r>
        <w:rPr>
          <w:rFonts w:hint="eastAsia" w:ascii="宋体" w:hAnsi="宋体" w:cs="宋体"/>
          <w:kern w:val="0"/>
          <w:sz w:val="24"/>
        </w:rPr>
        <w:t>；</w:t>
      </w:r>
    </w:p>
    <w:p w14:paraId="7E3289D5">
      <w:pPr>
        <w:pStyle w:val="62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7DC1750">
      <w:pPr>
        <w:pStyle w:val="62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612465">
      <w:pPr>
        <w:pStyle w:val="622"/>
        <w:spacing w:before="0" w:beforeAutospacing="0" w:after="0" w:afterAutospacing="0" w:line="360" w:lineRule="auto"/>
        <w:ind w:firstLine="480"/>
        <w:rPr>
          <w:b/>
          <w:bCs/>
        </w:rPr>
      </w:pPr>
      <w:r>
        <w:rPr>
          <w:rFonts w:hint="eastAsia"/>
          <w:b/>
          <w:bCs/>
        </w:rPr>
        <w:t>1.6资金支付</w:t>
      </w:r>
    </w:p>
    <w:p w14:paraId="640421C8">
      <w:pPr>
        <w:pStyle w:val="62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43D7025">
      <w:pPr>
        <w:tabs>
          <w:tab w:val="left" w:pos="966"/>
        </w:tabs>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详见采购需求.</w:t>
      </w:r>
    </w:p>
    <w:p w14:paraId="241E6A71">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p>
    <w:p w14:paraId="20E4D261">
      <w:pPr>
        <w:spacing w:line="560" w:lineRule="exact"/>
        <w:ind w:firstLine="480" w:firstLineChars="200"/>
        <w:rPr>
          <w:rFonts w:ascii="宋体" w:hAnsi="宋体" w:cs="宋体"/>
          <w:sz w:val="24"/>
        </w:rPr>
      </w:pPr>
      <w:r>
        <w:rPr>
          <w:rFonts w:hint="eastAsia" w:ascii="宋体" w:hAnsi="宋体" w:cs="宋体"/>
          <w:sz w:val="24"/>
        </w:rPr>
        <w:t>1.7.1 服务交付（实施）的时间（期限）：</w:t>
      </w:r>
    </w:p>
    <w:p w14:paraId="541FB03F">
      <w:pPr>
        <w:spacing w:line="560" w:lineRule="exact"/>
        <w:ind w:firstLine="480" w:firstLineChars="200"/>
        <w:rPr>
          <w:rFonts w:ascii="宋体" w:hAnsi="宋体" w:cs="宋体"/>
          <w:sz w:val="24"/>
        </w:rPr>
      </w:pPr>
      <w:r>
        <w:rPr>
          <w:rFonts w:hint="eastAsia" w:ascii="宋体" w:hAnsi="宋体" w:cs="宋体"/>
          <w:sz w:val="24"/>
        </w:rPr>
        <w:t>1.7.2 服务交付（实施）的地点（地域范围）：详见采购需求；</w:t>
      </w:r>
    </w:p>
    <w:p w14:paraId="4FEDF9FA">
      <w:pPr>
        <w:spacing w:line="560" w:lineRule="exact"/>
        <w:ind w:firstLine="480" w:firstLineChars="200"/>
        <w:rPr>
          <w:rFonts w:ascii="宋体" w:hAnsi="宋体" w:cs="宋体"/>
          <w:sz w:val="24"/>
        </w:rPr>
      </w:pPr>
      <w:r>
        <w:rPr>
          <w:rFonts w:hint="eastAsia" w:ascii="宋体" w:hAnsi="宋体" w:cs="宋体"/>
          <w:sz w:val="24"/>
        </w:rPr>
        <w:t>1.7.3 服务交付（实施）的方式：以采购需求为准。</w:t>
      </w:r>
    </w:p>
    <w:p w14:paraId="417530B6">
      <w:pPr>
        <w:spacing w:line="560" w:lineRule="exact"/>
        <w:ind w:firstLine="480" w:firstLineChars="200"/>
        <w:outlineLvl w:val="0"/>
        <w:rPr>
          <w:rFonts w:ascii="宋体" w:hAnsi="宋体" w:cs="宋体"/>
          <w:bCs/>
          <w:sz w:val="24"/>
        </w:rPr>
      </w:pPr>
      <w:r>
        <w:rPr>
          <w:rFonts w:hint="eastAsia" w:ascii="宋体" w:hAnsi="宋体" w:cs="宋体"/>
          <w:bCs/>
          <w:sz w:val="24"/>
        </w:rPr>
        <w:t>1.7.4若服务涉及技术资料的：</w:t>
      </w:r>
    </w:p>
    <w:p w14:paraId="16AA1A5D">
      <w:pPr>
        <w:spacing w:line="560" w:lineRule="exact"/>
        <w:ind w:firstLine="480" w:firstLineChars="200"/>
        <w:rPr>
          <w:rFonts w:ascii="宋体" w:hAnsi="宋体" w:cs="宋体"/>
          <w:sz w:val="24"/>
        </w:rPr>
      </w:pPr>
      <w:r>
        <w:rPr>
          <w:rFonts w:hint="eastAsia" w:ascii="宋体" w:hAnsi="宋体" w:cs="宋体"/>
          <w:bCs/>
          <w:sz w:val="24"/>
        </w:rPr>
        <w:t>1.7.4.</w:t>
      </w:r>
      <w:r>
        <w:rPr>
          <w:rFonts w:hint="eastAsia" w:ascii="宋体" w:hAnsi="宋体" w:cs="宋体"/>
          <w:sz w:val="24"/>
        </w:rPr>
        <w:t>1乙方应按招标文件规定的时间向甲方提供有关技术资料。</w:t>
      </w:r>
    </w:p>
    <w:p w14:paraId="6D3B84D8">
      <w:pPr>
        <w:spacing w:line="560" w:lineRule="exact"/>
        <w:ind w:firstLine="480" w:firstLineChars="200"/>
        <w:rPr>
          <w:rFonts w:ascii="宋体" w:hAnsi="宋体" w:cs="宋体"/>
          <w:sz w:val="24"/>
        </w:rPr>
      </w:pPr>
      <w:r>
        <w:rPr>
          <w:rFonts w:hint="eastAsia" w:ascii="宋体" w:hAnsi="宋体" w:cs="宋体"/>
          <w:bCs/>
          <w:sz w:val="24"/>
        </w:rPr>
        <w:t>1.7.4.</w:t>
      </w:r>
      <w:r>
        <w:rPr>
          <w:rFonts w:hint="eastAsia" w:ascii="宋体" w:hAnsi="宋体" w:cs="宋体"/>
          <w:sz w:val="24"/>
        </w:rPr>
        <w:t>2 没有甲方事先书面同意，乙方不得将由甲方提供的有关合同或任何合同条文、规格、计划、图纸、样品或资料提供给与履行本合同无关的任何其他人（包括没有必要授权的任何雇员），或用于除本合同履行之外的其他目的。不得引用、公布、泄露监测检测结果及相关信息。即使向履行本合同有关的人员提供，也应注意保密并限于履行合同的必需范围。保密义务不因本合同的解除或终止而免除。</w:t>
      </w:r>
    </w:p>
    <w:p w14:paraId="6F71DB62">
      <w:pPr>
        <w:spacing w:line="560" w:lineRule="exact"/>
        <w:ind w:firstLine="480" w:firstLineChars="200"/>
        <w:rPr>
          <w:rFonts w:ascii="宋体" w:hAnsi="宋体" w:cs="宋体"/>
          <w:sz w:val="24"/>
          <w:u w:val="single"/>
        </w:rPr>
      </w:pPr>
      <w:r>
        <w:rPr>
          <w:rFonts w:hint="eastAsia" w:ascii="宋体" w:hAnsi="宋体" w:cs="宋体"/>
          <w:sz w:val="24"/>
        </w:rPr>
        <w:t>1.7.4.1 交付期限：详见采购需求；</w:t>
      </w:r>
    </w:p>
    <w:p w14:paraId="60E93B62">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367C135">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38D64C8">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p>
    <w:p w14:paraId="573E3F2D">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3C7B662A">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FB79059">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02A4B735">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4A966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C37BF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E9B4C9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7E12D2F9">
      <w:pPr>
        <w:spacing w:line="560" w:lineRule="exact"/>
        <w:ind w:firstLine="482" w:firstLineChars="200"/>
        <w:outlineLvl w:val="0"/>
        <w:rPr>
          <w:rFonts w:ascii="宋体" w:hAnsi="宋体" w:cs="宋体"/>
          <w:b/>
          <w:sz w:val="24"/>
        </w:rPr>
      </w:pPr>
      <w:bookmarkStart w:id="394" w:name="_Toc15583"/>
      <w:bookmarkStart w:id="395" w:name="_Toc16021"/>
      <w:bookmarkStart w:id="396" w:name="_Toc28375"/>
      <w:r>
        <w:rPr>
          <w:rFonts w:hint="eastAsia" w:ascii="宋体" w:hAnsi="宋体" w:cs="宋体"/>
          <w:b/>
          <w:sz w:val="24"/>
        </w:rPr>
        <w:t>1.9合同争议的解决</w:t>
      </w:r>
      <w:bookmarkEnd w:id="394"/>
      <w:bookmarkEnd w:id="395"/>
      <w:bookmarkEnd w:id="396"/>
    </w:p>
    <w:p w14:paraId="5475E4B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D5CB9F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A202B6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450D079">
      <w:pPr>
        <w:spacing w:line="560" w:lineRule="exact"/>
        <w:ind w:firstLine="482" w:firstLineChars="200"/>
        <w:outlineLvl w:val="0"/>
        <w:rPr>
          <w:rFonts w:ascii="宋体" w:hAnsi="宋体" w:cs="宋体"/>
          <w:b/>
          <w:sz w:val="24"/>
        </w:rPr>
      </w:pPr>
      <w:bookmarkStart w:id="397" w:name="_Toc11173"/>
      <w:bookmarkStart w:id="398" w:name="_Toc7245"/>
      <w:bookmarkStart w:id="399" w:name="_Toc15322"/>
      <w:r>
        <w:rPr>
          <w:rFonts w:hint="eastAsia" w:ascii="宋体" w:hAnsi="宋体" w:cs="宋体"/>
          <w:b/>
          <w:sz w:val="24"/>
        </w:rPr>
        <w:t>2.0 合同生效</w:t>
      </w:r>
      <w:bookmarkEnd w:id="397"/>
      <w:bookmarkEnd w:id="398"/>
      <w:bookmarkEnd w:id="399"/>
    </w:p>
    <w:p w14:paraId="16508AD5">
      <w:pPr>
        <w:spacing w:line="560" w:lineRule="exact"/>
        <w:ind w:firstLine="480" w:firstLineChars="200"/>
        <w:rPr>
          <w:rFonts w:ascii="宋体" w:hAnsi="宋体" w:cs="宋体"/>
          <w:sz w:val="24"/>
        </w:rPr>
      </w:pPr>
      <w:r>
        <w:rPr>
          <w:rFonts w:hint="eastAsia" w:ascii="宋体" w:hAnsi="宋体" w:cs="宋体"/>
          <w:sz w:val="24"/>
        </w:rPr>
        <w:t>本合同自双方当事人盖章签字时生效。</w:t>
      </w:r>
    </w:p>
    <w:p w14:paraId="6573876C">
      <w:pPr>
        <w:pStyle w:val="28"/>
        <w:ind w:left="840" w:hanging="420"/>
        <w:rPr>
          <w:rFonts w:ascii="宋体" w:hAnsi="宋体" w:eastAsia="宋体" w:cs="宋体"/>
        </w:rPr>
      </w:pPr>
    </w:p>
    <w:p w14:paraId="7B109829">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0E8A4CC">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7C94857F">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62620D0C">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292DB0B9">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2BA980D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FE67D47">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1F08480">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F5D0B8B">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372C6A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A65D481">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8AB69CD">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25B98806">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31854221">
      <w:pPr>
        <w:spacing w:line="560" w:lineRule="exact"/>
        <w:ind w:firstLine="482"/>
        <w:jc w:val="center"/>
        <w:rPr>
          <w:rFonts w:ascii="宋体" w:hAnsi="宋体" w:cs="宋体"/>
          <w:b/>
        </w:rPr>
      </w:pPr>
      <w:r>
        <w:rPr>
          <w:rFonts w:hint="eastAsia" w:ascii="宋体" w:hAnsi="宋体" w:cs="宋体"/>
          <w:b/>
        </w:rPr>
        <w:br w:type="page"/>
      </w:r>
    </w:p>
    <w:p w14:paraId="0824995D">
      <w:pPr>
        <w:pStyle w:val="82"/>
        <w:spacing w:line="560" w:lineRule="exact"/>
        <w:ind w:left="0" w:leftChars="0" w:firstLine="489"/>
        <w:jc w:val="center"/>
        <w:rPr>
          <w:rFonts w:ascii="宋体" w:hAnsi="宋体" w:eastAsia="宋体" w:cs="宋体"/>
          <w:b/>
          <w:szCs w:val="24"/>
        </w:rPr>
      </w:pPr>
      <w:r>
        <w:rPr>
          <w:rFonts w:hint="eastAsia" w:ascii="宋体" w:hAnsi="宋体" w:eastAsia="宋体" w:cs="宋体"/>
          <w:b/>
          <w:szCs w:val="24"/>
        </w:rPr>
        <w:t>第二部分 合同一般条款</w:t>
      </w:r>
    </w:p>
    <w:p w14:paraId="0A334C4C">
      <w:pPr>
        <w:spacing w:line="560" w:lineRule="exact"/>
        <w:ind w:firstLine="482" w:firstLineChars="200"/>
        <w:outlineLvl w:val="0"/>
        <w:rPr>
          <w:rFonts w:ascii="宋体" w:hAnsi="宋体" w:cs="宋体"/>
          <w:b/>
          <w:sz w:val="24"/>
        </w:rPr>
      </w:pPr>
      <w:bookmarkStart w:id="400" w:name="_Toc5228"/>
      <w:bookmarkStart w:id="401" w:name="_Toc25079"/>
      <w:bookmarkStart w:id="402" w:name="_Toc31297"/>
      <w:bookmarkStart w:id="403" w:name="_Toc14021"/>
      <w:bookmarkStart w:id="404" w:name="_Toc19680"/>
      <w:r>
        <w:rPr>
          <w:rFonts w:hint="eastAsia" w:ascii="宋体" w:hAnsi="宋体" w:cs="宋体"/>
          <w:b/>
          <w:sz w:val="24"/>
        </w:rPr>
        <w:t>2.1 定义</w:t>
      </w:r>
      <w:bookmarkEnd w:id="400"/>
      <w:bookmarkEnd w:id="401"/>
      <w:bookmarkEnd w:id="402"/>
      <w:bookmarkEnd w:id="403"/>
      <w:bookmarkEnd w:id="404"/>
    </w:p>
    <w:p w14:paraId="6006279E">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3F52E2A0">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8BE2B69">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CE3BF9B">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01277CB9">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56C59387">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5F74D4">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7ED058EE">
      <w:pPr>
        <w:spacing w:line="560" w:lineRule="exact"/>
        <w:ind w:firstLine="482" w:firstLineChars="200"/>
        <w:outlineLvl w:val="0"/>
        <w:rPr>
          <w:rFonts w:ascii="宋体" w:hAnsi="宋体" w:cs="宋体"/>
          <w:b/>
          <w:sz w:val="24"/>
        </w:rPr>
      </w:pPr>
      <w:bookmarkStart w:id="405" w:name="_Toc19539"/>
      <w:bookmarkStart w:id="406" w:name="_Toc31402"/>
      <w:bookmarkStart w:id="407" w:name="_Toc3769"/>
      <w:bookmarkStart w:id="408" w:name="_Toc23289"/>
      <w:bookmarkStart w:id="409" w:name="_Toc16752"/>
      <w:r>
        <w:rPr>
          <w:rFonts w:hint="eastAsia" w:ascii="宋体" w:hAnsi="宋体" w:cs="宋体"/>
          <w:b/>
          <w:sz w:val="24"/>
        </w:rPr>
        <w:t>2.2 技术规范</w:t>
      </w:r>
      <w:bookmarkEnd w:id="405"/>
      <w:bookmarkEnd w:id="406"/>
      <w:bookmarkEnd w:id="407"/>
      <w:bookmarkEnd w:id="408"/>
      <w:bookmarkEnd w:id="409"/>
    </w:p>
    <w:p w14:paraId="1BFD586D">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A896CF7">
      <w:pPr>
        <w:spacing w:line="560" w:lineRule="exact"/>
        <w:ind w:firstLine="482" w:firstLineChars="200"/>
        <w:outlineLvl w:val="0"/>
        <w:rPr>
          <w:rFonts w:ascii="宋体" w:hAnsi="宋体" w:cs="宋体"/>
          <w:b/>
          <w:sz w:val="24"/>
        </w:rPr>
      </w:pPr>
      <w:bookmarkStart w:id="410" w:name="_Toc9161"/>
      <w:bookmarkStart w:id="411" w:name="_Toc12412"/>
      <w:bookmarkStart w:id="412" w:name="_Toc4133"/>
      <w:bookmarkStart w:id="413" w:name="_Toc13673"/>
      <w:bookmarkStart w:id="414" w:name="_Toc27945"/>
      <w:r>
        <w:rPr>
          <w:rFonts w:hint="eastAsia" w:ascii="宋体" w:hAnsi="宋体" w:cs="宋体"/>
          <w:b/>
          <w:sz w:val="24"/>
        </w:rPr>
        <w:t>2.3 知识产权</w:t>
      </w:r>
      <w:bookmarkEnd w:id="410"/>
      <w:bookmarkEnd w:id="411"/>
      <w:bookmarkEnd w:id="412"/>
      <w:bookmarkEnd w:id="413"/>
      <w:bookmarkEnd w:id="414"/>
    </w:p>
    <w:p w14:paraId="4BA7579C">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1FBE06">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1054E259">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57F7ED96">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85033E">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7E96486D">
      <w:pPr>
        <w:spacing w:line="560" w:lineRule="exact"/>
        <w:ind w:firstLine="482" w:firstLineChars="200"/>
        <w:outlineLvl w:val="0"/>
        <w:rPr>
          <w:rFonts w:ascii="宋体" w:hAnsi="宋体" w:cs="宋体"/>
          <w:b/>
          <w:sz w:val="24"/>
        </w:rPr>
      </w:pPr>
      <w:bookmarkStart w:id="415" w:name="_Toc15447"/>
      <w:bookmarkStart w:id="416" w:name="_Toc31233"/>
      <w:bookmarkStart w:id="417" w:name="_Toc26555"/>
      <w:bookmarkStart w:id="418" w:name="_Toc32670"/>
      <w:bookmarkStart w:id="419" w:name="_Toc22011"/>
      <w:r>
        <w:rPr>
          <w:rFonts w:hint="eastAsia" w:ascii="宋体" w:hAnsi="宋体" w:cs="宋体"/>
          <w:b/>
          <w:sz w:val="24"/>
        </w:rPr>
        <w:t>2.5 结算方式和付款条件</w:t>
      </w:r>
      <w:bookmarkEnd w:id="415"/>
      <w:bookmarkEnd w:id="416"/>
      <w:bookmarkEnd w:id="417"/>
      <w:bookmarkEnd w:id="418"/>
      <w:bookmarkEnd w:id="419"/>
    </w:p>
    <w:p w14:paraId="1262D463">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789382EC">
      <w:pPr>
        <w:spacing w:line="560" w:lineRule="exact"/>
        <w:ind w:firstLine="482" w:firstLineChars="200"/>
        <w:outlineLvl w:val="0"/>
        <w:rPr>
          <w:rFonts w:ascii="宋体" w:hAnsi="宋体" w:cs="宋体"/>
          <w:b/>
          <w:sz w:val="24"/>
        </w:rPr>
      </w:pPr>
      <w:bookmarkStart w:id="420" w:name="_Toc13154"/>
      <w:bookmarkStart w:id="421" w:name="_Toc13467"/>
      <w:bookmarkStart w:id="422" w:name="_Toc30507"/>
      <w:bookmarkStart w:id="423" w:name="_Toc18990"/>
      <w:bookmarkStart w:id="424" w:name="_Toc16163"/>
      <w:r>
        <w:rPr>
          <w:rFonts w:hint="eastAsia" w:ascii="宋体" w:hAnsi="宋体" w:cs="宋体"/>
          <w:b/>
          <w:sz w:val="24"/>
        </w:rPr>
        <w:t>2.6 技术资料和保密义务</w:t>
      </w:r>
      <w:bookmarkEnd w:id="420"/>
      <w:bookmarkEnd w:id="421"/>
      <w:bookmarkEnd w:id="422"/>
      <w:bookmarkEnd w:id="423"/>
      <w:bookmarkEnd w:id="424"/>
    </w:p>
    <w:p w14:paraId="71C462D0">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46736DB">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501C5D68">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31EADA">
      <w:pPr>
        <w:spacing w:line="560" w:lineRule="exact"/>
        <w:ind w:firstLine="482" w:firstLineChars="200"/>
        <w:outlineLvl w:val="0"/>
        <w:rPr>
          <w:rFonts w:ascii="宋体" w:hAnsi="宋体" w:cs="宋体"/>
          <w:b/>
          <w:sz w:val="24"/>
        </w:rPr>
      </w:pPr>
      <w:bookmarkStart w:id="425" w:name="_Toc19069"/>
      <w:r>
        <w:rPr>
          <w:rFonts w:hint="eastAsia" w:ascii="宋体" w:hAnsi="宋体" w:cs="宋体"/>
          <w:b/>
          <w:sz w:val="24"/>
        </w:rPr>
        <w:t>2.7 质量保证</w:t>
      </w:r>
      <w:bookmarkEnd w:id="425"/>
    </w:p>
    <w:p w14:paraId="1868A788">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73ED241">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250C2ADE">
      <w:pPr>
        <w:spacing w:line="560" w:lineRule="exact"/>
        <w:ind w:firstLine="482" w:firstLineChars="200"/>
        <w:outlineLvl w:val="0"/>
        <w:rPr>
          <w:rFonts w:ascii="宋体" w:hAnsi="宋体" w:cs="宋体"/>
          <w:b/>
          <w:sz w:val="24"/>
        </w:rPr>
      </w:pPr>
      <w:bookmarkStart w:id="426" w:name="_Toc22267"/>
      <w:r>
        <w:rPr>
          <w:rFonts w:hint="eastAsia" w:ascii="宋体" w:hAnsi="宋体" w:cs="宋体"/>
          <w:b/>
          <w:sz w:val="24"/>
        </w:rPr>
        <w:t>2.8 延迟履行</w:t>
      </w:r>
      <w:bookmarkEnd w:id="426"/>
    </w:p>
    <w:p w14:paraId="7BCF1862">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13D6192">
      <w:pPr>
        <w:spacing w:line="560" w:lineRule="exact"/>
        <w:ind w:firstLine="482" w:firstLineChars="200"/>
        <w:outlineLvl w:val="0"/>
        <w:rPr>
          <w:rFonts w:ascii="宋体" w:hAnsi="宋体" w:cs="宋体"/>
          <w:b/>
          <w:sz w:val="24"/>
        </w:rPr>
      </w:pPr>
      <w:bookmarkStart w:id="427" w:name="_Toc10611"/>
      <w:r>
        <w:rPr>
          <w:rFonts w:hint="eastAsia" w:ascii="宋体" w:hAnsi="宋体" w:cs="宋体"/>
          <w:b/>
          <w:sz w:val="24"/>
        </w:rPr>
        <w:t>2.9 合同变更</w:t>
      </w:r>
      <w:bookmarkEnd w:id="427"/>
    </w:p>
    <w:p w14:paraId="563142D0">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1FB8DEA3">
      <w:pPr>
        <w:spacing w:line="560" w:lineRule="exact"/>
        <w:ind w:firstLine="482" w:firstLineChars="200"/>
        <w:outlineLvl w:val="0"/>
        <w:rPr>
          <w:rFonts w:ascii="宋体" w:hAnsi="宋体" w:cs="宋体"/>
          <w:b/>
          <w:sz w:val="24"/>
        </w:rPr>
      </w:pPr>
      <w:bookmarkStart w:id="428" w:name="_Toc23368"/>
      <w:bookmarkStart w:id="429" w:name="_Toc26689"/>
      <w:bookmarkStart w:id="430" w:name="_Toc42"/>
      <w:bookmarkStart w:id="431" w:name="_Toc21830"/>
      <w:bookmarkStart w:id="432" w:name="_Toc10663"/>
      <w:r>
        <w:rPr>
          <w:rFonts w:hint="eastAsia" w:ascii="宋体" w:hAnsi="宋体" w:cs="宋体"/>
          <w:b/>
          <w:sz w:val="24"/>
        </w:rPr>
        <w:t>2.10 合同转让和分包</w:t>
      </w:r>
      <w:bookmarkEnd w:id="428"/>
      <w:bookmarkEnd w:id="429"/>
      <w:bookmarkEnd w:id="430"/>
      <w:bookmarkEnd w:id="431"/>
      <w:bookmarkEnd w:id="432"/>
    </w:p>
    <w:p w14:paraId="5C9E5500">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506060">
      <w:pPr>
        <w:spacing w:line="560" w:lineRule="exact"/>
        <w:ind w:firstLine="482" w:firstLineChars="200"/>
        <w:outlineLvl w:val="0"/>
        <w:rPr>
          <w:rFonts w:ascii="宋体" w:hAnsi="宋体" w:cs="宋体"/>
          <w:b/>
          <w:sz w:val="24"/>
        </w:rPr>
      </w:pPr>
      <w:bookmarkStart w:id="433" w:name="_Toc25571"/>
      <w:bookmarkStart w:id="434" w:name="_Toc32494"/>
      <w:bookmarkStart w:id="435" w:name="_Toc14371"/>
      <w:bookmarkStart w:id="436" w:name="_Toc26633"/>
      <w:bookmarkStart w:id="437" w:name="_Toc4720"/>
      <w:r>
        <w:rPr>
          <w:rFonts w:hint="eastAsia" w:ascii="宋体" w:hAnsi="宋体" w:cs="宋体"/>
          <w:b/>
          <w:sz w:val="24"/>
        </w:rPr>
        <w:t>2.11 不可抗力</w:t>
      </w:r>
      <w:bookmarkEnd w:id="433"/>
      <w:bookmarkEnd w:id="434"/>
      <w:bookmarkEnd w:id="435"/>
      <w:bookmarkEnd w:id="436"/>
      <w:bookmarkEnd w:id="437"/>
    </w:p>
    <w:p w14:paraId="710E95A9">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7456ECB0">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6D9A8FBA">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BAABE27">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B642C5B">
      <w:pPr>
        <w:spacing w:line="560" w:lineRule="exact"/>
        <w:ind w:firstLine="482" w:firstLineChars="200"/>
        <w:outlineLvl w:val="0"/>
        <w:rPr>
          <w:rFonts w:ascii="宋体" w:hAnsi="宋体" w:cs="宋体"/>
          <w:b/>
          <w:sz w:val="24"/>
        </w:rPr>
      </w:pPr>
      <w:bookmarkStart w:id="438" w:name="_Toc25783"/>
      <w:bookmarkStart w:id="439" w:name="_Toc23854"/>
      <w:bookmarkStart w:id="440" w:name="_Toc3638"/>
      <w:bookmarkStart w:id="441" w:name="_Toc14115"/>
      <w:bookmarkStart w:id="442" w:name="_Toc24465"/>
      <w:r>
        <w:rPr>
          <w:rFonts w:hint="eastAsia" w:ascii="宋体" w:hAnsi="宋体" w:cs="宋体"/>
          <w:b/>
          <w:sz w:val="24"/>
        </w:rPr>
        <w:t>2.12 税费</w:t>
      </w:r>
      <w:bookmarkEnd w:id="438"/>
      <w:bookmarkEnd w:id="439"/>
      <w:bookmarkEnd w:id="440"/>
      <w:bookmarkEnd w:id="441"/>
      <w:bookmarkEnd w:id="442"/>
    </w:p>
    <w:p w14:paraId="1FE14628">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23BB2540">
      <w:pPr>
        <w:spacing w:line="560" w:lineRule="exact"/>
        <w:ind w:firstLine="482" w:firstLineChars="200"/>
        <w:outlineLvl w:val="0"/>
        <w:rPr>
          <w:rFonts w:ascii="宋体" w:hAnsi="宋体" w:cs="宋体"/>
          <w:b/>
          <w:sz w:val="24"/>
        </w:rPr>
      </w:pPr>
      <w:bookmarkStart w:id="443" w:name="_Toc26883"/>
      <w:bookmarkStart w:id="444" w:name="_Toc7315"/>
      <w:bookmarkStart w:id="445" w:name="_Toc14814"/>
      <w:bookmarkStart w:id="446" w:name="_Toc25525"/>
      <w:bookmarkStart w:id="447" w:name="_Toc30105"/>
      <w:r>
        <w:rPr>
          <w:rFonts w:hint="eastAsia" w:ascii="宋体" w:hAnsi="宋体" w:cs="宋体"/>
          <w:b/>
          <w:sz w:val="24"/>
        </w:rPr>
        <w:t>2.13 乙方破产</w:t>
      </w:r>
      <w:bookmarkEnd w:id="443"/>
      <w:bookmarkEnd w:id="444"/>
      <w:bookmarkEnd w:id="445"/>
      <w:bookmarkEnd w:id="446"/>
      <w:bookmarkEnd w:id="447"/>
    </w:p>
    <w:p w14:paraId="100725DF">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69594A">
      <w:pPr>
        <w:spacing w:line="560" w:lineRule="exact"/>
        <w:ind w:firstLine="482" w:firstLineChars="200"/>
        <w:outlineLvl w:val="0"/>
        <w:rPr>
          <w:rFonts w:ascii="宋体" w:hAnsi="宋体" w:cs="宋体"/>
          <w:b/>
          <w:sz w:val="24"/>
        </w:rPr>
      </w:pPr>
      <w:bookmarkStart w:id="448" w:name="_Toc1123"/>
      <w:bookmarkStart w:id="449" w:name="_Toc23323"/>
      <w:bookmarkStart w:id="450" w:name="_Toc2016"/>
      <w:r>
        <w:rPr>
          <w:rFonts w:hint="eastAsia" w:ascii="宋体" w:hAnsi="宋体" w:cs="宋体"/>
          <w:b/>
          <w:sz w:val="24"/>
        </w:rPr>
        <w:t>2.14 合同中止、终止</w:t>
      </w:r>
      <w:bookmarkEnd w:id="448"/>
      <w:bookmarkEnd w:id="449"/>
      <w:bookmarkEnd w:id="450"/>
    </w:p>
    <w:p w14:paraId="4194AF0C">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1D1716A1">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19E434FD">
      <w:pPr>
        <w:spacing w:line="560" w:lineRule="exact"/>
        <w:ind w:firstLine="482" w:firstLineChars="200"/>
        <w:outlineLvl w:val="0"/>
        <w:rPr>
          <w:rFonts w:ascii="宋体" w:hAnsi="宋体" w:cs="宋体"/>
          <w:b/>
          <w:sz w:val="24"/>
        </w:rPr>
      </w:pPr>
      <w:bookmarkStart w:id="451" w:name="_Toc14525"/>
      <w:bookmarkStart w:id="452" w:name="_Toc17363"/>
      <w:bookmarkStart w:id="453" w:name="_Toc1969"/>
      <w:r>
        <w:rPr>
          <w:rFonts w:hint="eastAsia" w:ascii="宋体" w:hAnsi="宋体" w:cs="宋体"/>
          <w:b/>
          <w:sz w:val="24"/>
        </w:rPr>
        <w:t>2.15 检验和验收</w:t>
      </w:r>
      <w:bookmarkEnd w:id="451"/>
      <w:bookmarkEnd w:id="452"/>
      <w:bookmarkEnd w:id="453"/>
    </w:p>
    <w:p w14:paraId="45A5D0C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182A101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88E5F9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2225F24F">
      <w:pPr>
        <w:spacing w:line="560" w:lineRule="exact"/>
        <w:ind w:firstLine="482" w:firstLineChars="200"/>
        <w:outlineLvl w:val="0"/>
        <w:rPr>
          <w:rFonts w:ascii="宋体" w:hAnsi="宋体" w:cs="宋体"/>
          <w:b/>
          <w:sz w:val="24"/>
        </w:rPr>
      </w:pPr>
      <w:bookmarkStart w:id="454" w:name="_Toc12666"/>
      <w:bookmarkStart w:id="455" w:name="_Toc9808"/>
      <w:bookmarkStart w:id="456" w:name="_Toc31892"/>
      <w:bookmarkStart w:id="457" w:name="_Toc25198"/>
      <w:bookmarkStart w:id="458" w:name="_Toc2308"/>
      <w:r>
        <w:rPr>
          <w:rFonts w:hint="eastAsia" w:ascii="宋体" w:hAnsi="宋体" w:cs="宋体"/>
          <w:b/>
          <w:sz w:val="24"/>
        </w:rPr>
        <w:t>2.16 通知和送达</w:t>
      </w:r>
      <w:bookmarkEnd w:id="454"/>
      <w:bookmarkEnd w:id="455"/>
      <w:bookmarkEnd w:id="456"/>
      <w:bookmarkEnd w:id="457"/>
      <w:bookmarkEnd w:id="458"/>
    </w:p>
    <w:p w14:paraId="4A51ABB0">
      <w:pPr>
        <w:spacing w:line="560" w:lineRule="exact"/>
        <w:ind w:firstLine="480" w:firstLineChars="200"/>
        <w:rPr>
          <w:rFonts w:ascii="宋体" w:hAnsi="宋体" w:cs="宋体"/>
          <w:sz w:val="24"/>
        </w:rPr>
      </w:pPr>
      <w:bookmarkStart w:id="459" w:name="_Toc18401"/>
      <w:bookmarkStart w:id="460"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431780FE">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14:paraId="74013D05">
      <w:pPr>
        <w:spacing w:line="560" w:lineRule="exact"/>
        <w:ind w:firstLine="482" w:firstLineChars="200"/>
        <w:outlineLvl w:val="0"/>
        <w:rPr>
          <w:rFonts w:ascii="宋体" w:hAnsi="宋体" w:cs="宋体"/>
          <w:b/>
          <w:sz w:val="24"/>
        </w:rPr>
      </w:pPr>
      <w:bookmarkStart w:id="461" w:name="_Toc12254"/>
      <w:bookmarkStart w:id="462" w:name="_Toc20808"/>
      <w:bookmarkStart w:id="463" w:name="_Toc27644"/>
      <w:bookmarkStart w:id="464" w:name="_Toc28906"/>
      <w:bookmarkStart w:id="465" w:name="_Toc5063"/>
      <w:r>
        <w:rPr>
          <w:rFonts w:hint="eastAsia" w:ascii="宋体" w:hAnsi="宋体" w:cs="宋体"/>
          <w:b/>
          <w:sz w:val="24"/>
        </w:rPr>
        <w:t>2.17 合同使用的文字和适用的法律</w:t>
      </w:r>
      <w:bookmarkEnd w:id="461"/>
      <w:bookmarkEnd w:id="462"/>
      <w:bookmarkEnd w:id="463"/>
      <w:bookmarkEnd w:id="464"/>
      <w:bookmarkEnd w:id="465"/>
    </w:p>
    <w:p w14:paraId="1162E675">
      <w:pPr>
        <w:spacing w:line="560" w:lineRule="exact"/>
        <w:ind w:firstLine="480" w:firstLineChars="200"/>
        <w:rPr>
          <w:rFonts w:ascii="宋体" w:hAnsi="宋体" w:cs="宋体"/>
          <w:sz w:val="24"/>
        </w:rPr>
      </w:pPr>
      <w:r>
        <w:rPr>
          <w:rFonts w:hint="eastAsia" w:ascii="宋体" w:hAnsi="宋体" w:cs="宋体"/>
          <w:sz w:val="24"/>
        </w:rPr>
        <w:t>2.17.1 合同使用汉语书写、变更和解释；</w:t>
      </w:r>
    </w:p>
    <w:p w14:paraId="6B97CCDE">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510B46BF">
      <w:pPr>
        <w:spacing w:line="560" w:lineRule="exact"/>
        <w:ind w:firstLine="482" w:firstLineChars="200"/>
        <w:outlineLvl w:val="0"/>
        <w:rPr>
          <w:rFonts w:ascii="宋体" w:hAnsi="宋体" w:cs="宋体"/>
          <w:b/>
          <w:sz w:val="24"/>
        </w:rPr>
      </w:pPr>
      <w:bookmarkStart w:id="466" w:name="_Toc4355"/>
      <w:bookmarkStart w:id="467" w:name="_Toc30599"/>
      <w:bookmarkStart w:id="468" w:name="_Toc18540"/>
      <w:r>
        <w:rPr>
          <w:rFonts w:hint="eastAsia" w:ascii="宋体" w:hAnsi="宋体" w:cs="宋体"/>
          <w:b/>
          <w:sz w:val="24"/>
        </w:rPr>
        <w:t>2.18 计量单位</w:t>
      </w:r>
      <w:bookmarkEnd w:id="466"/>
      <w:bookmarkEnd w:id="467"/>
      <w:bookmarkEnd w:id="468"/>
    </w:p>
    <w:p w14:paraId="5562349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772EBF9">
      <w:pPr>
        <w:spacing w:line="560" w:lineRule="exact"/>
        <w:ind w:firstLine="482" w:firstLineChars="200"/>
        <w:rPr>
          <w:rFonts w:ascii="宋体" w:hAnsi="宋体" w:cs="宋体"/>
          <w:b/>
          <w:sz w:val="24"/>
        </w:rPr>
      </w:pPr>
      <w:r>
        <w:rPr>
          <w:rFonts w:hint="eastAsia" w:ascii="宋体" w:hAnsi="宋体" w:cs="宋体"/>
          <w:b/>
          <w:sz w:val="24"/>
        </w:rPr>
        <w:t>2.19合同份数</w:t>
      </w:r>
    </w:p>
    <w:p w14:paraId="5BD63550">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C05B958">
      <w:pPr>
        <w:spacing w:line="360" w:lineRule="auto"/>
        <w:jc w:val="center"/>
        <w:outlineLvl w:val="0"/>
        <w:rPr>
          <w:rFonts w:ascii="宋体" w:hAnsi="宋体" w:cs="宋体"/>
          <w:b/>
          <w:sz w:val="24"/>
        </w:rPr>
      </w:pPr>
      <w:r>
        <w:rPr>
          <w:rFonts w:hint="eastAsia" w:ascii="宋体" w:hAnsi="宋体" w:cs="宋体"/>
          <w:kern w:val="0"/>
        </w:rPr>
        <w:br w:type="page"/>
      </w:r>
      <w:bookmarkStart w:id="469" w:name="_Toc331685784"/>
      <w:r>
        <w:rPr>
          <w:rFonts w:hint="eastAsia" w:ascii="宋体" w:hAnsi="宋体" w:cs="宋体"/>
          <w:b/>
          <w:sz w:val="24"/>
        </w:rPr>
        <w:t xml:space="preserve"> </w:t>
      </w:r>
      <w:bookmarkEnd w:id="469"/>
      <w:r>
        <w:rPr>
          <w:rFonts w:hint="eastAsia" w:ascii="宋体" w:hAnsi="宋体" w:cs="宋体"/>
          <w:b/>
          <w:sz w:val="24"/>
        </w:rPr>
        <w:t>第三部分  合同专用条款</w:t>
      </w:r>
    </w:p>
    <w:p w14:paraId="5FE29BB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5"/>
        <w:gridCol w:w="8049"/>
      </w:tblGrid>
      <w:tr w14:paraId="0F143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5" w:type="dxa"/>
            <w:tcBorders>
              <w:left w:val="single" w:color="auto" w:sz="4" w:space="0"/>
            </w:tcBorders>
            <w:vAlign w:val="center"/>
          </w:tcPr>
          <w:p w14:paraId="7B23E5FC">
            <w:pPr>
              <w:spacing w:after="0" w:line="360" w:lineRule="auto"/>
              <w:jc w:val="center"/>
              <w:rPr>
                <w:rFonts w:ascii="宋体" w:hAnsi="宋体" w:cs="宋体"/>
                <w:b/>
                <w:sz w:val="24"/>
                <w:szCs w:val="20"/>
              </w:rPr>
            </w:pPr>
            <w:r>
              <w:rPr>
                <w:rFonts w:hint="eastAsia" w:ascii="宋体" w:hAnsi="宋体" w:cs="宋体"/>
                <w:b/>
                <w:sz w:val="24"/>
                <w:szCs w:val="20"/>
              </w:rPr>
              <w:t>条款号</w:t>
            </w:r>
          </w:p>
        </w:tc>
        <w:tc>
          <w:tcPr>
            <w:tcW w:w="8049" w:type="dxa"/>
            <w:vAlign w:val="center"/>
          </w:tcPr>
          <w:p w14:paraId="48DD0317">
            <w:pPr>
              <w:spacing w:after="0" w:line="360" w:lineRule="auto"/>
              <w:jc w:val="center"/>
              <w:rPr>
                <w:rFonts w:ascii="宋体" w:hAnsi="宋体" w:cs="宋体"/>
                <w:b/>
                <w:sz w:val="24"/>
                <w:szCs w:val="20"/>
              </w:rPr>
            </w:pPr>
            <w:r>
              <w:rPr>
                <w:rFonts w:hint="eastAsia" w:ascii="宋体" w:hAnsi="宋体" w:cs="宋体"/>
                <w:b/>
                <w:sz w:val="24"/>
                <w:szCs w:val="20"/>
              </w:rPr>
              <w:t>约定内容</w:t>
            </w:r>
          </w:p>
        </w:tc>
      </w:tr>
      <w:tr w14:paraId="3CDC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AC6303D">
            <w:pPr>
              <w:spacing w:after="0" w:line="360" w:lineRule="auto"/>
              <w:rPr>
                <w:rFonts w:ascii="宋体" w:hAnsi="宋体" w:cs="宋体"/>
                <w:sz w:val="24"/>
                <w:szCs w:val="20"/>
              </w:rPr>
            </w:pPr>
            <w:r>
              <w:rPr>
                <w:rFonts w:hint="eastAsia" w:ascii="宋体" w:hAnsi="宋体" w:cs="宋体"/>
                <w:sz w:val="24"/>
                <w:szCs w:val="20"/>
              </w:rPr>
              <w:t>1.3.2</w:t>
            </w:r>
          </w:p>
        </w:tc>
        <w:tc>
          <w:tcPr>
            <w:tcW w:w="8049" w:type="dxa"/>
            <w:vAlign w:val="center"/>
          </w:tcPr>
          <w:p w14:paraId="420FFBCB">
            <w:pPr>
              <w:spacing w:after="0" w:line="360" w:lineRule="auto"/>
              <w:rPr>
                <w:rFonts w:ascii="宋体" w:hAnsi="宋体" w:cs="宋体"/>
                <w:sz w:val="24"/>
                <w:szCs w:val="20"/>
              </w:rPr>
            </w:pPr>
          </w:p>
        </w:tc>
      </w:tr>
      <w:tr w14:paraId="62B28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40F39F32">
            <w:pPr>
              <w:spacing w:after="0" w:line="360" w:lineRule="auto"/>
              <w:rPr>
                <w:rFonts w:ascii="宋体" w:hAnsi="宋体" w:cs="宋体"/>
                <w:sz w:val="24"/>
                <w:szCs w:val="20"/>
              </w:rPr>
            </w:pPr>
            <w:r>
              <w:rPr>
                <w:rFonts w:hint="eastAsia" w:ascii="宋体" w:hAnsi="宋体" w:cs="宋体"/>
                <w:sz w:val="24"/>
                <w:szCs w:val="20"/>
              </w:rPr>
              <w:t>1.4.2</w:t>
            </w:r>
          </w:p>
        </w:tc>
        <w:tc>
          <w:tcPr>
            <w:tcW w:w="8049" w:type="dxa"/>
            <w:vAlign w:val="center"/>
          </w:tcPr>
          <w:p w14:paraId="69723EB3">
            <w:pPr>
              <w:spacing w:after="0" w:line="360" w:lineRule="auto"/>
              <w:rPr>
                <w:rFonts w:ascii="宋体" w:hAnsi="宋体" w:cs="宋体"/>
                <w:sz w:val="24"/>
                <w:szCs w:val="20"/>
              </w:rPr>
            </w:pPr>
          </w:p>
        </w:tc>
      </w:tr>
      <w:tr w14:paraId="69E8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EE0E17C">
            <w:pPr>
              <w:spacing w:after="0" w:line="360" w:lineRule="auto"/>
              <w:rPr>
                <w:rFonts w:ascii="宋体" w:hAnsi="宋体" w:cs="宋体"/>
                <w:sz w:val="24"/>
                <w:szCs w:val="20"/>
              </w:rPr>
            </w:pPr>
            <w:r>
              <w:rPr>
                <w:rFonts w:hint="eastAsia" w:ascii="宋体" w:hAnsi="宋体" w:cs="宋体"/>
                <w:sz w:val="24"/>
                <w:szCs w:val="20"/>
              </w:rPr>
              <w:t xml:space="preserve">1.5.1 </w:t>
            </w:r>
          </w:p>
        </w:tc>
        <w:tc>
          <w:tcPr>
            <w:tcW w:w="8049" w:type="dxa"/>
            <w:vAlign w:val="center"/>
          </w:tcPr>
          <w:p w14:paraId="4C2A5F62">
            <w:pPr>
              <w:spacing w:after="0" w:line="360" w:lineRule="auto"/>
              <w:rPr>
                <w:rFonts w:ascii="宋体" w:hAnsi="宋体" w:cs="宋体"/>
                <w:sz w:val="24"/>
                <w:szCs w:val="20"/>
              </w:rPr>
            </w:pPr>
          </w:p>
        </w:tc>
      </w:tr>
      <w:tr w14:paraId="11FA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4B4819DB">
            <w:pPr>
              <w:spacing w:after="0" w:line="360" w:lineRule="auto"/>
              <w:rPr>
                <w:rFonts w:ascii="宋体" w:hAnsi="宋体" w:cs="宋体"/>
                <w:sz w:val="24"/>
                <w:szCs w:val="20"/>
              </w:rPr>
            </w:pPr>
            <w:r>
              <w:rPr>
                <w:rFonts w:hint="eastAsia" w:ascii="宋体" w:hAnsi="宋体" w:cs="宋体"/>
                <w:sz w:val="24"/>
                <w:szCs w:val="20"/>
              </w:rPr>
              <w:t>1.5.2</w:t>
            </w:r>
          </w:p>
        </w:tc>
        <w:tc>
          <w:tcPr>
            <w:tcW w:w="8049" w:type="dxa"/>
            <w:vAlign w:val="center"/>
          </w:tcPr>
          <w:p w14:paraId="397A6DF2">
            <w:pPr>
              <w:spacing w:after="0" w:line="360" w:lineRule="auto"/>
              <w:rPr>
                <w:rFonts w:ascii="宋体" w:hAnsi="宋体" w:cs="宋体"/>
                <w:sz w:val="24"/>
                <w:szCs w:val="20"/>
              </w:rPr>
            </w:pPr>
          </w:p>
        </w:tc>
      </w:tr>
      <w:tr w14:paraId="5B54E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503E4BE">
            <w:pPr>
              <w:spacing w:after="0" w:line="360" w:lineRule="auto"/>
              <w:rPr>
                <w:rFonts w:ascii="宋体" w:hAnsi="宋体" w:cs="宋体"/>
                <w:sz w:val="24"/>
                <w:szCs w:val="20"/>
              </w:rPr>
            </w:pPr>
            <w:r>
              <w:rPr>
                <w:rFonts w:hint="eastAsia" w:ascii="宋体" w:hAnsi="宋体" w:cs="宋体"/>
                <w:sz w:val="24"/>
                <w:szCs w:val="20"/>
              </w:rPr>
              <w:t xml:space="preserve">1.5.3 </w:t>
            </w:r>
          </w:p>
        </w:tc>
        <w:tc>
          <w:tcPr>
            <w:tcW w:w="8049" w:type="dxa"/>
            <w:vAlign w:val="center"/>
          </w:tcPr>
          <w:p w14:paraId="170135AA">
            <w:pPr>
              <w:spacing w:after="0" w:line="360" w:lineRule="auto"/>
              <w:rPr>
                <w:rFonts w:ascii="宋体" w:hAnsi="宋体" w:cs="宋体"/>
                <w:sz w:val="24"/>
                <w:szCs w:val="20"/>
              </w:rPr>
            </w:pPr>
          </w:p>
        </w:tc>
      </w:tr>
      <w:tr w14:paraId="6E9C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32D6F3AC">
            <w:pPr>
              <w:spacing w:after="0" w:line="360" w:lineRule="auto"/>
              <w:rPr>
                <w:rFonts w:ascii="宋体" w:hAnsi="宋体" w:cs="宋体"/>
                <w:sz w:val="24"/>
                <w:szCs w:val="20"/>
              </w:rPr>
            </w:pPr>
            <w:r>
              <w:rPr>
                <w:rFonts w:hint="eastAsia" w:ascii="宋体" w:hAnsi="宋体" w:cs="宋体"/>
                <w:sz w:val="24"/>
                <w:szCs w:val="20"/>
              </w:rPr>
              <w:t>1.6.2</w:t>
            </w:r>
          </w:p>
        </w:tc>
        <w:tc>
          <w:tcPr>
            <w:tcW w:w="8049" w:type="dxa"/>
            <w:vAlign w:val="center"/>
          </w:tcPr>
          <w:p w14:paraId="2138E1B0">
            <w:pPr>
              <w:spacing w:after="0" w:line="360" w:lineRule="auto"/>
              <w:rPr>
                <w:rFonts w:ascii="宋体" w:hAnsi="宋体" w:cs="宋体"/>
                <w:sz w:val="24"/>
                <w:szCs w:val="20"/>
              </w:rPr>
            </w:pPr>
          </w:p>
        </w:tc>
      </w:tr>
      <w:tr w14:paraId="6C54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6B0A8769">
            <w:pPr>
              <w:spacing w:after="0" w:line="360" w:lineRule="auto"/>
              <w:rPr>
                <w:rFonts w:ascii="宋体" w:hAnsi="宋体" w:cs="宋体"/>
                <w:sz w:val="24"/>
                <w:szCs w:val="20"/>
              </w:rPr>
            </w:pPr>
            <w:r>
              <w:rPr>
                <w:rFonts w:hint="eastAsia" w:ascii="宋体" w:hAnsi="宋体" w:cs="宋体"/>
                <w:sz w:val="24"/>
                <w:szCs w:val="20"/>
              </w:rPr>
              <w:t>1.7.1</w:t>
            </w:r>
          </w:p>
        </w:tc>
        <w:tc>
          <w:tcPr>
            <w:tcW w:w="8049" w:type="dxa"/>
            <w:vAlign w:val="center"/>
          </w:tcPr>
          <w:p w14:paraId="362323D1">
            <w:pPr>
              <w:spacing w:after="0" w:line="360" w:lineRule="auto"/>
              <w:rPr>
                <w:rFonts w:ascii="宋体" w:hAnsi="宋体" w:cs="宋体"/>
                <w:sz w:val="24"/>
                <w:szCs w:val="20"/>
              </w:rPr>
            </w:pPr>
          </w:p>
        </w:tc>
      </w:tr>
      <w:tr w14:paraId="5519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7DAD5482">
            <w:pPr>
              <w:spacing w:after="0" w:line="360" w:lineRule="auto"/>
              <w:rPr>
                <w:rFonts w:ascii="宋体" w:hAnsi="宋体" w:cs="宋体"/>
                <w:sz w:val="24"/>
                <w:szCs w:val="20"/>
              </w:rPr>
            </w:pPr>
            <w:r>
              <w:rPr>
                <w:rFonts w:hint="eastAsia" w:ascii="宋体" w:hAnsi="宋体" w:cs="宋体"/>
                <w:sz w:val="24"/>
                <w:szCs w:val="20"/>
              </w:rPr>
              <w:t>1.7.2</w:t>
            </w:r>
          </w:p>
        </w:tc>
        <w:tc>
          <w:tcPr>
            <w:tcW w:w="8049" w:type="dxa"/>
            <w:vAlign w:val="center"/>
          </w:tcPr>
          <w:p w14:paraId="2EE1E1B0">
            <w:pPr>
              <w:spacing w:after="0" w:line="360" w:lineRule="auto"/>
              <w:rPr>
                <w:rFonts w:ascii="宋体" w:hAnsi="宋体" w:cs="宋体"/>
                <w:sz w:val="24"/>
                <w:szCs w:val="20"/>
              </w:rPr>
            </w:pPr>
          </w:p>
        </w:tc>
      </w:tr>
      <w:tr w14:paraId="56F7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285F46CC">
            <w:pPr>
              <w:spacing w:after="0" w:line="360" w:lineRule="auto"/>
              <w:rPr>
                <w:rFonts w:ascii="宋体" w:hAnsi="宋体" w:cs="宋体"/>
                <w:sz w:val="24"/>
                <w:szCs w:val="20"/>
              </w:rPr>
            </w:pPr>
            <w:r>
              <w:rPr>
                <w:rFonts w:hint="eastAsia" w:ascii="宋体" w:hAnsi="宋体" w:cs="宋体"/>
                <w:sz w:val="24"/>
                <w:szCs w:val="20"/>
              </w:rPr>
              <w:t>1.7.3</w:t>
            </w:r>
          </w:p>
        </w:tc>
        <w:tc>
          <w:tcPr>
            <w:tcW w:w="8049" w:type="dxa"/>
            <w:vAlign w:val="center"/>
          </w:tcPr>
          <w:p w14:paraId="716B2A2F">
            <w:pPr>
              <w:spacing w:after="0" w:line="360" w:lineRule="auto"/>
              <w:rPr>
                <w:rFonts w:ascii="宋体" w:hAnsi="宋体" w:cs="宋体"/>
                <w:sz w:val="24"/>
                <w:szCs w:val="20"/>
              </w:rPr>
            </w:pPr>
          </w:p>
        </w:tc>
      </w:tr>
      <w:tr w14:paraId="5958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65F48827">
            <w:pPr>
              <w:spacing w:after="0" w:line="360" w:lineRule="auto"/>
              <w:rPr>
                <w:rFonts w:ascii="宋体" w:hAnsi="宋体" w:cs="宋体"/>
                <w:sz w:val="24"/>
                <w:szCs w:val="20"/>
              </w:rPr>
            </w:pPr>
            <w:r>
              <w:rPr>
                <w:rFonts w:hint="eastAsia" w:ascii="宋体" w:hAnsi="宋体" w:cs="宋体"/>
                <w:sz w:val="24"/>
                <w:szCs w:val="20"/>
              </w:rPr>
              <w:t>1.7.4.1</w:t>
            </w:r>
          </w:p>
        </w:tc>
        <w:tc>
          <w:tcPr>
            <w:tcW w:w="8049" w:type="dxa"/>
            <w:vAlign w:val="center"/>
          </w:tcPr>
          <w:p w14:paraId="6FC27056">
            <w:pPr>
              <w:spacing w:after="0" w:line="360" w:lineRule="auto"/>
              <w:rPr>
                <w:rFonts w:ascii="宋体" w:hAnsi="宋体" w:cs="宋体"/>
                <w:sz w:val="24"/>
                <w:szCs w:val="20"/>
              </w:rPr>
            </w:pPr>
          </w:p>
        </w:tc>
      </w:tr>
      <w:tr w14:paraId="004A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FA45ECE">
            <w:pPr>
              <w:spacing w:after="0" w:line="360" w:lineRule="auto"/>
              <w:rPr>
                <w:rFonts w:ascii="宋体" w:hAnsi="宋体" w:cs="宋体"/>
                <w:sz w:val="24"/>
                <w:szCs w:val="20"/>
              </w:rPr>
            </w:pPr>
            <w:r>
              <w:rPr>
                <w:rFonts w:hint="eastAsia" w:ascii="宋体" w:hAnsi="宋体" w:cs="宋体"/>
                <w:sz w:val="24"/>
                <w:szCs w:val="20"/>
              </w:rPr>
              <w:t>1.7.4.2</w:t>
            </w:r>
          </w:p>
        </w:tc>
        <w:tc>
          <w:tcPr>
            <w:tcW w:w="8049" w:type="dxa"/>
            <w:vAlign w:val="center"/>
          </w:tcPr>
          <w:p w14:paraId="7C07A0CB">
            <w:pPr>
              <w:spacing w:after="0" w:line="360" w:lineRule="auto"/>
              <w:rPr>
                <w:rFonts w:ascii="宋体" w:hAnsi="宋体" w:cs="宋体"/>
                <w:sz w:val="24"/>
                <w:szCs w:val="20"/>
              </w:rPr>
            </w:pPr>
          </w:p>
        </w:tc>
      </w:tr>
      <w:tr w14:paraId="27432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16AC0549">
            <w:pPr>
              <w:spacing w:after="0" w:line="360" w:lineRule="auto"/>
              <w:rPr>
                <w:rFonts w:ascii="宋体" w:hAnsi="宋体" w:cs="宋体"/>
                <w:sz w:val="24"/>
                <w:szCs w:val="20"/>
              </w:rPr>
            </w:pPr>
            <w:r>
              <w:rPr>
                <w:rFonts w:hint="eastAsia" w:ascii="宋体" w:hAnsi="宋体" w:cs="宋体"/>
                <w:sz w:val="24"/>
                <w:szCs w:val="20"/>
              </w:rPr>
              <w:t>1.7.4.3</w:t>
            </w:r>
          </w:p>
        </w:tc>
        <w:tc>
          <w:tcPr>
            <w:tcW w:w="8049" w:type="dxa"/>
            <w:vAlign w:val="center"/>
          </w:tcPr>
          <w:p w14:paraId="6579CB4B">
            <w:pPr>
              <w:spacing w:after="0" w:line="360" w:lineRule="auto"/>
              <w:rPr>
                <w:rFonts w:ascii="宋体" w:hAnsi="宋体" w:cs="宋体"/>
                <w:sz w:val="24"/>
                <w:szCs w:val="20"/>
              </w:rPr>
            </w:pPr>
          </w:p>
        </w:tc>
      </w:tr>
      <w:tr w14:paraId="112F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7F43B19D">
            <w:pPr>
              <w:spacing w:after="0" w:line="360" w:lineRule="auto"/>
              <w:rPr>
                <w:rFonts w:ascii="宋体" w:hAnsi="宋体" w:cs="宋体"/>
                <w:sz w:val="24"/>
                <w:szCs w:val="20"/>
              </w:rPr>
            </w:pPr>
            <w:r>
              <w:rPr>
                <w:rFonts w:hint="eastAsia" w:ascii="宋体" w:hAnsi="宋体" w:cs="宋体"/>
                <w:sz w:val="24"/>
                <w:szCs w:val="20"/>
              </w:rPr>
              <w:t>1.8.7</w:t>
            </w:r>
          </w:p>
        </w:tc>
        <w:tc>
          <w:tcPr>
            <w:tcW w:w="8049" w:type="dxa"/>
            <w:vAlign w:val="center"/>
          </w:tcPr>
          <w:p w14:paraId="74920AAE">
            <w:pPr>
              <w:spacing w:after="0" w:line="360" w:lineRule="auto"/>
              <w:rPr>
                <w:rFonts w:ascii="宋体" w:hAnsi="宋体" w:cs="宋体"/>
                <w:sz w:val="24"/>
                <w:szCs w:val="20"/>
              </w:rPr>
            </w:pPr>
          </w:p>
        </w:tc>
      </w:tr>
      <w:tr w14:paraId="75E4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2941486E">
            <w:pPr>
              <w:spacing w:after="0" w:line="360" w:lineRule="auto"/>
              <w:rPr>
                <w:rFonts w:ascii="宋体" w:hAnsi="宋体" w:cs="宋体"/>
                <w:sz w:val="24"/>
                <w:szCs w:val="20"/>
              </w:rPr>
            </w:pPr>
            <w:r>
              <w:rPr>
                <w:rFonts w:hint="eastAsia" w:ascii="宋体" w:hAnsi="宋体" w:cs="宋体"/>
                <w:sz w:val="24"/>
                <w:szCs w:val="20"/>
              </w:rPr>
              <w:t>1.9.1</w:t>
            </w:r>
          </w:p>
        </w:tc>
        <w:tc>
          <w:tcPr>
            <w:tcW w:w="8049" w:type="dxa"/>
            <w:vAlign w:val="center"/>
          </w:tcPr>
          <w:p w14:paraId="14A0D891">
            <w:pPr>
              <w:spacing w:after="0" w:line="360" w:lineRule="auto"/>
              <w:rPr>
                <w:rFonts w:ascii="宋体" w:hAnsi="宋体" w:cs="宋体"/>
                <w:sz w:val="24"/>
                <w:szCs w:val="20"/>
              </w:rPr>
            </w:pPr>
          </w:p>
        </w:tc>
      </w:tr>
      <w:tr w14:paraId="5566E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428D9DE">
            <w:pPr>
              <w:spacing w:after="0" w:line="360" w:lineRule="auto"/>
              <w:rPr>
                <w:rFonts w:ascii="宋体" w:hAnsi="宋体" w:cs="宋体"/>
                <w:sz w:val="24"/>
                <w:szCs w:val="20"/>
              </w:rPr>
            </w:pPr>
            <w:r>
              <w:rPr>
                <w:rFonts w:hint="eastAsia" w:ascii="宋体" w:hAnsi="宋体" w:cs="宋体"/>
                <w:sz w:val="24"/>
                <w:szCs w:val="20"/>
              </w:rPr>
              <w:t>1.9.2</w:t>
            </w:r>
          </w:p>
        </w:tc>
        <w:tc>
          <w:tcPr>
            <w:tcW w:w="8049" w:type="dxa"/>
            <w:vAlign w:val="center"/>
          </w:tcPr>
          <w:p w14:paraId="75F35C24">
            <w:pPr>
              <w:spacing w:after="0" w:line="360" w:lineRule="auto"/>
              <w:rPr>
                <w:rFonts w:ascii="宋体" w:hAnsi="宋体" w:cs="宋体"/>
                <w:sz w:val="24"/>
                <w:szCs w:val="20"/>
              </w:rPr>
            </w:pPr>
          </w:p>
        </w:tc>
      </w:tr>
      <w:tr w14:paraId="05E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037923D">
            <w:pPr>
              <w:spacing w:after="0" w:line="360" w:lineRule="auto"/>
              <w:rPr>
                <w:rFonts w:ascii="宋体" w:hAnsi="宋体" w:cs="宋体"/>
                <w:sz w:val="24"/>
                <w:szCs w:val="20"/>
              </w:rPr>
            </w:pPr>
            <w:r>
              <w:rPr>
                <w:rFonts w:hint="eastAsia" w:ascii="宋体" w:hAnsi="宋体" w:cs="宋体"/>
                <w:sz w:val="24"/>
                <w:szCs w:val="20"/>
              </w:rPr>
              <w:t>2.3.2</w:t>
            </w:r>
          </w:p>
        </w:tc>
        <w:tc>
          <w:tcPr>
            <w:tcW w:w="8049" w:type="dxa"/>
            <w:vAlign w:val="center"/>
          </w:tcPr>
          <w:p w14:paraId="1B86C4C6">
            <w:pPr>
              <w:spacing w:after="0" w:line="360" w:lineRule="auto"/>
              <w:ind w:left="-420" w:leftChars="-200" w:right="-420" w:rightChars="-200" w:firstLine="480" w:firstLineChars="200"/>
              <w:rPr>
                <w:rFonts w:ascii="宋体" w:hAnsi="宋体" w:cs="宋体"/>
                <w:sz w:val="24"/>
                <w:szCs w:val="20"/>
              </w:rPr>
            </w:pPr>
          </w:p>
        </w:tc>
      </w:tr>
      <w:tr w14:paraId="5E90C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2B0DA407">
            <w:pPr>
              <w:spacing w:after="0" w:line="360" w:lineRule="auto"/>
              <w:rPr>
                <w:rFonts w:ascii="宋体" w:hAnsi="宋体" w:cs="宋体"/>
                <w:sz w:val="24"/>
                <w:szCs w:val="20"/>
              </w:rPr>
            </w:pPr>
            <w:r>
              <w:rPr>
                <w:rFonts w:hint="eastAsia" w:ascii="宋体" w:hAnsi="宋体" w:cs="宋体"/>
                <w:sz w:val="24"/>
                <w:szCs w:val="20"/>
              </w:rPr>
              <w:t>2.5</w:t>
            </w:r>
          </w:p>
        </w:tc>
        <w:tc>
          <w:tcPr>
            <w:tcW w:w="8049" w:type="dxa"/>
            <w:vAlign w:val="center"/>
          </w:tcPr>
          <w:p w14:paraId="03C7AF67">
            <w:pPr>
              <w:spacing w:after="0" w:line="360" w:lineRule="auto"/>
              <w:ind w:left="-420" w:leftChars="-200" w:right="-420" w:rightChars="-200" w:firstLine="480" w:firstLineChars="200"/>
              <w:rPr>
                <w:rFonts w:ascii="宋体" w:hAnsi="宋体" w:cs="宋体"/>
                <w:sz w:val="24"/>
                <w:szCs w:val="20"/>
              </w:rPr>
            </w:pPr>
          </w:p>
        </w:tc>
      </w:tr>
      <w:tr w14:paraId="53CD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44E8BE1F">
            <w:pPr>
              <w:spacing w:after="0" w:line="360" w:lineRule="auto"/>
              <w:rPr>
                <w:rFonts w:ascii="宋体" w:hAnsi="宋体" w:cs="宋体"/>
                <w:sz w:val="24"/>
                <w:szCs w:val="20"/>
              </w:rPr>
            </w:pPr>
            <w:r>
              <w:rPr>
                <w:rFonts w:hint="eastAsia" w:ascii="宋体" w:hAnsi="宋体" w:cs="宋体"/>
                <w:sz w:val="24"/>
                <w:szCs w:val="20"/>
              </w:rPr>
              <w:t>2.7</w:t>
            </w:r>
          </w:p>
        </w:tc>
        <w:tc>
          <w:tcPr>
            <w:tcW w:w="8049" w:type="dxa"/>
            <w:vAlign w:val="center"/>
          </w:tcPr>
          <w:p w14:paraId="52C47BD1">
            <w:pPr>
              <w:tabs>
                <w:tab w:val="left" w:pos="966"/>
              </w:tabs>
              <w:spacing w:after="0" w:line="360" w:lineRule="auto"/>
              <w:ind w:firstLine="420" w:firstLineChars="200"/>
              <w:outlineLvl w:val="0"/>
              <w:rPr>
                <w:rFonts w:ascii="宋体" w:hAnsi="宋体" w:cs="宋体"/>
                <w:szCs w:val="21"/>
              </w:rPr>
            </w:pPr>
          </w:p>
        </w:tc>
      </w:tr>
      <w:tr w14:paraId="7CDF8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EEF446E">
            <w:pPr>
              <w:spacing w:after="0" w:line="360" w:lineRule="auto"/>
              <w:rPr>
                <w:rFonts w:ascii="宋体" w:hAnsi="宋体" w:cs="宋体"/>
                <w:sz w:val="24"/>
                <w:szCs w:val="20"/>
              </w:rPr>
            </w:pPr>
            <w:r>
              <w:rPr>
                <w:rFonts w:hint="eastAsia" w:ascii="宋体" w:hAnsi="宋体" w:cs="宋体"/>
                <w:sz w:val="24"/>
                <w:szCs w:val="20"/>
              </w:rPr>
              <w:t>2.11.3</w:t>
            </w:r>
          </w:p>
        </w:tc>
        <w:tc>
          <w:tcPr>
            <w:tcW w:w="8049" w:type="dxa"/>
            <w:vAlign w:val="center"/>
          </w:tcPr>
          <w:p w14:paraId="646BC47E">
            <w:pPr>
              <w:spacing w:after="0" w:line="360" w:lineRule="auto"/>
              <w:rPr>
                <w:rFonts w:ascii="宋体" w:hAnsi="宋体" w:cs="宋体"/>
                <w:sz w:val="24"/>
                <w:szCs w:val="20"/>
              </w:rPr>
            </w:pPr>
          </w:p>
        </w:tc>
      </w:tr>
      <w:tr w14:paraId="284BE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tcPr>
          <w:p w14:paraId="177D0039">
            <w:pPr>
              <w:spacing w:after="0" w:line="360" w:lineRule="auto"/>
              <w:rPr>
                <w:rFonts w:ascii="宋体" w:hAnsi="宋体" w:cs="宋体"/>
                <w:sz w:val="24"/>
                <w:szCs w:val="20"/>
              </w:rPr>
            </w:pPr>
            <w:r>
              <w:rPr>
                <w:rFonts w:hint="eastAsia" w:ascii="宋体" w:hAnsi="宋体" w:cs="宋体"/>
                <w:sz w:val="24"/>
                <w:szCs w:val="20"/>
              </w:rPr>
              <w:t xml:space="preserve">2.11.4 </w:t>
            </w:r>
          </w:p>
        </w:tc>
        <w:tc>
          <w:tcPr>
            <w:tcW w:w="8049" w:type="dxa"/>
          </w:tcPr>
          <w:p w14:paraId="08BACD03">
            <w:pPr>
              <w:spacing w:after="0" w:line="360" w:lineRule="auto"/>
              <w:rPr>
                <w:rFonts w:ascii="宋体" w:hAnsi="宋体" w:cs="宋体"/>
                <w:sz w:val="24"/>
                <w:szCs w:val="20"/>
              </w:rPr>
            </w:pPr>
          </w:p>
        </w:tc>
      </w:tr>
      <w:tr w14:paraId="0274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42D9F7F5">
            <w:pPr>
              <w:spacing w:after="0" w:line="360" w:lineRule="auto"/>
              <w:rPr>
                <w:rFonts w:ascii="宋体" w:hAnsi="宋体" w:cs="宋体"/>
                <w:sz w:val="24"/>
                <w:szCs w:val="20"/>
              </w:rPr>
            </w:pPr>
            <w:r>
              <w:rPr>
                <w:rFonts w:hint="eastAsia" w:ascii="宋体" w:hAnsi="宋体" w:cs="宋体"/>
                <w:sz w:val="24"/>
                <w:szCs w:val="20"/>
              </w:rPr>
              <w:t>2.15.1</w:t>
            </w:r>
          </w:p>
        </w:tc>
        <w:tc>
          <w:tcPr>
            <w:tcW w:w="8049" w:type="dxa"/>
            <w:vAlign w:val="center"/>
          </w:tcPr>
          <w:p w14:paraId="7A1AA854">
            <w:pPr>
              <w:spacing w:after="0" w:line="360" w:lineRule="auto"/>
              <w:rPr>
                <w:rFonts w:ascii="宋体" w:hAnsi="宋体" w:cs="宋体"/>
                <w:sz w:val="24"/>
                <w:szCs w:val="20"/>
              </w:rPr>
            </w:pPr>
          </w:p>
        </w:tc>
      </w:tr>
      <w:tr w14:paraId="2605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22BBF868">
            <w:pPr>
              <w:spacing w:after="0" w:line="360" w:lineRule="auto"/>
              <w:rPr>
                <w:rFonts w:ascii="宋体" w:hAnsi="宋体" w:cs="宋体"/>
                <w:sz w:val="24"/>
                <w:szCs w:val="20"/>
              </w:rPr>
            </w:pPr>
            <w:r>
              <w:rPr>
                <w:rFonts w:hint="eastAsia" w:ascii="宋体" w:hAnsi="宋体" w:cs="宋体"/>
                <w:sz w:val="24"/>
                <w:szCs w:val="20"/>
              </w:rPr>
              <w:t>2.15.3</w:t>
            </w:r>
          </w:p>
        </w:tc>
        <w:tc>
          <w:tcPr>
            <w:tcW w:w="8049" w:type="dxa"/>
            <w:vAlign w:val="center"/>
          </w:tcPr>
          <w:p w14:paraId="31374F6F">
            <w:pPr>
              <w:spacing w:after="0" w:line="360" w:lineRule="auto"/>
              <w:rPr>
                <w:rFonts w:ascii="宋体" w:hAnsi="宋体" w:cs="宋体"/>
                <w:sz w:val="24"/>
                <w:szCs w:val="20"/>
              </w:rPr>
            </w:pPr>
          </w:p>
        </w:tc>
      </w:tr>
      <w:tr w14:paraId="5A08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5" w:type="dxa"/>
            <w:tcBorders>
              <w:left w:val="single" w:color="auto" w:sz="4" w:space="0"/>
            </w:tcBorders>
          </w:tcPr>
          <w:p w14:paraId="2B4A75A4">
            <w:pPr>
              <w:spacing w:after="0" w:line="360" w:lineRule="auto"/>
              <w:rPr>
                <w:rFonts w:ascii="宋体" w:hAnsi="宋体" w:cs="宋体"/>
                <w:sz w:val="24"/>
                <w:szCs w:val="20"/>
              </w:rPr>
            </w:pPr>
            <w:r>
              <w:rPr>
                <w:rFonts w:hint="eastAsia" w:ascii="宋体" w:hAnsi="宋体" w:cs="宋体"/>
                <w:sz w:val="24"/>
                <w:szCs w:val="20"/>
              </w:rPr>
              <w:t>2.19</w:t>
            </w:r>
          </w:p>
        </w:tc>
        <w:tc>
          <w:tcPr>
            <w:tcW w:w="8049" w:type="dxa"/>
          </w:tcPr>
          <w:p w14:paraId="5690F41B">
            <w:pPr>
              <w:spacing w:after="0" w:line="360" w:lineRule="auto"/>
              <w:rPr>
                <w:rFonts w:ascii="宋体" w:hAnsi="宋体" w:cs="宋体"/>
                <w:sz w:val="24"/>
                <w:szCs w:val="20"/>
              </w:rPr>
            </w:pPr>
          </w:p>
        </w:tc>
      </w:tr>
    </w:tbl>
    <w:p w14:paraId="366C4BC3">
      <w:pPr>
        <w:jc w:val="left"/>
        <w:rPr>
          <w:rFonts w:ascii="宋体" w:hAnsi="宋体" w:cs="宋体"/>
          <w:b/>
          <w:sz w:val="36"/>
          <w:szCs w:val="20"/>
        </w:rPr>
      </w:pPr>
      <w:r>
        <w:rPr>
          <w:rFonts w:hint="eastAsia" w:ascii="宋体" w:hAnsi="宋体" w:cs="宋体"/>
          <w:b/>
          <w:sz w:val="36"/>
          <w:szCs w:val="20"/>
        </w:rPr>
        <w:br w:type="page"/>
      </w:r>
    </w:p>
    <w:p w14:paraId="353753CE">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88"/>
      <w:r>
        <w:rPr>
          <w:rFonts w:hint="eastAsia" w:ascii="宋体" w:hAnsi="宋体" w:cs="宋体"/>
          <w:b/>
          <w:sz w:val="36"/>
          <w:szCs w:val="20"/>
        </w:rPr>
        <w:t xml:space="preserve"> </w:t>
      </w:r>
      <w:bookmarkEnd w:id="389"/>
      <w:r>
        <w:rPr>
          <w:rFonts w:hint="eastAsia" w:ascii="宋体" w:hAnsi="宋体" w:cs="宋体"/>
          <w:b/>
          <w:sz w:val="36"/>
          <w:szCs w:val="20"/>
        </w:rPr>
        <w:t>应提交的有关格式范例</w:t>
      </w:r>
    </w:p>
    <w:p w14:paraId="54E97574">
      <w:pPr>
        <w:snapToGrid w:val="0"/>
        <w:spacing w:line="360" w:lineRule="auto"/>
        <w:rPr>
          <w:rFonts w:hint="eastAsia" w:ascii="宋体" w:hAnsi="宋体" w:cs="宋体"/>
          <w:b/>
          <w:sz w:val="24"/>
        </w:rPr>
      </w:pPr>
    </w:p>
    <w:p w14:paraId="3C5340CC">
      <w:pPr>
        <w:snapToGrid w:val="0"/>
        <w:spacing w:line="360" w:lineRule="auto"/>
        <w:rPr>
          <w:rFonts w:ascii="宋体" w:hAnsi="宋体" w:cs="宋体"/>
          <w:b/>
          <w:sz w:val="24"/>
        </w:rPr>
      </w:pPr>
      <w:r>
        <w:rPr>
          <w:rFonts w:hint="eastAsia" w:ascii="宋体" w:hAnsi="宋体" w:cs="宋体"/>
          <w:b/>
          <w:sz w:val="24"/>
        </w:rPr>
        <w:t>一、投标人提交投标文件须知：</w:t>
      </w:r>
    </w:p>
    <w:p w14:paraId="6A2009A4">
      <w:pPr>
        <w:snapToGrid w:val="0"/>
        <w:spacing w:line="360" w:lineRule="auto"/>
        <w:ind w:firstLine="480" w:firstLineChars="200"/>
        <w:rPr>
          <w:rFonts w:ascii="宋体" w:hAnsi="宋体" w:cs="宋体"/>
          <w:sz w:val="24"/>
        </w:rPr>
      </w:pPr>
      <w:r>
        <w:rPr>
          <w:rFonts w:hint="eastAsia" w:ascii="宋体" w:hAnsi="宋体" w:cs="宋体"/>
          <w:sz w:val="24"/>
        </w:rPr>
        <w:t>1、投标人应严格按照以下顺序填写和提交下述规定的全部格式文件以及其他有关资料，混乱的编排导致投标文件被误读或评标委员会查找不到有效文件是投标人的风险。</w:t>
      </w:r>
    </w:p>
    <w:p w14:paraId="47728EBA">
      <w:pPr>
        <w:snapToGrid w:val="0"/>
        <w:spacing w:line="360" w:lineRule="auto"/>
        <w:ind w:firstLine="480" w:firstLineChars="200"/>
        <w:rPr>
          <w:rFonts w:ascii="宋体" w:hAnsi="宋体" w:cs="宋体"/>
          <w:sz w:val="24"/>
        </w:rPr>
      </w:pPr>
      <w:r>
        <w:rPr>
          <w:rFonts w:hint="eastAsia" w:ascii="宋体" w:hAnsi="宋体" w:cs="宋体"/>
          <w:sz w:val="24"/>
        </w:rPr>
        <w:t>2、所附表格中要求回答的全部问题和/或信息都必须正面回答。</w:t>
      </w:r>
    </w:p>
    <w:p w14:paraId="062C8697">
      <w:pPr>
        <w:snapToGrid w:val="0"/>
        <w:spacing w:line="360" w:lineRule="auto"/>
        <w:ind w:firstLine="480" w:firstLineChars="200"/>
        <w:rPr>
          <w:rFonts w:ascii="宋体" w:hAnsi="宋体" w:cs="宋体"/>
          <w:sz w:val="24"/>
        </w:rPr>
      </w:pPr>
      <w:r>
        <w:rPr>
          <w:rFonts w:hint="eastAsia" w:ascii="宋体" w:hAnsi="宋体" w:cs="宋体"/>
          <w:sz w:val="24"/>
        </w:rPr>
        <w:t>3、本声明书的签字人应保证全部声明和问题的回答是真实的和准确的。</w:t>
      </w:r>
    </w:p>
    <w:p w14:paraId="2AC5FBEE">
      <w:pPr>
        <w:snapToGrid w:val="0"/>
        <w:spacing w:line="360" w:lineRule="auto"/>
        <w:ind w:firstLine="480" w:firstLineChars="200"/>
        <w:rPr>
          <w:rFonts w:ascii="宋体" w:hAnsi="宋体" w:cs="宋体"/>
          <w:sz w:val="24"/>
        </w:rPr>
      </w:pPr>
      <w:r>
        <w:rPr>
          <w:rFonts w:hint="eastAsia" w:ascii="宋体" w:hAnsi="宋体" w:cs="宋体"/>
          <w:sz w:val="24"/>
        </w:rPr>
        <w:t>4、评标委员会将应用投标人提交的资料作出自己的判断。</w:t>
      </w:r>
    </w:p>
    <w:p w14:paraId="7AD737FF">
      <w:pPr>
        <w:snapToGrid w:val="0"/>
        <w:spacing w:line="360" w:lineRule="auto"/>
        <w:ind w:firstLine="480" w:firstLineChars="200"/>
        <w:rPr>
          <w:rFonts w:ascii="宋体" w:hAnsi="宋体" w:cs="宋体"/>
          <w:sz w:val="24"/>
        </w:rPr>
      </w:pPr>
      <w:r>
        <w:rPr>
          <w:rFonts w:hint="eastAsia" w:ascii="宋体" w:hAnsi="宋体" w:cs="宋体"/>
          <w:sz w:val="24"/>
        </w:rPr>
        <w:t>5、投标人提交的材料将在一定期限内被保密保存，但不退还。</w:t>
      </w:r>
    </w:p>
    <w:p w14:paraId="492B2F38">
      <w:pPr>
        <w:snapToGrid w:val="0"/>
        <w:spacing w:line="360" w:lineRule="auto"/>
        <w:ind w:firstLine="480" w:firstLineChars="200"/>
        <w:rPr>
          <w:rFonts w:hint="eastAsia" w:ascii="宋体" w:hAnsi="宋体" w:cs="宋体"/>
          <w:b/>
          <w:sz w:val="24"/>
        </w:rPr>
      </w:pPr>
      <w:r>
        <w:rPr>
          <w:rFonts w:hint="eastAsia" w:ascii="宋体" w:hAnsi="宋体" w:cs="宋体"/>
          <w:sz w:val="24"/>
        </w:rPr>
        <w:t>6、全部文件应按投标人须知中规定的语言和份数提交。投标文件组成漏项或未按规定的格式编制，内容不全或内容字迹模糊辨认不清的情况，</w:t>
      </w:r>
      <w:r>
        <w:rPr>
          <w:rFonts w:hint="eastAsia" w:ascii="宋体" w:hAnsi="宋体" w:cs="宋体"/>
          <w:b/>
          <w:sz w:val="24"/>
        </w:rPr>
        <w:t>将有可能被评标委员会认定为投标无效。</w:t>
      </w:r>
    </w:p>
    <w:p w14:paraId="6977B33D">
      <w:pPr>
        <w:pStyle w:val="2"/>
        <w:rPr>
          <w:lang w:val="zh-CN"/>
        </w:rPr>
      </w:pPr>
    </w:p>
    <w:p w14:paraId="58A6005D">
      <w:pPr>
        <w:rPr>
          <w:lang w:val="zh-CN"/>
        </w:rPr>
      </w:pPr>
    </w:p>
    <w:p w14:paraId="1EAD3CD3">
      <w:pPr>
        <w:pStyle w:val="205"/>
        <w:ind w:firstLine="714"/>
        <w:rPr>
          <w:rFonts w:ascii="宋体" w:hAnsi="宋体" w:cs="宋体"/>
          <w:b/>
          <w:color w:val="FF0000"/>
          <w:sz w:val="36"/>
          <w:szCs w:val="36"/>
        </w:rPr>
      </w:pPr>
      <w:r>
        <w:rPr>
          <w:rFonts w:hint="eastAsia" w:ascii="宋体" w:hAnsi="宋体" w:cs="宋体"/>
          <w:b/>
          <w:color w:val="FF0000"/>
          <w:sz w:val="36"/>
          <w:szCs w:val="36"/>
        </w:rPr>
        <w:t>注：本项目分五个标项，投标文件制作按电子招标文件要求进行编制。本招标采购文件内如未明确为哪个标项要求，即为所有标项的共同要求和内容，如已明示为哪个标项的具体要求，即按相关要求执行。</w:t>
      </w:r>
    </w:p>
    <w:p w14:paraId="48F736DC">
      <w:pPr>
        <w:jc w:val="left"/>
        <w:rPr>
          <w:rFonts w:ascii="宋体" w:hAnsi="宋体" w:cs="宋体"/>
          <w:b/>
          <w:kern w:val="0"/>
          <w:sz w:val="36"/>
          <w:szCs w:val="36"/>
        </w:rPr>
      </w:pPr>
    </w:p>
    <w:p w14:paraId="2D62ADDF">
      <w:pPr>
        <w:jc w:val="center"/>
        <w:outlineLvl w:val="0"/>
        <w:rPr>
          <w:rFonts w:ascii="宋体" w:hAnsi="宋体" w:cs="宋体"/>
          <w:b/>
          <w:bCs/>
          <w:sz w:val="40"/>
          <w:szCs w:val="48"/>
        </w:rPr>
      </w:pPr>
    </w:p>
    <w:p w14:paraId="17FACF17">
      <w:pPr>
        <w:rPr>
          <w:rFonts w:ascii="宋体" w:hAnsi="宋体" w:cs="宋体"/>
          <w:b/>
          <w:bCs/>
          <w:sz w:val="40"/>
          <w:szCs w:val="48"/>
        </w:rPr>
      </w:pPr>
      <w:r>
        <w:rPr>
          <w:rFonts w:hint="eastAsia" w:ascii="宋体" w:hAnsi="宋体" w:cs="宋体"/>
          <w:b/>
          <w:bCs/>
          <w:sz w:val="40"/>
          <w:szCs w:val="48"/>
        </w:rPr>
        <w:br w:type="page"/>
      </w:r>
    </w:p>
    <w:p w14:paraId="34499C05">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p>
    <w:p w14:paraId="72866604">
      <w:pPr>
        <w:jc w:val="center"/>
        <w:outlineLvl w:val="0"/>
        <w:rPr>
          <w:rFonts w:ascii="宋体" w:hAnsi="宋体" w:cs="宋体"/>
          <w:b/>
          <w:bCs/>
          <w:sz w:val="40"/>
          <w:szCs w:val="48"/>
        </w:rPr>
      </w:pPr>
      <w:bookmarkStart w:id="470" w:name="_Toc13184"/>
      <w:r>
        <w:rPr>
          <w:rFonts w:hint="eastAsia" w:ascii="宋体" w:hAnsi="宋体" w:cs="宋体"/>
          <w:b/>
          <w:bCs/>
          <w:sz w:val="40"/>
          <w:szCs w:val="48"/>
        </w:rPr>
        <w:t>电子备份投标文件</w:t>
      </w:r>
      <w:bookmarkEnd w:id="470"/>
    </w:p>
    <w:p w14:paraId="40521650">
      <w:pPr>
        <w:jc w:val="center"/>
        <w:rPr>
          <w:rFonts w:ascii="宋体" w:hAnsi="宋体" w:cs="宋体"/>
          <w:b/>
          <w:bCs/>
          <w:sz w:val="40"/>
          <w:szCs w:val="48"/>
        </w:rPr>
      </w:pPr>
    </w:p>
    <w:p w14:paraId="5E4AEF24">
      <w:pPr>
        <w:jc w:val="center"/>
        <w:outlineLvl w:val="0"/>
        <w:rPr>
          <w:rFonts w:ascii="宋体" w:hAnsi="宋体" w:cs="宋体"/>
          <w:b/>
          <w:bCs/>
          <w:sz w:val="40"/>
          <w:szCs w:val="48"/>
        </w:rPr>
      </w:pPr>
      <w:bookmarkStart w:id="471" w:name="_Toc18701"/>
      <w:r>
        <w:rPr>
          <w:rFonts w:hint="eastAsia" w:ascii="宋体" w:hAnsi="宋体" w:cs="宋体"/>
          <w:b/>
          <w:bCs/>
          <w:sz w:val="40"/>
          <w:szCs w:val="48"/>
        </w:rPr>
        <w:t>项目名称：</w:t>
      </w:r>
      <w:bookmarkEnd w:id="471"/>
    </w:p>
    <w:p w14:paraId="5774B195">
      <w:pPr>
        <w:jc w:val="center"/>
        <w:outlineLvl w:val="0"/>
        <w:rPr>
          <w:rFonts w:ascii="宋体" w:hAnsi="宋体" w:cs="宋体"/>
          <w:b/>
          <w:bCs/>
          <w:sz w:val="40"/>
          <w:szCs w:val="48"/>
        </w:rPr>
      </w:pPr>
      <w:bookmarkStart w:id="472" w:name="_Toc20693"/>
      <w:r>
        <w:rPr>
          <w:rFonts w:hint="eastAsia" w:ascii="宋体" w:hAnsi="宋体" w:cs="宋体"/>
          <w:b/>
          <w:bCs/>
          <w:sz w:val="40"/>
          <w:szCs w:val="48"/>
        </w:rPr>
        <w:t>标项名称：</w:t>
      </w:r>
    </w:p>
    <w:p w14:paraId="6BB66793">
      <w:pPr>
        <w:jc w:val="center"/>
        <w:outlineLvl w:val="0"/>
        <w:rPr>
          <w:rFonts w:ascii="宋体" w:hAnsi="宋体" w:cs="宋体"/>
          <w:b/>
          <w:bCs/>
          <w:sz w:val="40"/>
          <w:szCs w:val="48"/>
        </w:rPr>
      </w:pPr>
      <w:r>
        <w:rPr>
          <w:rFonts w:hint="eastAsia" w:ascii="宋体" w:hAnsi="宋体" w:cs="宋体"/>
          <w:b/>
          <w:bCs/>
          <w:sz w:val="40"/>
          <w:szCs w:val="48"/>
        </w:rPr>
        <w:t>项目编号：</w:t>
      </w:r>
      <w:bookmarkEnd w:id="472"/>
    </w:p>
    <w:p w14:paraId="1CFEA730">
      <w:pPr>
        <w:rPr>
          <w:rFonts w:ascii="宋体" w:hAnsi="宋体" w:cs="宋体"/>
          <w:b/>
          <w:bCs/>
          <w:sz w:val="40"/>
          <w:szCs w:val="48"/>
        </w:rPr>
      </w:pPr>
    </w:p>
    <w:p w14:paraId="7BCCB7E2">
      <w:pPr>
        <w:rPr>
          <w:rFonts w:ascii="宋体" w:hAnsi="宋体" w:cs="宋体"/>
          <w:b/>
          <w:bCs/>
          <w:sz w:val="40"/>
          <w:szCs w:val="48"/>
        </w:rPr>
      </w:pPr>
    </w:p>
    <w:p w14:paraId="725CAD53">
      <w:pPr>
        <w:jc w:val="center"/>
        <w:outlineLvl w:val="0"/>
        <w:rPr>
          <w:rFonts w:ascii="宋体" w:hAnsi="宋体" w:cs="宋体"/>
          <w:b/>
          <w:bCs/>
          <w:sz w:val="40"/>
          <w:szCs w:val="48"/>
        </w:rPr>
      </w:pPr>
      <w:bookmarkStart w:id="473" w:name="_Toc27616"/>
      <w:r>
        <w:rPr>
          <w:rFonts w:hint="eastAsia" w:ascii="宋体" w:hAnsi="宋体" w:cs="宋体"/>
          <w:b/>
          <w:bCs/>
          <w:sz w:val="40"/>
          <w:szCs w:val="48"/>
        </w:rPr>
        <w:t>投标人名称：（盖章）</w:t>
      </w:r>
      <w:bookmarkEnd w:id="473"/>
    </w:p>
    <w:p w14:paraId="64E9E13F">
      <w:pPr>
        <w:jc w:val="center"/>
        <w:outlineLvl w:val="0"/>
        <w:rPr>
          <w:rFonts w:ascii="宋体" w:hAnsi="宋体" w:cs="宋体"/>
          <w:b/>
          <w:bCs/>
          <w:sz w:val="40"/>
          <w:szCs w:val="48"/>
        </w:rPr>
      </w:pPr>
      <w:bookmarkStart w:id="474" w:name="_Toc8328"/>
      <w:r>
        <w:rPr>
          <w:rFonts w:hint="eastAsia" w:ascii="宋体" w:hAnsi="宋体" w:cs="宋体"/>
          <w:b/>
          <w:bCs/>
          <w:sz w:val="40"/>
          <w:szCs w:val="48"/>
        </w:rPr>
        <w:t>投标人地址：</w:t>
      </w:r>
      <w:bookmarkEnd w:id="474"/>
    </w:p>
    <w:p w14:paraId="5A268437">
      <w:pPr>
        <w:jc w:val="center"/>
        <w:outlineLvl w:val="0"/>
        <w:rPr>
          <w:rFonts w:hint="eastAsia" w:ascii="宋体" w:hAnsi="宋体" w:cs="宋体"/>
          <w:b/>
          <w:bCs/>
          <w:sz w:val="40"/>
          <w:szCs w:val="48"/>
        </w:rPr>
      </w:pPr>
      <w:bookmarkStart w:id="475" w:name="_Toc23143"/>
    </w:p>
    <w:p w14:paraId="3DF4C5A6">
      <w:pPr>
        <w:jc w:val="center"/>
        <w:outlineLvl w:val="0"/>
        <w:rPr>
          <w:rFonts w:hint="eastAsia" w:ascii="宋体" w:hAnsi="宋体" w:cs="宋体"/>
          <w:b/>
          <w:bCs/>
          <w:sz w:val="40"/>
          <w:szCs w:val="48"/>
        </w:rPr>
      </w:pPr>
    </w:p>
    <w:p w14:paraId="247EE281">
      <w:pPr>
        <w:jc w:val="center"/>
        <w:outlineLvl w:val="0"/>
        <w:rPr>
          <w:rFonts w:hint="eastAsia" w:ascii="宋体" w:hAnsi="宋体" w:cs="宋体"/>
          <w:b/>
          <w:bCs/>
          <w:sz w:val="40"/>
          <w:szCs w:val="48"/>
        </w:rPr>
      </w:pPr>
    </w:p>
    <w:p w14:paraId="16CF788E">
      <w:pPr>
        <w:jc w:val="center"/>
        <w:outlineLvl w:val="0"/>
        <w:rPr>
          <w:rFonts w:ascii="宋体" w:hAnsi="宋体" w:cs="宋体"/>
          <w:b/>
          <w:bCs/>
          <w:sz w:val="40"/>
          <w:szCs w:val="48"/>
        </w:rPr>
      </w:pPr>
      <w:r>
        <w:rPr>
          <w:rFonts w:hint="eastAsia" w:ascii="宋体" w:hAnsi="宋体" w:cs="宋体"/>
          <w:b/>
          <w:bCs/>
          <w:sz w:val="40"/>
          <w:szCs w:val="48"/>
        </w:rPr>
        <w:t xml:space="preserve">在   </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475"/>
    </w:p>
    <w:p w14:paraId="5D346712">
      <w:pPr>
        <w:jc w:val="center"/>
        <w:outlineLvl w:val="0"/>
        <w:rPr>
          <w:rFonts w:ascii="宋体" w:hAnsi="宋体" w:cs="宋体"/>
          <w:b/>
          <w:bCs/>
          <w:sz w:val="40"/>
          <w:szCs w:val="48"/>
        </w:rPr>
      </w:pPr>
      <w:bookmarkStart w:id="476"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476"/>
    </w:p>
    <w:p w14:paraId="6C7870AD">
      <w:pPr>
        <w:jc w:val="left"/>
        <w:rPr>
          <w:rFonts w:ascii="宋体" w:hAnsi="宋体" w:cs="宋体"/>
          <w:b/>
          <w:kern w:val="0"/>
          <w:sz w:val="36"/>
          <w:szCs w:val="36"/>
        </w:rPr>
      </w:pPr>
      <w:r>
        <w:rPr>
          <w:rFonts w:hint="eastAsia" w:ascii="宋体" w:hAnsi="宋体" w:cs="宋体"/>
          <w:b/>
          <w:kern w:val="0"/>
          <w:sz w:val="36"/>
          <w:szCs w:val="36"/>
        </w:rPr>
        <w:br w:type="page"/>
      </w:r>
    </w:p>
    <w:p w14:paraId="5B1F861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2CA3B386">
      <w:pPr>
        <w:shd w:val="clear" w:color="auto" w:fill="FFFFFF"/>
        <w:snapToGrid w:val="0"/>
        <w:spacing w:line="360" w:lineRule="auto"/>
        <w:jc w:val="center"/>
        <w:outlineLvl w:val="0"/>
        <w:rPr>
          <w:rFonts w:ascii="宋体" w:hAnsi="宋体" w:cs="宋体"/>
          <w:b/>
          <w:bCs/>
          <w:sz w:val="44"/>
          <w:szCs w:val="44"/>
        </w:rPr>
      </w:pPr>
      <w:r>
        <w:rPr>
          <w:rFonts w:hint="eastAsia" w:ascii="宋体" w:hAnsi="宋体" w:cs="宋体"/>
          <w:b/>
          <w:bCs/>
          <w:sz w:val="44"/>
          <w:szCs w:val="44"/>
        </w:rPr>
        <w:t>（项目名称）</w:t>
      </w:r>
    </w:p>
    <w:p w14:paraId="560398D5">
      <w:pPr>
        <w:shd w:val="clear" w:color="auto" w:fill="FFFFFF"/>
        <w:snapToGrid w:val="0"/>
        <w:spacing w:line="360" w:lineRule="auto"/>
        <w:jc w:val="center"/>
        <w:outlineLvl w:val="0"/>
        <w:rPr>
          <w:rFonts w:ascii="宋体" w:hAnsi="宋体" w:cs="宋体"/>
          <w:b/>
          <w:bCs/>
          <w:sz w:val="52"/>
          <w:szCs w:val="52"/>
        </w:rPr>
      </w:pPr>
      <w:r>
        <w:rPr>
          <w:rFonts w:hint="eastAsia" w:ascii="宋体" w:hAnsi="宋体" w:cs="宋体"/>
          <w:b/>
          <w:bCs/>
          <w:sz w:val="52"/>
          <w:szCs w:val="52"/>
        </w:rPr>
        <w:t>资  格  文  件</w:t>
      </w:r>
    </w:p>
    <w:p w14:paraId="01AAC1AA">
      <w:pPr>
        <w:widowControl/>
        <w:spacing w:line="360" w:lineRule="auto"/>
        <w:ind w:right="-2"/>
        <w:jc w:val="center"/>
        <w:outlineLvl w:val="1"/>
        <w:rPr>
          <w:rFonts w:ascii="宋体" w:hAnsi="宋体" w:cs="宋体"/>
          <w:b/>
          <w:sz w:val="32"/>
          <w:szCs w:val="32"/>
        </w:rPr>
      </w:pPr>
      <w:r>
        <w:rPr>
          <w:rFonts w:hint="eastAsia" w:ascii="宋体" w:hAnsi="宋体" w:cs="宋体"/>
          <w:b/>
          <w:sz w:val="32"/>
          <w:szCs w:val="32"/>
        </w:rPr>
        <w:t>（线上电子招投标）</w:t>
      </w:r>
    </w:p>
    <w:p w14:paraId="4611D568">
      <w:pPr>
        <w:pStyle w:val="86"/>
        <w:spacing w:line="360" w:lineRule="auto"/>
        <w:rPr>
          <w:rFonts w:cs="宋体"/>
          <w:sz w:val="32"/>
          <w:szCs w:val="32"/>
        </w:rPr>
      </w:pPr>
    </w:p>
    <w:p w14:paraId="54045167">
      <w:pPr>
        <w:shd w:val="clear" w:color="auto" w:fill="FFFFFF"/>
        <w:snapToGrid w:val="0"/>
        <w:spacing w:line="360" w:lineRule="auto"/>
        <w:jc w:val="center"/>
        <w:outlineLvl w:val="1"/>
        <w:rPr>
          <w:rFonts w:ascii="宋体" w:hAnsi="宋体" w:cs="宋体"/>
          <w:b/>
          <w:bCs/>
          <w:sz w:val="32"/>
          <w:szCs w:val="32"/>
        </w:rPr>
      </w:pPr>
      <w:r>
        <w:rPr>
          <w:rFonts w:hint="eastAsia" w:ascii="宋体" w:hAnsi="宋体" w:cs="宋体"/>
          <w:b/>
          <w:bCs/>
          <w:sz w:val="32"/>
          <w:szCs w:val="32"/>
        </w:rPr>
        <w:t>招标编号：YHZFCG2024-</w:t>
      </w:r>
    </w:p>
    <w:p w14:paraId="3E1C9071">
      <w:pPr>
        <w:snapToGrid w:val="0"/>
        <w:spacing w:line="360" w:lineRule="auto"/>
        <w:jc w:val="center"/>
        <w:rPr>
          <w:rFonts w:ascii="宋体" w:hAnsi="宋体" w:cs="宋体"/>
          <w:sz w:val="52"/>
          <w:szCs w:val="52"/>
        </w:rPr>
      </w:pPr>
      <w:r>
        <w:rPr>
          <w:rFonts w:hint="eastAsia" w:ascii="宋体" w:hAnsi="宋体" w:cs="宋体"/>
          <w:sz w:val="52"/>
          <w:szCs w:val="52"/>
        </w:rPr>
        <w:t>投</w:t>
      </w:r>
    </w:p>
    <w:p w14:paraId="4471B61F">
      <w:pPr>
        <w:snapToGrid w:val="0"/>
        <w:spacing w:line="360" w:lineRule="auto"/>
        <w:jc w:val="center"/>
        <w:rPr>
          <w:rFonts w:ascii="宋体" w:hAnsi="宋体" w:cs="宋体"/>
          <w:sz w:val="52"/>
          <w:szCs w:val="52"/>
        </w:rPr>
      </w:pPr>
      <w:r>
        <w:rPr>
          <w:rFonts w:hint="eastAsia" w:ascii="宋体" w:hAnsi="宋体" w:cs="宋体"/>
          <w:sz w:val="52"/>
          <w:szCs w:val="52"/>
        </w:rPr>
        <w:t>标</w:t>
      </w:r>
    </w:p>
    <w:p w14:paraId="29025408">
      <w:pPr>
        <w:snapToGrid w:val="0"/>
        <w:spacing w:line="360" w:lineRule="auto"/>
        <w:jc w:val="center"/>
        <w:rPr>
          <w:rFonts w:ascii="宋体" w:hAnsi="宋体" w:cs="宋体"/>
          <w:sz w:val="52"/>
          <w:szCs w:val="52"/>
        </w:rPr>
      </w:pPr>
      <w:r>
        <w:rPr>
          <w:rFonts w:hint="eastAsia" w:ascii="宋体" w:hAnsi="宋体" w:cs="宋体"/>
          <w:sz w:val="52"/>
          <w:szCs w:val="52"/>
        </w:rPr>
        <w:t>文</w:t>
      </w:r>
    </w:p>
    <w:p w14:paraId="639D38BD">
      <w:pPr>
        <w:snapToGrid w:val="0"/>
        <w:spacing w:line="360" w:lineRule="auto"/>
        <w:jc w:val="center"/>
        <w:rPr>
          <w:rFonts w:ascii="宋体" w:hAnsi="宋体" w:cs="宋体"/>
          <w:sz w:val="52"/>
          <w:szCs w:val="52"/>
        </w:rPr>
      </w:pPr>
      <w:r>
        <w:rPr>
          <w:rFonts w:hint="eastAsia" w:ascii="宋体" w:hAnsi="宋体" w:cs="宋体"/>
          <w:sz w:val="52"/>
          <w:szCs w:val="52"/>
        </w:rPr>
        <w:t>件</w:t>
      </w:r>
    </w:p>
    <w:p w14:paraId="68F3A4C3">
      <w:pPr>
        <w:snapToGrid w:val="0"/>
        <w:spacing w:line="360" w:lineRule="auto"/>
        <w:rPr>
          <w:rFonts w:ascii="宋体" w:hAnsi="宋体" w:cs="宋体"/>
          <w:sz w:val="32"/>
          <w:szCs w:val="32"/>
        </w:rPr>
      </w:pPr>
    </w:p>
    <w:p w14:paraId="031D6F76">
      <w:pPr>
        <w:snapToGrid w:val="0"/>
        <w:spacing w:line="360" w:lineRule="auto"/>
        <w:ind w:firstLine="1920" w:firstLineChars="600"/>
        <w:rPr>
          <w:rFonts w:ascii="宋体" w:hAnsi="宋体" w:cs="宋体"/>
          <w:sz w:val="32"/>
          <w:szCs w:val="32"/>
        </w:rPr>
      </w:pPr>
      <w:r>
        <w:rPr>
          <w:rFonts w:hint="eastAsia" w:ascii="宋体" w:hAnsi="宋体" w:cs="宋体"/>
          <w:sz w:val="32"/>
          <w:szCs w:val="32"/>
        </w:rPr>
        <w:t>标项名称：</w:t>
      </w:r>
    </w:p>
    <w:p w14:paraId="6EC1D697">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14:paraId="75CE23E5">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14:paraId="30C36485">
      <w:pPr>
        <w:snapToGrid w:val="0"/>
        <w:spacing w:line="360" w:lineRule="auto"/>
        <w:jc w:val="center"/>
        <w:rPr>
          <w:rFonts w:ascii="宋体" w:hAnsi="宋体" w:cs="宋体"/>
          <w:sz w:val="32"/>
          <w:szCs w:val="32"/>
        </w:rPr>
      </w:pPr>
      <w:r>
        <w:rPr>
          <w:rFonts w:hint="eastAsia" w:ascii="宋体" w:hAnsi="宋体" w:cs="宋体"/>
          <w:sz w:val="32"/>
          <w:szCs w:val="32"/>
        </w:rPr>
        <w:t>年   月   日</w:t>
      </w:r>
    </w:p>
    <w:p w14:paraId="0EF7E61E">
      <w:pPr>
        <w:pStyle w:val="4"/>
        <w:snapToGrid w:val="0"/>
        <w:rPr>
          <w:rFonts w:ascii="宋体" w:hAnsi="宋体" w:cs="宋体"/>
          <w:sz w:val="32"/>
          <w:szCs w:val="32"/>
        </w:rPr>
        <w:sectPr>
          <w:headerReference r:id="rId7" w:type="default"/>
          <w:footerReference r:id="rId8" w:type="default"/>
          <w:pgSz w:w="11906" w:h="16838"/>
          <w:pgMar w:top="993" w:right="1474" w:bottom="1134" w:left="1474" w:header="851" w:footer="641" w:gutter="0"/>
          <w:pgNumType w:fmt="numberInDash"/>
          <w:cols w:space="720" w:num="1"/>
          <w:docGrid w:type="lines" w:linePitch="315" w:charSpace="0"/>
        </w:sectPr>
      </w:pPr>
    </w:p>
    <w:p w14:paraId="1029406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9090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BE62281">
      <w:pPr>
        <w:spacing w:line="360" w:lineRule="auto"/>
        <w:jc w:val="center"/>
        <w:outlineLvl w:val="0"/>
        <w:rPr>
          <w:rFonts w:ascii="宋体" w:hAnsi="宋体" w:cs="宋体"/>
          <w:b/>
          <w:kern w:val="0"/>
          <w:sz w:val="36"/>
          <w:szCs w:val="36"/>
        </w:rPr>
      </w:pPr>
    </w:p>
    <w:p w14:paraId="1DBDE91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D27B25A">
      <w:pPr>
        <w:snapToGrid w:val="0"/>
        <w:spacing w:line="360" w:lineRule="auto"/>
        <w:rPr>
          <w:rFonts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宋体"/>
          <w:sz w:val="24"/>
        </w:rPr>
        <w:t>提供法人或者其他组织机构的营业执照（扫描件或复印件加盖公章）或事业法人登记证书或其他工商等登记证明材料；…………………………………</w:t>
      </w:r>
      <w:r>
        <w:rPr>
          <w:rFonts w:hint="eastAsia" w:ascii="宋体" w:hAnsi="宋体" w:cs="宋体"/>
          <w:sz w:val="24"/>
          <w:lang w:val="en-US" w:eastAsia="zh-CN"/>
        </w:rPr>
        <w:t xml:space="preserve"> </w:t>
      </w:r>
      <w:r>
        <w:rPr>
          <w:rFonts w:hint="eastAsia" w:ascii="宋体" w:hAnsi="宋体" w:cs="宋体"/>
          <w:sz w:val="24"/>
        </w:rPr>
        <w:t>（页码）</w:t>
      </w:r>
    </w:p>
    <w:p w14:paraId="6B198822">
      <w:pPr>
        <w:snapToGrid w:val="0"/>
        <w:spacing w:line="360" w:lineRule="auto"/>
        <w:rPr>
          <w:rFonts w:ascii="宋体" w:hAnsi="宋体" w:cs="宋体"/>
          <w:sz w:val="24"/>
        </w:rPr>
      </w:pPr>
      <w:r>
        <w:rPr>
          <w:rFonts w:hint="eastAsia" w:ascii="宋体" w:hAnsi="宋体" w:cs="宋体"/>
          <w:snapToGrid w:val="0"/>
          <w:kern w:val="28"/>
          <w:sz w:val="24"/>
          <w:szCs w:val="20"/>
        </w:rPr>
        <w:t>（3）联合协议（如有）</w:t>
      </w:r>
      <w:r>
        <w:rPr>
          <w:rFonts w:hint="eastAsia" w:ascii="宋体" w:hAnsi="宋体" w:cs="宋体"/>
          <w:sz w:val="24"/>
        </w:rPr>
        <w:t>……………………………………………………（页码）</w:t>
      </w:r>
    </w:p>
    <w:p w14:paraId="0572703B">
      <w:pPr>
        <w:snapToGrid w:val="0"/>
        <w:spacing w:line="360" w:lineRule="auto"/>
        <w:rPr>
          <w:rFonts w:ascii="宋体" w:hAnsi="宋体" w:cs="宋体"/>
          <w:sz w:val="24"/>
        </w:rPr>
      </w:pPr>
      <w:r>
        <w:rPr>
          <w:rFonts w:hint="eastAsia" w:ascii="宋体" w:hAnsi="宋体" w:cs="宋体"/>
          <w:sz w:val="24"/>
        </w:rPr>
        <w:t>（4）落实政府采购政策需满足的资格要求………………………………（页码）</w:t>
      </w:r>
    </w:p>
    <w:p w14:paraId="709EC3D8">
      <w:pPr>
        <w:snapToGrid w:val="0"/>
        <w:spacing w:line="360" w:lineRule="auto"/>
        <w:rPr>
          <w:rFonts w:ascii="宋体" w:hAnsi="宋体" w:cs="宋体"/>
          <w:sz w:val="24"/>
        </w:rPr>
      </w:pPr>
      <w:r>
        <w:rPr>
          <w:rFonts w:hint="eastAsia" w:ascii="宋体" w:hAnsi="宋体" w:cs="宋体"/>
          <w:sz w:val="24"/>
        </w:rPr>
        <w:t>（5）本项目的特定资格要求………………………………………………（页码）</w:t>
      </w:r>
    </w:p>
    <w:p w14:paraId="2B9C5993">
      <w:pPr>
        <w:snapToGrid w:val="0"/>
        <w:spacing w:line="360" w:lineRule="auto"/>
        <w:ind w:firstLine="480" w:firstLineChars="200"/>
        <w:rPr>
          <w:rFonts w:ascii="宋体" w:hAnsi="宋体" w:cs="宋体"/>
          <w:sz w:val="24"/>
        </w:rPr>
      </w:pPr>
    </w:p>
    <w:p w14:paraId="3999B8B8">
      <w:pPr>
        <w:spacing w:line="360" w:lineRule="auto"/>
        <w:ind w:firstLine="480" w:firstLineChars="200"/>
        <w:rPr>
          <w:rFonts w:ascii="宋体" w:hAnsi="宋体" w:cs="宋体"/>
          <w:sz w:val="24"/>
        </w:rPr>
      </w:pPr>
    </w:p>
    <w:p w14:paraId="71F454D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D5D47DB">
      <w:pPr>
        <w:snapToGrid w:val="0"/>
        <w:spacing w:line="360" w:lineRule="auto"/>
        <w:rPr>
          <w:rFonts w:ascii="宋体" w:hAnsi="宋体" w:cs="宋体"/>
          <w:color w:val="000000"/>
          <w:sz w:val="24"/>
        </w:rPr>
      </w:pPr>
    </w:p>
    <w:p w14:paraId="4DB1AD9E">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68BAC5FF">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b/>
          <w:bCs/>
          <w:color w:val="0000FF"/>
          <w:sz w:val="24"/>
          <w:u w:val="single"/>
        </w:rPr>
        <w:t>（标项名称：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】政府采购活动，郑重承诺：</w:t>
      </w:r>
    </w:p>
    <w:p w14:paraId="3A412B0C">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5B760D9F">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14:paraId="05E1B447">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14:paraId="5A6DFA5F">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14:paraId="0A3CD468">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14:paraId="03E86EE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B61C0D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F388AF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206363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C4F18E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A2E3E8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92BCE6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FD91C9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C46C797">
      <w:pPr>
        <w:snapToGrid w:val="0"/>
        <w:spacing w:line="360" w:lineRule="auto"/>
        <w:ind w:right="480"/>
        <w:jc w:val="center"/>
        <w:rPr>
          <w:rFonts w:ascii="宋体" w:hAnsi="宋体" w:cs="宋体"/>
          <w:b/>
          <w:kern w:val="0"/>
          <w:sz w:val="32"/>
          <w:szCs w:val="32"/>
        </w:rPr>
      </w:pPr>
    </w:p>
    <w:p w14:paraId="034B0AA5">
      <w:pPr>
        <w:snapToGrid w:val="0"/>
        <w:spacing w:line="360" w:lineRule="auto"/>
        <w:ind w:right="480"/>
        <w:jc w:val="center"/>
        <w:rPr>
          <w:rFonts w:ascii="宋体" w:hAnsi="宋体" w:cs="宋体"/>
          <w:b/>
          <w:kern w:val="0"/>
          <w:sz w:val="32"/>
          <w:szCs w:val="32"/>
        </w:rPr>
      </w:pPr>
    </w:p>
    <w:p w14:paraId="3FB5ECFF">
      <w:pPr>
        <w:widowControl/>
        <w:numPr>
          <w:ilvl w:val="0"/>
          <w:numId w:val="9"/>
        </w:numPr>
        <w:adjustRightInd/>
        <w:jc w:val="left"/>
        <w:rPr>
          <w:rFonts w:ascii="宋体" w:hAnsi="宋体" w:cs="宋体"/>
          <w:b/>
          <w:kern w:val="0"/>
          <w:sz w:val="32"/>
          <w:szCs w:val="32"/>
        </w:rPr>
      </w:pPr>
      <w:r>
        <w:rPr>
          <w:rFonts w:hint="eastAsia" w:ascii="宋体" w:hAnsi="宋体" w:cs="宋体"/>
          <w:b/>
          <w:kern w:val="0"/>
          <w:sz w:val="32"/>
          <w:szCs w:val="32"/>
        </w:rPr>
        <w:t>提供法人或者其他组织机构的营业执照（扫描件或复印件加盖公章）或事业法人登记证书或其他工商等登记证明材料；</w:t>
      </w:r>
    </w:p>
    <w:p w14:paraId="205F3324">
      <w:pPr>
        <w:snapToGrid w:val="0"/>
        <w:spacing w:line="360" w:lineRule="auto"/>
        <w:ind w:firstLine="480" w:firstLineChars="200"/>
        <w:rPr>
          <w:rFonts w:ascii="宋体" w:hAnsi="宋体" w:cs="宋体"/>
          <w:color w:val="000000"/>
          <w:sz w:val="24"/>
        </w:rPr>
      </w:pPr>
    </w:p>
    <w:p w14:paraId="5AF05133">
      <w:pPr>
        <w:snapToGrid w:val="0"/>
        <w:spacing w:line="360" w:lineRule="auto"/>
        <w:ind w:firstLine="480" w:firstLineChars="200"/>
        <w:rPr>
          <w:rFonts w:ascii="宋体" w:hAnsi="宋体" w:cs="宋体"/>
          <w:color w:val="000000"/>
          <w:sz w:val="24"/>
        </w:rPr>
      </w:pPr>
    </w:p>
    <w:p w14:paraId="256D9E7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36FE5B6">
      <w:pPr>
        <w:widowControl/>
        <w:adjustRightInd/>
        <w:ind w:firstLine="2891" w:firstLineChars="900"/>
        <w:jc w:val="left"/>
        <w:rPr>
          <w:rFonts w:ascii="宋体" w:hAnsi="宋体" w:cs="宋体"/>
          <w:b/>
          <w:kern w:val="0"/>
          <w:sz w:val="32"/>
          <w:szCs w:val="32"/>
        </w:rPr>
      </w:pPr>
    </w:p>
    <w:p w14:paraId="136F0ACD">
      <w:pPr>
        <w:widowControl/>
        <w:adjustRightInd/>
        <w:ind w:firstLine="2891" w:firstLineChars="900"/>
        <w:jc w:val="left"/>
        <w:rPr>
          <w:rFonts w:ascii="宋体" w:hAnsi="宋体" w:cs="宋体"/>
          <w:b/>
          <w:kern w:val="0"/>
          <w:sz w:val="32"/>
          <w:szCs w:val="32"/>
        </w:rPr>
      </w:pPr>
    </w:p>
    <w:p w14:paraId="58740D0E">
      <w:pPr>
        <w:widowControl/>
        <w:adjustRightInd/>
        <w:ind w:firstLine="2891" w:firstLineChars="900"/>
        <w:jc w:val="left"/>
        <w:rPr>
          <w:rFonts w:ascii="宋体" w:hAnsi="宋体" w:cs="宋体"/>
          <w:b/>
          <w:kern w:val="0"/>
          <w:sz w:val="32"/>
          <w:szCs w:val="32"/>
        </w:rPr>
      </w:pPr>
    </w:p>
    <w:p w14:paraId="698D4709">
      <w:pPr>
        <w:widowControl/>
        <w:adjustRightInd/>
        <w:ind w:firstLine="2891" w:firstLineChars="900"/>
        <w:jc w:val="left"/>
        <w:rPr>
          <w:rFonts w:ascii="宋体" w:hAnsi="宋体" w:cs="宋体"/>
          <w:b/>
          <w:kern w:val="0"/>
          <w:sz w:val="32"/>
          <w:szCs w:val="32"/>
        </w:rPr>
      </w:pPr>
    </w:p>
    <w:p w14:paraId="16B8DBE6">
      <w:pPr>
        <w:widowControl/>
        <w:numPr>
          <w:ilvl w:val="255"/>
          <w:numId w:val="0"/>
        </w:numPr>
        <w:adjustRightInd/>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三、联合协议（如果有）</w:t>
      </w:r>
    </w:p>
    <w:p w14:paraId="6CFD3B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F0CA221">
      <w:pPr>
        <w:snapToGrid w:val="0"/>
        <w:spacing w:line="360" w:lineRule="auto"/>
        <w:ind w:right="480"/>
        <w:jc w:val="center"/>
        <w:rPr>
          <w:rFonts w:ascii="宋体" w:hAnsi="宋体" w:cs="宋体"/>
          <w:b/>
          <w:kern w:val="0"/>
          <w:sz w:val="32"/>
          <w:szCs w:val="32"/>
        </w:rPr>
      </w:pPr>
    </w:p>
    <w:p w14:paraId="67CA00EB">
      <w:pPr>
        <w:jc w:val="left"/>
        <w:rPr>
          <w:rFonts w:ascii="宋体" w:hAnsi="宋体" w:cs="宋体"/>
          <w:b/>
          <w:kern w:val="0"/>
          <w:sz w:val="32"/>
          <w:szCs w:val="32"/>
        </w:rPr>
      </w:pPr>
      <w:r>
        <w:rPr>
          <w:rFonts w:hint="eastAsia" w:ascii="宋体" w:hAnsi="宋体" w:cs="宋体"/>
          <w:b/>
          <w:kern w:val="0"/>
          <w:sz w:val="32"/>
          <w:szCs w:val="32"/>
        </w:rPr>
        <w:br w:type="page"/>
      </w:r>
    </w:p>
    <w:p w14:paraId="01816725">
      <w:pPr>
        <w:snapToGrid w:val="0"/>
        <w:spacing w:line="360" w:lineRule="auto"/>
        <w:ind w:right="480"/>
        <w:jc w:val="center"/>
        <w:rPr>
          <w:rFonts w:hint="eastAsia" w:ascii="宋体" w:hAnsi="宋体" w:cs="宋体"/>
          <w:b/>
          <w:kern w:val="0"/>
          <w:sz w:val="32"/>
          <w:szCs w:val="32"/>
        </w:rPr>
      </w:pPr>
    </w:p>
    <w:p w14:paraId="2FF5D9B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四、落实政府采购政策需满足的资格要求</w:t>
      </w:r>
    </w:p>
    <w:p w14:paraId="090E0FE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4F90CC03">
      <w:pPr>
        <w:snapToGrid w:val="0"/>
        <w:spacing w:before="50" w:after="50" w:line="360" w:lineRule="auto"/>
        <w:ind w:firstLine="472" w:firstLineChars="196"/>
        <w:jc w:val="left"/>
        <w:rPr>
          <w:rFonts w:ascii="宋体" w:hAnsi="宋体" w:cs="宋体"/>
          <w:b/>
          <w:bCs/>
          <w:sz w:val="24"/>
        </w:rPr>
      </w:pPr>
      <w:r>
        <w:rPr>
          <w:rFonts w:hint="eastAsia" w:ascii="宋体" w:hAnsi="宋体" w:cs="宋体"/>
          <w:b/>
          <w:sz w:val="24"/>
        </w:rPr>
        <w:t>A.</w:t>
      </w:r>
      <w:r>
        <w:rPr>
          <w:rFonts w:hint="eastAsia" w:ascii="宋体" w:hAnsi="宋体" w:cs="宋体"/>
          <w:b/>
          <w:bCs/>
          <w:sz w:val="24"/>
        </w:rPr>
        <w:t>落实政府采购政策需满足的资格要求：本项目为专门面向中小企业采购的项目,投标单位应为中小型企业或微企业或监狱企业和残疾人福利性单位；投标时提供中小企业声明函（格式后附），否则其投标文件作无效投标处理。</w:t>
      </w:r>
    </w:p>
    <w:p w14:paraId="64E21399">
      <w:pPr>
        <w:pStyle w:val="17"/>
        <w:rPr>
          <w:rFonts w:hAnsi="宋体" w:cs="宋体"/>
        </w:rPr>
      </w:pPr>
    </w:p>
    <w:p w14:paraId="31D5568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C7C7A3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A3066A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AE32BDC">
      <w:pPr>
        <w:widowControl/>
        <w:spacing w:line="360" w:lineRule="auto"/>
        <w:ind w:left="150"/>
        <w:jc w:val="center"/>
        <w:rPr>
          <w:rFonts w:ascii="宋体" w:hAnsi="宋体" w:cs="宋体"/>
          <w:b/>
          <w:kern w:val="0"/>
          <w:sz w:val="32"/>
          <w:szCs w:val="32"/>
        </w:rPr>
      </w:pPr>
    </w:p>
    <w:p w14:paraId="2E836965">
      <w:pPr>
        <w:spacing w:line="360" w:lineRule="auto"/>
        <w:jc w:val="center"/>
        <w:rPr>
          <w:rFonts w:ascii="宋体" w:hAnsi="宋体" w:cs="宋体"/>
          <w:b/>
          <w:sz w:val="32"/>
          <w:szCs w:val="32"/>
        </w:rPr>
      </w:pPr>
    </w:p>
    <w:p w14:paraId="5BA961BF">
      <w:pPr>
        <w:pStyle w:val="2"/>
        <w:rPr>
          <w:rFonts w:ascii="宋体" w:hAnsi="宋体" w:cs="宋体"/>
          <w:b/>
          <w:sz w:val="32"/>
          <w:szCs w:val="32"/>
        </w:rPr>
      </w:pPr>
    </w:p>
    <w:p w14:paraId="0411A023"/>
    <w:p w14:paraId="11FA8383">
      <w:pPr>
        <w:spacing w:line="360" w:lineRule="auto"/>
        <w:rPr>
          <w:rFonts w:ascii="宋体" w:hAnsi="宋体" w:cs="宋体"/>
          <w:b/>
          <w:sz w:val="32"/>
          <w:szCs w:val="32"/>
        </w:rPr>
      </w:pPr>
    </w:p>
    <w:p w14:paraId="445639DA">
      <w:pPr>
        <w:widowControl/>
        <w:spacing w:line="360" w:lineRule="auto"/>
        <w:ind w:left="150"/>
        <w:jc w:val="center"/>
        <w:rPr>
          <w:rFonts w:ascii="宋体" w:hAnsi="宋体" w:cs="宋体"/>
          <w:b/>
          <w:kern w:val="0"/>
          <w:sz w:val="32"/>
          <w:szCs w:val="32"/>
        </w:rPr>
      </w:pPr>
    </w:p>
    <w:p w14:paraId="39861D49">
      <w:pPr>
        <w:widowControl/>
        <w:jc w:val="left"/>
        <w:rPr>
          <w:rFonts w:ascii="宋体" w:hAnsi="宋体" w:cs="宋体"/>
          <w:b/>
          <w:kern w:val="0"/>
          <w:sz w:val="32"/>
          <w:szCs w:val="32"/>
        </w:rPr>
      </w:pPr>
      <w:r>
        <w:rPr>
          <w:rFonts w:hint="eastAsia" w:ascii="宋体" w:hAnsi="宋体" w:cs="宋体"/>
          <w:b/>
          <w:kern w:val="0"/>
          <w:sz w:val="32"/>
          <w:szCs w:val="32"/>
        </w:rPr>
        <w:br w:type="page"/>
      </w:r>
    </w:p>
    <w:p w14:paraId="5ABA49A9">
      <w:pPr>
        <w:widowControl/>
        <w:spacing w:line="360" w:lineRule="auto"/>
        <w:ind w:left="150"/>
        <w:jc w:val="center"/>
        <w:rPr>
          <w:rFonts w:hint="eastAsia" w:ascii="宋体" w:hAnsi="宋体" w:cs="宋体"/>
          <w:b/>
          <w:kern w:val="0"/>
          <w:sz w:val="32"/>
          <w:szCs w:val="32"/>
        </w:rPr>
      </w:pPr>
    </w:p>
    <w:p w14:paraId="500FE5E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五、本项目的特定资格要求</w:t>
      </w:r>
    </w:p>
    <w:p w14:paraId="398F0D7B">
      <w:pPr>
        <w:widowControl/>
        <w:adjustRightInd/>
        <w:ind w:firstLine="3253" w:firstLineChars="900"/>
        <w:jc w:val="left"/>
        <w:rPr>
          <w:rFonts w:ascii="宋体" w:hAnsi="宋体" w:cs="宋体"/>
          <w:b/>
          <w:kern w:val="0"/>
          <w:sz w:val="36"/>
          <w:szCs w:val="36"/>
        </w:rPr>
      </w:pPr>
      <w:r>
        <w:rPr>
          <w:rFonts w:hint="eastAsia" w:ascii="宋体" w:hAnsi="宋体" w:cs="宋体"/>
          <w:b/>
          <w:kern w:val="0"/>
          <w:sz w:val="36"/>
          <w:szCs w:val="36"/>
        </w:rPr>
        <w:t>无。</w:t>
      </w:r>
    </w:p>
    <w:p w14:paraId="14AF1EFB">
      <w:pPr>
        <w:spacing w:line="360" w:lineRule="auto"/>
        <w:ind w:right="420" w:firstLine="3614" w:firstLineChars="1000"/>
        <w:rPr>
          <w:rFonts w:ascii="宋体" w:hAnsi="宋体" w:cs="宋体"/>
          <w:b/>
          <w:kern w:val="0"/>
          <w:sz w:val="36"/>
          <w:szCs w:val="36"/>
        </w:rPr>
      </w:pPr>
    </w:p>
    <w:p w14:paraId="026BC398">
      <w:pPr>
        <w:spacing w:line="360" w:lineRule="auto"/>
        <w:ind w:right="420" w:firstLine="3614" w:firstLineChars="1000"/>
        <w:rPr>
          <w:rFonts w:ascii="宋体" w:hAnsi="宋体" w:cs="宋体"/>
          <w:b/>
          <w:kern w:val="0"/>
          <w:sz w:val="36"/>
          <w:szCs w:val="36"/>
        </w:rPr>
      </w:pPr>
    </w:p>
    <w:p w14:paraId="71E42BB1">
      <w:pPr>
        <w:spacing w:line="360" w:lineRule="auto"/>
        <w:ind w:right="420" w:firstLine="3614" w:firstLineChars="1000"/>
        <w:rPr>
          <w:rFonts w:ascii="宋体" w:hAnsi="宋体" w:cs="宋体"/>
          <w:b/>
          <w:kern w:val="0"/>
          <w:sz w:val="36"/>
          <w:szCs w:val="36"/>
        </w:rPr>
      </w:pPr>
    </w:p>
    <w:p w14:paraId="4B6BC8F1">
      <w:pPr>
        <w:spacing w:line="360" w:lineRule="auto"/>
        <w:ind w:right="420" w:firstLine="3614" w:firstLineChars="1000"/>
        <w:rPr>
          <w:rFonts w:ascii="宋体" w:hAnsi="宋体" w:cs="宋体"/>
          <w:b/>
          <w:kern w:val="0"/>
          <w:sz w:val="36"/>
          <w:szCs w:val="36"/>
        </w:rPr>
      </w:pPr>
    </w:p>
    <w:p w14:paraId="4E5AA1A5">
      <w:pPr>
        <w:spacing w:line="360" w:lineRule="auto"/>
        <w:ind w:right="420" w:firstLine="3614" w:firstLineChars="1000"/>
        <w:rPr>
          <w:rFonts w:ascii="宋体" w:hAnsi="宋体" w:cs="宋体"/>
          <w:b/>
          <w:kern w:val="0"/>
          <w:sz w:val="36"/>
          <w:szCs w:val="36"/>
        </w:rPr>
      </w:pPr>
    </w:p>
    <w:p w14:paraId="7D67E5BA">
      <w:pPr>
        <w:spacing w:line="360" w:lineRule="auto"/>
        <w:ind w:right="420" w:firstLine="3614" w:firstLineChars="1000"/>
        <w:rPr>
          <w:rFonts w:ascii="宋体" w:hAnsi="宋体" w:cs="宋体"/>
          <w:b/>
          <w:kern w:val="0"/>
          <w:sz w:val="36"/>
          <w:szCs w:val="36"/>
        </w:rPr>
      </w:pPr>
    </w:p>
    <w:p w14:paraId="1247A538">
      <w:pPr>
        <w:spacing w:line="360" w:lineRule="auto"/>
        <w:ind w:right="420" w:firstLine="3614" w:firstLineChars="1000"/>
        <w:rPr>
          <w:rFonts w:ascii="宋体" w:hAnsi="宋体" w:cs="宋体"/>
          <w:b/>
          <w:kern w:val="0"/>
          <w:sz w:val="36"/>
          <w:szCs w:val="36"/>
        </w:rPr>
      </w:pPr>
    </w:p>
    <w:p w14:paraId="127A2EC8">
      <w:pPr>
        <w:spacing w:line="360" w:lineRule="auto"/>
        <w:ind w:right="420" w:firstLine="3614" w:firstLineChars="1000"/>
        <w:rPr>
          <w:rFonts w:ascii="宋体" w:hAnsi="宋体" w:cs="宋体"/>
          <w:b/>
          <w:kern w:val="0"/>
          <w:sz w:val="36"/>
          <w:szCs w:val="36"/>
        </w:rPr>
      </w:pPr>
    </w:p>
    <w:p w14:paraId="59F86A8D">
      <w:pPr>
        <w:spacing w:line="360" w:lineRule="auto"/>
        <w:ind w:right="420" w:firstLine="3614" w:firstLineChars="1000"/>
        <w:rPr>
          <w:rFonts w:ascii="宋体" w:hAnsi="宋体" w:cs="宋体"/>
          <w:b/>
          <w:kern w:val="0"/>
          <w:sz w:val="36"/>
          <w:szCs w:val="36"/>
        </w:rPr>
      </w:pPr>
    </w:p>
    <w:p w14:paraId="1B626AC8">
      <w:pPr>
        <w:spacing w:line="360" w:lineRule="auto"/>
        <w:ind w:right="420" w:firstLine="3614" w:firstLineChars="1000"/>
        <w:rPr>
          <w:rFonts w:ascii="宋体" w:hAnsi="宋体" w:cs="宋体"/>
          <w:b/>
          <w:kern w:val="0"/>
          <w:sz w:val="36"/>
          <w:szCs w:val="36"/>
        </w:rPr>
      </w:pPr>
    </w:p>
    <w:p w14:paraId="7B576E23">
      <w:pPr>
        <w:spacing w:line="360" w:lineRule="auto"/>
        <w:ind w:right="420" w:firstLine="3614" w:firstLineChars="1000"/>
        <w:rPr>
          <w:rFonts w:ascii="宋体" w:hAnsi="宋体" w:cs="宋体"/>
          <w:b/>
          <w:kern w:val="0"/>
          <w:sz w:val="36"/>
          <w:szCs w:val="36"/>
        </w:rPr>
      </w:pPr>
    </w:p>
    <w:p w14:paraId="35376B3B">
      <w:pPr>
        <w:spacing w:line="360" w:lineRule="auto"/>
        <w:ind w:right="420" w:firstLine="3614" w:firstLineChars="1000"/>
        <w:rPr>
          <w:rFonts w:ascii="宋体" w:hAnsi="宋体" w:cs="宋体"/>
          <w:b/>
          <w:kern w:val="0"/>
          <w:sz w:val="36"/>
          <w:szCs w:val="36"/>
        </w:rPr>
      </w:pPr>
    </w:p>
    <w:p w14:paraId="0F8015EB">
      <w:pPr>
        <w:spacing w:line="360" w:lineRule="auto"/>
        <w:ind w:right="420" w:firstLine="3614" w:firstLineChars="1000"/>
        <w:rPr>
          <w:rFonts w:ascii="宋体" w:hAnsi="宋体" w:cs="宋体"/>
          <w:b/>
          <w:kern w:val="0"/>
          <w:sz w:val="36"/>
          <w:szCs w:val="36"/>
        </w:rPr>
      </w:pPr>
    </w:p>
    <w:p w14:paraId="178BBAAB">
      <w:pPr>
        <w:spacing w:line="360" w:lineRule="auto"/>
        <w:ind w:right="420" w:firstLine="3614" w:firstLineChars="1000"/>
        <w:rPr>
          <w:rFonts w:ascii="宋体" w:hAnsi="宋体" w:cs="宋体"/>
          <w:b/>
          <w:kern w:val="0"/>
          <w:sz w:val="36"/>
          <w:szCs w:val="36"/>
        </w:rPr>
      </w:pPr>
    </w:p>
    <w:p w14:paraId="0BABAF68">
      <w:pPr>
        <w:rPr>
          <w:rFonts w:ascii="宋体" w:hAnsi="宋体" w:cs="宋体"/>
          <w:b/>
          <w:kern w:val="0"/>
          <w:sz w:val="44"/>
          <w:szCs w:val="44"/>
        </w:rPr>
      </w:pPr>
    </w:p>
    <w:p w14:paraId="71D6A5D5">
      <w:pPr>
        <w:jc w:val="center"/>
        <w:rPr>
          <w:rFonts w:ascii="宋体" w:hAnsi="宋体" w:cs="宋体"/>
          <w:b/>
          <w:kern w:val="0"/>
          <w:sz w:val="44"/>
          <w:szCs w:val="44"/>
        </w:rPr>
      </w:pPr>
    </w:p>
    <w:p w14:paraId="18542E90">
      <w:pPr>
        <w:jc w:val="center"/>
        <w:rPr>
          <w:rFonts w:ascii="宋体" w:hAnsi="宋体" w:cs="宋体"/>
          <w:b/>
          <w:kern w:val="0"/>
          <w:sz w:val="44"/>
          <w:szCs w:val="44"/>
        </w:rPr>
      </w:pPr>
      <w:r>
        <w:rPr>
          <w:rFonts w:hint="eastAsia" w:ascii="宋体" w:hAnsi="宋体" w:cs="宋体"/>
          <w:b/>
          <w:kern w:val="0"/>
          <w:sz w:val="44"/>
          <w:szCs w:val="44"/>
        </w:rPr>
        <w:t>商务技术文件部分（封面）</w:t>
      </w:r>
    </w:p>
    <w:p w14:paraId="5A17651C">
      <w:pPr>
        <w:spacing w:line="360" w:lineRule="auto"/>
        <w:jc w:val="center"/>
        <w:outlineLvl w:val="0"/>
        <w:rPr>
          <w:rFonts w:ascii="宋体" w:hAnsi="宋体" w:cs="宋体"/>
          <w:b/>
          <w:kern w:val="0"/>
          <w:sz w:val="24"/>
        </w:rPr>
      </w:pPr>
    </w:p>
    <w:p w14:paraId="35678D01">
      <w:pPr>
        <w:shd w:val="clear" w:color="auto" w:fill="FFFFFF"/>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（项目名称）</w:t>
      </w:r>
    </w:p>
    <w:p w14:paraId="41B2BCC3">
      <w:pPr>
        <w:shd w:val="clear" w:color="auto" w:fill="FFFFFF"/>
        <w:snapToGrid w:val="0"/>
        <w:spacing w:line="360" w:lineRule="auto"/>
        <w:jc w:val="center"/>
        <w:outlineLvl w:val="0"/>
        <w:rPr>
          <w:rFonts w:ascii="宋体" w:hAnsi="宋体" w:cs="宋体"/>
          <w:b/>
          <w:bCs/>
          <w:sz w:val="52"/>
          <w:szCs w:val="52"/>
        </w:rPr>
      </w:pPr>
      <w:bookmarkStart w:id="477" w:name="_Toc17190"/>
      <w:r>
        <w:rPr>
          <w:rFonts w:hint="eastAsia" w:ascii="宋体" w:hAnsi="宋体" w:cs="宋体"/>
          <w:b/>
          <w:bCs/>
          <w:sz w:val="52"/>
          <w:szCs w:val="52"/>
        </w:rPr>
        <w:t>商 务 技 术 文 件</w:t>
      </w:r>
      <w:bookmarkEnd w:id="477"/>
    </w:p>
    <w:p w14:paraId="7F6886E5">
      <w:pPr>
        <w:widowControl/>
        <w:spacing w:line="360" w:lineRule="auto"/>
        <w:ind w:right="-2"/>
        <w:jc w:val="center"/>
        <w:outlineLvl w:val="1"/>
        <w:rPr>
          <w:rFonts w:ascii="宋体" w:hAnsi="宋体" w:cs="宋体"/>
          <w:b/>
          <w:sz w:val="36"/>
          <w:szCs w:val="36"/>
        </w:rPr>
      </w:pPr>
      <w:bookmarkStart w:id="478" w:name="_Toc27078"/>
      <w:r>
        <w:rPr>
          <w:rFonts w:hint="eastAsia" w:ascii="宋体" w:hAnsi="宋体" w:cs="宋体"/>
          <w:b/>
          <w:sz w:val="36"/>
          <w:szCs w:val="36"/>
        </w:rPr>
        <w:t>（线上电子招投标）</w:t>
      </w:r>
      <w:bookmarkEnd w:id="478"/>
    </w:p>
    <w:p w14:paraId="150E6C58">
      <w:pPr>
        <w:pStyle w:val="86"/>
        <w:spacing w:line="360" w:lineRule="auto"/>
        <w:rPr>
          <w:rFonts w:cs="宋体"/>
          <w:sz w:val="36"/>
          <w:szCs w:val="36"/>
        </w:rPr>
      </w:pPr>
    </w:p>
    <w:p w14:paraId="12A2EFB6">
      <w:pPr>
        <w:shd w:val="clear" w:color="auto" w:fill="FFFFFF"/>
        <w:snapToGrid w:val="0"/>
        <w:spacing w:line="360" w:lineRule="auto"/>
        <w:jc w:val="center"/>
        <w:outlineLvl w:val="1"/>
        <w:rPr>
          <w:rFonts w:ascii="宋体" w:hAnsi="宋体" w:cs="宋体"/>
          <w:b/>
          <w:bCs/>
          <w:sz w:val="36"/>
          <w:szCs w:val="36"/>
        </w:rPr>
      </w:pPr>
      <w:bookmarkStart w:id="479" w:name="_Toc28851"/>
      <w:r>
        <w:rPr>
          <w:rFonts w:hint="eastAsia" w:ascii="宋体" w:hAnsi="宋体" w:cs="宋体"/>
          <w:b/>
          <w:bCs/>
          <w:sz w:val="36"/>
          <w:szCs w:val="36"/>
        </w:rPr>
        <w:t xml:space="preserve">  招标编号：</w:t>
      </w:r>
      <w:bookmarkEnd w:id="479"/>
      <w:r>
        <w:rPr>
          <w:rFonts w:hint="eastAsia" w:ascii="宋体" w:hAnsi="宋体" w:cs="宋体"/>
          <w:b/>
          <w:bCs/>
          <w:sz w:val="36"/>
          <w:szCs w:val="36"/>
        </w:rPr>
        <w:t xml:space="preserve">YHZFCG2024- </w:t>
      </w:r>
    </w:p>
    <w:p w14:paraId="7AC573F6">
      <w:pPr>
        <w:snapToGrid w:val="0"/>
        <w:spacing w:line="360" w:lineRule="auto"/>
        <w:jc w:val="center"/>
        <w:rPr>
          <w:rFonts w:ascii="宋体" w:hAnsi="宋体" w:cs="宋体"/>
          <w:sz w:val="52"/>
          <w:szCs w:val="52"/>
        </w:rPr>
      </w:pPr>
      <w:r>
        <w:rPr>
          <w:rFonts w:hint="eastAsia" w:ascii="宋体" w:hAnsi="宋体" w:cs="宋体"/>
          <w:sz w:val="52"/>
          <w:szCs w:val="52"/>
        </w:rPr>
        <w:t>投</w:t>
      </w:r>
    </w:p>
    <w:p w14:paraId="4ACEE677">
      <w:pPr>
        <w:snapToGrid w:val="0"/>
        <w:spacing w:line="360" w:lineRule="auto"/>
        <w:jc w:val="center"/>
        <w:rPr>
          <w:rFonts w:ascii="宋体" w:hAnsi="宋体" w:cs="宋体"/>
          <w:sz w:val="52"/>
          <w:szCs w:val="52"/>
        </w:rPr>
      </w:pPr>
      <w:r>
        <w:rPr>
          <w:rFonts w:hint="eastAsia" w:ascii="宋体" w:hAnsi="宋体" w:cs="宋体"/>
          <w:sz w:val="52"/>
          <w:szCs w:val="52"/>
        </w:rPr>
        <w:t>标</w:t>
      </w:r>
    </w:p>
    <w:p w14:paraId="3F5FFEE5">
      <w:pPr>
        <w:snapToGrid w:val="0"/>
        <w:spacing w:line="360" w:lineRule="auto"/>
        <w:jc w:val="center"/>
        <w:rPr>
          <w:rFonts w:ascii="宋体" w:hAnsi="宋体" w:cs="宋体"/>
          <w:sz w:val="52"/>
          <w:szCs w:val="52"/>
        </w:rPr>
      </w:pPr>
      <w:r>
        <w:rPr>
          <w:rFonts w:hint="eastAsia" w:ascii="宋体" w:hAnsi="宋体" w:cs="宋体"/>
          <w:sz w:val="52"/>
          <w:szCs w:val="52"/>
        </w:rPr>
        <w:t>文</w:t>
      </w:r>
    </w:p>
    <w:p w14:paraId="0F86FFA3">
      <w:pPr>
        <w:snapToGrid w:val="0"/>
        <w:spacing w:line="360" w:lineRule="auto"/>
        <w:jc w:val="center"/>
        <w:rPr>
          <w:rFonts w:ascii="宋体" w:hAnsi="宋体" w:cs="宋体"/>
          <w:sz w:val="52"/>
          <w:szCs w:val="52"/>
        </w:rPr>
      </w:pPr>
      <w:r>
        <w:rPr>
          <w:rFonts w:hint="eastAsia" w:ascii="宋体" w:hAnsi="宋体" w:cs="宋体"/>
          <w:sz w:val="52"/>
          <w:szCs w:val="52"/>
        </w:rPr>
        <w:t>件</w:t>
      </w:r>
    </w:p>
    <w:p w14:paraId="157057CA">
      <w:pPr>
        <w:snapToGrid w:val="0"/>
        <w:spacing w:line="360" w:lineRule="auto"/>
        <w:ind w:firstLine="1920" w:firstLineChars="600"/>
        <w:rPr>
          <w:rFonts w:ascii="宋体" w:hAnsi="宋体" w:cs="宋体"/>
          <w:sz w:val="32"/>
          <w:szCs w:val="32"/>
        </w:rPr>
      </w:pPr>
      <w:r>
        <w:rPr>
          <w:rFonts w:hint="eastAsia" w:ascii="宋体" w:hAnsi="宋体" w:cs="宋体"/>
          <w:sz w:val="32"/>
          <w:szCs w:val="32"/>
        </w:rPr>
        <w:t>标项名称：</w:t>
      </w:r>
    </w:p>
    <w:p w14:paraId="3A182DC3">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14:paraId="66243E63">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14:paraId="4E6696C0">
      <w:pPr>
        <w:snapToGrid w:val="0"/>
        <w:spacing w:line="360" w:lineRule="auto"/>
        <w:jc w:val="center"/>
        <w:rPr>
          <w:rFonts w:ascii="宋体" w:hAnsi="宋体" w:cs="宋体"/>
          <w:sz w:val="32"/>
          <w:szCs w:val="32"/>
        </w:rPr>
      </w:pPr>
      <w:r>
        <w:rPr>
          <w:rFonts w:hint="eastAsia" w:ascii="宋体" w:hAnsi="宋体" w:cs="宋体"/>
          <w:sz w:val="32"/>
          <w:szCs w:val="32"/>
        </w:rPr>
        <w:t>年   月   日</w:t>
      </w:r>
    </w:p>
    <w:p w14:paraId="7C031983">
      <w:pPr>
        <w:pStyle w:val="4"/>
        <w:snapToGrid w:val="0"/>
        <w:rPr>
          <w:rFonts w:ascii="宋体" w:hAnsi="宋体" w:cs="宋体"/>
          <w:kern w:val="0"/>
          <w:sz w:val="32"/>
          <w:szCs w:val="32"/>
        </w:rPr>
        <w:sectPr>
          <w:pgSz w:w="11906" w:h="16838"/>
          <w:pgMar w:top="993" w:right="1474" w:bottom="1134" w:left="1474" w:header="851" w:footer="641" w:gutter="0"/>
          <w:pgNumType w:fmt="numberInDash"/>
          <w:cols w:space="720" w:num="1"/>
          <w:docGrid w:type="lines" w:linePitch="315" w:charSpace="0"/>
        </w:sectPr>
      </w:pPr>
    </w:p>
    <w:p w14:paraId="51287C7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C1F46D6">
      <w:pPr>
        <w:spacing w:line="360" w:lineRule="auto"/>
        <w:jc w:val="center"/>
        <w:outlineLvl w:val="0"/>
        <w:rPr>
          <w:rFonts w:ascii="宋体" w:hAnsi="宋体" w:cs="宋体"/>
          <w:b/>
          <w:kern w:val="0"/>
          <w:sz w:val="24"/>
        </w:rPr>
      </w:pPr>
    </w:p>
    <w:p w14:paraId="59C6F6C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E49FB8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665DA1A">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29FC28DB">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zh-CN"/>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3F9B634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5ED7EC1D">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14:paraId="61584264">
      <w:pPr>
        <w:snapToGrid w:val="0"/>
        <w:spacing w:line="360" w:lineRule="auto"/>
        <w:ind w:left="479" w:leftChars="228"/>
        <w:rPr>
          <w:rFonts w:ascii="宋体" w:hAnsi="宋体" w:cs="宋体"/>
          <w:sz w:val="24"/>
          <w:lang w:val="zh-CN"/>
        </w:rPr>
      </w:pPr>
      <w:r>
        <w:rPr>
          <w:rFonts w:hint="eastAsia" w:ascii="宋体" w:hAnsi="宋体" w:cs="宋体"/>
          <w:sz w:val="24"/>
          <w:lang w:val="zh-CN"/>
        </w:rPr>
        <w:t>（9）附件</w:t>
      </w:r>
      <w:r>
        <w:rPr>
          <w:rFonts w:hint="eastAsia" w:ascii="宋体" w:hAnsi="宋体" w:cs="宋体"/>
          <w:lang w:val="zh-CN"/>
        </w:rPr>
        <w:t>………………………………………………………………………………………（页码）</w:t>
      </w:r>
    </w:p>
    <w:p w14:paraId="3A5A85A0">
      <w:pPr>
        <w:pStyle w:val="5"/>
        <w:rPr>
          <w:rFonts w:ascii="宋体" w:hAnsi="宋体" w:eastAsia="宋体" w:cs="宋体"/>
          <w:lang w:val="en-US"/>
        </w:rPr>
      </w:pPr>
    </w:p>
    <w:p w14:paraId="16A62C7B">
      <w:pPr>
        <w:snapToGrid w:val="0"/>
        <w:spacing w:line="360" w:lineRule="auto"/>
        <w:jc w:val="center"/>
        <w:rPr>
          <w:rFonts w:ascii="宋体" w:hAnsi="宋体" w:cs="宋体"/>
          <w:b/>
          <w:kern w:val="0"/>
          <w:sz w:val="32"/>
          <w:szCs w:val="32"/>
          <w:lang w:val="zh-CN"/>
        </w:rPr>
      </w:pPr>
    </w:p>
    <w:p w14:paraId="4CC85AA3">
      <w:pPr>
        <w:snapToGrid w:val="0"/>
        <w:spacing w:line="360" w:lineRule="auto"/>
        <w:jc w:val="center"/>
        <w:rPr>
          <w:rFonts w:ascii="宋体" w:hAnsi="宋体" w:cs="宋体"/>
          <w:b/>
          <w:kern w:val="0"/>
          <w:sz w:val="32"/>
          <w:szCs w:val="32"/>
          <w:lang w:val="zh-CN"/>
        </w:rPr>
      </w:pPr>
    </w:p>
    <w:p w14:paraId="1ACF149C">
      <w:pPr>
        <w:snapToGrid w:val="0"/>
        <w:spacing w:line="360" w:lineRule="auto"/>
        <w:jc w:val="center"/>
        <w:rPr>
          <w:rFonts w:ascii="宋体" w:hAnsi="宋体" w:cs="宋体"/>
          <w:b/>
          <w:kern w:val="0"/>
          <w:sz w:val="32"/>
          <w:szCs w:val="32"/>
          <w:lang w:val="zh-CN"/>
        </w:rPr>
      </w:pPr>
    </w:p>
    <w:p w14:paraId="2EFA751A">
      <w:pPr>
        <w:snapToGrid w:val="0"/>
        <w:spacing w:line="360" w:lineRule="auto"/>
        <w:jc w:val="center"/>
        <w:rPr>
          <w:rFonts w:ascii="宋体" w:hAnsi="宋体" w:cs="宋体"/>
          <w:b/>
          <w:kern w:val="0"/>
          <w:sz w:val="32"/>
          <w:szCs w:val="32"/>
          <w:lang w:val="zh-CN"/>
        </w:rPr>
      </w:pPr>
    </w:p>
    <w:p w14:paraId="195E272F">
      <w:pPr>
        <w:snapToGrid w:val="0"/>
        <w:spacing w:line="360" w:lineRule="auto"/>
        <w:jc w:val="center"/>
        <w:rPr>
          <w:rFonts w:ascii="宋体" w:hAnsi="宋体" w:cs="宋体"/>
          <w:b/>
          <w:kern w:val="0"/>
          <w:sz w:val="32"/>
          <w:szCs w:val="32"/>
          <w:lang w:val="zh-CN"/>
        </w:rPr>
      </w:pPr>
    </w:p>
    <w:p w14:paraId="31CF698D">
      <w:pPr>
        <w:snapToGrid w:val="0"/>
        <w:spacing w:line="360" w:lineRule="auto"/>
        <w:jc w:val="center"/>
        <w:rPr>
          <w:rFonts w:ascii="宋体" w:hAnsi="宋体" w:cs="宋体"/>
          <w:b/>
          <w:kern w:val="0"/>
          <w:sz w:val="32"/>
          <w:szCs w:val="32"/>
          <w:lang w:val="zh-CN"/>
        </w:rPr>
      </w:pPr>
    </w:p>
    <w:p w14:paraId="2CDAC31E">
      <w:pPr>
        <w:jc w:val="left"/>
        <w:rPr>
          <w:rFonts w:ascii="宋体" w:hAnsi="宋体" w:cs="宋体"/>
          <w:b/>
          <w:kern w:val="0"/>
          <w:sz w:val="32"/>
          <w:szCs w:val="32"/>
        </w:rPr>
      </w:pPr>
      <w:r>
        <w:rPr>
          <w:rFonts w:hint="eastAsia" w:ascii="宋体" w:hAnsi="宋体" w:cs="宋体"/>
          <w:b/>
          <w:kern w:val="0"/>
          <w:sz w:val="32"/>
          <w:szCs w:val="32"/>
        </w:rPr>
        <w:br w:type="page"/>
      </w:r>
    </w:p>
    <w:p w14:paraId="5920416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04FC1C2">
      <w:pPr>
        <w:snapToGrid w:val="0"/>
        <w:spacing w:line="360" w:lineRule="auto"/>
        <w:rPr>
          <w:rFonts w:ascii="宋体" w:hAnsi="宋体" w:cs="宋体"/>
          <w:sz w:val="24"/>
        </w:rPr>
      </w:pPr>
      <w:r>
        <w:rPr>
          <w:rFonts w:hint="eastAsia" w:ascii="宋体" w:hAnsi="宋体" w:cs="宋体"/>
          <w:color w:val="000000"/>
          <w:sz w:val="24"/>
        </w:rPr>
        <w:t>（采购人）、（采购代理机构）：</w:t>
      </w:r>
    </w:p>
    <w:p w14:paraId="19AB07D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 xml:space="preserve">（项目名称）   </w:t>
      </w:r>
      <w:r>
        <w:rPr>
          <w:rFonts w:hint="eastAsia" w:ascii="宋体" w:hAnsi="宋体" w:cs="宋体"/>
          <w:b/>
          <w:bCs/>
          <w:color w:val="0000FF"/>
          <w:sz w:val="24"/>
          <w:u w:val="single"/>
        </w:rPr>
        <w:t>（标项名称：            ）</w:t>
      </w:r>
      <w:r>
        <w:rPr>
          <w:rFonts w:hint="eastAsia" w:ascii="宋体" w:hAnsi="宋体" w:cs="宋体"/>
          <w:sz w:val="24"/>
        </w:rPr>
        <w:t>【招标编号：（采购编号）】招标的有关活动，并对此项目进行投标。为此：</w:t>
      </w:r>
    </w:p>
    <w:p w14:paraId="15A1E1E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64AEFB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174B8F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A0278F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49FBC3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80" w:name="_Hlk101257010"/>
      <w:r>
        <w:rPr>
          <w:rFonts w:hint="eastAsia" w:ascii="宋体" w:hAnsi="宋体" w:cs="宋体"/>
          <w:sz w:val="24"/>
        </w:rPr>
        <w:t>（如果有)</w:t>
      </w:r>
      <w:bookmarkEnd w:id="480"/>
      <w:r>
        <w:rPr>
          <w:rFonts w:hint="eastAsia" w:ascii="宋体" w:hAnsi="宋体" w:cs="宋体"/>
          <w:snapToGrid w:val="0"/>
          <w:kern w:val="28"/>
          <w:sz w:val="24"/>
          <w:szCs w:val="20"/>
        </w:rPr>
        <w:t>；</w:t>
      </w:r>
    </w:p>
    <w:p w14:paraId="1C4066F4">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5A917C9A">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3C4C8E1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16ED87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0654A6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8A48AD">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1B164305">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257166D">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08026B77">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31D9DC4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6C9D705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13A9A69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23373B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A2510B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1C30493">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655B32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8BE3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38DF8D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14A371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3EF2B3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308245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28E8FC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843D7E7">
      <w:pPr>
        <w:spacing w:line="360" w:lineRule="auto"/>
        <w:jc w:val="center"/>
        <w:rPr>
          <w:rFonts w:ascii="宋体" w:hAnsi="宋体" w:cs="宋体"/>
          <w:sz w:val="24"/>
        </w:rPr>
      </w:pPr>
      <w:r>
        <w:rPr>
          <w:rFonts w:hint="eastAsia" w:ascii="宋体" w:hAnsi="宋体" w:cs="宋体"/>
          <w:sz w:val="24"/>
        </w:rPr>
        <w:t xml:space="preserve">     日期：  年   月   日</w:t>
      </w:r>
    </w:p>
    <w:p w14:paraId="28CDCE8E">
      <w:pPr>
        <w:snapToGrid w:val="0"/>
        <w:spacing w:line="360" w:lineRule="auto"/>
        <w:ind w:left="420" w:leftChars="200" w:firstLine="4200" w:firstLineChars="1750"/>
        <w:rPr>
          <w:rFonts w:ascii="宋体" w:hAnsi="宋体" w:cs="宋体"/>
          <w:kern w:val="0"/>
          <w:sz w:val="24"/>
          <w:u w:val="single"/>
        </w:rPr>
      </w:pPr>
    </w:p>
    <w:p w14:paraId="58A57056">
      <w:pPr>
        <w:spacing w:line="360" w:lineRule="auto"/>
        <w:ind w:right="420"/>
        <w:rPr>
          <w:rFonts w:ascii="宋体" w:hAnsi="宋体" w:cs="宋体"/>
          <w:sz w:val="24"/>
        </w:rPr>
      </w:pPr>
      <w:r>
        <w:rPr>
          <w:rFonts w:hint="eastAsia" w:ascii="宋体" w:hAnsi="宋体" w:cs="宋体"/>
          <w:sz w:val="24"/>
        </w:rPr>
        <w:t>注：按本格式和要求提供。</w:t>
      </w:r>
    </w:p>
    <w:p w14:paraId="28114BD8">
      <w:pPr>
        <w:snapToGrid w:val="0"/>
        <w:spacing w:line="360" w:lineRule="auto"/>
        <w:jc w:val="center"/>
        <w:rPr>
          <w:rFonts w:ascii="宋体" w:hAnsi="宋体" w:cs="宋体"/>
          <w:b/>
          <w:kern w:val="0"/>
          <w:sz w:val="32"/>
          <w:szCs w:val="32"/>
        </w:rPr>
      </w:pPr>
    </w:p>
    <w:p w14:paraId="3CC529AA">
      <w:pPr>
        <w:snapToGrid w:val="0"/>
        <w:spacing w:line="360" w:lineRule="auto"/>
        <w:rPr>
          <w:rFonts w:ascii="宋体" w:hAnsi="宋体" w:cs="宋体"/>
          <w:sz w:val="24"/>
        </w:rPr>
      </w:pPr>
    </w:p>
    <w:p w14:paraId="2DE31318">
      <w:pPr>
        <w:jc w:val="center"/>
        <w:rPr>
          <w:rFonts w:ascii="宋体" w:hAnsi="宋体" w:cs="宋体"/>
          <w:b/>
          <w:kern w:val="0"/>
          <w:sz w:val="32"/>
          <w:szCs w:val="32"/>
        </w:rPr>
      </w:pPr>
    </w:p>
    <w:p w14:paraId="08B4818A">
      <w:pPr>
        <w:jc w:val="center"/>
        <w:rPr>
          <w:rFonts w:ascii="宋体" w:hAnsi="宋体" w:cs="宋体"/>
          <w:b/>
          <w:kern w:val="0"/>
          <w:sz w:val="32"/>
          <w:szCs w:val="32"/>
        </w:rPr>
      </w:pPr>
    </w:p>
    <w:p w14:paraId="6A935FC8">
      <w:pPr>
        <w:jc w:val="center"/>
        <w:rPr>
          <w:rFonts w:ascii="宋体" w:hAnsi="宋体" w:cs="宋体"/>
          <w:b/>
          <w:kern w:val="0"/>
          <w:sz w:val="32"/>
          <w:szCs w:val="32"/>
        </w:rPr>
      </w:pPr>
    </w:p>
    <w:p w14:paraId="5A3A0DE9">
      <w:pPr>
        <w:jc w:val="center"/>
        <w:rPr>
          <w:rFonts w:ascii="宋体" w:hAnsi="宋体" w:cs="宋体"/>
          <w:b/>
          <w:kern w:val="0"/>
          <w:sz w:val="32"/>
          <w:szCs w:val="32"/>
        </w:rPr>
      </w:pPr>
    </w:p>
    <w:p w14:paraId="641921A1">
      <w:pPr>
        <w:jc w:val="center"/>
        <w:rPr>
          <w:rFonts w:ascii="宋体" w:hAnsi="宋体" w:cs="宋体"/>
          <w:sz w:val="24"/>
        </w:rPr>
      </w:pPr>
      <w:r>
        <w:rPr>
          <w:rFonts w:hint="eastAsia" w:ascii="宋体" w:hAnsi="宋体" w:cs="宋体"/>
          <w:b/>
          <w:kern w:val="0"/>
          <w:sz w:val="32"/>
          <w:szCs w:val="32"/>
          <w:lang w:val="zh-CN"/>
        </w:rPr>
        <w:t>二、授权委托书或法定代表人（单位负责人、自然人本人）身份证明</w:t>
      </w:r>
      <w:r>
        <w:rPr>
          <w:rFonts w:hint="eastAsia" w:ascii="宋体" w:hAnsi="宋体" w:cs="宋体"/>
          <w:sz w:val="24"/>
        </w:rPr>
        <w:t xml:space="preserve">               </w:t>
      </w:r>
    </w:p>
    <w:p w14:paraId="7C022B96">
      <w:pPr>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924176F">
      <w:pPr>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6280D6D5">
      <w:pPr>
        <w:pStyle w:val="626"/>
        <w:snapToGrid/>
        <w:spacing w:line="360" w:lineRule="auto"/>
        <w:ind w:firstLine="653"/>
        <w:jc w:val="center"/>
        <w:rPr>
          <w:rFonts w:ascii="宋体" w:hAnsi="宋体" w:eastAsia="宋体" w:cs="宋体"/>
          <w:b/>
          <w:kern w:val="0"/>
          <w:lang w:val="zh-CN"/>
        </w:rPr>
      </w:pPr>
      <w:r>
        <w:rPr>
          <w:rFonts w:hint="eastAsia" w:ascii="宋体" w:hAnsi="宋体" w:eastAsia="宋体" w:cs="宋体"/>
          <w:b/>
          <w:kern w:val="0"/>
          <w:lang w:val="zh-CN"/>
        </w:rPr>
        <w:t>授权委托书</w:t>
      </w:r>
    </w:p>
    <w:p w14:paraId="714D191A">
      <w:pPr>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b/>
          <w:bCs/>
          <w:color w:val="0000FF"/>
          <w:sz w:val="24"/>
          <w:u w:val="single"/>
        </w:rPr>
        <w:t>（标项名称：                ）</w:t>
      </w:r>
      <w:r>
        <w:rPr>
          <w:rFonts w:hint="eastAsia" w:ascii="宋体" w:hAnsi="宋体" w:cs="宋体"/>
          <w:sz w:val="24"/>
          <w:u w:val="single"/>
        </w:rPr>
        <w:t>【招标编号：（采购编号）】</w:t>
      </w:r>
      <w:r>
        <w:rPr>
          <w:rFonts w:hint="eastAsia" w:ascii="宋体" w:hAnsi="宋体" w:cs="宋体"/>
          <w:kern w:val="0"/>
          <w:sz w:val="24"/>
          <w:lang w:val="zh-CN"/>
        </w:rPr>
        <w:t>政府采购投标的一切事项，其法律后果由我方承担。</w:t>
      </w:r>
    </w:p>
    <w:p w14:paraId="746F6794">
      <w:pPr>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B086320">
      <w:pPr>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15C970">
      <w:pPr>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52076C9">
      <w:pPr>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012EF56">
      <w:pPr>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619C651D">
      <w:pPr>
        <w:spacing w:line="360" w:lineRule="auto"/>
        <w:jc w:val="center"/>
        <w:rPr>
          <w:rFonts w:hint="eastAsia" w:ascii="宋体" w:hAnsi="宋体" w:cs="宋体"/>
          <w:b/>
          <w:kern w:val="0"/>
          <w:sz w:val="32"/>
          <w:szCs w:val="32"/>
          <w:lang w:val="zh-CN"/>
        </w:rPr>
      </w:pPr>
    </w:p>
    <w:p w14:paraId="30016DD5">
      <w:pPr>
        <w:spacing w:line="360" w:lineRule="auto"/>
        <w:jc w:val="center"/>
        <w:rPr>
          <w:rFonts w:hint="eastAsia" w:ascii="宋体" w:hAnsi="宋体" w:cs="宋体"/>
          <w:b/>
          <w:kern w:val="0"/>
          <w:sz w:val="32"/>
          <w:szCs w:val="32"/>
          <w:lang w:val="zh-CN"/>
        </w:rPr>
      </w:pPr>
    </w:p>
    <w:p w14:paraId="6CC2FBB1">
      <w:pPr>
        <w:spacing w:line="360" w:lineRule="auto"/>
        <w:jc w:val="center"/>
        <w:rPr>
          <w:rFonts w:hint="eastAsia" w:ascii="宋体" w:hAnsi="宋体" w:cs="宋体"/>
          <w:b/>
          <w:kern w:val="0"/>
          <w:sz w:val="32"/>
          <w:szCs w:val="32"/>
          <w:lang w:val="zh-CN"/>
        </w:rPr>
      </w:pPr>
    </w:p>
    <w:p w14:paraId="42E605CF">
      <w:pPr>
        <w:spacing w:line="360" w:lineRule="auto"/>
        <w:jc w:val="center"/>
        <w:rPr>
          <w:rFonts w:hint="eastAsia" w:ascii="宋体" w:hAnsi="宋体" w:cs="宋体"/>
          <w:b/>
          <w:kern w:val="0"/>
          <w:sz w:val="32"/>
          <w:szCs w:val="32"/>
          <w:lang w:val="zh-CN"/>
        </w:rPr>
      </w:pPr>
    </w:p>
    <w:p w14:paraId="2A7C9C1C">
      <w:pPr>
        <w:spacing w:line="360" w:lineRule="auto"/>
        <w:jc w:val="center"/>
        <w:rPr>
          <w:rFonts w:hint="eastAsia" w:ascii="宋体" w:hAnsi="宋体" w:cs="宋体"/>
          <w:b/>
          <w:kern w:val="0"/>
          <w:sz w:val="32"/>
          <w:szCs w:val="32"/>
          <w:lang w:val="zh-CN"/>
        </w:rPr>
      </w:pPr>
    </w:p>
    <w:p w14:paraId="3C81DA38">
      <w:pPr>
        <w:spacing w:line="360" w:lineRule="auto"/>
        <w:jc w:val="center"/>
        <w:rPr>
          <w:rFonts w:hint="eastAsia" w:ascii="宋体" w:hAnsi="宋体" w:cs="宋体"/>
          <w:b/>
          <w:kern w:val="0"/>
          <w:sz w:val="32"/>
          <w:szCs w:val="32"/>
          <w:lang w:val="zh-CN"/>
        </w:rPr>
      </w:pPr>
    </w:p>
    <w:p w14:paraId="1C45E131">
      <w:pPr>
        <w:spacing w:line="360" w:lineRule="auto"/>
        <w:jc w:val="center"/>
        <w:rPr>
          <w:rFonts w:hint="eastAsia" w:ascii="宋体" w:hAnsi="宋体" w:cs="宋体"/>
          <w:b/>
          <w:kern w:val="0"/>
          <w:sz w:val="32"/>
          <w:szCs w:val="32"/>
          <w:lang w:val="zh-CN"/>
        </w:rPr>
      </w:pPr>
    </w:p>
    <w:p w14:paraId="413EB637">
      <w:pPr>
        <w:spacing w:line="360" w:lineRule="auto"/>
        <w:jc w:val="center"/>
        <w:rPr>
          <w:rFonts w:ascii="宋体" w:hAnsi="宋体" w:cs="宋体"/>
          <w:sz w:val="24"/>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93B0412">
      <w:pPr>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90E846E">
      <w:pPr>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sz w:val="24"/>
          <w:u w:val="single"/>
        </w:rPr>
        <w:t>（项目名称）</w:t>
      </w:r>
      <w:r>
        <w:rPr>
          <w:rFonts w:hint="eastAsia" w:ascii="宋体" w:hAnsi="宋体" w:cs="宋体"/>
          <w:b/>
          <w:bCs/>
          <w:color w:val="0000FF"/>
          <w:sz w:val="24"/>
          <w:u w:val="single"/>
        </w:rPr>
        <w:t>（标项名称：                ）</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14:paraId="48D704B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C7C65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717391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DE93C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846BF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098DE6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A10E7AD">
      <w:pPr>
        <w:autoSpaceDE w:val="0"/>
        <w:autoSpaceDN w:val="0"/>
        <w:spacing w:line="360" w:lineRule="auto"/>
        <w:jc w:val="center"/>
        <w:rPr>
          <w:rFonts w:hint="eastAsia" w:ascii="宋体" w:hAnsi="宋体" w:cs="宋体"/>
          <w:b/>
          <w:kern w:val="0"/>
          <w:sz w:val="32"/>
          <w:szCs w:val="32"/>
          <w:lang w:val="zh-CN"/>
        </w:rPr>
      </w:pPr>
    </w:p>
    <w:p w14:paraId="05FFED36">
      <w:pPr>
        <w:autoSpaceDE w:val="0"/>
        <w:autoSpaceDN w:val="0"/>
        <w:spacing w:line="360" w:lineRule="auto"/>
        <w:jc w:val="center"/>
        <w:rPr>
          <w:rFonts w:hint="eastAsia" w:ascii="宋体" w:hAnsi="宋体" w:cs="宋体"/>
          <w:b/>
          <w:kern w:val="0"/>
          <w:sz w:val="32"/>
          <w:szCs w:val="32"/>
          <w:lang w:val="zh-CN"/>
        </w:rPr>
      </w:pPr>
    </w:p>
    <w:p w14:paraId="6DFE0AF2">
      <w:pPr>
        <w:autoSpaceDE w:val="0"/>
        <w:autoSpaceDN w:val="0"/>
        <w:spacing w:line="360" w:lineRule="auto"/>
        <w:jc w:val="center"/>
        <w:rPr>
          <w:rFonts w:hint="eastAsia" w:ascii="宋体" w:hAnsi="宋体" w:cs="宋体"/>
          <w:b/>
          <w:kern w:val="0"/>
          <w:sz w:val="32"/>
          <w:szCs w:val="32"/>
          <w:lang w:val="zh-CN"/>
        </w:rPr>
      </w:pPr>
    </w:p>
    <w:p w14:paraId="62DB86D4">
      <w:pPr>
        <w:autoSpaceDE w:val="0"/>
        <w:autoSpaceDN w:val="0"/>
        <w:spacing w:line="360" w:lineRule="auto"/>
        <w:jc w:val="center"/>
        <w:rPr>
          <w:rFonts w:hint="eastAsia" w:ascii="宋体" w:hAnsi="宋体" w:cs="宋体"/>
          <w:b/>
          <w:kern w:val="0"/>
          <w:sz w:val="32"/>
          <w:szCs w:val="32"/>
          <w:lang w:val="zh-CN"/>
        </w:rPr>
      </w:pPr>
    </w:p>
    <w:p w14:paraId="67DB8557">
      <w:pPr>
        <w:autoSpaceDE w:val="0"/>
        <w:autoSpaceDN w:val="0"/>
        <w:spacing w:line="360" w:lineRule="auto"/>
        <w:jc w:val="center"/>
        <w:rPr>
          <w:rFonts w:hint="eastAsia" w:ascii="宋体" w:hAnsi="宋体" w:cs="宋体"/>
          <w:b/>
          <w:kern w:val="0"/>
          <w:sz w:val="32"/>
          <w:szCs w:val="32"/>
          <w:lang w:val="zh-CN"/>
        </w:rPr>
      </w:pPr>
    </w:p>
    <w:p w14:paraId="5D3A52CE">
      <w:pPr>
        <w:autoSpaceDE w:val="0"/>
        <w:autoSpaceDN w:val="0"/>
        <w:spacing w:line="360" w:lineRule="auto"/>
        <w:jc w:val="center"/>
        <w:rPr>
          <w:rFonts w:hint="eastAsia" w:ascii="宋体" w:hAnsi="宋体" w:cs="宋体"/>
          <w:b/>
          <w:kern w:val="0"/>
          <w:sz w:val="32"/>
          <w:szCs w:val="32"/>
          <w:lang w:val="zh-CN"/>
        </w:rPr>
      </w:pPr>
    </w:p>
    <w:p w14:paraId="3D17017D">
      <w:pPr>
        <w:autoSpaceDE w:val="0"/>
        <w:autoSpaceDN w:val="0"/>
        <w:spacing w:line="360" w:lineRule="auto"/>
        <w:jc w:val="center"/>
        <w:rPr>
          <w:rFonts w:hint="eastAsia" w:ascii="宋体" w:hAnsi="宋体" w:cs="宋体"/>
          <w:b/>
          <w:kern w:val="0"/>
          <w:sz w:val="32"/>
          <w:szCs w:val="32"/>
          <w:lang w:val="zh-CN"/>
        </w:rPr>
      </w:pPr>
    </w:p>
    <w:p w14:paraId="30CA19BE">
      <w:pPr>
        <w:autoSpaceDE w:val="0"/>
        <w:autoSpaceDN w:val="0"/>
        <w:spacing w:line="360" w:lineRule="auto"/>
        <w:jc w:val="center"/>
        <w:rPr>
          <w:rFonts w:hint="eastAsia" w:ascii="宋体" w:hAnsi="宋体" w:cs="宋体"/>
          <w:b/>
          <w:kern w:val="0"/>
          <w:sz w:val="32"/>
          <w:szCs w:val="32"/>
          <w:lang w:val="zh-CN"/>
        </w:rPr>
      </w:pPr>
    </w:p>
    <w:p w14:paraId="21F9E21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3E22B47">
      <w:pPr>
        <w:pStyle w:val="94"/>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6A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7734D3">
            <w:pPr>
              <w:pStyle w:val="94"/>
              <w:adjustRightInd w:val="0"/>
              <w:spacing w:after="0" w:line="360" w:lineRule="auto"/>
              <w:rPr>
                <w:rFonts w:hAnsi="宋体" w:cs="宋体"/>
                <w:bCs/>
                <w:sz w:val="24"/>
              </w:rPr>
            </w:pPr>
            <w:r>
              <w:rPr>
                <w:rFonts w:hint="eastAsia" w:hAnsi="宋体" w:cs="宋体"/>
                <w:bCs/>
                <w:sz w:val="24"/>
              </w:rPr>
              <w:t>正面：                                 反面：</w:t>
            </w:r>
          </w:p>
          <w:p w14:paraId="07D08B7B">
            <w:pPr>
              <w:pStyle w:val="94"/>
              <w:adjustRightInd w:val="0"/>
              <w:spacing w:after="0" w:line="360" w:lineRule="auto"/>
              <w:rPr>
                <w:rFonts w:hAnsi="宋体" w:cs="宋体"/>
                <w:bCs/>
                <w:sz w:val="24"/>
              </w:rPr>
            </w:pPr>
          </w:p>
        </w:tc>
      </w:tr>
    </w:tbl>
    <w:p w14:paraId="4945FCE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E1F7BB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ACF7A0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BE8A167">
      <w:pPr>
        <w:jc w:val="center"/>
        <w:rPr>
          <w:rFonts w:ascii="宋体" w:hAnsi="宋体" w:cs="宋体"/>
          <w:b/>
          <w:kern w:val="0"/>
          <w:sz w:val="32"/>
          <w:szCs w:val="32"/>
        </w:rPr>
      </w:pPr>
    </w:p>
    <w:p w14:paraId="18509B58">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numberInDash"/>
          <w:cols w:space="720" w:num="1"/>
          <w:titlePg/>
          <w:docGrid w:linePitch="312" w:charSpace="0"/>
        </w:sectPr>
      </w:pPr>
    </w:p>
    <w:p w14:paraId="635B6F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2470822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77937928">
      <w:pPr>
        <w:jc w:val="both"/>
        <w:rPr>
          <w:rFonts w:ascii="宋体" w:hAnsi="宋体" w:cs="宋体"/>
          <w:b/>
          <w:kern w:val="0"/>
          <w:sz w:val="32"/>
          <w:szCs w:val="32"/>
        </w:rPr>
      </w:pPr>
    </w:p>
    <w:p w14:paraId="41E16610">
      <w:pPr>
        <w:jc w:val="center"/>
        <w:rPr>
          <w:rFonts w:ascii="宋体" w:hAnsi="宋体" w:cs="宋体"/>
          <w:b/>
          <w:kern w:val="0"/>
          <w:sz w:val="32"/>
          <w:szCs w:val="32"/>
        </w:rPr>
      </w:pPr>
    </w:p>
    <w:p w14:paraId="7810D3B0">
      <w:pPr>
        <w:jc w:val="center"/>
        <w:rPr>
          <w:rFonts w:ascii="宋体" w:hAnsi="宋体" w:cs="宋体"/>
          <w:b/>
          <w:kern w:val="0"/>
          <w:sz w:val="32"/>
          <w:szCs w:val="32"/>
        </w:rPr>
      </w:pPr>
      <w:r>
        <w:rPr>
          <w:rFonts w:hint="eastAsia" w:ascii="宋体" w:hAnsi="宋体" w:cs="宋体"/>
          <w:b/>
          <w:kern w:val="0"/>
          <w:sz w:val="32"/>
          <w:szCs w:val="32"/>
        </w:rPr>
        <w:t>四、符合性审查资料</w:t>
      </w:r>
    </w:p>
    <w:p w14:paraId="40F57C3E">
      <w:pPr>
        <w:jc w:val="center"/>
        <w:rPr>
          <w:rFonts w:ascii="宋体" w:hAnsi="宋体" w:cs="宋体"/>
          <w:b/>
          <w:kern w:val="0"/>
          <w:sz w:val="32"/>
          <w:szCs w:val="32"/>
        </w:rPr>
      </w:pPr>
    </w:p>
    <w:tbl>
      <w:tblPr>
        <w:tblStyle w:val="6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870"/>
        <w:gridCol w:w="3666"/>
        <w:gridCol w:w="1417"/>
      </w:tblGrid>
      <w:tr w14:paraId="019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45" w:type="dxa"/>
            <w:vAlign w:val="center"/>
          </w:tcPr>
          <w:p w14:paraId="612F69BC">
            <w:pPr>
              <w:snapToGrid w:val="0"/>
              <w:spacing w:after="0" w:line="240" w:lineRule="atLeast"/>
              <w:jc w:val="center"/>
              <w:rPr>
                <w:rFonts w:ascii="宋体" w:hAnsi="宋体" w:cs="宋体"/>
                <w:b/>
                <w:sz w:val="24"/>
              </w:rPr>
            </w:pPr>
            <w:r>
              <w:rPr>
                <w:rFonts w:hint="eastAsia" w:ascii="宋体" w:hAnsi="宋体" w:cs="宋体"/>
                <w:b/>
                <w:sz w:val="24"/>
              </w:rPr>
              <w:t>序号</w:t>
            </w:r>
          </w:p>
        </w:tc>
        <w:tc>
          <w:tcPr>
            <w:tcW w:w="3870" w:type="dxa"/>
            <w:vAlign w:val="center"/>
          </w:tcPr>
          <w:p w14:paraId="5391694D">
            <w:pPr>
              <w:snapToGrid w:val="0"/>
              <w:spacing w:after="0" w:line="240" w:lineRule="atLeast"/>
              <w:jc w:val="center"/>
              <w:rPr>
                <w:rFonts w:ascii="宋体" w:hAnsi="宋体" w:cs="宋体"/>
                <w:b/>
                <w:sz w:val="24"/>
              </w:rPr>
            </w:pPr>
            <w:r>
              <w:rPr>
                <w:rFonts w:hint="eastAsia" w:ascii="宋体" w:hAnsi="宋体" w:cs="宋体"/>
                <w:b/>
                <w:sz w:val="24"/>
              </w:rPr>
              <w:t>实质性要求</w:t>
            </w:r>
          </w:p>
        </w:tc>
        <w:tc>
          <w:tcPr>
            <w:tcW w:w="3666" w:type="dxa"/>
            <w:vAlign w:val="center"/>
          </w:tcPr>
          <w:p w14:paraId="11D2A3F1">
            <w:pPr>
              <w:snapToGrid w:val="0"/>
              <w:spacing w:after="0" w:line="240" w:lineRule="atLeast"/>
              <w:jc w:val="center"/>
              <w:rPr>
                <w:rFonts w:ascii="宋体" w:hAnsi="宋体" w:cs="宋体"/>
                <w:b/>
                <w:sz w:val="24"/>
              </w:rPr>
            </w:pPr>
            <w:r>
              <w:rPr>
                <w:rFonts w:hint="eastAsia" w:ascii="宋体" w:hAnsi="宋体" w:cs="宋体"/>
                <w:b/>
                <w:sz w:val="24"/>
              </w:rPr>
              <w:t>需要提供的符合性审查资料</w:t>
            </w:r>
          </w:p>
        </w:tc>
        <w:tc>
          <w:tcPr>
            <w:tcW w:w="1417" w:type="dxa"/>
            <w:vAlign w:val="center"/>
          </w:tcPr>
          <w:p w14:paraId="414FE536">
            <w:pPr>
              <w:snapToGrid w:val="0"/>
              <w:spacing w:after="0" w:line="240" w:lineRule="atLeast"/>
              <w:jc w:val="center"/>
              <w:rPr>
                <w:rFonts w:ascii="宋体" w:hAnsi="宋体" w:cs="宋体"/>
                <w:b/>
                <w:sz w:val="24"/>
              </w:rPr>
            </w:pPr>
            <w:r>
              <w:rPr>
                <w:rFonts w:hint="eastAsia" w:ascii="宋体" w:hAnsi="宋体" w:cs="宋体"/>
                <w:b/>
                <w:sz w:val="24"/>
              </w:rPr>
              <w:t>投标文件中的</w:t>
            </w:r>
          </w:p>
          <w:p w14:paraId="22F040A4">
            <w:pPr>
              <w:snapToGrid w:val="0"/>
              <w:spacing w:after="0" w:line="240" w:lineRule="atLeast"/>
              <w:jc w:val="center"/>
              <w:rPr>
                <w:rFonts w:ascii="宋体" w:hAnsi="宋体" w:cs="宋体"/>
                <w:b/>
                <w:sz w:val="24"/>
              </w:rPr>
            </w:pPr>
            <w:r>
              <w:rPr>
                <w:rFonts w:hint="eastAsia" w:ascii="宋体" w:hAnsi="宋体" w:cs="宋体"/>
                <w:b/>
                <w:sz w:val="24"/>
              </w:rPr>
              <w:t>页码位置</w:t>
            </w:r>
          </w:p>
        </w:tc>
      </w:tr>
      <w:tr w14:paraId="6AD5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45" w:type="dxa"/>
            <w:vAlign w:val="center"/>
          </w:tcPr>
          <w:p w14:paraId="26FA4DAB">
            <w:pPr>
              <w:spacing w:after="0"/>
              <w:jc w:val="center"/>
              <w:rPr>
                <w:rFonts w:ascii="宋体" w:hAnsi="宋体" w:cs="宋体"/>
                <w:sz w:val="24"/>
              </w:rPr>
            </w:pPr>
            <w:r>
              <w:rPr>
                <w:rFonts w:hint="eastAsia" w:ascii="宋体" w:hAnsi="宋体" w:cs="宋体"/>
                <w:sz w:val="24"/>
              </w:rPr>
              <w:t>1</w:t>
            </w:r>
          </w:p>
        </w:tc>
        <w:tc>
          <w:tcPr>
            <w:tcW w:w="3870" w:type="dxa"/>
          </w:tcPr>
          <w:p w14:paraId="4A509075">
            <w:pPr>
              <w:spacing w:after="0" w:line="360" w:lineRule="auto"/>
              <w:rPr>
                <w:rFonts w:ascii="宋体" w:hAnsi="宋体" w:cs="宋体"/>
                <w:sz w:val="24"/>
              </w:rPr>
            </w:pPr>
            <w:r>
              <w:rPr>
                <w:rFonts w:hint="eastAsia" w:ascii="宋体" w:hAnsi="宋体" w:cs="宋体"/>
                <w:sz w:val="24"/>
              </w:rPr>
              <w:t>投标文件按照招标文件要求签署、盖章。</w:t>
            </w:r>
          </w:p>
        </w:tc>
        <w:tc>
          <w:tcPr>
            <w:tcW w:w="3666" w:type="dxa"/>
            <w:vAlign w:val="center"/>
          </w:tcPr>
          <w:p w14:paraId="3053D856">
            <w:pPr>
              <w:spacing w:after="0"/>
              <w:rPr>
                <w:rFonts w:ascii="宋体" w:hAnsi="宋体" w:cs="宋体"/>
                <w:sz w:val="24"/>
              </w:rPr>
            </w:pPr>
            <w:r>
              <w:rPr>
                <w:rFonts w:hint="eastAsia" w:ascii="宋体" w:hAnsi="宋体" w:cs="宋体"/>
                <w:sz w:val="24"/>
              </w:rPr>
              <w:t>需要使用电子签名或者签字盖章的投标文件的组成部分</w:t>
            </w:r>
          </w:p>
        </w:tc>
        <w:tc>
          <w:tcPr>
            <w:tcW w:w="1417" w:type="dxa"/>
          </w:tcPr>
          <w:p w14:paraId="214A6861">
            <w:pPr>
              <w:spacing w:after="0"/>
              <w:rPr>
                <w:rFonts w:ascii="宋体" w:hAnsi="宋体" w:cs="宋体"/>
                <w:sz w:val="24"/>
              </w:rPr>
            </w:pPr>
          </w:p>
          <w:p w14:paraId="760A03A1">
            <w:pPr>
              <w:spacing w:after="0"/>
              <w:rPr>
                <w:rFonts w:ascii="宋体" w:hAnsi="宋体" w:cs="宋体"/>
                <w:sz w:val="24"/>
              </w:rPr>
            </w:pPr>
            <w:r>
              <w:rPr>
                <w:rFonts w:hint="eastAsia" w:ascii="宋体" w:hAnsi="宋体" w:cs="宋体"/>
                <w:sz w:val="24"/>
              </w:rPr>
              <w:t>见投标文件</w:t>
            </w:r>
          </w:p>
          <w:p w14:paraId="2DCC4EC0">
            <w:pPr>
              <w:spacing w:after="0"/>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D04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45" w:type="dxa"/>
            <w:vAlign w:val="center"/>
          </w:tcPr>
          <w:p w14:paraId="3B308EE6">
            <w:pPr>
              <w:spacing w:after="0"/>
              <w:jc w:val="center"/>
              <w:rPr>
                <w:rFonts w:ascii="宋体" w:hAnsi="宋体" w:cs="宋体"/>
                <w:sz w:val="24"/>
              </w:rPr>
            </w:pPr>
            <w:r>
              <w:rPr>
                <w:rFonts w:hint="eastAsia" w:ascii="宋体" w:hAnsi="宋体" w:cs="宋体"/>
                <w:sz w:val="24"/>
              </w:rPr>
              <w:t>2</w:t>
            </w:r>
          </w:p>
        </w:tc>
        <w:tc>
          <w:tcPr>
            <w:tcW w:w="3870" w:type="dxa"/>
          </w:tcPr>
          <w:p w14:paraId="3BBCB894">
            <w:pPr>
              <w:spacing w:after="0"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6" w:type="dxa"/>
            <w:vAlign w:val="center"/>
          </w:tcPr>
          <w:p w14:paraId="0E55AFAA">
            <w:pPr>
              <w:spacing w:after="0"/>
              <w:rPr>
                <w:rFonts w:ascii="宋体" w:hAnsi="宋体" w:cs="宋体"/>
                <w:sz w:val="24"/>
              </w:rPr>
            </w:pPr>
            <w:r>
              <w:rPr>
                <w:rFonts w:hint="eastAsia" w:ascii="宋体" w:hAnsi="宋体" w:cs="宋体"/>
                <w:sz w:val="24"/>
              </w:rPr>
              <w:t>投标函</w:t>
            </w:r>
          </w:p>
        </w:tc>
        <w:tc>
          <w:tcPr>
            <w:tcW w:w="1417" w:type="dxa"/>
          </w:tcPr>
          <w:p w14:paraId="3FDF6F8D">
            <w:pPr>
              <w:spacing w:after="0"/>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0C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45" w:type="dxa"/>
            <w:vAlign w:val="center"/>
          </w:tcPr>
          <w:p w14:paraId="00205E66">
            <w:pPr>
              <w:spacing w:after="0"/>
              <w:jc w:val="center"/>
              <w:rPr>
                <w:rFonts w:ascii="宋体" w:hAnsi="宋体" w:cs="宋体"/>
                <w:sz w:val="24"/>
              </w:rPr>
            </w:pPr>
            <w:r>
              <w:rPr>
                <w:rFonts w:hint="eastAsia" w:ascii="宋体" w:hAnsi="宋体" w:cs="宋体"/>
                <w:sz w:val="24"/>
              </w:rPr>
              <w:t>3</w:t>
            </w:r>
          </w:p>
        </w:tc>
        <w:tc>
          <w:tcPr>
            <w:tcW w:w="3870" w:type="dxa"/>
          </w:tcPr>
          <w:p w14:paraId="7E20A591">
            <w:pPr>
              <w:spacing w:after="0" w:line="360" w:lineRule="auto"/>
              <w:rPr>
                <w:rFonts w:ascii="宋体" w:hAnsi="宋体" w:cs="宋体"/>
                <w:sz w:val="24"/>
              </w:rPr>
            </w:pPr>
            <w:r>
              <w:rPr>
                <w:rFonts w:hint="eastAsia" w:ascii="宋体" w:hAnsi="宋体" w:cs="宋体"/>
                <w:sz w:val="24"/>
              </w:rPr>
              <w:t>投标文件满足招标文件的其它实质性要求。</w:t>
            </w:r>
          </w:p>
        </w:tc>
        <w:tc>
          <w:tcPr>
            <w:tcW w:w="3666" w:type="dxa"/>
            <w:vAlign w:val="center"/>
          </w:tcPr>
          <w:p w14:paraId="1EF853D7">
            <w:pPr>
              <w:spacing w:after="0"/>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7" w:type="dxa"/>
          </w:tcPr>
          <w:p w14:paraId="234C7A7A">
            <w:pPr>
              <w:spacing w:after="0"/>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15A7900">
      <w:pPr>
        <w:spacing w:line="360" w:lineRule="auto"/>
        <w:ind w:right="420"/>
        <w:rPr>
          <w:rFonts w:ascii="宋体" w:hAnsi="宋体" w:cs="宋体"/>
          <w:sz w:val="24"/>
        </w:rPr>
      </w:pPr>
      <w:r>
        <w:rPr>
          <w:rFonts w:hint="eastAsia" w:ascii="宋体" w:hAnsi="宋体" w:cs="宋体"/>
          <w:sz w:val="24"/>
        </w:rPr>
        <w:t>注：按本格式和要求提供。</w:t>
      </w:r>
    </w:p>
    <w:p w14:paraId="4EC024E7">
      <w:pPr>
        <w:jc w:val="center"/>
        <w:rPr>
          <w:rFonts w:ascii="宋体" w:hAnsi="宋体" w:cs="宋体"/>
          <w:b/>
          <w:kern w:val="0"/>
          <w:sz w:val="32"/>
          <w:szCs w:val="32"/>
        </w:rPr>
      </w:pPr>
    </w:p>
    <w:p w14:paraId="64BB5432">
      <w:pPr>
        <w:jc w:val="center"/>
        <w:rPr>
          <w:rFonts w:ascii="宋体" w:hAnsi="宋体" w:cs="宋体"/>
          <w:b/>
          <w:kern w:val="0"/>
          <w:sz w:val="32"/>
          <w:szCs w:val="32"/>
        </w:rPr>
      </w:pPr>
      <w:r>
        <w:rPr>
          <w:rFonts w:hint="eastAsia" w:ascii="宋体" w:hAnsi="宋体" w:cs="宋体"/>
          <w:b/>
          <w:kern w:val="0"/>
          <w:sz w:val="32"/>
          <w:szCs w:val="32"/>
        </w:rPr>
        <w:t xml:space="preserve">         </w:t>
      </w:r>
    </w:p>
    <w:p w14:paraId="38A42AD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rPr>
        <w:t xml:space="preserve">  </w:t>
      </w:r>
      <w:r>
        <w:rPr>
          <w:rFonts w:hint="eastAsia" w:ascii="宋体" w:hAnsi="宋体" w:cs="宋体"/>
          <w:kern w:val="0"/>
          <w:sz w:val="24"/>
          <w:lang w:val="zh-CN"/>
        </w:rPr>
        <w:t xml:space="preserve">投标人名称(电子签名)：                              </w:t>
      </w:r>
    </w:p>
    <w:p w14:paraId="056EF42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FAC6BF2">
      <w:pPr>
        <w:jc w:val="center"/>
        <w:rPr>
          <w:rFonts w:ascii="宋体" w:hAnsi="宋体" w:cs="宋体"/>
          <w:b/>
          <w:kern w:val="0"/>
          <w:sz w:val="32"/>
          <w:szCs w:val="32"/>
        </w:rPr>
      </w:pPr>
    </w:p>
    <w:p w14:paraId="7F287A43">
      <w:pPr>
        <w:jc w:val="center"/>
        <w:rPr>
          <w:rFonts w:ascii="宋体" w:hAnsi="宋体" w:cs="宋体"/>
        </w:rPr>
      </w:pPr>
      <w:r>
        <w:rPr>
          <w:rFonts w:hint="eastAsia" w:ascii="宋体" w:hAnsi="宋体" w:cs="宋体"/>
          <w:b/>
          <w:kern w:val="0"/>
          <w:sz w:val="32"/>
          <w:szCs w:val="32"/>
        </w:rPr>
        <w:t>五、评标标准相应的商务技术资料</w:t>
      </w:r>
    </w:p>
    <w:p w14:paraId="077D02E6">
      <w:pPr>
        <w:snapToGrid w:val="0"/>
        <w:spacing w:line="360" w:lineRule="auto"/>
        <w:jc w:val="left"/>
        <w:rPr>
          <w:rFonts w:ascii="宋体" w:hAnsi="宋体" w:cs="宋体"/>
          <w:b/>
          <w:sz w:val="24"/>
        </w:rPr>
      </w:pPr>
    </w:p>
    <w:p w14:paraId="07F5A3AF">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0EB54623">
      <w:pPr>
        <w:jc w:val="center"/>
        <w:rPr>
          <w:rFonts w:ascii="宋体" w:hAnsi="宋体" w:cs="宋体"/>
          <w:b/>
          <w:kern w:val="0"/>
          <w:sz w:val="32"/>
          <w:szCs w:val="32"/>
        </w:rPr>
      </w:pPr>
    </w:p>
    <w:p w14:paraId="26455FB5">
      <w:pPr>
        <w:jc w:val="center"/>
        <w:rPr>
          <w:rFonts w:ascii="宋体" w:hAnsi="宋体" w:cs="宋体"/>
          <w:b/>
          <w:kern w:val="0"/>
          <w:sz w:val="32"/>
          <w:szCs w:val="32"/>
        </w:rPr>
      </w:pPr>
    </w:p>
    <w:p w14:paraId="0120DBFD">
      <w:pPr>
        <w:jc w:val="center"/>
        <w:rPr>
          <w:rFonts w:ascii="宋体" w:hAnsi="宋体" w:cs="宋体"/>
          <w:b/>
          <w:kern w:val="0"/>
          <w:sz w:val="32"/>
          <w:szCs w:val="32"/>
        </w:rPr>
      </w:pPr>
    </w:p>
    <w:p w14:paraId="4E122E7B">
      <w:pPr>
        <w:pStyle w:val="5"/>
        <w:rPr>
          <w:rFonts w:ascii="宋体" w:hAnsi="宋体" w:eastAsia="宋体" w:cs="宋体"/>
          <w:kern w:val="0"/>
        </w:rPr>
      </w:pPr>
    </w:p>
    <w:p w14:paraId="664861ED">
      <w:pPr>
        <w:pStyle w:val="5"/>
        <w:rPr>
          <w:rFonts w:ascii="宋体" w:hAnsi="宋体" w:eastAsia="宋体" w:cs="宋体"/>
        </w:rPr>
      </w:pPr>
    </w:p>
    <w:p w14:paraId="0FF59DE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98"/>
        <w:gridCol w:w="1378"/>
        <w:gridCol w:w="1873"/>
        <w:gridCol w:w="930"/>
        <w:gridCol w:w="1526"/>
      </w:tblGrid>
      <w:tr w14:paraId="2A93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F90B80">
            <w:pPr>
              <w:spacing w:after="0"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8C3054">
            <w:pPr>
              <w:spacing w:after="0" w:line="360" w:lineRule="auto"/>
              <w:jc w:val="center"/>
              <w:rPr>
                <w:rFonts w:ascii="宋体" w:hAnsi="宋体" w:cs="宋体"/>
                <w:b/>
                <w:sz w:val="24"/>
              </w:rPr>
            </w:pPr>
            <w:r>
              <w:rPr>
                <w:rFonts w:hint="eastAsia" w:ascii="宋体" w:hAnsi="宋体" w:cs="宋体"/>
                <w:b/>
                <w:sz w:val="24"/>
              </w:rPr>
              <w:t>名称</w:t>
            </w:r>
          </w:p>
        </w:tc>
        <w:tc>
          <w:tcPr>
            <w:tcW w:w="1898" w:type="dxa"/>
            <w:tcBorders>
              <w:top w:val="single" w:color="auto" w:sz="4" w:space="0"/>
              <w:left w:val="single" w:color="auto" w:sz="4" w:space="0"/>
              <w:bottom w:val="single" w:color="auto" w:sz="4" w:space="0"/>
              <w:right w:val="single" w:color="auto" w:sz="4" w:space="0"/>
            </w:tcBorders>
          </w:tcPr>
          <w:p w14:paraId="5895EC76">
            <w:pPr>
              <w:spacing w:after="0" w:line="360" w:lineRule="auto"/>
              <w:jc w:val="center"/>
              <w:rPr>
                <w:rFonts w:ascii="宋体" w:hAnsi="宋体" w:cs="宋体"/>
                <w:b/>
                <w:sz w:val="24"/>
              </w:rPr>
            </w:pPr>
          </w:p>
          <w:p w14:paraId="19D80AF7">
            <w:pPr>
              <w:spacing w:after="0" w:line="360" w:lineRule="auto"/>
              <w:jc w:val="center"/>
              <w:rPr>
                <w:rFonts w:ascii="宋体" w:hAnsi="宋体" w:cs="宋体"/>
                <w:b/>
                <w:sz w:val="24"/>
              </w:rPr>
            </w:pPr>
            <w:r>
              <w:rPr>
                <w:rFonts w:hint="eastAsia" w:ascii="宋体" w:hAnsi="宋体" w:cs="宋体"/>
                <w:b/>
                <w:sz w:val="24"/>
              </w:rPr>
              <w:t>服务范围</w:t>
            </w:r>
          </w:p>
        </w:tc>
        <w:tc>
          <w:tcPr>
            <w:tcW w:w="1378" w:type="dxa"/>
            <w:tcBorders>
              <w:top w:val="single" w:color="auto" w:sz="4" w:space="0"/>
              <w:left w:val="single" w:color="auto" w:sz="4" w:space="0"/>
              <w:bottom w:val="single" w:color="auto" w:sz="4" w:space="0"/>
              <w:right w:val="single" w:color="auto" w:sz="4" w:space="0"/>
            </w:tcBorders>
            <w:vAlign w:val="center"/>
          </w:tcPr>
          <w:p w14:paraId="07EDF485">
            <w:pPr>
              <w:spacing w:after="0" w:line="360" w:lineRule="auto"/>
              <w:jc w:val="center"/>
              <w:rPr>
                <w:rFonts w:ascii="宋体" w:hAnsi="宋体" w:cs="宋体"/>
                <w:b/>
                <w:sz w:val="24"/>
              </w:rPr>
            </w:pPr>
            <w:r>
              <w:rPr>
                <w:rFonts w:hint="eastAsia" w:ascii="宋体" w:hAnsi="宋体" w:cs="宋体"/>
                <w:b/>
                <w:sz w:val="24"/>
              </w:rPr>
              <w:t>服务要求</w:t>
            </w:r>
          </w:p>
        </w:tc>
        <w:tc>
          <w:tcPr>
            <w:tcW w:w="1873" w:type="dxa"/>
            <w:tcBorders>
              <w:top w:val="single" w:color="auto" w:sz="4" w:space="0"/>
              <w:left w:val="single" w:color="auto" w:sz="4" w:space="0"/>
              <w:bottom w:val="single" w:color="auto" w:sz="4" w:space="0"/>
              <w:right w:val="single" w:color="auto" w:sz="4" w:space="0"/>
            </w:tcBorders>
            <w:vAlign w:val="center"/>
          </w:tcPr>
          <w:p w14:paraId="4553A2AB">
            <w:pPr>
              <w:spacing w:after="0"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B2F35D">
            <w:pPr>
              <w:spacing w:after="0"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18A5242">
            <w:pPr>
              <w:spacing w:after="0" w:line="360" w:lineRule="auto"/>
              <w:jc w:val="center"/>
              <w:rPr>
                <w:rFonts w:ascii="宋体" w:hAnsi="宋体" w:cs="宋体"/>
                <w:b/>
                <w:sz w:val="24"/>
              </w:rPr>
            </w:pPr>
          </w:p>
          <w:p w14:paraId="0417D0BE">
            <w:pPr>
              <w:spacing w:after="0" w:line="360" w:lineRule="auto"/>
              <w:jc w:val="center"/>
              <w:rPr>
                <w:rFonts w:ascii="宋体" w:hAnsi="宋体" w:cs="宋体"/>
                <w:b/>
                <w:sz w:val="24"/>
              </w:rPr>
            </w:pPr>
            <w:r>
              <w:rPr>
                <w:rFonts w:hint="eastAsia" w:ascii="宋体" w:hAnsi="宋体" w:cs="宋体"/>
                <w:b/>
                <w:sz w:val="24"/>
              </w:rPr>
              <w:t>备注（如果有）</w:t>
            </w:r>
          </w:p>
          <w:p w14:paraId="1AFC8457">
            <w:pPr>
              <w:spacing w:after="0" w:line="360" w:lineRule="auto"/>
              <w:jc w:val="center"/>
              <w:rPr>
                <w:rFonts w:ascii="宋体" w:hAnsi="宋体" w:cs="宋体"/>
                <w:b/>
                <w:sz w:val="24"/>
              </w:rPr>
            </w:pPr>
          </w:p>
        </w:tc>
      </w:tr>
      <w:tr w14:paraId="5FA6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99EC46">
            <w:pPr>
              <w:spacing w:after="0"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408943">
            <w:pPr>
              <w:snapToGrid w:val="0"/>
              <w:spacing w:after="0" w:line="360" w:lineRule="auto"/>
              <w:jc w:val="center"/>
              <w:rPr>
                <w:rFonts w:ascii="宋体" w:hAnsi="宋体" w:cs="宋体"/>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7C8EE992">
            <w:pPr>
              <w:snapToGrid w:val="0"/>
              <w:spacing w:after="0" w:line="360" w:lineRule="auto"/>
              <w:jc w:val="center"/>
              <w:rPr>
                <w:rFonts w:ascii="宋体" w:hAnsi="宋体" w:cs="宋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2F8F9B38">
            <w:pPr>
              <w:snapToGrid w:val="0"/>
              <w:spacing w:after="0" w:line="360" w:lineRule="auto"/>
              <w:jc w:val="center"/>
              <w:rPr>
                <w:rFonts w:ascii="宋体" w:hAnsi="宋体" w:cs="宋体"/>
                <w:sz w:val="24"/>
              </w:rPr>
            </w:pPr>
          </w:p>
        </w:tc>
        <w:tc>
          <w:tcPr>
            <w:tcW w:w="1873" w:type="dxa"/>
            <w:tcBorders>
              <w:top w:val="single" w:color="auto" w:sz="4" w:space="0"/>
              <w:left w:val="single" w:color="auto" w:sz="4" w:space="0"/>
              <w:bottom w:val="single" w:color="auto" w:sz="4" w:space="0"/>
              <w:right w:val="single" w:color="auto" w:sz="4" w:space="0"/>
            </w:tcBorders>
            <w:vAlign w:val="center"/>
          </w:tcPr>
          <w:p w14:paraId="1A258472">
            <w:pPr>
              <w:spacing w:after="0"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AA97029">
            <w:pPr>
              <w:spacing w:after="0"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50A0030">
            <w:pPr>
              <w:spacing w:after="0" w:line="360" w:lineRule="auto"/>
              <w:jc w:val="center"/>
              <w:rPr>
                <w:rFonts w:ascii="宋体" w:hAnsi="宋体" w:cs="宋体"/>
                <w:sz w:val="24"/>
              </w:rPr>
            </w:pPr>
          </w:p>
        </w:tc>
      </w:tr>
      <w:tr w14:paraId="02CD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9C0DD5">
            <w:pPr>
              <w:spacing w:after="0"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8E11B5">
            <w:pPr>
              <w:snapToGrid w:val="0"/>
              <w:spacing w:after="0" w:line="360" w:lineRule="auto"/>
              <w:jc w:val="center"/>
              <w:rPr>
                <w:rFonts w:ascii="宋体" w:hAnsi="宋体" w:cs="宋体"/>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11C42130">
            <w:pPr>
              <w:snapToGrid w:val="0"/>
              <w:spacing w:after="0" w:line="360" w:lineRule="auto"/>
              <w:jc w:val="center"/>
              <w:rPr>
                <w:rFonts w:ascii="宋体" w:hAnsi="宋体" w:cs="宋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02847562">
            <w:pPr>
              <w:snapToGrid w:val="0"/>
              <w:spacing w:after="0" w:line="360" w:lineRule="auto"/>
              <w:jc w:val="center"/>
              <w:rPr>
                <w:rFonts w:ascii="宋体" w:hAnsi="宋体" w:cs="宋体"/>
                <w:sz w:val="24"/>
              </w:rPr>
            </w:pPr>
          </w:p>
        </w:tc>
        <w:tc>
          <w:tcPr>
            <w:tcW w:w="1873" w:type="dxa"/>
            <w:tcBorders>
              <w:top w:val="single" w:color="auto" w:sz="4" w:space="0"/>
              <w:left w:val="single" w:color="auto" w:sz="4" w:space="0"/>
              <w:bottom w:val="single" w:color="auto" w:sz="4" w:space="0"/>
              <w:right w:val="single" w:color="auto" w:sz="4" w:space="0"/>
            </w:tcBorders>
            <w:vAlign w:val="center"/>
          </w:tcPr>
          <w:p w14:paraId="7812396F">
            <w:pPr>
              <w:spacing w:after="0"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D03C1E">
            <w:pPr>
              <w:spacing w:after="0"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FF3F31">
            <w:pPr>
              <w:spacing w:after="0" w:line="360" w:lineRule="auto"/>
              <w:jc w:val="center"/>
              <w:rPr>
                <w:rFonts w:ascii="宋体" w:hAnsi="宋体" w:cs="宋体"/>
                <w:sz w:val="24"/>
              </w:rPr>
            </w:pPr>
          </w:p>
        </w:tc>
      </w:tr>
      <w:tr w14:paraId="0F85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D76A2D">
            <w:pPr>
              <w:spacing w:after="0"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6E2C5FC">
            <w:pPr>
              <w:snapToGrid w:val="0"/>
              <w:spacing w:after="0" w:line="360" w:lineRule="auto"/>
              <w:jc w:val="center"/>
              <w:rPr>
                <w:rFonts w:ascii="宋体" w:hAnsi="宋体" w:cs="宋体"/>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19F83473">
            <w:pPr>
              <w:snapToGrid w:val="0"/>
              <w:spacing w:after="0" w:line="360" w:lineRule="auto"/>
              <w:jc w:val="center"/>
              <w:rPr>
                <w:rFonts w:ascii="宋体" w:hAnsi="宋体" w:cs="宋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14:paraId="2E94FA47">
            <w:pPr>
              <w:snapToGrid w:val="0"/>
              <w:spacing w:after="0" w:line="360" w:lineRule="auto"/>
              <w:jc w:val="center"/>
              <w:rPr>
                <w:rFonts w:ascii="宋体" w:hAnsi="宋体" w:cs="宋体"/>
                <w:sz w:val="24"/>
              </w:rPr>
            </w:pPr>
          </w:p>
        </w:tc>
        <w:tc>
          <w:tcPr>
            <w:tcW w:w="1873" w:type="dxa"/>
            <w:tcBorders>
              <w:top w:val="single" w:color="auto" w:sz="4" w:space="0"/>
              <w:left w:val="single" w:color="auto" w:sz="4" w:space="0"/>
              <w:bottom w:val="single" w:color="auto" w:sz="4" w:space="0"/>
              <w:right w:val="single" w:color="auto" w:sz="4" w:space="0"/>
            </w:tcBorders>
            <w:vAlign w:val="center"/>
          </w:tcPr>
          <w:p w14:paraId="1D534927">
            <w:pPr>
              <w:spacing w:after="0"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4EEDAB">
            <w:pPr>
              <w:spacing w:after="0"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BA2A705">
            <w:pPr>
              <w:spacing w:after="0" w:line="360" w:lineRule="auto"/>
              <w:jc w:val="center"/>
              <w:rPr>
                <w:rFonts w:ascii="宋体" w:hAnsi="宋体" w:cs="宋体"/>
                <w:sz w:val="24"/>
              </w:rPr>
            </w:pPr>
          </w:p>
        </w:tc>
      </w:tr>
    </w:tbl>
    <w:p w14:paraId="2BD40BAE">
      <w:pPr>
        <w:spacing w:line="360" w:lineRule="auto"/>
        <w:ind w:right="420"/>
        <w:rPr>
          <w:rFonts w:ascii="宋体" w:hAnsi="宋体" w:cs="宋体"/>
          <w:sz w:val="24"/>
        </w:rPr>
      </w:pPr>
      <w:r>
        <w:rPr>
          <w:rFonts w:hint="eastAsia" w:ascii="宋体" w:hAnsi="宋体" w:cs="宋体"/>
          <w:sz w:val="24"/>
        </w:rPr>
        <w:t>注：按本格式和要求提供。</w:t>
      </w:r>
    </w:p>
    <w:p w14:paraId="5A2B5C8D">
      <w:pPr>
        <w:jc w:val="center"/>
        <w:rPr>
          <w:rFonts w:ascii="宋体" w:hAnsi="宋体" w:cs="宋体"/>
          <w:b/>
          <w:kern w:val="0"/>
          <w:sz w:val="32"/>
          <w:szCs w:val="32"/>
        </w:rPr>
      </w:pPr>
    </w:p>
    <w:p w14:paraId="147E000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rPr>
        <w:t xml:space="preserve">  </w:t>
      </w:r>
      <w:r>
        <w:rPr>
          <w:rFonts w:hint="eastAsia" w:ascii="宋体" w:hAnsi="宋体" w:cs="宋体"/>
          <w:kern w:val="0"/>
          <w:sz w:val="24"/>
          <w:lang w:val="zh-CN"/>
        </w:rPr>
        <w:t xml:space="preserve">投标人名称(电子签名)：                              </w:t>
      </w:r>
    </w:p>
    <w:p w14:paraId="50C22D9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3F7A842">
      <w:pPr>
        <w:jc w:val="center"/>
        <w:rPr>
          <w:rFonts w:ascii="宋体" w:hAnsi="宋体" w:cs="宋体"/>
          <w:b/>
          <w:kern w:val="0"/>
          <w:sz w:val="32"/>
          <w:szCs w:val="32"/>
        </w:rPr>
      </w:pPr>
    </w:p>
    <w:p w14:paraId="0AB340B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C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418B2B1C">
            <w:pPr>
              <w:spacing w:after="0"/>
              <w:jc w:val="center"/>
              <w:rPr>
                <w:rFonts w:ascii="宋体" w:hAnsi="宋体" w:cs="宋体"/>
                <w:b/>
                <w:bCs/>
                <w:sz w:val="24"/>
              </w:rPr>
            </w:pPr>
            <w:r>
              <w:rPr>
                <w:rFonts w:hint="eastAsia" w:ascii="宋体" w:hAnsi="宋体" w:cs="宋体"/>
                <w:b/>
                <w:bCs/>
                <w:sz w:val="24"/>
              </w:rPr>
              <w:t>序号</w:t>
            </w:r>
          </w:p>
        </w:tc>
        <w:tc>
          <w:tcPr>
            <w:tcW w:w="3683" w:type="dxa"/>
            <w:vAlign w:val="center"/>
          </w:tcPr>
          <w:p w14:paraId="3695F670">
            <w:pPr>
              <w:spacing w:after="0"/>
              <w:jc w:val="center"/>
              <w:rPr>
                <w:rFonts w:ascii="宋体" w:hAnsi="宋体" w:cs="宋体"/>
                <w:b/>
                <w:bCs/>
                <w:sz w:val="24"/>
              </w:rPr>
            </w:pPr>
            <w:r>
              <w:rPr>
                <w:rFonts w:hint="eastAsia" w:ascii="宋体" w:hAnsi="宋体" w:cs="宋体"/>
                <w:b/>
                <w:bCs/>
                <w:sz w:val="24"/>
              </w:rPr>
              <w:t>招标文件</w:t>
            </w:r>
            <w:r>
              <w:rPr>
                <w:rFonts w:hint="eastAsia" w:ascii="宋体" w:hAnsi="宋体" w:cs="宋体"/>
                <w:b/>
                <w:bCs/>
                <w:sz w:val="24"/>
                <w:lang w:val="en-US" w:eastAsia="zh-CN"/>
              </w:rPr>
              <w:t>第三部分采购需求</w:t>
            </w:r>
            <w:r>
              <w:rPr>
                <w:rFonts w:hint="eastAsia" w:ascii="宋体" w:hAnsi="宋体" w:cs="宋体"/>
                <w:b/>
                <w:bCs/>
                <w:sz w:val="24"/>
              </w:rPr>
              <w:t>章节及具体内容</w:t>
            </w:r>
          </w:p>
        </w:tc>
        <w:tc>
          <w:tcPr>
            <w:tcW w:w="3546" w:type="dxa"/>
            <w:vAlign w:val="center"/>
          </w:tcPr>
          <w:p w14:paraId="6509B3C3">
            <w:pPr>
              <w:spacing w:after="0"/>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2F5E44BB">
            <w:pPr>
              <w:spacing w:after="0"/>
              <w:jc w:val="center"/>
              <w:rPr>
                <w:rFonts w:ascii="宋体" w:hAnsi="宋体" w:cs="宋体"/>
                <w:b/>
                <w:bCs/>
                <w:sz w:val="24"/>
              </w:rPr>
            </w:pPr>
            <w:r>
              <w:rPr>
                <w:rFonts w:hint="eastAsia" w:ascii="宋体" w:hAnsi="宋体" w:cs="宋体"/>
                <w:b/>
                <w:bCs/>
                <w:sz w:val="24"/>
              </w:rPr>
              <w:t>偏离说明</w:t>
            </w:r>
          </w:p>
        </w:tc>
      </w:tr>
      <w:tr w14:paraId="4A11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410D07">
            <w:pPr>
              <w:spacing w:after="0"/>
              <w:jc w:val="center"/>
              <w:rPr>
                <w:rFonts w:ascii="宋体" w:hAnsi="宋体" w:cs="宋体"/>
                <w:kern w:val="0"/>
                <w:sz w:val="24"/>
              </w:rPr>
            </w:pPr>
            <w:r>
              <w:rPr>
                <w:rFonts w:hint="eastAsia" w:ascii="宋体" w:hAnsi="宋体" w:cs="宋体"/>
                <w:kern w:val="0"/>
                <w:sz w:val="24"/>
              </w:rPr>
              <w:t>1</w:t>
            </w:r>
          </w:p>
        </w:tc>
        <w:tc>
          <w:tcPr>
            <w:tcW w:w="3683" w:type="dxa"/>
          </w:tcPr>
          <w:p w14:paraId="483D9FC5">
            <w:pPr>
              <w:spacing w:after="0"/>
              <w:jc w:val="center"/>
              <w:rPr>
                <w:rFonts w:ascii="宋体" w:hAnsi="宋体" w:cs="宋体"/>
                <w:b/>
                <w:kern w:val="0"/>
                <w:sz w:val="32"/>
                <w:szCs w:val="32"/>
              </w:rPr>
            </w:pPr>
          </w:p>
        </w:tc>
        <w:tc>
          <w:tcPr>
            <w:tcW w:w="3546" w:type="dxa"/>
          </w:tcPr>
          <w:p w14:paraId="7A8FB54D">
            <w:pPr>
              <w:spacing w:after="0"/>
              <w:jc w:val="center"/>
              <w:rPr>
                <w:rFonts w:ascii="宋体" w:hAnsi="宋体" w:cs="宋体"/>
                <w:b/>
                <w:kern w:val="0"/>
                <w:sz w:val="32"/>
                <w:szCs w:val="32"/>
              </w:rPr>
            </w:pPr>
          </w:p>
        </w:tc>
        <w:tc>
          <w:tcPr>
            <w:tcW w:w="1276" w:type="dxa"/>
          </w:tcPr>
          <w:p w14:paraId="3E7C94B5">
            <w:pPr>
              <w:spacing w:after="0"/>
              <w:jc w:val="center"/>
              <w:rPr>
                <w:rFonts w:ascii="宋体" w:hAnsi="宋体" w:cs="宋体"/>
                <w:b/>
                <w:kern w:val="0"/>
                <w:sz w:val="32"/>
                <w:szCs w:val="32"/>
              </w:rPr>
            </w:pPr>
          </w:p>
        </w:tc>
      </w:tr>
      <w:tr w14:paraId="72FB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DA5679">
            <w:pPr>
              <w:spacing w:after="0"/>
              <w:jc w:val="center"/>
              <w:rPr>
                <w:rFonts w:ascii="宋体" w:hAnsi="宋体" w:cs="宋体"/>
                <w:kern w:val="0"/>
                <w:sz w:val="24"/>
              </w:rPr>
            </w:pPr>
            <w:r>
              <w:rPr>
                <w:rFonts w:hint="eastAsia" w:ascii="宋体" w:hAnsi="宋体" w:cs="宋体"/>
                <w:kern w:val="0"/>
                <w:sz w:val="24"/>
              </w:rPr>
              <w:t>2</w:t>
            </w:r>
          </w:p>
        </w:tc>
        <w:tc>
          <w:tcPr>
            <w:tcW w:w="3683" w:type="dxa"/>
          </w:tcPr>
          <w:p w14:paraId="17C0C8C9">
            <w:pPr>
              <w:spacing w:after="0"/>
              <w:jc w:val="center"/>
              <w:rPr>
                <w:rFonts w:ascii="宋体" w:hAnsi="宋体" w:cs="宋体"/>
                <w:b/>
                <w:kern w:val="0"/>
                <w:sz w:val="32"/>
                <w:szCs w:val="32"/>
              </w:rPr>
            </w:pPr>
          </w:p>
        </w:tc>
        <w:tc>
          <w:tcPr>
            <w:tcW w:w="3546" w:type="dxa"/>
          </w:tcPr>
          <w:p w14:paraId="5BFD818B">
            <w:pPr>
              <w:spacing w:after="0"/>
              <w:jc w:val="center"/>
              <w:rPr>
                <w:rFonts w:ascii="宋体" w:hAnsi="宋体" w:cs="宋体"/>
                <w:b/>
                <w:kern w:val="0"/>
                <w:sz w:val="32"/>
                <w:szCs w:val="32"/>
              </w:rPr>
            </w:pPr>
          </w:p>
        </w:tc>
        <w:tc>
          <w:tcPr>
            <w:tcW w:w="1276" w:type="dxa"/>
          </w:tcPr>
          <w:p w14:paraId="4BE250A1">
            <w:pPr>
              <w:spacing w:after="0"/>
              <w:jc w:val="center"/>
              <w:rPr>
                <w:rFonts w:ascii="宋体" w:hAnsi="宋体" w:cs="宋体"/>
                <w:b/>
                <w:kern w:val="0"/>
                <w:sz w:val="32"/>
                <w:szCs w:val="32"/>
              </w:rPr>
            </w:pPr>
          </w:p>
        </w:tc>
      </w:tr>
      <w:tr w14:paraId="1042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1AC9C3">
            <w:pPr>
              <w:spacing w:after="0"/>
              <w:jc w:val="center"/>
              <w:rPr>
                <w:rFonts w:ascii="宋体" w:hAnsi="宋体" w:cs="宋体"/>
                <w:kern w:val="0"/>
                <w:sz w:val="24"/>
              </w:rPr>
            </w:pPr>
            <w:r>
              <w:rPr>
                <w:rFonts w:hint="eastAsia" w:ascii="宋体" w:hAnsi="宋体" w:cs="宋体"/>
                <w:kern w:val="0"/>
                <w:sz w:val="24"/>
              </w:rPr>
              <w:t>……</w:t>
            </w:r>
          </w:p>
        </w:tc>
        <w:tc>
          <w:tcPr>
            <w:tcW w:w="3683" w:type="dxa"/>
          </w:tcPr>
          <w:p w14:paraId="7BE41DAA">
            <w:pPr>
              <w:spacing w:after="0"/>
              <w:jc w:val="center"/>
              <w:rPr>
                <w:rFonts w:ascii="宋体" w:hAnsi="宋体" w:cs="宋体"/>
                <w:b/>
                <w:kern w:val="0"/>
                <w:sz w:val="32"/>
                <w:szCs w:val="32"/>
              </w:rPr>
            </w:pPr>
          </w:p>
        </w:tc>
        <w:tc>
          <w:tcPr>
            <w:tcW w:w="3546" w:type="dxa"/>
          </w:tcPr>
          <w:p w14:paraId="4F9F90E3">
            <w:pPr>
              <w:spacing w:after="0"/>
              <w:jc w:val="center"/>
              <w:rPr>
                <w:rFonts w:ascii="宋体" w:hAnsi="宋体" w:cs="宋体"/>
                <w:b/>
                <w:kern w:val="0"/>
                <w:sz w:val="32"/>
                <w:szCs w:val="32"/>
              </w:rPr>
            </w:pPr>
          </w:p>
        </w:tc>
        <w:tc>
          <w:tcPr>
            <w:tcW w:w="1276" w:type="dxa"/>
          </w:tcPr>
          <w:p w14:paraId="49D15473">
            <w:pPr>
              <w:spacing w:after="0"/>
              <w:jc w:val="center"/>
              <w:rPr>
                <w:rFonts w:ascii="宋体" w:hAnsi="宋体" w:cs="宋体"/>
                <w:b/>
                <w:kern w:val="0"/>
                <w:sz w:val="32"/>
                <w:szCs w:val="32"/>
              </w:rPr>
            </w:pPr>
          </w:p>
        </w:tc>
      </w:tr>
    </w:tbl>
    <w:p w14:paraId="514070C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C23768B">
      <w:pPr>
        <w:jc w:val="center"/>
        <w:rPr>
          <w:rFonts w:ascii="宋体" w:hAnsi="宋体" w:cs="宋体"/>
          <w:b/>
          <w:kern w:val="0"/>
          <w:sz w:val="32"/>
          <w:szCs w:val="32"/>
        </w:rPr>
      </w:pPr>
    </w:p>
    <w:p w14:paraId="326D45ED">
      <w:pPr>
        <w:spacing w:line="360" w:lineRule="auto"/>
        <w:ind w:right="420"/>
        <w:rPr>
          <w:rFonts w:ascii="宋体" w:hAnsi="宋体" w:cs="宋体"/>
          <w:sz w:val="24"/>
        </w:rPr>
      </w:pPr>
      <w:r>
        <w:rPr>
          <w:rFonts w:hint="eastAsia" w:ascii="宋体" w:hAnsi="宋体" w:cs="宋体"/>
          <w:sz w:val="24"/>
        </w:rPr>
        <w:t>注：按本格式和要求提供。</w:t>
      </w:r>
    </w:p>
    <w:p w14:paraId="7B4B9CA3">
      <w:pPr>
        <w:ind w:firstLine="1911" w:firstLineChars="595"/>
        <w:rPr>
          <w:rFonts w:ascii="宋体" w:hAnsi="宋体" w:cs="宋体"/>
          <w:b/>
          <w:bCs/>
          <w:sz w:val="32"/>
          <w:szCs w:val="32"/>
        </w:rPr>
      </w:pPr>
    </w:p>
    <w:p w14:paraId="3A208E91">
      <w:pPr>
        <w:pStyle w:val="5"/>
        <w:rPr>
          <w:rFonts w:ascii="宋体" w:hAnsi="宋体" w:eastAsia="宋体" w:cs="宋体"/>
          <w:lang w:val="en-US"/>
        </w:rPr>
      </w:pPr>
    </w:p>
    <w:p w14:paraId="67AB2632">
      <w:pPr>
        <w:rPr>
          <w:rFonts w:ascii="宋体" w:hAnsi="宋体" w:cs="宋体"/>
          <w:b/>
          <w:bCs/>
          <w:sz w:val="32"/>
          <w:szCs w:val="32"/>
        </w:rPr>
      </w:pPr>
    </w:p>
    <w:p w14:paraId="072AFD09">
      <w:pPr>
        <w:pStyle w:val="5"/>
        <w:rPr>
          <w:rFonts w:ascii="宋体" w:hAnsi="宋体" w:eastAsia="宋体" w:cs="宋体"/>
          <w:lang w:val="en-US"/>
        </w:rPr>
      </w:pPr>
    </w:p>
    <w:p w14:paraId="1BB0248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rPr>
        <w:t xml:space="preserve"> </w:t>
      </w:r>
      <w:r>
        <w:rPr>
          <w:rFonts w:hint="eastAsia" w:ascii="宋体" w:hAnsi="宋体" w:cs="宋体"/>
          <w:kern w:val="0"/>
          <w:sz w:val="24"/>
        </w:rPr>
        <w:t xml:space="preserve">               </w:t>
      </w:r>
      <w:r>
        <w:rPr>
          <w:rFonts w:hint="eastAsia" w:ascii="宋体" w:hAnsi="宋体" w:cs="宋体"/>
          <w:kern w:val="0"/>
          <w:sz w:val="24"/>
          <w:lang w:val="en-US"/>
        </w:rPr>
        <w:t xml:space="preserve"> </w:t>
      </w:r>
      <w:r>
        <w:rPr>
          <w:rFonts w:hint="eastAsia" w:ascii="宋体" w:hAnsi="宋体" w:cs="宋体"/>
          <w:kern w:val="0"/>
          <w:sz w:val="24"/>
          <w:lang w:val="zh-CN"/>
        </w:rPr>
        <w:t xml:space="preserve">投标人名称(电子签名)：                              </w:t>
      </w:r>
    </w:p>
    <w:p w14:paraId="7B39733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87BF17E">
      <w:pPr>
        <w:rPr>
          <w:rFonts w:ascii="宋体" w:hAnsi="宋体" w:cs="宋体"/>
          <w:b/>
          <w:bCs/>
          <w:sz w:val="32"/>
          <w:szCs w:val="32"/>
        </w:rPr>
      </w:pPr>
    </w:p>
    <w:p w14:paraId="5646142C">
      <w:pPr>
        <w:pStyle w:val="5"/>
        <w:rPr>
          <w:rFonts w:ascii="宋体" w:hAnsi="宋体" w:eastAsia="宋体" w:cs="宋体"/>
          <w:lang w:val="en-US"/>
        </w:rPr>
      </w:pPr>
    </w:p>
    <w:p w14:paraId="5E657158">
      <w:pPr>
        <w:rPr>
          <w:rFonts w:ascii="宋体" w:hAnsi="宋体" w:cs="宋体"/>
          <w:b/>
          <w:bCs/>
          <w:sz w:val="32"/>
          <w:szCs w:val="32"/>
        </w:rPr>
      </w:pPr>
    </w:p>
    <w:p w14:paraId="129F53C8">
      <w:pPr>
        <w:pStyle w:val="5"/>
        <w:rPr>
          <w:rFonts w:ascii="宋体" w:hAnsi="宋体" w:eastAsia="宋体" w:cs="宋体"/>
          <w:lang w:val="en-US"/>
        </w:rPr>
      </w:pPr>
    </w:p>
    <w:p w14:paraId="5BAF1FDD">
      <w:pPr>
        <w:rPr>
          <w:rFonts w:ascii="宋体" w:hAnsi="宋体" w:cs="宋体"/>
          <w:b/>
          <w:bCs/>
          <w:sz w:val="32"/>
          <w:szCs w:val="32"/>
        </w:rPr>
      </w:pPr>
    </w:p>
    <w:p w14:paraId="455223E0">
      <w:pPr>
        <w:widowControl/>
        <w:adjustRightInd/>
        <w:jc w:val="center"/>
        <w:rPr>
          <w:rFonts w:ascii="宋体" w:hAnsi="宋体" w:cs="宋体"/>
          <w:b/>
          <w:bCs/>
          <w:sz w:val="32"/>
          <w:szCs w:val="32"/>
        </w:rPr>
      </w:pPr>
    </w:p>
    <w:p w14:paraId="62BA7114">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365F1D3">
      <w:pPr>
        <w:snapToGrid w:val="0"/>
        <w:spacing w:line="360" w:lineRule="auto"/>
        <w:rPr>
          <w:rFonts w:ascii="宋体" w:hAnsi="宋体" w:cs="宋体"/>
          <w:color w:val="000000"/>
          <w:sz w:val="24"/>
        </w:rPr>
      </w:pPr>
    </w:p>
    <w:p w14:paraId="4DD6656C">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4C74147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47E248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3E394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427A2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CC24E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C60366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1AE4BA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79F5E8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2E27E0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0BF5A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3C64BF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BE862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5C4B3E1">
      <w:pPr>
        <w:spacing w:line="360" w:lineRule="auto"/>
        <w:jc w:val="center"/>
        <w:rPr>
          <w:rFonts w:ascii="宋体" w:hAnsi="宋体" w:cs="宋体"/>
          <w:b/>
          <w:bCs/>
          <w:sz w:val="24"/>
        </w:rPr>
      </w:pPr>
    </w:p>
    <w:p w14:paraId="68E076FA">
      <w:pPr>
        <w:spacing w:line="360" w:lineRule="auto"/>
        <w:ind w:right="420"/>
        <w:rPr>
          <w:rFonts w:ascii="宋体" w:hAnsi="宋体" w:cs="宋体"/>
          <w:sz w:val="24"/>
        </w:rPr>
      </w:pPr>
      <w:r>
        <w:rPr>
          <w:rFonts w:hint="eastAsia" w:ascii="宋体" w:hAnsi="宋体" w:cs="宋体"/>
          <w:sz w:val="24"/>
        </w:rPr>
        <w:t>注：按本格式和要求提供。</w:t>
      </w:r>
    </w:p>
    <w:p w14:paraId="376659AF">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numberInDash"/>
          <w:cols w:space="720" w:num="1"/>
          <w:titlePg/>
          <w:docGrid w:linePitch="312" w:charSpace="0"/>
        </w:sectPr>
      </w:pPr>
    </w:p>
    <w:p w14:paraId="3144FF1E">
      <w:pPr>
        <w:pStyle w:val="624"/>
        <w:snapToGrid w:val="0"/>
        <w:spacing w:before="157" w:after="157"/>
        <w:rPr>
          <w:rFonts w:hAnsi="宋体" w:cs="宋体"/>
          <w:b/>
          <w:sz w:val="28"/>
          <w:szCs w:val="28"/>
        </w:rPr>
      </w:pPr>
      <w:r>
        <w:rPr>
          <w:rFonts w:hint="eastAsia" w:hAnsi="宋体" w:cs="宋体"/>
          <w:b/>
          <w:sz w:val="28"/>
          <w:szCs w:val="28"/>
        </w:rPr>
        <w:t>确认声明书（将以下表格填写完成后，与投标文件同步制作递交）</w:t>
      </w:r>
    </w:p>
    <w:p w14:paraId="2388E766">
      <w:pPr>
        <w:pStyle w:val="624"/>
        <w:snapToGrid w:val="0"/>
        <w:spacing w:before="157" w:after="157"/>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76B00D6C">
      <w:pPr>
        <w:pStyle w:val="624"/>
        <w:snapToGrid w:val="0"/>
        <w:spacing w:before="157" w:after="157"/>
        <w:jc w:val="center"/>
        <w:rPr>
          <w:rFonts w:hAnsi="宋体" w:cs="宋体"/>
          <w:b/>
          <w:sz w:val="32"/>
          <w:szCs w:val="32"/>
        </w:rPr>
      </w:pPr>
      <w:r>
        <w:rPr>
          <w:rFonts w:hint="eastAsia" w:hAnsi="宋体" w:cs="宋体"/>
          <w:b/>
          <w:sz w:val="32"/>
          <w:szCs w:val="32"/>
        </w:rPr>
        <w:t>政府采购活动现场确认声明书</w:t>
      </w:r>
    </w:p>
    <w:p w14:paraId="5783EC74">
      <w:pPr>
        <w:pStyle w:val="624"/>
        <w:snapToGrid w:val="0"/>
        <w:spacing w:before="157" w:after="157"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9EF3C">
      <w:pPr>
        <w:pStyle w:val="624"/>
        <w:snapToGrid w:val="0"/>
        <w:spacing w:before="157" w:after="157"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）政府采购活动，经与本单位法人代表（负责人）联系确认，现就有关公平竞争事项郑重声明如下： </w:t>
      </w:r>
    </w:p>
    <w:p w14:paraId="60959A6D">
      <w:pPr>
        <w:pStyle w:val="625"/>
        <w:widowControl/>
        <w:numPr>
          <w:ilvl w:val="0"/>
          <w:numId w:val="10"/>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33965BE8">
      <w:pPr>
        <w:pStyle w:val="62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5C6DC12C">
      <w:pPr>
        <w:pStyle w:val="62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49EFF50B">
      <w:pPr>
        <w:pStyle w:val="62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55595935">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45834B43">
      <w:pPr>
        <w:pStyle w:val="624"/>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72638C25">
      <w:pPr>
        <w:pStyle w:val="624"/>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2217D1BD">
      <w:pPr>
        <w:pStyle w:val="624"/>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7CE3B740">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33DE11EB">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7698A9C0">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2D743023">
      <w:pPr>
        <w:pStyle w:val="624"/>
        <w:adjustRightInd/>
        <w:snapToGrid w:val="0"/>
        <w:spacing w:before="157" w:after="157"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5C86EE83">
      <w:pPr>
        <w:pStyle w:val="624"/>
        <w:snapToGrid w:val="0"/>
        <w:spacing w:before="157" w:after="157"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44A9ABDA">
      <w:pPr>
        <w:pStyle w:val="625"/>
        <w:widowControl/>
        <w:numPr>
          <w:ilvl w:val="0"/>
          <w:numId w:val="11"/>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14:paraId="09A12DE3">
      <w:pPr>
        <w:pStyle w:val="625"/>
        <w:widowControl/>
        <w:numPr>
          <w:ilvl w:val="0"/>
          <w:numId w:val="11"/>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4E2E3622">
      <w:pPr>
        <w:pStyle w:val="624"/>
        <w:snapToGrid w:val="0"/>
        <w:spacing w:before="157" w:after="157" w:line="240" w:lineRule="auto"/>
        <w:ind w:firstLine="420" w:firstLineChars="200"/>
        <w:rPr>
          <w:rFonts w:hAnsi="宋体" w:cs="宋体"/>
          <w:sz w:val="21"/>
          <w:szCs w:val="21"/>
        </w:rPr>
      </w:pPr>
      <w:r>
        <w:rPr>
          <w:rFonts w:hint="eastAsia" w:hAnsi="宋体" w:cs="宋体"/>
          <w:sz w:val="21"/>
          <w:szCs w:val="21"/>
        </w:rPr>
        <w:t xml:space="preserve">                                          供应商盖章：</w:t>
      </w:r>
    </w:p>
    <w:p w14:paraId="7A131026">
      <w:pPr>
        <w:pStyle w:val="624"/>
        <w:snapToGrid w:val="0"/>
        <w:spacing w:before="157" w:after="157" w:line="240" w:lineRule="auto"/>
        <w:ind w:firstLine="4830" w:firstLineChars="2300"/>
        <w:rPr>
          <w:rFonts w:hAnsi="宋体" w:cs="宋体"/>
          <w:sz w:val="21"/>
          <w:szCs w:val="21"/>
        </w:rPr>
      </w:pPr>
      <w:r>
        <w:rPr>
          <w:rFonts w:hint="eastAsia" w:hAnsi="宋体" w:cs="宋体"/>
          <w:sz w:val="21"/>
          <w:szCs w:val="21"/>
        </w:rPr>
        <w:t>授权委托代表签名：</w:t>
      </w:r>
    </w:p>
    <w:p w14:paraId="6FB49790">
      <w:pPr>
        <w:snapToGrid w:val="0"/>
        <w:spacing w:line="360" w:lineRule="auto"/>
        <w:jc w:val="left"/>
        <w:rPr>
          <w:rFonts w:ascii="宋体" w:hAnsi="宋体" w:cs="宋体"/>
        </w:rPr>
      </w:pPr>
      <w:r>
        <w:rPr>
          <w:rFonts w:hint="eastAsia" w:ascii="宋体" w:hAnsi="宋体" w:cs="宋体"/>
          <w:szCs w:val="21"/>
        </w:rPr>
        <w:t xml:space="preserve">                                               年    月    日</w:t>
      </w:r>
    </w:p>
    <w:p w14:paraId="127A778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sz w:val="44"/>
          <w:szCs w:val="44"/>
        </w:rPr>
        <w:t>（封面）</w:t>
      </w:r>
    </w:p>
    <w:p w14:paraId="0F3E10DB">
      <w:pPr>
        <w:spacing w:line="360" w:lineRule="auto"/>
        <w:jc w:val="center"/>
        <w:outlineLvl w:val="0"/>
        <w:rPr>
          <w:rFonts w:ascii="宋体" w:hAnsi="宋体" w:cs="宋体"/>
          <w:b/>
          <w:kern w:val="0"/>
          <w:sz w:val="36"/>
          <w:szCs w:val="36"/>
        </w:rPr>
      </w:pPr>
    </w:p>
    <w:p w14:paraId="269D3A34">
      <w:pPr>
        <w:shd w:val="clear" w:color="auto" w:fill="FFFFFF"/>
        <w:snapToGrid w:val="0"/>
        <w:spacing w:line="360" w:lineRule="auto"/>
        <w:jc w:val="center"/>
        <w:outlineLvl w:val="0"/>
        <w:rPr>
          <w:rFonts w:ascii="宋体" w:hAnsi="宋体" w:cs="宋体"/>
          <w:b/>
          <w:bCs/>
          <w:sz w:val="36"/>
          <w:szCs w:val="36"/>
        </w:rPr>
      </w:pPr>
      <w:r>
        <w:rPr>
          <w:rFonts w:hint="eastAsia" w:ascii="宋体" w:hAnsi="宋体" w:cs="宋体"/>
          <w:b/>
          <w:bCs/>
          <w:sz w:val="36"/>
          <w:szCs w:val="36"/>
        </w:rPr>
        <w:t xml:space="preserve"> （项目名称）</w:t>
      </w:r>
    </w:p>
    <w:p w14:paraId="629A7301">
      <w:pPr>
        <w:shd w:val="clear" w:color="auto" w:fill="FFFFFF"/>
        <w:snapToGrid w:val="0"/>
        <w:spacing w:line="360" w:lineRule="auto"/>
        <w:jc w:val="center"/>
        <w:outlineLvl w:val="0"/>
        <w:rPr>
          <w:rFonts w:ascii="宋体" w:hAnsi="宋体" w:cs="宋体"/>
          <w:b/>
          <w:bCs/>
          <w:sz w:val="52"/>
          <w:szCs w:val="52"/>
        </w:rPr>
      </w:pPr>
      <w:bookmarkStart w:id="481" w:name="_Toc105"/>
      <w:r>
        <w:rPr>
          <w:rFonts w:hint="eastAsia" w:ascii="宋体" w:hAnsi="宋体" w:cs="宋体"/>
          <w:b/>
          <w:bCs/>
          <w:sz w:val="52"/>
          <w:szCs w:val="52"/>
        </w:rPr>
        <w:t>报 价 文 件</w:t>
      </w:r>
      <w:bookmarkEnd w:id="481"/>
    </w:p>
    <w:p w14:paraId="57611473">
      <w:pPr>
        <w:widowControl/>
        <w:spacing w:line="360" w:lineRule="auto"/>
        <w:ind w:right="-2"/>
        <w:jc w:val="center"/>
        <w:outlineLvl w:val="1"/>
        <w:rPr>
          <w:rFonts w:ascii="宋体" w:hAnsi="宋体" w:cs="宋体"/>
          <w:b/>
          <w:sz w:val="36"/>
          <w:szCs w:val="36"/>
        </w:rPr>
      </w:pPr>
      <w:bookmarkStart w:id="482" w:name="_Toc22501"/>
      <w:r>
        <w:rPr>
          <w:rFonts w:hint="eastAsia" w:ascii="宋体" w:hAnsi="宋体" w:cs="宋体"/>
          <w:b/>
          <w:sz w:val="36"/>
          <w:szCs w:val="36"/>
        </w:rPr>
        <w:t>（线上电子招投标）</w:t>
      </w:r>
      <w:bookmarkEnd w:id="482"/>
    </w:p>
    <w:p w14:paraId="5CD077F5">
      <w:pPr>
        <w:shd w:val="clear" w:color="auto" w:fill="FFFFFF"/>
        <w:snapToGrid w:val="0"/>
        <w:spacing w:line="360" w:lineRule="auto"/>
        <w:jc w:val="center"/>
        <w:outlineLvl w:val="1"/>
        <w:rPr>
          <w:rFonts w:ascii="宋体" w:hAnsi="宋体" w:cs="宋体"/>
          <w:b/>
          <w:bCs/>
          <w:sz w:val="36"/>
          <w:szCs w:val="36"/>
        </w:rPr>
      </w:pPr>
      <w:bookmarkStart w:id="483" w:name="_Toc13670"/>
    </w:p>
    <w:p w14:paraId="35835DEB">
      <w:pPr>
        <w:shd w:val="clear" w:color="auto" w:fill="FFFFFF"/>
        <w:snapToGrid w:val="0"/>
        <w:spacing w:line="360" w:lineRule="auto"/>
        <w:jc w:val="center"/>
        <w:outlineLvl w:val="1"/>
        <w:rPr>
          <w:rFonts w:ascii="宋体" w:hAnsi="宋体" w:cs="宋体"/>
          <w:b/>
          <w:bCs/>
          <w:sz w:val="36"/>
          <w:szCs w:val="36"/>
        </w:rPr>
      </w:pPr>
      <w:r>
        <w:rPr>
          <w:rFonts w:hint="eastAsia" w:ascii="宋体" w:hAnsi="宋体" w:cs="宋体"/>
          <w:b/>
          <w:bCs/>
          <w:sz w:val="36"/>
          <w:szCs w:val="36"/>
        </w:rPr>
        <w:t xml:space="preserve">  招标编号：</w:t>
      </w:r>
      <w:bookmarkEnd w:id="483"/>
      <w:r>
        <w:rPr>
          <w:rFonts w:hint="eastAsia" w:ascii="宋体" w:hAnsi="宋体" w:cs="宋体"/>
          <w:b/>
          <w:bCs/>
          <w:sz w:val="36"/>
          <w:szCs w:val="36"/>
        </w:rPr>
        <w:t xml:space="preserve">YHZFCG2024- </w:t>
      </w:r>
    </w:p>
    <w:p w14:paraId="14518BF1">
      <w:pPr>
        <w:snapToGrid w:val="0"/>
        <w:spacing w:line="360" w:lineRule="auto"/>
        <w:jc w:val="center"/>
        <w:rPr>
          <w:rFonts w:ascii="宋体" w:hAnsi="宋体" w:cs="宋体"/>
          <w:sz w:val="44"/>
          <w:szCs w:val="44"/>
        </w:rPr>
      </w:pPr>
      <w:r>
        <w:rPr>
          <w:rFonts w:hint="eastAsia" w:ascii="宋体" w:hAnsi="宋体" w:cs="宋体"/>
          <w:sz w:val="44"/>
          <w:szCs w:val="44"/>
        </w:rPr>
        <w:t>投</w:t>
      </w:r>
    </w:p>
    <w:p w14:paraId="5B5657A2">
      <w:pPr>
        <w:snapToGrid w:val="0"/>
        <w:spacing w:line="360" w:lineRule="auto"/>
        <w:jc w:val="center"/>
        <w:rPr>
          <w:rFonts w:ascii="宋体" w:hAnsi="宋体" w:cs="宋体"/>
          <w:sz w:val="44"/>
          <w:szCs w:val="44"/>
        </w:rPr>
      </w:pPr>
      <w:r>
        <w:rPr>
          <w:rFonts w:hint="eastAsia" w:ascii="宋体" w:hAnsi="宋体" w:cs="宋体"/>
          <w:sz w:val="44"/>
          <w:szCs w:val="44"/>
        </w:rPr>
        <w:t>标</w:t>
      </w:r>
    </w:p>
    <w:p w14:paraId="2C256866">
      <w:pPr>
        <w:snapToGrid w:val="0"/>
        <w:spacing w:line="360" w:lineRule="auto"/>
        <w:jc w:val="center"/>
        <w:rPr>
          <w:rFonts w:ascii="宋体" w:hAnsi="宋体" w:cs="宋体"/>
          <w:sz w:val="44"/>
          <w:szCs w:val="44"/>
        </w:rPr>
      </w:pPr>
      <w:r>
        <w:rPr>
          <w:rFonts w:hint="eastAsia" w:ascii="宋体" w:hAnsi="宋体" w:cs="宋体"/>
          <w:sz w:val="44"/>
          <w:szCs w:val="44"/>
        </w:rPr>
        <w:t>文</w:t>
      </w:r>
    </w:p>
    <w:p w14:paraId="71342DBF">
      <w:pPr>
        <w:snapToGrid w:val="0"/>
        <w:spacing w:line="360" w:lineRule="auto"/>
        <w:jc w:val="center"/>
        <w:rPr>
          <w:rFonts w:ascii="宋体" w:hAnsi="宋体" w:cs="宋体"/>
          <w:sz w:val="44"/>
          <w:szCs w:val="44"/>
        </w:rPr>
      </w:pPr>
      <w:r>
        <w:rPr>
          <w:rFonts w:hint="eastAsia" w:ascii="宋体" w:hAnsi="宋体" w:cs="宋体"/>
          <w:sz w:val="44"/>
          <w:szCs w:val="44"/>
        </w:rPr>
        <w:t>件</w:t>
      </w:r>
    </w:p>
    <w:p w14:paraId="2FE05CAA">
      <w:pPr>
        <w:snapToGrid w:val="0"/>
        <w:spacing w:line="360" w:lineRule="auto"/>
        <w:ind w:firstLine="1680" w:firstLineChars="600"/>
        <w:rPr>
          <w:rFonts w:ascii="宋体" w:hAnsi="宋体" w:cs="宋体"/>
          <w:sz w:val="28"/>
          <w:szCs w:val="28"/>
        </w:rPr>
      </w:pPr>
      <w:r>
        <w:rPr>
          <w:rFonts w:hint="eastAsia" w:ascii="宋体" w:hAnsi="宋体" w:cs="宋体"/>
          <w:sz w:val="28"/>
          <w:szCs w:val="28"/>
        </w:rPr>
        <w:t>标项名称：</w:t>
      </w:r>
    </w:p>
    <w:p w14:paraId="770C02A6">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投标人全称：（单位公章或电子公章）</w:t>
      </w:r>
    </w:p>
    <w:p w14:paraId="42E2332B">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投标人地址：</w:t>
      </w:r>
    </w:p>
    <w:p w14:paraId="66F9714C">
      <w:pPr>
        <w:snapToGrid w:val="0"/>
        <w:spacing w:line="360" w:lineRule="auto"/>
        <w:jc w:val="center"/>
        <w:rPr>
          <w:rFonts w:ascii="宋体" w:hAnsi="宋体" w:cs="宋体"/>
          <w:b/>
          <w:bCs/>
          <w:kern w:val="0"/>
          <w:sz w:val="28"/>
          <w:szCs w:val="28"/>
        </w:rPr>
      </w:pPr>
      <w:r>
        <w:rPr>
          <w:rFonts w:hint="eastAsia" w:ascii="宋体" w:hAnsi="宋体" w:cs="宋体"/>
          <w:sz w:val="28"/>
          <w:szCs w:val="28"/>
        </w:rPr>
        <w:t>年   月   日</w:t>
      </w:r>
    </w:p>
    <w:p w14:paraId="04023329">
      <w:pPr>
        <w:pageBreakBefore/>
        <w:shd w:val="clear" w:color="auto" w:fill="FFFFFF"/>
        <w:snapToGrid w:val="0"/>
        <w:spacing w:line="360" w:lineRule="auto"/>
        <w:jc w:val="center"/>
        <w:rPr>
          <w:rFonts w:ascii="宋体" w:hAnsi="宋体" w:cs="宋体"/>
          <w:b/>
          <w:bCs/>
          <w:kern w:val="0"/>
          <w:sz w:val="32"/>
          <w:szCs w:val="32"/>
        </w:rPr>
        <w:sectPr>
          <w:headerReference r:id="rId17" w:type="default"/>
          <w:footerReference r:id="rId18" w:type="default"/>
          <w:pgSz w:w="11906" w:h="16838"/>
          <w:pgMar w:top="993" w:right="1474" w:bottom="1134" w:left="1474" w:header="851" w:footer="641" w:gutter="0"/>
          <w:pgNumType w:fmt="numberInDash"/>
          <w:cols w:space="720" w:num="1"/>
          <w:docGrid w:type="lines" w:linePitch="315" w:charSpace="0"/>
        </w:sectPr>
      </w:pPr>
    </w:p>
    <w:p w14:paraId="06D9406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E987C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4E89D74">
      <w:pPr>
        <w:spacing w:line="360" w:lineRule="auto"/>
        <w:jc w:val="center"/>
        <w:outlineLvl w:val="0"/>
        <w:rPr>
          <w:rFonts w:ascii="宋体" w:hAnsi="宋体" w:cs="宋体"/>
          <w:b/>
          <w:kern w:val="0"/>
          <w:sz w:val="36"/>
          <w:szCs w:val="36"/>
        </w:rPr>
      </w:pPr>
    </w:p>
    <w:p w14:paraId="388B0957">
      <w:pPr>
        <w:snapToGrid w:val="0"/>
        <w:spacing w:line="360" w:lineRule="auto"/>
        <w:rPr>
          <w:rFonts w:ascii="宋体" w:hAnsi="宋体" w:cs="宋体"/>
          <w:sz w:val="24"/>
        </w:rPr>
      </w:pPr>
      <w:r>
        <w:rPr>
          <w:rFonts w:hint="eastAsia" w:ascii="宋体" w:hAnsi="宋体" w:cs="宋体"/>
          <w:sz w:val="24"/>
        </w:rPr>
        <w:t>（1）开标一览表（报价表和报价明细清单）…………………………………（页码）</w:t>
      </w:r>
    </w:p>
    <w:p w14:paraId="6D8E0E7F">
      <w:pPr>
        <w:snapToGrid w:val="0"/>
        <w:spacing w:line="360" w:lineRule="auto"/>
        <w:ind w:right="480"/>
        <w:jc w:val="center"/>
        <w:rPr>
          <w:rFonts w:ascii="宋体" w:hAnsi="宋体" w:cs="宋体"/>
          <w:b/>
          <w:kern w:val="0"/>
          <w:sz w:val="24"/>
        </w:rPr>
      </w:pPr>
      <w:r>
        <w:rPr>
          <w:rFonts w:hint="eastAsia" w:ascii="宋体" w:hAnsi="宋体" w:cs="宋体"/>
          <w:sz w:val="24"/>
        </w:rPr>
        <w:t>（2）中小企业声明函（如有）…………………………………………………（页码）</w:t>
      </w:r>
    </w:p>
    <w:p w14:paraId="7706898E">
      <w:pPr>
        <w:snapToGrid w:val="0"/>
        <w:spacing w:line="360" w:lineRule="auto"/>
        <w:ind w:right="480"/>
        <w:jc w:val="center"/>
        <w:rPr>
          <w:rFonts w:ascii="宋体" w:hAnsi="宋体" w:cs="宋体"/>
          <w:b/>
          <w:kern w:val="0"/>
          <w:sz w:val="24"/>
        </w:rPr>
      </w:pPr>
      <w:r>
        <w:rPr>
          <w:rFonts w:hint="eastAsia" w:ascii="宋体" w:hAnsi="宋体" w:cs="宋体"/>
          <w:sz w:val="24"/>
        </w:rPr>
        <w:t>（3）报价情况说明（如供应商报价低于项目预算50%的，应当提交本文档，详细阐述不影响产品质量或者诚信履约的具体原因）…………………………………（页码）</w:t>
      </w:r>
    </w:p>
    <w:p w14:paraId="21CC3AA1">
      <w:pPr>
        <w:snapToGrid w:val="0"/>
        <w:spacing w:line="360" w:lineRule="auto"/>
        <w:ind w:right="480"/>
        <w:jc w:val="center"/>
        <w:rPr>
          <w:rFonts w:ascii="宋体" w:hAnsi="宋体" w:cs="宋体"/>
          <w:b/>
          <w:kern w:val="0"/>
          <w:sz w:val="32"/>
          <w:szCs w:val="32"/>
        </w:rPr>
      </w:pPr>
    </w:p>
    <w:p w14:paraId="45C3CA1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注：分五个标项分别进行报价；</w:t>
      </w:r>
    </w:p>
    <w:p w14:paraId="32460421">
      <w:pPr>
        <w:spacing w:line="360" w:lineRule="auto"/>
        <w:rPr>
          <w:rFonts w:ascii="宋体" w:hAnsi="宋体" w:cs="宋体"/>
          <w:sz w:val="24"/>
        </w:rPr>
      </w:pPr>
    </w:p>
    <w:p w14:paraId="5671824D">
      <w:pPr>
        <w:snapToGrid w:val="0"/>
        <w:spacing w:line="360" w:lineRule="auto"/>
        <w:ind w:right="480"/>
        <w:jc w:val="center"/>
        <w:rPr>
          <w:rFonts w:ascii="宋体" w:hAnsi="宋体" w:cs="宋体"/>
          <w:b/>
          <w:kern w:val="0"/>
          <w:sz w:val="32"/>
          <w:szCs w:val="32"/>
        </w:rPr>
      </w:pPr>
    </w:p>
    <w:p w14:paraId="445DBACA">
      <w:pPr>
        <w:snapToGrid w:val="0"/>
        <w:spacing w:line="360" w:lineRule="auto"/>
        <w:ind w:right="480"/>
        <w:jc w:val="center"/>
        <w:rPr>
          <w:rFonts w:ascii="宋体" w:hAnsi="宋体" w:cs="宋体"/>
          <w:b/>
          <w:kern w:val="0"/>
          <w:sz w:val="32"/>
          <w:szCs w:val="32"/>
        </w:rPr>
      </w:pPr>
    </w:p>
    <w:p w14:paraId="4AEA4D72">
      <w:pPr>
        <w:snapToGrid w:val="0"/>
        <w:spacing w:line="360" w:lineRule="auto"/>
        <w:ind w:right="480"/>
        <w:jc w:val="center"/>
        <w:rPr>
          <w:rFonts w:ascii="宋体" w:hAnsi="宋体" w:cs="宋体"/>
          <w:b/>
          <w:kern w:val="0"/>
          <w:sz w:val="32"/>
          <w:szCs w:val="32"/>
        </w:rPr>
      </w:pPr>
    </w:p>
    <w:p w14:paraId="24B9F487">
      <w:pPr>
        <w:snapToGrid w:val="0"/>
        <w:spacing w:line="360" w:lineRule="auto"/>
        <w:ind w:right="480"/>
        <w:jc w:val="center"/>
        <w:rPr>
          <w:rFonts w:ascii="宋体" w:hAnsi="宋体" w:cs="宋体"/>
          <w:b/>
          <w:kern w:val="0"/>
          <w:sz w:val="32"/>
          <w:szCs w:val="32"/>
        </w:rPr>
      </w:pPr>
    </w:p>
    <w:p w14:paraId="772EA9DE">
      <w:pPr>
        <w:snapToGrid w:val="0"/>
        <w:spacing w:line="360" w:lineRule="auto"/>
        <w:ind w:right="480"/>
        <w:jc w:val="center"/>
        <w:rPr>
          <w:rFonts w:ascii="宋体" w:hAnsi="宋体" w:cs="宋体"/>
          <w:b/>
          <w:kern w:val="0"/>
          <w:sz w:val="32"/>
          <w:szCs w:val="32"/>
        </w:rPr>
      </w:pPr>
    </w:p>
    <w:p w14:paraId="1C85EF22">
      <w:pPr>
        <w:snapToGrid w:val="0"/>
        <w:spacing w:line="360" w:lineRule="auto"/>
        <w:ind w:right="480"/>
        <w:jc w:val="center"/>
        <w:rPr>
          <w:rFonts w:ascii="宋体" w:hAnsi="宋体" w:cs="宋体"/>
          <w:b/>
          <w:kern w:val="0"/>
          <w:sz w:val="32"/>
          <w:szCs w:val="32"/>
        </w:rPr>
      </w:pPr>
    </w:p>
    <w:p w14:paraId="2E54B3E8">
      <w:pPr>
        <w:snapToGrid w:val="0"/>
        <w:spacing w:line="360" w:lineRule="auto"/>
        <w:ind w:right="480"/>
        <w:jc w:val="center"/>
        <w:rPr>
          <w:rFonts w:ascii="宋体" w:hAnsi="宋体" w:cs="宋体"/>
          <w:b/>
          <w:kern w:val="0"/>
          <w:sz w:val="32"/>
          <w:szCs w:val="32"/>
        </w:rPr>
      </w:pPr>
    </w:p>
    <w:p w14:paraId="656F760D">
      <w:pPr>
        <w:snapToGrid w:val="0"/>
        <w:spacing w:line="360" w:lineRule="auto"/>
        <w:ind w:right="480"/>
        <w:jc w:val="center"/>
        <w:rPr>
          <w:rFonts w:ascii="宋体" w:hAnsi="宋体" w:cs="宋体"/>
          <w:b/>
          <w:kern w:val="0"/>
          <w:sz w:val="32"/>
          <w:szCs w:val="32"/>
        </w:rPr>
      </w:pPr>
    </w:p>
    <w:p w14:paraId="352817E6">
      <w:pPr>
        <w:snapToGrid w:val="0"/>
        <w:spacing w:line="360" w:lineRule="auto"/>
        <w:ind w:right="480"/>
        <w:jc w:val="center"/>
        <w:rPr>
          <w:rFonts w:ascii="宋体" w:hAnsi="宋体" w:cs="宋体"/>
          <w:b/>
          <w:kern w:val="0"/>
          <w:sz w:val="32"/>
          <w:szCs w:val="32"/>
        </w:rPr>
      </w:pPr>
    </w:p>
    <w:p w14:paraId="21173A3C">
      <w:pPr>
        <w:pStyle w:val="383"/>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2D51325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D8AD5E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（余杭区公共数据运营服务项目）（标项名称：         ）</w:t>
      </w:r>
      <w:r>
        <w:rPr>
          <w:rFonts w:hint="eastAsia" w:ascii="宋体" w:hAnsi="宋体" w:cs="宋体"/>
          <w:kern w:val="0"/>
          <w:sz w:val="24"/>
          <w:u w:val="single"/>
          <w:lang w:val="zh-CN"/>
        </w:rPr>
        <w:t>【招标编号：</w:t>
      </w:r>
      <w:r>
        <w:rPr>
          <w:rFonts w:hint="eastAsia" w:ascii="宋体" w:hAnsi="宋体" w:cs="宋体"/>
          <w:sz w:val="24"/>
          <w:u w:val="single"/>
          <w:lang w:eastAsia="zh-CN"/>
        </w:rPr>
        <w:t>YHZFCG2024-013-1</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5BEB694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w:t>
      </w:r>
      <w:r>
        <w:rPr>
          <w:rFonts w:hint="eastAsia" w:ascii="宋体" w:hAnsi="宋体" w:cs="宋体"/>
          <w:b/>
          <w:kern w:val="0"/>
          <w:sz w:val="24"/>
        </w:rPr>
        <w:t>标项</w:t>
      </w:r>
      <w:r>
        <w:rPr>
          <w:rFonts w:hint="eastAsia" w:ascii="宋体" w:hAnsi="宋体" w:cs="宋体"/>
          <w:b/>
          <w:kern w:val="0"/>
          <w:sz w:val="24"/>
          <w:u w:val="single"/>
        </w:rPr>
        <w:t xml:space="preserve">      </w:t>
      </w:r>
      <w:r>
        <w:rPr>
          <w:rFonts w:hint="eastAsia" w:ascii="宋体" w:hAnsi="宋体" w:cs="宋体"/>
          <w:b/>
          <w:kern w:val="0"/>
          <w:sz w:val="24"/>
          <w:lang w:val="zh-CN"/>
        </w:rPr>
        <w:t>）(单位均为人民币元)</w:t>
      </w:r>
    </w:p>
    <w:tbl>
      <w:tblPr>
        <w:tblStyle w:val="64"/>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79"/>
        <w:gridCol w:w="1395"/>
        <w:gridCol w:w="3360"/>
        <w:gridCol w:w="2166"/>
      </w:tblGrid>
      <w:tr w14:paraId="162621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2479" w:type="dxa"/>
            <w:tcBorders>
              <w:right w:val="single" w:color="auto" w:sz="4" w:space="0"/>
            </w:tcBorders>
            <w:vAlign w:val="center"/>
          </w:tcPr>
          <w:p w14:paraId="4A3FBA2A">
            <w:pPr>
              <w:spacing w:after="0" w:line="360" w:lineRule="auto"/>
              <w:jc w:val="center"/>
              <w:rPr>
                <w:rFonts w:ascii="宋体" w:hAnsi="宋体" w:cs="宋体"/>
                <w:b/>
                <w:bCs/>
                <w:sz w:val="24"/>
                <w:szCs w:val="22"/>
              </w:rPr>
            </w:pPr>
            <w:r>
              <w:rPr>
                <w:rFonts w:hint="eastAsia" w:ascii="宋体" w:hAnsi="宋体" w:cs="宋体"/>
                <w:b/>
                <w:bCs/>
                <w:sz w:val="24"/>
                <w:szCs w:val="22"/>
              </w:rPr>
              <w:t>标项名称</w:t>
            </w:r>
          </w:p>
        </w:tc>
        <w:tc>
          <w:tcPr>
            <w:tcW w:w="1395" w:type="dxa"/>
            <w:tcBorders>
              <w:left w:val="single" w:color="auto" w:sz="4" w:space="0"/>
              <w:right w:val="single" w:color="auto" w:sz="4" w:space="0"/>
            </w:tcBorders>
            <w:vAlign w:val="center"/>
          </w:tcPr>
          <w:p w14:paraId="6D6888C4">
            <w:pPr>
              <w:spacing w:after="0" w:line="360" w:lineRule="auto"/>
              <w:jc w:val="center"/>
              <w:rPr>
                <w:rFonts w:ascii="宋体" w:hAnsi="宋体" w:cs="宋体"/>
                <w:b/>
                <w:bCs/>
                <w:sz w:val="24"/>
                <w:szCs w:val="22"/>
              </w:rPr>
            </w:pPr>
            <w:r>
              <w:rPr>
                <w:rFonts w:hint="eastAsia" w:ascii="宋体" w:hAnsi="宋体" w:cs="宋体"/>
                <w:b/>
                <w:bCs/>
                <w:sz w:val="24"/>
                <w:szCs w:val="22"/>
              </w:rPr>
              <w:t>服务期</w:t>
            </w:r>
          </w:p>
        </w:tc>
        <w:tc>
          <w:tcPr>
            <w:tcW w:w="3360" w:type="dxa"/>
            <w:tcBorders>
              <w:left w:val="single" w:color="auto" w:sz="4" w:space="0"/>
              <w:right w:val="single" w:color="auto" w:sz="4" w:space="0"/>
            </w:tcBorders>
            <w:vAlign w:val="center"/>
          </w:tcPr>
          <w:p w14:paraId="2FFC08AA">
            <w:pPr>
              <w:spacing w:after="0"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2166" w:type="dxa"/>
            <w:tcBorders>
              <w:left w:val="single" w:color="auto" w:sz="4" w:space="0"/>
              <w:right w:val="single" w:color="auto" w:sz="4" w:space="0"/>
            </w:tcBorders>
            <w:vAlign w:val="center"/>
          </w:tcPr>
          <w:p w14:paraId="2EB85340">
            <w:pPr>
              <w:spacing w:after="0" w:line="360" w:lineRule="auto"/>
              <w:jc w:val="center"/>
              <w:rPr>
                <w:rFonts w:ascii="宋体" w:hAnsi="宋体" w:cs="宋体"/>
                <w:b/>
                <w:bCs/>
                <w:sz w:val="24"/>
                <w:szCs w:val="22"/>
              </w:rPr>
            </w:pPr>
            <w:r>
              <w:rPr>
                <w:rFonts w:hint="eastAsia" w:ascii="宋体" w:hAnsi="宋体" w:cs="宋体"/>
                <w:b/>
                <w:bCs/>
                <w:sz w:val="24"/>
                <w:szCs w:val="22"/>
              </w:rPr>
              <w:t>备注</w:t>
            </w:r>
          </w:p>
        </w:tc>
      </w:tr>
      <w:tr w14:paraId="4EC55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479" w:type="dxa"/>
            <w:tcBorders>
              <w:right w:val="single" w:color="auto" w:sz="4" w:space="0"/>
            </w:tcBorders>
            <w:vAlign w:val="center"/>
          </w:tcPr>
          <w:p w14:paraId="36A39174">
            <w:pPr>
              <w:spacing w:after="0" w:line="360" w:lineRule="auto"/>
              <w:jc w:val="center"/>
              <w:rPr>
                <w:rFonts w:ascii="宋体" w:hAnsi="宋体" w:cs="宋体"/>
                <w:sz w:val="24"/>
                <w:szCs w:val="22"/>
              </w:rPr>
            </w:pPr>
          </w:p>
        </w:tc>
        <w:tc>
          <w:tcPr>
            <w:tcW w:w="1395" w:type="dxa"/>
            <w:tcBorders>
              <w:left w:val="single" w:color="auto" w:sz="4" w:space="0"/>
              <w:right w:val="single" w:color="auto" w:sz="4" w:space="0"/>
            </w:tcBorders>
            <w:vAlign w:val="center"/>
          </w:tcPr>
          <w:p w14:paraId="032D7CB7">
            <w:pPr>
              <w:spacing w:after="0" w:line="360" w:lineRule="auto"/>
              <w:jc w:val="center"/>
              <w:rPr>
                <w:rFonts w:ascii="宋体" w:hAnsi="宋体" w:cs="宋体"/>
                <w:sz w:val="24"/>
                <w:szCs w:val="22"/>
              </w:rPr>
            </w:pPr>
          </w:p>
        </w:tc>
        <w:tc>
          <w:tcPr>
            <w:tcW w:w="3360" w:type="dxa"/>
            <w:tcBorders>
              <w:left w:val="single" w:color="auto" w:sz="4" w:space="0"/>
              <w:right w:val="single" w:color="auto" w:sz="4" w:space="0"/>
            </w:tcBorders>
            <w:vAlign w:val="center"/>
          </w:tcPr>
          <w:p w14:paraId="128422BC">
            <w:pPr>
              <w:spacing w:after="0"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00D10C9B">
            <w:pPr>
              <w:spacing w:after="0"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2166" w:type="dxa"/>
            <w:tcBorders>
              <w:left w:val="single" w:color="auto" w:sz="4" w:space="0"/>
              <w:right w:val="single" w:color="auto" w:sz="4" w:space="0"/>
            </w:tcBorders>
            <w:vAlign w:val="center"/>
          </w:tcPr>
          <w:p w14:paraId="25F27A9B">
            <w:pPr>
              <w:spacing w:after="0"/>
              <w:rPr>
                <w:rFonts w:ascii="宋体" w:hAnsi="宋体" w:cs="宋体"/>
                <w:b/>
                <w:bCs/>
                <w:sz w:val="24"/>
                <w:szCs w:val="22"/>
              </w:rPr>
            </w:pPr>
            <w:r>
              <w:rPr>
                <w:rFonts w:hint="eastAsia" w:ascii="宋体" w:hAnsi="宋体" w:cs="宋体"/>
                <w:sz w:val="24"/>
                <w:szCs w:val="22"/>
              </w:rPr>
              <w:t>下附：报价明细清单；（</w:t>
            </w:r>
            <w:r>
              <w:rPr>
                <w:rFonts w:hint="eastAsia" w:ascii="宋体" w:hAnsi="宋体" w:cs="宋体"/>
                <w:sz w:val="24"/>
              </w:rPr>
              <w:t>根据各标项服务内容须</w:t>
            </w:r>
            <w:r>
              <w:rPr>
                <w:rFonts w:ascii="宋体" w:hAnsi="宋体" w:cs="宋体"/>
                <w:sz w:val="24"/>
              </w:rPr>
              <w:t>列出服务清单以及对应的报价</w:t>
            </w:r>
            <w:r>
              <w:rPr>
                <w:rFonts w:hint="eastAsia" w:ascii="宋体" w:hAnsi="宋体" w:cs="宋体"/>
                <w:sz w:val="24"/>
              </w:rPr>
              <w:t>）</w:t>
            </w:r>
          </w:p>
        </w:tc>
      </w:tr>
    </w:tbl>
    <w:p w14:paraId="277F7469">
      <w:pPr>
        <w:keepNext w:val="0"/>
        <w:keepLines w:val="0"/>
        <w:pageBreakBefore w:val="0"/>
        <w:widowControl w:val="0"/>
        <w:kinsoku/>
        <w:wordWrap/>
        <w:overflowPunct/>
        <w:topLinePunct w:val="0"/>
        <w:bidi w:val="0"/>
        <w:adjustRightInd w:val="0"/>
        <w:snapToGrid w:val="0"/>
        <w:spacing w:after="0" w:line="360" w:lineRule="auto"/>
        <w:textAlignment w:val="auto"/>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w:t>
      </w:r>
      <w:r>
        <w:rPr>
          <w:rFonts w:hint="eastAsia" w:ascii="宋体" w:hAnsi="宋体" w:cs="宋体"/>
          <w:kern w:val="0"/>
          <w:sz w:val="24"/>
        </w:rPr>
        <w:t>否则视为</w:t>
      </w:r>
      <w:r>
        <w:rPr>
          <w:rFonts w:hint="eastAsia" w:ascii="宋体" w:hAnsi="宋体" w:cs="宋体"/>
          <w:sz w:val="24"/>
        </w:rPr>
        <w:t>投标文件含有采购人不能接受的附加条件，投标无效。</w:t>
      </w:r>
    </w:p>
    <w:p w14:paraId="0D855C58">
      <w:pPr>
        <w:keepNext w:val="0"/>
        <w:keepLines w:val="0"/>
        <w:pageBreakBefore w:val="0"/>
        <w:widowControl w:val="0"/>
        <w:kinsoku/>
        <w:wordWrap/>
        <w:overflowPunct/>
        <w:topLinePunct w:val="0"/>
        <w:bidi w:val="0"/>
        <w:adjustRightInd w:val="0"/>
        <w:snapToGrid w:val="0"/>
        <w:spacing w:after="0" w:line="360" w:lineRule="auto"/>
        <w:ind w:left="-2" w:firstLine="480" w:firstLineChars="200"/>
        <w:textAlignment w:val="auto"/>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2A8ACC96">
      <w:pPr>
        <w:keepNext w:val="0"/>
        <w:keepLines w:val="0"/>
        <w:pageBreakBefore w:val="0"/>
        <w:widowControl w:val="0"/>
        <w:kinsoku/>
        <w:wordWrap/>
        <w:overflowPunct/>
        <w:topLinePunct w:val="0"/>
        <w:bidi w:val="0"/>
        <w:adjustRightInd w:val="0"/>
        <w:spacing w:after="0"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39A97CB3">
      <w:pPr>
        <w:keepNext w:val="0"/>
        <w:keepLines w:val="0"/>
        <w:pageBreakBefore w:val="0"/>
        <w:widowControl w:val="0"/>
        <w:kinsoku/>
        <w:wordWrap/>
        <w:overflowPunct/>
        <w:topLinePunct w:val="0"/>
        <w:bidi w:val="0"/>
        <w:adjustRightInd w:val="0"/>
        <w:snapToGrid w:val="0"/>
        <w:spacing w:after="0" w:line="360" w:lineRule="auto"/>
        <w:ind w:firstLine="480" w:firstLineChars="200"/>
        <w:jc w:val="left"/>
        <w:textAlignment w:val="auto"/>
        <w:rPr>
          <w:rFonts w:ascii="宋体" w:hAnsi="宋体" w:cs="宋体"/>
          <w:b/>
          <w:bCs/>
          <w:kern w:val="0"/>
          <w:sz w:val="24"/>
          <w:lang w:val="zh-CN"/>
        </w:rPr>
      </w:pPr>
      <w:r>
        <w:rPr>
          <w:rFonts w:hint="eastAsia" w:ascii="宋体" w:hAnsi="宋体" w:cs="宋体"/>
          <w:color w:val="FF0000"/>
          <w:kern w:val="0"/>
          <w:sz w:val="24"/>
          <w:szCs w:val="22"/>
          <w:lang w:val="zh-CN"/>
        </w:rPr>
        <w:t>4、</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C419DF">
      <w:pPr>
        <w:keepNext w:val="0"/>
        <w:keepLines w:val="0"/>
        <w:pageBreakBefore w:val="0"/>
        <w:widowControl w:val="0"/>
        <w:kinsoku/>
        <w:wordWrap/>
        <w:overflowPunct/>
        <w:topLinePunct w:val="0"/>
        <w:autoSpaceDE w:val="0"/>
        <w:autoSpaceDN w:val="0"/>
        <w:bidi w:val="0"/>
        <w:adjustRightInd w:val="0"/>
        <w:spacing w:after="0" w:line="360" w:lineRule="auto"/>
        <w:ind w:right="1120" w:firstLine="5280" w:firstLineChars="2200"/>
        <w:jc w:val="left"/>
        <w:textAlignment w:val="auto"/>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23B275">
      <w:pPr>
        <w:spacing w:line="360" w:lineRule="auto"/>
        <w:ind w:left="4620" w:leftChars="2200" w:firstLine="720" w:firstLineChars="3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4DE1162">
      <w:pPr>
        <w:rPr>
          <w:rFonts w:ascii="宋体" w:hAnsi="宋体" w:cs="宋体"/>
          <w:kern w:val="0"/>
          <w:sz w:val="24"/>
          <w:lang w:val="zh-CN"/>
        </w:rPr>
      </w:pPr>
      <w:r>
        <w:rPr>
          <w:rFonts w:hint="eastAsia" w:ascii="宋体" w:hAnsi="宋体" w:cs="宋体"/>
          <w:kern w:val="0"/>
          <w:sz w:val="24"/>
          <w:lang w:val="zh-CN"/>
        </w:rPr>
        <w:br w:type="page"/>
      </w:r>
    </w:p>
    <w:p w14:paraId="31AC889C">
      <w:pPr>
        <w:rPr>
          <w:rFonts w:ascii="宋体" w:hAnsi="宋体" w:cs="宋体"/>
          <w:b/>
          <w:bCs/>
          <w:kern w:val="0"/>
          <w:sz w:val="24"/>
        </w:rPr>
      </w:pPr>
      <w:r>
        <w:rPr>
          <w:rFonts w:hint="eastAsia" w:ascii="宋体" w:hAnsi="宋体" w:cs="宋体"/>
          <w:b/>
          <w:bCs/>
          <w:kern w:val="0"/>
          <w:sz w:val="24"/>
        </w:rPr>
        <w:t>附：</w:t>
      </w:r>
      <w:r>
        <w:rPr>
          <w:rFonts w:hint="eastAsia" w:ascii="宋体" w:hAnsi="宋体" w:cs="宋体"/>
          <w:sz w:val="24"/>
          <w:szCs w:val="22"/>
        </w:rPr>
        <w:t>报价明细分析清单</w:t>
      </w:r>
    </w:p>
    <w:p w14:paraId="4EE8200A">
      <w:pPr>
        <w:pStyle w:val="86"/>
        <w:rPr>
          <w:rFonts w:cs="宋体"/>
          <w:lang w:val="en-US"/>
        </w:rPr>
      </w:pPr>
      <w:r>
        <w:rPr>
          <w:rFonts w:hint="eastAsia" w:cs="宋体"/>
          <w:lang w:val="en-US"/>
        </w:rPr>
        <w:t xml:space="preserve">  </w:t>
      </w:r>
    </w:p>
    <w:p w14:paraId="652F5F20">
      <w:pPr>
        <w:pStyle w:val="86"/>
        <w:rPr>
          <w:rFonts w:cs="宋体"/>
          <w:lang w:val="en-US"/>
        </w:rPr>
      </w:pPr>
      <w:r>
        <w:rPr>
          <w:rFonts w:hint="eastAsia" w:cs="宋体"/>
        </w:rPr>
        <w:t>标项名称：</w:t>
      </w:r>
      <w:r>
        <w:rPr>
          <w:rFonts w:hint="eastAsia" w:cs="宋体"/>
          <w:lang w:val="en-US"/>
        </w:rPr>
        <w:t xml:space="preserve">                                            </w:t>
      </w:r>
    </w:p>
    <w:tbl>
      <w:tblPr>
        <w:tblStyle w:val="64"/>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14:paraId="398838C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14:paraId="0577E8A9">
            <w:pPr>
              <w:snapToGrid w:val="0"/>
              <w:spacing w:after="0" w:line="360" w:lineRule="auto"/>
              <w:jc w:val="center"/>
              <w:rPr>
                <w:rFonts w:ascii="宋体" w:hAnsi="宋体" w:cs="宋体"/>
                <w:sz w:val="24"/>
                <w:szCs w:val="21"/>
              </w:rPr>
            </w:pPr>
            <w:r>
              <w:rPr>
                <w:rFonts w:hint="eastAsia" w:ascii="宋体" w:hAnsi="宋体" w:cs="宋体"/>
                <w:sz w:val="24"/>
                <w:szCs w:val="21"/>
              </w:rPr>
              <w:t>序号</w:t>
            </w:r>
          </w:p>
        </w:tc>
        <w:tc>
          <w:tcPr>
            <w:tcW w:w="2973" w:type="dxa"/>
            <w:tcBorders>
              <w:top w:val="single" w:color="auto" w:sz="8" w:space="0"/>
              <w:left w:val="single" w:color="auto" w:sz="2" w:space="0"/>
              <w:bottom w:val="single" w:color="auto" w:sz="2" w:space="0"/>
              <w:right w:val="single" w:color="auto" w:sz="2" w:space="0"/>
            </w:tcBorders>
            <w:vAlign w:val="center"/>
          </w:tcPr>
          <w:p w14:paraId="45B4C47F">
            <w:pPr>
              <w:snapToGrid w:val="0"/>
              <w:spacing w:after="0" w:line="360" w:lineRule="auto"/>
              <w:jc w:val="center"/>
              <w:rPr>
                <w:rFonts w:ascii="宋体" w:hAnsi="宋体" w:cs="宋体"/>
                <w:sz w:val="24"/>
                <w:szCs w:val="21"/>
              </w:rPr>
            </w:pPr>
            <w:r>
              <w:rPr>
                <w:rFonts w:hint="eastAsia" w:ascii="宋体" w:hAnsi="宋体" w:cs="宋体"/>
                <w:sz w:val="24"/>
                <w:szCs w:val="21"/>
              </w:rPr>
              <w:t>内容</w:t>
            </w:r>
          </w:p>
        </w:tc>
        <w:tc>
          <w:tcPr>
            <w:tcW w:w="1515" w:type="dxa"/>
            <w:tcBorders>
              <w:top w:val="single" w:color="auto" w:sz="8" w:space="0"/>
              <w:left w:val="single" w:color="auto" w:sz="2" w:space="0"/>
              <w:bottom w:val="single" w:color="auto" w:sz="2" w:space="0"/>
              <w:right w:val="single" w:color="auto" w:sz="4" w:space="0"/>
            </w:tcBorders>
            <w:vAlign w:val="center"/>
          </w:tcPr>
          <w:p w14:paraId="78A5630D">
            <w:pPr>
              <w:snapToGrid w:val="0"/>
              <w:spacing w:after="0" w:line="360" w:lineRule="auto"/>
              <w:jc w:val="center"/>
              <w:rPr>
                <w:rFonts w:ascii="宋体" w:hAnsi="宋体" w:cs="宋体"/>
                <w:sz w:val="24"/>
                <w:szCs w:val="21"/>
              </w:rPr>
            </w:pPr>
            <w:r>
              <w:rPr>
                <w:rFonts w:hint="eastAsia" w:ascii="宋体" w:hAnsi="宋体" w:cs="宋体"/>
                <w:sz w:val="24"/>
                <w:szCs w:val="21"/>
              </w:rPr>
              <w:t>数量</w:t>
            </w:r>
          </w:p>
        </w:tc>
        <w:tc>
          <w:tcPr>
            <w:tcW w:w="1551" w:type="dxa"/>
            <w:tcBorders>
              <w:top w:val="single" w:color="auto" w:sz="8" w:space="0"/>
              <w:left w:val="single" w:color="auto" w:sz="2" w:space="0"/>
              <w:bottom w:val="single" w:color="auto" w:sz="2" w:space="0"/>
              <w:right w:val="single" w:color="auto" w:sz="4" w:space="0"/>
            </w:tcBorders>
            <w:vAlign w:val="center"/>
          </w:tcPr>
          <w:p w14:paraId="69A31B8F">
            <w:pPr>
              <w:snapToGrid w:val="0"/>
              <w:spacing w:after="0" w:line="360" w:lineRule="auto"/>
              <w:jc w:val="center"/>
              <w:rPr>
                <w:rFonts w:ascii="宋体" w:hAnsi="宋体" w:cs="宋体"/>
                <w:sz w:val="24"/>
                <w:szCs w:val="21"/>
              </w:rPr>
            </w:pPr>
            <w:r>
              <w:rPr>
                <w:rFonts w:hint="eastAsia" w:ascii="宋体" w:hAnsi="宋体" w:cs="宋体"/>
                <w:sz w:val="24"/>
                <w:szCs w:val="21"/>
              </w:rPr>
              <w:t>单价</w:t>
            </w:r>
          </w:p>
        </w:tc>
        <w:tc>
          <w:tcPr>
            <w:tcW w:w="1285" w:type="dxa"/>
            <w:tcBorders>
              <w:top w:val="single" w:color="auto" w:sz="8" w:space="0"/>
              <w:left w:val="single" w:color="auto" w:sz="2" w:space="0"/>
              <w:bottom w:val="single" w:color="auto" w:sz="2" w:space="0"/>
              <w:right w:val="single" w:color="auto" w:sz="4" w:space="0"/>
            </w:tcBorders>
            <w:vAlign w:val="center"/>
          </w:tcPr>
          <w:p w14:paraId="397804E5">
            <w:pPr>
              <w:snapToGrid w:val="0"/>
              <w:spacing w:after="0" w:line="360" w:lineRule="auto"/>
              <w:jc w:val="center"/>
              <w:rPr>
                <w:rFonts w:ascii="宋体" w:hAnsi="宋体" w:cs="宋体"/>
                <w:sz w:val="24"/>
                <w:szCs w:val="21"/>
              </w:rPr>
            </w:pPr>
            <w:r>
              <w:rPr>
                <w:rFonts w:hint="eastAsia" w:ascii="宋体" w:hAnsi="宋体" w:cs="宋体"/>
                <w:sz w:val="24"/>
                <w:szCs w:val="21"/>
              </w:rPr>
              <w:t>小计</w:t>
            </w:r>
          </w:p>
        </w:tc>
        <w:tc>
          <w:tcPr>
            <w:tcW w:w="1231" w:type="dxa"/>
            <w:tcBorders>
              <w:top w:val="single" w:color="auto" w:sz="8" w:space="0"/>
              <w:left w:val="single" w:color="auto" w:sz="4" w:space="0"/>
              <w:bottom w:val="single" w:color="auto" w:sz="2" w:space="0"/>
              <w:right w:val="single" w:color="auto" w:sz="8" w:space="0"/>
            </w:tcBorders>
            <w:vAlign w:val="center"/>
          </w:tcPr>
          <w:p w14:paraId="78D2F510">
            <w:pPr>
              <w:snapToGrid w:val="0"/>
              <w:spacing w:after="0" w:line="360" w:lineRule="auto"/>
              <w:jc w:val="center"/>
              <w:rPr>
                <w:rFonts w:ascii="宋体" w:hAnsi="宋体" w:cs="宋体"/>
                <w:sz w:val="24"/>
                <w:szCs w:val="21"/>
              </w:rPr>
            </w:pPr>
            <w:r>
              <w:rPr>
                <w:rFonts w:hint="eastAsia" w:ascii="宋体" w:hAnsi="宋体" w:cs="宋体"/>
                <w:sz w:val="24"/>
                <w:szCs w:val="21"/>
              </w:rPr>
              <w:t>备注</w:t>
            </w:r>
          </w:p>
        </w:tc>
      </w:tr>
      <w:tr w14:paraId="52CDBB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14:paraId="037846ED">
            <w:pPr>
              <w:snapToGrid w:val="0"/>
              <w:spacing w:after="0" w:line="360" w:lineRule="auto"/>
              <w:jc w:val="center"/>
              <w:rPr>
                <w:rFonts w:ascii="宋体" w:hAnsi="宋体" w:cs="宋体"/>
                <w:sz w:val="24"/>
                <w:szCs w:val="21"/>
              </w:rPr>
            </w:pPr>
            <w:r>
              <w:rPr>
                <w:rFonts w:hint="eastAsia" w:ascii="宋体" w:hAnsi="宋体" w:cs="宋体"/>
                <w:sz w:val="24"/>
                <w:szCs w:val="21"/>
              </w:rPr>
              <w:t>1</w:t>
            </w:r>
          </w:p>
        </w:tc>
        <w:tc>
          <w:tcPr>
            <w:tcW w:w="2973" w:type="dxa"/>
            <w:tcBorders>
              <w:top w:val="single" w:color="auto" w:sz="2" w:space="0"/>
              <w:left w:val="single" w:color="auto" w:sz="2" w:space="0"/>
              <w:bottom w:val="single" w:color="auto" w:sz="4" w:space="0"/>
              <w:right w:val="single" w:color="auto" w:sz="2" w:space="0"/>
            </w:tcBorders>
            <w:vAlign w:val="center"/>
          </w:tcPr>
          <w:p w14:paraId="000213F1">
            <w:pPr>
              <w:pStyle w:val="26"/>
              <w:spacing w:after="0"/>
              <w:ind w:firstLine="0"/>
              <w:jc w:val="center"/>
              <w:rPr>
                <w:rFonts w:hAnsi="宋体" w:cs="宋体"/>
                <w:b/>
                <w:szCs w:val="21"/>
              </w:rPr>
            </w:pPr>
          </w:p>
        </w:tc>
        <w:tc>
          <w:tcPr>
            <w:tcW w:w="1515" w:type="dxa"/>
            <w:tcBorders>
              <w:top w:val="single" w:color="auto" w:sz="2" w:space="0"/>
              <w:left w:val="single" w:color="auto" w:sz="2" w:space="0"/>
              <w:bottom w:val="single" w:color="auto" w:sz="4" w:space="0"/>
              <w:right w:val="single" w:color="auto" w:sz="4" w:space="0"/>
            </w:tcBorders>
            <w:vAlign w:val="center"/>
          </w:tcPr>
          <w:p w14:paraId="6AF747D5">
            <w:pPr>
              <w:pStyle w:val="26"/>
              <w:spacing w:after="0"/>
              <w:ind w:firstLine="0"/>
              <w:jc w:val="center"/>
              <w:rPr>
                <w:rFonts w:hAnsi="宋体" w:cs="宋体"/>
                <w:szCs w:val="21"/>
              </w:rPr>
            </w:pPr>
          </w:p>
        </w:tc>
        <w:tc>
          <w:tcPr>
            <w:tcW w:w="1551" w:type="dxa"/>
            <w:tcBorders>
              <w:top w:val="single" w:color="auto" w:sz="2" w:space="0"/>
              <w:left w:val="single" w:color="auto" w:sz="2" w:space="0"/>
              <w:bottom w:val="single" w:color="auto" w:sz="4" w:space="0"/>
              <w:right w:val="single" w:color="auto" w:sz="4" w:space="0"/>
            </w:tcBorders>
            <w:vAlign w:val="center"/>
          </w:tcPr>
          <w:p w14:paraId="20E81973">
            <w:pPr>
              <w:snapToGrid w:val="0"/>
              <w:spacing w:after="0" w:line="360" w:lineRule="auto"/>
              <w:jc w:val="center"/>
              <w:rPr>
                <w:rFonts w:ascii="宋体" w:hAnsi="宋体" w:cs="宋体"/>
                <w:sz w:val="24"/>
                <w:szCs w:val="21"/>
              </w:rPr>
            </w:pPr>
          </w:p>
        </w:tc>
        <w:tc>
          <w:tcPr>
            <w:tcW w:w="1285" w:type="dxa"/>
            <w:tcBorders>
              <w:top w:val="single" w:color="auto" w:sz="2" w:space="0"/>
              <w:left w:val="single" w:color="auto" w:sz="2" w:space="0"/>
              <w:bottom w:val="single" w:color="auto" w:sz="4" w:space="0"/>
              <w:right w:val="single" w:color="auto" w:sz="4" w:space="0"/>
            </w:tcBorders>
            <w:vAlign w:val="center"/>
          </w:tcPr>
          <w:p w14:paraId="1A4B3FCA">
            <w:pPr>
              <w:snapToGrid w:val="0"/>
              <w:spacing w:after="0" w:line="360" w:lineRule="auto"/>
              <w:jc w:val="center"/>
              <w:rPr>
                <w:rFonts w:ascii="宋体" w:hAnsi="宋体" w:cs="宋体"/>
                <w:sz w:val="24"/>
                <w:szCs w:val="21"/>
              </w:rPr>
            </w:pPr>
          </w:p>
        </w:tc>
        <w:tc>
          <w:tcPr>
            <w:tcW w:w="1231" w:type="dxa"/>
            <w:tcBorders>
              <w:top w:val="single" w:color="auto" w:sz="2" w:space="0"/>
              <w:left w:val="single" w:color="auto" w:sz="4" w:space="0"/>
              <w:bottom w:val="single" w:color="auto" w:sz="4" w:space="0"/>
              <w:right w:val="single" w:color="auto" w:sz="8" w:space="0"/>
            </w:tcBorders>
            <w:vAlign w:val="center"/>
          </w:tcPr>
          <w:p w14:paraId="670656B7">
            <w:pPr>
              <w:snapToGrid w:val="0"/>
              <w:spacing w:after="0" w:line="360" w:lineRule="auto"/>
              <w:jc w:val="center"/>
              <w:rPr>
                <w:rFonts w:ascii="宋体" w:hAnsi="宋体" w:cs="宋体"/>
                <w:sz w:val="24"/>
                <w:szCs w:val="21"/>
              </w:rPr>
            </w:pPr>
          </w:p>
        </w:tc>
      </w:tr>
      <w:tr w14:paraId="14064F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1EE06AC">
            <w:pPr>
              <w:snapToGrid w:val="0"/>
              <w:spacing w:after="0" w:line="360" w:lineRule="auto"/>
              <w:jc w:val="center"/>
              <w:rPr>
                <w:rFonts w:ascii="宋体" w:hAnsi="宋体" w:cs="宋体"/>
                <w:sz w:val="24"/>
                <w:szCs w:val="21"/>
              </w:rPr>
            </w:pPr>
            <w:r>
              <w:rPr>
                <w:rFonts w:hint="eastAsia" w:ascii="宋体" w:hAnsi="宋体" w:cs="宋体"/>
                <w:sz w:val="24"/>
                <w:szCs w:val="21"/>
              </w:rPr>
              <w:t>2</w:t>
            </w:r>
          </w:p>
        </w:tc>
        <w:tc>
          <w:tcPr>
            <w:tcW w:w="2973" w:type="dxa"/>
            <w:tcBorders>
              <w:top w:val="single" w:color="auto" w:sz="4" w:space="0"/>
              <w:left w:val="single" w:color="auto" w:sz="2" w:space="0"/>
              <w:bottom w:val="single" w:color="auto" w:sz="4" w:space="0"/>
              <w:right w:val="single" w:color="auto" w:sz="2" w:space="0"/>
            </w:tcBorders>
            <w:vAlign w:val="center"/>
          </w:tcPr>
          <w:p w14:paraId="69B21ABB">
            <w:pPr>
              <w:pStyle w:val="26"/>
              <w:spacing w:after="0"/>
              <w:ind w:firstLine="0"/>
              <w:jc w:val="center"/>
              <w:rPr>
                <w:rFonts w:hAnsi="宋体" w:cs="宋体"/>
                <w:szCs w:val="21"/>
              </w:rPr>
            </w:pPr>
          </w:p>
        </w:tc>
        <w:tc>
          <w:tcPr>
            <w:tcW w:w="1515" w:type="dxa"/>
            <w:tcBorders>
              <w:top w:val="single" w:color="auto" w:sz="4" w:space="0"/>
              <w:left w:val="single" w:color="auto" w:sz="2" w:space="0"/>
              <w:bottom w:val="single" w:color="auto" w:sz="4" w:space="0"/>
              <w:right w:val="single" w:color="auto" w:sz="4" w:space="0"/>
            </w:tcBorders>
            <w:vAlign w:val="center"/>
          </w:tcPr>
          <w:p w14:paraId="582D3B08">
            <w:pPr>
              <w:pStyle w:val="26"/>
              <w:spacing w:after="0"/>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4B7E22BB">
            <w:pPr>
              <w:snapToGrid w:val="0"/>
              <w:spacing w:after="0"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07FDFC21">
            <w:pPr>
              <w:snapToGrid w:val="0"/>
              <w:spacing w:after="0"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42B5C657">
            <w:pPr>
              <w:snapToGrid w:val="0"/>
              <w:spacing w:after="0" w:line="360" w:lineRule="auto"/>
              <w:jc w:val="center"/>
              <w:rPr>
                <w:rFonts w:ascii="宋体" w:hAnsi="宋体" w:cs="宋体"/>
                <w:sz w:val="24"/>
                <w:szCs w:val="21"/>
              </w:rPr>
            </w:pPr>
          </w:p>
        </w:tc>
      </w:tr>
      <w:tr w14:paraId="306CA9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34DA6926">
            <w:pPr>
              <w:snapToGrid w:val="0"/>
              <w:spacing w:after="0" w:line="360" w:lineRule="auto"/>
              <w:jc w:val="center"/>
              <w:rPr>
                <w:rFonts w:ascii="宋体" w:hAnsi="宋体" w:cs="宋体"/>
                <w:sz w:val="24"/>
                <w:szCs w:val="21"/>
              </w:rPr>
            </w:pPr>
            <w:r>
              <w:rPr>
                <w:rFonts w:hint="eastAsia" w:ascii="宋体" w:hAnsi="宋体" w:cs="宋体"/>
                <w:sz w:val="24"/>
                <w:szCs w:val="21"/>
              </w:rPr>
              <w:t>3</w:t>
            </w:r>
          </w:p>
        </w:tc>
        <w:tc>
          <w:tcPr>
            <w:tcW w:w="2973" w:type="dxa"/>
            <w:tcBorders>
              <w:top w:val="single" w:color="auto" w:sz="4" w:space="0"/>
              <w:left w:val="single" w:color="auto" w:sz="2" w:space="0"/>
              <w:bottom w:val="single" w:color="auto" w:sz="4" w:space="0"/>
              <w:right w:val="single" w:color="auto" w:sz="2" w:space="0"/>
            </w:tcBorders>
            <w:vAlign w:val="center"/>
          </w:tcPr>
          <w:p w14:paraId="4589FC52">
            <w:pPr>
              <w:pStyle w:val="34"/>
              <w:spacing w:after="0" w:line="360" w:lineRule="auto"/>
              <w:rPr>
                <w:rFonts w:hAnsi="宋体" w:cs="宋体"/>
                <w:sz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77DFEA13">
            <w:pPr>
              <w:pStyle w:val="26"/>
              <w:spacing w:after="0"/>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30F3A1FF">
            <w:pPr>
              <w:snapToGrid w:val="0"/>
              <w:spacing w:after="0"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0B9C21FB">
            <w:pPr>
              <w:snapToGrid w:val="0"/>
              <w:spacing w:after="0"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21B6FF40">
            <w:pPr>
              <w:snapToGrid w:val="0"/>
              <w:spacing w:after="0" w:line="360" w:lineRule="auto"/>
              <w:jc w:val="center"/>
              <w:rPr>
                <w:rFonts w:ascii="宋体" w:hAnsi="宋体" w:cs="宋体"/>
                <w:sz w:val="24"/>
                <w:szCs w:val="21"/>
              </w:rPr>
            </w:pPr>
          </w:p>
        </w:tc>
      </w:tr>
      <w:tr w14:paraId="693A770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05F419E">
            <w:pPr>
              <w:snapToGrid w:val="0"/>
              <w:spacing w:after="0" w:line="360" w:lineRule="auto"/>
              <w:jc w:val="center"/>
              <w:rPr>
                <w:rFonts w:ascii="宋体" w:hAnsi="宋体" w:cs="宋体"/>
                <w:sz w:val="24"/>
                <w:szCs w:val="21"/>
              </w:rPr>
            </w:pPr>
            <w:r>
              <w:rPr>
                <w:rFonts w:hint="eastAsia" w:ascii="宋体" w:hAnsi="宋体" w:cs="宋体"/>
                <w:sz w:val="24"/>
                <w:szCs w:val="21"/>
              </w:rPr>
              <w:t>4</w:t>
            </w:r>
          </w:p>
        </w:tc>
        <w:tc>
          <w:tcPr>
            <w:tcW w:w="2973" w:type="dxa"/>
            <w:tcBorders>
              <w:top w:val="single" w:color="auto" w:sz="4" w:space="0"/>
              <w:left w:val="single" w:color="auto" w:sz="2" w:space="0"/>
              <w:bottom w:val="single" w:color="auto" w:sz="4" w:space="0"/>
              <w:right w:val="single" w:color="auto" w:sz="2" w:space="0"/>
            </w:tcBorders>
            <w:vAlign w:val="center"/>
          </w:tcPr>
          <w:p w14:paraId="4BAA98C4">
            <w:pPr>
              <w:pStyle w:val="34"/>
              <w:spacing w:after="0" w:line="360" w:lineRule="auto"/>
              <w:rPr>
                <w:rFonts w:hAnsi="宋体" w:cs="宋体"/>
                <w:sz w:val="24"/>
                <w:szCs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5122C472">
            <w:pPr>
              <w:pStyle w:val="26"/>
              <w:spacing w:after="0"/>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39C21055">
            <w:pPr>
              <w:snapToGrid w:val="0"/>
              <w:spacing w:after="0"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26185358">
            <w:pPr>
              <w:snapToGrid w:val="0"/>
              <w:spacing w:after="0"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0EA70B22">
            <w:pPr>
              <w:snapToGrid w:val="0"/>
              <w:spacing w:after="0" w:line="360" w:lineRule="auto"/>
              <w:jc w:val="center"/>
              <w:rPr>
                <w:rFonts w:ascii="宋体" w:hAnsi="宋体" w:cs="宋体"/>
                <w:sz w:val="24"/>
                <w:szCs w:val="21"/>
              </w:rPr>
            </w:pPr>
          </w:p>
        </w:tc>
      </w:tr>
      <w:tr w14:paraId="75EF41B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6006039E">
            <w:pPr>
              <w:snapToGrid w:val="0"/>
              <w:spacing w:after="0" w:line="360" w:lineRule="auto"/>
              <w:jc w:val="center"/>
              <w:rPr>
                <w:rFonts w:ascii="宋体" w:hAnsi="宋体" w:cs="宋体"/>
                <w:sz w:val="24"/>
                <w:szCs w:val="21"/>
              </w:rPr>
            </w:pPr>
            <w:r>
              <w:rPr>
                <w:rFonts w:hint="eastAsia" w:ascii="宋体" w:hAnsi="宋体" w:cs="宋体"/>
                <w:sz w:val="24"/>
                <w:szCs w:val="21"/>
              </w:rPr>
              <w:t>5</w:t>
            </w:r>
          </w:p>
        </w:tc>
        <w:tc>
          <w:tcPr>
            <w:tcW w:w="2973" w:type="dxa"/>
            <w:tcBorders>
              <w:top w:val="single" w:color="auto" w:sz="4" w:space="0"/>
              <w:left w:val="single" w:color="auto" w:sz="2" w:space="0"/>
              <w:bottom w:val="single" w:color="auto" w:sz="4" w:space="0"/>
              <w:right w:val="single" w:color="auto" w:sz="2" w:space="0"/>
            </w:tcBorders>
            <w:vAlign w:val="center"/>
          </w:tcPr>
          <w:p w14:paraId="2829EFCC">
            <w:pPr>
              <w:pStyle w:val="34"/>
              <w:spacing w:after="0" w:line="360" w:lineRule="auto"/>
              <w:rPr>
                <w:rFonts w:hAnsi="宋体" w:cs="宋体"/>
                <w:sz w:val="24"/>
                <w:szCs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6F0C6242">
            <w:pPr>
              <w:pStyle w:val="26"/>
              <w:spacing w:after="0"/>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126CDE36">
            <w:pPr>
              <w:snapToGrid w:val="0"/>
              <w:spacing w:after="0"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3C573B26">
            <w:pPr>
              <w:snapToGrid w:val="0"/>
              <w:spacing w:after="0"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34D1BB07">
            <w:pPr>
              <w:snapToGrid w:val="0"/>
              <w:spacing w:after="0" w:line="360" w:lineRule="auto"/>
              <w:jc w:val="center"/>
              <w:rPr>
                <w:rFonts w:ascii="宋体" w:hAnsi="宋体" w:cs="宋体"/>
                <w:sz w:val="24"/>
                <w:szCs w:val="21"/>
              </w:rPr>
            </w:pPr>
          </w:p>
        </w:tc>
      </w:tr>
      <w:tr w14:paraId="20DA78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1D6DA39A">
            <w:pPr>
              <w:snapToGrid w:val="0"/>
              <w:spacing w:after="0" w:line="360" w:lineRule="auto"/>
              <w:jc w:val="center"/>
              <w:rPr>
                <w:rFonts w:ascii="宋体" w:hAnsi="宋体" w:cs="宋体"/>
                <w:sz w:val="24"/>
                <w:szCs w:val="21"/>
              </w:rPr>
            </w:pPr>
            <w:r>
              <w:rPr>
                <w:rFonts w:hint="eastAsia" w:ascii="宋体" w:hAnsi="宋体" w:cs="宋体"/>
                <w:sz w:val="24"/>
                <w:szCs w:val="21"/>
              </w:rPr>
              <w:t>6</w:t>
            </w:r>
          </w:p>
        </w:tc>
        <w:tc>
          <w:tcPr>
            <w:tcW w:w="2973" w:type="dxa"/>
            <w:tcBorders>
              <w:top w:val="single" w:color="auto" w:sz="4" w:space="0"/>
              <w:left w:val="single" w:color="auto" w:sz="2" w:space="0"/>
              <w:bottom w:val="single" w:color="auto" w:sz="4" w:space="0"/>
              <w:right w:val="single" w:color="auto" w:sz="2" w:space="0"/>
            </w:tcBorders>
            <w:vAlign w:val="center"/>
          </w:tcPr>
          <w:p w14:paraId="77A91B71">
            <w:pPr>
              <w:pStyle w:val="34"/>
              <w:spacing w:after="0" w:line="360" w:lineRule="auto"/>
              <w:rPr>
                <w:rFonts w:hAnsi="宋体" w:cs="宋体"/>
                <w:sz w:val="24"/>
                <w:szCs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6E1ACD91">
            <w:pPr>
              <w:pStyle w:val="26"/>
              <w:spacing w:after="0"/>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17AA58E3">
            <w:pPr>
              <w:snapToGrid w:val="0"/>
              <w:spacing w:after="0"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32134B05">
            <w:pPr>
              <w:snapToGrid w:val="0"/>
              <w:spacing w:after="0"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5BCCF5DF">
            <w:pPr>
              <w:snapToGrid w:val="0"/>
              <w:spacing w:after="0" w:line="360" w:lineRule="auto"/>
              <w:jc w:val="center"/>
              <w:rPr>
                <w:rFonts w:ascii="宋体" w:hAnsi="宋体" w:cs="宋体"/>
                <w:sz w:val="24"/>
                <w:szCs w:val="21"/>
              </w:rPr>
            </w:pPr>
          </w:p>
        </w:tc>
      </w:tr>
      <w:tr w14:paraId="619028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3E5F4437">
            <w:pPr>
              <w:snapToGrid w:val="0"/>
              <w:spacing w:after="0" w:line="360" w:lineRule="auto"/>
              <w:jc w:val="center"/>
              <w:rPr>
                <w:rFonts w:ascii="宋体" w:hAnsi="宋体" w:cs="宋体"/>
                <w:sz w:val="24"/>
                <w:szCs w:val="21"/>
              </w:rPr>
            </w:pPr>
            <w:r>
              <w:rPr>
                <w:rFonts w:hint="eastAsia" w:ascii="宋体" w:hAnsi="宋体" w:cs="宋体"/>
                <w:sz w:val="24"/>
                <w:szCs w:val="21"/>
              </w:rPr>
              <w:t>7</w:t>
            </w:r>
          </w:p>
        </w:tc>
        <w:tc>
          <w:tcPr>
            <w:tcW w:w="2973" w:type="dxa"/>
            <w:tcBorders>
              <w:top w:val="single" w:color="auto" w:sz="4" w:space="0"/>
              <w:left w:val="single" w:color="auto" w:sz="2" w:space="0"/>
              <w:bottom w:val="single" w:color="auto" w:sz="4" w:space="0"/>
              <w:right w:val="single" w:color="auto" w:sz="2" w:space="0"/>
            </w:tcBorders>
            <w:vAlign w:val="center"/>
          </w:tcPr>
          <w:p w14:paraId="027AB3CC">
            <w:pPr>
              <w:pStyle w:val="34"/>
              <w:spacing w:after="0" w:line="360" w:lineRule="auto"/>
              <w:rPr>
                <w:rFonts w:hAnsi="宋体" w:cs="宋体"/>
                <w:sz w:val="24"/>
                <w:szCs w:val="24"/>
              </w:rPr>
            </w:pPr>
            <w:r>
              <w:rPr>
                <w:rFonts w:hint="eastAsia" w:hAnsi="宋体" w:cs="宋体"/>
                <w:sz w:val="24"/>
                <w:szCs w:val="24"/>
              </w:rPr>
              <w:t>……</w:t>
            </w:r>
          </w:p>
        </w:tc>
        <w:tc>
          <w:tcPr>
            <w:tcW w:w="1515" w:type="dxa"/>
            <w:tcBorders>
              <w:top w:val="single" w:color="auto" w:sz="4" w:space="0"/>
              <w:left w:val="single" w:color="auto" w:sz="2" w:space="0"/>
              <w:bottom w:val="single" w:color="auto" w:sz="4" w:space="0"/>
              <w:right w:val="single" w:color="auto" w:sz="4" w:space="0"/>
            </w:tcBorders>
            <w:vAlign w:val="center"/>
          </w:tcPr>
          <w:p w14:paraId="7E180545">
            <w:pPr>
              <w:pStyle w:val="26"/>
              <w:spacing w:after="0"/>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4A6CA709">
            <w:pPr>
              <w:snapToGrid w:val="0"/>
              <w:spacing w:after="0" w:line="360" w:lineRule="auto"/>
              <w:jc w:val="center"/>
              <w:rPr>
                <w:rFonts w:ascii="宋体" w:hAnsi="宋体" w:cs="宋体"/>
                <w:sz w:val="24"/>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4E595723">
            <w:pPr>
              <w:snapToGrid w:val="0"/>
              <w:spacing w:after="0" w:line="360" w:lineRule="auto"/>
              <w:jc w:val="center"/>
              <w:rPr>
                <w:rFonts w:ascii="宋体" w:hAnsi="宋体" w:cs="宋体"/>
                <w:sz w:val="24"/>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3964EE09">
            <w:pPr>
              <w:snapToGrid w:val="0"/>
              <w:spacing w:after="0" w:line="360" w:lineRule="auto"/>
              <w:jc w:val="center"/>
              <w:rPr>
                <w:rFonts w:ascii="宋体" w:hAnsi="宋体" w:cs="宋体"/>
                <w:sz w:val="24"/>
                <w:szCs w:val="21"/>
              </w:rPr>
            </w:pPr>
          </w:p>
        </w:tc>
      </w:tr>
      <w:tr w14:paraId="1C5583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14:paraId="43A84B77">
            <w:pPr>
              <w:snapToGrid w:val="0"/>
              <w:spacing w:after="0" w:line="360" w:lineRule="auto"/>
              <w:jc w:val="center"/>
              <w:rPr>
                <w:rFonts w:ascii="宋体" w:hAnsi="宋体" w:cs="宋体"/>
                <w:sz w:val="24"/>
                <w:szCs w:val="21"/>
              </w:rPr>
            </w:pPr>
            <w:r>
              <w:rPr>
                <w:rFonts w:hint="eastAsia" w:ascii="宋体" w:hAnsi="宋体" w:cs="宋体"/>
                <w:sz w:val="24"/>
                <w:szCs w:val="21"/>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14:paraId="6C879DC0">
            <w:pPr>
              <w:snapToGrid w:val="0"/>
              <w:spacing w:after="0" w:line="360" w:lineRule="auto"/>
              <w:jc w:val="center"/>
              <w:rPr>
                <w:rFonts w:ascii="宋体" w:hAnsi="宋体" w:cs="宋体"/>
                <w:sz w:val="24"/>
                <w:szCs w:val="21"/>
              </w:rPr>
            </w:pPr>
            <w:r>
              <w:rPr>
                <w:rFonts w:hint="eastAsia" w:ascii="宋体" w:hAnsi="宋体" w:cs="宋体"/>
                <w:sz w:val="24"/>
                <w:szCs w:val="21"/>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14:paraId="3FC91971">
            <w:pPr>
              <w:snapToGrid w:val="0"/>
              <w:spacing w:after="0" w:line="360" w:lineRule="auto"/>
              <w:jc w:val="center"/>
              <w:rPr>
                <w:rFonts w:ascii="宋体" w:hAnsi="宋体" w:cs="宋体"/>
                <w:sz w:val="24"/>
                <w:szCs w:val="21"/>
              </w:rPr>
            </w:pPr>
          </w:p>
        </w:tc>
      </w:tr>
      <w:tr w14:paraId="5A2A18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14:paraId="5185ED80">
            <w:pPr>
              <w:widowControl/>
              <w:snapToGrid w:val="0"/>
              <w:spacing w:after="0" w:line="360" w:lineRule="auto"/>
              <w:jc w:val="center"/>
              <w:rPr>
                <w:rFonts w:ascii="宋体" w:hAnsi="宋体" w:cs="宋体"/>
                <w:sz w:val="24"/>
                <w:szCs w:val="21"/>
              </w:rPr>
            </w:pPr>
          </w:p>
        </w:tc>
        <w:tc>
          <w:tcPr>
            <w:tcW w:w="1515" w:type="dxa"/>
            <w:tcBorders>
              <w:top w:val="single" w:color="auto" w:sz="2" w:space="0"/>
              <w:left w:val="single" w:color="auto" w:sz="4" w:space="0"/>
              <w:bottom w:val="single" w:color="auto" w:sz="8" w:space="0"/>
              <w:right w:val="single" w:color="auto" w:sz="2" w:space="0"/>
            </w:tcBorders>
            <w:vAlign w:val="center"/>
          </w:tcPr>
          <w:p w14:paraId="26E826A0">
            <w:pPr>
              <w:snapToGrid w:val="0"/>
              <w:spacing w:after="0" w:line="360" w:lineRule="auto"/>
              <w:jc w:val="center"/>
              <w:rPr>
                <w:rFonts w:ascii="宋体" w:hAnsi="宋体" w:cs="宋体"/>
                <w:sz w:val="24"/>
                <w:szCs w:val="21"/>
              </w:rPr>
            </w:pPr>
            <w:r>
              <w:rPr>
                <w:rFonts w:hint="eastAsia" w:ascii="宋体" w:hAnsi="宋体" w:cs="宋体"/>
                <w:sz w:val="24"/>
                <w:szCs w:val="21"/>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14:paraId="3823BFD7">
            <w:pPr>
              <w:snapToGrid w:val="0"/>
              <w:spacing w:after="0" w:line="360" w:lineRule="auto"/>
              <w:jc w:val="center"/>
              <w:rPr>
                <w:rFonts w:ascii="宋体" w:hAnsi="宋体" w:cs="宋体"/>
                <w:sz w:val="24"/>
                <w:szCs w:val="21"/>
              </w:rPr>
            </w:pPr>
          </w:p>
        </w:tc>
      </w:tr>
    </w:tbl>
    <w:p w14:paraId="0F48E3D4">
      <w:pPr>
        <w:pStyle w:val="86"/>
        <w:rPr>
          <w:rFonts w:cs="宋体"/>
          <w:lang w:val="en-US"/>
        </w:rPr>
      </w:pPr>
      <w:r>
        <w:rPr>
          <w:rFonts w:hint="eastAsia" w:cs="宋体"/>
          <w:lang w:val="en-US"/>
        </w:rPr>
        <w:t xml:space="preserve">                  </w:t>
      </w:r>
    </w:p>
    <w:p w14:paraId="3BDD62B2">
      <w:pPr>
        <w:pStyle w:val="34"/>
        <w:snapToGrid w:val="0"/>
        <w:spacing w:line="360" w:lineRule="auto"/>
        <w:ind w:firstLine="720" w:firstLineChars="300"/>
        <w:rPr>
          <w:rFonts w:hAnsi="宋体" w:cs="宋体"/>
          <w:sz w:val="24"/>
          <w:szCs w:val="24"/>
        </w:rPr>
      </w:pPr>
      <w:r>
        <w:rPr>
          <w:rFonts w:hint="eastAsia" w:hAnsi="宋体" w:cs="宋体"/>
          <w:kern w:val="0"/>
          <w:sz w:val="24"/>
          <w:szCs w:val="24"/>
          <w:lang w:val="zh-CN"/>
        </w:rPr>
        <w:t>注：</w:t>
      </w:r>
      <w:r>
        <w:rPr>
          <w:rFonts w:hint="eastAsia" w:hAnsi="宋体" w:cs="宋体"/>
          <w:kern w:val="0"/>
          <w:sz w:val="24"/>
          <w:szCs w:val="24"/>
        </w:rPr>
        <w:t>1、</w:t>
      </w:r>
      <w:r>
        <w:rPr>
          <w:rFonts w:hint="eastAsia" w:hAnsi="宋体" w:cs="宋体"/>
          <w:sz w:val="24"/>
          <w:szCs w:val="24"/>
        </w:rPr>
        <w:t>可根据具体情况调整报价明细清单格式，但应包括项目涉及的一切相关税费等费用。</w:t>
      </w:r>
    </w:p>
    <w:p w14:paraId="591E00D6">
      <w:pPr>
        <w:snapToGrid w:val="0"/>
        <w:spacing w:line="360" w:lineRule="auto"/>
        <w:ind w:firstLine="960" w:firstLineChars="400"/>
        <w:rPr>
          <w:rFonts w:ascii="宋体" w:hAnsi="宋体" w:cs="宋体"/>
          <w:kern w:val="0"/>
          <w:sz w:val="24"/>
        </w:rPr>
      </w:pPr>
      <w:r>
        <w:rPr>
          <w:rFonts w:hint="eastAsia" w:ascii="宋体" w:hAnsi="宋体" w:cs="宋体"/>
          <w:kern w:val="0"/>
          <w:sz w:val="24"/>
        </w:rPr>
        <w:t>2、分项报价表中合计总价应与开标一览表中的各项相应报价相一致。</w:t>
      </w:r>
    </w:p>
    <w:p w14:paraId="63AE6543">
      <w:pPr>
        <w:snapToGrid w:val="0"/>
        <w:spacing w:line="360" w:lineRule="auto"/>
        <w:ind w:firstLine="960" w:firstLineChars="400"/>
        <w:rPr>
          <w:rFonts w:ascii="宋体" w:hAnsi="宋体" w:cs="宋体"/>
          <w:sz w:val="24"/>
        </w:rPr>
      </w:pPr>
      <w:r>
        <w:rPr>
          <w:rFonts w:hint="eastAsia" w:ascii="宋体" w:hAnsi="宋体" w:cs="宋体"/>
          <w:kern w:val="0"/>
          <w:sz w:val="24"/>
        </w:rPr>
        <w:t>3、漏报视作包含在投标总价内。重大漏项的视为无效投标。</w:t>
      </w:r>
    </w:p>
    <w:p w14:paraId="645EB661">
      <w:pPr>
        <w:autoSpaceDE w:val="0"/>
        <w:autoSpaceDN w:val="0"/>
        <w:spacing w:line="360" w:lineRule="auto"/>
        <w:ind w:right="1120" w:firstLine="5120" w:firstLineChars="1600"/>
        <w:jc w:val="left"/>
        <w:rPr>
          <w:rFonts w:ascii="宋体" w:hAnsi="宋体" w:cs="宋体"/>
          <w:sz w:val="32"/>
          <w:szCs w:val="32"/>
        </w:rPr>
      </w:pPr>
    </w:p>
    <w:p w14:paraId="294F9008">
      <w:pPr>
        <w:autoSpaceDE w:val="0"/>
        <w:autoSpaceDN w:val="0"/>
        <w:spacing w:line="360" w:lineRule="auto"/>
        <w:ind w:right="1120" w:firstLine="5120" w:firstLineChars="1600"/>
        <w:jc w:val="left"/>
        <w:rPr>
          <w:rFonts w:ascii="宋体" w:hAnsi="宋体" w:cs="宋体"/>
          <w:sz w:val="32"/>
          <w:szCs w:val="32"/>
        </w:rPr>
      </w:pPr>
    </w:p>
    <w:p w14:paraId="66F1E05C">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1E3793">
      <w:pPr>
        <w:pStyle w:val="86"/>
        <w:jc w:val="center"/>
        <w:rPr>
          <w:rFonts w:cs="宋体"/>
        </w:rPr>
      </w:pPr>
      <w:r>
        <w:rPr>
          <w:rFonts w:hint="eastAsia" w:cs="宋体"/>
          <w:lang w:val="en-US"/>
        </w:rPr>
        <w:t xml:space="preserve">                     </w:t>
      </w:r>
      <w:r>
        <w:rPr>
          <w:rFonts w:hint="eastAsia" w:cs="宋体"/>
        </w:rPr>
        <w:t>日期：   年   月   日</w:t>
      </w:r>
    </w:p>
    <w:p w14:paraId="52939F87">
      <w:pPr>
        <w:rPr>
          <w:rFonts w:ascii="宋体" w:hAnsi="宋体" w:cs="宋体"/>
        </w:rPr>
      </w:pPr>
      <w:r>
        <w:rPr>
          <w:rFonts w:hint="eastAsia" w:ascii="宋体" w:hAnsi="宋体" w:cs="宋体"/>
        </w:rPr>
        <w:br w:type="page"/>
      </w:r>
    </w:p>
    <w:p w14:paraId="02A9DD52">
      <w:pPr>
        <w:pStyle w:val="5"/>
        <w:rPr>
          <w:rFonts w:ascii="宋体" w:hAnsi="宋体" w:eastAsia="宋体" w:cs="宋体"/>
        </w:rPr>
      </w:pPr>
      <w:r>
        <w:rPr>
          <w:rFonts w:hint="eastAsia" w:ascii="宋体" w:hAnsi="宋体" w:eastAsia="宋体" w:cs="宋体"/>
        </w:rPr>
        <w:t>二、报价情况说明（如果有）</w:t>
      </w:r>
    </w:p>
    <w:p w14:paraId="4BCC34CA">
      <w:pPr>
        <w:spacing w:line="360" w:lineRule="auto"/>
        <w:rPr>
          <w:rFonts w:ascii="宋体" w:hAnsi="宋体" w:cs="宋体"/>
          <w:sz w:val="28"/>
          <w:szCs w:val="36"/>
        </w:rPr>
      </w:pPr>
      <w:r>
        <w:rPr>
          <w:rFonts w:hint="eastAsia" w:ascii="宋体" w:hAnsi="宋体" w:cs="宋体"/>
          <w:sz w:val="28"/>
          <w:szCs w:val="36"/>
        </w:rPr>
        <w:t>（如供应商报价低于项目预算50%的，应当提交本文档，详细阐述不影响产品质量或者诚信履约的具体原因）</w:t>
      </w:r>
    </w:p>
    <w:p w14:paraId="0365DB23">
      <w:pPr>
        <w:rPr>
          <w:rFonts w:ascii="宋体" w:hAnsi="宋体" w:cs="宋体"/>
        </w:rPr>
      </w:pPr>
    </w:p>
    <w:p w14:paraId="7834985C">
      <w:pPr>
        <w:rPr>
          <w:rFonts w:ascii="宋体" w:hAnsi="宋体" w:cs="宋体"/>
        </w:rPr>
      </w:pPr>
    </w:p>
    <w:p w14:paraId="3C60D471">
      <w:pPr>
        <w:pStyle w:val="626"/>
        <w:rPr>
          <w:rFonts w:ascii="宋体" w:hAnsi="宋体" w:eastAsia="宋体" w:cs="宋体"/>
        </w:rPr>
      </w:pPr>
    </w:p>
    <w:p w14:paraId="337BFD30">
      <w:pPr>
        <w:pStyle w:val="626"/>
        <w:rPr>
          <w:rFonts w:ascii="宋体" w:hAnsi="宋体" w:eastAsia="宋体" w:cs="宋体"/>
        </w:rPr>
      </w:pPr>
    </w:p>
    <w:p w14:paraId="5260FD84">
      <w:pPr>
        <w:pStyle w:val="626"/>
        <w:rPr>
          <w:rFonts w:ascii="宋体" w:hAnsi="宋体" w:eastAsia="宋体" w:cs="宋体"/>
        </w:rPr>
      </w:pPr>
    </w:p>
    <w:p w14:paraId="170692B2">
      <w:pPr>
        <w:pStyle w:val="626"/>
        <w:rPr>
          <w:rFonts w:ascii="宋体" w:hAnsi="宋体" w:eastAsia="宋体" w:cs="宋体"/>
        </w:rPr>
      </w:pPr>
    </w:p>
    <w:p w14:paraId="01679DDF">
      <w:pPr>
        <w:rPr>
          <w:rFonts w:ascii="宋体" w:hAnsi="宋体" w:cs="宋体"/>
        </w:rPr>
      </w:pPr>
    </w:p>
    <w:p w14:paraId="011A9E48">
      <w:pPr>
        <w:pStyle w:val="5"/>
        <w:rPr>
          <w:rFonts w:ascii="宋体" w:hAnsi="宋体" w:eastAsia="宋体" w:cs="宋体"/>
        </w:rPr>
      </w:pPr>
      <w:r>
        <w:rPr>
          <w:rFonts w:hint="eastAsia" w:ascii="宋体" w:hAnsi="宋体" w:eastAsia="宋体" w:cs="宋体"/>
        </w:rPr>
        <w:t>三、中小企业声明函</w:t>
      </w:r>
      <w:bookmarkStart w:id="484" w:name="_Hlk101259491"/>
      <w:r>
        <w:rPr>
          <w:rFonts w:hint="eastAsia" w:ascii="宋体" w:hAnsi="宋体" w:eastAsia="宋体" w:cs="宋体"/>
        </w:rPr>
        <w:t>（如果有）</w:t>
      </w:r>
      <w:bookmarkEnd w:id="484"/>
    </w:p>
    <w:p w14:paraId="06F858B4">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A1BCEBB">
      <w:pPr>
        <w:rPr>
          <w:rFonts w:ascii="宋体" w:hAnsi="宋体" w:cs="宋体"/>
        </w:rPr>
      </w:pPr>
    </w:p>
    <w:p w14:paraId="64003E85">
      <w:pPr>
        <w:pStyle w:val="5"/>
        <w:rPr>
          <w:rFonts w:ascii="宋体" w:hAnsi="宋体" w:eastAsia="宋体" w:cs="宋体"/>
        </w:rPr>
      </w:pPr>
    </w:p>
    <w:p w14:paraId="4CF20FEB">
      <w:pPr>
        <w:pStyle w:val="5"/>
        <w:rPr>
          <w:rFonts w:ascii="宋体" w:hAnsi="宋体" w:eastAsia="宋体" w:cs="宋体"/>
        </w:rPr>
      </w:pPr>
    </w:p>
    <w:p w14:paraId="76A070CD">
      <w:pPr>
        <w:jc w:val="center"/>
        <w:rPr>
          <w:rFonts w:ascii="宋体" w:hAnsi="宋体" w:cs="宋体"/>
          <w:sz w:val="32"/>
          <w:szCs w:val="32"/>
        </w:rPr>
      </w:pPr>
      <w:r>
        <w:rPr>
          <w:rFonts w:hint="eastAsia" w:ascii="宋体" w:hAnsi="宋体" w:cs="宋体"/>
          <w:sz w:val="32"/>
          <w:szCs w:val="32"/>
        </w:rPr>
        <w:t>本项目专门面向中小企业，针对小微企业不享受价格扣减评审。</w:t>
      </w:r>
    </w:p>
    <w:p w14:paraId="384253FD">
      <w:pPr>
        <w:jc w:val="center"/>
        <w:rPr>
          <w:rFonts w:ascii="宋体" w:hAnsi="宋体" w:cs="宋体"/>
          <w:sz w:val="32"/>
          <w:szCs w:val="32"/>
        </w:rPr>
      </w:pPr>
    </w:p>
    <w:p w14:paraId="62AE0106">
      <w:pPr>
        <w:jc w:val="center"/>
        <w:rPr>
          <w:rFonts w:ascii="宋体" w:hAnsi="宋体" w:cs="宋体"/>
          <w:sz w:val="32"/>
          <w:szCs w:val="32"/>
        </w:rPr>
      </w:pPr>
    </w:p>
    <w:p w14:paraId="7385F9B9">
      <w:pPr>
        <w:pStyle w:val="4"/>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14:paraId="398C37F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EDDCF67">
      <w:pPr>
        <w:spacing w:line="360" w:lineRule="auto"/>
        <w:jc w:val="center"/>
        <w:rPr>
          <w:rFonts w:ascii="宋体" w:hAnsi="宋体" w:cs="宋体"/>
          <w:b/>
          <w:spacing w:val="6"/>
          <w:sz w:val="32"/>
          <w:szCs w:val="32"/>
        </w:rPr>
      </w:pPr>
      <w:bookmarkStart w:id="485" w:name="OLE_LINK13"/>
      <w:bookmarkStart w:id="486" w:name="OLE_LINK14"/>
      <w:r>
        <w:rPr>
          <w:rFonts w:hint="eastAsia" w:ascii="宋体" w:hAnsi="宋体" w:cs="宋体"/>
          <w:b/>
          <w:spacing w:val="6"/>
          <w:sz w:val="32"/>
          <w:szCs w:val="32"/>
        </w:rPr>
        <w:t>残疾人福利性单位声明函</w:t>
      </w:r>
    </w:p>
    <w:bookmarkEnd w:id="485"/>
    <w:bookmarkEnd w:id="486"/>
    <w:p w14:paraId="3FDD1D95">
      <w:pPr>
        <w:spacing w:line="360" w:lineRule="auto"/>
        <w:rPr>
          <w:rFonts w:ascii="宋体" w:hAnsi="宋体" w:cs="宋体"/>
          <w:b/>
          <w:spacing w:val="6"/>
          <w:sz w:val="30"/>
          <w:szCs w:val="30"/>
        </w:rPr>
      </w:pPr>
    </w:p>
    <w:p w14:paraId="4C4B0E9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1F30D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8A4D85">
      <w:pPr>
        <w:spacing w:line="360" w:lineRule="auto"/>
        <w:ind w:firstLine="480" w:firstLineChars="200"/>
        <w:rPr>
          <w:rFonts w:ascii="宋体" w:hAnsi="宋体" w:cs="宋体"/>
          <w:sz w:val="24"/>
        </w:rPr>
      </w:pPr>
    </w:p>
    <w:p w14:paraId="0DE66A87">
      <w:pPr>
        <w:spacing w:line="360" w:lineRule="auto"/>
        <w:ind w:firstLine="480" w:firstLineChars="200"/>
        <w:rPr>
          <w:rFonts w:ascii="宋体" w:hAnsi="宋体" w:cs="宋体"/>
          <w:sz w:val="24"/>
        </w:rPr>
      </w:pPr>
    </w:p>
    <w:p w14:paraId="5D03D16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976433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EE3621A">
      <w:pPr>
        <w:spacing w:line="360" w:lineRule="auto"/>
        <w:ind w:firstLine="480" w:firstLineChars="200"/>
        <w:rPr>
          <w:rFonts w:ascii="宋体" w:hAnsi="宋体" w:cs="宋体"/>
          <w:sz w:val="24"/>
        </w:rPr>
      </w:pPr>
    </w:p>
    <w:p w14:paraId="784089A0">
      <w:pPr>
        <w:spacing w:line="360" w:lineRule="auto"/>
        <w:ind w:firstLine="420" w:firstLineChars="200"/>
        <w:rPr>
          <w:rFonts w:ascii="宋体" w:hAnsi="宋体" w:cs="宋体"/>
        </w:rPr>
      </w:pPr>
    </w:p>
    <w:p w14:paraId="358F8ED6">
      <w:pPr>
        <w:spacing w:line="360" w:lineRule="auto"/>
        <w:ind w:firstLine="420" w:firstLineChars="200"/>
        <w:rPr>
          <w:rFonts w:ascii="宋体" w:hAnsi="宋体" w:cs="宋体"/>
        </w:rPr>
      </w:pPr>
    </w:p>
    <w:p w14:paraId="28A49769">
      <w:pPr>
        <w:spacing w:line="360" w:lineRule="auto"/>
        <w:ind w:firstLine="420" w:firstLineChars="200"/>
        <w:rPr>
          <w:rFonts w:ascii="宋体" w:hAnsi="宋体" w:cs="宋体"/>
        </w:rPr>
      </w:pPr>
    </w:p>
    <w:p w14:paraId="0727CFFA">
      <w:pPr>
        <w:spacing w:line="360" w:lineRule="auto"/>
        <w:ind w:firstLine="420" w:firstLineChars="200"/>
        <w:rPr>
          <w:rFonts w:ascii="宋体" w:hAnsi="宋体" w:cs="宋体"/>
        </w:rPr>
      </w:pPr>
    </w:p>
    <w:p w14:paraId="5FCB93B1">
      <w:pPr>
        <w:spacing w:line="360" w:lineRule="auto"/>
        <w:rPr>
          <w:rFonts w:ascii="宋体" w:hAnsi="宋体" w:cs="宋体"/>
          <w:b/>
          <w:sz w:val="24"/>
        </w:rPr>
      </w:pPr>
    </w:p>
    <w:p w14:paraId="66846F44">
      <w:pPr>
        <w:spacing w:line="360" w:lineRule="auto"/>
        <w:rPr>
          <w:rFonts w:ascii="宋体" w:hAnsi="宋体" w:cs="宋体"/>
          <w:b/>
          <w:sz w:val="24"/>
        </w:rPr>
      </w:pPr>
    </w:p>
    <w:p w14:paraId="120AE94C">
      <w:pPr>
        <w:spacing w:line="360" w:lineRule="auto"/>
        <w:rPr>
          <w:rFonts w:ascii="宋体" w:hAnsi="宋体" w:cs="宋体"/>
          <w:b/>
          <w:sz w:val="24"/>
        </w:rPr>
      </w:pPr>
    </w:p>
    <w:p w14:paraId="4A06020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B837FB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0AD126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B14A6C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23AB4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56E1C4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E6CA8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F3788D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0D465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8BA9FE">
      <w:pPr>
        <w:snapToGrid w:val="0"/>
        <w:spacing w:line="360" w:lineRule="auto"/>
        <w:rPr>
          <w:rFonts w:ascii="宋体" w:hAnsi="宋体" w:cs="宋体"/>
          <w:bCs/>
          <w:sz w:val="24"/>
        </w:rPr>
      </w:pPr>
      <w:r>
        <w:rPr>
          <w:rFonts w:hint="eastAsia" w:ascii="宋体" w:hAnsi="宋体" w:cs="宋体"/>
          <w:bCs/>
          <w:sz w:val="24"/>
        </w:rPr>
        <w:t>二、质疑项目基本情况</w:t>
      </w:r>
    </w:p>
    <w:p w14:paraId="5FF199A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72CE7B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E11D87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FFCB8A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1C7EC3">
      <w:pPr>
        <w:snapToGrid w:val="0"/>
        <w:spacing w:line="360" w:lineRule="auto"/>
        <w:rPr>
          <w:rFonts w:ascii="宋体" w:hAnsi="宋体" w:cs="宋体"/>
          <w:bCs/>
          <w:sz w:val="24"/>
        </w:rPr>
      </w:pPr>
      <w:r>
        <w:rPr>
          <w:rFonts w:hint="eastAsia" w:ascii="宋体" w:hAnsi="宋体" w:cs="宋体"/>
          <w:bCs/>
          <w:sz w:val="24"/>
        </w:rPr>
        <w:t>三、质疑事项具体内容</w:t>
      </w:r>
    </w:p>
    <w:p w14:paraId="1D2289F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DEC9F5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9BABB30">
      <w:pPr>
        <w:snapToGrid w:val="0"/>
        <w:spacing w:line="360" w:lineRule="auto"/>
        <w:rPr>
          <w:rFonts w:ascii="宋体" w:hAnsi="宋体" w:cs="宋体"/>
          <w:sz w:val="24"/>
        </w:rPr>
      </w:pPr>
      <w:r>
        <w:rPr>
          <w:rFonts w:hint="eastAsia" w:ascii="宋体" w:hAnsi="宋体" w:cs="宋体"/>
          <w:sz w:val="24"/>
          <w:u w:val="dotted"/>
        </w:rPr>
        <w:t xml:space="preserve">                                                       </w:t>
      </w:r>
    </w:p>
    <w:p w14:paraId="1D95AA1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EC005D8">
      <w:pPr>
        <w:snapToGrid w:val="0"/>
        <w:spacing w:line="360" w:lineRule="auto"/>
        <w:rPr>
          <w:rFonts w:ascii="宋体" w:hAnsi="宋体" w:cs="宋体"/>
          <w:sz w:val="24"/>
          <w:u w:val="dotted"/>
        </w:rPr>
      </w:pPr>
      <w:r>
        <w:rPr>
          <w:rFonts w:hint="eastAsia" w:ascii="宋体" w:hAnsi="宋体" w:cs="宋体"/>
          <w:sz w:val="24"/>
          <w:u w:val="dotted"/>
        </w:rPr>
        <w:t xml:space="preserve">                                                     </w:t>
      </w:r>
    </w:p>
    <w:p w14:paraId="566EBE23">
      <w:pPr>
        <w:snapToGrid w:val="0"/>
        <w:spacing w:line="360" w:lineRule="auto"/>
        <w:rPr>
          <w:rFonts w:ascii="宋体" w:hAnsi="宋体" w:cs="宋体"/>
          <w:sz w:val="24"/>
          <w:u w:val="dotted"/>
        </w:rPr>
      </w:pPr>
      <w:r>
        <w:rPr>
          <w:rFonts w:hint="eastAsia" w:ascii="宋体" w:hAnsi="宋体" w:cs="宋体"/>
          <w:sz w:val="24"/>
        </w:rPr>
        <w:t>质疑事项2</w:t>
      </w:r>
    </w:p>
    <w:p w14:paraId="4C6C19CA">
      <w:pPr>
        <w:snapToGrid w:val="0"/>
        <w:spacing w:line="360" w:lineRule="auto"/>
        <w:rPr>
          <w:rFonts w:ascii="宋体" w:hAnsi="宋体" w:cs="宋体"/>
          <w:sz w:val="24"/>
        </w:rPr>
      </w:pPr>
      <w:r>
        <w:rPr>
          <w:rFonts w:hint="eastAsia" w:ascii="宋体" w:hAnsi="宋体" w:cs="宋体"/>
          <w:sz w:val="24"/>
        </w:rPr>
        <w:t>……</w:t>
      </w:r>
    </w:p>
    <w:p w14:paraId="1A0FDF6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C12EB5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8405F59">
      <w:pPr>
        <w:spacing w:line="360" w:lineRule="auto"/>
        <w:rPr>
          <w:rFonts w:ascii="宋体" w:hAnsi="宋体" w:cs="宋体"/>
          <w:sz w:val="24"/>
        </w:rPr>
      </w:pPr>
      <w:r>
        <w:rPr>
          <w:rFonts w:hint="eastAsia" w:ascii="宋体" w:hAnsi="宋体" w:cs="宋体"/>
          <w:sz w:val="24"/>
        </w:rPr>
        <w:t xml:space="preserve">签字(签章)：                   公章：                      </w:t>
      </w:r>
    </w:p>
    <w:p w14:paraId="5BA53CD3">
      <w:pPr>
        <w:spacing w:line="360" w:lineRule="auto"/>
        <w:rPr>
          <w:rFonts w:ascii="宋体" w:hAnsi="宋体" w:cs="宋体"/>
          <w:sz w:val="24"/>
        </w:rPr>
      </w:pPr>
      <w:r>
        <w:rPr>
          <w:rFonts w:hint="eastAsia" w:ascii="宋体" w:hAnsi="宋体" w:cs="宋体"/>
          <w:sz w:val="24"/>
        </w:rPr>
        <w:t xml:space="preserve">日期：    </w:t>
      </w:r>
    </w:p>
    <w:p w14:paraId="091BC224">
      <w:pPr>
        <w:spacing w:line="360" w:lineRule="auto"/>
        <w:jc w:val="center"/>
        <w:rPr>
          <w:rFonts w:ascii="宋体" w:hAnsi="宋体" w:cs="宋体"/>
          <w:b/>
          <w:bCs/>
          <w:sz w:val="24"/>
        </w:rPr>
      </w:pPr>
    </w:p>
    <w:p w14:paraId="002BA147">
      <w:pPr>
        <w:spacing w:line="360" w:lineRule="auto"/>
        <w:rPr>
          <w:rFonts w:ascii="宋体" w:hAnsi="宋体" w:cs="宋体"/>
          <w:b/>
          <w:sz w:val="24"/>
        </w:rPr>
      </w:pPr>
    </w:p>
    <w:p w14:paraId="74FF1945">
      <w:pPr>
        <w:spacing w:line="360" w:lineRule="auto"/>
        <w:rPr>
          <w:rFonts w:ascii="宋体" w:hAnsi="宋体" w:cs="宋体"/>
          <w:b/>
          <w:sz w:val="24"/>
        </w:rPr>
      </w:pPr>
    </w:p>
    <w:p w14:paraId="0CD6FF48">
      <w:pPr>
        <w:spacing w:line="360" w:lineRule="auto"/>
        <w:rPr>
          <w:rFonts w:ascii="宋体" w:hAnsi="宋体" w:cs="宋体"/>
          <w:b/>
          <w:sz w:val="24"/>
        </w:rPr>
      </w:pPr>
    </w:p>
    <w:p w14:paraId="7B049050">
      <w:pPr>
        <w:spacing w:line="360" w:lineRule="auto"/>
        <w:rPr>
          <w:rFonts w:ascii="宋体" w:hAnsi="宋体" w:cs="宋体"/>
          <w:b/>
          <w:sz w:val="24"/>
        </w:rPr>
      </w:pPr>
      <w:r>
        <w:rPr>
          <w:rFonts w:hint="eastAsia" w:ascii="宋体" w:hAnsi="宋体" w:cs="宋体"/>
          <w:b/>
          <w:sz w:val="24"/>
        </w:rPr>
        <w:t>质疑函制作说明：</w:t>
      </w:r>
    </w:p>
    <w:p w14:paraId="7FE3CD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14DB11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5E96D0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32BB0D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5B3533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8EB8E7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04147D7">
      <w:pPr>
        <w:widowControl/>
        <w:spacing w:line="360" w:lineRule="auto"/>
        <w:ind w:firstLine="600" w:firstLineChars="200"/>
        <w:jc w:val="left"/>
        <w:rPr>
          <w:rFonts w:ascii="宋体" w:hAnsi="宋体" w:cs="宋体"/>
          <w:sz w:val="30"/>
          <w:szCs w:val="30"/>
        </w:rPr>
      </w:pPr>
    </w:p>
    <w:p w14:paraId="4FB920C8">
      <w:pPr>
        <w:spacing w:line="360" w:lineRule="auto"/>
        <w:jc w:val="center"/>
        <w:rPr>
          <w:rFonts w:ascii="宋体" w:hAnsi="宋体" w:cs="宋体"/>
          <w:b/>
          <w:spacing w:val="6"/>
          <w:sz w:val="32"/>
          <w:szCs w:val="32"/>
        </w:rPr>
      </w:pPr>
    </w:p>
    <w:p w14:paraId="05A8D1A7">
      <w:pPr>
        <w:spacing w:line="360" w:lineRule="auto"/>
        <w:jc w:val="center"/>
        <w:rPr>
          <w:rFonts w:ascii="宋体" w:hAnsi="宋体" w:cs="宋体"/>
          <w:b/>
          <w:spacing w:val="6"/>
          <w:sz w:val="32"/>
          <w:szCs w:val="32"/>
        </w:rPr>
      </w:pPr>
    </w:p>
    <w:p w14:paraId="7AB5176F">
      <w:pPr>
        <w:spacing w:line="360" w:lineRule="auto"/>
        <w:jc w:val="center"/>
        <w:rPr>
          <w:rFonts w:ascii="宋体" w:hAnsi="宋体" w:cs="宋体"/>
          <w:b/>
          <w:spacing w:val="6"/>
          <w:sz w:val="32"/>
          <w:szCs w:val="32"/>
        </w:rPr>
      </w:pPr>
    </w:p>
    <w:p w14:paraId="43C9E9F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31499A3">
      <w:pPr>
        <w:spacing w:line="360" w:lineRule="auto"/>
        <w:jc w:val="center"/>
        <w:rPr>
          <w:rFonts w:ascii="宋体" w:hAnsi="宋体" w:cs="宋体"/>
          <w:b/>
          <w:sz w:val="24"/>
        </w:rPr>
      </w:pPr>
    </w:p>
    <w:p w14:paraId="6639AA5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EFC6145">
      <w:pPr>
        <w:spacing w:line="360" w:lineRule="auto"/>
        <w:rPr>
          <w:rFonts w:ascii="宋体" w:hAnsi="宋体" w:cs="宋体"/>
          <w:sz w:val="24"/>
        </w:rPr>
      </w:pPr>
      <w:r>
        <w:rPr>
          <w:rFonts w:hint="eastAsia" w:ascii="宋体" w:hAnsi="宋体" w:cs="宋体"/>
          <w:sz w:val="24"/>
        </w:rPr>
        <w:t>一、投诉相关主体基本情况</w:t>
      </w:r>
    </w:p>
    <w:p w14:paraId="191DD8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53200A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4F993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F3D57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AA83C8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F4595E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452C10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1D186F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C07E2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925661">
      <w:pPr>
        <w:spacing w:line="360" w:lineRule="auto"/>
        <w:rPr>
          <w:rFonts w:ascii="宋体" w:hAnsi="宋体" w:cs="宋体"/>
          <w:sz w:val="24"/>
        </w:rPr>
      </w:pPr>
      <w:r>
        <w:rPr>
          <w:rFonts w:hint="eastAsia" w:ascii="宋体" w:hAnsi="宋体" w:cs="宋体"/>
          <w:sz w:val="24"/>
        </w:rPr>
        <w:t>被投诉人2</w:t>
      </w:r>
    </w:p>
    <w:p w14:paraId="5D597BE5">
      <w:pPr>
        <w:spacing w:line="360" w:lineRule="auto"/>
        <w:rPr>
          <w:rFonts w:ascii="宋体" w:hAnsi="宋体" w:cs="宋体"/>
          <w:sz w:val="24"/>
          <w:u w:val="dotted"/>
        </w:rPr>
      </w:pPr>
      <w:r>
        <w:rPr>
          <w:rFonts w:hint="eastAsia" w:ascii="宋体" w:hAnsi="宋体" w:cs="宋体"/>
          <w:sz w:val="24"/>
        </w:rPr>
        <w:t>……</w:t>
      </w:r>
    </w:p>
    <w:p w14:paraId="0086309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BF203A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A7631D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FFB208A">
      <w:pPr>
        <w:spacing w:line="360" w:lineRule="auto"/>
        <w:rPr>
          <w:rFonts w:ascii="宋体" w:hAnsi="宋体" w:cs="宋体"/>
          <w:sz w:val="24"/>
        </w:rPr>
      </w:pPr>
      <w:r>
        <w:rPr>
          <w:rFonts w:hint="eastAsia" w:ascii="宋体" w:hAnsi="宋体" w:cs="宋体"/>
          <w:sz w:val="24"/>
        </w:rPr>
        <w:t>二、投诉项目基本情况</w:t>
      </w:r>
    </w:p>
    <w:p w14:paraId="554670C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0D7DC7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0CC7D7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2B9CED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52264F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28A7A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00CB7F">
      <w:pPr>
        <w:spacing w:line="360" w:lineRule="auto"/>
        <w:rPr>
          <w:rFonts w:ascii="宋体" w:hAnsi="宋体" w:cs="宋体"/>
          <w:sz w:val="24"/>
        </w:rPr>
      </w:pPr>
      <w:r>
        <w:rPr>
          <w:rFonts w:hint="eastAsia" w:ascii="宋体" w:hAnsi="宋体" w:cs="宋体"/>
          <w:sz w:val="24"/>
        </w:rPr>
        <w:t>三、质疑基本情况</w:t>
      </w:r>
    </w:p>
    <w:p w14:paraId="360C1DC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0B47FD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94A848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0B21FB6">
      <w:pPr>
        <w:spacing w:line="360" w:lineRule="auto"/>
        <w:rPr>
          <w:rFonts w:ascii="宋体" w:hAnsi="宋体" w:cs="宋体"/>
          <w:sz w:val="24"/>
        </w:rPr>
      </w:pPr>
      <w:r>
        <w:rPr>
          <w:rFonts w:hint="eastAsia" w:ascii="宋体" w:hAnsi="宋体" w:cs="宋体"/>
          <w:sz w:val="24"/>
        </w:rPr>
        <w:t>四、投诉事项具体内容</w:t>
      </w:r>
    </w:p>
    <w:p w14:paraId="3EB17CF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DEDD3A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D2213F4">
      <w:pPr>
        <w:spacing w:line="360" w:lineRule="auto"/>
        <w:rPr>
          <w:rFonts w:ascii="宋体" w:hAnsi="宋体" w:cs="宋体"/>
          <w:sz w:val="24"/>
          <w:u w:val="dotted"/>
        </w:rPr>
      </w:pPr>
      <w:r>
        <w:rPr>
          <w:rFonts w:hint="eastAsia" w:ascii="宋体" w:hAnsi="宋体" w:cs="宋体"/>
          <w:sz w:val="24"/>
          <w:u w:val="dotted"/>
        </w:rPr>
        <w:t xml:space="preserve">                                                      </w:t>
      </w:r>
    </w:p>
    <w:p w14:paraId="66384E8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BDF4039">
      <w:pPr>
        <w:spacing w:line="360" w:lineRule="auto"/>
        <w:rPr>
          <w:rFonts w:ascii="宋体" w:hAnsi="宋体" w:cs="宋体"/>
          <w:sz w:val="24"/>
          <w:u w:val="dotted"/>
        </w:rPr>
      </w:pPr>
      <w:r>
        <w:rPr>
          <w:rFonts w:hint="eastAsia" w:ascii="宋体" w:hAnsi="宋体" w:cs="宋体"/>
          <w:sz w:val="24"/>
          <w:u w:val="dotted"/>
        </w:rPr>
        <w:t xml:space="preserve">                                                      </w:t>
      </w:r>
    </w:p>
    <w:p w14:paraId="776DCE49">
      <w:pPr>
        <w:spacing w:line="360" w:lineRule="auto"/>
        <w:rPr>
          <w:rFonts w:ascii="宋体" w:hAnsi="宋体" w:cs="宋体"/>
          <w:sz w:val="24"/>
        </w:rPr>
      </w:pPr>
      <w:r>
        <w:rPr>
          <w:rFonts w:hint="eastAsia" w:ascii="宋体" w:hAnsi="宋体" w:cs="宋体"/>
          <w:sz w:val="24"/>
        </w:rPr>
        <w:t>投诉事项2</w:t>
      </w:r>
    </w:p>
    <w:p w14:paraId="0E67E06F">
      <w:pPr>
        <w:spacing w:line="360" w:lineRule="auto"/>
        <w:rPr>
          <w:rFonts w:ascii="宋体" w:hAnsi="宋体" w:cs="宋体"/>
          <w:sz w:val="24"/>
          <w:u w:val="dotted"/>
        </w:rPr>
      </w:pPr>
      <w:r>
        <w:rPr>
          <w:rFonts w:hint="eastAsia" w:ascii="宋体" w:hAnsi="宋体" w:cs="宋体"/>
          <w:sz w:val="24"/>
        </w:rPr>
        <w:t>……</w:t>
      </w:r>
    </w:p>
    <w:p w14:paraId="555537B2">
      <w:pPr>
        <w:spacing w:line="360" w:lineRule="auto"/>
        <w:rPr>
          <w:rFonts w:ascii="宋体" w:hAnsi="宋体" w:cs="宋体"/>
          <w:sz w:val="24"/>
        </w:rPr>
      </w:pPr>
      <w:r>
        <w:rPr>
          <w:rFonts w:hint="eastAsia" w:ascii="宋体" w:hAnsi="宋体" w:cs="宋体"/>
          <w:sz w:val="24"/>
        </w:rPr>
        <w:t>五、与投诉事项相关的投诉请求</w:t>
      </w:r>
    </w:p>
    <w:p w14:paraId="0E339E2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BDC4CF1">
      <w:pPr>
        <w:spacing w:line="360" w:lineRule="auto"/>
        <w:rPr>
          <w:rFonts w:ascii="宋体" w:hAnsi="宋体" w:cs="宋体"/>
          <w:sz w:val="24"/>
          <w:u w:val="single"/>
        </w:rPr>
      </w:pPr>
      <w:r>
        <w:rPr>
          <w:rFonts w:hint="eastAsia" w:ascii="宋体" w:hAnsi="宋体" w:cs="宋体"/>
          <w:sz w:val="24"/>
        </w:rPr>
        <w:t xml:space="preserve">                                                                                                    </w:t>
      </w:r>
    </w:p>
    <w:p w14:paraId="1B2C7F5B">
      <w:pPr>
        <w:spacing w:line="360" w:lineRule="auto"/>
        <w:rPr>
          <w:rFonts w:ascii="宋体" w:hAnsi="宋体" w:cs="宋体"/>
          <w:sz w:val="24"/>
        </w:rPr>
      </w:pPr>
      <w:r>
        <w:rPr>
          <w:rFonts w:hint="eastAsia" w:ascii="宋体" w:hAnsi="宋体" w:cs="宋体"/>
          <w:sz w:val="24"/>
        </w:rPr>
        <w:t xml:space="preserve">签字(签章)：                   公章：                      </w:t>
      </w:r>
    </w:p>
    <w:p w14:paraId="6C6764D8">
      <w:pPr>
        <w:spacing w:line="360" w:lineRule="auto"/>
        <w:rPr>
          <w:rFonts w:ascii="宋体" w:hAnsi="宋体" w:cs="宋体"/>
          <w:sz w:val="24"/>
        </w:rPr>
      </w:pPr>
      <w:r>
        <w:rPr>
          <w:rFonts w:hint="eastAsia" w:ascii="宋体" w:hAnsi="宋体" w:cs="宋体"/>
          <w:sz w:val="24"/>
        </w:rPr>
        <w:t xml:space="preserve">日期：    </w:t>
      </w:r>
    </w:p>
    <w:p w14:paraId="6D3627A8">
      <w:pPr>
        <w:spacing w:line="360" w:lineRule="auto"/>
        <w:rPr>
          <w:rFonts w:ascii="宋体" w:hAnsi="宋体" w:cs="宋体"/>
          <w:b/>
          <w:sz w:val="24"/>
        </w:rPr>
      </w:pPr>
    </w:p>
    <w:p w14:paraId="7230D286">
      <w:pPr>
        <w:spacing w:line="360" w:lineRule="auto"/>
        <w:rPr>
          <w:rFonts w:ascii="宋体" w:hAnsi="宋体" w:cs="宋体"/>
          <w:b/>
          <w:sz w:val="24"/>
        </w:rPr>
      </w:pPr>
    </w:p>
    <w:p w14:paraId="2876C0FE">
      <w:pPr>
        <w:spacing w:line="360" w:lineRule="auto"/>
        <w:rPr>
          <w:rFonts w:ascii="宋体" w:hAnsi="宋体" w:cs="宋体"/>
          <w:b/>
          <w:sz w:val="24"/>
        </w:rPr>
      </w:pPr>
      <w:r>
        <w:rPr>
          <w:rFonts w:hint="eastAsia" w:ascii="宋体" w:hAnsi="宋体" w:cs="宋体"/>
          <w:b/>
          <w:sz w:val="24"/>
        </w:rPr>
        <w:t>投诉书制作说明：</w:t>
      </w:r>
    </w:p>
    <w:p w14:paraId="5786160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36FBE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077CF0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2124B7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0721AF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5EA690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627ACE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4F7B82">
      <w:pPr>
        <w:autoSpaceDE w:val="0"/>
        <w:autoSpaceDN w:val="0"/>
        <w:jc w:val="center"/>
        <w:rPr>
          <w:rFonts w:ascii="宋体" w:hAnsi="宋体" w:cs="宋体"/>
          <w:b/>
          <w:spacing w:val="6"/>
          <w:sz w:val="32"/>
          <w:szCs w:val="32"/>
        </w:rPr>
      </w:pPr>
    </w:p>
    <w:p w14:paraId="37622910">
      <w:pPr>
        <w:autoSpaceDE w:val="0"/>
        <w:autoSpaceDN w:val="0"/>
        <w:jc w:val="center"/>
        <w:rPr>
          <w:rFonts w:hint="eastAsia" w:ascii="宋体" w:hAnsi="宋体" w:cs="宋体"/>
          <w:b/>
          <w:spacing w:val="6"/>
          <w:sz w:val="32"/>
          <w:szCs w:val="32"/>
        </w:rPr>
      </w:pPr>
    </w:p>
    <w:p w14:paraId="65724AAC">
      <w:pPr>
        <w:autoSpaceDE w:val="0"/>
        <w:autoSpaceDN w:val="0"/>
        <w:jc w:val="center"/>
        <w:rPr>
          <w:rFonts w:hint="eastAsia" w:ascii="宋体" w:hAnsi="宋体" w:cs="宋体"/>
          <w:b/>
          <w:spacing w:val="6"/>
          <w:sz w:val="32"/>
          <w:szCs w:val="32"/>
        </w:rPr>
      </w:pPr>
    </w:p>
    <w:p w14:paraId="015220E8">
      <w:pPr>
        <w:autoSpaceDE w:val="0"/>
        <w:autoSpaceDN w:val="0"/>
        <w:jc w:val="center"/>
        <w:rPr>
          <w:rFonts w:hint="eastAsia" w:ascii="宋体" w:hAnsi="宋体" w:cs="宋体"/>
          <w:b/>
          <w:spacing w:val="6"/>
          <w:sz w:val="32"/>
          <w:szCs w:val="32"/>
        </w:rPr>
      </w:pPr>
    </w:p>
    <w:p w14:paraId="25BA4D6B">
      <w:pPr>
        <w:autoSpaceDE w:val="0"/>
        <w:autoSpaceDN w:val="0"/>
        <w:jc w:val="center"/>
        <w:rPr>
          <w:rFonts w:hint="eastAsia" w:ascii="宋体" w:hAnsi="宋体" w:cs="宋体"/>
          <w:b/>
          <w:spacing w:val="6"/>
          <w:sz w:val="32"/>
          <w:szCs w:val="32"/>
        </w:rPr>
      </w:pPr>
    </w:p>
    <w:p w14:paraId="7B1B0C96">
      <w:pPr>
        <w:autoSpaceDE w:val="0"/>
        <w:autoSpaceDN w:val="0"/>
        <w:jc w:val="center"/>
        <w:rPr>
          <w:rFonts w:hint="eastAsia" w:ascii="宋体" w:hAnsi="宋体" w:cs="宋体"/>
          <w:b/>
          <w:spacing w:val="6"/>
          <w:sz w:val="32"/>
          <w:szCs w:val="32"/>
        </w:rPr>
      </w:pPr>
    </w:p>
    <w:p w14:paraId="4C834D5A">
      <w:pPr>
        <w:autoSpaceDE w:val="0"/>
        <w:autoSpaceDN w:val="0"/>
        <w:jc w:val="center"/>
        <w:rPr>
          <w:rFonts w:hint="eastAsia" w:ascii="宋体" w:hAnsi="宋体" w:cs="宋体"/>
          <w:b/>
          <w:spacing w:val="6"/>
          <w:sz w:val="32"/>
          <w:szCs w:val="32"/>
        </w:rPr>
      </w:pPr>
    </w:p>
    <w:p w14:paraId="00965594">
      <w:pPr>
        <w:autoSpaceDE w:val="0"/>
        <w:autoSpaceDN w:val="0"/>
        <w:jc w:val="center"/>
        <w:rPr>
          <w:rFonts w:hint="eastAsia" w:ascii="宋体" w:hAnsi="宋体" w:cs="宋体"/>
          <w:b/>
          <w:spacing w:val="6"/>
          <w:sz w:val="32"/>
          <w:szCs w:val="32"/>
        </w:rPr>
      </w:pPr>
    </w:p>
    <w:p w14:paraId="0AC6B9DF">
      <w:pPr>
        <w:autoSpaceDE w:val="0"/>
        <w:autoSpaceDN w:val="0"/>
        <w:jc w:val="center"/>
        <w:rPr>
          <w:rFonts w:hint="eastAsia" w:ascii="宋体" w:hAnsi="宋体" w:cs="宋体"/>
          <w:b/>
          <w:spacing w:val="6"/>
          <w:sz w:val="32"/>
          <w:szCs w:val="32"/>
        </w:rPr>
      </w:pPr>
    </w:p>
    <w:p w14:paraId="775406F8">
      <w:pPr>
        <w:autoSpaceDE w:val="0"/>
        <w:autoSpaceDN w:val="0"/>
        <w:jc w:val="center"/>
        <w:rPr>
          <w:rFonts w:hint="eastAsia" w:ascii="宋体" w:hAnsi="宋体" w:cs="宋体"/>
          <w:b/>
          <w:spacing w:val="6"/>
          <w:sz w:val="32"/>
          <w:szCs w:val="32"/>
        </w:rPr>
      </w:pPr>
    </w:p>
    <w:p w14:paraId="1A90AD88">
      <w:pPr>
        <w:autoSpaceDE w:val="0"/>
        <w:autoSpaceDN w:val="0"/>
        <w:jc w:val="center"/>
        <w:rPr>
          <w:rFonts w:hint="eastAsia" w:ascii="宋体" w:hAnsi="宋体" w:cs="宋体"/>
          <w:b/>
          <w:spacing w:val="6"/>
          <w:sz w:val="32"/>
          <w:szCs w:val="32"/>
        </w:rPr>
      </w:pPr>
    </w:p>
    <w:p w14:paraId="6304B14E">
      <w:pPr>
        <w:autoSpaceDE w:val="0"/>
        <w:autoSpaceDN w:val="0"/>
        <w:jc w:val="center"/>
        <w:rPr>
          <w:rFonts w:hint="eastAsia" w:ascii="宋体" w:hAnsi="宋体" w:cs="宋体"/>
          <w:b/>
          <w:spacing w:val="6"/>
          <w:sz w:val="32"/>
          <w:szCs w:val="32"/>
        </w:rPr>
      </w:pPr>
    </w:p>
    <w:p w14:paraId="2505341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5CB8CC">
      <w:pPr>
        <w:spacing w:line="360" w:lineRule="auto"/>
        <w:rPr>
          <w:rFonts w:ascii="宋体" w:hAnsi="宋体" w:cs="宋体"/>
          <w:sz w:val="24"/>
          <w:u w:val="single"/>
        </w:rPr>
      </w:pPr>
    </w:p>
    <w:p w14:paraId="0D19D4AD">
      <w:pPr>
        <w:spacing w:line="360" w:lineRule="auto"/>
        <w:rPr>
          <w:rFonts w:ascii="宋体" w:hAnsi="宋体" w:cs="宋体"/>
          <w:sz w:val="24"/>
        </w:rPr>
      </w:pPr>
      <w:r>
        <w:rPr>
          <w:rFonts w:hint="eastAsia" w:ascii="宋体" w:hAnsi="宋体" w:cs="宋体"/>
          <w:sz w:val="24"/>
          <w:u w:val="single"/>
        </w:rPr>
        <w:t>（采购人）、（采购代理机构）：</w:t>
      </w:r>
    </w:p>
    <w:p w14:paraId="076A70A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ACCA0BA">
      <w:pPr>
        <w:spacing w:line="360" w:lineRule="auto"/>
        <w:ind w:firstLine="480" w:firstLineChars="200"/>
        <w:rPr>
          <w:rFonts w:ascii="宋体" w:hAnsi="宋体" w:cs="宋体"/>
          <w:sz w:val="24"/>
        </w:rPr>
      </w:pPr>
      <w:r>
        <w:rPr>
          <w:rFonts w:hint="eastAsia" w:ascii="宋体" w:hAnsi="宋体" w:cs="宋体"/>
          <w:sz w:val="24"/>
        </w:rPr>
        <w:t>特此说明。</w:t>
      </w:r>
    </w:p>
    <w:p w14:paraId="47E649C6">
      <w:pPr>
        <w:spacing w:line="360" w:lineRule="auto"/>
        <w:ind w:firstLine="494"/>
        <w:rPr>
          <w:rFonts w:ascii="宋体" w:hAnsi="宋体" w:cs="宋体"/>
          <w:sz w:val="24"/>
        </w:rPr>
      </w:pPr>
    </w:p>
    <w:p w14:paraId="7320C6B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0F430D3">
      <w:pPr>
        <w:ind w:right="1440" w:firstLine="494"/>
        <w:jc w:val="center"/>
        <w:rPr>
          <w:rFonts w:ascii="宋体" w:hAnsi="宋体" w:cs="宋体"/>
          <w:sz w:val="24"/>
        </w:rPr>
      </w:pPr>
      <w:r>
        <w:rPr>
          <w:rFonts w:hint="eastAsia" w:ascii="宋体" w:hAnsi="宋体" w:cs="宋体"/>
          <w:sz w:val="24"/>
        </w:rPr>
        <w:t xml:space="preserve">                              日期：       年     月     日</w:t>
      </w:r>
    </w:p>
    <w:p w14:paraId="6F2195DE">
      <w:pPr>
        <w:rPr>
          <w:rFonts w:ascii="宋体" w:hAnsi="宋体" w:cs="宋体"/>
          <w:sz w:val="24"/>
        </w:rPr>
      </w:pPr>
      <w:r>
        <w:rPr>
          <w:rFonts w:hint="eastAsia" w:ascii="宋体" w:hAnsi="宋体" w:cs="宋体"/>
          <w:b/>
          <w:bCs/>
          <w:sz w:val="24"/>
        </w:rPr>
        <w:t>附：</w:t>
      </w:r>
    </w:p>
    <w:p w14:paraId="00C94BAD">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178D3E">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0D178D3E">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3C3C4F">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473C3C4F">
                      <w:pPr>
                        <w:jc w:val="center"/>
                      </w:pPr>
                    </w:p>
                  </w:txbxContent>
                </v:textbox>
              </v:rect>
            </w:pict>
          </mc:Fallback>
        </mc:AlternateContent>
      </w:r>
      <w:r>
        <w:rPr>
          <w:rFonts w:hint="eastAsia" w:ascii="宋体" w:hAnsi="宋体" w:cs="宋体"/>
          <w:sz w:val="24"/>
        </w:rPr>
        <w:t>投标单位法定名称章（印模）                投标单位“XX专用章”（印模）</w:t>
      </w:r>
    </w:p>
    <w:p w14:paraId="7A6CC169">
      <w:pPr>
        <w:autoSpaceDE w:val="0"/>
        <w:autoSpaceDN w:val="0"/>
        <w:jc w:val="center"/>
        <w:rPr>
          <w:rFonts w:ascii="宋体" w:hAnsi="宋体" w:cs="宋体"/>
          <w:b/>
          <w:spacing w:val="6"/>
          <w:sz w:val="32"/>
          <w:szCs w:val="32"/>
        </w:rPr>
      </w:pPr>
    </w:p>
    <w:p w14:paraId="3F49A72D">
      <w:pPr>
        <w:autoSpaceDE w:val="0"/>
        <w:autoSpaceDN w:val="0"/>
        <w:jc w:val="center"/>
        <w:rPr>
          <w:rFonts w:ascii="宋体" w:hAnsi="宋体" w:cs="宋体"/>
          <w:b/>
          <w:spacing w:val="6"/>
          <w:sz w:val="32"/>
          <w:szCs w:val="32"/>
        </w:rPr>
      </w:pPr>
    </w:p>
    <w:p w14:paraId="683BE3C2">
      <w:pPr>
        <w:autoSpaceDE w:val="0"/>
        <w:autoSpaceDN w:val="0"/>
        <w:jc w:val="center"/>
        <w:rPr>
          <w:rFonts w:ascii="宋体" w:hAnsi="宋体" w:cs="宋体"/>
          <w:b/>
          <w:spacing w:val="6"/>
          <w:sz w:val="32"/>
          <w:szCs w:val="32"/>
        </w:rPr>
      </w:pPr>
    </w:p>
    <w:p w14:paraId="428F7BC6">
      <w:pPr>
        <w:autoSpaceDE w:val="0"/>
        <w:autoSpaceDN w:val="0"/>
        <w:jc w:val="center"/>
        <w:rPr>
          <w:rFonts w:ascii="宋体" w:hAnsi="宋体" w:cs="宋体"/>
          <w:b/>
          <w:spacing w:val="6"/>
          <w:sz w:val="32"/>
          <w:szCs w:val="32"/>
        </w:rPr>
      </w:pPr>
    </w:p>
    <w:p w14:paraId="74646065">
      <w:pPr>
        <w:autoSpaceDE w:val="0"/>
        <w:autoSpaceDN w:val="0"/>
        <w:jc w:val="center"/>
        <w:rPr>
          <w:rFonts w:ascii="宋体" w:hAnsi="宋体" w:cs="宋体"/>
          <w:b/>
          <w:spacing w:val="6"/>
          <w:sz w:val="32"/>
          <w:szCs w:val="32"/>
        </w:rPr>
      </w:pPr>
    </w:p>
    <w:p w14:paraId="24F69B33">
      <w:pPr>
        <w:autoSpaceDE w:val="0"/>
        <w:autoSpaceDN w:val="0"/>
        <w:jc w:val="center"/>
        <w:rPr>
          <w:rFonts w:ascii="宋体" w:hAnsi="宋体" w:cs="宋体"/>
          <w:b/>
          <w:spacing w:val="6"/>
          <w:sz w:val="32"/>
          <w:szCs w:val="32"/>
        </w:rPr>
      </w:pPr>
    </w:p>
    <w:p w14:paraId="2AF4F714">
      <w:pPr>
        <w:autoSpaceDE w:val="0"/>
        <w:autoSpaceDN w:val="0"/>
        <w:jc w:val="center"/>
        <w:rPr>
          <w:rFonts w:ascii="宋体" w:hAnsi="宋体" w:cs="宋体"/>
          <w:b/>
          <w:spacing w:val="6"/>
          <w:sz w:val="32"/>
          <w:szCs w:val="32"/>
        </w:rPr>
      </w:pPr>
    </w:p>
    <w:p w14:paraId="181F4C29">
      <w:pPr>
        <w:autoSpaceDE w:val="0"/>
        <w:autoSpaceDN w:val="0"/>
        <w:jc w:val="center"/>
        <w:rPr>
          <w:rFonts w:ascii="宋体" w:hAnsi="宋体" w:cs="宋体"/>
          <w:b/>
          <w:spacing w:val="6"/>
          <w:sz w:val="32"/>
          <w:szCs w:val="32"/>
        </w:rPr>
      </w:pPr>
    </w:p>
    <w:p w14:paraId="163EBA8B">
      <w:pPr>
        <w:autoSpaceDE w:val="0"/>
        <w:autoSpaceDN w:val="0"/>
        <w:jc w:val="center"/>
        <w:rPr>
          <w:rFonts w:ascii="宋体" w:hAnsi="宋体" w:cs="宋体"/>
          <w:b/>
          <w:spacing w:val="6"/>
          <w:sz w:val="32"/>
          <w:szCs w:val="32"/>
        </w:rPr>
      </w:pPr>
    </w:p>
    <w:p w14:paraId="00A2300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330A45C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2A411E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556DE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5110E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7232AC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F9D31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13479E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FC108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21627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011B0D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87" w:name="_Hlk101131882"/>
      <w:r>
        <w:rPr>
          <w:rFonts w:hint="eastAsia" w:ascii="宋体" w:hAnsi="宋体" w:cs="宋体"/>
          <w:kern w:val="0"/>
          <w:sz w:val="24"/>
          <w:u w:val="single"/>
        </w:rPr>
        <w:t>联合体成员X,……</w:t>
      </w:r>
      <w:bookmarkEnd w:id="48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88"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88"/>
      <w:r>
        <w:rPr>
          <w:rFonts w:hint="eastAsia" w:ascii="宋体" w:hAnsi="宋体" w:cs="宋体"/>
          <w:b/>
          <w:kern w:val="0"/>
          <w:sz w:val="24"/>
          <w:lang w:val="zh-CN"/>
        </w:rPr>
        <w:t>）</w:t>
      </w:r>
    </w:p>
    <w:p w14:paraId="50A0340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8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89"/>
    </w:p>
    <w:p w14:paraId="372D80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CCE4A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52391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6E4D0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0B026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50F724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86A5B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A3F5A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E990BB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2702EB9">
      <w:pPr>
        <w:spacing w:line="360" w:lineRule="auto"/>
        <w:ind w:right="420"/>
        <w:rPr>
          <w:rFonts w:ascii="宋体" w:hAnsi="宋体" w:cs="宋体"/>
          <w:sz w:val="24"/>
        </w:rPr>
      </w:pPr>
      <w:r>
        <w:rPr>
          <w:rFonts w:hint="eastAsia" w:ascii="宋体" w:hAnsi="宋体" w:cs="宋体"/>
          <w:sz w:val="24"/>
        </w:rPr>
        <w:t>注：按本格式和要求提供。</w:t>
      </w:r>
    </w:p>
    <w:p w14:paraId="765542F6">
      <w:pPr>
        <w:autoSpaceDE w:val="0"/>
        <w:autoSpaceDN w:val="0"/>
        <w:jc w:val="center"/>
        <w:rPr>
          <w:rFonts w:ascii="宋体" w:hAnsi="宋体" w:cs="宋体"/>
          <w:b/>
          <w:spacing w:val="6"/>
          <w:sz w:val="32"/>
          <w:szCs w:val="32"/>
        </w:rPr>
      </w:pPr>
    </w:p>
    <w:p w14:paraId="0FE1ED33">
      <w:pPr>
        <w:autoSpaceDE w:val="0"/>
        <w:autoSpaceDN w:val="0"/>
        <w:jc w:val="center"/>
        <w:rPr>
          <w:rFonts w:ascii="宋体" w:hAnsi="宋体" w:cs="宋体"/>
          <w:b/>
          <w:spacing w:val="6"/>
          <w:sz w:val="32"/>
          <w:szCs w:val="32"/>
        </w:rPr>
      </w:pPr>
    </w:p>
    <w:p w14:paraId="76B43B69">
      <w:pPr>
        <w:autoSpaceDE w:val="0"/>
        <w:autoSpaceDN w:val="0"/>
        <w:jc w:val="center"/>
        <w:rPr>
          <w:rFonts w:ascii="宋体" w:hAnsi="宋体" w:cs="宋体"/>
          <w:b/>
          <w:spacing w:val="6"/>
          <w:sz w:val="32"/>
          <w:szCs w:val="32"/>
        </w:rPr>
      </w:pPr>
    </w:p>
    <w:p w14:paraId="41F9E4C6">
      <w:pPr>
        <w:autoSpaceDE w:val="0"/>
        <w:autoSpaceDN w:val="0"/>
        <w:jc w:val="center"/>
        <w:rPr>
          <w:rFonts w:ascii="宋体" w:hAnsi="宋体" w:cs="宋体"/>
          <w:b/>
          <w:spacing w:val="6"/>
          <w:sz w:val="32"/>
          <w:szCs w:val="32"/>
        </w:rPr>
      </w:pPr>
    </w:p>
    <w:p w14:paraId="2DED8390">
      <w:pPr>
        <w:autoSpaceDE w:val="0"/>
        <w:autoSpaceDN w:val="0"/>
        <w:jc w:val="center"/>
        <w:rPr>
          <w:rFonts w:ascii="宋体" w:hAnsi="宋体" w:cs="宋体"/>
          <w:b/>
          <w:spacing w:val="6"/>
          <w:sz w:val="32"/>
          <w:szCs w:val="32"/>
        </w:rPr>
      </w:pPr>
    </w:p>
    <w:p w14:paraId="0511DB7F">
      <w:pPr>
        <w:autoSpaceDE w:val="0"/>
        <w:autoSpaceDN w:val="0"/>
        <w:jc w:val="center"/>
        <w:rPr>
          <w:rFonts w:ascii="宋体" w:hAnsi="宋体" w:cs="宋体"/>
          <w:b/>
          <w:spacing w:val="6"/>
          <w:sz w:val="32"/>
          <w:szCs w:val="32"/>
        </w:rPr>
      </w:pPr>
    </w:p>
    <w:p w14:paraId="5E8D97F1">
      <w:pPr>
        <w:autoSpaceDE w:val="0"/>
        <w:autoSpaceDN w:val="0"/>
        <w:jc w:val="center"/>
        <w:rPr>
          <w:rFonts w:ascii="宋体" w:hAnsi="宋体" w:cs="宋体"/>
          <w:b/>
          <w:spacing w:val="6"/>
          <w:sz w:val="32"/>
          <w:szCs w:val="32"/>
        </w:rPr>
      </w:pPr>
    </w:p>
    <w:p w14:paraId="2E8B2414">
      <w:pPr>
        <w:autoSpaceDE w:val="0"/>
        <w:autoSpaceDN w:val="0"/>
        <w:jc w:val="center"/>
        <w:rPr>
          <w:rFonts w:ascii="宋体" w:hAnsi="宋体" w:cs="宋体"/>
          <w:b/>
          <w:spacing w:val="6"/>
          <w:sz w:val="32"/>
          <w:szCs w:val="32"/>
        </w:rPr>
      </w:pPr>
    </w:p>
    <w:p w14:paraId="2AE1AAF4">
      <w:pPr>
        <w:autoSpaceDE w:val="0"/>
        <w:autoSpaceDN w:val="0"/>
        <w:jc w:val="center"/>
        <w:rPr>
          <w:rFonts w:ascii="宋体" w:hAnsi="宋体" w:cs="宋体"/>
          <w:b/>
          <w:spacing w:val="6"/>
          <w:sz w:val="32"/>
          <w:szCs w:val="32"/>
        </w:rPr>
      </w:pPr>
    </w:p>
    <w:p w14:paraId="3842EC28">
      <w:pPr>
        <w:autoSpaceDE w:val="0"/>
        <w:autoSpaceDN w:val="0"/>
        <w:jc w:val="center"/>
        <w:rPr>
          <w:rFonts w:ascii="宋体" w:hAnsi="宋体" w:cs="宋体"/>
          <w:b/>
          <w:spacing w:val="6"/>
          <w:sz w:val="32"/>
          <w:szCs w:val="32"/>
        </w:rPr>
      </w:pPr>
    </w:p>
    <w:p w14:paraId="69E7029A">
      <w:pPr>
        <w:autoSpaceDE w:val="0"/>
        <w:autoSpaceDN w:val="0"/>
        <w:jc w:val="center"/>
        <w:rPr>
          <w:rFonts w:ascii="宋体" w:hAnsi="宋体" w:cs="宋体"/>
          <w:b/>
          <w:spacing w:val="6"/>
          <w:sz w:val="32"/>
          <w:szCs w:val="32"/>
        </w:rPr>
      </w:pPr>
    </w:p>
    <w:p w14:paraId="0875C7D6">
      <w:pPr>
        <w:autoSpaceDE w:val="0"/>
        <w:autoSpaceDN w:val="0"/>
        <w:jc w:val="center"/>
        <w:rPr>
          <w:rFonts w:ascii="宋体" w:hAnsi="宋体" w:cs="宋体"/>
          <w:b/>
          <w:spacing w:val="6"/>
          <w:sz w:val="32"/>
          <w:szCs w:val="32"/>
        </w:rPr>
      </w:pPr>
    </w:p>
    <w:p w14:paraId="05887748">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453081A4">
      <w:pPr>
        <w:widowControl/>
        <w:spacing w:line="360" w:lineRule="auto"/>
        <w:ind w:firstLine="120" w:firstLineChars="50"/>
        <w:jc w:val="left"/>
        <w:rPr>
          <w:rFonts w:ascii="宋体" w:hAnsi="宋体" w:cs="宋体"/>
          <w:sz w:val="24"/>
        </w:rPr>
      </w:pP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48E9D5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48F96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E089A0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1818A54">
      <w:pPr>
        <w:jc w:val="center"/>
        <w:rPr>
          <w:rFonts w:ascii="宋体" w:hAnsi="宋体" w:cs="宋体"/>
        </w:rPr>
      </w:pPr>
      <w:r>
        <w:rPr>
          <w:rFonts w:hint="eastAsia" w:ascii="宋体" w:hAnsi="宋体" w:cs="宋体"/>
        </w:rPr>
        <w:t>……</w:t>
      </w:r>
    </w:p>
    <w:p w14:paraId="5C6786D7">
      <w:pPr>
        <w:rPr>
          <w:rFonts w:ascii="宋体" w:hAnsi="宋体" w:cs="宋体"/>
        </w:rPr>
      </w:pPr>
      <w:r>
        <w:rPr>
          <w:rFonts w:hint="eastAsia" w:ascii="宋体" w:hAnsi="宋体" w:cs="宋体"/>
          <w:lang w:val="zh-CN"/>
        </w:rPr>
        <w:t xml:space="preserve"> </w:t>
      </w:r>
    </w:p>
    <w:p w14:paraId="352AA1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D5C0AF9">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E63D0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0BC43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D75F97D">
      <w:pPr>
        <w:snapToGrid w:val="0"/>
        <w:spacing w:line="360" w:lineRule="auto"/>
        <w:ind w:firstLine="576"/>
        <w:rPr>
          <w:rFonts w:ascii="宋体" w:hAnsi="宋体" w:cs="宋体"/>
          <w:u w:val="single"/>
        </w:rPr>
      </w:pPr>
      <w:r>
        <w:rPr>
          <w:rFonts w:hint="eastAsia" w:ascii="宋体" w:hAnsi="宋体" w:cs="宋体"/>
          <w:u w:val="single"/>
        </w:rPr>
        <w:t xml:space="preserve">                                                                                  </w:t>
      </w:r>
    </w:p>
    <w:p w14:paraId="5A82F3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77D4A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B1E27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4F040B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475B57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37D9B8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8D5B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FE562D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D921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6A06A8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C514DE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F217F6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85FFC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CF75EFD">
      <w:pPr>
        <w:spacing w:line="360" w:lineRule="auto"/>
        <w:ind w:right="420"/>
        <w:rPr>
          <w:rFonts w:ascii="宋体" w:hAnsi="宋体" w:cs="宋体"/>
          <w:sz w:val="24"/>
        </w:rPr>
      </w:pPr>
      <w:r>
        <w:rPr>
          <w:rFonts w:hint="eastAsia" w:ascii="宋体" w:hAnsi="宋体" w:cs="宋体"/>
          <w:sz w:val="24"/>
        </w:rPr>
        <w:t>注：按本格式和要求提供。</w:t>
      </w:r>
    </w:p>
    <w:p w14:paraId="44759CAD">
      <w:pPr>
        <w:autoSpaceDE w:val="0"/>
        <w:autoSpaceDN w:val="0"/>
        <w:jc w:val="center"/>
        <w:rPr>
          <w:rFonts w:ascii="宋体" w:hAnsi="宋体" w:cs="宋体"/>
          <w:b/>
          <w:spacing w:val="6"/>
          <w:sz w:val="32"/>
          <w:szCs w:val="32"/>
        </w:rPr>
      </w:pPr>
    </w:p>
    <w:p w14:paraId="1A690729">
      <w:pPr>
        <w:autoSpaceDE w:val="0"/>
        <w:autoSpaceDN w:val="0"/>
        <w:jc w:val="center"/>
        <w:rPr>
          <w:rFonts w:ascii="宋体" w:hAnsi="宋体" w:cs="宋体"/>
          <w:b/>
          <w:spacing w:val="6"/>
          <w:sz w:val="32"/>
          <w:szCs w:val="32"/>
        </w:rPr>
      </w:pPr>
    </w:p>
    <w:p w14:paraId="55976FE9">
      <w:pPr>
        <w:autoSpaceDE w:val="0"/>
        <w:autoSpaceDN w:val="0"/>
        <w:jc w:val="center"/>
        <w:rPr>
          <w:rFonts w:ascii="宋体" w:hAnsi="宋体" w:cs="宋体"/>
          <w:b/>
          <w:spacing w:val="6"/>
          <w:sz w:val="32"/>
          <w:szCs w:val="32"/>
        </w:rPr>
      </w:pPr>
    </w:p>
    <w:p w14:paraId="5AB25A18">
      <w:pPr>
        <w:autoSpaceDE w:val="0"/>
        <w:autoSpaceDN w:val="0"/>
        <w:jc w:val="center"/>
        <w:rPr>
          <w:rFonts w:ascii="宋体" w:hAnsi="宋体" w:cs="宋体"/>
          <w:b/>
          <w:spacing w:val="6"/>
          <w:sz w:val="32"/>
          <w:szCs w:val="32"/>
        </w:rPr>
      </w:pPr>
    </w:p>
    <w:p w14:paraId="4B12A3E1">
      <w:pPr>
        <w:autoSpaceDE w:val="0"/>
        <w:autoSpaceDN w:val="0"/>
        <w:jc w:val="center"/>
        <w:rPr>
          <w:rFonts w:ascii="宋体" w:hAnsi="宋体" w:cs="宋体"/>
          <w:b/>
          <w:spacing w:val="6"/>
          <w:sz w:val="32"/>
          <w:szCs w:val="32"/>
        </w:rPr>
      </w:pPr>
    </w:p>
    <w:p w14:paraId="394B0D2E">
      <w:pPr>
        <w:autoSpaceDE w:val="0"/>
        <w:autoSpaceDN w:val="0"/>
        <w:jc w:val="center"/>
        <w:rPr>
          <w:rFonts w:ascii="宋体" w:hAnsi="宋体" w:cs="宋体"/>
          <w:b/>
          <w:spacing w:val="6"/>
          <w:sz w:val="32"/>
          <w:szCs w:val="32"/>
        </w:rPr>
      </w:pPr>
    </w:p>
    <w:p w14:paraId="7DF50A87">
      <w:pPr>
        <w:autoSpaceDE w:val="0"/>
        <w:autoSpaceDN w:val="0"/>
        <w:jc w:val="center"/>
        <w:rPr>
          <w:rFonts w:ascii="宋体" w:hAnsi="宋体" w:cs="宋体"/>
          <w:b/>
          <w:spacing w:val="6"/>
          <w:sz w:val="32"/>
          <w:szCs w:val="32"/>
        </w:rPr>
      </w:pPr>
    </w:p>
    <w:p w14:paraId="799D7A1A">
      <w:pPr>
        <w:autoSpaceDE w:val="0"/>
        <w:autoSpaceDN w:val="0"/>
        <w:jc w:val="center"/>
        <w:rPr>
          <w:rFonts w:ascii="宋体" w:hAnsi="宋体" w:cs="宋体"/>
          <w:b/>
          <w:spacing w:val="6"/>
          <w:sz w:val="32"/>
          <w:szCs w:val="32"/>
        </w:rPr>
      </w:pPr>
    </w:p>
    <w:p w14:paraId="7EAA00A8">
      <w:pPr>
        <w:autoSpaceDE w:val="0"/>
        <w:autoSpaceDN w:val="0"/>
        <w:jc w:val="center"/>
        <w:rPr>
          <w:rFonts w:ascii="宋体" w:hAnsi="宋体" w:cs="宋体"/>
          <w:b/>
          <w:spacing w:val="6"/>
          <w:sz w:val="32"/>
          <w:szCs w:val="32"/>
        </w:rPr>
      </w:pPr>
    </w:p>
    <w:p w14:paraId="3DB757DC">
      <w:pPr>
        <w:autoSpaceDE w:val="0"/>
        <w:autoSpaceDN w:val="0"/>
        <w:jc w:val="center"/>
        <w:rPr>
          <w:rFonts w:ascii="宋体" w:hAnsi="宋体" w:cs="宋体"/>
          <w:b/>
          <w:spacing w:val="6"/>
          <w:sz w:val="32"/>
          <w:szCs w:val="32"/>
        </w:rPr>
      </w:pPr>
    </w:p>
    <w:p w14:paraId="07B8EC3D">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4E6CFAD7">
      <w:pPr>
        <w:spacing w:line="360" w:lineRule="auto"/>
        <w:jc w:val="center"/>
        <w:rPr>
          <w:rFonts w:ascii="宋体" w:hAnsi="宋体" w:cs="宋体"/>
          <w:sz w:val="24"/>
          <w:u w:val="single"/>
        </w:rPr>
      </w:pPr>
    </w:p>
    <w:p w14:paraId="65AF5FA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B27373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sz w:val="24"/>
          <w:u w:val="single"/>
        </w:rPr>
        <w:t>（标项名称：                 ）</w:t>
      </w:r>
      <w:r>
        <w:rPr>
          <w:rFonts w:hint="eastAsia" w:ascii="宋体" w:hAnsi="宋体" w:cs="宋体"/>
          <w:sz w:val="24"/>
        </w:rPr>
        <w:t>，</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2AED56DC">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14:paraId="4371B3D5">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 xml:space="preserve">微型企业） </w:t>
      </w:r>
      <w:r>
        <w:rPr>
          <w:rFonts w:hint="eastAsia" w:ascii="宋体" w:hAnsi="宋体" w:cs="宋体"/>
          <w:sz w:val="24"/>
        </w:rPr>
        <w:t>；</w:t>
      </w:r>
    </w:p>
    <w:p w14:paraId="2B1AB698">
      <w:pPr>
        <w:spacing w:line="360" w:lineRule="auto"/>
        <w:ind w:firstLine="480" w:firstLineChars="200"/>
        <w:jc w:val="left"/>
        <w:rPr>
          <w:rFonts w:ascii="宋体" w:hAnsi="宋体" w:cs="宋体"/>
          <w:sz w:val="24"/>
        </w:rPr>
      </w:pPr>
      <w:r>
        <w:rPr>
          <w:rFonts w:hint="eastAsia" w:ascii="宋体" w:hAnsi="宋体" w:cs="宋体"/>
          <w:sz w:val="24"/>
        </w:rPr>
        <w:t>……</w:t>
      </w:r>
    </w:p>
    <w:p w14:paraId="371F9B7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31F86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E910388">
      <w:pPr>
        <w:spacing w:line="360" w:lineRule="auto"/>
        <w:ind w:right="1760"/>
        <w:jc w:val="right"/>
        <w:rPr>
          <w:rFonts w:ascii="宋体" w:hAnsi="宋体" w:cs="宋体"/>
          <w:sz w:val="24"/>
        </w:rPr>
      </w:pPr>
      <w:r>
        <w:rPr>
          <w:rFonts w:hint="eastAsia" w:ascii="宋体" w:hAnsi="宋体" w:cs="宋体"/>
          <w:sz w:val="24"/>
        </w:rPr>
        <w:t>投标人名称（电子签名）：</w:t>
      </w:r>
    </w:p>
    <w:p w14:paraId="61CE4A7B">
      <w:pPr>
        <w:spacing w:line="360" w:lineRule="auto"/>
        <w:ind w:right="1120" w:firstLine="4680" w:firstLineChars="1950"/>
        <w:rPr>
          <w:rFonts w:ascii="宋体" w:hAnsi="宋体" w:cs="宋体"/>
          <w:sz w:val="24"/>
        </w:rPr>
      </w:pPr>
      <w:r>
        <w:rPr>
          <w:rFonts w:hint="eastAsia" w:ascii="宋体" w:hAnsi="宋体" w:cs="宋体"/>
          <w:sz w:val="24"/>
        </w:rPr>
        <w:t>日 期：   年   月  日</w:t>
      </w:r>
    </w:p>
    <w:p w14:paraId="1F8C6EB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FA7E262">
      <w:pPr>
        <w:spacing w:line="360" w:lineRule="auto"/>
        <w:ind w:right="420"/>
        <w:rPr>
          <w:rFonts w:ascii="宋体" w:hAnsi="宋体" w:cs="宋体"/>
          <w:sz w:val="24"/>
        </w:rPr>
      </w:pPr>
    </w:p>
    <w:p w14:paraId="0B059935">
      <w:pPr>
        <w:spacing w:line="360" w:lineRule="auto"/>
        <w:ind w:right="420"/>
        <w:rPr>
          <w:rFonts w:ascii="宋体" w:hAnsi="宋体" w:cs="宋体"/>
          <w:sz w:val="24"/>
        </w:rPr>
      </w:pPr>
      <w:r>
        <w:rPr>
          <w:rFonts w:hint="eastAsia" w:ascii="宋体" w:hAnsi="宋体" w:cs="宋体"/>
          <w:sz w:val="24"/>
        </w:rPr>
        <w:t xml:space="preserve">   注：</w:t>
      </w:r>
    </w:p>
    <w:p w14:paraId="0BCD411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D0684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6042EA">
      <w:pPr>
        <w:spacing w:line="360" w:lineRule="auto"/>
        <w:rPr>
          <w:rFonts w:ascii="宋体" w:hAnsi="宋体" w:cs="宋体"/>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numberInDash"/>
          <w:cols w:space="720" w:num="1"/>
          <w:titlePg/>
          <w:docGrid w:linePitch="312" w:charSpace="0"/>
        </w:sectPr>
      </w:pPr>
    </w:p>
    <w:tbl>
      <w:tblPr>
        <w:tblStyle w:val="64"/>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EE642DD">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C3F990D">
            <w:pPr>
              <w:widowControl/>
              <w:spacing w:after="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14:paraId="2B24DA4A">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66ADE63">
            <w:pPr>
              <w:widowControl/>
              <w:spacing w:after="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FAA556">
            <w:pPr>
              <w:widowControl/>
              <w:spacing w:after="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131F02">
            <w:pPr>
              <w:widowControl/>
              <w:spacing w:after="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C4F483">
            <w:pPr>
              <w:widowControl/>
              <w:spacing w:after="0"/>
              <w:jc w:val="center"/>
              <w:textAlignment w:val="bottom"/>
              <w:rPr>
                <w:rFonts w:ascii="宋体" w:hAnsi="宋体" w:cs="宋体"/>
                <w:b/>
                <w:sz w:val="24"/>
              </w:rPr>
            </w:pPr>
            <w:r>
              <w:rPr>
                <w:rFonts w:hint="eastAsia" w:ascii="宋体" w:hAnsi="宋体" w:cs="宋体"/>
                <w:b/>
                <w:kern w:val="0"/>
                <w:sz w:val="24"/>
              </w:rPr>
              <w:t>微型企业</w:t>
            </w:r>
          </w:p>
        </w:tc>
      </w:tr>
      <w:tr w14:paraId="63F7C039">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DC7B73B">
            <w:pPr>
              <w:spacing w:after="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2B510D">
            <w:pPr>
              <w:widowControl/>
              <w:spacing w:after="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E609B4">
            <w:pPr>
              <w:widowControl/>
              <w:spacing w:after="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55817F">
            <w:pPr>
              <w:widowControl/>
              <w:spacing w:after="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EFAA48">
            <w:pPr>
              <w:widowControl/>
              <w:spacing w:after="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AD003B">
            <w:pPr>
              <w:widowControl/>
              <w:spacing w:after="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6BFAE2">
            <w:pPr>
              <w:widowControl/>
              <w:spacing w:after="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3BD8FF">
            <w:pPr>
              <w:widowControl/>
              <w:spacing w:after="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15D82">
            <w:pPr>
              <w:widowControl/>
              <w:spacing w:after="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2D4FE8">
            <w:pPr>
              <w:widowControl/>
              <w:spacing w:after="0"/>
              <w:jc w:val="left"/>
              <w:textAlignment w:val="bottom"/>
              <w:rPr>
                <w:rFonts w:ascii="宋体" w:hAnsi="宋体" w:cs="宋体"/>
                <w:sz w:val="20"/>
              </w:rPr>
            </w:pPr>
            <w:r>
              <w:rPr>
                <w:rFonts w:hint="eastAsia" w:ascii="宋体" w:hAnsi="宋体" w:cs="宋体"/>
                <w:kern w:val="0"/>
                <w:sz w:val="20"/>
              </w:rPr>
              <w:t>资产总额Z（万元）</w:t>
            </w:r>
          </w:p>
        </w:tc>
      </w:tr>
      <w:tr w14:paraId="0E447FA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6F0A03">
            <w:pPr>
              <w:widowControl/>
              <w:spacing w:after="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B3DFAF">
            <w:pPr>
              <w:spacing w:after="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CCFFA4">
            <w:pPr>
              <w:widowControl/>
              <w:spacing w:after="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BEFB82">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AD4724">
            <w:pPr>
              <w:spacing w:after="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666EE0">
            <w:pPr>
              <w:widowControl/>
              <w:spacing w:after="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41F0FA">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A31728">
            <w:pPr>
              <w:spacing w:after="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BB03C9">
            <w:pPr>
              <w:widowControl/>
              <w:spacing w:after="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B0298F">
            <w:pPr>
              <w:spacing w:after="0"/>
              <w:rPr>
                <w:rFonts w:ascii="宋体" w:hAnsi="宋体" w:cs="宋体"/>
                <w:sz w:val="20"/>
              </w:rPr>
            </w:pPr>
          </w:p>
        </w:tc>
      </w:tr>
      <w:tr w14:paraId="27B303E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A0B76E9">
            <w:pPr>
              <w:widowControl/>
              <w:spacing w:after="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416D5E">
            <w:pPr>
              <w:widowControl/>
              <w:spacing w:after="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35C848">
            <w:pPr>
              <w:widowControl/>
              <w:spacing w:after="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8B9E5F">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DC1791">
            <w:pPr>
              <w:widowControl/>
              <w:spacing w:after="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66F2CB">
            <w:pPr>
              <w:widowControl/>
              <w:spacing w:after="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D9F13A">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8D3A9F">
            <w:pPr>
              <w:widowControl/>
              <w:spacing w:after="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EC45EF">
            <w:pPr>
              <w:widowControl/>
              <w:spacing w:after="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8F7B65">
            <w:pPr>
              <w:spacing w:after="0"/>
              <w:rPr>
                <w:rFonts w:ascii="宋体" w:hAnsi="宋体" w:cs="宋体"/>
                <w:sz w:val="20"/>
              </w:rPr>
            </w:pPr>
          </w:p>
        </w:tc>
      </w:tr>
      <w:tr w14:paraId="61BA4FA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14BEAA">
            <w:pPr>
              <w:widowControl/>
              <w:spacing w:after="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0970CF">
            <w:pPr>
              <w:spacing w:after="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2F0AE5">
            <w:pPr>
              <w:widowControl/>
              <w:spacing w:after="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32C84E">
            <w:pPr>
              <w:widowControl/>
              <w:spacing w:after="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E8BA59">
            <w:pPr>
              <w:spacing w:after="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2D6F5F">
            <w:pPr>
              <w:widowControl/>
              <w:spacing w:after="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8089AA">
            <w:pPr>
              <w:widowControl/>
              <w:spacing w:after="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B1CB62">
            <w:pPr>
              <w:spacing w:after="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27B082">
            <w:pPr>
              <w:widowControl/>
              <w:spacing w:after="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A1A2D5">
            <w:pPr>
              <w:widowControl/>
              <w:spacing w:after="0"/>
              <w:jc w:val="left"/>
              <w:textAlignment w:val="bottom"/>
              <w:rPr>
                <w:rFonts w:ascii="宋体" w:hAnsi="宋体" w:cs="宋体"/>
                <w:sz w:val="20"/>
              </w:rPr>
            </w:pPr>
            <w:r>
              <w:rPr>
                <w:rFonts w:hint="eastAsia" w:ascii="宋体" w:hAnsi="宋体" w:cs="宋体"/>
                <w:kern w:val="0"/>
                <w:sz w:val="20"/>
              </w:rPr>
              <w:t>Z＜300</w:t>
            </w:r>
          </w:p>
        </w:tc>
      </w:tr>
      <w:tr w14:paraId="49EAAE1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E1177C">
            <w:pPr>
              <w:widowControl/>
              <w:spacing w:after="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D210F4">
            <w:pPr>
              <w:widowControl/>
              <w:spacing w:after="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941DD">
            <w:pPr>
              <w:widowControl/>
              <w:spacing w:after="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4A7699">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30CC20">
            <w:pPr>
              <w:widowControl/>
              <w:spacing w:after="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EC594F">
            <w:pPr>
              <w:widowControl/>
              <w:spacing w:after="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72F0D8">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CFD482">
            <w:pPr>
              <w:widowControl/>
              <w:spacing w:after="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ECB502">
            <w:pPr>
              <w:widowControl/>
              <w:spacing w:after="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98BF74">
            <w:pPr>
              <w:spacing w:after="0"/>
              <w:rPr>
                <w:rFonts w:ascii="宋体" w:hAnsi="宋体" w:cs="宋体"/>
                <w:sz w:val="20"/>
              </w:rPr>
            </w:pPr>
          </w:p>
        </w:tc>
      </w:tr>
      <w:tr w14:paraId="4128A07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DF2725">
            <w:pPr>
              <w:widowControl/>
              <w:spacing w:after="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E2C5E3">
            <w:pPr>
              <w:widowControl/>
              <w:spacing w:after="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1BB6A3">
            <w:pPr>
              <w:widowControl/>
              <w:spacing w:after="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E00638">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022B88">
            <w:pPr>
              <w:widowControl/>
              <w:spacing w:after="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F964A3">
            <w:pPr>
              <w:widowControl/>
              <w:spacing w:after="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700397">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00A2AA">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41FE23">
            <w:pPr>
              <w:widowControl/>
              <w:spacing w:after="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A6D325">
            <w:pPr>
              <w:spacing w:after="0"/>
              <w:rPr>
                <w:rFonts w:ascii="宋体" w:hAnsi="宋体" w:cs="宋体"/>
                <w:sz w:val="20"/>
              </w:rPr>
            </w:pPr>
          </w:p>
        </w:tc>
      </w:tr>
      <w:tr w14:paraId="72A33DF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788545">
            <w:pPr>
              <w:widowControl/>
              <w:spacing w:after="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8C861F">
            <w:pPr>
              <w:widowControl/>
              <w:spacing w:after="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85F270">
            <w:pPr>
              <w:widowControl/>
              <w:spacing w:after="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888F40">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EAEF1B">
            <w:pPr>
              <w:widowControl/>
              <w:spacing w:after="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C7402B">
            <w:pPr>
              <w:widowControl/>
              <w:spacing w:after="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F2577E">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9299BD">
            <w:pPr>
              <w:widowControl/>
              <w:spacing w:after="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5DE4F2">
            <w:pPr>
              <w:widowControl/>
              <w:spacing w:after="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0A9ECB">
            <w:pPr>
              <w:spacing w:after="0"/>
              <w:rPr>
                <w:rFonts w:ascii="宋体" w:hAnsi="宋体" w:cs="宋体"/>
                <w:sz w:val="20"/>
              </w:rPr>
            </w:pPr>
          </w:p>
        </w:tc>
      </w:tr>
      <w:tr w14:paraId="616A677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0630AB">
            <w:pPr>
              <w:widowControl/>
              <w:spacing w:after="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CCD709">
            <w:pPr>
              <w:widowControl/>
              <w:spacing w:after="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5EAA05">
            <w:pPr>
              <w:widowControl/>
              <w:spacing w:after="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0B7912">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DBBCB5">
            <w:pPr>
              <w:widowControl/>
              <w:spacing w:after="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55116">
            <w:pPr>
              <w:widowControl/>
              <w:spacing w:after="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7E7C8C">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2EB33A">
            <w:pPr>
              <w:widowControl/>
              <w:spacing w:after="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91DD3A">
            <w:pPr>
              <w:widowControl/>
              <w:spacing w:after="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A544DA">
            <w:pPr>
              <w:spacing w:after="0"/>
              <w:rPr>
                <w:rFonts w:ascii="宋体" w:hAnsi="宋体" w:cs="宋体"/>
                <w:sz w:val="20"/>
              </w:rPr>
            </w:pPr>
          </w:p>
        </w:tc>
      </w:tr>
      <w:tr w14:paraId="71E5A60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86F359">
            <w:pPr>
              <w:widowControl/>
              <w:spacing w:after="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4A206C">
            <w:pPr>
              <w:widowControl/>
              <w:spacing w:after="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847DA2">
            <w:pPr>
              <w:widowControl/>
              <w:spacing w:after="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6FC8A0">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299052">
            <w:pPr>
              <w:widowControl/>
              <w:spacing w:after="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FFAFC9">
            <w:pPr>
              <w:widowControl/>
              <w:spacing w:after="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6B480F">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5E9F2F">
            <w:pPr>
              <w:widowControl/>
              <w:spacing w:after="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05675A">
            <w:pPr>
              <w:widowControl/>
              <w:spacing w:after="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3459A4">
            <w:pPr>
              <w:spacing w:after="0"/>
              <w:rPr>
                <w:rFonts w:ascii="宋体" w:hAnsi="宋体" w:cs="宋体"/>
                <w:sz w:val="20"/>
              </w:rPr>
            </w:pPr>
          </w:p>
        </w:tc>
      </w:tr>
      <w:tr w14:paraId="7031EE3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5FC772">
            <w:pPr>
              <w:widowControl/>
              <w:spacing w:after="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7EF1D8">
            <w:pPr>
              <w:widowControl/>
              <w:spacing w:after="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288C84">
            <w:pPr>
              <w:widowControl/>
              <w:spacing w:after="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814AB">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C94D97">
            <w:pPr>
              <w:widowControl/>
              <w:spacing w:after="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FB340A">
            <w:pPr>
              <w:widowControl/>
              <w:spacing w:after="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DC23A8">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B73D8D">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771E5B">
            <w:pPr>
              <w:widowControl/>
              <w:spacing w:after="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7E305F">
            <w:pPr>
              <w:spacing w:after="0"/>
              <w:rPr>
                <w:rFonts w:ascii="宋体" w:hAnsi="宋体" w:cs="宋体"/>
                <w:sz w:val="20"/>
              </w:rPr>
            </w:pPr>
          </w:p>
        </w:tc>
      </w:tr>
      <w:tr w14:paraId="0EC3CE2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7A5AF6">
            <w:pPr>
              <w:widowControl/>
              <w:spacing w:after="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5C17F9">
            <w:pPr>
              <w:widowControl/>
              <w:spacing w:after="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DF9BBB">
            <w:pPr>
              <w:widowControl/>
              <w:spacing w:after="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B57665">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218876">
            <w:pPr>
              <w:widowControl/>
              <w:spacing w:after="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CDDD8E">
            <w:pPr>
              <w:widowControl/>
              <w:spacing w:after="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161668">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3384DA">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2F655C">
            <w:pPr>
              <w:widowControl/>
              <w:spacing w:after="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95BBB6">
            <w:pPr>
              <w:spacing w:after="0"/>
              <w:rPr>
                <w:rFonts w:ascii="宋体" w:hAnsi="宋体" w:cs="宋体"/>
                <w:sz w:val="20"/>
              </w:rPr>
            </w:pPr>
          </w:p>
        </w:tc>
      </w:tr>
      <w:tr w14:paraId="5EECADF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92B612">
            <w:pPr>
              <w:widowControl/>
              <w:spacing w:after="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A345B">
            <w:pPr>
              <w:widowControl/>
              <w:spacing w:after="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F214AE">
            <w:pPr>
              <w:widowControl/>
              <w:spacing w:after="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D72F65">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C59EF2">
            <w:pPr>
              <w:widowControl/>
              <w:spacing w:after="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B03805">
            <w:pPr>
              <w:widowControl/>
              <w:spacing w:after="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CC7754">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0A046E">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340672">
            <w:pPr>
              <w:widowControl/>
              <w:spacing w:after="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DEF770">
            <w:pPr>
              <w:spacing w:after="0"/>
              <w:rPr>
                <w:rFonts w:ascii="宋体" w:hAnsi="宋体" w:cs="宋体"/>
                <w:sz w:val="20"/>
              </w:rPr>
            </w:pPr>
          </w:p>
        </w:tc>
      </w:tr>
      <w:tr w14:paraId="0E997B16">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7AF0A5">
            <w:pPr>
              <w:widowControl/>
              <w:spacing w:after="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BE8413">
            <w:pPr>
              <w:widowControl/>
              <w:spacing w:after="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0EBFDF">
            <w:pPr>
              <w:widowControl/>
              <w:spacing w:after="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ED0395">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325C8B">
            <w:pPr>
              <w:widowControl/>
              <w:spacing w:after="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F6C1F7">
            <w:pPr>
              <w:widowControl/>
              <w:spacing w:after="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8A4652">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F6A3D8">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A4DA8E">
            <w:pPr>
              <w:widowControl/>
              <w:spacing w:after="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2DF15A">
            <w:pPr>
              <w:spacing w:after="0"/>
              <w:rPr>
                <w:rFonts w:ascii="宋体" w:hAnsi="宋体" w:cs="宋体"/>
                <w:sz w:val="20"/>
              </w:rPr>
            </w:pPr>
          </w:p>
        </w:tc>
      </w:tr>
      <w:tr w14:paraId="592A62D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EE86452">
            <w:pPr>
              <w:widowControl/>
              <w:spacing w:after="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F0774B">
            <w:pPr>
              <w:spacing w:after="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6BED0B">
            <w:pPr>
              <w:widowControl/>
              <w:spacing w:after="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060999">
            <w:pPr>
              <w:widowControl/>
              <w:spacing w:after="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BA2746">
            <w:pPr>
              <w:spacing w:after="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256E59">
            <w:pPr>
              <w:widowControl/>
              <w:spacing w:after="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EFA650">
            <w:pPr>
              <w:widowControl/>
              <w:spacing w:after="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F33B5">
            <w:pPr>
              <w:spacing w:after="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447D89">
            <w:pPr>
              <w:widowControl/>
              <w:spacing w:after="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F85F95">
            <w:pPr>
              <w:widowControl/>
              <w:spacing w:after="0"/>
              <w:jc w:val="left"/>
              <w:textAlignment w:val="bottom"/>
              <w:rPr>
                <w:rFonts w:ascii="宋体" w:hAnsi="宋体" w:cs="宋体"/>
                <w:sz w:val="20"/>
              </w:rPr>
            </w:pPr>
            <w:r>
              <w:rPr>
                <w:rFonts w:hint="eastAsia" w:ascii="宋体" w:hAnsi="宋体" w:cs="宋体"/>
                <w:kern w:val="0"/>
                <w:sz w:val="20"/>
              </w:rPr>
              <w:t>Z＜2000</w:t>
            </w:r>
          </w:p>
        </w:tc>
      </w:tr>
      <w:tr w14:paraId="487F8F8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BE6260">
            <w:pPr>
              <w:widowControl/>
              <w:spacing w:after="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539A0B">
            <w:pPr>
              <w:widowControl/>
              <w:spacing w:after="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DC102A">
            <w:pPr>
              <w:widowControl/>
              <w:spacing w:after="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FF88EF">
            <w:pPr>
              <w:spacing w:after="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488FFF">
            <w:pPr>
              <w:widowControl/>
              <w:spacing w:after="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49EDCE">
            <w:pPr>
              <w:widowControl/>
              <w:spacing w:after="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33F5B8">
            <w:pPr>
              <w:spacing w:after="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64A117">
            <w:pPr>
              <w:widowControl/>
              <w:spacing w:after="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C1736E">
            <w:pPr>
              <w:widowControl/>
              <w:spacing w:after="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B1B115">
            <w:pPr>
              <w:spacing w:after="0"/>
              <w:rPr>
                <w:rFonts w:ascii="宋体" w:hAnsi="宋体" w:cs="宋体"/>
                <w:sz w:val="20"/>
              </w:rPr>
            </w:pPr>
          </w:p>
        </w:tc>
      </w:tr>
      <w:tr w14:paraId="61710A1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452F89">
            <w:pPr>
              <w:widowControl/>
              <w:spacing w:after="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5D7C08">
            <w:pPr>
              <w:widowControl/>
              <w:spacing w:after="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32A625">
            <w:pPr>
              <w:spacing w:after="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FD499F">
            <w:pPr>
              <w:widowControl/>
              <w:spacing w:after="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A279F3">
            <w:pPr>
              <w:widowControl/>
              <w:spacing w:after="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0412C1">
            <w:pPr>
              <w:spacing w:after="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DF98D5">
            <w:pPr>
              <w:widowControl/>
              <w:spacing w:after="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E9D7A4">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7035E1">
            <w:pPr>
              <w:spacing w:after="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506CB6">
            <w:pPr>
              <w:widowControl/>
              <w:spacing w:after="0"/>
              <w:jc w:val="left"/>
              <w:textAlignment w:val="bottom"/>
              <w:rPr>
                <w:rFonts w:ascii="宋体" w:hAnsi="宋体" w:cs="宋体"/>
                <w:sz w:val="20"/>
              </w:rPr>
            </w:pPr>
            <w:r>
              <w:rPr>
                <w:rFonts w:hint="eastAsia" w:ascii="宋体" w:hAnsi="宋体" w:cs="宋体"/>
                <w:kern w:val="0"/>
                <w:sz w:val="20"/>
              </w:rPr>
              <w:t>Z＜100</w:t>
            </w:r>
          </w:p>
        </w:tc>
      </w:tr>
      <w:tr w14:paraId="23487A5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9425C0C">
            <w:pPr>
              <w:widowControl/>
              <w:spacing w:after="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7B6EA80">
            <w:pPr>
              <w:widowControl/>
              <w:spacing w:after="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A3B68EE">
            <w:pPr>
              <w:spacing w:after="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26A025A">
            <w:pPr>
              <w:spacing w:after="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4B4C4A4">
            <w:pPr>
              <w:widowControl/>
              <w:spacing w:after="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F33189D">
            <w:pPr>
              <w:spacing w:after="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F8FE9C9">
            <w:pPr>
              <w:spacing w:after="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F6A63C6">
            <w:pPr>
              <w:widowControl/>
              <w:spacing w:after="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87071C4">
            <w:pPr>
              <w:spacing w:after="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789AEA9">
            <w:pPr>
              <w:spacing w:after="0"/>
              <w:rPr>
                <w:rFonts w:ascii="宋体" w:hAnsi="宋体" w:cs="宋体"/>
                <w:sz w:val="20"/>
              </w:rPr>
            </w:pPr>
          </w:p>
        </w:tc>
      </w:tr>
      <w:tr w14:paraId="086C2CF7">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A9DDA26">
            <w:pPr>
              <w:widowControl/>
              <w:spacing w:after="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14:paraId="58021101">
      <w:pPr>
        <w:pStyle w:val="5"/>
        <w:rPr>
          <w:rFonts w:ascii="宋体" w:hAnsi="宋体" w:eastAsia="宋体" w:cs="宋体"/>
          <w:lang w:val="en-US"/>
        </w:rPr>
      </w:pPr>
    </w:p>
    <w:p w14:paraId="223BEEDA">
      <w:pPr>
        <w:rPr>
          <w:rFonts w:ascii="宋体" w:hAnsi="宋体" w:cs="宋体"/>
          <w:sz w:val="30"/>
          <w:szCs w:val="30"/>
        </w:rPr>
        <w:sectPr>
          <w:pgSz w:w="16838" w:h="11906" w:orient="landscape"/>
          <w:pgMar w:top="1418" w:right="1276" w:bottom="1418" w:left="1247" w:header="851" w:footer="992" w:gutter="0"/>
          <w:pgNumType w:fmt="numberInDash"/>
          <w:cols w:space="720" w:num="1"/>
          <w:titlePg/>
          <w:docGrid w:linePitch="312" w:charSpace="0"/>
        </w:sectPr>
      </w:pPr>
    </w:p>
    <w:p w14:paraId="2A5B03F6">
      <w:pPr>
        <w:rPr>
          <w:rFonts w:ascii="宋体" w:hAnsi="宋体" w:cs="宋体"/>
          <w:b/>
          <w:sz w:val="48"/>
          <w:szCs w:val="48"/>
        </w:rPr>
      </w:pPr>
      <w:r>
        <w:rPr>
          <w:rFonts w:hint="eastAsia" w:ascii="宋体" w:hAnsi="宋体" w:cs="宋体"/>
          <w:sz w:val="30"/>
          <w:szCs w:val="30"/>
        </w:rPr>
        <w:t>附件8（中标后提供）：</w:t>
      </w:r>
    </w:p>
    <w:p w14:paraId="3258E0E3">
      <w:pPr>
        <w:jc w:val="center"/>
        <w:rPr>
          <w:rFonts w:ascii="宋体" w:hAnsi="宋体" w:cs="宋体"/>
          <w:b/>
          <w:sz w:val="48"/>
          <w:szCs w:val="48"/>
        </w:rPr>
      </w:pPr>
    </w:p>
    <w:p w14:paraId="48EF95B6">
      <w:pPr>
        <w:jc w:val="center"/>
        <w:rPr>
          <w:rFonts w:ascii="宋体" w:hAnsi="宋体" w:cs="宋体"/>
          <w:b/>
          <w:sz w:val="48"/>
          <w:szCs w:val="48"/>
        </w:rPr>
      </w:pPr>
      <w:r>
        <w:rPr>
          <w:rFonts w:hint="eastAsia" w:ascii="宋体" w:hAnsi="宋体" w:cs="宋体"/>
          <w:b/>
          <w:sz w:val="48"/>
          <w:szCs w:val="48"/>
        </w:rPr>
        <w:t>承 诺 书</w:t>
      </w:r>
    </w:p>
    <w:p w14:paraId="44983647">
      <w:pPr>
        <w:rPr>
          <w:rFonts w:ascii="宋体" w:hAnsi="宋体" w:cs="宋体"/>
          <w:sz w:val="30"/>
          <w:szCs w:val="30"/>
        </w:rPr>
      </w:pPr>
    </w:p>
    <w:p w14:paraId="5EA694C5">
      <w:pPr>
        <w:rPr>
          <w:rFonts w:ascii="宋体" w:hAnsi="宋体" w:cs="宋体"/>
          <w:sz w:val="30"/>
          <w:szCs w:val="30"/>
        </w:rPr>
      </w:pPr>
      <w:r>
        <w:rPr>
          <w:rFonts w:hint="eastAsia" w:ascii="宋体" w:hAnsi="宋体" w:cs="宋体"/>
          <w:sz w:val="30"/>
          <w:szCs w:val="30"/>
          <w:u w:val="single"/>
        </w:rPr>
        <w:t xml:space="preserve">耀华建设管理有限公司 </w:t>
      </w:r>
      <w:r>
        <w:rPr>
          <w:rFonts w:hint="eastAsia" w:ascii="宋体" w:hAnsi="宋体" w:cs="宋体"/>
          <w:sz w:val="30"/>
          <w:szCs w:val="30"/>
        </w:rPr>
        <w:t>：</w:t>
      </w:r>
    </w:p>
    <w:p w14:paraId="0762467A">
      <w:pPr>
        <w:spacing w:line="780" w:lineRule="exact"/>
        <w:ind w:firstLine="600" w:firstLineChars="200"/>
        <w:rPr>
          <w:rFonts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   </w:t>
      </w:r>
      <w:r>
        <w:rPr>
          <w:rFonts w:hint="eastAsia" w:ascii="宋体" w:hAnsi="宋体" w:cs="宋体"/>
          <w:sz w:val="30"/>
          <w:szCs w:val="30"/>
        </w:rPr>
        <w:t>有幸中标，考虑本项目备案事宜，故由我单位再提供纸质版电子投标文件一式三份（正本一份红章版，副本二份，可为正本复印件）递交给招标代理机构备案，本公司承诺：</w:t>
      </w:r>
    </w:p>
    <w:p w14:paraId="5EC735FB">
      <w:pPr>
        <w:spacing w:line="780" w:lineRule="exact"/>
        <w:ind w:firstLine="600" w:firstLineChars="200"/>
        <w:rPr>
          <w:rFonts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14:paraId="6F0D959D">
      <w:pPr>
        <w:spacing w:line="780" w:lineRule="exact"/>
        <w:ind w:firstLine="450" w:firstLineChars="150"/>
        <w:rPr>
          <w:rFonts w:ascii="宋体" w:hAnsi="宋体" w:cs="宋体"/>
          <w:sz w:val="30"/>
          <w:szCs w:val="30"/>
        </w:rPr>
      </w:pPr>
    </w:p>
    <w:p w14:paraId="0674BBE4">
      <w:pPr>
        <w:spacing w:line="780" w:lineRule="exact"/>
        <w:rPr>
          <w:rFonts w:ascii="宋体" w:hAnsi="宋体" w:cs="宋体"/>
          <w:sz w:val="30"/>
          <w:szCs w:val="30"/>
        </w:rPr>
      </w:pPr>
    </w:p>
    <w:p w14:paraId="7F437F0A">
      <w:pPr>
        <w:spacing w:line="780" w:lineRule="exact"/>
        <w:rPr>
          <w:rFonts w:ascii="宋体" w:hAnsi="宋体" w:cs="宋体"/>
          <w:sz w:val="30"/>
          <w:szCs w:val="30"/>
        </w:rPr>
      </w:pPr>
    </w:p>
    <w:p w14:paraId="78368BA0">
      <w:pPr>
        <w:spacing w:line="780" w:lineRule="exact"/>
        <w:rPr>
          <w:rFonts w:ascii="宋体" w:hAnsi="宋体" w:cs="宋体"/>
          <w:sz w:val="30"/>
          <w:szCs w:val="30"/>
        </w:rPr>
      </w:pPr>
      <w:r>
        <w:rPr>
          <w:rFonts w:hint="eastAsia" w:ascii="宋体" w:hAnsi="宋体" w:cs="宋体"/>
          <w:sz w:val="30"/>
          <w:szCs w:val="30"/>
        </w:rPr>
        <w:t>投标人名称（盖公章）：</w:t>
      </w:r>
    </w:p>
    <w:p w14:paraId="12C27421">
      <w:pPr>
        <w:spacing w:line="780" w:lineRule="exact"/>
        <w:ind w:firstLine="5850" w:firstLineChars="1950"/>
        <w:rPr>
          <w:rFonts w:ascii="宋体" w:hAnsi="宋体" w:cs="宋体"/>
          <w:sz w:val="30"/>
          <w:szCs w:val="30"/>
        </w:rPr>
      </w:pPr>
      <w:r>
        <w:rPr>
          <w:rFonts w:hint="eastAsia" w:ascii="宋体" w:hAnsi="宋体" w:cs="宋体"/>
          <w:sz w:val="30"/>
          <w:szCs w:val="30"/>
        </w:rPr>
        <w:t>2024年   月   日</w:t>
      </w:r>
    </w:p>
    <w:p w14:paraId="4167DA0F">
      <w:pPr>
        <w:rPr>
          <w:rFonts w:ascii="宋体" w:hAnsi="宋体" w:cs="宋体"/>
        </w:rPr>
      </w:pPr>
    </w:p>
    <w:p w14:paraId="33CA2231">
      <w:pPr>
        <w:spacing w:line="360" w:lineRule="auto"/>
        <w:rPr>
          <w:rFonts w:ascii="宋体" w:hAnsi="宋体" w:cs="宋体"/>
          <w:bCs/>
          <w:sz w:val="24"/>
        </w:rPr>
      </w:pPr>
    </w:p>
    <w:sectPr>
      <w:pgSz w:w="11906" w:h="16838"/>
      <w:pgMar w:top="1276" w:right="1418" w:bottom="1247" w:left="1418" w:header="851" w:footer="992" w:gutter="0"/>
      <w:pgNumType w:fmt="numberInDash"/>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
    <w:altName w:val="Microsoft YaHei UI"/>
    <w:panose1 w:val="020B0604020202020204"/>
    <w:charset w:val="00"/>
    <w:family w:val="auto"/>
    <w:pitch w:val="default"/>
    <w:sig w:usb0="00000000" w:usb1="00000000" w:usb2="00000000" w:usb3="00000000" w:csb0="00040001" w:csb1="00000000"/>
  </w:font>
  <w:font w:name="Futura Bk">
    <w:altName w:val="Arial"/>
    <w:panose1 w:val="020B0602020204020303"/>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Microsoft YaHei UI"/>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20B0604020202020204"/>
    <w:charset w:val="00"/>
    <w:family w:val="auto"/>
    <w:pitch w:val="default"/>
    <w:sig w:usb0="00000000" w:usb1="00000000" w:usb2="00000000" w:usb3="00000000" w:csb0="00000011" w:csb1="00000000"/>
  </w:font>
  <w:font w:name=".PingFang SC">
    <w:altName w:val="Microsoft YaHei UI"/>
    <w:panose1 w:val="020B0604020202020204"/>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Microsoft YaHei UI"/>
    <w:panose1 w:val="020B0604020202020204"/>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49E6B">
    <w:pPr>
      <w:tabs>
        <w:tab w:val="center" w:pos="4153"/>
        <w:tab w:val="right" w:pos="8306"/>
      </w:tabs>
      <w:snapToGrid w:val="0"/>
      <w:jc w:val="lef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7C7D1">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07C7D1">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CA93">
    <w:pPr>
      <w:pStyle w:val="41"/>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B3BB8">
                          <w:pPr>
                            <w:pStyle w:val="41"/>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6DB3BB8">
                    <w:pPr>
                      <w:pStyle w:val="41"/>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A38E">
    <w:pPr>
      <w:pStyle w:val="41"/>
      <w:rPr>
        <w:color w:val="0000FF"/>
        <w:u w:val="thick"/>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257DB">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64257DB">
                    <w:pPr>
                      <w:pStyle w:val="41"/>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3360"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Rectangle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75A1079"/>
                      </w:txbxContent>
                    </wps:txbx>
                    <wps:bodyPr wrap="none" lIns="0" tIns="0" rIns="0" bIns="0" upright="1">
                      <a:spAutoFit/>
                    </wps:bodyPr>
                  </wps:wsp>
                </a:graphicData>
              </a:graphic>
            </wp:anchor>
          </w:drawing>
        </mc:Choice>
        <mc:Fallback>
          <w:pict>
            <v:rect id="Rectangle 5"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9&#10;i7SwtgEAAI8DAAAOAAAAAAAAAAEAIAAAAB8BAABkcnMvZTJvRG9jLnhtbFBLBQYAAAAABgAGAFkB&#10;AABHBQAAAAA=&#10;">
              <v:fill on="f" focussize="0,0"/>
              <v:stroke on="f"/>
              <v:imagedata o:title=""/>
              <o:lock v:ext="edit" aspectratio="f"/>
              <v:textbox inset="0mm,0mm,0mm,0mm" style="mso-fit-shape-to-text:t;">
                <w:txbxContent>
                  <w:p w14:paraId="775A1079"/>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AB6D">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66B5A">
                          <w:pPr>
                            <w:pStyle w:val="41"/>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C066B5A">
                    <w:pPr>
                      <w:pStyle w:val="41"/>
                    </w:pPr>
                    <w:r>
                      <w:fldChar w:fldCharType="begin"/>
                    </w:r>
                    <w:r>
                      <w:instrText xml:space="preserve"> PAGE  \* MERGEFORMAT </w:instrText>
                    </w:r>
                    <w:r>
                      <w:fldChar w:fldCharType="separate"/>
                    </w:r>
                    <w:r>
                      <w:t>102</w:t>
                    </w:r>
                    <w:r>
                      <w:fldChar w:fldCharType="end"/>
                    </w:r>
                  </w:p>
                </w:txbxContent>
              </v:textbox>
            </v:shape>
          </w:pict>
        </mc:Fallback>
      </mc:AlternateContent>
    </w:r>
  </w:p>
  <w:p w14:paraId="47125AF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4D93A">
    <w:pPr>
      <w:pStyle w:val="41"/>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DC307">
                          <w:pPr>
                            <w:pStyle w:val="4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F5DC307">
                    <w:pPr>
                      <w:pStyle w:val="41"/>
                    </w:pPr>
                    <w:r>
                      <w:fldChar w:fldCharType="begin"/>
                    </w:r>
                    <w:r>
                      <w:instrText xml:space="preserve"> PAGE  \* MERGEFORMAT </w:instrText>
                    </w:r>
                    <w:r>
                      <w:fldChar w:fldCharType="separate"/>
                    </w:r>
                    <w:r>
                      <w:t>101</w:t>
                    </w:r>
                    <w:r>
                      <w:fldChar w:fldCharType="end"/>
                    </w:r>
                  </w:p>
                </w:txbxContent>
              </v:textbox>
            </v:shape>
          </w:pict>
        </mc:Fallback>
      </mc:AlternateContent>
    </w:r>
  </w:p>
  <w:p w14:paraId="7796F4E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26C5">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68A2A">
                          <w:pPr>
                            <w:pStyle w:val="41"/>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3A68A2A">
                    <w:pPr>
                      <w:pStyle w:val="41"/>
                    </w:pPr>
                    <w:r>
                      <w:fldChar w:fldCharType="begin"/>
                    </w:r>
                    <w:r>
                      <w:instrText xml:space="preserve"> PAGE  \* MERGEFORMAT </w:instrText>
                    </w:r>
                    <w:r>
                      <w:fldChar w:fldCharType="separate"/>
                    </w:r>
                    <w:r>
                      <w:t>107</w:t>
                    </w:r>
                    <w:r>
                      <w:fldChar w:fldCharType="end"/>
                    </w:r>
                  </w:p>
                </w:txbxContent>
              </v:textbox>
            </v:shape>
          </w:pict>
        </mc:Fallback>
      </mc:AlternateContent>
    </w:r>
  </w:p>
  <w:p w14:paraId="7B22C1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A62D">
    <w:pPr>
      <w:pStyle w:val="41"/>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83AD4">
                          <w:pPr>
                            <w:pStyle w:val="41"/>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7E83AD4">
                    <w:pPr>
                      <w:pStyle w:val="41"/>
                    </w:pPr>
                    <w:r>
                      <w:fldChar w:fldCharType="begin"/>
                    </w:r>
                    <w:r>
                      <w:instrText xml:space="preserve"> PAGE  \* MERGEFORMAT </w:instrText>
                    </w:r>
                    <w:r>
                      <w:fldChar w:fldCharType="separate"/>
                    </w:r>
                    <w:r>
                      <w:t>106</w:t>
                    </w:r>
                    <w:r>
                      <w:fldChar w:fldCharType="end"/>
                    </w:r>
                  </w:p>
                </w:txbxContent>
              </v:textbox>
            </v:shape>
          </w:pict>
        </mc:Fallback>
      </mc:AlternateContent>
    </w:r>
  </w:p>
  <w:p w14:paraId="24C798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490A">
    <w:pP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7796C">
                          <w:pPr>
                            <w:pStyle w:val="41"/>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147796C">
                    <w:pPr>
                      <w:pStyle w:val="41"/>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E581">
    <w:pPr>
      <w:pStyle w:val="41"/>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6AB0F">
                          <w:pPr>
                            <w:pStyle w:val="4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CE6AB0F">
                    <w:pPr>
                      <w:pStyle w:val="4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3876">
    <w:pPr>
      <w:pStyle w:val="41"/>
      <w:framePr w:wrap="around" w:vAnchor="text" w:hAnchor="margin" w:xAlign="right" w:y="1"/>
      <w:rPr>
        <w:rStyle w:val="74"/>
      </w:rPr>
    </w:pPr>
    <w:r>
      <w:fldChar w:fldCharType="begin"/>
    </w:r>
    <w:r>
      <w:rPr>
        <w:rStyle w:val="74"/>
      </w:rPr>
      <w:instrText xml:space="preserve">PAGE  </w:instrText>
    </w:r>
    <w:r>
      <w:fldChar w:fldCharType="end"/>
    </w:r>
  </w:p>
  <w:p w14:paraId="6545859B">
    <w:pPr>
      <w:pStyle w:val="4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9764">
    <w:pPr>
      <w:pStyle w:val="42"/>
      <w:pBdr>
        <w:bottom w:val="single" w:color="auto" w:sz="6" w:space="4"/>
      </w:pBdr>
      <w:jc w:val="right"/>
    </w:pPr>
    <w:r>
      <w:t></w:t>
    </w:r>
    <w:r>
      <w:rPr>
        <w:rFonts w:hint="eastAsia"/>
      </w:rPr>
      <w:t xml:space="preserve">             </w:t>
    </w:r>
    <w:r>
      <w:t>杭州市政府采购公开招标文件</w:t>
    </w:r>
  </w:p>
  <w:p w14:paraId="28EB2CDD">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DF43">
    <w:pPr>
      <w:pStyle w:val="42"/>
      <w:pBdr>
        <w:bottom w:val="none" w:color="auto" w:sz="0" w:space="0"/>
      </w:pBdr>
      <w:ind w:firstLine="6480" w:firstLineChars="3600"/>
      <w:jc w:val="both"/>
      <w:rPr>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2C024">
    <w:pPr>
      <w:pStyle w:val="42"/>
      <w:rPr>
        <w:rFonts w:ascii="仿宋_GB2312" w:eastAsia="仿宋_GB2312"/>
        <w:b/>
        <w:i/>
        <w:u w:val="single"/>
      </w:rPr>
    </w:pPr>
    <w:r>
      <w:t></w:t>
    </w:r>
    <w:r>
      <w:rPr>
        <w:rFonts w:hint="eastAsia"/>
      </w:rPr>
      <w:t xml:space="preserve">                                                  </w:t>
    </w:r>
    <w:r>
      <w:t xml:space="preserve">             杭州市政府采购公开招标文件</w:t>
    </w:r>
  </w:p>
  <w:p w14:paraId="5901326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B178">
    <w:pPr>
      <w:pStyle w:val="42"/>
    </w:pPr>
    <w:r>
      <w:t></w:t>
    </w:r>
    <w:r>
      <w:rPr>
        <w:rFonts w:hint="eastAsia"/>
      </w:rPr>
      <w:t xml:space="preserve">         </w:t>
    </w:r>
  </w:p>
  <w:p w14:paraId="3A38FF73">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52F1">
    <w:pPr>
      <w:pStyle w:val="42"/>
      <w:rPr>
        <w:rFonts w:ascii="仿宋_GB2312" w:eastAsia="仿宋_GB2312"/>
        <w:b/>
        <w:i/>
        <w:u w:val="single"/>
      </w:rPr>
    </w:pPr>
    <w:r>
      <w:t></w:t>
    </w:r>
    <w:r>
      <w:rPr>
        <w:rFonts w:hint="eastAsia"/>
      </w:rPr>
      <w:t xml:space="preserve">                                                  </w:t>
    </w:r>
    <w:r>
      <w:t>杭州市政府采购公开招标文件</w:t>
    </w:r>
  </w:p>
  <w:p w14:paraId="7465D96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5BD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9C84">
    <w:pPr>
      <w:pStyle w:val="42"/>
      <w:rPr>
        <w:rFonts w:ascii="仿宋_GB2312" w:eastAsia="仿宋_GB2312"/>
        <w:b/>
        <w:i/>
        <w:u w:val="single"/>
      </w:rPr>
    </w:pPr>
    <w:r>
      <w:t></w:t>
    </w:r>
    <w:r>
      <w:rPr>
        <w:rFonts w:hint="eastAsia"/>
      </w:rPr>
      <w:t xml:space="preserve">                                                  </w:t>
    </w:r>
    <w:r>
      <w:t>杭州市政府采购公开招标文件</w:t>
    </w:r>
  </w:p>
  <w:p w14:paraId="5BB7237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E8BC">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81CB">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31A09"/>
    <w:multiLevelType w:val="singleLevel"/>
    <w:tmpl w:val="8D331A09"/>
    <w:lvl w:ilvl="0" w:tentative="0">
      <w:start w:val="4"/>
      <w:numFmt w:val="decimal"/>
      <w:lvlText w:val="%1."/>
      <w:lvlJc w:val="left"/>
      <w:pPr>
        <w:tabs>
          <w:tab w:val="left" w:pos="312"/>
        </w:tabs>
      </w:pPr>
    </w:lvl>
  </w:abstractNum>
  <w:abstractNum w:abstractNumId="1">
    <w:nsid w:val="990B6FDA"/>
    <w:multiLevelType w:val="singleLevel"/>
    <w:tmpl w:val="990B6FDA"/>
    <w:lvl w:ilvl="0" w:tentative="0">
      <w:start w:val="3"/>
      <w:numFmt w:val="decimal"/>
      <w:suff w:val="nothing"/>
      <w:lvlText w:val="（%1）"/>
      <w:lvlJc w:val="left"/>
    </w:lvl>
  </w:abstractNum>
  <w:abstractNum w:abstractNumId="2">
    <w:nsid w:val="9B699EC4"/>
    <w:multiLevelType w:val="singleLevel"/>
    <w:tmpl w:val="9B699EC4"/>
    <w:lvl w:ilvl="0" w:tentative="0">
      <w:start w:val="13"/>
      <w:numFmt w:val="decimal"/>
      <w:suff w:val="space"/>
      <w:lvlText w:val="%1."/>
      <w:lvlJc w:val="left"/>
    </w:lvl>
  </w:abstractNum>
  <w:abstractNum w:abstractNumId="3">
    <w:nsid w:val="EA87AA04"/>
    <w:multiLevelType w:val="singleLevel"/>
    <w:tmpl w:val="EA87AA04"/>
    <w:lvl w:ilvl="0" w:tentative="0">
      <w:start w:val="1"/>
      <w:numFmt w:val="decimal"/>
      <w:suff w:val="nothing"/>
      <w:lvlText w:val="%1、"/>
      <w:lvlJc w:val="left"/>
    </w:lvl>
  </w:abstractNum>
  <w:abstractNum w:abstractNumId="4">
    <w:nsid w:val="F7F65BC6"/>
    <w:multiLevelType w:val="singleLevel"/>
    <w:tmpl w:val="F7F65BC6"/>
    <w:lvl w:ilvl="0" w:tentative="0">
      <w:start w:val="1"/>
      <w:numFmt w:val="decimal"/>
      <w:suff w:val="nothing"/>
      <w:lvlText w:val="（%1）"/>
      <w:lvlJc w:val="left"/>
    </w:lvl>
  </w:abstractNum>
  <w:abstractNum w:abstractNumId="5">
    <w:nsid w:val="331FA224"/>
    <w:multiLevelType w:val="singleLevel"/>
    <w:tmpl w:val="331FA224"/>
    <w:lvl w:ilvl="0" w:tentative="0">
      <w:start w:val="2"/>
      <w:numFmt w:val="chineseCounting"/>
      <w:suff w:val="nothing"/>
      <w:lvlText w:val="%1、"/>
      <w:lvlJc w:val="left"/>
      <w:rPr>
        <w:rFonts w:hint="eastAsia"/>
      </w:rPr>
    </w:lvl>
  </w:abstractNum>
  <w:abstractNum w:abstractNumId="6">
    <w:nsid w:val="341DFAAC"/>
    <w:multiLevelType w:val="singleLevel"/>
    <w:tmpl w:val="341DFAAC"/>
    <w:lvl w:ilvl="0" w:tentative="0">
      <w:start w:val="8"/>
      <w:numFmt w:val="decimal"/>
      <w:suff w:val="space"/>
      <w:lvlText w:val="%1."/>
      <w:lvlJc w:val="left"/>
    </w:lvl>
  </w:abstractNum>
  <w:abstractNum w:abstractNumId="7">
    <w:nsid w:val="3F86DB75"/>
    <w:multiLevelType w:val="singleLevel"/>
    <w:tmpl w:val="3F86DB75"/>
    <w:lvl w:ilvl="0" w:tentative="0">
      <w:start w:val="1"/>
      <w:numFmt w:val="decimal"/>
      <w:suff w:val="nothing"/>
      <w:lvlText w:val="（%1）"/>
      <w:lvlJc w:val="left"/>
    </w:lvl>
  </w:abstractNum>
  <w:abstractNum w:abstractNumId="8">
    <w:nsid w:val="49FE4753"/>
    <w:multiLevelType w:val="singleLevel"/>
    <w:tmpl w:val="49FE4753"/>
    <w:lvl w:ilvl="0" w:tentative="0">
      <w:start w:val="2"/>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0"/>
  </w:num>
  <w:num w:numId="2">
    <w:abstractNumId w:val="6"/>
  </w:num>
  <w:num w:numId="3">
    <w:abstractNumId w:val="2"/>
  </w:num>
  <w:num w:numId="4">
    <w:abstractNumId w:val="1"/>
  </w:num>
  <w:num w:numId="5">
    <w:abstractNumId w:val="4"/>
  </w:num>
  <w:num w:numId="6">
    <w:abstractNumId w:val="7"/>
  </w:num>
  <w:num w:numId="7">
    <w:abstractNumId w:val="3"/>
  </w:num>
  <w:num w:numId="8">
    <w:abstractNumId w:val="8"/>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MGY1N2U0N2Y1ODhhZmQ2YzY1MzZiNGM0NjIz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185"/>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775"/>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0D4"/>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0EB"/>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BAD"/>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97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31"/>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4A2"/>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AF"/>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1F5"/>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4E1"/>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08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00"/>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D2"/>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EB7"/>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2BC"/>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D5"/>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5F0711"/>
    <w:rsid w:val="026B2E25"/>
    <w:rsid w:val="02824D4D"/>
    <w:rsid w:val="029D33DC"/>
    <w:rsid w:val="02C11145"/>
    <w:rsid w:val="02C54D0A"/>
    <w:rsid w:val="02DC4B10"/>
    <w:rsid w:val="02DD76CE"/>
    <w:rsid w:val="02F36323"/>
    <w:rsid w:val="02F5619C"/>
    <w:rsid w:val="0326446A"/>
    <w:rsid w:val="03265180"/>
    <w:rsid w:val="032D5555"/>
    <w:rsid w:val="03637C43"/>
    <w:rsid w:val="036634D2"/>
    <w:rsid w:val="03DD35E4"/>
    <w:rsid w:val="04076900"/>
    <w:rsid w:val="041A5A3B"/>
    <w:rsid w:val="042311BA"/>
    <w:rsid w:val="042B157A"/>
    <w:rsid w:val="043D6C49"/>
    <w:rsid w:val="04610C8A"/>
    <w:rsid w:val="048F763B"/>
    <w:rsid w:val="049F330E"/>
    <w:rsid w:val="04AA775C"/>
    <w:rsid w:val="04AF1889"/>
    <w:rsid w:val="04EA29AF"/>
    <w:rsid w:val="04F66F48"/>
    <w:rsid w:val="0522479B"/>
    <w:rsid w:val="05251E14"/>
    <w:rsid w:val="052C72BA"/>
    <w:rsid w:val="054B5050"/>
    <w:rsid w:val="0584461F"/>
    <w:rsid w:val="05A16594"/>
    <w:rsid w:val="05A7762D"/>
    <w:rsid w:val="060E5941"/>
    <w:rsid w:val="06110FAF"/>
    <w:rsid w:val="063F4FF8"/>
    <w:rsid w:val="06493CA7"/>
    <w:rsid w:val="06507A3A"/>
    <w:rsid w:val="065A6178"/>
    <w:rsid w:val="066F1CF3"/>
    <w:rsid w:val="06930BB8"/>
    <w:rsid w:val="06A759E0"/>
    <w:rsid w:val="07245D42"/>
    <w:rsid w:val="07264C62"/>
    <w:rsid w:val="07396F8F"/>
    <w:rsid w:val="073E518E"/>
    <w:rsid w:val="076D1943"/>
    <w:rsid w:val="0779354C"/>
    <w:rsid w:val="079E5C2C"/>
    <w:rsid w:val="07D932F8"/>
    <w:rsid w:val="07DB2682"/>
    <w:rsid w:val="08061376"/>
    <w:rsid w:val="08314631"/>
    <w:rsid w:val="08452D77"/>
    <w:rsid w:val="086401F8"/>
    <w:rsid w:val="08751CAA"/>
    <w:rsid w:val="087E4C40"/>
    <w:rsid w:val="08A871D0"/>
    <w:rsid w:val="08A92ADB"/>
    <w:rsid w:val="08D66AD6"/>
    <w:rsid w:val="08DA33A3"/>
    <w:rsid w:val="08E80F13"/>
    <w:rsid w:val="08F216FE"/>
    <w:rsid w:val="090E6DE2"/>
    <w:rsid w:val="09335624"/>
    <w:rsid w:val="0944690F"/>
    <w:rsid w:val="09535675"/>
    <w:rsid w:val="09552265"/>
    <w:rsid w:val="095F057D"/>
    <w:rsid w:val="09642282"/>
    <w:rsid w:val="09733572"/>
    <w:rsid w:val="09772C16"/>
    <w:rsid w:val="098353B5"/>
    <w:rsid w:val="09A92330"/>
    <w:rsid w:val="09B06B87"/>
    <w:rsid w:val="09C13146"/>
    <w:rsid w:val="09E04166"/>
    <w:rsid w:val="09F07D37"/>
    <w:rsid w:val="09FB6F52"/>
    <w:rsid w:val="0A1C0718"/>
    <w:rsid w:val="0A1C72DC"/>
    <w:rsid w:val="0A3E7710"/>
    <w:rsid w:val="0A485AE7"/>
    <w:rsid w:val="0A5B7E63"/>
    <w:rsid w:val="0AA374A5"/>
    <w:rsid w:val="0AAB7649"/>
    <w:rsid w:val="0AB74923"/>
    <w:rsid w:val="0ABC5606"/>
    <w:rsid w:val="0AC77733"/>
    <w:rsid w:val="0AD8145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46A6C"/>
    <w:rsid w:val="0C807AF9"/>
    <w:rsid w:val="0C8445DA"/>
    <w:rsid w:val="0C87121B"/>
    <w:rsid w:val="0CB25DFC"/>
    <w:rsid w:val="0CC007F7"/>
    <w:rsid w:val="0CC617AC"/>
    <w:rsid w:val="0CD1323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15423"/>
    <w:rsid w:val="0DF50604"/>
    <w:rsid w:val="0DF702FE"/>
    <w:rsid w:val="0DFBE98A"/>
    <w:rsid w:val="0E060E51"/>
    <w:rsid w:val="0E466224"/>
    <w:rsid w:val="0E5604B2"/>
    <w:rsid w:val="0E687D96"/>
    <w:rsid w:val="0E6D5D79"/>
    <w:rsid w:val="0E8122BC"/>
    <w:rsid w:val="0E9D0089"/>
    <w:rsid w:val="0EA31DAA"/>
    <w:rsid w:val="0EB803EE"/>
    <w:rsid w:val="0ECA2CF9"/>
    <w:rsid w:val="0ED87086"/>
    <w:rsid w:val="0EF94D4B"/>
    <w:rsid w:val="0F386966"/>
    <w:rsid w:val="0F4958DC"/>
    <w:rsid w:val="0F515DF7"/>
    <w:rsid w:val="0F596BA8"/>
    <w:rsid w:val="0F6248D2"/>
    <w:rsid w:val="0F693536"/>
    <w:rsid w:val="0F7B0511"/>
    <w:rsid w:val="0F7B76D9"/>
    <w:rsid w:val="0F8120BC"/>
    <w:rsid w:val="0F816ACD"/>
    <w:rsid w:val="0F8C0475"/>
    <w:rsid w:val="0F9832DB"/>
    <w:rsid w:val="0FB775B8"/>
    <w:rsid w:val="0FBF3FD2"/>
    <w:rsid w:val="0FBF7FF3"/>
    <w:rsid w:val="100827DD"/>
    <w:rsid w:val="103A56ED"/>
    <w:rsid w:val="10646583"/>
    <w:rsid w:val="107D4B15"/>
    <w:rsid w:val="108A3C80"/>
    <w:rsid w:val="10AD0C8E"/>
    <w:rsid w:val="10C26171"/>
    <w:rsid w:val="10F33360"/>
    <w:rsid w:val="10FC16EA"/>
    <w:rsid w:val="110F1D40"/>
    <w:rsid w:val="11266F33"/>
    <w:rsid w:val="115D4B25"/>
    <w:rsid w:val="118963A1"/>
    <w:rsid w:val="11A00337"/>
    <w:rsid w:val="11BA17CB"/>
    <w:rsid w:val="11C6522A"/>
    <w:rsid w:val="11C93A82"/>
    <w:rsid w:val="11D22462"/>
    <w:rsid w:val="11E104CC"/>
    <w:rsid w:val="11E20309"/>
    <w:rsid w:val="11F25FBD"/>
    <w:rsid w:val="12112075"/>
    <w:rsid w:val="12255233"/>
    <w:rsid w:val="12465D42"/>
    <w:rsid w:val="12530213"/>
    <w:rsid w:val="125C098D"/>
    <w:rsid w:val="127723A9"/>
    <w:rsid w:val="127E513B"/>
    <w:rsid w:val="12862074"/>
    <w:rsid w:val="12883966"/>
    <w:rsid w:val="12902878"/>
    <w:rsid w:val="129E45B4"/>
    <w:rsid w:val="12D81596"/>
    <w:rsid w:val="13072A44"/>
    <w:rsid w:val="133631BD"/>
    <w:rsid w:val="134D0507"/>
    <w:rsid w:val="135F4BE2"/>
    <w:rsid w:val="139B1A0A"/>
    <w:rsid w:val="139D25C7"/>
    <w:rsid w:val="13BF3CE4"/>
    <w:rsid w:val="13CB3F8C"/>
    <w:rsid w:val="1409552B"/>
    <w:rsid w:val="141008D8"/>
    <w:rsid w:val="14125FE6"/>
    <w:rsid w:val="141A488D"/>
    <w:rsid w:val="14360683"/>
    <w:rsid w:val="146D271E"/>
    <w:rsid w:val="14982588"/>
    <w:rsid w:val="149A5AD9"/>
    <w:rsid w:val="14A7619D"/>
    <w:rsid w:val="14DE0216"/>
    <w:rsid w:val="150536C3"/>
    <w:rsid w:val="150C1963"/>
    <w:rsid w:val="151447A0"/>
    <w:rsid w:val="154A6454"/>
    <w:rsid w:val="156E33E2"/>
    <w:rsid w:val="15762120"/>
    <w:rsid w:val="15CE3AC2"/>
    <w:rsid w:val="15F95E03"/>
    <w:rsid w:val="15FFC606"/>
    <w:rsid w:val="16353C00"/>
    <w:rsid w:val="168018A6"/>
    <w:rsid w:val="168E2116"/>
    <w:rsid w:val="16A8729C"/>
    <w:rsid w:val="16B33777"/>
    <w:rsid w:val="16BA2357"/>
    <w:rsid w:val="16BC70A7"/>
    <w:rsid w:val="16C6339E"/>
    <w:rsid w:val="16E51904"/>
    <w:rsid w:val="16F05A82"/>
    <w:rsid w:val="16FC3078"/>
    <w:rsid w:val="170F0BB1"/>
    <w:rsid w:val="1725638F"/>
    <w:rsid w:val="172F2D79"/>
    <w:rsid w:val="17557BEF"/>
    <w:rsid w:val="176A4750"/>
    <w:rsid w:val="17AF5FA7"/>
    <w:rsid w:val="17B835F2"/>
    <w:rsid w:val="17D349C1"/>
    <w:rsid w:val="17DA14C4"/>
    <w:rsid w:val="17FB68D0"/>
    <w:rsid w:val="17FFBB93"/>
    <w:rsid w:val="1830729E"/>
    <w:rsid w:val="185653A2"/>
    <w:rsid w:val="18583BD5"/>
    <w:rsid w:val="185A192D"/>
    <w:rsid w:val="1870062C"/>
    <w:rsid w:val="187E5C82"/>
    <w:rsid w:val="18817102"/>
    <w:rsid w:val="18830A15"/>
    <w:rsid w:val="18852B28"/>
    <w:rsid w:val="188B5321"/>
    <w:rsid w:val="18E04109"/>
    <w:rsid w:val="18FD3E12"/>
    <w:rsid w:val="191E5B42"/>
    <w:rsid w:val="192937A4"/>
    <w:rsid w:val="197A30B0"/>
    <w:rsid w:val="199013B8"/>
    <w:rsid w:val="19924EC5"/>
    <w:rsid w:val="19932372"/>
    <w:rsid w:val="19A20DD5"/>
    <w:rsid w:val="19A36A10"/>
    <w:rsid w:val="19AE03F1"/>
    <w:rsid w:val="19C332D1"/>
    <w:rsid w:val="1A071A03"/>
    <w:rsid w:val="1A1F16AE"/>
    <w:rsid w:val="1A3B5C77"/>
    <w:rsid w:val="1A8921DE"/>
    <w:rsid w:val="1A984BAD"/>
    <w:rsid w:val="1AB324F9"/>
    <w:rsid w:val="1AB8220E"/>
    <w:rsid w:val="1ABB48B7"/>
    <w:rsid w:val="1AE4166C"/>
    <w:rsid w:val="1AE94FB9"/>
    <w:rsid w:val="1AF06CFB"/>
    <w:rsid w:val="1AF11B8D"/>
    <w:rsid w:val="1B11359C"/>
    <w:rsid w:val="1B2A271F"/>
    <w:rsid w:val="1B530544"/>
    <w:rsid w:val="1B582FCD"/>
    <w:rsid w:val="1B5F46B3"/>
    <w:rsid w:val="1B707C9E"/>
    <w:rsid w:val="1B713184"/>
    <w:rsid w:val="1B772CA8"/>
    <w:rsid w:val="1B8626D9"/>
    <w:rsid w:val="1BA209CF"/>
    <w:rsid w:val="1BB4777D"/>
    <w:rsid w:val="1BD75AB8"/>
    <w:rsid w:val="1C006C43"/>
    <w:rsid w:val="1C0459C2"/>
    <w:rsid w:val="1C062F35"/>
    <w:rsid w:val="1C1B3B4A"/>
    <w:rsid w:val="1C250273"/>
    <w:rsid w:val="1C262856"/>
    <w:rsid w:val="1C545F51"/>
    <w:rsid w:val="1C710FD3"/>
    <w:rsid w:val="1C7DA7F9"/>
    <w:rsid w:val="1C88086E"/>
    <w:rsid w:val="1C9B40CC"/>
    <w:rsid w:val="1CC642FB"/>
    <w:rsid w:val="1CD37CCF"/>
    <w:rsid w:val="1D266CE1"/>
    <w:rsid w:val="1D3963AF"/>
    <w:rsid w:val="1D4201C9"/>
    <w:rsid w:val="1D4E3E6E"/>
    <w:rsid w:val="1D4F29EA"/>
    <w:rsid w:val="1D6A673C"/>
    <w:rsid w:val="1D790876"/>
    <w:rsid w:val="1D7C2114"/>
    <w:rsid w:val="1D7D51F2"/>
    <w:rsid w:val="1D9247AE"/>
    <w:rsid w:val="1D9C2121"/>
    <w:rsid w:val="1DA767F2"/>
    <w:rsid w:val="1DB567EC"/>
    <w:rsid w:val="1DBF50E4"/>
    <w:rsid w:val="1DCC50B6"/>
    <w:rsid w:val="1DF51A98"/>
    <w:rsid w:val="1E3D060F"/>
    <w:rsid w:val="1E3F7D2E"/>
    <w:rsid w:val="1E4134E4"/>
    <w:rsid w:val="1E5062B3"/>
    <w:rsid w:val="1E523514"/>
    <w:rsid w:val="1E714A66"/>
    <w:rsid w:val="1E796A23"/>
    <w:rsid w:val="1E802593"/>
    <w:rsid w:val="1E88104D"/>
    <w:rsid w:val="1E8B6156"/>
    <w:rsid w:val="1E8D79A1"/>
    <w:rsid w:val="1E975EC3"/>
    <w:rsid w:val="1EA703CC"/>
    <w:rsid w:val="1EB7330C"/>
    <w:rsid w:val="1EEC6EB1"/>
    <w:rsid w:val="1F0A0FF3"/>
    <w:rsid w:val="1F122D30"/>
    <w:rsid w:val="1F5771FF"/>
    <w:rsid w:val="1FDE05CD"/>
    <w:rsid w:val="1FDF7B5E"/>
    <w:rsid w:val="1FE6713F"/>
    <w:rsid w:val="1FE868A9"/>
    <w:rsid w:val="1FFFFD07"/>
    <w:rsid w:val="20034907"/>
    <w:rsid w:val="20173E4B"/>
    <w:rsid w:val="202C17FF"/>
    <w:rsid w:val="203C3DDD"/>
    <w:rsid w:val="204E48BC"/>
    <w:rsid w:val="204F2844"/>
    <w:rsid w:val="20634390"/>
    <w:rsid w:val="208921B3"/>
    <w:rsid w:val="20973DEB"/>
    <w:rsid w:val="20B26522"/>
    <w:rsid w:val="20B44310"/>
    <w:rsid w:val="20CE2C87"/>
    <w:rsid w:val="2110329F"/>
    <w:rsid w:val="211116EB"/>
    <w:rsid w:val="21360454"/>
    <w:rsid w:val="216133FC"/>
    <w:rsid w:val="21630AD6"/>
    <w:rsid w:val="21750B44"/>
    <w:rsid w:val="21D56769"/>
    <w:rsid w:val="21E52EF3"/>
    <w:rsid w:val="21FB5D7B"/>
    <w:rsid w:val="22015E94"/>
    <w:rsid w:val="220B1C3D"/>
    <w:rsid w:val="2216522B"/>
    <w:rsid w:val="221D1D20"/>
    <w:rsid w:val="22221946"/>
    <w:rsid w:val="22266AF2"/>
    <w:rsid w:val="22334A87"/>
    <w:rsid w:val="22484CBB"/>
    <w:rsid w:val="22864192"/>
    <w:rsid w:val="22B22E6A"/>
    <w:rsid w:val="22BE6801"/>
    <w:rsid w:val="22DE117B"/>
    <w:rsid w:val="23011949"/>
    <w:rsid w:val="233500BF"/>
    <w:rsid w:val="23377FF7"/>
    <w:rsid w:val="235F7B41"/>
    <w:rsid w:val="236B425F"/>
    <w:rsid w:val="237ED8C6"/>
    <w:rsid w:val="23836192"/>
    <w:rsid w:val="23901F29"/>
    <w:rsid w:val="239C0061"/>
    <w:rsid w:val="23B908A4"/>
    <w:rsid w:val="23D04F68"/>
    <w:rsid w:val="23DD0217"/>
    <w:rsid w:val="23E95BEF"/>
    <w:rsid w:val="23FD0064"/>
    <w:rsid w:val="24411C10"/>
    <w:rsid w:val="245375B0"/>
    <w:rsid w:val="245E1D27"/>
    <w:rsid w:val="24642C0A"/>
    <w:rsid w:val="249A3E89"/>
    <w:rsid w:val="24AB22DB"/>
    <w:rsid w:val="24AF1021"/>
    <w:rsid w:val="24B22173"/>
    <w:rsid w:val="24B95AD9"/>
    <w:rsid w:val="24BE24DA"/>
    <w:rsid w:val="24CF5825"/>
    <w:rsid w:val="24D663E6"/>
    <w:rsid w:val="24D77F2B"/>
    <w:rsid w:val="2516108F"/>
    <w:rsid w:val="25645A5F"/>
    <w:rsid w:val="25707E62"/>
    <w:rsid w:val="258B00E2"/>
    <w:rsid w:val="25A917A6"/>
    <w:rsid w:val="25BE27CC"/>
    <w:rsid w:val="25E05E84"/>
    <w:rsid w:val="25E93D5F"/>
    <w:rsid w:val="25F74A5C"/>
    <w:rsid w:val="25FEDEF9"/>
    <w:rsid w:val="25FF32BB"/>
    <w:rsid w:val="26190E48"/>
    <w:rsid w:val="26213859"/>
    <w:rsid w:val="2628108B"/>
    <w:rsid w:val="2628662C"/>
    <w:rsid w:val="262D45DE"/>
    <w:rsid w:val="26502390"/>
    <w:rsid w:val="26871DC8"/>
    <w:rsid w:val="269F4B16"/>
    <w:rsid w:val="26A3CB33"/>
    <w:rsid w:val="26A53EF9"/>
    <w:rsid w:val="26A94201"/>
    <w:rsid w:val="26AC274F"/>
    <w:rsid w:val="26F32886"/>
    <w:rsid w:val="27044A29"/>
    <w:rsid w:val="271C72EF"/>
    <w:rsid w:val="271D34C8"/>
    <w:rsid w:val="27426741"/>
    <w:rsid w:val="276142BF"/>
    <w:rsid w:val="27723B5D"/>
    <w:rsid w:val="27783712"/>
    <w:rsid w:val="278A18D2"/>
    <w:rsid w:val="27907362"/>
    <w:rsid w:val="27CA66E4"/>
    <w:rsid w:val="27F32958"/>
    <w:rsid w:val="28333E1D"/>
    <w:rsid w:val="28454BD6"/>
    <w:rsid w:val="28455253"/>
    <w:rsid w:val="284A1E38"/>
    <w:rsid w:val="28551971"/>
    <w:rsid w:val="285B1C53"/>
    <w:rsid w:val="289F7086"/>
    <w:rsid w:val="28B90FCE"/>
    <w:rsid w:val="28C32028"/>
    <w:rsid w:val="28CC490F"/>
    <w:rsid w:val="28DE40AA"/>
    <w:rsid w:val="29345E77"/>
    <w:rsid w:val="293E2974"/>
    <w:rsid w:val="294C65AD"/>
    <w:rsid w:val="296B665F"/>
    <w:rsid w:val="29806583"/>
    <w:rsid w:val="298B3C4C"/>
    <w:rsid w:val="2992706C"/>
    <w:rsid w:val="29BF7F53"/>
    <w:rsid w:val="29CD2A22"/>
    <w:rsid w:val="29CE3CF8"/>
    <w:rsid w:val="29DE104E"/>
    <w:rsid w:val="29F26D24"/>
    <w:rsid w:val="29F61B4D"/>
    <w:rsid w:val="29FE3BD4"/>
    <w:rsid w:val="2A15033F"/>
    <w:rsid w:val="2A1662C1"/>
    <w:rsid w:val="2A1C7367"/>
    <w:rsid w:val="2A2815FA"/>
    <w:rsid w:val="2A3B2086"/>
    <w:rsid w:val="2A5D18A5"/>
    <w:rsid w:val="2A6D6092"/>
    <w:rsid w:val="2A7D76B4"/>
    <w:rsid w:val="2AA80E45"/>
    <w:rsid w:val="2B015402"/>
    <w:rsid w:val="2B163BA8"/>
    <w:rsid w:val="2B305A68"/>
    <w:rsid w:val="2B437463"/>
    <w:rsid w:val="2B7557D2"/>
    <w:rsid w:val="2B7807EE"/>
    <w:rsid w:val="2B794137"/>
    <w:rsid w:val="2BA42A39"/>
    <w:rsid w:val="2BA50BF7"/>
    <w:rsid w:val="2BB221A4"/>
    <w:rsid w:val="2BBF00EC"/>
    <w:rsid w:val="2BC37CFD"/>
    <w:rsid w:val="2BC659C1"/>
    <w:rsid w:val="2BD5237F"/>
    <w:rsid w:val="2BDFA23F"/>
    <w:rsid w:val="2BE536CE"/>
    <w:rsid w:val="2BE758D9"/>
    <w:rsid w:val="2BF75C5C"/>
    <w:rsid w:val="2C09049E"/>
    <w:rsid w:val="2C0A653C"/>
    <w:rsid w:val="2C191F85"/>
    <w:rsid w:val="2C194BB5"/>
    <w:rsid w:val="2C410A4D"/>
    <w:rsid w:val="2C4502D2"/>
    <w:rsid w:val="2C542B89"/>
    <w:rsid w:val="2CC67518"/>
    <w:rsid w:val="2CD43F6A"/>
    <w:rsid w:val="2CE1359E"/>
    <w:rsid w:val="2CE82D6F"/>
    <w:rsid w:val="2CEA258C"/>
    <w:rsid w:val="2D343236"/>
    <w:rsid w:val="2D5A6F34"/>
    <w:rsid w:val="2DD15014"/>
    <w:rsid w:val="2DF72DE4"/>
    <w:rsid w:val="2E0220AF"/>
    <w:rsid w:val="2E1139B1"/>
    <w:rsid w:val="2E4B082A"/>
    <w:rsid w:val="2E5D4E86"/>
    <w:rsid w:val="2E5D790B"/>
    <w:rsid w:val="2E7EFD27"/>
    <w:rsid w:val="2E9A3C18"/>
    <w:rsid w:val="2EBB0FEE"/>
    <w:rsid w:val="2EC63002"/>
    <w:rsid w:val="2F0A6B38"/>
    <w:rsid w:val="2F207E23"/>
    <w:rsid w:val="2F946CCB"/>
    <w:rsid w:val="2FA20693"/>
    <w:rsid w:val="2FD25781"/>
    <w:rsid w:val="2FD61B58"/>
    <w:rsid w:val="2FDB0F1C"/>
    <w:rsid w:val="2FDC745C"/>
    <w:rsid w:val="2FED1639"/>
    <w:rsid w:val="2FFB4F1B"/>
    <w:rsid w:val="2FFD7934"/>
    <w:rsid w:val="2FFFE789"/>
    <w:rsid w:val="302949CC"/>
    <w:rsid w:val="306233EC"/>
    <w:rsid w:val="30733ACD"/>
    <w:rsid w:val="307500E6"/>
    <w:rsid w:val="3087288E"/>
    <w:rsid w:val="308C3862"/>
    <w:rsid w:val="309379D8"/>
    <w:rsid w:val="30A270F7"/>
    <w:rsid w:val="30D769D8"/>
    <w:rsid w:val="30DF1478"/>
    <w:rsid w:val="30EC586F"/>
    <w:rsid w:val="30ED4C96"/>
    <w:rsid w:val="310D22B4"/>
    <w:rsid w:val="3118501B"/>
    <w:rsid w:val="31466CA2"/>
    <w:rsid w:val="314B20D2"/>
    <w:rsid w:val="317C1D4D"/>
    <w:rsid w:val="319C6071"/>
    <w:rsid w:val="31AC537E"/>
    <w:rsid w:val="31CC3212"/>
    <w:rsid w:val="31E3679B"/>
    <w:rsid w:val="31E732FD"/>
    <w:rsid w:val="321F0160"/>
    <w:rsid w:val="323827FE"/>
    <w:rsid w:val="32517576"/>
    <w:rsid w:val="32653478"/>
    <w:rsid w:val="32987598"/>
    <w:rsid w:val="32B06690"/>
    <w:rsid w:val="32BE5C2C"/>
    <w:rsid w:val="32D926FA"/>
    <w:rsid w:val="32D944BE"/>
    <w:rsid w:val="32EE1485"/>
    <w:rsid w:val="32FB6478"/>
    <w:rsid w:val="33263B3F"/>
    <w:rsid w:val="333B41AA"/>
    <w:rsid w:val="336963EB"/>
    <w:rsid w:val="33816EEB"/>
    <w:rsid w:val="33A248D7"/>
    <w:rsid w:val="33EB55CD"/>
    <w:rsid w:val="33EC4C02"/>
    <w:rsid w:val="33EC5A07"/>
    <w:rsid w:val="33FE471E"/>
    <w:rsid w:val="33FE552A"/>
    <w:rsid w:val="340D2360"/>
    <w:rsid w:val="340E201A"/>
    <w:rsid w:val="3410665D"/>
    <w:rsid w:val="341855F6"/>
    <w:rsid w:val="34211214"/>
    <w:rsid w:val="342E63AB"/>
    <w:rsid w:val="34950E68"/>
    <w:rsid w:val="34986E94"/>
    <w:rsid w:val="34AD63ED"/>
    <w:rsid w:val="34AF62C9"/>
    <w:rsid w:val="34CB2B71"/>
    <w:rsid w:val="34CB4388"/>
    <w:rsid w:val="34D74B07"/>
    <w:rsid w:val="34DB777E"/>
    <w:rsid w:val="34EC7728"/>
    <w:rsid w:val="34F012EF"/>
    <w:rsid w:val="34F07218"/>
    <w:rsid w:val="34F51EBB"/>
    <w:rsid w:val="34FA6E12"/>
    <w:rsid w:val="350E3009"/>
    <w:rsid w:val="35155630"/>
    <w:rsid w:val="352572C4"/>
    <w:rsid w:val="354D7158"/>
    <w:rsid w:val="35601241"/>
    <w:rsid w:val="358D5588"/>
    <w:rsid w:val="35BD6DB2"/>
    <w:rsid w:val="363A3B40"/>
    <w:rsid w:val="363F179F"/>
    <w:rsid w:val="363F5695"/>
    <w:rsid w:val="365302AE"/>
    <w:rsid w:val="36607A0A"/>
    <w:rsid w:val="36627C78"/>
    <w:rsid w:val="366E227C"/>
    <w:rsid w:val="366F2E0D"/>
    <w:rsid w:val="367B6A5C"/>
    <w:rsid w:val="36A74ADA"/>
    <w:rsid w:val="36AD60D5"/>
    <w:rsid w:val="36B224F9"/>
    <w:rsid w:val="36B786B5"/>
    <w:rsid w:val="36B85B13"/>
    <w:rsid w:val="36D33D76"/>
    <w:rsid w:val="36EC0CC9"/>
    <w:rsid w:val="36F7738E"/>
    <w:rsid w:val="373F410B"/>
    <w:rsid w:val="377F9A4C"/>
    <w:rsid w:val="37C4673A"/>
    <w:rsid w:val="37DF1A25"/>
    <w:rsid w:val="37EE7094"/>
    <w:rsid w:val="38196A86"/>
    <w:rsid w:val="38296C89"/>
    <w:rsid w:val="383002EB"/>
    <w:rsid w:val="38382067"/>
    <w:rsid w:val="38586797"/>
    <w:rsid w:val="388B3F0B"/>
    <w:rsid w:val="38BC0149"/>
    <w:rsid w:val="38D806EF"/>
    <w:rsid w:val="38D87D1C"/>
    <w:rsid w:val="38EF231B"/>
    <w:rsid w:val="38F47D12"/>
    <w:rsid w:val="39432D80"/>
    <w:rsid w:val="39534219"/>
    <w:rsid w:val="39633E80"/>
    <w:rsid w:val="39636459"/>
    <w:rsid w:val="396B7F6C"/>
    <w:rsid w:val="398323D7"/>
    <w:rsid w:val="39A70FC6"/>
    <w:rsid w:val="39B417A9"/>
    <w:rsid w:val="39C40C73"/>
    <w:rsid w:val="39DB3136"/>
    <w:rsid w:val="39E078E0"/>
    <w:rsid w:val="39FC5695"/>
    <w:rsid w:val="3A006D8E"/>
    <w:rsid w:val="3A3651E5"/>
    <w:rsid w:val="3A3F6CD6"/>
    <w:rsid w:val="3A660D8C"/>
    <w:rsid w:val="3A744481"/>
    <w:rsid w:val="3A7C1D7A"/>
    <w:rsid w:val="3A8C7BEF"/>
    <w:rsid w:val="3A906246"/>
    <w:rsid w:val="3AFE01B5"/>
    <w:rsid w:val="3B2349B7"/>
    <w:rsid w:val="3B2C4D22"/>
    <w:rsid w:val="3B4756B8"/>
    <w:rsid w:val="3B4F2FF8"/>
    <w:rsid w:val="3B553D0D"/>
    <w:rsid w:val="3B5B7FF3"/>
    <w:rsid w:val="3B616CFF"/>
    <w:rsid w:val="3B6259F6"/>
    <w:rsid w:val="3B7FD73B"/>
    <w:rsid w:val="3B866C92"/>
    <w:rsid w:val="3B976654"/>
    <w:rsid w:val="3BC01EFC"/>
    <w:rsid w:val="3BCA786A"/>
    <w:rsid w:val="3BD31E2F"/>
    <w:rsid w:val="3BDAE8E7"/>
    <w:rsid w:val="3BED040E"/>
    <w:rsid w:val="3BF15831"/>
    <w:rsid w:val="3C105946"/>
    <w:rsid w:val="3C26116E"/>
    <w:rsid w:val="3C471448"/>
    <w:rsid w:val="3C4C79C1"/>
    <w:rsid w:val="3C5F759A"/>
    <w:rsid w:val="3C6C525A"/>
    <w:rsid w:val="3C7614D6"/>
    <w:rsid w:val="3CAD010B"/>
    <w:rsid w:val="3CCE23CB"/>
    <w:rsid w:val="3CD17D17"/>
    <w:rsid w:val="3CE7DBBA"/>
    <w:rsid w:val="3CF3F4ED"/>
    <w:rsid w:val="3D102ED4"/>
    <w:rsid w:val="3D234B52"/>
    <w:rsid w:val="3D3C7F39"/>
    <w:rsid w:val="3D440F09"/>
    <w:rsid w:val="3D4504A0"/>
    <w:rsid w:val="3D476BFB"/>
    <w:rsid w:val="3D593100"/>
    <w:rsid w:val="3D5CC4B3"/>
    <w:rsid w:val="3D726707"/>
    <w:rsid w:val="3D8734BB"/>
    <w:rsid w:val="3D9A11D4"/>
    <w:rsid w:val="3DA16D89"/>
    <w:rsid w:val="3DA364BE"/>
    <w:rsid w:val="3DDA1BF4"/>
    <w:rsid w:val="3DE041CB"/>
    <w:rsid w:val="3DF031BF"/>
    <w:rsid w:val="3E0B0558"/>
    <w:rsid w:val="3E0D48F6"/>
    <w:rsid w:val="3E1868B4"/>
    <w:rsid w:val="3E377251"/>
    <w:rsid w:val="3E3FF537"/>
    <w:rsid w:val="3E42664B"/>
    <w:rsid w:val="3E481E73"/>
    <w:rsid w:val="3E5A7334"/>
    <w:rsid w:val="3E6B7393"/>
    <w:rsid w:val="3E6C368F"/>
    <w:rsid w:val="3E7B5D6B"/>
    <w:rsid w:val="3E843E66"/>
    <w:rsid w:val="3E8F51FE"/>
    <w:rsid w:val="3E926F87"/>
    <w:rsid w:val="3E928F5E"/>
    <w:rsid w:val="3E950E30"/>
    <w:rsid w:val="3E9A59DE"/>
    <w:rsid w:val="3EAF4836"/>
    <w:rsid w:val="3EC33DFA"/>
    <w:rsid w:val="3EDED213"/>
    <w:rsid w:val="3EEF714A"/>
    <w:rsid w:val="3EF557D9"/>
    <w:rsid w:val="3EFBF062"/>
    <w:rsid w:val="3F060E16"/>
    <w:rsid w:val="3F1D1096"/>
    <w:rsid w:val="3F2D7A9A"/>
    <w:rsid w:val="3F2F0234"/>
    <w:rsid w:val="3F2FED2C"/>
    <w:rsid w:val="3F3F6BFA"/>
    <w:rsid w:val="3F6363FE"/>
    <w:rsid w:val="3F6779D6"/>
    <w:rsid w:val="3F756B8F"/>
    <w:rsid w:val="3F7786ED"/>
    <w:rsid w:val="3F7EE42C"/>
    <w:rsid w:val="3F7FA86E"/>
    <w:rsid w:val="3F95482B"/>
    <w:rsid w:val="3F9D493E"/>
    <w:rsid w:val="3FC7A0D5"/>
    <w:rsid w:val="3FEE3499"/>
    <w:rsid w:val="3FFB2C30"/>
    <w:rsid w:val="3FFB87AC"/>
    <w:rsid w:val="4019356B"/>
    <w:rsid w:val="40592157"/>
    <w:rsid w:val="406E1CAE"/>
    <w:rsid w:val="407253E5"/>
    <w:rsid w:val="409E07FB"/>
    <w:rsid w:val="40A0133A"/>
    <w:rsid w:val="40C31A53"/>
    <w:rsid w:val="40EF4858"/>
    <w:rsid w:val="40FF545D"/>
    <w:rsid w:val="410067C8"/>
    <w:rsid w:val="41166DBF"/>
    <w:rsid w:val="413D2E66"/>
    <w:rsid w:val="416261FF"/>
    <w:rsid w:val="4176014F"/>
    <w:rsid w:val="418F0D2A"/>
    <w:rsid w:val="41D01505"/>
    <w:rsid w:val="41F4234A"/>
    <w:rsid w:val="421813CB"/>
    <w:rsid w:val="423A1F6F"/>
    <w:rsid w:val="42474939"/>
    <w:rsid w:val="424C3C57"/>
    <w:rsid w:val="42613FF3"/>
    <w:rsid w:val="42660D96"/>
    <w:rsid w:val="428667D2"/>
    <w:rsid w:val="4287348F"/>
    <w:rsid w:val="42892025"/>
    <w:rsid w:val="42A87384"/>
    <w:rsid w:val="42CD1CE0"/>
    <w:rsid w:val="42E1381E"/>
    <w:rsid w:val="42ED6459"/>
    <w:rsid w:val="42FE58DD"/>
    <w:rsid w:val="43174B3D"/>
    <w:rsid w:val="434B790E"/>
    <w:rsid w:val="43505326"/>
    <w:rsid w:val="435F6E3A"/>
    <w:rsid w:val="4360274F"/>
    <w:rsid w:val="43977AB6"/>
    <w:rsid w:val="43A3342B"/>
    <w:rsid w:val="43AA0EDA"/>
    <w:rsid w:val="43C77C27"/>
    <w:rsid w:val="43DE09EE"/>
    <w:rsid w:val="44002FAD"/>
    <w:rsid w:val="44285F01"/>
    <w:rsid w:val="442F5668"/>
    <w:rsid w:val="44876256"/>
    <w:rsid w:val="449101DD"/>
    <w:rsid w:val="44DE1391"/>
    <w:rsid w:val="44E65F41"/>
    <w:rsid w:val="451B225C"/>
    <w:rsid w:val="452410C9"/>
    <w:rsid w:val="45317DFB"/>
    <w:rsid w:val="45655909"/>
    <w:rsid w:val="456D3CE4"/>
    <w:rsid w:val="4579042C"/>
    <w:rsid w:val="457F0571"/>
    <w:rsid w:val="45851176"/>
    <w:rsid w:val="459B6D22"/>
    <w:rsid w:val="45C63B94"/>
    <w:rsid w:val="45F20F05"/>
    <w:rsid w:val="460E7DA5"/>
    <w:rsid w:val="46422483"/>
    <w:rsid w:val="4659254A"/>
    <w:rsid w:val="465B0637"/>
    <w:rsid w:val="465E3F0D"/>
    <w:rsid w:val="466A16E6"/>
    <w:rsid w:val="46893F2B"/>
    <w:rsid w:val="46C4686E"/>
    <w:rsid w:val="46D36999"/>
    <w:rsid w:val="470D17DA"/>
    <w:rsid w:val="477B778F"/>
    <w:rsid w:val="477F4B5C"/>
    <w:rsid w:val="478203EC"/>
    <w:rsid w:val="47AB6765"/>
    <w:rsid w:val="47B025FA"/>
    <w:rsid w:val="4809698F"/>
    <w:rsid w:val="480A715A"/>
    <w:rsid w:val="4811697D"/>
    <w:rsid w:val="483F75F7"/>
    <w:rsid w:val="487A3E25"/>
    <w:rsid w:val="488990CB"/>
    <w:rsid w:val="488B5503"/>
    <w:rsid w:val="48937E21"/>
    <w:rsid w:val="48983364"/>
    <w:rsid w:val="489A0361"/>
    <w:rsid w:val="48AC1250"/>
    <w:rsid w:val="48B94FF3"/>
    <w:rsid w:val="48E37AAB"/>
    <w:rsid w:val="48F816DC"/>
    <w:rsid w:val="48FD4B4C"/>
    <w:rsid w:val="490A68E0"/>
    <w:rsid w:val="491055FE"/>
    <w:rsid w:val="494168BE"/>
    <w:rsid w:val="494B9E45"/>
    <w:rsid w:val="495F5B3E"/>
    <w:rsid w:val="496F77D7"/>
    <w:rsid w:val="497654FD"/>
    <w:rsid w:val="499A1C65"/>
    <w:rsid w:val="49B64211"/>
    <w:rsid w:val="49CD4095"/>
    <w:rsid w:val="49F6167F"/>
    <w:rsid w:val="49F663F3"/>
    <w:rsid w:val="4A064FA0"/>
    <w:rsid w:val="4A16615C"/>
    <w:rsid w:val="4A214685"/>
    <w:rsid w:val="4A2A4B22"/>
    <w:rsid w:val="4A437D93"/>
    <w:rsid w:val="4A4424D7"/>
    <w:rsid w:val="4A5815D6"/>
    <w:rsid w:val="4A7E76CF"/>
    <w:rsid w:val="4AB82D0F"/>
    <w:rsid w:val="4AEB7664"/>
    <w:rsid w:val="4AEE3DA2"/>
    <w:rsid w:val="4AFD7C19"/>
    <w:rsid w:val="4B0567D1"/>
    <w:rsid w:val="4B236AAE"/>
    <w:rsid w:val="4B2945C0"/>
    <w:rsid w:val="4B707271"/>
    <w:rsid w:val="4B7D067B"/>
    <w:rsid w:val="4B9739F7"/>
    <w:rsid w:val="4BEE2503"/>
    <w:rsid w:val="4BF073E5"/>
    <w:rsid w:val="4C245A30"/>
    <w:rsid w:val="4C433C79"/>
    <w:rsid w:val="4C8A18A8"/>
    <w:rsid w:val="4CA03513"/>
    <w:rsid w:val="4CB6685F"/>
    <w:rsid w:val="4CC367FE"/>
    <w:rsid w:val="4CFBF013"/>
    <w:rsid w:val="4D077F3C"/>
    <w:rsid w:val="4D123355"/>
    <w:rsid w:val="4D185106"/>
    <w:rsid w:val="4D2A3B31"/>
    <w:rsid w:val="4D312C52"/>
    <w:rsid w:val="4D5136C7"/>
    <w:rsid w:val="4D905305"/>
    <w:rsid w:val="4D964A72"/>
    <w:rsid w:val="4D9C1254"/>
    <w:rsid w:val="4E063EDB"/>
    <w:rsid w:val="4E4937A4"/>
    <w:rsid w:val="4E6D7856"/>
    <w:rsid w:val="4E793892"/>
    <w:rsid w:val="4E800872"/>
    <w:rsid w:val="4EC569ED"/>
    <w:rsid w:val="4ED50EA1"/>
    <w:rsid w:val="4EEB1786"/>
    <w:rsid w:val="4EEC050C"/>
    <w:rsid w:val="4F104EC3"/>
    <w:rsid w:val="4F281E23"/>
    <w:rsid w:val="4F2C1DF1"/>
    <w:rsid w:val="4F47354A"/>
    <w:rsid w:val="4F4942F8"/>
    <w:rsid w:val="4F6E66ED"/>
    <w:rsid w:val="4F911C54"/>
    <w:rsid w:val="4FA47125"/>
    <w:rsid w:val="4FDD43E5"/>
    <w:rsid w:val="4FE625E0"/>
    <w:rsid w:val="4FFDB064"/>
    <w:rsid w:val="4FFFD759"/>
    <w:rsid w:val="50010D46"/>
    <w:rsid w:val="5021480F"/>
    <w:rsid w:val="503D40B5"/>
    <w:rsid w:val="50411692"/>
    <w:rsid w:val="5076286F"/>
    <w:rsid w:val="50962ECB"/>
    <w:rsid w:val="50A42E38"/>
    <w:rsid w:val="50A4577F"/>
    <w:rsid w:val="50B73D1F"/>
    <w:rsid w:val="50BD5BC9"/>
    <w:rsid w:val="50C11EEE"/>
    <w:rsid w:val="50E97CFC"/>
    <w:rsid w:val="50FA4028"/>
    <w:rsid w:val="510D65B7"/>
    <w:rsid w:val="511157AB"/>
    <w:rsid w:val="5123554F"/>
    <w:rsid w:val="512F645E"/>
    <w:rsid w:val="5142540C"/>
    <w:rsid w:val="518832C8"/>
    <w:rsid w:val="519D3C50"/>
    <w:rsid w:val="51A0432A"/>
    <w:rsid w:val="51A86090"/>
    <w:rsid w:val="51B7396D"/>
    <w:rsid w:val="522E4CC3"/>
    <w:rsid w:val="5244713B"/>
    <w:rsid w:val="52466282"/>
    <w:rsid w:val="52615633"/>
    <w:rsid w:val="526F4DE4"/>
    <w:rsid w:val="52977FD4"/>
    <w:rsid w:val="52A25790"/>
    <w:rsid w:val="52A96B6F"/>
    <w:rsid w:val="52B45975"/>
    <w:rsid w:val="52CF0855"/>
    <w:rsid w:val="52D94AA4"/>
    <w:rsid w:val="52EA3A62"/>
    <w:rsid w:val="52F027D0"/>
    <w:rsid w:val="52F50BB8"/>
    <w:rsid w:val="53097272"/>
    <w:rsid w:val="531A2A62"/>
    <w:rsid w:val="533E53C7"/>
    <w:rsid w:val="535050C9"/>
    <w:rsid w:val="53544462"/>
    <w:rsid w:val="53682C32"/>
    <w:rsid w:val="5397158E"/>
    <w:rsid w:val="53A760BB"/>
    <w:rsid w:val="53B67D85"/>
    <w:rsid w:val="53DE3F73"/>
    <w:rsid w:val="53DFFF65"/>
    <w:rsid w:val="53F83F68"/>
    <w:rsid w:val="53FA59B7"/>
    <w:rsid w:val="54013861"/>
    <w:rsid w:val="5417709A"/>
    <w:rsid w:val="54226061"/>
    <w:rsid w:val="54487265"/>
    <w:rsid w:val="544D6070"/>
    <w:rsid w:val="54605E1E"/>
    <w:rsid w:val="54745318"/>
    <w:rsid w:val="54B3506A"/>
    <w:rsid w:val="54CA0D16"/>
    <w:rsid w:val="54DD4057"/>
    <w:rsid w:val="54E67C4A"/>
    <w:rsid w:val="54E7490F"/>
    <w:rsid w:val="550764A4"/>
    <w:rsid w:val="550B2BF6"/>
    <w:rsid w:val="55214EB5"/>
    <w:rsid w:val="55364EFD"/>
    <w:rsid w:val="55515659"/>
    <w:rsid w:val="555D4828"/>
    <w:rsid w:val="557A4C8B"/>
    <w:rsid w:val="558931E1"/>
    <w:rsid w:val="55923347"/>
    <w:rsid w:val="55925180"/>
    <w:rsid w:val="55983B1B"/>
    <w:rsid w:val="55995C7E"/>
    <w:rsid w:val="55A8376B"/>
    <w:rsid w:val="55BDB63F"/>
    <w:rsid w:val="55DC29B6"/>
    <w:rsid w:val="55DD4241"/>
    <w:rsid w:val="56243888"/>
    <w:rsid w:val="56414205"/>
    <w:rsid w:val="566B6D1E"/>
    <w:rsid w:val="56774884"/>
    <w:rsid w:val="56782528"/>
    <w:rsid w:val="56BBCEEB"/>
    <w:rsid w:val="56E60023"/>
    <w:rsid w:val="57032A2C"/>
    <w:rsid w:val="570F5219"/>
    <w:rsid w:val="571D6F35"/>
    <w:rsid w:val="575D12B5"/>
    <w:rsid w:val="57610A87"/>
    <w:rsid w:val="577B1140"/>
    <w:rsid w:val="577B7F21"/>
    <w:rsid w:val="577F181B"/>
    <w:rsid w:val="57921984"/>
    <w:rsid w:val="579737F0"/>
    <w:rsid w:val="57A74C5E"/>
    <w:rsid w:val="57AB7B30"/>
    <w:rsid w:val="57AF5251"/>
    <w:rsid w:val="57B26373"/>
    <w:rsid w:val="57B63F04"/>
    <w:rsid w:val="57BD4B2B"/>
    <w:rsid w:val="57CD20C2"/>
    <w:rsid w:val="57D675AB"/>
    <w:rsid w:val="57D95FDD"/>
    <w:rsid w:val="580512C9"/>
    <w:rsid w:val="58161256"/>
    <w:rsid w:val="58917D2F"/>
    <w:rsid w:val="5894085C"/>
    <w:rsid w:val="58AE4F0C"/>
    <w:rsid w:val="58B85899"/>
    <w:rsid w:val="58BF29EA"/>
    <w:rsid w:val="58D75DD2"/>
    <w:rsid w:val="58D9739A"/>
    <w:rsid w:val="58E363A9"/>
    <w:rsid w:val="59044CD0"/>
    <w:rsid w:val="5941197F"/>
    <w:rsid w:val="594B0CD4"/>
    <w:rsid w:val="595E1678"/>
    <w:rsid w:val="596D5BD4"/>
    <w:rsid w:val="597E3DD8"/>
    <w:rsid w:val="599B6EA3"/>
    <w:rsid w:val="59AF611B"/>
    <w:rsid w:val="59B241EC"/>
    <w:rsid w:val="59F80043"/>
    <w:rsid w:val="5A09252F"/>
    <w:rsid w:val="5A0B2778"/>
    <w:rsid w:val="5A2A7C7B"/>
    <w:rsid w:val="5A3E2560"/>
    <w:rsid w:val="5A4D2BC3"/>
    <w:rsid w:val="5A5D3B6E"/>
    <w:rsid w:val="5A637A76"/>
    <w:rsid w:val="5A6D33BA"/>
    <w:rsid w:val="5A775D60"/>
    <w:rsid w:val="5A792B1F"/>
    <w:rsid w:val="5A874767"/>
    <w:rsid w:val="5A921C6A"/>
    <w:rsid w:val="5AA85BE2"/>
    <w:rsid w:val="5AAD6F28"/>
    <w:rsid w:val="5AB35595"/>
    <w:rsid w:val="5AD63A24"/>
    <w:rsid w:val="5AE306B3"/>
    <w:rsid w:val="5B046CC3"/>
    <w:rsid w:val="5B105803"/>
    <w:rsid w:val="5B2E1A1D"/>
    <w:rsid w:val="5B843A1C"/>
    <w:rsid w:val="5B873E3F"/>
    <w:rsid w:val="5B9EA1E2"/>
    <w:rsid w:val="5BA42DEA"/>
    <w:rsid w:val="5BD97F6D"/>
    <w:rsid w:val="5BF52132"/>
    <w:rsid w:val="5BFB5375"/>
    <w:rsid w:val="5BFFB857"/>
    <w:rsid w:val="5BFFF439"/>
    <w:rsid w:val="5C02690E"/>
    <w:rsid w:val="5C0827EA"/>
    <w:rsid w:val="5C196DA7"/>
    <w:rsid w:val="5C2A048C"/>
    <w:rsid w:val="5C5D6E1A"/>
    <w:rsid w:val="5C7C1D2E"/>
    <w:rsid w:val="5C80234E"/>
    <w:rsid w:val="5C8A680C"/>
    <w:rsid w:val="5CAE513F"/>
    <w:rsid w:val="5CB91220"/>
    <w:rsid w:val="5CFF1129"/>
    <w:rsid w:val="5D092AA9"/>
    <w:rsid w:val="5D0C4701"/>
    <w:rsid w:val="5D0F0395"/>
    <w:rsid w:val="5D221076"/>
    <w:rsid w:val="5D397964"/>
    <w:rsid w:val="5D5A391C"/>
    <w:rsid w:val="5D5F10C0"/>
    <w:rsid w:val="5D891B7B"/>
    <w:rsid w:val="5D8B38F4"/>
    <w:rsid w:val="5DAD38EE"/>
    <w:rsid w:val="5DCD3CEB"/>
    <w:rsid w:val="5DE3706A"/>
    <w:rsid w:val="5DFB6034"/>
    <w:rsid w:val="5DFF7909"/>
    <w:rsid w:val="5DFFF90F"/>
    <w:rsid w:val="5E006862"/>
    <w:rsid w:val="5E0207B9"/>
    <w:rsid w:val="5E1834A1"/>
    <w:rsid w:val="5E261785"/>
    <w:rsid w:val="5E3DDFE6"/>
    <w:rsid w:val="5E4A7017"/>
    <w:rsid w:val="5E552BBA"/>
    <w:rsid w:val="5E611C10"/>
    <w:rsid w:val="5E630A8B"/>
    <w:rsid w:val="5E7A0F3F"/>
    <w:rsid w:val="5EE73E0B"/>
    <w:rsid w:val="5EFC7377"/>
    <w:rsid w:val="5F06174D"/>
    <w:rsid w:val="5F3A3602"/>
    <w:rsid w:val="5F45733B"/>
    <w:rsid w:val="5F6277C6"/>
    <w:rsid w:val="5F6D0B1D"/>
    <w:rsid w:val="5F744EC8"/>
    <w:rsid w:val="5F7563E8"/>
    <w:rsid w:val="5F7B9529"/>
    <w:rsid w:val="5F7F98AC"/>
    <w:rsid w:val="5F7FDED4"/>
    <w:rsid w:val="5F804E4D"/>
    <w:rsid w:val="5F864385"/>
    <w:rsid w:val="5F8D0B82"/>
    <w:rsid w:val="5FAD406B"/>
    <w:rsid w:val="5FBE9CE2"/>
    <w:rsid w:val="5FCC5339"/>
    <w:rsid w:val="5FDBE4FE"/>
    <w:rsid w:val="5FE34A5B"/>
    <w:rsid w:val="5FE87759"/>
    <w:rsid w:val="5FF90740"/>
    <w:rsid w:val="5FFE1E36"/>
    <w:rsid w:val="5FFF6443"/>
    <w:rsid w:val="60035826"/>
    <w:rsid w:val="600D3BD9"/>
    <w:rsid w:val="600F65A7"/>
    <w:rsid w:val="60232584"/>
    <w:rsid w:val="604E1113"/>
    <w:rsid w:val="607330CE"/>
    <w:rsid w:val="60825176"/>
    <w:rsid w:val="60914700"/>
    <w:rsid w:val="609F2AC4"/>
    <w:rsid w:val="60A30D0F"/>
    <w:rsid w:val="60EF2EBB"/>
    <w:rsid w:val="60FA2EE8"/>
    <w:rsid w:val="61054A27"/>
    <w:rsid w:val="610A52BC"/>
    <w:rsid w:val="611C4AF1"/>
    <w:rsid w:val="611D2366"/>
    <w:rsid w:val="611D6D37"/>
    <w:rsid w:val="61280580"/>
    <w:rsid w:val="61421856"/>
    <w:rsid w:val="615227C4"/>
    <w:rsid w:val="61654E3F"/>
    <w:rsid w:val="6182292A"/>
    <w:rsid w:val="619F7F92"/>
    <w:rsid w:val="61D17125"/>
    <w:rsid w:val="61F94C26"/>
    <w:rsid w:val="62000E56"/>
    <w:rsid w:val="62281E90"/>
    <w:rsid w:val="624F3E49"/>
    <w:rsid w:val="62632286"/>
    <w:rsid w:val="62885958"/>
    <w:rsid w:val="62B527FD"/>
    <w:rsid w:val="62D60F4C"/>
    <w:rsid w:val="62F40B65"/>
    <w:rsid w:val="62FC2CFE"/>
    <w:rsid w:val="63024505"/>
    <w:rsid w:val="630E0BEB"/>
    <w:rsid w:val="635600A5"/>
    <w:rsid w:val="63592E8F"/>
    <w:rsid w:val="635B1DB5"/>
    <w:rsid w:val="636F70D8"/>
    <w:rsid w:val="63711FED"/>
    <w:rsid w:val="63880DDC"/>
    <w:rsid w:val="638D750D"/>
    <w:rsid w:val="639D7CBB"/>
    <w:rsid w:val="63AC6CC0"/>
    <w:rsid w:val="63B3608B"/>
    <w:rsid w:val="6400093E"/>
    <w:rsid w:val="64055776"/>
    <w:rsid w:val="64240056"/>
    <w:rsid w:val="643E143A"/>
    <w:rsid w:val="64491666"/>
    <w:rsid w:val="646627A3"/>
    <w:rsid w:val="648B6EEF"/>
    <w:rsid w:val="648E5F77"/>
    <w:rsid w:val="64C158BF"/>
    <w:rsid w:val="64CE2EAA"/>
    <w:rsid w:val="64F8164D"/>
    <w:rsid w:val="64F8789F"/>
    <w:rsid w:val="65083F26"/>
    <w:rsid w:val="652E1513"/>
    <w:rsid w:val="653C3090"/>
    <w:rsid w:val="65530F79"/>
    <w:rsid w:val="65687A70"/>
    <w:rsid w:val="65854376"/>
    <w:rsid w:val="658767BE"/>
    <w:rsid w:val="65892531"/>
    <w:rsid w:val="658E05B7"/>
    <w:rsid w:val="659F1833"/>
    <w:rsid w:val="66195831"/>
    <w:rsid w:val="662E75B1"/>
    <w:rsid w:val="66342C2E"/>
    <w:rsid w:val="663E784C"/>
    <w:rsid w:val="666BB2A9"/>
    <w:rsid w:val="668B6A45"/>
    <w:rsid w:val="66967370"/>
    <w:rsid w:val="66BE152B"/>
    <w:rsid w:val="670C6867"/>
    <w:rsid w:val="670D1A8A"/>
    <w:rsid w:val="670D4107"/>
    <w:rsid w:val="672F3F24"/>
    <w:rsid w:val="673622B4"/>
    <w:rsid w:val="673E055F"/>
    <w:rsid w:val="67551CE3"/>
    <w:rsid w:val="67630FE2"/>
    <w:rsid w:val="679C7A1F"/>
    <w:rsid w:val="679F0494"/>
    <w:rsid w:val="679FA3E8"/>
    <w:rsid w:val="67A22552"/>
    <w:rsid w:val="67B22DCC"/>
    <w:rsid w:val="67BE71AA"/>
    <w:rsid w:val="67D90273"/>
    <w:rsid w:val="67DE5875"/>
    <w:rsid w:val="67DF4D46"/>
    <w:rsid w:val="67E55852"/>
    <w:rsid w:val="67EB1AB4"/>
    <w:rsid w:val="67FA1285"/>
    <w:rsid w:val="67FFADDF"/>
    <w:rsid w:val="684D2E2F"/>
    <w:rsid w:val="68551F4F"/>
    <w:rsid w:val="687C10C9"/>
    <w:rsid w:val="68802085"/>
    <w:rsid w:val="68840C16"/>
    <w:rsid w:val="68876EFB"/>
    <w:rsid w:val="68884654"/>
    <w:rsid w:val="68895507"/>
    <w:rsid w:val="689F444F"/>
    <w:rsid w:val="68B96DBB"/>
    <w:rsid w:val="68C53596"/>
    <w:rsid w:val="68CA2805"/>
    <w:rsid w:val="68CE35BD"/>
    <w:rsid w:val="68E937A3"/>
    <w:rsid w:val="69143AB3"/>
    <w:rsid w:val="693E15D3"/>
    <w:rsid w:val="695FD82F"/>
    <w:rsid w:val="69627681"/>
    <w:rsid w:val="6977531D"/>
    <w:rsid w:val="697A383E"/>
    <w:rsid w:val="69C241EB"/>
    <w:rsid w:val="69CC2BFF"/>
    <w:rsid w:val="69F10976"/>
    <w:rsid w:val="69FD55B8"/>
    <w:rsid w:val="6A0B1C62"/>
    <w:rsid w:val="6A153C42"/>
    <w:rsid w:val="6A2406C8"/>
    <w:rsid w:val="6A462E5B"/>
    <w:rsid w:val="6A5C442C"/>
    <w:rsid w:val="6AAF4490"/>
    <w:rsid w:val="6ADE0BD1"/>
    <w:rsid w:val="6AE96859"/>
    <w:rsid w:val="6B050D2B"/>
    <w:rsid w:val="6B147746"/>
    <w:rsid w:val="6B24787C"/>
    <w:rsid w:val="6B3D0853"/>
    <w:rsid w:val="6B573233"/>
    <w:rsid w:val="6B5B6274"/>
    <w:rsid w:val="6B7F1E4C"/>
    <w:rsid w:val="6B851761"/>
    <w:rsid w:val="6B935D53"/>
    <w:rsid w:val="6B97646E"/>
    <w:rsid w:val="6BB34EAB"/>
    <w:rsid w:val="6BBF2EC5"/>
    <w:rsid w:val="6BDA09B9"/>
    <w:rsid w:val="6BDF2429"/>
    <w:rsid w:val="6BEE812C"/>
    <w:rsid w:val="6BFD39ED"/>
    <w:rsid w:val="6BFE4487"/>
    <w:rsid w:val="6C0476A2"/>
    <w:rsid w:val="6C050317"/>
    <w:rsid w:val="6C196F71"/>
    <w:rsid w:val="6C226FCB"/>
    <w:rsid w:val="6C2E3BA6"/>
    <w:rsid w:val="6C31226F"/>
    <w:rsid w:val="6C3A69EF"/>
    <w:rsid w:val="6C552F0B"/>
    <w:rsid w:val="6C5F214D"/>
    <w:rsid w:val="6C8C67B7"/>
    <w:rsid w:val="6C9D744C"/>
    <w:rsid w:val="6CA65E33"/>
    <w:rsid w:val="6CBF0CA2"/>
    <w:rsid w:val="6CF4E15C"/>
    <w:rsid w:val="6D167928"/>
    <w:rsid w:val="6D1C0247"/>
    <w:rsid w:val="6D26299B"/>
    <w:rsid w:val="6D4772EC"/>
    <w:rsid w:val="6D6A50B2"/>
    <w:rsid w:val="6D9078AF"/>
    <w:rsid w:val="6DAA3FEF"/>
    <w:rsid w:val="6DC0172B"/>
    <w:rsid w:val="6DC01BB7"/>
    <w:rsid w:val="6DC52AB2"/>
    <w:rsid w:val="6DCB690C"/>
    <w:rsid w:val="6DD41A5B"/>
    <w:rsid w:val="6DDEBDF6"/>
    <w:rsid w:val="6DEE87E4"/>
    <w:rsid w:val="6DF43C2E"/>
    <w:rsid w:val="6DF51CA3"/>
    <w:rsid w:val="6DFAF031"/>
    <w:rsid w:val="6E190783"/>
    <w:rsid w:val="6E602DF0"/>
    <w:rsid w:val="6E6E5FB0"/>
    <w:rsid w:val="6E7BDAEA"/>
    <w:rsid w:val="6E8335BD"/>
    <w:rsid w:val="6E8E12EF"/>
    <w:rsid w:val="6E972936"/>
    <w:rsid w:val="6E9FE0C1"/>
    <w:rsid w:val="6ED446C5"/>
    <w:rsid w:val="6EEF688F"/>
    <w:rsid w:val="6EF70BC7"/>
    <w:rsid w:val="6EFF5C81"/>
    <w:rsid w:val="6EFFE910"/>
    <w:rsid w:val="6F2A7D94"/>
    <w:rsid w:val="6F3AD4C7"/>
    <w:rsid w:val="6F721153"/>
    <w:rsid w:val="6F8331F1"/>
    <w:rsid w:val="6F842B01"/>
    <w:rsid w:val="6F9647AB"/>
    <w:rsid w:val="6FA561A0"/>
    <w:rsid w:val="6FAB550E"/>
    <w:rsid w:val="6FAE1A09"/>
    <w:rsid w:val="6FD059FA"/>
    <w:rsid w:val="6FD75BF8"/>
    <w:rsid w:val="6FEC2291"/>
    <w:rsid w:val="6FF666C1"/>
    <w:rsid w:val="6FF75C20"/>
    <w:rsid w:val="6FFC5F97"/>
    <w:rsid w:val="6FFE4691"/>
    <w:rsid w:val="6FFFF377"/>
    <w:rsid w:val="707723D0"/>
    <w:rsid w:val="70812E3F"/>
    <w:rsid w:val="709B188D"/>
    <w:rsid w:val="709EED18"/>
    <w:rsid w:val="70F5661B"/>
    <w:rsid w:val="71360107"/>
    <w:rsid w:val="713B688E"/>
    <w:rsid w:val="71461035"/>
    <w:rsid w:val="71625915"/>
    <w:rsid w:val="71CA5440"/>
    <w:rsid w:val="71D43752"/>
    <w:rsid w:val="71F1796A"/>
    <w:rsid w:val="72154626"/>
    <w:rsid w:val="72160D4A"/>
    <w:rsid w:val="72262B5D"/>
    <w:rsid w:val="72283FF7"/>
    <w:rsid w:val="72294F04"/>
    <w:rsid w:val="722E7212"/>
    <w:rsid w:val="7239491B"/>
    <w:rsid w:val="723A0474"/>
    <w:rsid w:val="724F4877"/>
    <w:rsid w:val="725923E4"/>
    <w:rsid w:val="72864BF7"/>
    <w:rsid w:val="729023FC"/>
    <w:rsid w:val="729B5AA9"/>
    <w:rsid w:val="72A577D6"/>
    <w:rsid w:val="72B9241E"/>
    <w:rsid w:val="731F08A5"/>
    <w:rsid w:val="73431E02"/>
    <w:rsid w:val="73577E87"/>
    <w:rsid w:val="735F540F"/>
    <w:rsid w:val="739D4E46"/>
    <w:rsid w:val="73C0646E"/>
    <w:rsid w:val="73C9587C"/>
    <w:rsid w:val="73EF1E6D"/>
    <w:rsid w:val="73FE3E2E"/>
    <w:rsid w:val="73FF024A"/>
    <w:rsid w:val="7405340E"/>
    <w:rsid w:val="74200ECA"/>
    <w:rsid w:val="742222F5"/>
    <w:rsid w:val="743833EC"/>
    <w:rsid w:val="74476126"/>
    <w:rsid w:val="7456A687"/>
    <w:rsid w:val="746A5859"/>
    <w:rsid w:val="74706664"/>
    <w:rsid w:val="747B1953"/>
    <w:rsid w:val="747F3682"/>
    <w:rsid w:val="749C4185"/>
    <w:rsid w:val="749F1F45"/>
    <w:rsid w:val="74FD8698"/>
    <w:rsid w:val="75067759"/>
    <w:rsid w:val="752E6DCD"/>
    <w:rsid w:val="7551380D"/>
    <w:rsid w:val="75600BE5"/>
    <w:rsid w:val="7564475C"/>
    <w:rsid w:val="7583797F"/>
    <w:rsid w:val="7589562C"/>
    <w:rsid w:val="75BA64AB"/>
    <w:rsid w:val="75D20F1D"/>
    <w:rsid w:val="75DA2C18"/>
    <w:rsid w:val="75DB3F1E"/>
    <w:rsid w:val="75F54412"/>
    <w:rsid w:val="75FD5E4C"/>
    <w:rsid w:val="76095D48"/>
    <w:rsid w:val="761D08E0"/>
    <w:rsid w:val="764B251F"/>
    <w:rsid w:val="765D347C"/>
    <w:rsid w:val="76746A4B"/>
    <w:rsid w:val="767BEA76"/>
    <w:rsid w:val="76826699"/>
    <w:rsid w:val="76843AC3"/>
    <w:rsid w:val="76A2408A"/>
    <w:rsid w:val="76C44EAC"/>
    <w:rsid w:val="76C87133"/>
    <w:rsid w:val="76CD08D5"/>
    <w:rsid w:val="76D37917"/>
    <w:rsid w:val="76DB4B92"/>
    <w:rsid w:val="76EA2DC0"/>
    <w:rsid w:val="77052AA4"/>
    <w:rsid w:val="77136511"/>
    <w:rsid w:val="77141728"/>
    <w:rsid w:val="77336FC8"/>
    <w:rsid w:val="77340A39"/>
    <w:rsid w:val="77351FD0"/>
    <w:rsid w:val="77472422"/>
    <w:rsid w:val="774A3324"/>
    <w:rsid w:val="774E334F"/>
    <w:rsid w:val="777F31F2"/>
    <w:rsid w:val="77BA9500"/>
    <w:rsid w:val="77BF4D5B"/>
    <w:rsid w:val="77D1700D"/>
    <w:rsid w:val="77EC04CC"/>
    <w:rsid w:val="77F8F524"/>
    <w:rsid w:val="77FD4802"/>
    <w:rsid w:val="77FEA6F2"/>
    <w:rsid w:val="78775729"/>
    <w:rsid w:val="78A02FA0"/>
    <w:rsid w:val="78A42DB0"/>
    <w:rsid w:val="78A656AB"/>
    <w:rsid w:val="78B2245C"/>
    <w:rsid w:val="78DB73F2"/>
    <w:rsid w:val="78E172CC"/>
    <w:rsid w:val="78EA1D1F"/>
    <w:rsid w:val="78EC5A8A"/>
    <w:rsid w:val="7904172F"/>
    <w:rsid w:val="790F7E27"/>
    <w:rsid w:val="79177BE1"/>
    <w:rsid w:val="79220574"/>
    <w:rsid w:val="792A231A"/>
    <w:rsid w:val="79316829"/>
    <w:rsid w:val="796B2472"/>
    <w:rsid w:val="79786DA9"/>
    <w:rsid w:val="797E66A9"/>
    <w:rsid w:val="798518A4"/>
    <w:rsid w:val="79A97383"/>
    <w:rsid w:val="79DDC2C8"/>
    <w:rsid w:val="79E27E8B"/>
    <w:rsid w:val="79F850CE"/>
    <w:rsid w:val="79FD443C"/>
    <w:rsid w:val="79FD4522"/>
    <w:rsid w:val="7A1D1975"/>
    <w:rsid w:val="7A372035"/>
    <w:rsid w:val="7A3E5150"/>
    <w:rsid w:val="7A412AB0"/>
    <w:rsid w:val="7A4670D6"/>
    <w:rsid w:val="7A534B63"/>
    <w:rsid w:val="7A615382"/>
    <w:rsid w:val="7A67303B"/>
    <w:rsid w:val="7A6A34DB"/>
    <w:rsid w:val="7A6F7CBD"/>
    <w:rsid w:val="7A804477"/>
    <w:rsid w:val="7A97553A"/>
    <w:rsid w:val="7AAB1D04"/>
    <w:rsid w:val="7AB6533C"/>
    <w:rsid w:val="7ABA4368"/>
    <w:rsid w:val="7AD05746"/>
    <w:rsid w:val="7AEEB13D"/>
    <w:rsid w:val="7B257FFD"/>
    <w:rsid w:val="7B343476"/>
    <w:rsid w:val="7B4E1B6F"/>
    <w:rsid w:val="7B5A2978"/>
    <w:rsid w:val="7B5A7E4C"/>
    <w:rsid w:val="7B667AF9"/>
    <w:rsid w:val="7B6CD9F7"/>
    <w:rsid w:val="7B7468F8"/>
    <w:rsid w:val="7B8DF7DD"/>
    <w:rsid w:val="7B951F79"/>
    <w:rsid w:val="7B996AC0"/>
    <w:rsid w:val="7BA441B1"/>
    <w:rsid w:val="7BAE19AE"/>
    <w:rsid w:val="7BB522F5"/>
    <w:rsid w:val="7BC857B7"/>
    <w:rsid w:val="7BEB05B8"/>
    <w:rsid w:val="7BEE0103"/>
    <w:rsid w:val="7BF637E3"/>
    <w:rsid w:val="7BF764B8"/>
    <w:rsid w:val="7BF774A9"/>
    <w:rsid w:val="7BFB7407"/>
    <w:rsid w:val="7BFCACE6"/>
    <w:rsid w:val="7BFD0D06"/>
    <w:rsid w:val="7C0A0FE4"/>
    <w:rsid w:val="7C142A81"/>
    <w:rsid w:val="7C254906"/>
    <w:rsid w:val="7C44435A"/>
    <w:rsid w:val="7C590818"/>
    <w:rsid w:val="7C676ADB"/>
    <w:rsid w:val="7C7C10F6"/>
    <w:rsid w:val="7C853BEA"/>
    <w:rsid w:val="7C881368"/>
    <w:rsid w:val="7CE27788"/>
    <w:rsid w:val="7CEA7748"/>
    <w:rsid w:val="7D080444"/>
    <w:rsid w:val="7D0C32F1"/>
    <w:rsid w:val="7D0F408D"/>
    <w:rsid w:val="7D17F69E"/>
    <w:rsid w:val="7D3844B6"/>
    <w:rsid w:val="7D491C6C"/>
    <w:rsid w:val="7D5429C0"/>
    <w:rsid w:val="7D592A4D"/>
    <w:rsid w:val="7D6E6D43"/>
    <w:rsid w:val="7D77AD3C"/>
    <w:rsid w:val="7D7B594E"/>
    <w:rsid w:val="7DA94B9B"/>
    <w:rsid w:val="7DAA0EDB"/>
    <w:rsid w:val="7DAE30E4"/>
    <w:rsid w:val="7DAF1125"/>
    <w:rsid w:val="7DB57A34"/>
    <w:rsid w:val="7DBBFE09"/>
    <w:rsid w:val="7DE60973"/>
    <w:rsid w:val="7DEC6D0C"/>
    <w:rsid w:val="7DEE5187"/>
    <w:rsid w:val="7DEF0916"/>
    <w:rsid w:val="7DFFF891"/>
    <w:rsid w:val="7E0724A9"/>
    <w:rsid w:val="7E1E5218"/>
    <w:rsid w:val="7E490D14"/>
    <w:rsid w:val="7E5751DF"/>
    <w:rsid w:val="7E6C5769"/>
    <w:rsid w:val="7E7F4FE4"/>
    <w:rsid w:val="7E9A4E1F"/>
    <w:rsid w:val="7EA7723A"/>
    <w:rsid w:val="7EA877E8"/>
    <w:rsid w:val="7EE7733D"/>
    <w:rsid w:val="7EED4DC8"/>
    <w:rsid w:val="7EEF3440"/>
    <w:rsid w:val="7EF56FBB"/>
    <w:rsid w:val="7EF6251A"/>
    <w:rsid w:val="7EF6DCE0"/>
    <w:rsid w:val="7EF80ED0"/>
    <w:rsid w:val="7EFB6784"/>
    <w:rsid w:val="7F0768EB"/>
    <w:rsid w:val="7F143BEC"/>
    <w:rsid w:val="7F30646B"/>
    <w:rsid w:val="7F3B1E69"/>
    <w:rsid w:val="7F5378E3"/>
    <w:rsid w:val="7F672E33"/>
    <w:rsid w:val="7F6A464C"/>
    <w:rsid w:val="7F6FBDB7"/>
    <w:rsid w:val="7F7120F5"/>
    <w:rsid w:val="7F715AF2"/>
    <w:rsid w:val="7F741CF6"/>
    <w:rsid w:val="7F7563B4"/>
    <w:rsid w:val="7F77E034"/>
    <w:rsid w:val="7F7E19CC"/>
    <w:rsid w:val="7F7F37C1"/>
    <w:rsid w:val="7F820039"/>
    <w:rsid w:val="7F886E69"/>
    <w:rsid w:val="7F9D94CB"/>
    <w:rsid w:val="7FB6F512"/>
    <w:rsid w:val="7FBBFF92"/>
    <w:rsid w:val="7FBD33F0"/>
    <w:rsid w:val="7FDF6D35"/>
    <w:rsid w:val="7FE717E9"/>
    <w:rsid w:val="7FE7DAAC"/>
    <w:rsid w:val="7FEB47EF"/>
    <w:rsid w:val="7FEFB014"/>
    <w:rsid w:val="7FEFE7E7"/>
    <w:rsid w:val="7FF5DD6F"/>
    <w:rsid w:val="7FF7C260"/>
    <w:rsid w:val="7FFC9564"/>
    <w:rsid w:val="7FFD82BB"/>
    <w:rsid w:val="7FFDDE5B"/>
    <w:rsid w:val="7FFDE78E"/>
    <w:rsid w:val="7FFE6FBC"/>
    <w:rsid w:val="7FFE819D"/>
    <w:rsid w:val="7FFF7C5A"/>
    <w:rsid w:val="7FFF7C78"/>
    <w:rsid w:val="7FFF81F0"/>
    <w:rsid w:val="7FFFAA9E"/>
    <w:rsid w:val="7FFFC65E"/>
    <w:rsid w:val="8FFF32FA"/>
    <w:rsid w:val="91D620CA"/>
    <w:rsid w:val="93FB9BD6"/>
    <w:rsid w:val="99B7484C"/>
    <w:rsid w:val="9AF7F97E"/>
    <w:rsid w:val="9CFE31F9"/>
    <w:rsid w:val="9EFB8B76"/>
    <w:rsid w:val="9F679A94"/>
    <w:rsid w:val="A79EBC99"/>
    <w:rsid w:val="A7E40307"/>
    <w:rsid w:val="A7F6948D"/>
    <w:rsid w:val="AB7F54BB"/>
    <w:rsid w:val="AEE46229"/>
    <w:rsid w:val="AFBF89B5"/>
    <w:rsid w:val="AFC1EE14"/>
    <w:rsid w:val="AFFFD95B"/>
    <w:rsid w:val="B3AFAB01"/>
    <w:rsid w:val="B5738A21"/>
    <w:rsid w:val="B6769F44"/>
    <w:rsid w:val="B77B2940"/>
    <w:rsid w:val="B95FEA8C"/>
    <w:rsid w:val="B96916EE"/>
    <w:rsid w:val="BB397C50"/>
    <w:rsid w:val="BB7FA927"/>
    <w:rsid w:val="BBAFDA30"/>
    <w:rsid w:val="BBDFE471"/>
    <w:rsid w:val="BCFDCE95"/>
    <w:rsid w:val="BDD35308"/>
    <w:rsid w:val="BE7AD4D3"/>
    <w:rsid w:val="BEDD750B"/>
    <w:rsid w:val="BEE2697D"/>
    <w:rsid w:val="BEFAE8F0"/>
    <w:rsid w:val="BEFB0ED5"/>
    <w:rsid w:val="BEFBA430"/>
    <w:rsid w:val="BF9F8425"/>
    <w:rsid w:val="BFAE55BD"/>
    <w:rsid w:val="BFB9A214"/>
    <w:rsid w:val="BFBA2DDF"/>
    <w:rsid w:val="BFBFD6AE"/>
    <w:rsid w:val="BFDECFD1"/>
    <w:rsid w:val="BFEC20CB"/>
    <w:rsid w:val="BFEEB759"/>
    <w:rsid w:val="BFF7BC09"/>
    <w:rsid w:val="BFFB1F17"/>
    <w:rsid w:val="BFFB90BD"/>
    <w:rsid w:val="BFFD4820"/>
    <w:rsid w:val="BFFE58E7"/>
    <w:rsid w:val="C23C550D"/>
    <w:rsid w:val="C3A65B2C"/>
    <w:rsid w:val="C737DA7D"/>
    <w:rsid w:val="C7B4C196"/>
    <w:rsid w:val="C7DF0548"/>
    <w:rsid w:val="C7FFAA73"/>
    <w:rsid w:val="CDF1FA2E"/>
    <w:rsid w:val="CDF54F5B"/>
    <w:rsid w:val="CEFA236C"/>
    <w:rsid w:val="CF32F8AC"/>
    <w:rsid w:val="CF3F8149"/>
    <w:rsid w:val="CF7F9E99"/>
    <w:rsid w:val="CFBCADB9"/>
    <w:rsid w:val="D4FBEC2D"/>
    <w:rsid w:val="D6B825C6"/>
    <w:rsid w:val="D7AD0EE9"/>
    <w:rsid w:val="D7BF4E43"/>
    <w:rsid w:val="D7BF7444"/>
    <w:rsid w:val="D7D774AD"/>
    <w:rsid w:val="D8FFF97E"/>
    <w:rsid w:val="D9F74BCF"/>
    <w:rsid w:val="D9F79C38"/>
    <w:rsid w:val="DABB652F"/>
    <w:rsid w:val="DDA79B38"/>
    <w:rsid w:val="DDDF2B62"/>
    <w:rsid w:val="DEAFB78C"/>
    <w:rsid w:val="DEFFD0B8"/>
    <w:rsid w:val="DF7E625F"/>
    <w:rsid w:val="DF7FF53D"/>
    <w:rsid w:val="DFCFFE3B"/>
    <w:rsid w:val="DFEECD9B"/>
    <w:rsid w:val="DFFB53FF"/>
    <w:rsid w:val="DFFC8AE5"/>
    <w:rsid w:val="DFFD9C61"/>
    <w:rsid w:val="E3D7CE94"/>
    <w:rsid w:val="E6283B55"/>
    <w:rsid w:val="E6BB3A39"/>
    <w:rsid w:val="E737AEBC"/>
    <w:rsid w:val="E7A68E8A"/>
    <w:rsid w:val="E7AD6B0C"/>
    <w:rsid w:val="E7FF9B9A"/>
    <w:rsid w:val="E8FB3A19"/>
    <w:rsid w:val="E97D9031"/>
    <w:rsid w:val="EA3B88C0"/>
    <w:rsid w:val="EA76FAF5"/>
    <w:rsid w:val="EBDA736A"/>
    <w:rsid w:val="ED5BBA35"/>
    <w:rsid w:val="ED937292"/>
    <w:rsid w:val="EE23940A"/>
    <w:rsid w:val="EE73645D"/>
    <w:rsid w:val="EEAF2C98"/>
    <w:rsid w:val="EEDFE925"/>
    <w:rsid w:val="EFD3942E"/>
    <w:rsid w:val="EFF5FD11"/>
    <w:rsid w:val="EFF9F25D"/>
    <w:rsid w:val="F1BDD952"/>
    <w:rsid w:val="F2EB34A4"/>
    <w:rsid w:val="F2FD7994"/>
    <w:rsid w:val="F353B4F2"/>
    <w:rsid w:val="F3B145DA"/>
    <w:rsid w:val="F3BF5260"/>
    <w:rsid w:val="F3DAC273"/>
    <w:rsid w:val="F3EB2721"/>
    <w:rsid w:val="F3F7CCEB"/>
    <w:rsid w:val="F3FF8CE8"/>
    <w:rsid w:val="F46E41C2"/>
    <w:rsid w:val="F5F3C09B"/>
    <w:rsid w:val="F5FFD31F"/>
    <w:rsid w:val="F63F89F8"/>
    <w:rsid w:val="F69D40E6"/>
    <w:rsid w:val="F6FDFF34"/>
    <w:rsid w:val="F7AF1429"/>
    <w:rsid w:val="F7B7EA4B"/>
    <w:rsid w:val="F7BD16D0"/>
    <w:rsid w:val="F7D573B9"/>
    <w:rsid w:val="F7DF7F16"/>
    <w:rsid w:val="F7EED9D3"/>
    <w:rsid w:val="F7EFE2C2"/>
    <w:rsid w:val="F7F1B8B5"/>
    <w:rsid w:val="F7F74F33"/>
    <w:rsid w:val="F7FB4B3F"/>
    <w:rsid w:val="F7FBD805"/>
    <w:rsid w:val="F7FF750A"/>
    <w:rsid w:val="F86F3511"/>
    <w:rsid w:val="F8FFA3A6"/>
    <w:rsid w:val="F97D3507"/>
    <w:rsid w:val="F9EDD3DF"/>
    <w:rsid w:val="FA679C3F"/>
    <w:rsid w:val="FA87A98F"/>
    <w:rsid w:val="FA9FCEAD"/>
    <w:rsid w:val="FAAF6558"/>
    <w:rsid w:val="FADD442A"/>
    <w:rsid w:val="FAEB3CA3"/>
    <w:rsid w:val="FAFF7749"/>
    <w:rsid w:val="FB6E22EC"/>
    <w:rsid w:val="FB765A8A"/>
    <w:rsid w:val="FBABFF93"/>
    <w:rsid w:val="FBB317DA"/>
    <w:rsid w:val="FBCFAD15"/>
    <w:rsid w:val="FBDBCFF1"/>
    <w:rsid w:val="FBEF3456"/>
    <w:rsid w:val="FBEF523B"/>
    <w:rsid w:val="FBF76157"/>
    <w:rsid w:val="FBFEBE23"/>
    <w:rsid w:val="FBFED7F8"/>
    <w:rsid w:val="FC7FC500"/>
    <w:rsid w:val="FCF66B5C"/>
    <w:rsid w:val="FCF96AA4"/>
    <w:rsid w:val="FCFF7212"/>
    <w:rsid w:val="FD2F3CCC"/>
    <w:rsid w:val="FD739BD0"/>
    <w:rsid w:val="FDAFC846"/>
    <w:rsid w:val="FDCF8816"/>
    <w:rsid w:val="FDDF025F"/>
    <w:rsid w:val="FDEDE779"/>
    <w:rsid w:val="FDFF3900"/>
    <w:rsid w:val="FE59C41E"/>
    <w:rsid w:val="FE5B054F"/>
    <w:rsid w:val="FE5C7110"/>
    <w:rsid w:val="FE6AD79C"/>
    <w:rsid w:val="FE6BAEAF"/>
    <w:rsid w:val="FEBF0DEF"/>
    <w:rsid w:val="FED9AAA5"/>
    <w:rsid w:val="FEDC15DB"/>
    <w:rsid w:val="FEF7A4E4"/>
    <w:rsid w:val="FEFA75BD"/>
    <w:rsid w:val="FEFFE81E"/>
    <w:rsid w:val="FEFFEBB2"/>
    <w:rsid w:val="FF045273"/>
    <w:rsid w:val="FF71DB95"/>
    <w:rsid w:val="FF75E920"/>
    <w:rsid w:val="FF7EFEE9"/>
    <w:rsid w:val="FF93AAA9"/>
    <w:rsid w:val="FFB78B37"/>
    <w:rsid w:val="FFBB0823"/>
    <w:rsid w:val="FFBDF266"/>
    <w:rsid w:val="FFBF68D6"/>
    <w:rsid w:val="FFBF9154"/>
    <w:rsid w:val="FFBFADB5"/>
    <w:rsid w:val="FFD6EAA5"/>
    <w:rsid w:val="FFDBB967"/>
    <w:rsid w:val="FFDEA637"/>
    <w:rsid w:val="FFEFB684"/>
    <w:rsid w:val="FFF16F52"/>
    <w:rsid w:val="FFF1E412"/>
    <w:rsid w:val="FFF528A7"/>
    <w:rsid w:val="FFF974EB"/>
    <w:rsid w:val="FFFA3C10"/>
    <w:rsid w:val="FFFA5D8B"/>
    <w:rsid w:val="FFFD2232"/>
    <w:rsid w:val="FFFFAC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62"/>
    <w:qFormat/>
    <w:uiPriority w:val="0"/>
    <w:pPr>
      <w:adjustRightInd/>
      <w:spacing w:after="120" w:line="240" w:lineRule="auto"/>
      <w:ind w:left="420" w:leftChars="200" w:firstLine="210"/>
    </w:pPr>
    <w:rPr>
      <w:sz w:val="21"/>
    </w:rPr>
  </w:style>
  <w:style w:type="paragraph" w:styleId="3">
    <w:name w:val="Body Text Indent"/>
    <w:basedOn w:val="1"/>
    <w:next w:val="2"/>
    <w:link w:val="790"/>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4"/>
    <w:qFormat/>
    <w:uiPriority w:val="0"/>
    <w:pPr>
      <w:shd w:val="clear" w:color="auto" w:fill="000080"/>
    </w:pPr>
  </w:style>
  <w:style w:type="paragraph" w:styleId="21">
    <w:name w:val="annotation text"/>
    <w:basedOn w:val="1"/>
    <w:link w:val="862"/>
    <w:qFormat/>
    <w:uiPriority w:val="99"/>
    <w:pPr>
      <w:jc w:val="left"/>
    </w:pPr>
  </w:style>
  <w:style w:type="paragraph" w:styleId="22">
    <w:name w:val="Salutation"/>
    <w:basedOn w:val="1"/>
    <w:next w:val="1"/>
    <w:link w:val="822"/>
    <w:qFormat/>
    <w:uiPriority w:val="0"/>
    <w:rPr>
      <w:rFonts w:ascii="仿宋_GB2312" w:eastAsia="仿宋_GB2312"/>
      <w:sz w:val="28"/>
      <w:szCs w:val="20"/>
    </w:rPr>
  </w:style>
  <w:style w:type="paragraph" w:styleId="23">
    <w:name w:val="Body Text 3"/>
    <w:basedOn w:val="1"/>
    <w:link w:val="85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41"/>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6"/>
    <w:qFormat/>
    <w:uiPriority w:val="0"/>
    <w:pPr>
      <w:ind w:left="100" w:leftChars="2500"/>
    </w:pPr>
    <w:rPr>
      <w:rFonts w:ascii="宋体"/>
      <w:sz w:val="24"/>
      <w:szCs w:val="21"/>
      <w:lang w:val="zh-CN"/>
    </w:rPr>
  </w:style>
  <w:style w:type="paragraph" w:styleId="38">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9">
    <w:name w:val="endnote text"/>
    <w:basedOn w:val="1"/>
    <w:link w:val="947"/>
    <w:qFormat/>
    <w:uiPriority w:val="0"/>
    <w:rPr>
      <w:lang w:val="zh-CN"/>
    </w:rPr>
  </w:style>
  <w:style w:type="paragraph" w:styleId="40">
    <w:name w:val="Balloon Text"/>
    <w:basedOn w:val="1"/>
    <w:link w:val="723"/>
    <w:qFormat/>
    <w:uiPriority w:val="0"/>
    <w:rPr>
      <w:sz w:val="18"/>
      <w:szCs w:val="18"/>
    </w:rPr>
  </w:style>
  <w:style w:type="paragraph" w:styleId="41">
    <w:name w:val="footer"/>
    <w:basedOn w:val="1"/>
    <w:link w:val="898"/>
    <w:qFormat/>
    <w:uiPriority w:val="99"/>
    <w:pPr>
      <w:tabs>
        <w:tab w:val="center" w:pos="4153"/>
        <w:tab w:val="right" w:pos="8306"/>
      </w:tabs>
      <w:snapToGrid w:val="0"/>
      <w:jc w:val="left"/>
    </w:pPr>
    <w:rPr>
      <w:sz w:val="18"/>
      <w:szCs w:val="18"/>
    </w:rPr>
  </w:style>
  <w:style w:type="paragraph" w:styleId="42">
    <w:name w:val="header"/>
    <w:basedOn w:val="1"/>
    <w:next w:val="43"/>
    <w:link w:val="906"/>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ind w:left="864" w:right="864"/>
      <w:jc w:val="center"/>
    </w:pPr>
    <w:rPr>
      <w:rFonts w:ascii="宋体"/>
      <w:i/>
      <w:color w:val="404040"/>
    </w:rPr>
  </w:style>
  <w:style w:type="paragraph" w:styleId="44">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832"/>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next w:val="56"/>
    <w:link w:val="891"/>
    <w:qFormat/>
    <w:uiPriority w:val="0"/>
    <w:pPr>
      <w:spacing w:line="360" w:lineRule="auto"/>
      <w:ind w:firstLine="420"/>
    </w:pPr>
    <w:rPr>
      <w:sz w:val="24"/>
      <w:szCs w:val="20"/>
    </w:rPr>
  </w:style>
  <w:style w:type="paragraph" w:customStyle="1" w:styleId="56">
    <w:name w:val="目录 92"/>
    <w:next w:val="1"/>
    <w:qFormat/>
    <w:uiPriority w:val="0"/>
    <w:pPr>
      <w:wordWrap w:val="0"/>
      <w:spacing w:after="160" w:line="278" w:lineRule="auto"/>
      <w:ind w:left="2975"/>
      <w:jc w:val="both"/>
    </w:pPr>
    <w:rPr>
      <w:rFonts w:ascii="Times New Roman" w:hAnsi="Times New Roman" w:eastAsia="宋体" w:cs="Times New Roman"/>
      <w:sz w:val="21"/>
      <w:lang w:val="en-US" w:eastAsia="zh-CN" w:bidi="ar-SA"/>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6"/>
    <w:qFormat/>
    <w:uiPriority w:val="0"/>
    <w:pPr>
      <w:spacing w:after="120" w:line="480" w:lineRule="auto"/>
    </w:pPr>
  </w:style>
  <w:style w:type="paragraph" w:styleId="60">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1"/>
    <w:next w:val="21"/>
    <w:link w:val="63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1"/>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正文文本首行缩进 211"/>
    <w:basedOn w:val="82"/>
    <w:qFormat/>
    <w:uiPriority w:val="99"/>
    <w:pPr>
      <w:spacing w:line="200" w:lineRule="atLeast"/>
      <w:ind w:firstLine="420"/>
    </w:pPr>
    <w:rPr>
      <w:spacing w:val="-4"/>
      <w:sz w:val="18"/>
      <w:szCs w:val="18"/>
    </w:rPr>
  </w:style>
  <w:style w:type="paragraph" w:customStyle="1" w:styleId="86">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87">
    <w:name w:val="表格非标题文字"/>
    <w:link w:val="628"/>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paragraph" w:customStyle="1" w:styleId="88">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1"/>
    <w:qFormat/>
    <w:uiPriority w:val="0"/>
    <w:pPr>
      <w:spacing w:before="156" w:line="360" w:lineRule="auto"/>
      <w:ind w:firstLine="510" w:firstLineChars="200"/>
    </w:pPr>
    <w:rPr>
      <w:sz w:val="24"/>
      <w:szCs w:val="20"/>
    </w:rPr>
  </w:style>
  <w:style w:type="paragraph" w:customStyle="1" w:styleId="93">
    <w:name w:val="无间隔1"/>
    <w:link w:val="679"/>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94">
    <w:name w:val="纯文本_0_0"/>
    <w:basedOn w:val="95"/>
    <w:link w:val="687"/>
    <w:qFormat/>
    <w:uiPriority w:val="0"/>
    <w:rPr>
      <w:rFonts w:ascii="宋体" w:hAnsi="Courier New"/>
      <w:szCs w:val="21"/>
    </w:rPr>
  </w:style>
  <w:style w:type="paragraph" w:customStyle="1" w:styleId="95">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7"/>
    <w:qFormat/>
    <w:uiPriority w:val="0"/>
    <w:pPr>
      <w:spacing w:after="160" w:line="300" w:lineRule="auto"/>
    </w:pPr>
    <w:rPr>
      <w:rFonts w:ascii="Arial" w:hAnsi="Arial" w:eastAsia="宋体" w:cs="Times New Roman"/>
      <w:sz w:val="21"/>
      <w:szCs w:val="21"/>
      <w:lang w:val="en-US" w:eastAsia="zh-CN" w:bidi="ar-SA"/>
    </w:rPr>
  </w:style>
  <w:style w:type="paragraph" w:customStyle="1" w:styleId="97">
    <w:name w:val="表格名称"/>
    <w:basedOn w:val="5"/>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2"/>
    <w:qFormat/>
    <w:uiPriority w:val="0"/>
    <w:pPr>
      <w:ind w:left="0" w:right="466" w:firstLine="288"/>
    </w:pPr>
    <w:rPr>
      <w:rFonts w:hAnsi="宋体"/>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7"/>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4"/>
    <w:qFormat/>
    <w:uiPriority w:val="0"/>
    <w:pPr>
      <w:adjustRightInd/>
      <w:spacing w:line="360" w:lineRule="auto"/>
      <w:ind w:firstLine="480" w:firstLineChars="200"/>
    </w:pPr>
    <w:rPr>
      <w:kern w:val="0"/>
      <w:sz w:val="24"/>
    </w:rPr>
  </w:style>
  <w:style w:type="paragraph" w:customStyle="1" w:styleId="105">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列表段落1"/>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5"/>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7"/>
    <w:qFormat/>
    <w:uiPriority w:val="0"/>
    <w:pPr>
      <w:tabs>
        <w:tab w:val="left" w:pos="2356"/>
      </w:tabs>
    </w:pPr>
  </w:style>
  <w:style w:type="paragraph" w:customStyle="1" w:styleId="110">
    <w:name w:val="样式 标题 4h4H4Fab-4T5Ref Heading 1rh1Heading sqlsect 1.2.3...."/>
    <w:basedOn w:val="7"/>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0"/>
    <w:qFormat/>
    <w:uiPriority w:val="0"/>
    <w:pPr>
      <w:adjustRightInd/>
    </w:pPr>
    <w:rPr>
      <w:rFonts w:ascii="宋体" w:hAnsi="Courier New"/>
      <w:kern w:val="0"/>
      <w:sz w:val="20"/>
      <w:szCs w:val="20"/>
    </w:rPr>
  </w:style>
  <w:style w:type="paragraph" w:customStyle="1" w:styleId="113">
    <w:name w:val="正文说明"/>
    <w:basedOn w:val="1"/>
    <w:link w:val="852"/>
    <w:qFormat/>
    <w:uiPriority w:val="0"/>
    <w:pPr>
      <w:adjustRightInd/>
      <w:spacing w:line="360" w:lineRule="auto"/>
    </w:pPr>
    <w:rPr>
      <w:kern w:val="0"/>
      <w:sz w:val="24"/>
    </w:rPr>
  </w:style>
  <w:style w:type="paragraph" w:customStyle="1" w:styleId="114">
    <w:name w:val="Table Text"/>
    <w:basedOn w:val="1"/>
    <w:link w:val="858"/>
    <w:qFormat/>
    <w:uiPriority w:val="0"/>
    <w:pPr>
      <w:widowControl/>
      <w:spacing w:before="60" w:after="60"/>
      <w:jc w:val="left"/>
    </w:pPr>
    <w:rPr>
      <w:kern w:val="0"/>
      <w:sz w:val="24"/>
    </w:rPr>
  </w:style>
  <w:style w:type="paragraph" w:customStyle="1" w:styleId="115">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7"/>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7"/>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14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173">
    <w:name w:val="无间隔2"/>
    <w:basedOn w:val="1"/>
    <w:link w:val="948"/>
    <w:qFormat/>
    <w:uiPriority w:val="99"/>
    <w:rPr>
      <w:szCs w:val="22"/>
    </w:rPr>
  </w:style>
  <w:style w:type="paragraph" w:customStyle="1" w:styleId="17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6"/>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8"/>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7"/>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9"/>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4"/>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next w:val="1"/>
    <w:qFormat/>
    <w:uiPriority w:val="0"/>
    <w:pPr>
      <w:snapToGrid w:val="0"/>
      <w:ind w:firstLine="42" w:firstLineChars="21"/>
    </w:pPr>
    <w:rPr>
      <w:rFonts w:ascii="宋体" w:hAnsi="宋体"/>
      <w:kern w:val="0"/>
      <w:sz w:val="20"/>
      <w:szCs w:val="20"/>
    </w:rPr>
  </w:style>
  <w:style w:type="paragraph" w:customStyle="1" w:styleId="31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7"/>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7">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57">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461">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47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1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8"/>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24">
    <w:name w:val="纯文本3"/>
    <w:basedOn w:val="1"/>
    <w:qFormat/>
    <w:uiPriority w:val="0"/>
    <w:pPr>
      <w:spacing w:before="156" w:beforeLines="50" w:after="156" w:afterLines="50" w:line="400" w:lineRule="exact"/>
    </w:pPr>
    <w:rPr>
      <w:rFonts w:ascii="宋体" w:hAnsi="Courier New"/>
      <w:sz w:val="24"/>
    </w:rPr>
  </w:style>
  <w:style w:type="paragraph" w:customStyle="1" w:styleId="625">
    <w:name w:val="正文7"/>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626">
    <w:name w:val="正文空2字"/>
    <w:basedOn w:val="6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7">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628">
    <w:name w:val="表格非标题文字 Char"/>
    <w:link w:val="87"/>
    <w:qFormat/>
    <w:uiPriority w:val="0"/>
    <w:rPr>
      <w:rFonts w:ascii="Futura Bk" w:hAnsi="Futura Bk"/>
      <w:kern w:val="2"/>
      <w:sz w:val="18"/>
      <w:szCs w:val="21"/>
      <w:lang w:val="en-US" w:eastAsia="zh-CN" w:bidi="ar-SA"/>
    </w:rPr>
  </w:style>
  <w:style w:type="character" w:customStyle="1" w:styleId="629">
    <w:name w:val="*正文 Char"/>
    <w:link w:val="88"/>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9"/>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字符"/>
    <w:link w:val="63"/>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90"/>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91"/>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文本首行缩进 2 字符"/>
    <w:link w:val="2"/>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71"/>
    <w:qFormat/>
    <w:uiPriority w:val="0"/>
    <w:rPr>
      <w:rFonts w:ascii="Arial" w:hAnsi="Arial" w:eastAsia="黑体" w:cs="Arial"/>
      <w:snapToGrid w:val="0"/>
      <w:kern w:val="0"/>
      <w:szCs w:val="21"/>
    </w:rPr>
  </w:style>
  <w:style w:type="character" w:customStyle="1" w:styleId="66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92"/>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字符"/>
    <w:link w:val="49"/>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93"/>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字符"/>
    <w:link w:val="9"/>
    <w:qFormat/>
    <w:uiPriority w:val="0"/>
    <w:rPr>
      <w:rFonts w:ascii="Arial" w:hAnsi="Arial" w:eastAsia="黑体"/>
      <w:b/>
      <w:bCs/>
      <w:kern w:val="2"/>
      <w:sz w:val="24"/>
      <w:szCs w:val="24"/>
    </w:rPr>
  </w:style>
  <w:style w:type="character" w:customStyle="1" w:styleId="687">
    <w:name w:val="纯文本 Char_0"/>
    <w:link w:val="94"/>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6"/>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7"/>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字符"/>
    <w:link w:val="37"/>
    <w:qFormat/>
    <w:uiPriority w:val="0"/>
    <w:rPr>
      <w:rFonts w:ascii="宋体"/>
      <w:kern w:val="2"/>
      <w:sz w:val="24"/>
      <w:szCs w:val="21"/>
      <w:lang w:val="zh-CN"/>
    </w:rPr>
  </w:style>
  <w:style w:type="character" w:customStyle="1" w:styleId="717">
    <w:name w:val="标题 9 字符"/>
    <w:link w:val="12"/>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字符1"/>
    <w:link w:val="40"/>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8"/>
    <w:qFormat/>
    <w:locked/>
    <w:uiPriority w:val="0"/>
    <w:rPr>
      <w:rFonts w:ascii="Tahoma" w:hAnsi="Tahoma"/>
      <w:sz w:val="24"/>
      <w:szCs w:val="24"/>
    </w:rPr>
  </w:style>
  <w:style w:type="character" w:customStyle="1" w:styleId="727">
    <w:name w:val="正文缩进 字符2"/>
    <w:link w:val="17"/>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9"/>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字符"/>
    <w:link w:val="20"/>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basedOn w:val="7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71"/>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字符"/>
    <w:link w:val="31"/>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1"/>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2"/>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字符"/>
    <w:link w:val="18"/>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3"/>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4"/>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5"/>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6"/>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字符1"/>
    <w:link w:val="3"/>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8"/>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字符1"/>
    <w:link w:val="4"/>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字符"/>
    <w:link w:val="62"/>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字符"/>
    <w:link w:val="8"/>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字符"/>
    <w:link w:val="22"/>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字符"/>
    <w:link w:val="60"/>
    <w:qFormat/>
    <w:uiPriority w:val="0"/>
    <w:rPr>
      <w:rFonts w:ascii="黑体" w:hAnsi="Courier New" w:eastAsia="黑体"/>
    </w:rPr>
  </w:style>
  <w:style w:type="character" w:customStyle="1" w:styleId="826">
    <w:name w:val="正文文本 2 字符1"/>
    <w:link w:val="59"/>
    <w:qFormat/>
    <w:uiPriority w:val="0"/>
    <w:rPr>
      <w:kern w:val="2"/>
      <w:sz w:val="21"/>
      <w:szCs w:val="24"/>
    </w:rPr>
  </w:style>
  <w:style w:type="character" w:customStyle="1" w:styleId="827">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字符"/>
    <w:link w:val="10"/>
    <w:qFormat/>
    <w:uiPriority w:val="0"/>
    <w:rPr>
      <w:b/>
      <w:bCs/>
      <w:kern w:val="2"/>
      <w:sz w:val="24"/>
      <w:szCs w:val="24"/>
    </w:rPr>
  </w:style>
  <w:style w:type="character" w:customStyle="1" w:styleId="830">
    <w:name w:val="正文文本缩进 2 字符"/>
    <w:link w:val="38"/>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字符"/>
    <w:link w:val="52"/>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1"/>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2"/>
    <w:qFormat/>
    <w:uiPriority w:val="0"/>
    <w:rPr>
      <w:rFonts w:ascii="宋体" w:hAnsi="Courier New"/>
    </w:rPr>
  </w:style>
  <w:style w:type="character" w:customStyle="1" w:styleId="841">
    <w:name w:val="正文文本首行缩进 字符"/>
    <w:link w:val="26"/>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字符1"/>
    <w:link w:val="7"/>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字符"/>
    <w:link w:val="23"/>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3"/>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4"/>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字符1"/>
    <w:link w:val="21"/>
    <w:qFormat/>
    <w:uiPriority w:val="99"/>
    <w:rPr>
      <w:kern w:val="2"/>
      <w:sz w:val="21"/>
      <w:szCs w:val="24"/>
    </w:rPr>
  </w:style>
  <w:style w:type="character" w:customStyle="1" w:styleId="863">
    <w:name w:val="签名 字符"/>
    <w:link w:val="44"/>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5"/>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6"/>
    <w:qFormat/>
    <w:uiPriority w:val="0"/>
    <w:rPr>
      <w:rFonts w:ascii="宋体"/>
    </w:rPr>
  </w:style>
  <w:style w:type="character" w:customStyle="1" w:styleId="874">
    <w:name w:val="标题 8 字符"/>
    <w:link w:val="11"/>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字符"/>
    <w:link w:val="55"/>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7"/>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字符2"/>
    <w:link w:val="41"/>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8"/>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字符2"/>
    <w:link w:val="42"/>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9"/>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0"/>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1"/>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2"/>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71"/>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3"/>
    <w:qFormat/>
    <w:uiPriority w:val="0"/>
    <w:rPr>
      <w:rFonts w:cs="宋体"/>
      <w:kern w:val="2"/>
      <w:sz w:val="24"/>
    </w:rPr>
  </w:style>
  <w:style w:type="character" w:customStyle="1" w:styleId="93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0">
    <w:name w:val="gray6"/>
    <w:basedOn w:val="71"/>
    <w:qFormat/>
    <w:uiPriority w:val="0"/>
    <w:rPr>
      <w:rFonts w:ascii="Arial" w:hAnsi="Arial" w:eastAsia="黑体" w:cs="Arial"/>
      <w:snapToGrid w:val="0"/>
      <w:kern w:val="0"/>
      <w:szCs w:val="21"/>
    </w:rPr>
  </w:style>
  <w:style w:type="character" w:customStyle="1" w:styleId="941">
    <w:name w:val="hui"/>
    <w:basedOn w:val="71"/>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字符"/>
    <w:link w:val="39"/>
    <w:qFormat/>
    <w:uiPriority w:val="0"/>
    <w:rPr>
      <w:kern w:val="2"/>
      <w:sz w:val="21"/>
      <w:szCs w:val="24"/>
      <w:lang w:val="zh-CN"/>
    </w:rPr>
  </w:style>
  <w:style w:type="character" w:customStyle="1" w:styleId="948">
    <w:name w:val="无间隔 Char"/>
    <w:link w:val="173"/>
    <w:qFormat/>
    <w:uiPriority w:val="99"/>
    <w:rPr>
      <w:kern w:val="2"/>
      <w:sz w:val="21"/>
      <w:szCs w:val="22"/>
    </w:rPr>
  </w:style>
  <w:style w:type="character" w:customStyle="1" w:styleId="949">
    <w:name w:val="标准文本 Char Char"/>
    <w:link w:val="610"/>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Revision"/>
    <w:hidden/>
    <w:unhideWhenUsed/>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65278</Words>
  <Characters>68046</Characters>
  <Lines>6532</Lines>
  <Paragraphs>5598</Paragraphs>
  <TotalTime>48</TotalTime>
  <ScaleCrop>false</ScaleCrop>
  <LinksUpToDate>false</LinksUpToDate>
  <CharactersWithSpaces>74630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2024-06-18T02:04:00Z</dcterms:created>
  <dc:creator>成燕</dc:creator>
  <dc:description>耀华招标文件</dc:description>
  <cp:lastModifiedBy>成燕</cp:lastModifiedBy>
  <cp:lastPrinted>2024-06-21T14:29:00Z</cp:lastPrinted>
  <dcterms:modified xsi:type="dcterms:W3CDTF">2024-06-21T15:21:50Z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55D05E2F598D4B4ABA991229355B4406_13</vt:lpwstr>
  </property>
</Properties>
</file>