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3021E8">
      <w:pPr>
        <w:spacing w:line="360" w:lineRule="auto"/>
        <w:jc w:val="center"/>
        <w:rPr>
          <w:rFonts w:ascii="宋体" w:hAnsi="宋体" w:cs="宋体"/>
          <w:b/>
          <w:color w:val="auto"/>
          <w:sz w:val="24"/>
          <w:highlight w:val="none"/>
        </w:rPr>
      </w:pPr>
    </w:p>
    <w:p w14:paraId="636E1BFD">
      <w:pPr>
        <w:spacing w:line="360" w:lineRule="auto"/>
        <w:jc w:val="center"/>
        <w:rPr>
          <w:rFonts w:ascii="宋体" w:hAnsi="宋体" w:cs="宋体"/>
          <w:b/>
          <w:color w:val="auto"/>
          <w:sz w:val="24"/>
          <w:highlight w:val="none"/>
        </w:rPr>
      </w:pPr>
    </w:p>
    <w:p w14:paraId="73CCD4B7">
      <w:pPr>
        <w:adjustRightInd/>
        <w:spacing w:line="360" w:lineRule="auto"/>
        <w:jc w:val="center"/>
        <w:rPr>
          <w:rFonts w:ascii="宋体" w:hAnsi="宋体" w:cs="宋体"/>
          <w:b/>
          <w:color w:val="auto"/>
          <w:sz w:val="44"/>
          <w:szCs w:val="44"/>
          <w:highlight w:val="none"/>
        </w:rPr>
      </w:pPr>
    </w:p>
    <w:p w14:paraId="1C866FA4">
      <w:pPr>
        <w:spacing w:line="360" w:lineRule="auto"/>
        <w:jc w:val="center"/>
        <w:rPr>
          <w:rFonts w:ascii="宋体" w:hAnsi="宋体" w:cs="宋体"/>
          <w:b/>
          <w:color w:val="auto"/>
          <w:sz w:val="44"/>
          <w:szCs w:val="44"/>
          <w:highlight w:val="none"/>
        </w:rPr>
      </w:pPr>
    </w:p>
    <w:p w14:paraId="042958D4">
      <w:pPr>
        <w:adjustRightInd/>
        <w:spacing w:line="360" w:lineRule="auto"/>
        <w:jc w:val="center"/>
        <w:rPr>
          <w:rFonts w:ascii="宋体" w:hAnsi="宋体" w:cs="宋体"/>
          <w:b/>
          <w:color w:val="auto"/>
          <w:sz w:val="48"/>
          <w:szCs w:val="48"/>
          <w:highlight w:val="none"/>
        </w:rPr>
      </w:pPr>
    </w:p>
    <w:p w14:paraId="528EDF94">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钱江新城CBD楼宇服务中心</w:t>
      </w:r>
    </w:p>
    <w:p w14:paraId="528C83EE">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竞争性磋商文件</w:t>
      </w:r>
    </w:p>
    <w:p w14:paraId="45F11D4C">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（电子交易）</w:t>
      </w:r>
    </w:p>
    <w:p w14:paraId="4B33DA00">
      <w:pPr>
        <w:adjustRightInd/>
        <w:spacing w:line="360" w:lineRule="auto"/>
        <w:jc w:val="center"/>
        <w:rPr>
          <w:rFonts w:hint="default" w:ascii="宋体" w:hAnsi="宋体" w:eastAsia="宋体" w:cs="宋体"/>
          <w:color w:val="auto"/>
          <w:sz w:val="48"/>
          <w:szCs w:val="48"/>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val="en-US" w:eastAsia="zh-CN"/>
        </w:rPr>
        <w:t>ZJXR-20240614-01</w:t>
      </w:r>
    </w:p>
    <w:p w14:paraId="0CEA4779">
      <w:pPr>
        <w:snapToGrid w:val="0"/>
        <w:spacing w:line="360" w:lineRule="auto"/>
        <w:jc w:val="center"/>
        <w:rPr>
          <w:rFonts w:ascii="宋体" w:hAnsi="宋体" w:cs="宋体"/>
          <w:color w:val="auto"/>
          <w:sz w:val="30"/>
          <w:szCs w:val="30"/>
          <w:highlight w:val="none"/>
        </w:rPr>
      </w:pPr>
    </w:p>
    <w:p w14:paraId="199F4AB4">
      <w:pPr>
        <w:adjustRightInd/>
        <w:spacing w:line="360" w:lineRule="auto"/>
        <w:rPr>
          <w:rFonts w:ascii="宋体" w:hAnsi="宋体" w:cs="宋体"/>
          <w:color w:val="auto"/>
          <w:sz w:val="28"/>
          <w:szCs w:val="20"/>
          <w:highlight w:val="none"/>
        </w:rPr>
      </w:pPr>
    </w:p>
    <w:p w14:paraId="1C99647F">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4C0C6C2E">
      <w:pPr>
        <w:spacing w:line="360" w:lineRule="auto"/>
        <w:jc w:val="center"/>
        <w:rPr>
          <w:rFonts w:ascii="宋体" w:hAnsi="宋体" w:cs="宋体"/>
          <w:b/>
          <w:color w:val="auto"/>
          <w:sz w:val="44"/>
          <w:szCs w:val="44"/>
          <w:highlight w:val="none"/>
        </w:rPr>
      </w:pPr>
    </w:p>
    <w:p w14:paraId="067F00F4">
      <w:pPr>
        <w:spacing w:line="360" w:lineRule="auto"/>
        <w:jc w:val="center"/>
        <w:rPr>
          <w:rFonts w:ascii="宋体" w:hAnsi="宋体" w:cs="宋体"/>
          <w:color w:val="auto"/>
          <w:sz w:val="24"/>
          <w:highlight w:val="none"/>
        </w:rPr>
      </w:pPr>
    </w:p>
    <w:p w14:paraId="6FB4C8A6">
      <w:pPr>
        <w:spacing w:line="360" w:lineRule="auto"/>
        <w:jc w:val="center"/>
        <w:rPr>
          <w:rFonts w:ascii="宋体" w:hAnsi="宋体" w:cs="宋体"/>
          <w:color w:val="auto"/>
          <w:sz w:val="24"/>
          <w:highlight w:val="none"/>
        </w:rPr>
      </w:pPr>
    </w:p>
    <w:p w14:paraId="5849625B">
      <w:pPr>
        <w:spacing w:line="360" w:lineRule="auto"/>
        <w:rPr>
          <w:rFonts w:ascii="宋体" w:hAnsi="宋体" w:cs="宋体"/>
          <w:color w:val="auto"/>
          <w:sz w:val="32"/>
          <w:szCs w:val="32"/>
          <w:highlight w:val="none"/>
        </w:rPr>
      </w:pPr>
    </w:p>
    <w:p w14:paraId="2D13121F">
      <w:pPr>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杭州市上城区人民政府四季青街道办事处</w:t>
      </w:r>
    </w:p>
    <w:p w14:paraId="1083DA3D">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浙江鑫润工程管理有限公司</w:t>
      </w:r>
    </w:p>
    <w:p w14:paraId="614CFC46">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w:t>
      </w:r>
      <w:r>
        <w:rPr>
          <w:rFonts w:hint="eastAsia" w:ascii="宋体" w:hAnsi="宋体" w:cs="宋体"/>
          <w:bCs/>
          <w:color w:val="auto"/>
          <w:sz w:val="32"/>
          <w:szCs w:val="32"/>
          <w:highlight w:val="none"/>
          <w:lang w:eastAsia="zh-CN"/>
        </w:rPr>
        <w:t>二四</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六</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十四</w:t>
      </w:r>
      <w:r>
        <w:rPr>
          <w:rFonts w:hint="eastAsia" w:ascii="宋体" w:hAnsi="宋体" w:cs="宋体"/>
          <w:bCs/>
          <w:color w:val="auto"/>
          <w:sz w:val="32"/>
          <w:szCs w:val="32"/>
          <w:highlight w:val="none"/>
        </w:rPr>
        <w:t>日</w:t>
      </w:r>
    </w:p>
    <w:p w14:paraId="64C1F5FE">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DE0ABD3">
      <w:pPr>
        <w:spacing w:line="360" w:lineRule="auto"/>
        <w:jc w:val="center"/>
        <w:rPr>
          <w:rFonts w:ascii="宋体" w:hAnsi="宋体" w:cs="宋体"/>
          <w:color w:val="auto"/>
          <w:sz w:val="24"/>
          <w:highlight w:val="none"/>
        </w:rPr>
      </w:pPr>
    </w:p>
    <w:p w14:paraId="181D7BEE">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527EAD9">
      <w:pPr>
        <w:spacing w:line="360" w:lineRule="auto"/>
        <w:rPr>
          <w:rFonts w:ascii="宋体" w:hAnsi="宋体" w:cs="宋体"/>
          <w:color w:val="auto"/>
          <w:sz w:val="32"/>
          <w:szCs w:val="32"/>
          <w:highlight w:val="none"/>
        </w:rPr>
      </w:pPr>
    </w:p>
    <w:p w14:paraId="05C93991">
      <w:pPr>
        <w:spacing w:line="360" w:lineRule="auto"/>
        <w:rPr>
          <w:rFonts w:ascii="宋体" w:hAnsi="宋体" w:cs="宋体"/>
          <w:color w:val="auto"/>
          <w:sz w:val="32"/>
          <w:szCs w:val="32"/>
          <w:highlight w:val="none"/>
        </w:rPr>
      </w:pPr>
    </w:p>
    <w:p w14:paraId="4F3928F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竞争性磋商公告</w:t>
      </w:r>
    </w:p>
    <w:p w14:paraId="3417112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供应商须知</w:t>
      </w:r>
    </w:p>
    <w:p w14:paraId="6FEE6C0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036F6E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评审办法</w:t>
      </w:r>
    </w:p>
    <w:p w14:paraId="12C8567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713175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73BD6D6A">
      <w:pPr>
        <w:spacing w:line="360" w:lineRule="auto"/>
        <w:ind w:firstLine="1280" w:firstLineChars="400"/>
        <w:rPr>
          <w:rFonts w:ascii="宋体" w:hAnsi="宋体" w:cs="宋体"/>
          <w:color w:val="auto"/>
          <w:sz w:val="32"/>
          <w:szCs w:val="32"/>
          <w:highlight w:val="none"/>
        </w:rPr>
      </w:pPr>
    </w:p>
    <w:p w14:paraId="7499652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5EFA9E9C">
      <w:pPr>
        <w:spacing w:line="360" w:lineRule="auto"/>
        <w:ind w:firstLine="549" w:firstLineChars="229"/>
        <w:rPr>
          <w:rFonts w:ascii="宋体" w:hAnsi="宋体" w:cs="宋体"/>
          <w:color w:val="auto"/>
          <w:sz w:val="24"/>
          <w:highlight w:val="none"/>
        </w:rPr>
      </w:pPr>
    </w:p>
    <w:p w14:paraId="544A4A51">
      <w:pPr>
        <w:spacing w:line="360" w:lineRule="auto"/>
        <w:ind w:firstLine="549" w:firstLineChars="229"/>
        <w:rPr>
          <w:rFonts w:ascii="宋体" w:hAnsi="宋体" w:cs="宋体"/>
          <w:color w:val="auto"/>
          <w:sz w:val="24"/>
          <w:highlight w:val="none"/>
        </w:rPr>
      </w:pPr>
    </w:p>
    <w:p w14:paraId="0E2602AE">
      <w:pPr>
        <w:spacing w:line="360" w:lineRule="auto"/>
        <w:ind w:firstLine="549" w:firstLineChars="229"/>
        <w:rPr>
          <w:rFonts w:ascii="宋体" w:hAnsi="宋体" w:cs="宋体"/>
          <w:color w:val="auto"/>
          <w:sz w:val="24"/>
          <w:highlight w:val="none"/>
        </w:rPr>
      </w:pPr>
    </w:p>
    <w:p w14:paraId="1529A5AC">
      <w:pPr>
        <w:spacing w:line="360" w:lineRule="auto"/>
        <w:ind w:firstLine="549" w:firstLineChars="229"/>
        <w:rPr>
          <w:rFonts w:ascii="宋体" w:hAnsi="宋体" w:cs="宋体"/>
          <w:color w:val="auto"/>
          <w:sz w:val="24"/>
          <w:highlight w:val="none"/>
        </w:rPr>
      </w:pPr>
    </w:p>
    <w:p w14:paraId="6EB385E6">
      <w:pPr>
        <w:spacing w:line="360" w:lineRule="auto"/>
        <w:ind w:firstLine="549" w:firstLineChars="229"/>
        <w:rPr>
          <w:rFonts w:ascii="宋体" w:hAnsi="宋体" w:cs="宋体"/>
          <w:color w:val="auto"/>
          <w:sz w:val="24"/>
          <w:highlight w:val="none"/>
        </w:rPr>
      </w:pPr>
    </w:p>
    <w:p w14:paraId="00041399">
      <w:pPr>
        <w:spacing w:line="360" w:lineRule="auto"/>
        <w:ind w:firstLine="549" w:firstLineChars="229"/>
        <w:rPr>
          <w:rFonts w:ascii="宋体" w:hAnsi="宋体" w:cs="宋体"/>
          <w:color w:val="auto"/>
          <w:sz w:val="24"/>
          <w:highlight w:val="none"/>
        </w:rPr>
      </w:pPr>
    </w:p>
    <w:p w14:paraId="05CDA43F">
      <w:pPr>
        <w:spacing w:line="360" w:lineRule="auto"/>
        <w:ind w:firstLine="549" w:firstLineChars="229"/>
        <w:rPr>
          <w:rFonts w:ascii="宋体" w:hAnsi="宋体" w:cs="宋体"/>
          <w:color w:val="auto"/>
          <w:sz w:val="24"/>
          <w:highlight w:val="none"/>
        </w:rPr>
      </w:pPr>
    </w:p>
    <w:p w14:paraId="101370CD">
      <w:pPr>
        <w:spacing w:line="360" w:lineRule="auto"/>
        <w:ind w:firstLine="549" w:firstLineChars="229"/>
        <w:rPr>
          <w:rFonts w:ascii="宋体" w:hAnsi="宋体" w:cs="宋体"/>
          <w:color w:val="auto"/>
          <w:sz w:val="24"/>
          <w:highlight w:val="none"/>
        </w:rPr>
      </w:pPr>
    </w:p>
    <w:p w14:paraId="790A9A99">
      <w:pPr>
        <w:spacing w:line="360" w:lineRule="auto"/>
        <w:ind w:firstLine="549" w:firstLineChars="229"/>
        <w:rPr>
          <w:rFonts w:ascii="宋体" w:hAnsi="宋体" w:cs="宋体"/>
          <w:color w:val="auto"/>
          <w:sz w:val="24"/>
          <w:highlight w:val="none"/>
        </w:rPr>
      </w:pPr>
    </w:p>
    <w:p w14:paraId="156A344F">
      <w:pPr>
        <w:spacing w:line="360" w:lineRule="auto"/>
        <w:ind w:firstLine="549" w:firstLineChars="229"/>
        <w:rPr>
          <w:rFonts w:ascii="宋体" w:hAnsi="宋体" w:cs="宋体"/>
          <w:color w:val="auto"/>
          <w:sz w:val="24"/>
          <w:highlight w:val="none"/>
        </w:rPr>
      </w:pPr>
    </w:p>
    <w:p w14:paraId="0D81D593">
      <w:pPr>
        <w:spacing w:line="360" w:lineRule="auto"/>
        <w:ind w:firstLine="549" w:firstLineChars="229"/>
        <w:rPr>
          <w:rFonts w:ascii="宋体" w:hAnsi="宋体" w:cs="宋体"/>
          <w:color w:val="auto"/>
          <w:sz w:val="24"/>
          <w:highlight w:val="none"/>
        </w:rPr>
      </w:pPr>
    </w:p>
    <w:p w14:paraId="29F50E48">
      <w:pPr>
        <w:spacing w:line="360" w:lineRule="auto"/>
        <w:ind w:firstLine="549" w:firstLineChars="229"/>
        <w:rPr>
          <w:rFonts w:ascii="宋体" w:hAnsi="宋体" w:cs="宋体"/>
          <w:color w:val="auto"/>
          <w:sz w:val="24"/>
          <w:highlight w:val="none"/>
        </w:rPr>
      </w:pPr>
    </w:p>
    <w:p w14:paraId="7E553719">
      <w:pPr>
        <w:spacing w:line="360" w:lineRule="auto"/>
        <w:rPr>
          <w:rFonts w:ascii="宋体" w:hAnsi="宋体" w:cs="宋体"/>
          <w:color w:val="auto"/>
          <w:sz w:val="24"/>
          <w:highlight w:val="none"/>
        </w:rPr>
      </w:pPr>
    </w:p>
    <w:p w14:paraId="7870E01D">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竞争性磋商公告</w:t>
      </w:r>
    </w:p>
    <w:p w14:paraId="22DC8D9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A295C3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钱江新城CBD楼宇服务中心</w:t>
      </w:r>
      <w:r>
        <w:rPr>
          <w:rFonts w:hint="eastAsia" w:ascii="宋体" w:hAnsi="宋体" w:cs="宋体"/>
          <w:color w:val="auto"/>
          <w:sz w:val="24"/>
          <w:highlight w:val="none"/>
        </w:rPr>
        <w:t>采购项目的潜在供应商应在政采云平台（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https://www.zcygov.cn/）获取（下载）采购文件，并于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u w:val="singl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提交（上传）响应文件。</w:t>
      </w:r>
    </w:p>
    <w:p w14:paraId="69C1066C">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17F62C63">
      <w:pPr>
        <w:snapToGrid w:val="0"/>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项目编号：ZJXR-20240614-</w:t>
      </w:r>
      <w:r>
        <w:rPr>
          <w:rFonts w:hint="eastAsia" w:ascii="宋体" w:hAnsi="宋体" w:cs="宋体"/>
          <w:b/>
          <w:color w:val="auto"/>
          <w:sz w:val="24"/>
          <w:highlight w:val="none"/>
          <w:lang w:val="en-US" w:eastAsia="zh-CN"/>
        </w:rPr>
        <w:t>0</w:t>
      </w:r>
      <w:r>
        <w:rPr>
          <w:rFonts w:hint="eastAsia" w:ascii="宋体" w:hAnsi="宋体" w:cs="宋体"/>
          <w:b/>
          <w:color w:val="auto"/>
          <w:sz w:val="24"/>
          <w:highlight w:val="none"/>
        </w:rPr>
        <w:t>1</w:t>
      </w:r>
    </w:p>
    <w:p w14:paraId="75C76E31">
      <w:pPr>
        <w:snapToGrid w:val="0"/>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color w:val="auto"/>
          <w:sz w:val="24"/>
          <w:highlight w:val="none"/>
          <w:lang w:eastAsia="zh-CN"/>
        </w:rPr>
        <w:t>钱江新城CBD楼宇服务中心</w:t>
      </w:r>
    </w:p>
    <w:p w14:paraId="2FA55C54">
      <w:pPr>
        <w:snapToGrid w:val="0"/>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预算金额（元）：</w:t>
      </w:r>
      <w:r>
        <w:rPr>
          <w:rFonts w:hint="eastAsia" w:ascii="宋体" w:hAnsi="宋体" w:cs="宋体"/>
          <w:b/>
          <w:color w:val="auto"/>
          <w:sz w:val="24"/>
          <w:highlight w:val="none"/>
          <w:lang w:val="en-US" w:eastAsia="zh-CN"/>
        </w:rPr>
        <w:t>1950000</w:t>
      </w:r>
      <w:r>
        <w:rPr>
          <w:rFonts w:hint="eastAsia" w:ascii="宋体" w:hAnsi="宋体" w:cs="宋体"/>
          <w:color w:val="auto"/>
          <w:sz w:val="24"/>
          <w:highlight w:val="none"/>
        </w:rPr>
        <w:t xml:space="preserve"> </w:t>
      </w:r>
    </w:p>
    <w:p w14:paraId="3179D35C">
      <w:pPr>
        <w:snapToGrid w:val="0"/>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1950000</w:t>
      </w:r>
      <w:r>
        <w:rPr>
          <w:rFonts w:hint="eastAsia" w:ascii="宋体" w:hAnsi="宋体" w:cs="宋体"/>
          <w:color w:val="auto"/>
          <w:sz w:val="24"/>
          <w:highlight w:val="none"/>
        </w:rPr>
        <w:t xml:space="preserve"> </w:t>
      </w:r>
    </w:p>
    <w:p w14:paraId="597EF39C">
      <w:pPr>
        <w:pStyle w:val="5"/>
        <w:spacing w:line="360" w:lineRule="auto"/>
        <w:ind w:firstLine="482" w:firstLineChars="20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钱江新城CBD楼宇服务中心</w:t>
      </w:r>
      <w:r>
        <w:rPr>
          <w:rFonts w:hint="eastAsia" w:hAnsi="宋体" w:cs="宋体"/>
          <w:bCs/>
          <w:snapToGrid/>
          <w:color w:val="auto"/>
          <w:kern w:val="2"/>
          <w:sz w:val="24"/>
          <w:szCs w:val="24"/>
          <w:highlight w:val="none"/>
        </w:rPr>
        <w:t>主</w:t>
      </w:r>
      <w:r>
        <w:rPr>
          <w:rFonts w:hint="eastAsia" w:ascii="宋体" w:hAnsi="宋体" w:eastAsia="宋体" w:cs="宋体"/>
          <w:bCs/>
          <w:snapToGrid/>
          <w:color w:val="auto"/>
          <w:kern w:val="2"/>
          <w:sz w:val="24"/>
          <w:szCs w:val="24"/>
          <w:highlight w:val="none"/>
        </w:rPr>
        <w:t>要内容</w:t>
      </w:r>
      <w:r>
        <w:rPr>
          <w:rFonts w:hint="eastAsia" w:ascii="宋体" w:hAnsi="宋体" w:eastAsia="宋体" w:cs="宋体"/>
          <w:color w:val="auto"/>
          <w:sz w:val="24"/>
          <w:szCs w:val="24"/>
          <w:highlight w:val="none"/>
          <w:lang w:eastAsia="zh-CN"/>
        </w:rPr>
        <w:t>包含一层装修改造，二层局部装修改造</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hAnsi="宋体" w:cs="宋体"/>
          <w:bCs/>
          <w:snapToGrid/>
          <w:color w:val="auto"/>
          <w:kern w:val="2"/>
          <w:sz w:val="24"/>
          <w:szCs w:val="24"/>
          <w:highlight w:val="none"/>
        </w:rPr>
        <w:t>详见采购文件第三部分采购需求。</w:t>
      </w:r>
    </w:p>
    <w:p w14:paraId="605B6686">
      <w:pPr>
        <w:pStyle w:val="131"/>
        <w:snapToGrid w:val="0"/>
        <w:spacing w:before="0"/>
        <w:ind w:firstLine="482"/>
        <w:outlineLvl w:val="2"/>
        <w:rPr>
          <w:rFonts w:hint="default" w:ascii="宋体" w:hAnsi="宋体" w:eastAsia="宋体" w:cs="宋体"/>
          <w:color w:val="auto"/>
          <w:highlight w:val="none"/>
          <w:lang w:val="en-US" w:eastAsia="zh-CN"/>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工期60日历天</w:t>
      </w:r>
    </w:p>
    <w:p w14:paraId="29CDB3E5">
      <w:pPr>
        <w:pStyle w:val="5"/>
        <w:spacing w:line="360" w:lineRule="auto"/>
        <w:ind w:firstLine="482" w:firstLineChars="200"/>
        <w:rPr>
          <w:rFonts w:hAnsi="宋体" w:cs="宋体"/>
          <w:b/>
          <w:color w:val="auto"/>
          <w:sz w:val="24"/>
          <w:highlight w:val="none"/>
        </w:rPr>
      </w:pPr>
      <w:r>
        <w:rPr>
          <w:rFonts w:hint="eastAsia" w:hAnsi="宋体" w:cs="宋体"/>
          <w:b/>
          <w:color w:val="auto"/>
          <w:sz w:val="24"/>
          <w:highlight w:val="none"/>
        </w:rPr>
        <w:t>本项目接受联合体：</w:t>
      </w:r>
    </w:p>
    <w:p w14:paraId="17E87D14">
      <w:pPr>
        <w:pStyle w:val="5"/>
        <w:spacing w:line="360" w:lineRule="auto"/>
        <w:ind w:firstLine="480" w:firstLineChars="200"/>
        <w:rPr>
          <w:rFonts w:hAnsi="宋体" w:cs="宋体"/>
          <w:color w:val="auto"/>
          <w:sz w:val="24"/>
          <w:highlight w:val="none"/>
        </w:rPr>
      </w:pPr>
      <w:sdt>
        <w:sdtPr>
          <w:rPr>
            <w:rFonts w:hint="eastAsia" w:hAnsi="宋体" w:cs="宋体"/>
            <w:color w:val="auto"/>
            <w:kern w:val="0"/>
            <w:sz w:val="24"/>
            <w:highlight w:val="none"/>
          </w:rPr>
          <w:id w:val="203545383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color w:val="auto"/>
          <w:sz w:val="24"/>
          <w:highlight w:val="none"/>
        </w:rPr>
        <w:t>是；</w:t>
      </w:r>
    </w:p>
    <w:p w14:paraId="2042FDC0">
      <w:pPr>
        <w:pStyle w:val="5"/>
        <w:spacing w:line="360" w:lineRule="auto"/>
        <w:ind w:firstLine="480" w:firstLineChars="200"/>
        <w:rPr>
          <w:rFonts w:hAnsi="宋体" w:cs="宋体"/>
          <w:color w:val="auto"/>
          <w:kern w:val="0"/>
          <w:sz w:val="24"/>
          <w:highlight w:val="none"/>
        </w:rPr>
      </w:pPr>
      <w:sdt>
        <w:sdtPr>
          <w:rPr>
            <w:rFonts w:hint="eastAsia" w:hAnsi="宋体" w:cs="宋体"/>
            <w:color w:val="auto"/>
            <w:kern w:val="0"/>
            <w:sz w:val="24"/>
            <w:highlight w:val="none"/>
          </w:rPr>
          <w:id w:val="-176552672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ascii="Wingdings" w:hAnsi="Wingdings" w:eastAsia="宋体" w:cs="宋体"/>
              <w:snapToGrid w:val="0"/>
              <w:color w:val="auto"/>
              <w:kern w:val="0"/>
              <w:sz w:val="24"/>
              <w:szCs w:val="20"/>
              <w:highlight w:val="none"/>
              <w:lang w:val="en-US" w:eastAsia="zh-CN" w:bidi="ar-SA"/>
            </w:rPr>
            <w:t>þ</w:t>
          </w:r>
        </w:sdtContent>
      </w:sdt>
      <w:r>
        <w:rPr>
          <w:rFonts w:hint="eastAsia" w:hAnsi="宋体" w:cs="宋体"/>
          <w:color w:val="auto"/>
          <w:sz w:val="24"/>
          <w:highlight w:val="none"/>
        </w:rPr>
        <w:t>否</w:t>
      </w:r>
      <w:r>
        <w:rPr>
          <w:rFonts w:hint="eastAsia" w:hAnsi="宋体" w:cs="宋体"/>
          <w:color w:val="auto"/>
          <w:kern w:val="0"/>
          <w:sz w:val="24"/>
          <w:highlight w:val="none"/>
        </w:rPr>
        <w:t>，不接受联合体理由：</w:t>
      </w:r>
      <w:r>
        <w:rPr>
          <w:rFonts w:hAnsi="宋体" w:cs="宋体"/>
          <w:color w:val="auto"/>
          <w:kern w:val="0"/>
          <w:sz w:val="24"/>
          <w:highlight w:val="none"/>
          <w:u w:val="single"/>
        </w:rPr>
        <w:t xml:space="preserve">              </w:t>
      </w:r>
      <w:r>
        <w:rPr>
          <w:rFonts w:hint="eastAsia" w:hAnsi="宋体" w:cs="宋体"/>
          <w:color w:val="auto"/>
          <w:kern w:val="0"/>
          <w:sz w:val="24"/>
          <w:highlight w:val="none"/>
        </w:rPr>
        <w:t>。</w:t>
      </w:r>
    </w:p>
    <w:p w14:paraId="24F73F3E">
      <w:pPr>
        <w:pStyle w:val="131"/>
        <w:snapToGrid w:val="0"/>
        <w:spacing w:before="0"/>
        <w:ind w:firstLine="482"/>
        <w:outlineLvl w:val="2"/>
        <w:rPr>
          <w:rFonts w:ascii="宋体" w:hAnsi="宋体" w:cs="宋体"/>
          <w:b/>
          <w:color w:val="auto"/>
          <w:highlight w:val="none"/>
        </w:rPr>
      </w:pPr>
      <w:r>
        <w:rPr>
          <w:rFonts w:hint="eastAsia" w:ascii="宋体" w:hAnsi="宋体" w:cs="宋体"/>
          <w:b/>
          <w:color w:val="auto"/>
          <w:highlight w:val="none"/>
        </w:rPr>
        <w:t>注：不得限制大中型企业与小微企业组成联合体参与。</w:t>
      </w:r>
    </w:p>
    <w:p w14:paraId="66619FD8">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2239864E">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0C9698B">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以联合体形式参与的，提供联合协议(本项目不接受联合体或者供应商不以联合体形式参与的，则不需要提供) ；</w:t>
      </w:r>
    </w:p>
    <w:p w14:paraId="0EF4F92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D4FF85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p>
    <w:p w14:paraId="50F13629">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B650A20">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工程全部由符合政策要求的中小企业承建，提供中小企业声明函；</w:t>
      </w:r>
    </w:p>
    <w:p w14:paraId="59AF1FD6">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工程全部由符合政策要求的小微企业承建，提供中小企业声明函；</w:t>
      </w:r>
    </w:p>
    <w:p w14:paraId="171A16F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如果供应商本身提供所有标的均由中小企业承建，并相应达到了前述比例要求，视同符合了资格条件，无需再与其他中小企业组成联合体参加政府采购活动，无需提供联合协议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08BA7A5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如果供应商本身提供所有标的均由中小企业承建，并相应达到了前述比例要求，视同符合了资格条件，无需再向中小企业分包，无需提供分包意向协议</w:t>
      </w:r>
      <w:r>
        <w:rPr>
          <w:rFonts w:hint="eastAsia" w:ascii="宋体" w:hAnsi="宋体" w:cs="宋体"/>
          <w:color w:val="auto"/>
          <w:sz w:val="24"/>
          <w:highlight w:val="none"/>
        </w:rPr>
        <w:t>；</w:t>
      </w:r>
    </w:p>
    <w:p w14:paraId="4174FD5D">
      <w:pPr>
        <w:widowControl/>
        <w:numPr>
          <w:ilvl w:val="0"/>
          <w:numId w:val="0"/>
        </w:num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.本项目的特定资格要求：</w:t>
      </w:r>
    </w:p>
    <w:p w14:paraId="1FBCB614">
      <w:pPr>
        <w:widowControl/>
        <w:numPr>
          <w:ilvl w:val="0"/>
          <w:numId w:val="0"/>
        </w:numPr>
        <w:spacing w:line="360" w:lineRule="auto"/>
        <w:ind w:firstLine="480" w:firstLineChars="200"/>
        <w:jc w:val="left"/>
        <w:rPr>
          <w:rFonts w:hint="eastAsia"/>
          <w:color w:val="auto"/>
          <w:sz w:val="24"/>
          <w:szCs w:val="24"/>
          <w:highlight w:val="none"/>
          <w:lang w:eastAsia="zh-CN"/>
        </w:rPr>
      </w:pPr>
      <w:r>
        <w:rPr>
          <w:rFonts w:hint="eastAsia"/>
          <w:color w:val="auto"/>
          <w:sz w:val="24"/>
          <w:szCs w:val="24"/>
          <w:highlight w:val="none"/>
          <w:lang w:eastAsia="zh-CN"/>
        </w:rPr>
        <w:t>（</w:t>
      </w:r>
      <w:r>
        <w:rPr>
          <w:rFonts w:hint="eastAsia"/>
          <w:color w:val="auto"/>
          <w:sz w:val="24"/>
          <w:szCs w:val="24"/>
          <w:highlight w:val="none"/>
          <w:lang w:val="en-US" w:eastAsia="zh-CN"/>
        </w:rPr>
        <w:t>1</w:t>
      </w:r>
      <w:r>
        <w:rPr>
          <w:rFonts w:hint="eastAsia"/>
          <w:color w:val="auto"/>
          <w:sz w:val="24"/>
          <w:szCs w:val="24"/>
          <w:highlight w:val="none"/>
          <w:lang w:eastAsia="zh-CN"/>
        </w:rPr>
        <w:t>）</w:t>
      </w:r>
      <w:r>
        <w:rPr>
          <w:rFonts w:hint="eastAsia"/>
          <w:color w:val="auto"/>
          <w:sz w:val="24"/>
          <w:szCs w:val="24"/>
          <w:highlight w:val="none"/>
        </w:rPr>
        <w:t>具有建筑工程施工总承包或具有建筑装修装饰工程专业承包资质的独立法人企业，资质级别不限</w:t>
      </w:r>
      <w:r>
        <w:rPr>
          <w:rFonts w:hint="eastAsia"/>
          <w:color w:val="auto"/>
          <w:sz w:val="24"/>
          <w:szCs w:val="24"/>
          <w:highlight w:val="none"/>
          <w:lang w:eastAsia="zh-CN"/>
        </w:rPr>
        <w:t>；</w:t>
      </w:r>
    </w:p>
    <w:p w14:paraId="79A02BFA">
      <w:pPr>
        <w:widowControl/>
        <w:spacing w:line="360" w:lineRule="auto"/>
        <w:ind w:firstLine="480" w:firstLineChars="200"/>
        <w:jc w:val="left"/>
        <w:rPr>
          <w:rFonts w:hint="eastAsia" w:ascii="宋体" w:hAnsi="宋体" w:cs="宋体"/>
          <w:color w:val="auto"/>
          <w:kern w:val="0"/>
          <w:sz w:val="24"/>
          <w:szCs w:val="24"/>
          <w:highlight w:val="none"/>
        </w:rPr>
      </w:pPr>
      <w:r>
        <w:rPr>
          <w:rFonts w:hint="eastAsia"/>
          <w:color w:val="auto"/>
          <w:sz w:val="24"/>
          <w:szCs w:val="24"/>
          <w:highlight w:val="none"/>
          <w:lang w:eastAsia="zh-CN"/>
        </w:rPr>
        <w:t>（</w:t>
      </w:r>
      <w:r>
        <w:rPr>
          <w:rFonts w:hint="eastAsia"/>
          <w:color w:val="auto"/>
          <w:sz w:val="24"/>
          <w:szCs w:val="24"/>
          <w:highlight w:val="none"/>
          <w:lang w:val="en-US" w:eastAsia="zh-CN"/>
        </w:rPr>
        <w:t>2</w:t>
      </w:r>
      <w:r>
        <w:rPr>
          <w:rFonts w:hint="eastAsia"/>
          <w:color w:val="auto"/>
          <w:sz w:val="24"/>
          <w:szCs w:val="24"/>
          <w:highlight w:val="none"/>
          <w:lang w:eastAsia="zh-CN"/>
        </w:rPr>
        <w:t>）</w:t>
      </w:r>
      <w:r>
        <w:rPr>
          <w:rFonts w:hint="eastAsia"/>
          <w:color w:val="auto"/>
          <w:sz w:val="24"/>
          <w:szCs w:val="24"/>
          <w:highlight w:val="none"/>
        </w:rPr>
        <w:t>具有安全生产许可证并在有效期内</w:t>
      </w:r>
      <w:r>
        <w:rPr>
          <w:rFonts w:hint="eastAsia"/>
          <w:color w:val="auto"/>
          <w:sz w:val="24"/>
          <w:szCs w:val="24"/>
          <w:highlight w:val="none"/>
          <w:lang w:eastAsia="zh-CN"/>
        </w:rPr>
        <w:t>；</w:t>
      </w:r>
    </w:p>
    <w:p w14:paraId="38779685">
      <w:pPr>
        <w:spacing w:line="360" w:lineRule="auto"/>
        <w:ind w:firstLine="480" w:firstLineChars="200"/>
        <w:rPr>
          <w:rFonts w:ascii="宋体" w:hAnsi="宋体" w:cs="宋体"/>
          <w:color w:val="auto"/>
          <w:sz w:val="24"/>
          <w:highlight w:val="none"/>
        </w:rPr>
      </w:pPr>
      <w:r>
        <w:rPr>
          <w:rFonts w:hint="eastAsia"/>
          <w:color w:val="auto"/>
          <w:sz w:val="24"/>
          <w:szCs w:val="24"/>
          <w:highlight w:val="none"/>
        </w:rPr>
        <w:t>（3）拟派项目经理具有建筑工程</w:t>
      </w:r>
      <w:r>
        <w:rPr>
          <w:rFonts w:hint="eastAsia"/>
          <w:color w:val="auto"/>
          <w:sz w:val="24"/>
          <w:szCs w:val="24"/>
          <w:highlight w:val="none"/>
          <w:lang w:val="en-US" w:eastAsia="zh-CN"/>
        </w:rPr>
        <w:t>二</w:t>
      </w:r>
      <w:r>
        <w:rPr>
          <w:rFonts w:hint="eastAsia"/>
          <w:color w:val="auto"/>
          <w:sz w:val="24"/>
          <w:szCs w:val="24"/>
          <w:highlight w:val="none"/>
        </w:rPr>
        <w:t>级及以上注册建造师资格</w:t>
      </w:r>
      <w:r>
        <w:rPr>
          <w:rFonts w:hint="eastAsia"/>
          <w:color w:val="auto"/>
          <w:sz w:val="24"/>
          <w:szCs w:val="24"/>
          <w:highlight w:val="none"/>
          <w:lang w:eastAsia="zh-CN"/>
        </w:rPr>
        <w:t>，</w:t>
      </w:r>
      <w:r>
        <w:rPr>
          <w:rFonts w:hint="eastAsia"/>
          <w:color w:val="auto"/>
          <w:sz w:val="24"/>
          <w:szCs w:val="24"/>
          <w:highlight w:val="none"/>
        </w:rPr>
        <w:t>具备有效的安全生产考核合格证书</w:t>
      </w:r>
      <w:r>
        <w:rPr>
          <w:rFonts w:hint="eastAsia"/>
          <w:color w:val="auto"/>
          <w:sz w:val="24"/>
          <w:szCs w:val="24"/>
          <w:highlight w:val="none"/>
          <w:lang w:eastAsia="zh-CN"/>
        </w:rPr>
        <w:t>“</w:t>
      </w:r>
      <w:r>
        <w:rPr>
          <w:rFonts w:hint="eastAsia"/>
          <w:color w:val="auto"/>
          <w:sz w:val="24"/>
          <w:szCs w:val="24"/>
          <w:highlight w:val="none"/>
        </w:rPr>
        <w:t>三类人员</w:t>
      </w:r>
      <w:r>
        <w:rPr>
          <w:rFonts w:hint="eastAsia"/>
          <w:color w:val="auto"/>
          <w:sz w:val="24"/>
          <w:szCs w:val="24"/>
          <w:highlight w:val="none"/>
          <w:lang w:eastAsia="zh-CN"/>
        </w:rPr>
        <w:t>”</w:t>
      </w:r>
      <w:r>
        <w:rPr>
          <w:rFonts w:hint="eastAsia"/>
          <w:color w:val="auto"/>
          <w:sz w:val="24"/>
          <w:szCs w:val="24"/>
          <w:highlight w:val="none"/>
        </w:rPr>
        <w:t>B类证书</w:t>
      </w:r>
      <w:r>
        <w:rPr>
          <w:rFonts w:hint="eastAsia"/>
          <w:color w:val="auto"/>
          <w:sz w:val="24"/>
          <w:szCs w:val="24"/>
          <w:highlight w:val="none"/>
          <w:lang w:eastAsia="zh-CN"/>
        </w:rPr>
        <w:t>。</w:t>
      </w:r>
    </w:p>
    <w:p w14:paraId="4A252BC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DF2A607">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三、获取采购文件 </w:t>
      </w:r>
    </w:p>
    <w:p w14:paraId="6DAAD59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 xml:space="preserve"> 6 </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D898D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127BC58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4A4B248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AC81D7">
      <w:pPr>
        <w:spacing w:line="360" w:lineRule="auto"/>
        <w:rPr>
          <w:rFonts w:ascii="宋体" w:hAnsi="宋体" w:cs="宋体"/>
          <w:b/>
          <w:color w:val="auto"/>
          <w:sz w:val="24"/>
          <w:highlight w:val="none"/>
        </w:rPr>
      </w:pPr>
      <w:r>
        <w:rPr>
          <w:rFonts w:hint="eastAsia" w:ascii="宋体" w:hAnsi="宋体" w:cs="宋体"/>
          <w:b/>
          <w:color w:val="auto"/>
          <w:sz w:val="24"/>
          <w:highlight w:val="none"/>
        </w:rPr>
        <w:t>四、响应文件提交（上传）</w:t>
      </w:r>
    </w:p>
    <w:p w14:paraId="337117F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1F37CB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DA2F29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五、响应文件开启 </w:t>
      </w:r>
    </w:p>
    <w:p w14:paraId="69C8823A">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开启时间：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 </w:t>
      </w:r>
    </w:p>
    <w:p w14:paraId="5C588EC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政采云平台（https://www.zcygov.cn/）</w:t>
      </w:r>
    </w:p>
    <w:p w14:paraId="43B8FC87">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六、公告期限 </w:t>
      </w:r>
    </w:p>
    <w:p w14:paraId="00A055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自本公告发布之日起3个工作日。</w:t>
      </w:r>
    </w:p>
    <w:p w14:paraId="3BC21908">
      <w:pPr>
        <w:spacing w:line="360" w:lineRule="auto"/>
        <w:rPr>
          <w:rFonts w:ascii="宋体" w:hAnsi="宋体" w:cs="宋体"/>
          <w:b/>
          <w:color w:val="auto"/>
          <w:sz w:val="24"/>
          <w:highlight w:val="none"/>
        </w:rPr>
      </w:pPr>
      <w:r>
        <w:rPr>
          <w:rFonts w:hint="eastAsia" w:ascii="宋体" w:hAnsi="宋体" w:cs="宋体"/>
          <w:b/>
          <w:color w:val="auto"/>
          <w:sz w:val="24"/>
          <w:highlight w:val="none"/>
        </w:rPr>
        <w:t>七、其他补充事宜</w:t>
      </w:r>
    </w:p>
    <w:p w14:paraId="3CF658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rFonts w:ascii="华文中宋" w:hAnsi="华文中宋" w:eastAsia="华文中宋" w:cs="华文中宋"/>
          <w:color w:val="auto"/>
          <w:sz w:val="24"/>
          <w:highlight w:val="none"/>
          <w:shd w:val="clear" w:color="auto" w:fill="FFFFFF"/>
        </w:rPr>
        <w:t>浙江省财政厅关于进一步加大政府采购 支持中小企业力度 助力扎实稳住经济 的通知</w:t>
      </w:r>
      <w:r>
        <w:rPr>
          <w:rFonts w:hint="eastAsia" w:ascii="华文中宋" w:hAnsi="华文中宋" w:eastAsia="华文中宋" w:cs="华文中宋"/>
          <w:color w:val="auto"/>
          <w:sz w:val="24"/>
          <w:highlight w:val="none"/>
          <w:shd w:val="clear" w:color="auto" w:fill="FFFFFF"/>
        </w:rPr>
        <w:t>》（浙财采监〔2022〕8号）</w:t>
      </w:r>
      <w:r>
        <w:rPr>
          <w:rFonts w:hint="eastAsia" w:ascii="宋体" w:hAnsi="宋体" w:cs="宋体"/>
          <w:color w:val="auto"/>
          <w:sz w:val="24"/>
          <w:highlight w:val="none"/>
        </w:rPr>
        <w:t>已分别于2022年1月29日、2022年2月1日和2022年7月1日开始实施，此前有关规定与上述文件内容不一致的，按上述文件要求执行。</w:t>
      </w:r>
    </w:p>
    <w:p w14:paraId="146FB18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777E62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72DD52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采购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3）采购文件公告期限与竞争性磋商公告的公告期限一致。</w:t>
      </w:r>
    </w:p>
    <w:p w14:paraId="3A55DE49">
      <w:pPr>
        <w:spacing w:line="360" w:lineRule="auto"/>
        <w:rPr>
          <w:rFonts w:ascii="宋体" w:hAnsi="宋体" w:cs="宋体"/>
          <w:b/>
          <w:color w:val="auto"/>
          <w:sz w:val="24"/>
          <w:highlight w:val="none"/>
        </w:rPr>
      </w:pPr>
      <w:r>
        <w:rPr>
          <w:rFonts w:hint="eastAsia" w:ascii="宋体" w:hAnsi="宋体" w:cs="宋体"/>
          <w:b/>
          <w:color w:val="auto"/>
          <w:sz w:val="24"/>
          <w:highlight w:val="none"/>
        </w:rPr>
        <w:t>八、对本次采购提出询问、质疑、投诉，请按以下方式联系</w:t>
      </w:r>
    </w:p>
    <w:p w14:paraId="744585B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1.采购人信息</w:t>
      </w:r>
    </w:p>
    <w:p w14:paraId="381A9A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称：杭州市上城区人民政府四季青街道办事处</w:t>
      </w:r>
    </w:p>
    <w:p w14:paraId="4B6AC00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地    址： 杭海路219号      </w:t>
      </w:r>
    </w:p>
    <w:p w14:paraId="631FB38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 /</w:t>
      </w:r>
    </w:p>
    <w:p w14:paraId="16783A5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Cs w:val="24"/>
          <w:highlight w:val="none"/>
          <w:lang w:val="en-US" w:eastAsia="zh-CN"/>
        </w:rPr>
        <w:t>倪骏</w:t>
      </w:r>
      <w:bookmarkStart w:id="428" w:name="_GoBack"/>
      <w:bookmarkEnd w:id="428"/>
      <w:r>
        <w:rPr>
          <w:rFonts w:hint="eastAsia" w:ascii="宋体" w:hAnsi="宋体" w:cs="宋体"/>
          <w:color w:val="auto"/>
          <w:sz w:val="24"/>
          <w:highlight w:val="none"/>
        </w:rPr>
        <w:t xml:space="preserve"> </w:t>
      </w:r>
    </w:p>
    <w:p w14:paraId="7941D8C4">
      <w:pPr>
        <w:snapToGrid w:val="0"/>
        <w:spacing w:line="360" w:lineRule="auto"/>
        <w:ind w:firstLine="480" w:firstLineChars="200"/>
        <w:rPr>
          <w:rFonts w:hint="eastAsia" w:ascii="宋体" w:hAnsi="宋体" w:eastAsia="宋体" w:cs="宋体"/>
          <w:color w:val="auto"/>
          <w:szCs w:val="24"/>
          <w:highlight w:val="none"/>
          <w:lang w:val="en-US" w:eastAsia="zh-CN"/>
        </w:rPr>
      </w:pPr>
      <w:r>
        <w:rPr>
          <w:rFonts w:hint="eastAsia" w:ascii="宋体" w:hAnsi="宋体" w:cs="宋体"/>
          <w:color w:val="auto"/>
          <w:sz w:val="24"/>
          <w:highlight w:val="none"/>
        </w:rPr>
        <w:t>项目联系方式（询问）：</w:t>
      </w:r>
      <w:r>
        <w:rPr>
          <w:rFonts w:hint="eastAsia" w:ascii="宋体" w:hAnsi="宋体" w:eastAsia="宋体" w:cs="宋体"/>
          <w:color w:val="auto"/>
          <w:szCs w:val="24"/>
          <w:highlight w:val="none"/>
          <w:lang w:val="en-US" w:eastAsia="zh-CN"/>
        </w:rPr>
        <w:t>0571-86022005</w:t>
      </w:r>
    </w:p>
    <w:p w14:paraId="4F03FC5D">
      <w:pPr>
        <w:snapToGrid w:val="0"/>
        <w:spacing w:line="360" w:lineRule="auto"/>
        <w:ind w:firstLine="480" w:firstLineChars="200"/>
        <w:rPr>
          <w:rFonts w:hint="default" w:ascii="宋体" w:hAnsi="宋体" w:cs="宋体"/>
          <w:color w:val="auto"/>
          <w:sz w:val="24"/>
          <w:highlight w:val="none"/>
          <w:lang w:val="en-US"/>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章耀</w:t>
      </w:r>
    </w:p>
    <w:p w14:paraId="7880DC9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w:t>
      </w:r>
      <w:r>
        <w:rPr>
          <w:rFonts w:hint="eastAsia" w:ascii="宋体" w:hAnsi="宋体" w:eastAsia="宋体" w:cs="宋体"/>
          <w:color w:val="auto"/>
          <w:szCs w:val="24"/>
          <w:highlight w:val="none"/>
          <w:lang w:val="en-US" w:eastAsia="zh-CN"/>
        </w:rPr>
        <w:t>0571-86952078</w:t>
      </w:r>
    </w:p>
    <w:p w14:paraId="5A9A1CD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0A185192">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hAnsi="Courier New" w:cs="Courier New"/>
          <w:color w:val="auto"/>
          <w:kern w:val="2"/>
          <w:highlight w:val="none"/>
          <w:lang w:eastAsia="zh-CN"/>
        </w:rPr>
        <w:t>浙江鑫润工程管理有限公司</w:t>
      </w:r>
    </w:p>
    <w:p w14:paraId="2163D05D">
      <w:pPr>
        <w:snapToGrid w:val="0"/>
        <w:spacing w:line="360" w:lineRule="auto"/>
        <w:ind w:firstLine="480" w:firstLineChars="200"/>
        <w:rPr>
          <w:rFonts w:hint="default" w:ascii="宋体" w:hAnsi="宋体" w:cs="宋体"/>
          <w:color w:val="auto"/>
          <w:sz w:val="24"/>
          <w:highlight w:val="none"/>
          <w:lang w:val="en-US"/>
        </w:rPr>
      </w:pPr>
      <w:r>
        <w:rPr>
          <w:rFonts w:hint="eastAsia" w:ascii="宋体" w:hAnsi="宋体" w:cs="宋体"/>
          <w:color w:val="auto"/>
          <w:sz w:val="24"/>
          <w:highlight w:val="none"/>
        </w:rPr>
        <w:t>地    址：</w:t>
      </w:r>
      <w:r>
        <w:rPr>
          <w:rFonts w:hint="eastAsia"/>
          <w:color w:val="auto"/>
          <w:highlight w:val="none"/>
          <w:lang w:val="en-US" w:eastAsia="zh-CN"/>
        </w:rPr>
        <w:t>杭州市上城区民林金融中心B座5楼</w:t>
      </w:r>
    </w:p>
    <w:p w14:paraId="45F144B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3BF978A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张工</w:t>
      </w:r>
      <w:r>
        <w:rPr>
          <w:rFonts w:hint="eastAsia" w:ascii="宋体" w:hAnsi="宋体" w:cs="宋体"/>
          <w:color w:val="auto"/>
          <w:sz w:val="24"/>
          <w:highlight w:val="none"/>
        </w:rPr>
        <w:t xml:space="preserve">           </w:t>
      </w:r>
    </w:p>
    <w:p w14:paraId="1794F45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szCs w:val="24"/>
          <w:lang w:val="en-US" w:eastAsia="zh-CN"/>
        </w:rPr>
        <w:t>13336081560</w:t>
      </w:r>
    </w:p>
    <w:p w14:paraId="10D121D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方工</w:t>
      </w:r>
      <w:r>
        <w:rPr>
          <w:rFonts w:hint="eastAsia" w:ascii="宋体" w:hAnsi="宋体" w:cs="宋体"/>
          <w:color w:val="auto"/>
          <w:sz w:val="24"/>
          <w:highlight w:val="none"/>
        </w:rPr>
        <w:t xml:space="preserve">            </w:t>
      </w:r>
    </w:p>
    <w:p w14:paraId="793A03C8">
      <w:pPr>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15168342563</w:t>
      </w:r>
    </w:p>
    <w:p w14:paraId="4F51BDA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3.同级政府采购监督管理部门            </w:t>
      </w:r>
    </w:p>
    <w:p w14:paraId="568099D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称：杭州市上城区财政局/浙江省政府采购行政裁决服务中心（杭州）</w:t>
      </w:r>
    </w:p>
    <w:p w14:paraId="0B9F2E2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址：杭州市上城区四季青街道新业路市民之家G03办公室 </w:t>
      </w:r>
    </w:p>
    <w:p w14:paraId="3440A1C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5CA83EB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76A3E2C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监督投诉电话：电话：0571-85252453    </w:t>
      </w:r>
    </w:p>
    <w:p w14:paraId="533E66DC">
      <w:pPr>
        <w:snapToGrid w:val="0"/>
        <w:spacing w:line="360" w:lineRule="auto"/>
        <w:ind w:firstLine="0" w:firstLineChars="0"/>
        <w:rPr>
          <w:rFonts w:ascii="宋体" w:hAnsi="宋体" w:cs="宋体"/>
          <w:color w:val="auto"/>
          <w:sz w:val="24"/>
          <w:highlight w:val="none"/>
        </w:rPr>
      </w:pPr>
      <w:r>
        <w:rPr>
          <w:rFonts w:hint="eastAsia" w:ascii="宋体" w:hAnsi="宋体" w:cs="宋体"/>
          <w:color w:val="auto"/>
          <w:sz w:val="24"/>
          <w:highlight w:val="none"/>
        </w:rPr>
        <w:t xml:space="preserve">     若对项目采购电子交易系统操作有疑问，可登录政采云（https://www.zcygov.cn/），点击右侧咨询小采，获取采小蜜智能服务管家帮助，或拨打政采云服务热线400-881-7190获取热线服务帮助。</w:t>
      </w:r>
    </w:p>
    <w:p w14:paraId="264B39C1">
      <w:pPr>
        <w:snapToGrid w:val="0"/>
        <w:spacing w:line="360" w:lineRule="auto"/>
        <w:ind w:firstLine="480" w:firstLineChars="200"/>
        <w:rPr>
          <w:rFonts w:ascii="宋体" w:hAnsi="宋体" w:cs="宋体"/>
          <w:color w:val="auto"/>
          <w:sz w:val="24"/>
          <w:highlight w:val="none"/>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cols w:space="720" w:num="1"/>
          <w:titlePg/>
          <w:docGrid w:linePitch="312" w:charSpace="0"/>
        </w:sectPr>
      </w:pPr>
      <w:r>
        <w:rPr>
          <w:rFonts w:hint="eastAsia" w:ascii="宋体" w:hAnsi="宋体" w:cs="宋体"/>
          <w:color w:val="auto"/>
          <w:sz w:val="24"/>
          <w:highlight w:val="none"/>
        </w:rPr>
        <w:t>CA问题联系电话（人工）：汇信CA 400-888-4636；天谷CA 400-087-8198。</w:t>
      </w:r>
    </w:p>
    <w:p w14:paraId="344CDE23">
      <w:pPr>
        <w:pStyle w:val="32"/>
        <w:spacing w:line="360" w:lineRule="auto"/>
        <w:jc w:val="center"/>
        <w:rPr>
          <w:rFonts w:hAnsi="宋体" w:cs="宋体"/>
          <w:b/>
          <w:snapToGrid/>
          <w:color w:val="auto"/>
          <w:sz w:val="36"/>
          <w:szCs w:val="20"/>
          <w:highlight w:val="none"/>
        </w:rPr>
      </w:pPr>
      <w:r>
        <w:rPr>
          <w:rFonts w:hint="eastAsia" w:hAnsi="宋体" w:cs="宋体"/>
          <w:b/>
          <w:snapToGrid/>
          <w:color w:val="auto"/>
          <w:sz w:val="36"/>
          <w:szCs w:val="20"/>
          <w:highlight w:val="none"/>
        </w:rPr>
        <w:t>第二部分</w:t>
      </w:r>
      <w:bookmarkEnd w:id="8"/>
      <w:r>
        <w:rPr>
          <w:rFonts w:hint="eastAsia" w:hAnsi="宋体" w:cs="宋体"/>
          <w:b/>
          <w:snapToGrid/>
          <w:color w:val="auto"/>
          <w:sz w:val="36"/>
          <w:szCs w:val="20"/>
          <w:highlight w:val="none"/>
        </w:rPr>
        <w:t xml:space="preserve"> 供应商须知</w:t>
      </w:r>
      <w:bookmarkEnd w:id="9"/>
    </w:p>
    <w:p w14:paraId="1B4EF0B9">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14:paraId="5FC7B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416FC1D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093" w:type="dxa"/>
            <w:vAlign w:val="center"/>
          </w:tcPr>
          <w:p w14:paraId="6C8098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927" w:type="dxa"/>
            <w:vAlign w:val="center"/>
          </w:tcPr>
          <w:p w14:paraId="386EF93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041CD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375A0E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093" w:type="dxa"/>
            <w:vAlign w:val="center"/>
          </w:tcPr>
          <w:p w14:paraId="7BBC00B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927" w:type="dxa"/>
            <w:vAlign w:val="center"/>
          </w:tcPr>
          <w:p w14:paraId="048B1BAC">
            <w:pPr>
              <w:spacing w:line="360" w:lineRule="auto"/>
              <w:rPr>
                <w:rFonts w:ascii="宋体" w:hAnsi="宋体" w:cs="宋体"/>
                <w:color w:val="auto"/>
                <w:sz w:val="24"/>
                <w:highlight w:val="none"/>
              </w:rPr>
            </w:pPr>
            <w:r>
              <w:rPr>
                <w:rFonts w:hint="eastAsia" w:ascii="宋体" w:hAnsi="宋体" w:cs="宋体"/>
                <w:color w:val="auto"/>
                <w:kern w:val="0"/>
                <w:sz w:val="24"/>
                <w:highlight w:val="none"/>
              </w:rPr>
              <w:t>工程</w:t>
            </w:r>
            <w:r>
              <w:rPr>
                <w:rFonts w:hint="eastAsia" w:ascii="宋体" w:hAnsi="宋体" w:cs="宋体"/>
                <w:color w:val="auto"/>
                <w:sz w:val="24"/>
                <w:highlight w:val="none"/>
              </w:rPr>
              <w:t>类</w:t>
            </w:r>
          </w:p>
        </w:tc>
      </w:tr>
      <w:tr w14:paraId="07901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10B3A7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2093" w:type="dxa"/>
            <w:vAlign w:val="center"/>
          </w:tcPr>
          <w:p w14:paraId="4AD89E4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927" w:type="dxa"/>
            <w:vAlign w:val="center"/>
          </w:tcPr>
          <w:p w14:paraId="3885BB2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eastAsia="zh-CN"/>
              </w:rPr>
              <w:t>钱江新城CBD楼宇服务中心</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建筑业 </w:t>
            </w:r>
            <w:r>
              <w:rPr>
                <w:rFonts w:hint="eastAsia" w:ascii="宋体" w:hAnsi="宋体" w:cs="宋体"/>
                <w:color w:val="auto"/>
                <w:kern w:val="0"/>
                <w:sz w:val="24"/>
                <w:highlight w:val="none"/>
              </w:rPr>
              <w:t>行业；</w:t>
            </w:r>
          </w:p>
          <w:p w14:paraId="51F00F6F">
            <w:pPr>
              <w:pStyle w:val="3"/>
              <w:jc w:val="both"/>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r w14:paraId="578E9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DFDFE4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2093" w:type="dxa"/>
            <w:vAlign w:val="center"/>
          </w:tcPr>
          <w:p w14:paraId="23B25CD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927" w:type="dxa"/>
            <w:vAlign w:val="center"/>
          </w:tcPr>
          <w:p w14:paraId="25C47AA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A35F8EB">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06D5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383B00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2093" w:type="dxa"/>
            <w:vAlign w:val="center"/>
          </w:tcPr>
          <w:p w14:paraId="650A402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927" w:type="dxa"/>
            <w:vAlign w:val="center"/>
          </w:tcPr>
          <w:p w14:paraId="7E02A1A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3D113911">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不同意分包，具体理由：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5D2D5E9">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2BEC2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32E293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2093" w:type="dxa"/>
            <w:vAlign w:val="center"/>
          </w:tcPr>
          <w:p w14:paraId="22DBAF3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磋商前答疑会或现场考察</w:t>
            </w:r>
          </w:p>
        </w:tc>
        <w:tc>
          <w:tcPr>
            <w:tcW w:w="6927" w:type="dxa"/>
            <w:vAlign w:val="center"/>
          </w:tcPr>
          <w:p w14:paraId="25A3316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6DE6D79">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69CB8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76FBE4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2093" w:type="dxa"/>
            <w:vAlign w:val="center"/>
          </w:tcPr>
          <w:p w14:paraId="3FEC4C1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927" w:type="dxa"/>
            <w:vAlign w:val="center"/>
          </w:tcPr>
          <w:p w14:paraId="473699F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33F90E1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B要求提供，</w:t>
            </w:r>
          </w:p>
          <w:p w14:paraId="378E27C7">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94AA63C">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7BF4B4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评审办法</w:t>
            </w:r>
            <w:r>
              <w:rPr>
                <w:rFonts w:hint="eastAsia" w:ascii="宋体" w:hAnsi="宋体" w:cs="宋体"/>
                <w:color w:val="auto"/>
                <w:kern w:val="0"/>
                <w:sz w:val="24"/>
                <w:highlight w:val="none"/>
              </w:rPr>
              <w:t>；</w:t>
            </w:r>
          </w:p>
          <w:p w14:paraId="05E3BD0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7C3F6BE">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。请供应商在上述时间内提供样品并按规定位置安装完毕。超过截止时间的，采购人或采购代理机构将不予接收，并将清场并封闭样品现场。</w:t>
            </w:r>
          </w:p>
          <w:p w14:paraId="4CFB12A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成交供应商提供的样品，采购人、采购机构将通知未成交供应商在规定的时间内取回，逾期未取回的，采购人、采购机构不负保管义务；对于成交供应商提供的样品，采购人将进行保管、封存，并作为履约验收的参考。</w:t>
            </w:r>
          </w:p>
          <w:p w14:paraId="5D89A7DA">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（7）制作、运输、安装和保管样品所发生的一切费用由供应商自理。</w:t>
            </w:r>
          </w:p>
        </w:tc>
      </w:tr>
      <w:tr w14:paraId="1F781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C38BF4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2093" w:type="dxa"/>
            <w:vAlign w:val="center"/>
          </w:tcPr>
          <w:p w14:paraId="645FF12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927" w:type="dxa"/>
            <w:vAlign w:val="center"/>
          </w:tcPr>
          <w:p w14:paraId="160FD2D1">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63FB92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1027145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（1）在评审时安排每个供应商进行方案讲解演示。每个供应商时间不超过20分钟，讲解次序以响应文件解密时间先后次序为准，讲解演示人员不超过3人。讲解演示结束后按要求解答磋商小组提问。</w:t>
            </w:r>
          </w:p>
          <w:p w14:paraId="023DCF6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4B9E825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方式一：政采云平台在线讲解演示。政采云平台在线讲解需供应商根据政采云平台操作要求做好准备工作，提前完善软硬件配置环境。</w:t>
            </w:r>
          </w:p>
          <w:p w14:paraId="0CDBE27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，讲解演示所用电脑等设备由供应商自备。现场讲解演示人员进场时提供讲解人员名单（加盖公章或授权代表签名）及身份证明，否则不得讲解演示。</w:t>
            </w:r>
          </w:p>
          <w:p w14:paraId="766AA525">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38912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4231C70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2093" w:type="dxa"/>
            <w:vMerge w:val="restart"/>
            <w:vAlign w:val="center"/>
          </w:tcPr>
          <w:p w14:paraId="4D0CE7D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供应商应当提供的资格、资信证明文件</w:t>
            </w:r>
          </w:p>
        </w:tc>
        <w:tc>
          <w:tcPr>
            <w:tcW w:w="6927" w:type="dxa"/>
            <w:vAlign w:val="center"/>
          </w:tcPr>
          <w:p w14:paraId="32C7C902">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（1）资格证明文件：见采购文件第二部分11.1。</w:t>
            </w:r>
          </w:p>
          <w:p w14:paraId="113CA0DC">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供应商未提供有效的资格证明文件的，视为供应商不具备采购文件中规定的资格要求，响应文件无效。</w:t>
            </w:r>
          </w:p>
        </w:tc>
      </w:tr>
      <w:tr w14:paraId="6E992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6729010B">
            <w:pPr>
              <w:snapToGrid w:val="0"/>
              <w:spacing w:line="360" w:lineRule="auto"/>
              <w:jc w:val="center"/>
              <w:rPr>
                <w:rFonts w:ascii="宋体" w:hAnsi="宋体" w:cs="宋体"/>
                <w:color w:val="auto"/>
                <w:sz w:val="24"/>
                <w:highlight w:val="none"/>
              </w:rPr>
            </w:pPr>
          </w:p>
        </w:tc>
        <w:tc>
          <w:tcPr>
            <w:tcW w:w="2093" w:type="dxa"/>
            <w:vMerge w:val="continue"/>
            <w:vAlign w:val="center"/>
          </w:tcPr>
          <w:p w14:paraId="3F2CB5F7">
            <w:pPr>
              <w:snapToGrid w:val="0"/>
              <w:spacing w:line="360" w:lineRule="auto"/>
              <w:jc w:val="center"/>
              <w:rPr>
                <w:rFonts w:ascii="宋体" w:hAnsi="宋体" w:cs="宋体"/>
                <w:b/>
                <w:color w:val="auto"/>
                <w:sz w:val="24"/>
                <w:highlight w:val="none"/>
              </w:rPr>
            </w:pPr>
          </w:p>
        </w:tc>
        <w:tc>
          <w:tcPr>
            <w:tcW w:w="6927" w:type="dxa"/>
            <w:vAlign w:val="center"/>
          </w:tcPr>
          <w:p w14:paraId="24A99741">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（2）资信证明文件：根据采购文件第四部分评审标准提供。</w:t>
            </w:r>
          </w:p>
        </w:tc>
      </w:tr>
      <w:tr w14:paraId="57BFA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9C0999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2093" w:type="dxa"/>
            <w:vAlign w:val="center"/>
          </w:tcPr>
          <w:p w14:paraId="43A944B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927" w:type="dxa"/>
            <w:vAlign w:val="center"/>
          </w:tcPr>
          <w:p w14:paraId="56A32F6B">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6CD3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678EFD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2093" w:type="dxa"/>
            <w:vAlign w:val="center"/>
          </w:tcPr>
          <w:p w14:paraId="15B3FE4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927" w:type="dxa"/>
            <w:vAlign w:val="center"/>
          </w:tcPr>
          <w:p w14:paraId="01D11F61">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color w:val="auto"/>
                <w:sz w:val="24"/>
                <w:highlight w:val="none"/>
              </w:rPr>
              <w:t>报价单是报价的唯一载体</w:t>
            </w:r>
            <w:r>
              <w:rPr>
                <w:rFonts w:hint="eastAsia" w:ascii="宋体" w:hAnsi="宋体" w:cs="宋体"/>
                <w:color w:val="auto"/>
                <w:kern w:val="0"/>
                <w:sz w:val="24"/>
                <w:highlight w:val="none"/>
                <w:lang w:val="zh-CN"/>
              </w:rPr>
              <w:t>。响应文件中价格全部采用人民币报价。采购文件未列明，而供应商认为必需的费用也需列入报价。</w:t>
            </w:r>
            <w:r>
              <w:rPr>
                <w:rFonts w:hint="eastAsia" w:ascii="宋体" w:hAnsi="宋体" w:cs="宋体"/>
                <w:b/>
                <w:color w:val="auto"/>
                <w:kern w:val="0"/>
                <w:sz w:val="24"/>
                <w:highlight w:val="none"/>
                <w:lang w:val="zh-CN"/>
              </w:rPr>
              <w:t>提醒：验收时检测费用由采购人承担，不包含在总价中。最后报价出现下列情形的，响应文件无效：</w:t>
            </w:r>
          </w:p>
          <w:p w14:paraId="54FD5B99">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响应文件出现不是唯一的、有选择性最后报价的；</w:t>
            </w:r>
          </w:p>
          <w:p w14:paraId="7BBA1DE7">
            <w:pPr>
              <w:snapToGrid w:val="0"/>
              <w:spacing w:line="360" w:lineRule="auto"/>
              <w:jc w:val="left"/>
              <w:rPr>
                <w:color w:val="auto"/>
                <w:highlight w:val="none"/>
              </w:rPr>
            </w:pPr>
            <w:r>
              <w:rPr>
                <w:rFonts w:hint="eastAsia" w:ascii="宋体" w:hAnsi="宋体" w:cs="宋体"/>
                <w:b/>
                <w:color w:val="auto"/>
                <w:kern w:val="0"/>
                <w:sz w:val="24"/>
                <w:highlight w:val="none"/>
                <w:lang w:val="zh-CN"/>
              </w:rPr>
              <w:t>最后报价超过采购文件中规定的预算金额或者最高限价的;</w:t>
            </w:r>
          </w:p>
          <w:p w14:paraId="796F54CC">
            <w:pPr>
              <w:spacing w:line="360" w:lineRule="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5E69A6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供应商对根据修正原则修正后的报价不确认的</w:t>
            </w:r>
            <w:r>
              <w:rPr>
                <w:rFonts w:hint="eastAsia" w:ascii="宋体" w:hAnsi="宋体" w:cs="宋体"/>
                <w:b/>
                <w:color w:val="auto"/>
                <w:sz w:val="24"/>
                <w:highlight w:val="none"/>
              </w:rPr>
              <w:t>。</w:t>
            </w:r>
          </w:p>
        </w:tc>
      </w:tr>
      <w:tr w14:paraId="42721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04" w:hRule="atLeast"/>
        </w:trPr>
        <w:tc>
          <w:tcPr>
            <w:tcW w:w="714" w:type="dxa"/>
            <w:vAlign w:val="center"/>
          </w:tcPr>
          <w:p w14:paraId="733346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2093" w:type="dxa"/>
            <w:vAlign w:val="center"/>
          </w:tcPr>
          <w:p w14:paraId="5BA577D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927" w:type="dxa"/>
            <w:vAlign w:val="center"/>
          </w:tcPr>
          <w:p w14:paraId="3D8250AA">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4EE4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A7E7B4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2093" w:type="dxa"/>
            <w:vAlign w:val="center"/>
          </w:tcPr>
          <w:p w14:paraId="50B9D8A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备份响应文件送达地点和签收人员</w:t>
            </w:r>
          </w:p>
        </w:tc>
        <w:tc>
          <w:tcPr>
            <w:tcW w:w="6927" w:type="dxa"/>
            <w:vAlign w:val="center"/>
          </w:tcPr>
          <w:p w14:paraId="6AFB7573">
            <w:pPr>
              <w:pStyle w:val="32"/>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备份响应文件送达地点：</w:t>
            </w:r>
            <w:r>
              <w:rPr>
                <w:rFonts w:hint="eastAsia" w:hAnsi="宋体" w:cs="宋体"/>
                <w:color w:val="auto"/>
                <w:sz w:val="24"/>
                <w:highlight w:val="none"/>
                <w:u w:val="single"/>
              </w:rPr>
              <w:t xml:space="preserve"> 杭州市上城区</w:t>
            </w:r>
            <w:r>
              <w:rPr>
                <w:rFonts w:hint="eastAsia" w:hAnsi="宋体" w:cs="宋体"/>
                <w:color w:val="auto"/>
                <w:sz w:val="24"/>
                <w:highlight w:val="none"/>
                <w:u w:val="single"/>
                <w:lang w:val="en-US" w:eastAsia="zh-CN"/>
              </w:rPr>
              <w:t>民林金融中心B座5楼</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w:t>
            </w:r>
          </w:p>
          <w:p w14:paraId="4F14DCA6">
            <w:pPr>
              <w:pStyle w:val="32"/>
              <w:spacing w:line="360" w:lineRule="auto"/>
              <w:rPr>
                <w:rFonts w:hAnsi="宋体" w:cs="宋体"/>
                <w:color w:val="auto"/>
                <w:sz w:val="24"/>
                <w:szCs w:val="24"/>
                <w:highlight w:val="none"/>
              </w:rPr>
            </w:pPr>
            <w:r>
              <w:rPr>
                <w:rFonts w:hint="eastAsia" w:hAnsi="宋体" w:cs="宋体"/>
                <w:color w:val="auto"/>
                <w:kern w:val="28"/>
                <w:sz w:val="24"/>
                <w:szCs w:val="24"/>
                <w:highlight w:val="none"/>
              </w:rPr>
              <w:t>备份响应文件签收人员联系电话：</w:t>
            </w:r>
            <w:r>
              <w:rPr>
                <w:rFonts w:hint="eastAsia" w:hAnsi="宋体" w:cs="宋体"/>
                <w:color w:val="auto"/>
                <w:sz w:val="24"/>
                <w:highlight w:val="none"/>
                <w:u w:val="single"/>
              </w:rPr>
              <w:t xml:space="preserve">13336081560  </w:t>
            </w:r>
            <w:r>
              <w:rPr>
                <w:rFonts w:hint="eastAsia" w:hAnsi="宋体" w:cs="宋体"/>
                <w:color w:val="auto"/>
                <w:sz w:val="24"/>
                <w:szCs w:val="24"/>
                <w:highlight w:val="none"/>
              </w:rPr>
              <w:t>。</w:t>
            </w:r>
          </w:p>
          <w:p w14:paraId="0532A664">
            <w:pPr>
              <w:pStyle w:val="32"/>
              <w:spacing w:line="360" w:lineRule="auto"/>
              <w:rPr>
                <w:rFonts w:hAnsi="宋体" w:cs="宋体"/>
                <w:color w:val="auto"/>
                <w:kern w:val="28"/>
                <w:sz w:val="24"/>
                <w:highlight w:val="none"/>
              </w:rPr>
            </w:pPr>
            <w:r>
              <w:rPr>
                <w:rFonts w:hint="eastAsia" w:hAnsi="宋体" w:cs="宋体"/>
                <w:b/>
                <w:color w:val="auto"/>
                <w:sz w:val="24"/>
                <w:szCs w:val="24"/>
                <w:highlight w:val="none"/>
              </w:rPr>
              <w:t>采购人、采购机构不强制或变相强制供应商提交备份响应文件。</w:t>
            </w:r>
          </w:p>
        </w:tc>
      </w:tr>
      <w:tr w14:paraId="2942C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65" w:hRule="atLeast"/>
        </w:trPr>
        <w:tc>
          <w:tcPr>
            <w:tcW w:w="714" w:type="dxa"/>
            <w:vAlign w:val="center"/>
          </w:tcPr>
          <w:p w14:paraId="4642A3B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2093" w:type="dxa"/>
            <w:vAlign w:val="center"/>
          </w:tcPr>
          <w:p w14:paraId="0C16CD2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其它说明</w:t>
            </w:r>
          </w:p>
        </w:tc>
        <w:tc>
          <w:tcPr>
            <w:tcW w:w="6927" w:type="dxa"/>
            <w:vAlign w:val="center"/>
          </w:tcPr>
          <w:p w14:paraId="5903CCF8">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cs="宋体"/>
                <w:b/>
                <w:color w:val="auto"/>
                <w:kern w:val="0"/>
                <w:sz w:val="24"/>
                <w:highlight w:val="none"/>
              </w:rPr>
              <w:t>。</w:t>
            </w:r>
          </w:p>
        </w:tc>
      </w:tr>
      <w:tr w14:paraId="17C0A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05" w:hRule="atLeast"/>
        </w:trPr>
        <w:tc>
          <w:tcPr>
            <w:tcW w:w="714" w:type="dxa"/>
            <w:vAlign w:val="center"/>
          </w:tcPr>
          <w:p w14:paraId="54FE78D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2093" w:type="dxa"/>
            <w:vAlign w:val="center"/>
          </w:tcPr>
          <w:p w14:paraId="6651146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采购代理服务费</w:t>
            </w:r>
          </w:p>
        </w:tc>
        <w:tc>
          <w:tcPr>
            <w:tcW w:w="6927" w:type="dxa"/>
            <w:vAlign w:val="center"/>
          </w:tcPr>
          <w:p w14:paraId="1C2552D4">
            <w:pPr>
              <w:spacing w:line="360" w:lineRule="auto"/>
              <w:rPr>
                <w:rFonts w:hint="eastAsia" w:ascii="宋体" w:hAnsi="宋体" w:eastAsia="宋体" w:cs="宋体"/>
                <w:snapToGrid w:val="0"/>
                <w:color w:val="auto"/>
                <w:kern w:val="28"/>
                <w:sz w:val="24"/>
                <w:highlight w:val="none"/>
                <w:lang w:eastAsia="zh-CN"/>
              </w:rPr>
            </w:pPr>
            <w:r>
              <w:rPr>
                <w:rFonts w:hint="eastAsia" w:ascii="宋体" w:hAnsi="宋体" w:eastAsia="宋体" w:cs="宋体"/>
                <w:snapToGrid w:val="0"/>
                <w:color w:val="auto"/>
                <w:kern w:val="28"/>
                <w:sz w:val="24"/>
                <w:highlight w:val="none"/>
                <w:lang w:eastAsia="zh-CN"/>
              </w:rPr>
              <w:t>招标代理费：按发改价格[2011]534号的</w:t>
            </w:r>
            <w:r>
              <w:rPr>
                <w:rFonts w:hint="eastAsia" w:ascii="宋体" w:hAnsi="宋体" w:cs="宋体"/>
                <w:snapToGrid w:val="0"/>
                <w:color w:val="auto"/>
                <w:kern w:val="28"/>
                <w:sz w:val="24"/>
                <w:highlight w:val="none"/>
                <w:lang w:val="en-US" w:eastAsia="zh-CN"/>
              </w:rPr>
              <w:t>90</w:t>
            </w:r>
            <w:r>
              <w:rPr>
                <w:rFonts w:hint="eastAsia" w:ascii="宋体" w:hAnsi="宋体" w:eastAsia="宋体" w:cs="宋体"/>
                <w:snapToGrid w:val="0"/>
                <w:color w:val="auto"/>
                <w:kern w:val="28"/>
                <w:sz w:val="24"/>
                <w:highlight w:val="none"/>
                <w:lang w:eastAsia="zh-CN"/>
              </w:rPr>
              <w:t xml:space="preserve"> %计取。 </w:t>
            </w:r>
          </w:p>
          <w:p w14:paraId="3368532F">
            <w:pPr>
              <w:spacing w:line="360" w:lineRule="auto"/>
              <w:rPr>
                <w:rFonts w:hint="eastAsia" w:ascii="宋体" w:hAnsi="宋体" w:eastAsia="宋体" w:cs="宋体"/>
                <w:snapToGrid w:val="0"/>
                <w:color w:val="auto"/>
                <w:kern w:val="28"/>
                <w:sz w:val="24"/>
                <w:highlight w:val="none"/>
                <w:lang w:eastAsia="zh-CN"/>
              </w:rPr>
            </w:pPr>
            <w:r>
              <w:rPr>
                <w:rFonts w:hint="eastAsia" w:ascii="宋体" w:hAnsi="宋体" w:eastAsia="宋体" w:cs="宋体"/>
                <w:snapToGrid w:val="0"/>
                <w:color w:val="auto"/>
                <w:kern w:val="28"/>
                <w:sz w:val="24"/>
                <w:highlight w:val="none"/>
                <w:lang w:eastAsia="zh-CN"/>
              </w:rPr>
              <w:t>造价工程量清单费：按浙建价协[2021]13号的</w:t>
            </w:r>
            <w:r>
              <w:rPr>
                <w:rFonts w:hint="eastAsia" w:ascii="宋体" w:hAnsi="宋体" w:cs="宋体"/>
                <w:snapToGrid w:val="0"/>
                <w:color w:val="auto"/>
                <w:kern w:val="28"/>
                <w:sz w:val="24"/>
                <w:highlight w:val="none"/>
                <w:lang w:val="en-US" w:eastAsia="zh-CN"/>
              </w:rPr>
              <w:t>90</w:t>
            </w:r>
            <w:r>
              <w:rPr>
                <w:rFonts w:hint="eastAsia" w:ascii="宋体" w:hAnsi="宋体" w:eastAsia="宋体" w:cs="宋体"/>
                <w:snapToGrid w:val="0"/>
                <w:color w:val="auto"/>
                <w:kern w:val="28"/>
                <w:sz w:val="24"/>
                <w:highlight w:val="none"/>
                <w:lang w:eastAsia="zh-CN"/>
              </w:rPr>
              <w:t xml:space="preserve"> %计取。</w:t>
            </w:r>
          </w:p>
          <w:p w14:paraId="597B6E53">
            <w:pPr>
              <w:spacing w:line="360" w:lineRule="auto"/>
              <w:rPr>
                <w:rFonts w:hint="default" w:ascii="宋体" w:hAnsi="宋体" w:eastAsia="宋体" w:cs="宋体"/>
                <w:snapToGrid w:val="0"/>
                <w:color w:val="auto"/>
                <w:kern w:val="28"/>
                <w:sz w:val="24"/>
                <w:highlight w:val="none"/>
                <w:lang w:val="en-US" w:eastAsia="zh-CN"/>
              </w:rPr>
            </w:pPr>
            <w:r>
              <w:rPr>
                <w:rFonts w:hint="eastAsia" w:ascii="宋体" w:hAnsi="宋体" w:cs="宋体"/>
                <w:snapToGrid w:val="0"/>
                <w:color w:val="auto"/>
                <w:kern w:val="28"/>
                <w:sz w:val="24"/>
                <w:highlight w:val="none"/>
                <w:lang w:val="en-US" w:eastAsia="zh-CN"/>
              </w:rPr>
              <w:t>由中标单位在领取中标通知书时一次性支付。</w:t>
            </w:r>
          </w:p>
        </w:tc>
      </w:tr>
    </w:tbl>
    <w:p w14:paraId="5F33562E">
      <w:pPr>
        <w:snapToGrid w:val="0"/>
        <w:spacing w:line="360" w:lineRule="auto"/>
        <w:jc w:val="center"/>
        <w:rPr>
          <w:rFonts w:ascii="宋体" w:hAnsi="宋体" w:cs="宋体"/>
          <w:b/>
          <w:color w:val="auto"/>
          <w:sz w:val="32"/>
          <w:szCs w:val="20"/>
          <w:highlight w:val="none"/>
        </w:rPr>
      </w:pPr>
    </w:p>
    <w:bookmarkEnd w:id="10"/>
    <w:p w14:paraId="235D1CE6">
      <w:pPr>
        <w:widowControl/>
        <w:adjustRightInd/>
        <w:jc w:val="left"/>
        <w:rPr>
          <w:rFonts w:ascii="宋体" w:hAnsi="宋体" w:cs="宋体"/>
          <w:b/>
          <w:color w:val="auto"/>
          <w:sz w:val="32"/>
          <w:szCs w:val="20"/>
          <w:highlight w:val="none"/>
        </w:rPr>
      </w:pPr>
      <w:bookmarkStart w:id="13" w:name="第三部分"/>
      <w:bookmarkStart w:id="14" w:name="_Toc164416483"/>
      <w:r>
        <w:rPr>
          <w:rFonts w:hint="eastAsia" w:ascii="宋体" w:hAnsi="宋体" w:cs="宋体"/>
          <w:b/>
          <w:color w:val="auto"/>
          <w:sz w:val="32"/>
          <w:szCs w:val="20"/>
          <w:highlight w:val="none"/>
        </w:rPr>
        <w:br w:type="page"/>
      </w:r>
    </w:p>
    <w:p w14:paraId="3E8D91B5">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561BE0D9">
      <w:pPr>
        <w:snapToGrid w:val="0"/>
        <w:spacing w:line="360" w:lineRule="auto"/>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EAE66BF">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本采购文件适用于该项目的采购邀请、响应文件提交、响应文件开启、资格审查及信用信息查询、磋商、评审、成交供应商确定、合同、验收等行为（法律、法规另有规定的，从其规定）。</w:t>
      </w:r>
    </w:p>
    <w:p w14:paraId="0929B718">
      <w:pPr>
        <w:snapToGrid w:val="0"/>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2.定义</w:t>
      </w:r>
    </w:p>
    <w:p w14:paraId="2F3200D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“采购人”系指竞争性磋商公告中载明的本项目的采购人。</w:t>
      </w:r>
    </w:p>
    <w:p w14:paraId="3EED53D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“采购机构”系指竞争性磋商公告中载明的本项目的采购机构。</w:t>
      </w:r>
    </w:p>
    <w:p w14:paraId="709C6B2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“供应商”系指是指提交响应文件和报价、参与竞争性磋商采购活动的法人、其他组织或者自然人。</w:t>
      </w:r>
    </w:p>
    <w:p w14:paraId="1519541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B7B72E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544AD81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537F766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系指不适用本项目的要求，“※”系指磋商过程中可能实质性变动的内容。</w:t>
      </w:r>
    </w:p>
    <w:p w14:paraId="66655D2B">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58A761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3EF30FB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 支持绿色发展</w:t>
      </w:r>
    </w:p>
    <w:p w14:paraId="1A557C0C">
      <w:pPr>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color w:val="auto"/>
          <w:sz w:val="24"/>
          <w:highlight w:val="none"/>
        </w:rPr>
        <w:t>采购人拟采购的产品属于政府强制采购的节能产品品目清单范围的，供应商未按采购文件要求提供国家确定的认证机构出具的、处于有效期之内的节能产品认证证书的，响应文件无效。</w:t>
      </w:r>
    </w:p>
    <w:p w14:paraId="4FA8E96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3.2.2纳入政府采购管理的修缮、装修类项目采购建材的，鼓励采购单位将绿色建材性能、指标等作为实质性条件纳入采购文件和合同，具体性能指标要求参考相关绿色建材政府采购需求标准。</w:t>
      </w:r>
    </w:p>
    <w:p w14:paraId="7986BBD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D52E3D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3.3支持中小企业发展</w:t>
      </w:r>
    </w:p>
    <w:p w14:paraId="09CAF7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98ABA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B879CAC">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在政府采购活动中，供应商提供的工程符合下列情形的，享受中小企业扶持政策：</w:t>
      </w:r>
      <w:r>
        <w:rPr>
          <w:rFonts w:ascii="宋体" w:hAnsi="宋体" w:cs="宋体"/>
          <w:color w:val="auto"/>
          <w:sz w:val="24"/>
          <w:highlight w:val="none"/>
        </w:rPr>
        <w:t>在工程采购项目中，工程由中小企业承建，即工程施工单位为中小企业</w:t>
      </w:r>
      <w:r>
        <w:rPr>
          <w:rFonts w:hint="eastAsia" w:ascii="宋体" w:hAnsi="宋体" w:cs="宋体"/>
          <w:color w:val="auto"/>
          <w:kern w:val="0"/>
          <w:sz w:val="24"/>
          <w:highlight w:val="none"/>
        </w:rPr>
        <w:t>。</w:t>
      </w:r>
    </w:p>
    <w:p w14:paraId="2D711642">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60E2D4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15" w:name="_Hlk101132181"/>
      <w:r>
        <w:rPr>
          <w:rFonts w:hint="eastAsia" w:ascii="宋体" w:hAnsi="宋体" w:cs="宋体"/>
          <w:color w:val="auto"/>
          <w:sz w:val="24"/>
          <w:highlight w:val="none"/>
        </w:rPr>
        <w:t>联合协议或者分包意向协议约定小微企业的合同份额占到合同总金额30%以上的</w:t>
      </w:r>
      <w:bookmarkEnd w:id="15"/>
      <w:r>
        <w:rPr>
          <w:rFonts w:hint="eastAsia" w:ascii="宋体" w:hAnsi="宋体" w:cs="宋体"/>
          <w:color w:val="auto"/>
          <w:sz w:val="24"/>
          <w:highlight w:val="none"/>
        </w:rPr>
        <w:t>，对联合体或者大中型企业的报价给予2%的扣除，用扣除后的价格参加评审。组成联合体或者接受分包的小微企业与联合体内其他企业、分包企业之间存在直接控股、管理关系的，不享受价格扣除优惠政策。</w:t>
      </w:r>
    </w:p>
    <w:p w14:paraId="155B763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57E41E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D1BEE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2150D4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7D107FE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2262CFC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53F6545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7563C0D">
      <w:pPr>
        <w:snapToGrid w:val="0"/>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AF8F208">
      <w:pPr>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68623A11">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4.1在线询问、质疑、投诉</w:t>
      </w:r>
    </w:p>
    <w:p w14:paraId="037C07A2">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08B9892">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1F52AF19">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CE6D096">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771A2CFA">
      <w:pPr>
        <w:pStyle w:val="32"/>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.1提出质疑的供应商应当是参与所质疑项目采购活动的供应商。潜在供应商已依法获取其可质疑的采购文件的，可以对该文件提出质疑。</w:t>
      </w:r>
    </w:p>
    <w:p w14:paraId="02A4836A">
      <w:pPr>
        <w:pStyle w:val="32"/>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65DE418E">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4.3.2.1对采购文件提出质疑的，质疑期限为供应商获得采购文件之日或者采购文件公告期限届满之日起计算。</w:t>
      </w:r>
    </w:p>
    <w:p w14:paraId="40A4AEE7">
      <w:pPr>
        <w:pStyle w:val="32"/>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w:t>
      </w:r>
    </w:p>
    <w:p w14:paraId="5FBF4197">
      <w:pPr>
        <w:pStyle w:val="32"/>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4.3.2.3对采购结果提出质疑的，质疑期限自采购结果公告期限届满之日起计算。</w:t>
      </w:r>
    </w:p>
    <w:p w14:paraId="467EE126">
      <w:pPr>
        <w:pStyle w:val="32"/>
        <w:snapToGrid w:val="0"/>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33CF30C4">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1DE854A6">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173B7D74">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55F4CF0A">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24BE83F8">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00BACE80">
      <w:pPr>
        <w:pStyle w:val="32"/>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768489EF">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25FD553">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质疑函范本及制作说明详见附件2。</w:t>
      </w:r>
    </w:p>
    <w:p w14:paraId="7D2B591A">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4.3.4对同一采购程序环节的质疑，供应商须在法定质疑期内一次性提出。</w:t>
      </w:r>
    </w:p>
    <w:p w14:paraId="05B1A6AD">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49345A14">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75C5E8E">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026DDA3">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6254B28C">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4FD0CFC">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4.4.3供应商投诉应当有明确的请求和必要的证明材料。</w:t>
      </w:r>
    </w:p>
    <w:p w14:paraId="1AFC37B0">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4.4.4以联合体形式参加政府采购活动的，其投诉应当由组成联合体的所有供应商共同提出。</w:t>
      </w:r>
    </w:p>
    <w:p w14:paraId="10CED8D3">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asciiTheme="minorEastAsia" w:hAnsiTheme="minorEastAsia" w:eastAsiaTheme="minorEastAsia"/>
          <w:color w:val="auto"/>
          <w:highlight w:val="none"/>
        </w:rPr>
        <w:t>4.5.5浙江省本级、杭州市本级、拱墅区、富阳区政府采购项目投诉材料可寄送浙江省政府采购行政裁决服务中心（杭州），地址：杭州市上城区四季青街道新业路市民之家G03办公室，收件人：朱女士，电话：15121014815</w:t>
      </w:r>
    </w:p>
    <w:p w14:paraId="1E82C311">
      <w:pPr>
        <w:pStyle w:val="888"/>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投诉书范本及制作说明详见附件3。</w:t>
      </w:r>
    </w:p>
    <w:p w14:paraId="337B809A">
      <w:pPr>
        <w:pStyle w:val="131"/>
        <w:snapToGrid w:val="0"/>
        <w:spacing w:before="0"/>
        <w:ind w:firstLine="360"/>
        <w:rPr>
          <w:rFonts w:ascii="宋体" w:hAnsi="宋体" w:cs="宋体"/>
          <w:color w:val="auto"/>
          <w:sz w:val="18"/>
          <w:szCs w:val="18"/>
          <w:highlight w:val="none"/>
        </w:rPr>
      </w:pPr>
    </w:p>
    <w:p w14:paraId="04DFFA6F">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二、采购文件的构成、澄清、修改</w:t>
      </w:r>
    </w:p>
    <w:p w14:paraId="1FE0D68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5．采购文件的构成</w:t>
      </w:r>
    </w:p>
    <w:p w14:paraId="633DE3A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采购文件包括下列文件及附件：</w:t>
      </w:r>
    </w:p>
    <w:p w14:paraId="39CF058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5.1.1竞争性磋商公告；</w:t>
      </w:r>
    </w:p>
    <w:p w14:paraId="2AD4ABD0">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5.1.2供应商须知；</w:t>
      </w:r>
    </w:p>
    <w:p w14:paraId="274696C1">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62AB84C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5.1.4评审办法；</w:t>
      </w:r>
    </w:p>
    <w:p w14:paraId="5C6C3F3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65CA6BD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31D28A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澄清或者修改的内容为采购文件的组成部分</w:t>
      </w:r>
      <w:r>
        <w:rPr>
          <w:rFonts w:hint="eastAsia" w:ascii="宋体" w:hAnsi="宋体" w:cs="宋体"/>
          <w:color w:val="auto"/>
          <w:sz w:val="24"/>
          <w:highlight w:val="none"/>
        </w:rPr>
        <w:t>。</w:t>
      </w:r>
    </w:p>
    <w:p w14:paraId="4E61A19A">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采购文件的澄清、修改</w:t>
      </w:r>
    </w:p>
    <w:p w14:paraId="3E56CF1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6.1已获取采购文件的潜在供应商，若有问题需要澄清，应于响应文件提交（上传）截止时间前，以书面形式向采购机构提出。</w:t>
      </w:r>
    </w:p>
    <w:p w14:paraId="61CC1A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7CE6E64D">
      <w:pPr>
        <w:pStyle w:val="23"/>
        <w:rPr>
          <w:rFonts w:hAnsi="宋体" w:cs="宋体"/>
          <w:color w:val="auto"/>
          <w:sz w:val="18"/>
          <w:szCs w:val="18"/>
          <w:highlight w:val="none"/>
          <w:lang w:val="en-US"/>
        </w:rPr>
      </w:pPr>
    </w:p>
    <w:p w14:paraId="1589D635">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三、提交响应文件</w:t>
      </w:r>
    </w:p>
    <w:p w14:paraId="5325D18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采购文件的获取</w:t>
      </w:r>
    </w:p>
    <w:p w14:paraId="73A14348">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详见竞争性磋商公告中获取采购文件的时间期限、地点、方式及采购文件售价。</w:t>
      </w:r>
    </w:p>
    <w:p w14:paraId="5D7878E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8.磋商前答疑会或现场考察</w:t>
      </w:r>
    </w:p>
    <w:p w14:paraId="4C9E6659">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采购人组织潜在供应商现场考察或者召开磋商前答疑会的，潜在供应商按第二部分供应商须知前附表的规定参加现场考察或者磋商前答疑会。</w:t>
      </w:r>
    </w:p>
    <w:p w14:paraId="436FE88D">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9.磋商保证金</w:t>
      </w:r>
    </w:p>
    <w:p w14:paraId="54073F05">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本项目不需缴纳磋商保证金。</w:t>
      </w:r>
    </w:p>
    <w:p w14:paraId="787C9C1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响应文件的语言</w:t>
      </w:r>
    </w:p>
    <w:p w14:paraId="7443512A">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响应文件及供应商与采购有关的来往通知、函件和文件均应使用中文。</w:t>
      </w:r>
    </w:p>
    <w:p w14:paraId="0AE5B8D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响应文件的组成</w:t>
      </w:r>
    </w:p>
    <w:p w14:paraId="15CEC8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829BF1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57D9815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6" w:name="_Hlk101259339"/>
      <w:r>
        <w:rPr>
          <w:rFonts w:hint="eastAsia" w:ascii="宋体" w:hAnsi="宋体" w:cs="宋体"/>
          <w:snapToGrid w:val="0"/>
          <w:color w:val="auto"/>
          <w:kern w:val="28"/>
          <w:sz w:val="24"/>
          <w:szCs w:val="20"/>
          <w:highlight w:val="none"/>
        </w:rPr>
        <w:t>联合协议</w:t>
      </w:r>
      <w:bookmarkStart w:id="17" w:name="_Hlk101257010"/>
      <w:r>
        <w:rPr>
          <w:rFonts w:hint="eastAsia" w:ascii="宋体" w:hAnsi="宋体" w:cs="宋体"/>
          <w:snapToGrid w:val="0"/>
          <w:color w:val="auto"/>
          <w:kern w:val="28"/>
          <w:sz w:val="24"/>
          <w:szCs w:val="20"/>
          <w:highlight w:val="none"/>
        </w:rPr>
        <w:t>（如果有)</w:t>
      </w:r>
      <w:bookmarkEnd w:id="16"/>
      <w:bookmarkEnd w:id="17"/>
      <w:r>
        <w:rPr>
          <w:rFonts w:hint="eastAsia" w:ascii="宋体" w:hAnsi="宋体" w:cs="宋体"/>
          <w:snapToGrid w:val="0"/>
          <w:color w:val="auto"/>
          <w:kern w:val="28"/>
          <w:sz w:val="24"/>
          <w:szCs w:val="20"/>
          <w:highlight w:val="none"/>
        </w:rPr>
        <w:t>；</w:t>
      </w:r>
    </w:p>
    <w:p w14:paraId="51BDB03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E437D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FC77F02">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40F850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11.2.1响应函；</w:t>
      </w:r>
      <w:r>
        <w:rPr>
          <w:rFonts w:hint="eastAsia" w:ascii="宋体" w:hAnsi="宋体" w:cs="宋体"/>
          <w:color w:val="auto"/>
          <w:sz w:val="24"/>
          <w:highlight w:val="none"/>
          <w:lang w:val="zh-CN"/>
        </w:rPr>
        <w:t xml:space="preserve"> </w:t>
      </w:r>
    </w:p>
    <w:p w14:paraId="2B4D521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10341BB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11.2.3分包意向协议（如果有)；</w:t>
      </w:r>
    </w:p>
    <w:p w14:paraId="24E13DA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11.2.4符合性审查资料；</w:t>
      </w:r>
    </w:p>
    <w:p w14:paraId="692F774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11.2.5评审标准相应的商务技术资料；</w:t>
      </w:r>
    </w:p>
    <w:p w14:paraId="6C4E985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11.2.6商务技术偏离表；</w:t>
      </w:r>
    </w:p>
    <w:p w14:paraId="7F797AD5">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14:paraId="6618D274">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0BE2CBF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11.3.1报价单；</w:t>
      </w:r>
    </w:p>
    <w:p w14:paraId="22B4F56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11.3.2已标价工程量清单；</w:t>
      </w:r>
    </w:p>
    <w:p w14:paraId="4DE9D81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11.3.3中小企业声明函。</w:t>
      </w:r>
    </w:p>
    <w:p w14:paraId="09856AB9">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响应文件含有采购人不能接受的附加条件的，响应文件无效；</w:t>
      </w:r>
    </w:p>
    <w:p w14:paraId="59B0FFED">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供应商提供虚假材料的，响应文件无效。</w:t>
      </w:r>
    </w:p>
    <w:p w14:paraId="53778032">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响应文件的编制</w:t>
      </w:r>
    </w:p>
    <w:p w14:paraId="77BE2784">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6D41AA33">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12.2供应商进行电子投标应安装客户端软件—“政采云电子交易客户端”，并按照采购文件和电子交易平台的要求编制并加密响应文件。供应商未按规定加密的响应文件，电子交易平台将拒收并提示。</w:t>
      </w:r>
    </w:p>
    <w:p w14:paraId="1DBDA575">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EF6E93E">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13.响应文件的签署、盖章</w:t>
      </w:r>
    </w:p>
    <w:p w14:paraId="486B4FA3">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13.1响应文件按照采购文件第六部分格式要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▲供应商的响应文件未按照采购文件要求签署、盖章的，其响应文件无效</w:t>
      </w:r>
      <w:r>
        <w:rPr>
          <w:rFonts w:hint="eastAsia" w:ascii="宋体" w:hAnsi="宋体" w:cs="宋体"/>
          <w:color w:val="auto"/>
          <w:szCs w:val="24"/>
          <w:highlight w:val="none"/>
        </w:rPr>
        <w:t>。</w:t>
      </w:r>
    </w:p>
    <w:p w14:paraId="5239D52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13.2为确保网上操作合法、有效和安全，供应商应当在响应文件提交（上传）截止时间前完成在“政府采购云平台”的身份认证，确保在电子投标过程中能够对相关数据电文进行加密和使用电子签名。</w:t>
      </w:r>
    </w:p>
    <w:p w14:paraId="590C9DF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13.3采购文件对响应文件签署、盖章的要求适用于电子签名。</w:t>
      </w:r>
    </w:p>
    <w:p w14:paraId="0CDAE120">
      <w:pPr>
        <w:pStyle w:val="131"/>
        <w:snapToGrid w:val="0"/>
        <w:spacing w:before="0"/>
        <w:ind w:firstLine="0" w:firstLineChars="0"/>
        <w:rPr>
          <w:rFonts w:ascii="宋体" w:hAnsi="宋体" w:cs="宋体"/>
          <w:b/>
          <w:color w:val="auto"/>
          <w:szCs w:val="24"/>
          <w:highlight w:val="none"/>
        </w:rPr>
      </w:pPr>
    </w:p>
    <w:p w14:paraId="46B1344D">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响应文件的提交、补充、修改、撤回</w:t>
      </w:r>
    </w:p>
    <w:p w14:paraId="4AD84D0F">
      <w:pPr>
        <w:pStyle w:val="131"/>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0AE0D7F0">
      <w:pPr>
        <w:pStyle w:val="131"/>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14.2电子交易平台收到响应文件，将妥善保存并即时向供应商发出确认回执通知。在响应文件提交（上传）截止时间前，除供应商补充、修改或者撤回响应文件外，任何单位和个人不得解密或提取响应文件。</w:t>
      </w:r>
    </w:p>
    <w:p w14:paraId="0CEE8634">
      <w:pPr>
        <w:pStyle w:val="131"/>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14.3采购人、采购机构可以视情况延长响应文件提交的截止时间。在上述情况下，采购机构与供应商以前在响应文件提交截止时间方面的全部权利、责任和义务，将适用于延长至新的响应文件提交截止时间。</w:t>
      </w:r>
    </w:p>
    <w:p w14:paraId="5C1A7053">
      <w:pPr>
        <w:pStyle w:val="32"/>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15.备份响应文件</w:t>
      </w:r>
    </w:p>
    <w:p w14:paraId="08270C08">
      <w:pPr>
        <w:pStyle w:val="32"/>
        <w:snapToGrid w:val="0"/>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15.1供应商在电子交易平台传输递交响应文件后，还可以在响应文件提交（上传）截止时间前直接提交或者以邮政快递方式递交备份响应文件1份，</w:t>
      </w:r>
      <w:r>
        <w:rPr>
          <w:rFonts w:hint="eastAsia" w:hAnsi="宋体" w:cs="宋体"/>
          <w:b/>
          <w:color w:val="auto"/>
          <w:sz w:val="24"/>
          <w:szCs w:val="24"/>
          <w:highlight w:val="none"/>
        </w:rPr>
        <w:t>但采购人、采购机构不强制或变相强制供应商提交备份响应文件。</w:t>
      </w:r>
    </w:p>
    <w:p w14:paraId="652C914F">
      <w:pPr>
        <w:pStyle w:val="32"/>
        <w:snapToGrid w:val="0"/>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15.2备份响应文件须在“政采云投标客户端”制作生成，并储存在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存储、密封规定的备份响应文件将被视为无效或者被拒绝接收。</w:t>
      </w:r>
    </w:p>
    <w:p w14:paraId="3A2F7BF0">
      <w:pPr>
        <w:pStyle w:val="32"/>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15.3直接提交备份响应文件的，供应商应于响应文件提交（上传）截止时间前在竞争性磋商公告中载明的响应文件开启地点将备份响应文件提交给采购机构，采购机构将拒绝接受逾期送达的备份响应文件。</w:t>
      </w:r>
    </w:p>
    <w:p w14:paraId="6B87672F">
      <w:pPr>
        <w:pStyle w:val="32"/>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auto"/>
          <w:sz w:val="24"/>
          <w:szCs w:val="24"/>
          <w:highlight w:val="none"/>
        </w:rPr>
        <w:t>采购文件第二部分供应商须知前附表规定的备份响应文件送达地点；</w:t>
      </w:r>
      <w:r>
        <w:rPr>
          <w:rFonts w:hint="eastAsia" w:hAnsi="宋体" w:cs="宋体"/>
          <w:color w:val="auto"/>
          <w:sz w:val="24"/>
          <w:szCs w:val="24"/>
          <w:highlight w:val="none"/>
        </w:rPr>
        <w:t>送达时间以签收人签收时间为准。采购机构将拒绝接受逾期送达的备份响应文件。邮寄过程中，电子备份响应文件发生泄露、遗失、损坏或延期送达等情况的，由供应商自行负责。</w:t>
      </w:r>
    </w:p>
    <w:p w14:paraId="1698548F">
      <w:pPr>
        <w:pStyle w:val="32"/>
        <w:snapToGrid w:val="0"/>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15.5供应商仅提交备份响应文件，未在电子交易平台传输递交响应文件的，响应文件无效。</w:t>
      </w:r>
    </w:p>
    <w:p w14:paraId="5E66E1A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16.响应文件的无效处理</w:t>
      </w:r>
    </w:p>
    <w:p w14:paraId="05F28713">
      <w:pPr>
        <w:pStyle w:val="24"/>
        <w:spacing w:line="360" w:lineRule="auto"/>
        <w:ind w:firstLine="360" w:firstLineChars="150"/>
        <w:rPr>
          <w:rFonts w:cs="宋体"/>
          <w:color w:val="auto"/>
          <w:szCs w:val="21"/>
          <w:highlight w:val="none"/>
        </w:rPr>
      </w:pPr>
      <w:r>
        <w:rPr>
          <w:rFonts w:hint="eastAsia" w:cs="宋体"/>
          <w:color w:val="auto"/>
          <w:szCs w:val="21"/>
          <w:highlight w:val="none"/>
        </w:rPr>
        <w:t>有采购文件第四部分</w:t>
      </w:r>
      <w:r>
        <w:rPr>
          <w:rFonts w:hint="eastAsia" w:cs="宋体"/>
          <w:color w:val="auto"/>
          <w:highlight w:val="none"/>
        </w:rPr>
        <w:t>4.2规定</w:t>
      </w:r>
      <w:r>
        <w:rPr>
          <w:rFonts w:hint="eastAsia" w:cs="宋体"/>
          <w:color w:val="auto"/>
          <w:szCs w:val="21"/>
          <w:highlight w:val="none"/>
        </w:rPr>
        <w:t>的情形之一的，响应文件无效：</w:t>
      </w:r>
    </w:p>
    <w:p w14:paraId="06EC4E27">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17.响应文件有效期</w:t>
      </w:r>
    </w:p>
    <w:p w14:paraId="2DF2D1EE">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17.1响应文件有效期为从提交响应文件的截止之日起90天。▲</w:t>
      </w:r>
      <w:r>
        <w:rPr>
          <w:rFonts w:hint="eastAsia" w:ascii="宋体" w:hAnsi="宋体" w:cs="宋体"/>
          <w:b/>
          <w:color w:val="auto"/>
          <w:sz w:val="24"/>
          <w:szCs w:val="20"/>
          <w:highlight w:val="none"/>
        </w:rPr>
        <w:t>供应商的响应文件中承</w:t>
      </w:r>
      <w:r>
        <w:rPr>
          <w:rFonts w:hint="eastAsia" w:ascii="宋体" w:hAnsi="宋体" w:cs="宋体"/>
          <w:b/>
          <w:color w:val="auto"/>
          <w:sz w:val="24"/>
          <w:szCs w:val="21"/>
          <w:highlight w:val="none"/>
        </w:rPr>
        <w:t>诺的响应文件有效期少于采购文件中载明的响应文件有效期的，响应文件无效。</w:t>
      </w:r>
    </w:p>
    <w:p w14:paraId="1DA62F61">
      <w:pPr>
        <w:pStyle w:val="131"/>
        <w:spacing w:before="0"/>
        <w:ind w:firstLine="480"/>
        <w:rPr>
          <w:rFonts w:ascii="宋体" w:hAnsi="宋体" w:cs="宋体"/>
          <w:color w:val="auto"/>
          <w:highlight w:val="none"/>
        </w:rPr>
      </w:pPr>
      <w:r>
        <w:rPr>
          <w:rFonts w:hint="eastAsia" w:ascii="宋体" w:hAnsi="宋体" w:cs="宋体"/>
          <w:color w:val="auto"/>
          <w:highlight w:val="none"/>
        </w:rPr>
        <w:t>17.2响应文件合格投递后，自响应文件提交截止时间起，在响应文件有效期内有效。</w:t>
      </w:r>
    </w:p>
    <w:p w14:paraId="18F76311">
      <w:pPr>
        <w:pStyle w:val="131"/>
        <w:spacing w:before="0"/>
        <w:ind w:firstLine="480"/>
        <w:rPr>
          <w:rFonts w:ascii="宋体" w:hAnsi="宋体" w:cs="宋体"/>
          <w:color w:val="auto"/>
          <w:highlight w:val="none"/>
        </w:rPr>
      </w:pPr>
      <w:r>
        <w:rPr>
          <w:rFonts w:hint="eastAsia" w:ascii="宋体" w:hAnsi="宋体" w:cs="宋体"/>
          <w:color w:val="auto"/>
          <w:highlight w:val="none"/>
        </w:rPr>
        <w:t>17.3在原定响应文件有效期满之前，如果出现特殊情况，采购机构可以以书面形式通知供应商延长响应文件有效期。供应商同意延长的，不得要求或被允许修改其响应文件，供应商拒绝延长的，其响应文件无效。</w:t>
      </w:r>
    </w:p>
    <w:p w14:paraId="4E565668">
      <w:pPr>
        <w:pStyle w:val="131"/>
        <w:spacing w:before="0"/>
        <w:ind w:firstLine="643"/>
        <w:rPr>
          <w:rFonts w:ascii="宋体" w:hAnsi="宋体" w:cs="宋体"/>
          <w:b/>
          <w:color w:val="auto"/>
          <w:sz w:val="32"/>
          <w:highlight w:val="none"/>
        </w:rPr>
      </w:pPr>
    </w:p>
    <w:p w14:paraId="63917428">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四、响应文件开启、资格审查与信用信息查询</w:t>
      </w:r>
    </w:p>
    <w:p w14:paraId="13CB0ED2">
      <w:pPr>
        <w:pStyle w:val="556"/>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18.响应文件开启</w:t>
      </w:r>
      <w:r>
        <w:rPr>
          <w:rFonts w:hint="eastAsia" w:ascii="宋体" w:hAnsi="宋体" w:cs="宋体"/>
          <w:color w:val="auto"/>
          <w:sz w:val="24"/>
          <w:highlight w:val="none"/>
        </w:rPr>
        <w:t xml:space="preserve"> </w:t>
      </w:r>
    </w:p>
    <w:p w14:paraId="3429ADFF">
      <w:pPr>
        <w:pStyle w:val="556"/>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18.1采购机构按照采购文件规定的时间通过电子交易平台组织响应文件开启，所有供应商均应当准时在线参加。供应商不足3家的，不得开启。</w:t>
      </w:r>
    </w:p>
    <w:p w14:paraId="6456880B">
      <w:pPr>
        <w:pStyle w:val="556"/>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18.2响应文件开启时，电子交易平台按响应文件开启时间自动提取所有响应文件。采购机构依托电子交易平台发起开始解密指令，供应商按照平台提示和采购文件的规定在半小时内完成在线解密。</w:t>
      </w:r>
    </w:p>
    <w:p w14:paraId="27442A91">
      <w:pPr>
        <w:pStyle w:val="556"/>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18.3</w:t>
      </w:r>
      <w:r>
        <w:rPr>
          <w:rFonts w:hint="eastAsia" w:ascii="宋体" w:hAnsi="宋体" w:cs="宋体"/>
          <w:b/>
          <w:bCs/>
          <w:color w:val="auto"/>
          <w:sz w:val="24"/>
          <w:highlight w:val="none"/>
        </w:rPr>
        <w:t>响应文件未按时解密，供应商提供了备份响应文件的，以备份响应文件作为依据，否则视为响应文件撤回。响应文件已按时解密的，备份响应文件自动失效。</w:t>
      </w:r>
    </w:p>
    <w:p w14:paraId="02BC951D">
      <w:pPr>
        <w:pStyle w:val="556"/>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19、资格审查</w:t>
      </w:r>
    </w:p>
    <w:p w14:paraId="58939A4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19.1响应文件开启后，</w:t>
      </w:r>
      <w:r>
        <w:rPr>
          <w:rFonts w:hint="eastAsia" w:ascii="宋体" w:hAnsi="宋体" w:cs="宋体"/>
          <w:color w:val="auto"/>
          <w:highlight w:val="none"/>
        </w:rPr>
        <w:t>采购人、采购机构或磋商小组</w:t>
      </w:r>
      <w:r>
        <w:rPr>
          <w:rFonts w:hint="eastAsia" w:ascii="宋体" w:hAnsi="宋体" w:cs="宋体"/>
          <w:color w:val="auto"/>
          <w:kern w:val="0"/>
          <w:szCs w:val="24"/>
          <w:highlight w:val="none"/>
        </w:rPr>
        <w:t>将依法对供应商的资格进行审查。</w:t>
      </w:r>
    </w:p>
    <w:p w14:paraId="0F4C00C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19.2</w:t>
      </w:r>
      <w:r>
        <w:rPr>
          <w:rFonts w:hint="eastAsia" w:ascii="宋体" w:hAnsi="宋体" w:cs="宋体"/>
          <w:color w:val="auto"/>
          <w:sz w:val="24"/>
          <w:highlight w:val="none"/>
        </w:rPr>
        <w:t>采购人、采购机构或磋商小组依据法律法规和采购文件的规定，对供应商的资格进行审查。</w:t>
      </w:r>
    </w:p>
    <w:p w14:paraId="41D53933">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19.3供应商未按照采购文件要求提供与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供应商不具备采购文件中规定的资格要求，其响应文件无效。</w:t>
      </w:r>
    </w:p>
    <w:p w14:paraId="258C83A0">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4对未通过资格审查的供应商，采购人或采购机构告知其未通过的原因。</w:t>
      </w:r>
    </w:p>
    <w:p w14:paraId="59F1042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5合格供应商不足3家的，不再评审。</w:t>
      </w:r>
    </w:p>
    <w:p w14:paraId="09B92FAE">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4EF470A9">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20.1信用信息查询渠道及截止时间：采购机构将在资格审查时通过“信用中国”网站(www.creditchina.gov.cn)、中国政府采购网(www.ccgp.gov.cn)渠道查询供应商接受资格审查时的信用记录。</w:t>
      </w:r>
    </w:p>
    <w:p w14:paraId="66A7D8C1">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20.2信用信息查询记录和证据留存的具体方式：现场查询的供应商的信用记录、查询结果经确认后将与采购文件一起存档。</w:t>
      </w:r>
    </w:p>
    <w:p w14:paraId="10384776">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14:paraId="0C282C0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39F1D85A">
      <w:pPr>
        <w:pStyle w:val="131"/>
        <w:spacing w:before="0"/>
        <w:ind w:firstLine="0" w:firstLineChars="0"/>
        <w:rPr>
          <w:rFonts w:ascii="宋体" w:hAnsi="宋体" w:cs="宋体"/>
          <w:color w:val="auto"/>
          <w:kern w:val="0"/>
          <w:szCs w:val="24"/>
          <w:highlight w:val="none"/>
        </w:rPr>
      </w:pPr>
    </w:p>
    <w:p w14:paraId="44E7307F">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五、评审</w:t>
      </w:r>
    </w:p>
    <w:p w14:paraId="0413AE5D">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auto"/>
          <w:sz w:val="24"/>
          <w:highlight w:val="none"/>
        </w:rPr>
        <w:t>详见采购文件第四部分评审办法。</w:t>
      </w:r>
    </w:p>
    <w:p w14:paraId="570535E2">
      <w:pPr>
        <w:spacing w:line="360" w:lineRule="auto"/>
        <w:rPr>
          <w:rFonts w:ascii="宋体" w:hAnsi="宋体" w:cs="宋体"/>
          <w:b/>
          <w:color w:val="auto"/>
          <w:sz w:val="24"/>
          <w:highlight w:val="none"/>
        </w:rPr>
      </w:pPr>
    </w:p>
    <w:p w14:paraId="4FF8FC04">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六、成交供应商确定</w:t>
      </w:r>
    </w:p>
    <w:p w14:paraId="1AD9A55A">
      <w:pPr>
        <w:pStyle w:val="24"/>
        <w:spacing w:line="360" w:lineRule="auto"/>
        <w:ind w:left="479" w:hanging="479" w:hangingChars="199"/>
        <w:rPr>
          <w:rFonts w:cs="宋体"/>
          <w:b/>
          <w:color w:val="auto"/>
          <w:highlight w:val="none"/>
        </w:rPr>
      </w:pPr>
      <w:r>
        <w:rPr>
          <w:rFonts w:hint="eastAsia" w:cs="宋体"/>
          <w:b/>
          <w:color w:val="auto"/>
          <w:highlight w:val="none"/>
        </w:rPr>
        <w:t>22. 确定成交供应商</w:t>
      </w:r>
    </w:p>
    <w:p w14:paraId="3587C09B">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044CB04">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成交通知与成交结果公告</w:t>
      </w:r>
    </w:p>
    <w:p w14:paraId="4FDC5BA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23.1自成交供应商确定之日起1个工作日内，采购机构通过电子交易平台向成交供应商发出成交通知书，同时编制发布采购结果公告。采购机构也可以以纸质形式进行成交通知。</w:t>
      </w:r>
    </w:p>
    <w:p w14:paraId="4CC1371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成交结果公告内容包括采购人及其委托的采购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43E0A4E8">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43A5E952">
      <w:pPr>
        <w:snapToGrid w:val="0"/>
        <w:spacing w:line="360" w:lineRule="auto"/>
        <w:ind w:left="120" w:leftChars="57" w:firstLine="482" w:firstLineChars="150"/>
        <w:jc w:val="center"/>
        <w:rPr>
          <w:rFonts w:ascii="宋体" w:hAnsi="宋体" w:cs="宋体"/>
          <w:b/>
          <w:color w:val="auto"/>
          <w:sz w:val="32"/>
          <w:highlight w:val="none"/>
        </w:rPr>
      </w:pPr>
    </w:p>
    <w:p w14:paraId="49EE9DBA">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七、合同授予</w:t>
      </w:r>
    </w:p>
    <w:p w14:paraId="09F655C2">
      <w:pPr>
        <w:pStyle w:val="24"/>
        <w:snapToGrid w:val="0"/>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5C5E7BB3">
      <w:pPr>
        <w:pStyle w:val="24"/>
        <w:snapToGrid w:val="0"/>
        <w:spacing w:line="360" w:lineRule="auto"/>
        <w:ind w:left="479" w:hanging="479" w:hangingChars="199"/>
        <w:rPr>
          <w:rFonts w:cs="宋体"/>
          <w:b/>
          <w:color w:val="auto"/>
          <w:highlight w:val="none"/>
        </w:rPr>
      </w:pPr>
      <w:r>
        <w:rPr>
          <w:rFonts w:hint="eastAsia" w:cs="宋体"/>
          <w:b/>
          <w:color w:val="auto"/>
          <w:highlight w:val="none"/>
        </w:rPr>
        <w:t>25. 合同的签订</w:t>
      </w:r>
    </w:p>
    <w:p w14:paraId="1FEBB9BE">
      <w:pPr>
        <w:widowControl/>
        <w:shd w:val="clear" w:color="auto" w:fill="FFFFFF"/>
        <w:snapToGrid w:val="0"/>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14:paraId="7D7F98DD">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25.2成交供应商按规定的日期、时间、地点，由法定代表人或其授权代表与采购人代表签订合同。如成交供应商为联合体的，由联合体成员各方法定代表人或其授权代表与采购人代表签订合同。</w:t>
      </w:r>
    </w:p>
    <w:p w14:paraId="2D8721E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0866090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成交供应商拒绝与采购人签订合同的，采购人可以按照评审报告推荐的成交候选人名单排序，确定下一候选人为成交供应商，也可以重新开展政府采购活动。拒绝与采购人签订合同的成交供应商应承担采购代理服务费、评审专家劳务报酬等相关费用。</w:t>
      </w:r>
    </w:p>
    <w:p w14:paraId="7D4B723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25.5采购合同由采购人与成交供应商根据采购文件、响应文件等内容通过政府采购电子交易平台在线签订，自动备案。</w:t>
      </w:r>
    </w:p>
    <w:p w14:paraId="6B06E747">
      <w:pPr>
        <w:pStyle w:val="24"/>
        <w:snapToGrid w:val="0"/>
        <w:spacing w:line="360" w:lineRule="auto"/>
        <w:ind w:left="479" w:hanging="479" w:hangingChars="199"/>
        <w:rPr>
          <w:rFonts w:cs="宋体"/>
          <w:b/>
          <w:color w:val="auto"/>
          <w:highlight w:val="none"/>
        </w:rPr>
      </w:pPr>
      <w:r>
        <w:rPr>
          <w:rFonts w:hint="eastAsia" w:cs="宋体"/>
          <w:b/>
          <w:color w:val="auto"/>
          <w:highlight w:val="none"/>
        </w:rPr>
        <w:t>26. 履约保证金</w:t>
      </w:r>
    </w:p>
    <w:p w14:paraId="55A008BD">
      <w:pPr>
        <w:tabs>
          <w:tab w:val="left" w:pos="0"/>
        </w:tabs>
        <w:snapToGrid w:val="0"/>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宋体" w:hAnsi="宋体" w:cs="宋体"/>
          <w:color w:val="auto"/>
          <w:sz w:val="24"/>
          <w:highlight w:val="none"/>
        </w:rPr>
        <w:t>。杭州市政府采购网公布的供应商履约评价为满分的供应商，采购单位应当免收履约保证金。确需收取履约保证金的，履约保证金缴纳最高比例由不超过合同金额的1%。采购单位鼓励供应商采取履约保函形式提供信用保证；供应商提供保函的，采购单位不得拒收。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91EF4B2">
      <w:pPr>
        <w:pStyle w:val="3"/>
        <w:snapToGrid w:val="0"/>
        <w:ind w:left="0" w:firstLine="480" w:firstLineChars="200"/>
        <w:rPr>
          <w:rFonts w:ascii="宋体" w:hAnsi="宋体" w:eastAsia="宋体" w:cs="宋体"/>
          <w:color w:val="auto"/>
          <w:highlight w:val="none"/>
          <w:lang w:val="en-US"/>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8D5B400">
      <w:pPr>
        <w:snapToGrid w:val="0"/>
        <w:spacing w:line="360" w:lineRule="auto"/>
        <w:ind w:firstLine="3357" w:firstLineChars="1045"/>
        <w:rPr>
          <w:rFonts w:ascii="宋体" w:hAnsi="宋体" w:cs="宋体"/>
          <w:b/>
          <w:color w:val="auto"/>
          <w:sz w:val="32"/>
          <w:highlight w:val="none"/>
        </w:rPr>
      </w:pPr>
    </w:p>
    <w:p w14:paraId="72B587BC">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八、电子交易活动的中止</w:t>
      </w:r>
    </w:p>
    <w:p w14:paraId="48A473CF">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rPr>
        <w:t>7.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66D6668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27.1电子交易平台发生故障而无法登录访问的； </w:t>
      </w:r>
    </w:p>
    <w:p w14:paraId="2D53732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27.2电子交易平台应用或数据库出现错误，不能进行正常操作的；</w:t>
      </w:r>
    </w:p>
    <w:p w14:paraId="7759148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27.3电子交易平台发现严重安全漏洞，有潜在泄密危险的；</w:t>
      </w:r>
    </w:p>
    <w:p w14:paraId="66CEE2F5">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27.4病毒发作导致不能进行正常操作的； </w:t>
      </w:r>
    </w:p>
    <w:p w14:paraId="440E653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27.5其他无法保证电子交易的公平、公正和安全的情况。</w:t>
      </w:r>
    </w:p>
    <w:p w14:paraId="2FF45E1D">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225A8F1D">
      <w:pPr>
        <w:tabs>
          <w:tab w:val="left" w:pos="0"/>
        </w:tabs>
        <w:spacing w:line="360" w:lineRule="auto"/>
        <w:ind w:firstLine="480"/>
        <w:rPr>
          <w:rFonts w:ascii="宋体" w:hAnsi="宋体" w:cs="宋体"/>
          <w:color w:val="auto"/>
          <w:sz w:val="24"/>
          <w:highlight w:val="none"/>
        </w:rPr>
      </w:pPr>
    </w:p>
    <w:p w14:paraId="27EA9C17">
      <w:pPr>
        <w:snapToGrid w:val="0"/>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九、验收</w:t>
      </w:r>
    </w:p>
    <w:p w14:paraId="5D688551">
      <w:pPr>
        <w:pStyle w:val="24"/>
        <w:spacing w:line="360" w:lineRule="auto"/>
        <w:ind w:firstLine="0" w:firstLineChars="0"/>
        <w:rPr>
          <w:rFonts w:cs="宋体"/>
          <w:b/>
          <w:color w:val="auto"/>
          <w:highlight w:val="none"/>
        </w:rPr>
      </w:pPr>
      <w:r>
        <w:rPr>
          <w:rFonts w:hint="eastAsia" w:cs="宋体"/>
          <w:b/>
          <w:color w:val="auto"/>
          <w:highlight w:val="none"/>
        </w:rPr>
        <w:t>29.验收</w:t>
      </w:r>
    </w:p>
    <w:p w14:paraId="085ACF37">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D21630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29.2采购人可以邀请参加本项目的其他供应商或者第三方机构参与验收。参与验收的供应商或者第三方机构的意见作为验收书的参考资料一并存档。</w:t>
      </w:r>
    </w:p>
    <w:p w14:paraId="687D908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CBFE987">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14:paraId="38F606F5">
      <w:pPr>
        <w:tabs>
          <w:tab w:val="left" w:pos="0"/>
        </w:tabs>
        <w:spacing w:line="360" w:lineRule="auto"/>
        <w:ind w:firstLine="480"/>
        <w:rPr>
          <w:rFonts w:ascii="宋体" w:hAnsi="宋体" w:cs="宋体"/>
          <w:color w:val="auto"/>
          <w:kern w:val="0"/>
          <w:sz w:val="24"/>
          <w:highlight w:val="none"/>
        </w:rPr>
        <w:sectPr>
          <w:pgSz w:w="11906" w:h="16838"/>
          <w:pgMar w:top="1440" w:right="1080" w:bottom="1440" w:left="1080" w:header="851" w:footer="992" w:gutter="0"/>
          <w:cols w:space="720" w:num="1"/>
          <w:titlePg/>
          <w:docGrid w:linePitch="312" w:charSpace="0"/>
        </w:sectPr>
      </w:pPr>
      <w:bookmarkStart w:id="19" w:name="_Hlt74714665"/>
      <w:bookmarkEnd w:id="19"/>
      <w:bookmarkStart w:id="20" w:name="_Hlt68057669"/>
      <w:bookmarkEnd w:id="20"/>
      <w:bookmarkStart w:id="21" w:name="_Hlt75236011"/>
      <w:bookmarkEnd w:id="21"/>
      <w:bookmarkStart w:id="22" w:name="_Hlt68073093"/>
      <w:bookmarkEnd w:id="22"/>
      <w:bookmarkStart w:id="23" w:name="_Hlt74707468"/>
      <w:bookmarkEnd w:id="23"/>
      <w:bookmarkStart w:id="24" w:name="_Hlt68403820"/>
      <w:bookmarkEnd w:id="24"/>
      <w:bookmarkStart w:id="25" w:name="_Hlt74729768"/>
      <w:bookmarkEnd w:id="25"/>
      <w:bookmarkStart w:id="26" w:name="_Hlt75236101"/>
      <w:bookmarkEnd w:id="26"/>
      <w:bookmarkStart w:id="27" w:name="_Hlt74730295"/>
      <w:bookmarkEnd w:id="27"/>
      <w:bookmarkStart w:id="28" w:name="_Hlt75236290"/>
      <w:bookmarkEnd w:id="28"/>
      <w:bookmarkStart w:id="29" w:name="_Hlt68072998"/>
      <w:bookmarkEnd w:id="29"/>
      <w:bookmarkStart w:id="30" w:name="_Hlt68072990"/>
      <w:bookmarkEnd w:id="30"/>
    </w:p>
    <w:bookmarkEnd w:id="13"/>
    <w:bookmarkEnd w:id="14"/>
    <w:p w14:paraId="266EB06E">
      <w:pPr>
        <w:pStyle w:val="32"/>
        <w:spacing w:line="360" w:lineRule="auto"/>
        <w:jc w:val="center"/>
        <w:rPr>
          <w:rFonts w:hAnsi="宋体" w:cs="宋体"/>
          <w:b/>
          <w:snapToGrid/>
          <w:color w:val="auto"/>
          <w:sz w:val="36"/>
          <w:szCs w:val="20"/>
          <w:highlight w:val="none"/>
        </w:rPr>
      </w:pPr>
      <w:bookmarkStart w:id="31" w:name="第四部分"/>
      <w:r>
        <w:rPr>
          <w:rFonts w:hint="eastAsia" w:hAnsi="宋体" w:cs="宋体"/>
          <w:b/>
          <w:snapToGrid/>
          <w:color w:val="auto"/>
          <w:sz w:val="36"/>
          <w:szCs w:val="20"/>
          <w:highlight w:val="none"/>
        </w:rPr>
        <w:t>第三部分 采购需求</w:t>
      </w:r>
    </w:p>
    <w:p w14:paraId="59A1B461">
      <w:pPr>
        <w:spacing w:line="360" w:lineRule="auto"/>
        <w:jc w:val="left"/>
        <w:rPr>
          <w:rFonts w:ascii="宋体" w:hAnsi="宋体" w:cs="仿宋_GB2312"/>
          <w:b/>
          <w:bCs/>
          <w:color w:val="auto"/>
          <w:sz w:val="24"/>
          <w:highlight w:val="none"/>
        </w:rPr>
      </w:pPr>
      <w:r>
        <w:rPr>
          <w:rFonts w:hint="eastAsia" w:ascii="宋体" w:hAnsi="宋体" w:cs="仿宋_GB2312"/>
          <w:b/>
          <w:bCs/>
          <w:color w:val="auto"/>
          <w:sz w:val="24"/>
          <w:highlight w:val="none"/>
        </w:rPr>
        <w:t>一、工程概况</w:t>
      </w:r>
    </w:p>
    <w:p w14:paraId="10E1F044">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钱江新城CBD楼宇服务中心（包含一层装修改造，二层局部装修改造）。</w:t>
      </w:r>
    </w:p>
    <w:p w14:paraId="725FE77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1、基础设施、水电管线</w:t>
      </w:r>
      <w:r>
        <w:rPr>
          <w:rFonts w:hint="eastAsia" w:asciiTheme="minorEastAsia" w:hAnsiTheme="minorEastAsia" w:eastAsiaTheme="minorEastAsia" w:cstheme="minorEastAsia"/>
          <w:color w:val="auto"/>
          <w:sz w:val="21"/>
          <w:szCs w:val="21"/>
          <w:highlight w:val="none"/>
          <w:lang w:eastAsia="zh-CN"/>
        </w:rPr>
        <w:t>、消防设施</w:t>
      </w:r>
      <w:r>
        <w:rPr>
          <w:rFonts w:hint="eastAsia" w:asciiTheme="minorEastAsia" w:hAnsiTheme="minorEastAsia" w:eastAsiaTheme="minorEastAsia" w:cstheme="minorEastAsia"/>
          <w:color w:val="auto"/>
          <w:sz w:val="21"/>
          <w:szCs w:val="21"/>
          <w:highlight w:val="none"/>
        </w:rPr>
        <w:t>等维修、改造；</w:t>
      </w:r>
    </w:p>
    <w:p w14:paraId="3C7B97E4">
      <w:pPr>
        <w:spacing w:line="360" w:lineRule="auto"/>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2、办公室、会议室</w:t>
      </w:r>
      <w:r>
        <w:rPr>
          <w:rFonts w:hint="eastAsia" w:asciiTheme="minorEastAsia" w:hAnsiTheme="minorEastAsia" w:eastAsiaTheme="minorEastAsia" w:cstheme="minorEastAsia"/>
          <w:color w:val="auto"/>
          <w:sz w:val="21"/>
          <w:szCs w:val="21"/>
          <w:highlight w:val="none"/>
          <w:lang w:eastAsia="zh-CN"/>
        </w:rPr>
        <w:t>、活动区、大厅</w:t>
      </w:r>
      <w:r>
        <w:rPr>
          <w:rFonts w:hint="eastAsia" w:asciiTheme="minorEastAsia" w:hAnsiTheme="minorEastAsia" w:eastAsiaTheme="minorEastAsia" w:cstheme="minorEastAsia"/>
          <w:color w:val="auto"/>
          <w:sz w:val="21"/>
          <w:szCs w:val="21"/>
          <w:highlight w:val="none"/>
        </w:rPr>
        <w:t>等装修、改建</w:t>
      </w:r>
      <w:r>
        <w:rPr>
          <w:rFonts w:hint="eastAsia" w:asciiTheme="minorEastAsia" w:hAnsiTheme="minorEastAsia" w:eastAsiaTheme="minorEastAsia" w:cstheme="minorEastAsia"/>
          <w:color w:val="auto"/>
          <w:sz w:val="21"/>
          <w:szCs w:val="21"/>
          <w:highlight w:val="none"/>
          <w:lang w:eastAsia="zh-CN"/>
        </w:rPr>
        <w:t>；</w:t>
      </w:r>
    </w:p>
    <w:p w14:paraId="3AA1907A">
      <w:pPr>
        <w:spacing w:line="360" w:lineRule="auto"/>
        <w:ind w:firstLine="420" w:firstLineChars="200"/>
        <w:rPr>
          <w:rFonts w:hint="eastAsia" w:ascii="宋体" w:hAnsi="宋体" w:cs="仿宋_GB2312"/>
          <w:b/>
          <w:bCs/>
          <w:color w:val="auto"/>
          <w:sz w:val="24"/>
          <w:highlight w:val="none"/>
        </w:rPr>
      </w:pP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上墙展陈内容的深化和安装</w:t>
      </w:r>
      <w:r>
        <w:rPr>
          <w:rFonts w:hint="eastAsia" w:asciiTheme="minorEastAsia" w:hAnsiTheme="minorEastAsia" w:eastAsiaTheme="minorEastAsia" w:cstheme="minorEastAsia"/>
          <w:color w:val="auto"/>
          <w:sz w:val="21"/>
          <w:szCs w:val="21"/>
          <w:highlight w:val="none"/>
        </w:rPr>
        <w:t>；</w:t>
      </w:r>
    </w:p>
    <w:p w14:paraId="7C310B8C">
      <w:pPr>
        <w:spacing w:line="360" w:lineRule="auto"/>
        <w:jc w:val="left"/>
        <w:rPr>
          <w:rFonts w:ascii="宋体" w:hAnsi="宋体" w:cs="仿宋_GB2312"/>
          <w:color w:val="auto"/>
          <w:sz w:val="24"/>
          <w:highlight w:val="none"/>
        </w:rPr>
      </w:pPr>
      <w:r>
        <w:rPr>
          <w:rFonts w:hint="eastAsia" w:ascii="宋体" w:hAnsi="宋体" w:cs="仿宋_GB2312"/>
          <w:b/>
          <w:bCs/>
          <w:color w:val="auto"/>
          <w:sz w:val="24"/>
          <w:highlight w:val="none"/>
        </w:rPr>
        <w:t>二、</w:t>
      </w:r>
      <w:bookmarkStart w:id="32" w:name="_Toc377325352"/>
      <w:r>
        <w:rPr>
          <w:rFonts w:hint="eastAsia" w:asciiTheme="minorEastAsia" w:hAnsiTheme="minorEastAsia" w:eastAsiaTheme="minorEastAsia" w:cstheme="minorEastAsia"/>
          <w:b/>
          <w:bCs/>
          <w:color w:val="auto"/>
          <w:sz w:val="21"/>
          <w:szCs w:val="21"/>
          <w:highlight w:val="none"/>
          <w:lang w:val="en-US" w:eastAsia="zh-CN"/>
        </w:rPr>
        <w:t>项目内容及</w:t>
      </w:r>
      <w:r>
        <w:rPr>
          <w:rFonts w:hint="eastAsia" w:asciiTheme="minorEastAsia" w:hAnsiTheme="minorEastAsia" w:eastAsiaTheme="minorEastAsia" w:cstheme="minorEastAsia"/>
          <w:b/>
          <w:bCs/>
          <w:color w:val="auto"/>
          <w:sz w:val="21"/>
          <w:szCs w:val="21"/>
          <w:highlight w:val="none"/>
          <w:lang w:val="zh-CN"/>
        </w:rPr>
        <w:t>服务</w:t>
      </w:r>
      <w:bookmarkEnd w:id="32"/>
      <w:r>
        <w:rPr>
          <w:rFonts w:hint="eastAsia" w:asciiTheme="minorEastAsia" w:hAnsiTheme="minorEastAsia" w:eastAsiaTheme="minorEastAsia" w:cstheme="minorEastAsia"/>
          <w:b/>
          <w:bCs/>
          <w:color w:val="auto"/>
          <w:sz w:val="21"/>
          <w:szCs w:val="21"/>
          <w:highlight w:val="none"/>
          <w:lang w:val="zh-CN"/>
        </w:rPr>
        <w:t>要求</w:t>
      </w:r>
      <w:r>
        <w:rPr>
          <w:rFonts w:hint="eastAsia" w:asciiTheme="minorEastAsia" w:hAnsiTheme="minorEastAsia" w:eastAsiaTheme="minorEastAsia" w:cstheme="minorEastAsia"/>
          <w:color w:val="auto"/>
          <w:sz w:val="21"/>
          <w:szCs w:val="21"/>
          <w:highlight w:val="none"/>
        </w:rPr>
        <w:t xml:space="preserve"> </w:t>
      </w:r>
    </w:p>
    <w:p w14:paraId="64F4EE1E">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1、具体实施内容在合同实施期内由采购人按需通知。除完成现场维修工作外，工作内容还包括与本次维修有关的以下内容：</w:t>
      </w:r>
    </w:p>
    <w:p w14:paraId="0D567000">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（1）采购人根据维修改造</w:t>
      </w:r>
      <w:r>
        <w:rPr>
          <w:rFonts w:hint="eastAsia" w:asciiTheme="minorEastAsia" w:hAnsiTheme="minorEastAsia" w:eastAsiaTheme="minorEastAsia" w:cstheme="minorEastAsia"/>
          <w:color w:val="auto"/>
          <w:sz w:val="21"/>
          <w:szCs w:val="21"/>
          <w:highlight w:val="none"/>
          <w:lang w:eastAsia="zh-CN"/>
        </w:rPr>
        <w:t>项目</w:t>
      </w:r>
      <w:r>
        <w:rPr>
          <w:rFonts w:hint="eastAsia" w:asciiTheme="minorEastAsia" w:hAnsiTheme="minorEastAsia" w:eastAsiaTheme="minorEastAsia" w:cstheme="minorEastAsia"/>
          <w:color w:val="auto"/>
          <w:sz w:val="21"/>
          <w:szCs w:val="21"/>
          <w:highlight w:val="none"/>
        </w:rPr>
        <w:t>情况要求供应商完成的其他工作和配合工作。</w:t>
      </w:r>
    </w:p>
    <w:p w14:paraId="2E9C05A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（2）负责</w:t>
      </w:r>
      <w:r>
        <w:rPr>
          <w:rFonts w:hint="eastAsia" w:asciiTheme="minorEastAsia" w:hAnsiTheme="minorEastAsia" w:eastAsiaTheme="minorEastAsia" w:cstheme="minorEastAsia"/>
          <w:color w:val="auto"/>
          <w:sz w:val="21"/>
          <w:szCs w:val="21"/>
          <w:highlight w:val="none"/>
          <w:lang w:eastAsia="zh-CN"/>
        </w:rPr>
        <w:t>项目</w:t>
      </w:r>
      <w:r>
        <w:rPr>
          <w:rFonts w:hint="eastAsia" w:asciiTheme="minorEastAsia" w:hAnsiTheme="minorEastAsia" w:eastAsiaTheme="minorEastAsia" w:cstheme="minorEastAsia"/>
          <w:color w:val="auto"/>
          <w:sz w:val="21"/>
          <w:szCs w:val="21"/>
          <w:highlight w:val="none"/>
        </w:rPr>
        <w:t>竣工验收技术资料的汇总、整理、移交工作。</w:t>
      </w:r>
    </w:p>
    <w:p w14:paraId="22DF1350">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2、本</w:t>
      </w:r>
      <w:r>
        <w:rPr>
          <w:rFonts w:hint="eastAsia" w:asciiTheme="minorEastAsia" w:hAnsiTheme="minorEastAsia" w:eastAsiaTheme="minorEastAsia" w:cstheme="minorEastAsia"/>
          <w:color w:val="auto"/>
          <w:sz w:val="21"/>
          <w:szCs w:val="21"/>
          <w:highlight w:val="none"/>
          <w:lang w:eastAsia="zh-CN"/>
        </w:rPr>
        <w:t>项目</w:t>
      </w:r>
      <w:r>
        <w:rPr>
          <w:rFonts w:hint="eastAsia" w:asciiTheme="minorEastAsia" w:hAnsiTheme="minorEastAsia" w:eastAsiaTheme="minorEastAsia" w:cstheme="minorEastAsia"/>
          <w:color w:val="auto"/>
          <w:sz w:val="21"/>
          <w:szCs w:val="21"/>
          <w:highlight w:val="none"/>
        </w:rPr>
        <w:t>施工、验收、材料的选用必须符合设计文件要求和现行的相关标准和技术规范。</w:t>
      </w:r>
    </w:p>
    <w:p w14:paraId="587731A2">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、施工质量目标</w:t>
      </w:r>
    </w:p>
    <w:p w14:paraId="64D78230">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（1）符合设计要求，工程质量达到国家规定的验收合格标准，确保一次性验收合格。</w:t>
      </w:r>
    </w:p>
    <w:p w14:paraId="64EA0C1B">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（2）供应商中标后必须严格按合同条款、施工图设计及审定的施工组织设计方案及相关施工规范、技术标准精心组织施工。</w:t>
      </w:r>
    </w:p>
    <w:p w14:paraId="5D7D2E7D">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、施工工期（或进度）要求及其他</w:t>
      </w:r>
    </w:p>
    <w:p w14:paraId="4A6C98BD">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（1）在合同约定的服务期内，各项工作的进度须无条件配合医院工作的要求，所有与此有关的赶工费、窝工费、加班费等技术措施和组织措施费、风险费等均考虑在投标报价因素中。</w:t>
      </w:r>
    </w:p>
    <w:p w14:paraId="67056969">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供应商根据各自的施工经验以及工程特点，现场提供的条件，同时充分考虑各种可能产生的不利因素，并结合企业自身实力，在响应文件中做出承诺，全部工作必须确保安全和质量，并满足采购人对工期和进度的要求。</w:t>
      </w:r>
    </w:p>
    <w:p w14:paraId="535685EB">
      <w:pPr>
        <w:spacing w:line="360" w:lineRule="auto"/>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lang w:eastAsia="zh-CN"/>
        </w:rPr>
        <w:t>业主</w:t>
      </w:r>
      <w:r>
        <w:rPr>
          <w:rFonts w:hint="eastAsia" w:asciiTheme="minorEastAsia" w:hAnsiTheme="minorEastAsia" w:eastAsiaTheme="minorEastAsia" w:cstheme="minorEastAsia"/>
          <w:color w:val="auto"/>
          <w:sz w:val="21"/>
          <w:szCs w:val="21"/>
          <w:highlight w:val="none"/>
        </w:rPr>
        <w:t>管理部门下达维修通知后，如未及时到场维修或未在按采购人要求的时间内完成，则零星工程在项目最终审定后扣除审定金额5％处罚金；零星修缮等每发生一次由采购人在工程款中扣除1000元处罚金</w:t>
      </w:r>
      <w:r>
        <w:rPr>
          <w:rFonts w:hint="eastAsia" w:asciiTheme="minorEastAsia" w:hAnsiTheme="minorEastAsia" w:eastAsiaTheme="minorEastAsia" w:cstheme="minorEastAsia"/>
          <w:color w:val="auto"/>
          <w:sz w:val="21"/>
          <w:szCs w:val="21"/>
          <w:highlight w:val="none"/>
          <w:lang w:val="en-US" w:eastAsia="zh-CN"/>
        </w:rPr>
        <w:t>；情节严重的，采购人可单方解除合同，并保留追究其</w:t>
      </w:r>
      <w:r>
        <w:rPr>
          <w:rFonts w:hint="eastAsia" w:asciiTheme="minorEastAsia" w:hAnsiTheme="minorEastAsia" w:eastAsiaTheme="minorEastAsia" w:cstheme="minorEastAsia"/>
          <w:color w:val="auto"/>
          <w:sz w:val="21"/>
          <w:szCs w:val="21"/>
          <w:highlight w:val="none"/>
        </w:rPr>
        <w:t>承担法律责任的权力。</w:t>
      </w:r>
    </w:p>
    <w:p w14:paraId="00294D0E">
      <w:pPr>
        <w:spacing w:line="360" w:lineRule="auto"/>
        <w:ind w:left="210" w:leftChars="100"/>
        <w:jc w:val="left"/>
        <w:rPr>
          <w:rFonts w:ascii="宋体" w:hAnsi="宋体" w:cs="仿宋_GB2312"/>
          <w:color w:val="auto"/>
          <w:sz w:val="24"/>
          <w:highlight w:val="none"/>
        </w:rPr>
      </w:pPr>
      <w:r>
        <w:rPr>
          <w:rFonts w:hint="eastAsia" w:ascii="宋体" w:hAnsi="宋体" w:cs="仿宋_GB2312"/>
          <w:color w:val="auto"/>
          <w:sz w:val="24"/>
          <w:highlight w:val="none"/>
          <w:lang w:val="en-US" w:eastAsia="zh-CN"/>
        </w:rPr>
        <w:t>5</w:t>
      </w:r>
      <w:r>
        <w:rPr>
          <w:rFonts w:hint="eastAsia" w:ascii="宋体" w:hAnsi="宋体" w:cs="仿宋_GB2312"/>
          <w:color w:val="auto"/>
          <w:sz w:val="24"/>
          <w:highlight w:val="none"/>
        </w:rPr>
        <w:t>.工程质量标准</w:t>
      </w:r>
    </w:p>
    <w:p w14:paraId="4CD75A09">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（1）承包人对有缺陷的部位必须无偿地给予修理与更换，并承担一切由此引起的对发包人或使用单位的直接损失，除非该缺陷是由于人为破坏或合同规定的不可抗因素造成的损坏。</w:t>
      </w:r>
    </w:p>
    <w:p w14:paraId="2B0129D2">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（2）承包人必须对所承包的工程的质量负全部责任，其责任不因产品制造商提供的保证书而减轻或更改。</w:t>
      </w:r>
    </w:p>
    <w:p w14:paraId="553A593C">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（3）材料检验按政府部门相关规定的见证取样和送检规定的程序进行。凡检验结果证明其有害物质含量指标超标的产品不得在工程上使用。</w:t>
      </w:r>
    </w:p>
    <w:p w14:paraId="6FA38531">
      <w:pPr>
        <w:autoSpaceDE w:val="0"/>
        <w:autoSpaceDN w:val="0"/>
        <w:snapToGrid w:val="0"/>
        <w:spacing w:line="360" w:lineRule="auto"/>
        <w:ind w:firstLine="211" w:firstLineChars="100"/>
        <w:textAlignment w:val="bottom"/>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（4）材料品质货真价实，存在假冒伪劣材料的，一经发现假一罚十。</w:t>
      </w:r>
    </w:p>
    <w:p w14:paraId="629633C3">
      <w:pPr>
        <w:spacing w:line="360" w:lineRule="auto"/>
        <w:ind w:firstLine="211" w:firstLineChars="100"/>
        <w:jc w:val="left"/>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（5）同一楼层同类型的维修材料，品牌型号须统一。</w:t>
      </w:r>
    </w:p>
    <w:p w14:paraId="08EBE2BC">
      <w:pPr>
        <w:spacing w:line="360" w:lineRule="auto"/>
        <w:ind w:left="210" w:leftChars="100"/>
        <w:jc w:val="left"/>
        <w:rPr>
          <w:rFonts w:ascii="宋体" w:hAnsi="宋体" w:cs="仿宋_GB2312"/>
          <w:color w:val="auto"/>
          <w:sz w:val="24"/>
          <w:highlight w:val="none"/>
        </w:rPr>
      </w:pPr>
      <w:r>
        <w:rPr>
          <w:rFonts w:hint="eastAsia" w:ascii="宋体" w:hAnsi="宋体" w:cs="仿宋_GB2312"/>
          <w:color w:val="auto"/>
          <w:sz w:val="24"/>
          <w:highlight w:val="none"/>
        </w:rPr>
        <w:t>6.工程管理要求</w:t>
      </w:r>
    </w:p>
    <w:p w14:paraId="633F36E4">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1、采购范围内的工程项目，未经发包人同意一律不得分包。一经发现立即取消承包资格，作违约处理，并承担由此引起的一切经济损失。</w:t>
      </w:r>
    </w:p>
    <w:p w14:paraId="59F201B7">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2、承包人应严格按照已确认的施工技术方案组织实施，并无条件接受采购人管理部门的管理。</w:t>
      </w:r>
    </w:p>
    <w:p w14:paraId="0DC65D97">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bookmarkStart w:id="33" w:name="_Toc44242821"/>
      <w:r>
        <w:rPr>
          <w:rFonts w:hint="eastAsia" w:asciiTheme="minorEastAsia" w:hAnsiTheme="minorEastAsia" w:eastAsiaTheme="minorEastAsia" w:cstheme="minorEastAsia"/>
          <w:color w:val="auto"/>
          <w:sz w:val="21"/>
          <w:szCs w:val="21"/>
          <w:highlight w:val="none"/>
        </w:rPr>
        <w:t>3、供应商在磋商响应文件中的承诺的管理人员未经发包人同意，承包人不得调换和撤离，并按工程进度及时到位。发包人有权要求施工单位撤换工作不负责任、管理不力、贻误工期和造成严重的安全事故和工程质量事故、违法乱纪的专业技术、管理人员直至技术负责人，直至发包人满意为止。如相应资质的专业技术人员未按要求到位，视作违约，发包人有权单方面终止合同。</w:t>
      </w:r>
      <w:bookmarkEnd w:id="33"/>
    </w:p>
    <w:p w14:paraId="6E1AFDDB">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4</w:t>
      </w:r>
      <w:r>
        <w:rPr>
          <w:rFonts w:hint="eastAsia" w:asciiTheme="minorEastAsia" w:hAnsiTheme="minorEastAsia" w:eastAsiaTheme="minorEastAsia" w:cstheme="minorEastAsia"/>
          <w:color w:val="auto"/>
          <w:sz w:val="21"/>
          <w:szCs w:val="21"/>
          <w:highlight w:val="none"/>
          <w:lang w:val="zh-CN"/>
        </w:rPr>
        <w:t>、</w:t>
      </w:r>
      <w:r>
        <w:rPr>
          <w:rFonts w:hint="eastAsia" w:asciiTheme="minorEastAsia" w:hAnsiTheme="minorEastAsia" w:eastAsiaTheme="minorEastAsia" w:cstheme="minorEastAsia"/>
          <w:color w:val="auto"/>
          <w:sz w:val="21"/>
          <w:szCs w:val="21"/>
          <w:highlight w:val="none"/>
        </w:rPr>
        <w:t>安全施工、文明管理：</w:t>
      </w:r>
    </w:p>
    <w:p w14:paraId="1F8EB814">
      <w:pPr>
        <w:spacing w:line="360" w:lineRule="auto"/>
        <w:ind w:firstLine="420" w:firstLineChars="20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（1）施工单位成交后服从当地政府有关部门在社会治安、综合治理、计划生育、交通管理、环境保护等的管理规定，成交人应设专职人员负责本条款的执行，采购人有权对此进行监督检查。</w:t>
      </w:r>
    </w:p>
    <w:p w14:paraId="449424D4">
      <w:pPr>
        <w:spacing w:line="360" w:lineRule="auto"/>
        <w:ind w:firstLine="420" w:firstLineChars="20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（2）成交人在工程施工期间，必须配备专职用电管理员，全面负责施工用电的管理。所有工人需统一着装，佩戴挂牌，服从医院安排。</w:t>
      </w:r>
    </w:p>
    <w:p w14:paraId="15C54F45">
      <w:pPr>
        <w:spacing w:line="360" w:lineRule="auto"/>
        <w:ind w:firstLine="420" w:firstLineChars="20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（3）成交人在施工全过程中，要认真做好材料和成品的保护，因失窃失火或其他原因而造成的损失均由成交人负责。凡由此而损及采购人利益时，成交人应负责赔偿采购人的损失。</w:t>
      </w:r>
    </w:p>
    <w:p w14:paraId="76992B79">
      <w:pPr>
        <w:spacing w:line="360" w:lineRule="auto"/>
        <w:ind w:firstLine="420" w:firstLineChars="20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（4）在工程施工过程中，因成交人原因造成的一切安全事故，由成交人承担全部经济责任和法律责任。</w:t>
      </w:r>
    </w:p>
    <w:p w14:paraId="05B3A49C">
      <w:pPr>
        <w:spacing w:line="360" w:lineRule="auto"/>
        <w:ind w:firstLine="420" w:firstLineChars="20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（5）成交人因自身施工而对相邻工程施工造成影响，由成交人采取措施解决，费用由成交人负担。</w:t>
      </w:r>
    </w:p>
    <w:p w14:paraId="1EA5F585">
      <w:pPr>
        <w:spacing w:line="360" w:lineRule="auto"/>
        <w:ind w:firstLine="424" w:firstLineChars="202"/>
        <w:rPr>
          <w:rFonts w:hint="eastAsia" w:asciiTheme="minorEastAsia" w:hAnsiTheme="minorEastAsia" w:eastAsiaTheme="minorEastAsia" w:cstheme="minorEastAsia"/>
          <w:color w:val="auto"/>
          <w:sz w:val="21"/>
          <w:szCs w:val="21"/>
          <w:highlight w:val="none"/>
          <w:lang w:val="zh-CN"/>
        </w:rPr>
      </w:pPr>
      <w:r>
        <w:rPr>
          <w:rFonts w:hint="eastAsia" w:asciiTheme="minorEastAsia" w:hAnsiTheme="minorEastAsia" w:eastAsiaTheme="minorEastAsia" w:cstheme="minorEastAsia"/>
          <w:color w:val="auto"/>
          <w:sz w:val="21"/>
          <w:szCs w:val="21"/>
          <w:highlight w:val="none"/>
          <w:lang w:val="zh-CN"/>
        </w:rPr>
        <w:t>5、成交人应负责涉及本工程施工的其他配合工作</w:t>
      </w:r>
      <w:r>
        <w:rPr>
          <w:rFonts w:hint="eastAsia" w:asciiTheme="minorEastAsia" w:hAnsiTheme="minorEastAsia" w:eastAsiaTheme="minorEastAsia" w:cstheme="minorEastAsia"/>
          <w:color w:val="auto"/>
          <w:sz w:val="21"/>
          <w:szCs w:val="21"/>
          <w:highlight w:val="none"/>
        </w:rPr>
        <w:t>。</w:t>
      </w:r>
    </w:p>
    <w:p w14:paraId="409628C0">
      <w:pPr>
        <w:spacing w:line="360" w:lineRule="auto"/>
        <w:ind w:left="210" w:leftChars="100"/>
        <w:jc w:val="left"/>
        <w:rPr>
          <w:rFonts w:ascii="宋体" w:hAnsi="宋体" w:cs="仿宋_GB2312"/>
          <w:color w:val="auto"/>
          <w:sz w:val="24"/>
          <w:highlight w:val="none"/>
        </w:rPr>
      </w:pPr>
      <w:r>
        <w:rPr>
          <w:rFonts w:hint="eastAsia" w:ascii="宋体" w:hAnsi="宋体" w:cs="仿宋_GB2312"/>
          <w:color w:val="auto"/>
          <w:sz w:val="24"/>
          <w:highlight w:val="none"/>
        </w:rPr>
        <w:t xml:space="preserve">7.工程主要材料（设备）要求  </w:t>
      </w:r>
    </w:p>
    <w:p w14:paraId="0700FE7E">
      <w:pPr>
        <w:autoSpaceDE w:val="0"/>
        <w:autoSpaceDN w:val="0"/>
        <w:snapToGrid w:val="0"/>
        <w:spacing w:line="360" w:lineRule="auto"/>
        <w:ind w:firstLine="420" w:firstLineChars="20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本次采购范围内的建筑施工材料均由承包人根据本磋商文件、设计图纸和国家有关规定的具体要求进行采购、运输、检验、保管，但采购人保留变更和指定材料的权利；所有建筑材料须有产品合格证，质量保证书、国家规定的认证证书、报告。</w:t>
      </w:r>
    </w:p>
    <w:p w14:paraId="3BE07765">
      <w:pPr>
        <w:autoSpaceDE w:val="0"/>
        <w:autoSpaceDN w:val="0"/>
        <w:snapToGrid w:val="0"/>
        <w:spacing w:line="360" w:lineRule="auto"/>
        <w:ind w:firstLine="420" w:firstLineChars="200"/>
        <w:textAlignment w:val="bottom"/>
        <w:rPr>
          <w:rFonts w:ascii="宋体" w:hAnsi="宋体" w:cs="仿宋_GB2312"/>
          <w:b/>
          <w:bCs/>
          <w:color w:val="auto"/>
          <w:sz w:val="24"/>
          <w:highlight w:val="none"/>
        </w:rPr>
      </w:pPr>
      <w:r>
        <w:rPr>
          <w:rFonts w:hint="eastAsia" w:asciiTheme="minorEastAsia" w:hAnsiTheme="minorEastAsia" w:eastAsiaTheme="minorEastAsia" w:cstheme="minorEastAsia"/>
          <w:color w:val="auto"/>
          <w:sz w:val="21"/>
          <w:szCs w:val="21"/>
          <w:highlight w:val="none"/>
        </w:rPr>
        <w:t>（2）由承包人采购的主要材料设备，当承包人选定的产品质量达不到设计要求和预期质量目标时，采购人保留更换的权利，且成交价不予调整。</w:t>
      </w:r>
    </w:p>
    <w:p w14:paraId="58845516">
      <w:pPr>
        <w:spacing w:line="360" w:lineRule="auto"/>
        <w:jc w:val="left"/>
        <w:rPr>
          <w:rFonts w:ascii="宋体" w:hAnsi="宋体" w:cs="仿宋_GB2312"/>
          <w:b/>
          <w:bCs/>
          <w:color w:val="auto"/>
          <w:sz w:val="24"/>
          <w:highlight w:val="none"/>
        </w:rPr>
      </w:pPr>
      <w:r>
        <w:rPr>
          <w:rFonts w:hint="eastAsia" w:ascii="宋体" w:hAnsi="宋体" w:cs="仿宋_GB2312"/>
          <w:b/>
          <w:bCs/>
          <w:color w:val="auto"/>
          <w:sz w:val="24"/>
          <w:highlight w:val="none"/>
        </w:rPr>
        <w:t>三、商务要求</w:t>
      </w:r>
    </w:p>
    <w:p w14:paraId="4E825676">
      <w:pPr>
        <w:spacing w:line="360" w:lineRule="auto"/>
        <w:ind w:left="210" w:leftChars="100"/>
        <w:jc w:val="left"/>
        <w:rPr>
          <w:rFonts w:ascii="宋体" w:hAnsi="宋体" w:cs="仿宋_GB2312"/>
          <w:color w:val="auto"/>
          <w:sz w:val="24"/>
          <w:highlight w:val="none"/>
        </w:rPr>
      </w:pPr>
      <w:r>
        <w:rPr>
          <w:rFonts w:hint="eastAsia" w:ascii="宋体" w:hAnsi="宋体" w:cs="仿宋_GB2312"/>
          <w:color w:val="auto"/>
          <w:sz w:val="24"/>
          <w:highlight w:val="none"/>
        </w:rPr>
        <w:t>1.工期要求：</w:t>
      </w:r>
      <w:r>
        <w:rPr>
          <w:rFonts w:hint="eastAsia" w:ascii="宋体" w:hAnsi="宋体"/>
          <w:color w:val="auto"/>
          <w:sz w:val="24"/>
          <w:highlight w:val="none"/>
          <w:u w:val="single"/>
          <w:lang w:val="en-US" w:eastAsia="zh-CN"/>
        </w:rPr>
        <w:t>60日历天</w:t>
      </w:r>
      <w:r>
        <w:rPr>
          <w:rFonts w:hint="eastAsia" w:ascii="宋体" w:hAnsi="宋体"/>
          <w:color w:val="auto"/>
          <w:sz w:val="24"/>
          <w:highlight w:val="none"/>
          <w:u w:val="single"/>
        </w:rPr>
        <w:t xml:space="preserve">                               </w:t>
      </w:r>
    </w:p>
    <w:p w14:paraId="74339966">
      <w:pPr>
        <w:spacing w:line="360" w:lineRule="auto"/>
        <w:ind w:left="210" w:leftChars="100"/>
        <w:jc w:val="left"/>
        <w:rPr>
          <w:rFonts w:ascii="宋体" w:hAnsi="宋体" w:cs="仿宋_GB2312"/>
          <w:color w:val="auto"/>
          <w:sz w:val="24"/>
          <w:highlight w:val="none"/>
        </w:rPr>
      </w:pPr>
      <w:r>
        <w:rPr>
          <w:rFonts w:hint="eastAsia" w:ascii="宋体" w:hAnsi="宋体" w:cs="仿宋_GB2312"/>
          <w:color w:val="auto"/>
          <w:sz w:val="24"/>
          <w:highlight w:val="none"/>
        </w:rPr>
        <w:t>2.工程地点：</w:t>
      </w:r>
      <w:r>
        <w:rPr>
          <w:rFonts w:hint="eastAsia" w:ascii="宋体" w:hAnsi="宋体"/>
          <w:color w:val="auto"/>
          <w:sz w:val="24"/>
          <w:highlight w:val="none"/>
          <w:u w:val="single"/>
        </w:rPr>
        <w:t xml:space="preserve">上城区四季青街道迪凯银座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 xml:space="preserve">             </w:t>
      </w:r>
    </w:p>
    <w:p w14:paraId="120D9F53">
      <w:pPr>
        <w:spacing w:line="360" w:lineRule="auto"/>
        <w:ind w:left="210" w:leftChars="100"/>
        <w:jc w:val="left"/>
        <w:rPr>
          <w:rFonts w:hint="eastAsia" w:ascii="宋体" w:hAnsi="宋体" w:cs="仿宋_GB2312"/>
          <w:color w:val="auto"/>
          <w:sz w:val="24"/>
          <w:highlight w:val="none"/>
        </w:rPr>
      </w:pPr>
      <w:r>
        <w:rPr>
          <w:rFonts w:hint="eastAsia" w:ascii="宋体" w:hAnsi="宋体" w:cs="仿宋_GB2312"/>
          <w:color w:val="auto"/>
          <w:sz w:val="24"/>
          <w:highlight w:val="none"/>
        </w:rPr>
        <w:t>3.付款条件（进度和方式）</w:t>
      </w:r>
    </w:p>
    <w:p w14:paraId="28E3EBB9">
      <w:pPr>
        <w:adjustRightInd w:val="0"/>
        <w:snapToGrid w:val="0"/>
        <w:spacing w:line="360" w:lineRule="auto"/>
        <w:ind w:firstLine="480" w:firstLineChars="200"/>
        <w:jc w:val="left"/>
        <w:rPr>
          <w:rFonts w:hAnsi="宋体"/>
          <w:color w:val="auto"/>
          <w:sz w:val="24"/>
          <w:szCs w:val="24"/>
          <w:highlight w:val="none"/>
        </w:rPr>
      </w:pPr>
      <w:r>
        <w:rPr>
          <w:rFonts w:hint="eastAsia" w:hAnsi="宋体"/>
          <w:color w:val="auto"/>
          <w:sz w:val="24"/>
          <w:szCs w:val="24"/>
          <w:highlight w:val="none"/>
        </w:rPr>
        <w:t>预付款的支付</w:t>
      </w:r>
    </w:p>
    <w:p w14:paraId="13A89A7A">
      <w:pPr>
        <w:adjustRightInd w:val="0"/>
        <w:snapToGrid w:val="0"/>
        <w:spacing w:line="360" w:lineRule="auto"/>
        <w:ind w:firstLine="480" w:firstLineChars="200"/>
        <w:jc w:val="left"/>
        <w:rPr>
          <w:rFonts w:hAnsi="宋体"/>
          <w:color w:val="auto"/>
          <w:sz w:val="24"/>
          <w:szCs w:val="24"/>
          <w:highlight w:val="none"/>
        </w:rPr>
      </w:pPr>
      <w:r>
        <w:rPr>
          <w:rFonts w:hint="eastAsia" w:hAnsi="宋体"/>
          <w:color w:val="auto"/>
          <w:sz w:val="24"/>
          <w:szCs w:val="24"/>
          <w:highlight w:val="none"/>
        </w:rPr>
        <w:t>预付款支付比例或金额：</w:t>
      </w:r>
      <w:r>
        <w:rPr>
          <w:rFonts w:hint="eastAsia" w:hAnsi="宋体"/>
          <w:color w:val="auto"/>
          <w:sz w:val="24"/>
          <w:szCs w:val="24"/>
          <w:highlight w:val="none"/>
          <w:u w:val="single"/>
        </w:rPr>
        <w:t xml:space="preserve">  </w:t>
      </w:r>
      <w:r>
        <w:rPr>
          <w:rFonts w:hint="eastAsia" w:hAnsi="宋体"/>
          <w:color w:val="auto"/>
          <w:sz w:val="24"/>
          <w:szCs w:val="24"/>
          <w:highlight w:val="none"/>
          <w:u w:val="single"/>
          <w:lang w:val="en-US" w:eastAsia="zh-CN"/>
        </w:rPr>
        <w:t>30</w:t>
      </w:r>
      <w:r>
        <w:rPr>
          <w:rFonts w:hint="eastAsia" w:hAnsi="宋体"/>
          <w:color w:val="auto"/>
          <w:sz w:val="24"/>
          <w:szCs w:val="24"/>
          <w:highlight w:val="none"/>
          <w:u w:val="single"/>
        </w:rPr>
        <w:t xml:space="preserve">%  </w:t>
      </w:r>
      <w:r>
        <w:rPr>
          <w:rFonts w:hint="eastAsia" w:hAnsi="宋体"/>
          <w:color w:val="auto"/>
          <w:sz w:val="24"/>
          <w:szCs w:val="24"/>
          <w:highlight w:val="none"/>
        </w:rPr>
        <w:t>。</w:t>
      </w:r>
    </w:p>
    <w:p w14:paraId="6F1D191F">
      <w:pPr>
        <w:adjustRightInd w:val="0"/>
        <w:snapToGrid w:val="0"/>
        <w:spacing w:line="360" w:lineRule="auto"/>
        <w:ind w:firstLine="480" w:firstLineChars="200"/>
        <w:jc w:val="left"/>
        <w:rPr>
          <w:rFonts w:hAnsi="宋体"/>
          <w:color w:val="auto"/>
          <w:sz w:val="24"/>
          <w:szCs w:val="24"/>
          <w:highlight w:val="none"/>
        </w:rPr>
      </w:pPr>
      <w:r>
        <w:rPr>
          <w:rFonts w:hint="eastAsia" w:hAnsi="宋体"/>
          <w:color w:val="auto"/>
          <w:sz w:val="24"/>
          <w:szCs w:val="24"/>
          <w:highlight w:val="none"/>
        </w:rPr>
        <w:t>预付款支付期限：</w:t>
      </w:r>
      <w:r>
        <w:rPr>
          <w:rFonts w:hint="eastAsia" w:hAnsi="宋体"/>
          <w:color w:val="auto"/>
          <w:sz w:val="24"/>
          <w:szCs w:val="24"/>
          <w:highlight w:val="none"/>
          <w:u w:val="single"/>
        </w:rPr>
        <w:t xml:space="preserve">  </w:t>
      </w:r>
      <w:r>
        <w:rPr>
          <w:rFonts w:hint="eastAsia" w:hAnsi="宋体" w:cs="宋体"/>
          <w:color w:val="auto"/>
          <w:sz w:val="24"/>
          <w:highlight w:val="none"/>
          <w:u w:val="single"/>
        </w:rPr>
        <w:t>合同签订并提供履约保证金、开工后呈报财政申请支付预付款，具体时间以财政审核为准</w:t>
      </w:r>
      <w:r>
        <w:rPr>
          <w:rFonts w:hint="eastAsia" w:hAnsi="宋体"/>
          <w:color w:val="auto"/>
          <w:sz w:val="24"/>
          <w:szCs w:val="24"/>
          <w:highlight w:val="none"/>
          <w:u w:val="single"/>
        </w:rPr>
        <w:t xml:space="preserve">  </w:t>
      </w:r>
      <w:r>
        <w:rPr>
          <w:rFonts w:hint="eastAsia" w:hAnsi="宋体"/>
          <w:color w:val="auto"/>
          <w:sz w:val="24"/>
          <w:szCs w:val="24"/>
          <w:highlight w:val="none"/>
        </w:rPr>
        <w:t>。</w:t>
      </w:r>
    </w:p>
    <w:p w14:paraId="7823EB05">
      <w:pPr>
        <w:adjustRightInd w:val="0"/>
        <w:snapToGrid w:val="0"/>
        <w:spacing w:line="360" w:lineRule="auto"/>
        <w:ind w:firstLine="480" w:firstLineChars="200"/>
        <w:jc w:val="left"/>
        <w:rPr>
          <w:rFonts w:hint="eastAsia" w:hAnsi="宋体"/>
          <w:color w:val="auto"/>
          <w:sz w:val="24"/>
          <w:szCs w:val="24"/>
          <w:highlight w:val="none"/>
        </w:rPr>
      </w:pPr>
      <w:r>
        <w:rPr>
          <w:rFonts w:hint="eastAsia" w:hAnsi="宋体"/>
          <w:color w:val="auto"/>
          <w:sz w:val="24"/>
          <w:szCs w:val="24"/>
          <w:highlight w:val="none"/>
        </w:rPr>
        <w:t>预付款扣回的方式：</w:t>
      </w:r>
      <w:r>
        <w:rPr>
          <w:rFonts w:hint="eastAsia" w:hAnsi="宋体" w:cs="宋体"/>
          <w:color w:val="auto"/>
          <w:sz w:val="24"/>
          <w:highlight w:val="none"/>
          <w:u w:val="single"/>
        </w:rPr>
        <w:t>在每月（当期）支付工程进度款时同时扣回</w:t>
      </w:r>
      <w:r>
        <w:rPr>
          <w:rFonts w:hint="eastAsia" w:hAnsi="宋体"/>
          <w:color w:val="auto"/>
          <w:sz w:val="24"/>
          <w:szCs w:val="24"/>
          <w:highlight w:val="none"/>
          <w:u w:val="single"/>
        </w:rPr>
        <w:t xml:space="preserve">   </w:t>
      </w:r>
      <w:r>
        <w:rPr>
          <w:rFonts w:hint="eastAsia" w:hAnsi="宋体"/>
          <w:color w:val="auto"/>
          <w:sz w:val="24"/>
          <w:szCs w:val="24"/>
          <w:highlight w:val="none"/>
        </w:rPr>
        <w:t>。</w:t>
      </w:r>
    </w:p>
    <w:p w14:paraId="76CB4AEE">
      <w:pPr>
        <w:adjustRightInd w:val="0"/>
        <w:snapToGrid w:val="0"/>
        <w:spacing w:line="360" w:lineRule="auto"/>
        <w:ind w:firstLine="422" w:firstLineChars="200"/>
        <w:jc w:val="left"/>
        <w:rPr>
          <w:rFonts w:hint="eastAsia" w:hAnsi="宋体"/>
          <w:color w:val="auto"/>
          <w:sz w:val="24"/>
          <w:szCs w:val="24"/>
          <w:highlight w:val="none"/>
        </w:rPr>
      </w:pPr>
      <w:r>
        <w:rPr>
          <w:rFonts w:hint="eastAsia" w:ascii="宋体" w:hAnsi="宋体" w:eastAsia="宋体" w:cs="Times New Roman"/>
          <w:b/>
          <w:bCs/>
          <w:color w:val="000000"/>
          <w:kern w:val="0"/>
          <w:szCs w:val="21"/>
          <w:u w:val="single"/>
        </w:rPr>
        <w:t>如达到上述付款条件，乙方向甲方书面提请付款时须向甲方提供等额有效增值税专用发票，否则甲方有权拒绝付款，直至乙方提供有效增值税专用发票为止，由此造成的支付延迟责任及损失由乙方自行承担，</w:t>
      </w:r>
      <w:r>
        <w:rPr>
          <w:rFonts w:hint="eastAsia" w:ascii="宋体" w:hAnsi="宋体" w:eastAsia="宋体" w:cs="Times New Roman"/>
          <w:b/>
          <w:bCs/>
          <w:color w:val="000000"/>
          <w:kern w:val="0"/>
          <w:szCs w:val="21"/>
          <w:highlight w:val="none"/>
          <w:u w:val="single"/>
        </w:rPr>
        <w:t>上述所有款项支付时间以财政资金到位时间为准</w:t>
      </w:r>
      <w:r>
        <w:rPr>
          <w:rFonts w:hint="eastAsia" w:ascii="宋体" w:hAnsi="宋体" w:eastAsia="宋体" w:cs="Times New Roman"/>
          <w:kern w:val="0"/>
          <w:szCs w:val="21"/>
          <w:highlight w:val="none"/>
          <w:u w:val="single"/>
        </w:rPr>
        <w:t>。</w:t>
      </w:r>
    </w:p>
    <w:p w14:paraId="00DE8997">
      <w:pPr>
        <w:pStyle w:val="5"/>
        <w:rPr>
          <w:color w:val="auto"/>
          <w:highlight w:val="none"/>
        </w:rPr>
      </w:pPr>
    </w:p>
    <w:p w14:paraId="1CEB1C0F">
      <w:pPr>
        <w:widowControl/>
        <w:ind w:firstLine="720" w:firstLineChars="300"/>
        <w:jc w:val="left"/>
        <w:rPr>
          <w:rFonts w:ascii="宋体" w:hAnsi="宋体" w:cs="宋体"/>
          <w:bCs/>
          <w:color w:val="auto"/>
          <w:sz w:val="24"/>
          <w:highlight w:val="none"/>
        </w:rPr>
      </w:pPr>
    </w:p>
    <w:p w14:paraId="701B04D0">
      <w:pPr>
        <w:rPr>
          <w:rFonts w:ascii="宋体" w:hAnsi="宋体" w:cs="宋体"/>
          <w:snapToGrid w:val="0"/>
          <w:color w:val="auto"/>
          <w:kern w:val="0"/>
          <w:sz w:val="24"/>
          <w:highlight w:val="none"/>
        </w:rPr>
      </w:pPr>
    </w:p>
    <w:p w14:paraId="55EB370B">
      <w:pPr>
        <w:snapToGrid w:val="0"/>
        <w:spacing w:line="360" w:lineRule="auto"/>
        <w:jc w:val="center"/>
        <w:rPr>
          <w:rFonts w:hint="eastAsia" w:ascii="宋体" w:hAnsi="宋体" w:eastAsia="宋体" w:cs="宋体"/>
          <w:b/>
          <w:color w:val="auto"/>
          <w:sz w:val="36"/>
          <w:szCs w:val="20"/>
          <w:highlight w:val="none"/>
          <w:lang w:val="en-US" w:eastAsia="zh-CN"/>
        </w:rPr>
      </w:pPr>
      <w:r>
        <w:rPr>
          <w:rFonts w:hint="eastAsia" w:ascii="宋体" w:hAnsi="宋体" w:cs="宋体"/>
          <w:b/>
          <w:color w:val="auto"/>
          <w:sz w:val="24"/>
          <w:highlight w:val="none"/>
          <w:lang w:val="en-US" w:eastAsia="zh-CN"/>
        </w:rPr>
        <w:t>具体施工内容详见清单</w:t>
      </w:r>
      <w:r>
        <w:rPr>
          <w:rFonts w:hint="eastAsia" w:ascii="宋体" w:hAnsi="宋体" w:cs="宋体"/>
          <w:b/>
          <w:color w:val="auto"/>
          <w:sz w:val="24"/>
          <w:highlight w:val="none"/>
        </w:rPr>
        <w:br w:type="page"/>
      </w:r>
      <w:r>
        <w:rPr>
          <w:rFonts w:hint="eastAsia" w:ascii="宋体" w:hAnsi="宋体" w:eastAsia="宋体" w:cs="宋体"/>
          <w:b/>
          <w:snapToGrid/>
          <w:color w:val="auto"/>
          <w:kern w:val="2"/>
          <w:sz w:val="36"/>
          <w:szCs w:val="20"/>
          <w:highlight w:val="none"/>
          <w:lang w:val="en-US" w:eastAsia="zh-CN" w:bidi="ar-SA"/>
        </w:rPr>
        <w:t>第四部分</w:t>
      </w:r>
      <w:bookmarkStart w:id="34" w:name="_Toc184310310"/>
      <w:bookmarkEnd w:id="34"/>
      <w:bookmarkStart w:id="35" w:name="_Toc184313245"/>
      <w:bookmarkEnd w:id="35"/>
      <w:bookmarkStart w:id="36" w:name="_Toc184314469"/>
      <w:bookmarkEnd w:id="36"/>
      <w:bookmarkStart w:id="37" w:name="_Toc184312124"/>
      <w:bookmarkEnd w:id="37"/>
      <w:bookmarkStart w:id="38" w:name="_Toc184314416"/>
      <w:bookmarkEnd w:id="38"/>
      <w:bookmarkStart w:id="39" w:name="_Toc184313300"/>
      <w:bookmarkEnd w:id="39"/>
      <w:bookmarkStart w:id="40" w:name="_Toc184313264"/>
      <w:bookmarkEnd w:id="40"/>
      <w:bookmarkStart w:id="41" w:name="_Toc184310307"/>
      <w:bookmarkEnd w:id="41"/>
      <w:bookmarkStart w:id="42" w:name="_Toc184310315"/>
      <w:bookmarkEnd w:id="42"/>
      <w:bookmarkStart w:id="43" w:name="_Toc184308042"/>
      <w:bookmarkEnd w:id="43"/>
      <w:bookmarkStart w:id="44" w:name="_Toc184313243"/>
      <w:bookmarkEnd w:id="44"/>
      <w:bookmarkStart w:id="45" w:name="_Toc184310335"/>
      <w:bookmarkEnd w:id="45"/>
      <w:bookmarkStart w:id="46" w:name="_Toc184312107"/>
      <w:bookmarkEnd w:id="46"/>
      <w:bookmarkStart w:id="47" w:name="_Toc184312084"/>
      <w:bookmarkEnd w:id="47"/>
      <w:bookmarkStart w:id="48" w:name="_Toc184308089"/>
      <w:bookmarkEnd w:id="48"/>
      <w:bookmarkStart w:id="49" w:name="_Toc184312072"/>
      <w:bookmarkEnd w:id="49"/>
      <w:bookmarkStart w:id="50" w:name="_Toc184314437"/>
      <w:bookmarkEnd w:id="50"/>
      <w:bookmarkStart w:id="51" w:name="_Toc184308058"/>
      <w:bookmarkEnd w:id="51"/>
      <w:bookmarkStart w:id="52" w:name="_Toc184313253"/>
      <w:bookmarkEnd w:id="52"/>
      <w:bookmarkStart w:id="53" w:name="_Toc184310332"/>
      <w:bookmarkEnd w:id="53"/>
      <w:bookmarkStart w:id="54" w:name="_Toc184312081"/>
      <w:bookmarkEnd w:id="54"/>
      <w:bookmarkStart w:id="55" w:name="_Toc184313289"/>
      <w:bookmarkEnd w:id="55"/>
      <w:bookmarkStart w:id="56" w:name="_Toc184310297"/>
      <w:bookmarkEnd w:id="56"/>
      <w:bookmarkStart w:id="57" w:name="_Toc184313305"/>
      <w:bookmarkEnd w:id="57"/>
      <w:bookmarkStart w:id="58" w:name="_Toc184308094"/>
      <w:bookmarkEnd w:id="58"/>
      <w:bookmarkStart w:id="59" w:name="_Toc184314453"/>
      <w:bookmarkEnd w:id="59"/>
      <w:bookmarkStart w:id="60" w:name="_Toc184308052"/>
      <w:bookmarkEnd w:id="60"/>
      <w:bookmarkStart w:id="61" w:name="_Toc184310341"/>
      <w:bookmarkEnd w:id="61"/>
      <w:bookmarkStart w:id="62" w:name="_Toc184314475"/>
      <w:bookmarkEnd w:id="62"/>
      <w:bookmarkStart w:id="63" w:name="_Toc184310274"/>
      <w:bookmarkEnd w:id="63"/>
      <w:bookmarkStart w:id="64" w:name="_Toc184310309"/>
      <w:bookmarkEnd w:id="64"/>
      <w:bookmarkStart w:id="65" w:name="_Toc184312114"/>
      <w:bookmarkEnd w:id="65"/>
      <w:bookmarkStart w:id="66" w:name="_Toc184310308"/>
      <w:bookmarkEnd w:id="66"/>
      <w:bookmarkStart w:id="67" w:name="_Toc184314438"/>
      <w:bookmarkEnd w:id="67"/>
      <w:bookmarkStart w:id="68" w:name="_Toc184313257"/>
      <w:bookmarkEnd w:id="68"/>
      <w:bookmarkStart w:id="69" w:name="_Toc184310329"/>
      <w:bookmarkEnd w:id="69"/>
      <w:bookmarkStart w:id="70" w:name="_Toc184313275"/>
      <w:bookmarkEnd w:id="70"/>
      <w:bookmarkStart w:id="71" w:name="_Toc184312076"/>
      <w:bookmarkEnd w:id="71"/>
      <w:bookmarkStart w:id="72" w:name="_Toc184314473"/>
      <w:bookmarkEnd w:id="72"/>
      <w:bookmarkStart w:id="73" w:name="_Toc184308106"/>
      <w:bookmarkEnd w:id="73"/>
      <w:bookmarkStart w:id="74" w:name="_Toc184308086"/>
      <w:bookmarkEnd w:id="74"/>
      <w:bookmarkStart w:id="75" w:name="_Toc184310322"/>
      <w:bookmarkEnd w:id="75"/>
      <w:bookmarkStart w:id="76" w:name="_Toc184308090"/>
      <w:bookmarkEnd w:id="76"/>
      <w:bookmarkStart w:id="77" w:name="_Toc184312136"/>
      <w:bookmarkEnd w:id="77"/>
      <w:bookmarkStart w:id="78" w:name="_Toc184308043"/>
      <w:bookmarkEnd w:id="78"/>
      <w:bookmarkStart w:id="79" w:name="_Toc184308087"/>
      <w:bookmarkEnd w:id="79"/>
      <w:bookmarkStart w:id="80" w:name="_Toc184308054"/>
      <w:bookmarkEnd w:id="80"/>
      <w:bookmarkStart w:id="81" w:name="_Toc184312100"/>
      <w:bookmarkEnd w:id="81"/>
      <w:bookmarkStart w:id="82" w:name="_Toc184314439"/>
      <w:bookmarkEnd w:id="82"/>
      <w:bookmarkStart w:id="83" w:name="_Toc184313301"/>
      <w:bookmarkEnd w:id="83"/>
      <w:bookmarkStart w:id="84" w:name="_Toc184310336"/>
      <w:bookmarkEnd w:id="84"/>
      <w:bookmarkStart w:id="85" w:name="_Toc184314463"/>
      <w:bookmarkEnd w:id="85"/>
      <w:bookmarkStart w:id="86" w:name="_Toc184313246"/>
      <w:bookmarkEnd w:id="86"/>
      <w:bookmarkStart w:id="87" w:name="_Toc184312118"/>
      <w:bookmarkEnd w:id="87"/>
      <w:bookmarkStart w:id="88" w:name="_Toc184308103"/>
      <w:bookmarkEnd w:id="88"/>
      <w:bookmarkStart w:id="89" w:name="_Toc184314447"/>
      <w:bookmarkEnd w:id="89"/>
      <w:bookmarkStart w:id="90" w:name="_Toc184314454"/>
      <w:bookmarkEnd w:id="90"/>
      <w:bookmarkStart w:id="91" w:name="_Toc184312108"/>
      <w:bookmarkEnd w:id="91"/>
      <w:bookmarkStart w:id="92" w:name="_Toc184310317"/>
      <w:bookmarkEnd w:id="92"/>
      <w:bookmarkStart w:id="93" w:name="_Toc184314424"/>
      <w:bookmarkEnd w:id="93"/>
      <w:bookmarkStart w:id="94" w:name="_Toc184308051"/>
      <w:bookmarkEnd w:id="94"/>
      <w:bookmarkStart w:id="95" w:name="_Toc184308091"/>
      <w:bookmarkEnd w:id="95"/>
      <w:bookmarkStart w:id="96" w:name="_Toc184312125"/>
      <w:bookmarkEnd w:id="96"/>
      <w:bookmarkStart w:id="97" w:name="_Toc184310276"/>
      <w:bookmarkEnd w:id="97"/>
      <w:bookmarkStart w:id="98" w:name="_Toc184310331"/>
      <w:bookmarkEnd w:id="98"/>
      <w:bookmarkStart w:id="99" w:name="_Toc184314452"/>
      <w:bookmarkEnd w:id="99"/>
      <w:bookmarkStart w:id="100" w:name="_Toc184310325"/>
      <w:bookmarkEnd w:id="100"/>
      <w:bookmarkStart w:id="101" w:name="_Toc184312088"/>
      <w:bookmarkEnd w:id="101"/>
      <w:bookmarkStart w:id="102" w:name="_Toc184312109"/>
      <w:bookmarkEnd w:id="102"/>
      <w:bookmarkStart w:id="103" w:name="_Toc184313281"/>
      <w:bookmarkEnd w:id="103"/>
      <w:bookmarkStart w:id="104" w:name="_Toc184308077"/>
      <w:bookmarkEnd w:id="104"/>
      <w:bookmarkStart w:id="105" w:name="_Toc184310337"/>
      <w:bookmarkEnd w:id="105"/>
      <w:bookmarkStart w:id="106" w:name="_Toc184310301"/>
      <w:bookmarkEnd w:id="106"/>
      <w:bookmarkStart w:id="107" w:name="_Toc184313304"/>
      <w:bookmarkEnd w:id="107"/>
      <w:bookmarkStart w:id="108" w:name="_Toc184308050"/>
      <w:bookmarkEnd w:id="108"/>
      <w:bookmarkStart w:id="109" w:name="_Toc184308074"/>
      <w:bookmarkEnd w:id="109"/>
      <w:bookmarkStart w:id="110" w:name="_Toc184312131"/>
      <w:bookmarkEnd w:id="110"/>
      <w:bookmarkStart w:id="111" w:name="_Toc184313288"/>
      <w:bookmarkEnd w:id="111"/>
      <w:bookmarkStart w:id="112" w:name="_Toc184308064"/>
      <w:bookmarkEnd w:id="112"/>
      <w:bookmarkStart w:id="113" w:name="_Toc184313273"/>
      <w:bookmarkEnd w:id="113"/>
      <w:bookmarkStart w:id="114" w:name="_Toc184312117"/>
      <w:bookmarkEnd w:id="114"/>
      <w:bookmarkStart w:id="115" w:name="_Toc184308060"/>
      <w:bookmarkEnd w:id="115"/>
      <w:bookmarkStart w:id="116" w:name="_Toc184310290"/>
      <w:bookmarkEnd w:id="116"/>
      <w:bookmarkStart w:id="117" w:name="_Toc184312121"/>
      <w:bookmarkEnd w:id="117"/>
      <w:bookmarkStart w:id="118" w:name="_Toc184312094"/>
      <w:bookmarkEnd w:id="118"/>
      <w:bookmarkStart w:id="119" w:name="_Toc184312096"/>
      <w:bookmarkEnd w:id="119"/>
      <w:bookmarkStart w:id="120" w:name="_Toc184314436"/>
      <w:bookmarkEnd w:id="120"/>
      <w:bookmarkStart w:id="121" w:name="_Toc184308065"/>
      <w:bookmarkEnd w:id="121"/>
      <w:bookmarkStart w:id="122" w:name="_Toc184313294"/>
      <w:bookmarkEnd w:id="122"/>
      <w:bookmarkStart w:id="123" w:name="_Toc184310287"/>
      <w:bookmarkEnd w:id="123"/>
      <w:bookmarkStart w:id="124" w:name="_Toc184310326"/>
      <w:bookmarkEnd w:id="124"/>
      <w:bookmarkStart w:id="125" w:name="_Toc184313298"/>
      <w:bookmarkEnd w:id="125"/>
      <w:bookmarkStart w:id="126" w:name="_Toc184308101"/>
      <w:bookmarkEnd w:id="126"/>
      <w:bookmarkStart w:id="127" w:name="_Toc184314478"/>
      <w:bookmarkEnd w:id="127"/>
      <w:bookmarkStart w:id="128" w:name="_Toc184312089"/>
      <w:bookmarkEnd w:id="128"/>
      <w:bookmarkStart w:id="129" w:name="_Toc184308061"/>
      <w:bookmarkEnd w:id="129"/>
      <w:bookmarkStart w:id="130" w:name="_Toc184310294"/>
      <w:bookmarkEnd w:id="130"/>
      <w:bookmarkStart w:id="131" w:name="_Toc184312130"/>
      <w:bookmarkEnd w:id="131"/>
      <w:bookmarkStart w:id="132" w:name="_Toc184308075"/>
      <w:bookmarkEnd w:id="132"/>
      <w:bookmarkStart w:id="133" w:name="_Toc184313258"/>
      <w:bookmarkEnd w:id="133"/>
      <w:bookmarkStart w:id="134" w:name="_Toc184314472"/>
      <w:bookmarkEnd w:id="134"/>
      <w:bookmarkStart w:id="135" w:name="_Toc184310311"/>
      <w:bookmarkEnd w:id="135"/>
      <w:bookmarkStart w:id="136" w:name="_Toc184308039"/>
      <w:bookmarkEnd w:id="136"/>
      <w:bookmarkStart w:id="137" w:name="_Toc184312068"/>
      <w:bookmarkEnd w:id="137"/>
      <w:bookmarkStart w:id="138" w:name="_Toc184312083"/>
      <w:bookmarkEnd w:id="138"/>
      <w:bookmarkStart w:id="139" w:name="_Toc184310340"/>
      <w:bookmarkEnd w:id="139"/>
      <w:bookmarkStart w:id="140" w:name="_Toc184310278"/>
      <w:bookmarkEnd w:id="140"/>
      <w:bookmarkStart w:id="141" w:name="_Toc184312086"/>
      <w:bookmarkEnd w:id="141"/>
      <w:bookmarkStart w:id="142" w:name="_Toc184312069"/>
      <w:bookmarkEnd w:id="142"/>
      <w:bookmarkStart w:id="143" w:name="_Toc184312123"/>
      <w:bookmarkEnd w:id="143"/>
      <w:bookmarkStart w:id="144" w:name="_Toc184313303"/>
      <w:bookmarkEnd w:id="144"/>
      <w:bookmarkStart w:id="145" w:name="_Toc184310305"/>
      <w:bookmarkEnd w:id="145"/>
      <w:bookmarkStart w:id="146" w:name="_Toc184308108"/>
      <w:bookmarkEnd w:id="146"/>
      <w:bookmarkStart w:id="147" w:name="_Toc184308073"/>
      <w:bookmarkEnd w:id="147"/>
      <w:bookmarkStart w:id="148" w:name="_Toc184312120"/>
      <w:bookmarkEnd w:id="148"/>
      <w:bookmarkStart w:id="149" w:name="_Toc184310339"/>
      <w:bookmarkEnd w:id="149"/>
      <w:bookmarkStart w:id="150" w:name="_Toc184308055"/>
      <w:bookmarkEnd w:id="150"/>
      <w:bookmarkStart w:id="151" w:name="_Toc184312132"/>
      <w:bookmarkEnd w:id="151"/>
      <w:bookmarkStart w:id="152" w:name="_Toc184308084"/>
      <w:bookmarkEnd w:id="152"/>
      <w:bookmarkStart w:id="153" w:name="_Toc184308078"/>
      <w:bookmarkEnd w:id="153"/>
      <w:bookmarkStart w:id="154" w:name="_Toc184308057"/>
      <w:bookmarkEnd w:id="154"/>
      <w:bookmarkStart w:id="155" w:name="_Toc184308107"/>
      <w:bookmarkEnd w:id="155"/>
      <w:bookmarkStart w:id="156" w:name="_Toc184314458"/>
      <w:bookmarkEnd w:id="156"/>
      <w:bookmarkStart w:id="157" w:name="_Toc184310296"/>
      <w:bookmarkEnd w:id="157"/>
      <w:bookmarkStart w:id="158" w:name="_Toc184314467"/>
      <w:bookmarkEnd w:id="158"/>
      <w:bookmarkStart w:id="159" w:name="_Toc184313242"/>
      <w:bookmarkEnd w:id="159"/>
      <w:bookmarkStart w:id="160" w:name="_Toc184314441"/>
      <w:bookmarkEnd w:id="160"/>
      <w:bookmarkStart w:id="161" w:name="_Toc184312133"/>
      <w:bookmarkEnd w:id="161"/>
      <w:bookmarkStart w:id="162" w:name="_Toc184308062"/>
      <w:bookmarkEnd w:id="162"/>
      <w:bookmarkStart w:id="163" w:name="_Toc184313239"/>
      <w:bookmarkEnd w:id="163"/>
      <w:bookmarkStart w:id="164" w:name="_Toc184308070"/>
      <w:bookmarkEnd w:id="164"/>
      <w:bookmarkStart w:id="165" w:name="_Toc184314466"/>
      <w:bookmarkEnd w:id="165"/>
      <w:bookmarkStart w:id="166" w:name="_Toc184312090"/>
      <w:bookmarkEnd w:id="166"/>
      <w:bookmarkStart w:id="167" w:name="_Toc184308104"/>
      <w:bookmarkEnd w:id="167"/>
      <w:bookmarkStart w:id="168" w:name="_Toc184313251"/>
      <w:bookmarkEnd w:id="168"/>
      <w:bookmarkStart w:id="169" w:name="_Toc184308093"/>
      <w:bookmarkEnd w:id="169"/>
      <w:bookmarkStart w:id="170" w:name="_Toc184308097"/>
      <w:bookmarkEnd w:id="170"/>
      <w:bookmarkStart w:id="171" w:name="_Toc184313295"/>
      <w:bookmarkEnd w:id="171"/>
      <w:bookmarkStart w:id="172" w:name="_Toc184308095"/>
      <w:bookmarkEnd w:id="172"/>
      <w:bookmarkStart w:id="173" w:name="_Toc184312097"/>
      <w:bookmarkEnd w:id="173"/>
      <w:bookmarkStart w:id="174" w:name="_Toc184312112"/>
      <w:bookmarkEnd w:id="174"/>
      <w:bookmarkStart w:id="175" w:name="_Toc184310288"/>
      <w:bookmarkEnd w:id="175"/>
      <w:bookmarkStart w:id="176" w:name="_Toc184310306"/>
      <w:bookmarkEnd w:id="176"/>
      <w:bookmarkStart w:id="177" w:name="_Toc184312102"/>
      <w:bookmarkEnd w:id="177"/>
      <w:bookmarkStart w:id="178" w:name="_Toc184308082"/>
      <w:bookmarkEnd w:id="178"/>
      <w:bookmarkStart w:id="179" w:name="_Toc184308067"/>
      <w:bookmarkEnd w:id="179"/>
      <w:bookmarkStart w:id="180" w:name="_Toc184310330"/>
      <w:bookmarkEnd w:id="180"/>
      <w:bookmarkStart w:id="181" w:name="_Toc184308046"/>
      <w:bookmarkEnd w:id="181"/>
      <w:bookmarkStart w:id="182" w:name="_Toc184310282"/>
      <w:bookmarkEnd w:id="182"/>
      <w:bookmarkStart w:id="183" w:name="_Toc184313282"/>
      <w:bookmarkEnd w:id="183"/>
      <w:bookmarkStart w:id="184" w:name="_Toc184313290"/>
      <w:bookmarkEnd w:id="184"/>
      <w:bookmarkStart w:id="185" w:name="_Toc184312078"/>
      <w:bookmarkEnd w:id="185"/>
      <w:bookmarkStart w:id="186" w:name="_Toc184313247"/>
      <w:bookmarkEnd w:id="186"/>
      <w:bookmarkStart w:id="187" w:name="_Toc184312098"/>
      <w:bookmarkEnd w:id="187"/>
      <w:bookmarkStart w:id="188" w:name="_Toc184314431"/>
      <w:bookmarkEnd w:id="188"/>
      <w:bookmarkStart w:id="189" w:name="_Toc184313291"/>
      <w:bookmarkEnd w:id="189"/>
      <w:bookmarkStart w:id="190" w:name="_Toc184314434"/>
      <w:bookmarkEnd w:id="190"/>
      <w:bookmarkStart w:id="191" w:name="_Toc184312099"/>
      <w:bookmarkEnd w:id="191"/>
      <w:bookmarkStart w:id="192" w:name="_Toc184312134"/>
      <w:bookmarkEnd w:id="192"/>
      <w:bookmarkStart w:id="193" w:name="_Toc184312127"/>
      <w:bookmarkEnd w:id="193"/>
      <w:bookmarkStart w:id="194" w:name="_Toc184314427"/>
      <w:bookmarkEnd w:id="194"/>
      <w:bookmarkStart w:id="195" w:name="_Toc184313287"/>
      <w:bookmarkEnd w:id="195"/>
      <w:bookmarkStart w:id="196" w:name="_Toc184312080"/>
      <w:bookmarkEnd w:id="196"/>
      <w:bookmarkStart w:id="197" w:name="_Toc184312070"/>
      <w:bookmarkEnd w:id="197"/>
      <w:bookmarkStart w:id="198" w:name="_Toc184314464"/>
      <w:bookmarkEnd w:id="198"/>
      <w:bookmarkStart w:id="199" w:name="_Toc184312122"/>
      <w:bookmarkEnd w:id="199"/>
      <w:bookmarkStart w:id="200" w:name="_Toc184312085"/>
      <w:bookmarkEnd w:id="200"/>
      <w:bookmarkStart w:id="201" w:name="_Toc184308080"/>
      <w:bookmarkEnd w:id="201"/>
      <w:bookmarkStart w:id="202" w:name="_Toc184314482"/>
      <w:bookmarkEnd w:id="202"/>
      <w:bookmarkStart w:id="203" w:name="_Toc184308105"/>
      <w:bookmarkEnd w:id="203"/>
      <w:bookmarkStart w:id="204" w:name="_Toc184314457"/>
      <w:bookmarkEnd w:id="204"/>
      <w:bookmarkStart w:id="205" w:name="_Toc184313266"/>
      <w:bookmarkEnd w:id="205"/>
      <w:bookmarkStart w:id="206" w:name="_Toc184314476"/>
      <w:bookmarkEnd w:id="206"/>
      <w:bookmarkStart w:id="207" w:name="_Toc184308076"/>
      <w:bookmarkEnd w:id="207"/>
      <w:bookmarkStart w:id="208" w:name="_Toc184314418"/>
      <w:bookmarkEnd w:id="208"/>
      <w:bookmarkStart w:id="209" w:name="_Toc184312139"/>
      <w:bookmarkEnd w:id="209"/>
      <w:bookmarkStart w:id="210" w:name="_Toc184310283"/>
      <w:bookmarkEnd w:id="210"/>
      <w:bookmarkStart w:id="211" w:name="_Toc184312091"/>
      <w:bookmarkEnd w:id="211"/>
      <w:bookmarkStart w:id="212" w:name="_Toc184310327"/>
      <w:bookmarkEnd w:id="212"/>
      <w:bookmarkStart w:id="213" w:name="_Toc184313279"/>
      <w:bookmarkEnd w:id="213"/>
      <w:bookmarkStart w:id="214" w:name="_Toc184310286"/>
      <w:bookmarkEnd w:id="214"/>
      <w:bookmarkStart w:id="215" w:name="_Toc184313278"/>
      <w:bookmarkEnd w:id="215"/>
      <w:bookmarkStart w:id="216" w:name="_Toc184314412"/>
      <w:bookmarkEnd w:id="216"/>
      <w:bookmarkStart w:id="217" w:name="_Toc184313309"/>
      <w:bookmarkEnd w:id="217"/>
      <w:bookmarkStart w:id="218" w:name="_Toc184314443"/>
      <w:bookmarkEnd w:id="218"/>
      <w:bookmarkStart w:id="219" w:name="_Toc184313310"/>
      <w:bookmarkEnd w:id="219"/>
      <w:bookmarkStart w:id="220" w:name="_Toc184308072"/>
      <w:bookmarkEnd w:id="220"/>
      <w:bookmarkStart w:id="221" w:name="_Toc184314449"/>
      <w:bookmarkEnd w:id="221"/>
      <w:bookmarkStart w:id="222" w:name="_Toc184313285"/>
      <w:bookmarkEnd w:id="222"/>
      <w:bookmarkStart w:id="223" w:name="_Toc184308098"/>
      <w:bookmarkEnd w:id="223"/>
      <w:bookmarkStart w:id="224" w:name="_Toc184313260"/>
      <w:bookmarkEnd w:id="224"/>
      <w:bookmarkStart w:id="225" w:name="_Toc184308092"/>
      <w:bookmarkEnd w:id="225"/>
      <w:bookmarkStart w:id="226" w:name="_Toc184314419"/>
      <w:bookmarkEnd w:id="226"/>
      <w:bookmarkStart w:id="227" w:name="_Toc184314433"/>
      <w:bookmarkEnd w:id="227"/>
      <w:bookmarkStart w:id="228" w:name="_Toc184312087"/>
      <w:bookmarkEnd w:id="228"/>
      <w:bookmarkStart w:id="229" w:name="_Toc184310338"/>
      <w:bookmarkEnd w:id="229"/>
      <w:bookmarkStart w:id="230" w:name="_Toc184313272"/>
      <w:bookmarkEnd w:id="230"/>
      <w:bookmarkStart w:id="231" w:name="_Toc184312119"/>
      <w:bookmarkEnd w:id="231"/>
      <w:bookmarkStart w:id="232" w:name="_Toc184314465"/>
      <w:bookmarkEnd w:id="232"/>
      <w:bookmarkStart w:id="233" w:name="_Toc184310295"/>
      <w:bookmarkEnd w:id="233"/>
      <w:bookmarkStart w:id="234" w:name="_Toc184314422"/>
      <w:bookmarkEnd w:id="234"/>
      <w:bookmarkStart w:id="235" w:name="_Toc184310304"/>
      <w:bookmarkEnd w:id="235"/>
      <w:bookmarkStart w:id="236" w:name="_Toc184308081"/>
      <w:bookmarkEnd w:id="236"/>
      <w:bookmarkStart w:id="237" w:name="_Toc184313293"/>
      <w:bookmarkEnd w:id="237"/>
      <w:bookmarkStart w:id="238" w:name="_Toc184314410"/>
      <w:bookmarkEnd w:id="238"/>
      <w:bookmarkStart w:id="239" w:name="_Toc184310272"/>
      <w:bookmarkEnd w:id="239"/>
      <w:bookmarkStart w:id="240" w:name="_Toc184310342"/>
      <w:bookmarkEnd w:id="240"/>
      <w:bookmarkStart w:id="241" w:name="_Toc184312116"/>
      <w:bookmarkEnd w:id="241"/>
      <w:bookmarkStart w:id="242" w:name="_Toc184314461"/>
      <w:bookmarkEnd w:id="242"/>
      <w:bookmarkStart w:id="243" w:name="_Toc184310303"/>
      <w:bookmarkEnd w:id="243"/>
      <w:bookmarkStart w:id="244" w:name="_Toc184313306"/>
      <w:bookmarkEnd w:id="244"/>
      <w:bookmarkStart w:id="245" w:name="_Toc184310321"/>
      <w:bookmarkEnd w:id="245"/>
      <w:bookmarkStart w:id="246" w:name="_Toc184313299"/>
      <w:bookmarkEnd w:id="246"/>
      <w:bookmarkStart w:id="247" w:name="_Toc184313286"/>
      <w:bookmarkEnd w:id="247"/>
      <w:bookmarkStart w:id="248" w:name="_Toc184308038"/>
      <w:bookmarkEnd w:id="248"/>
      <w:bookmarkStart w:id="249" w:name="_Toc184310313"/>
      <w:bookmarkEnd w:id="249"/>
      <w:bookmarkStart w:id="250" w:name="_Toc184308096"/>
      <w:bookmarkEnd w:id="250"/>
      <w:bookmarkStart w:id="251" w:name="_Toc184310333"/>
      <w:bookmarkEnd w:id="251"/>
      <w:bookmarkStart w:id="252" w:name="_Toc184314448"/>
      <w:bookmarkEnd w:id="252"/>
      <w:bookmarkStart w:id="253" w:name="_Toc184310343"/>
      <w:bookmarkEnd w:id="253"/>
      <w:bookmarkStart w:id="254" w:name="_Toc184314455"/>
      <w:bookmarkEnd w:id="254"/>
      <w:bookmarkStart w:id="255" w:name="_Toc184308071"/>
      <w:bookmarkEnd w:id="255"/>
      <w:bookmarkStart w:id="256" w:name="_Toc184314459"/>
      <w:bookmarkEnd w:id="256"/>
      <w:bookmarkStart w:id="257" w:name="_Toc184312137"/>
      <w:bookmarkEnd w:id="257"/>
      <w:bookmarkStart w:id="258" w:name="_Toc184314429"/>
      <w:bookmarkEnd w:id="258"/>
      <w:bookmarkStart w:id="259" w:name="_Toc184312095"/>
      <w:bookmarkEnd w:id="259"/>
      <w:bookmarkStart w:id="260" w:name="_Toc184314440"/>
      <w:bookmarkEnd w:id="260"/>
      <w:bookmarkStart w:id="261" w:name="_Toc184314435"/>
      <w:bookmarkEnd w:id="261"/>
      <w:bookmarkStart w:id="262" w:name="_Toc184313241"/>
      <w:bookmarkEnd w:id="262"/>
      <w:bookmarkStart w:id="263" w:name="_Toc184314446"/>
      <w:bookmarkEnd w:id="263"/>
      <w:bookmarkStart w:id="264" w:name="_Toc184313296"/>
      <w:bookmarkEnd w:id="264"/>
      <w:bookmarkStart w:id="265" w:name="_Toc184313262"/>
      <w:bookmarkEnd w:id="265"/>
      <w:bookmarkStart w:id="266" w:name="_Toc184314481"/>
      <w:bookmarkEnd w:id="266"/>
      <w:bookmarkStart w:id="267" w:name="_Toc184314426"/>
      <w:bookmarkEnd w:id="267"/>
      <w:bookmarkStart w:id="268" w:name="_Toc184310324"/>
      <w:bookmarkEnd w:id="268"/>
      <w:bookmarkStart w:id="269" w:name="_Toc184314456"/>
      <w:bookmarkEnd w:id="269"/>
      <w:bookmarkStart w:id="270" w:name="_Toc184312128"/>
      <w:bookmarkEnd w:id="270"/>
      <w:bookmarkStart w:id="271" w:name="_Toc184312082"/>
      <w:bookmarkEnd w:id="271"/>
      <w:bookmarkStart w:id="272" w:name="_Toc184308036"/>
      <w:bookmarkEnd w:id="272"/>
      <w:bookmarkStart w:id="273" w:name="_Toc184312093"/>
      <w:bookmarkEnd w:id="273"/>
      <w:bookmarkStart w:id="274" w:name="_Toc184312092"/>
      <w:bookmarkEnd w:id="274"/>
      <w:bookmarkStart w:id="275" w:name="_Toc184313302"/>
      <w:bookmarkEnd w:id="275"/>
      <w:bookmarkStart w:id="276" w:name="_Toc184310300"/>
      <w:bookmarkEnd w:id="276"/>
      <w:bookmarkStart w:id="277" w:name="_Toc184308056"/>
      <w:bookmarkEnd w:id="277"/>
      <w:bookmarkStart w:id="278" w:name="_Toc184314450"/>
      <w:bookmarkEnd w:id="278"/>
      <w:bookmarkStart w:id="279" w:name="_Toc184310275"/>
      <w:bookmarkEnd w:id="279"/>
      <w:bookmarkStart w:id="280" w:name="_Toc184310298"/>
      <w:bookmarkEnd w:id="280"/>
      <w:bookmarkStart w:id="281" w:name="_Toc184310320"/>
      <w:bookmarkEnd w:id="281"/>
      <w:bookmarkStart w:id="282" w:name="_Toc184313270"/>
      <w:bookmarkEnd w:id="282"/>
      <w:bookmarkStart w:id="283" w:name="_Toc184313263"/>
      <w:bookmarkEnd w:id="283"/>
      <w:bookmarkStart w:id="284" w:name="_Toc184310281"/>
      <w:bookmarkEnd w:id="284"/>
      <w:bookmarkStart w:id="285" w:name="_Toc184313274"/>
      <w:bookmarkEnd w:id="285"/>
      <w:bookmarkStart w:id="286" w:name="_Toc184310280"/>
      <w:bookmarkEnd w:id="286"/>
      <w:bookmarkStart w:id="287" w:name="_Toc184313268"/>
      <w:bookmarkEnd w:id="287"/>
      <w:bookmarkStart w:id="288" w:name="_Toc184312103"/>
      <w:bookmarkEnd w:id="288"/>
      <w:bookmarkStart w:id="289" w:name="_Toc184312111"/>
      <w:bookmarkEnd w:id="289"/>
      <w:bookmarkStart w:id="290" w:name="_Toc184312126"/>
      <w:bookmarkEnd w:id="290"/>
      <w:bookmarkStart w:id="291" w:name="_Toc184310302"/>
      <w:bookmarkEnd w:id="291"/>
      <w:bookmarkStart w:id="292" w:name="_Toc184312104"/>
      <w:bookmarkEnd w:id="292"/>
      <w:bookmarkStart w:id="293" w:name="_Toc184313297"/>
      <w:bookmarkEnd w:id="293"/>
      <w:bookmarkStart w:id="294" w:name="_Toc184314471"/>
      <w:bookmarkEnd w:id="294"/>
      <w:bookmarkStart w:id="295" w:name="_Toc184310319"/>
      <w:bookmarkEnd w:id="295"/>
      <w:bookmarkStart w:id="296" w:name="_Toc184313252"/>
      <w:bookmarkEnd w:id="296"/>
      <w:bookmarkStart w:id="297" w:name="_Toc184308069"/>
      <w:bookmarkEnd w:id="297"/>
      <w:bookmarkStart w:id="298" w:name="_Toc184308085"/>
      <w:bookmarkEnd w:id="298"/>
      <w:bookmarkStart w:id="299" w:name="_Toc184314417"/>
      <w:bookmarkEnd w:id="299"/>
      <w:bookmarkStart w:id="300" w:name="_Toc184312071"/>
      <w:bookmarkEnd w:id="300"/>
      <w:bookmarkStart w:id="301" w:name="_Toc184308047"/>
      <w:bookmarkEnd w:id="301"/>
      <w:bookmarkStart w:id="302" w:name="_Toc184312105"/>
      <w:bookmarkEnd w:id="302"/>
      <w:bookmarkStart w:id="303" w:name="_Toc184310289"/>
      <w:bookmarkEnd w:id="303"/>
      <w:bookmarkStart w:id="304" w:name="_Toc184312106"/>
      <w:bookmarkEnd w:id="304"/>
      <w:bookmarkStart w:id="305" w:name="_Toc184312129"/>
      <w:bookmarkEnd w:id="305"/>
      <w:bookmarkStart w:id="306" w:name="_Toc184313277"/>
      <w:bookmarkEnd w:id="306"/>
      <w:bookmarkStart w:id="307" w:name="_Toc184310318"/>
      <w:bookmarkEnd w:id="307"/>
      <w:bookmarkStart w:id="308" w:name="_Toc184314430"/>
      <w:bookmarkEnd w:id="308"/>
      <w:bookmarkStart w:id="309" w:name="_Toc184313283"/>
      <w:bookmarkEnd w:id="309"/>
      <w:bookmarkStart w:id="310" w:name="_Toc184310316"/>
      <w:bookmarkEnd w:id="310"/>
      <w:bookmarkStart w:id="311" w:name="_Toc184312115"/>
      <w:bookmarkEnd w:id="311"/>
      <w:bookmarkStart w:id="312" w:name="_Toc184313250"/>
      <w:bookmarkEnd w:id="312"/>
      <w:bookmarkStart w:id="313" w:name="_Toc184314470"/>
      <w:bookmarkEnd w:id="313"/>
      <w:bookmarkStart w:id="314" w:name="_Toc184313284"/>
      <w:bookmarkEnd w:id="314"/>
      <w:bookmarkStart w:id="315" w:name="_Toc184314411"/>
      <w:bookmarkEnd w:id="315"/>
      <w:bookmarkStart w:id="316" w:name="_Toc184313240"/>
      <w:bookmarkEnd w:id="316"/>
      <w:bookmarkStart w:id="317" w:name="_Toc184312110"/>
      <w:bookmarkEnd w:id="317"/>
      <w:bookmarkStart w:id="318" w:name="_Toc184313238"/>
      <w:bookmarkEnd w:id="318"/>
      <w:bookmarkStart w:id="319" w:name="_Toc184310293"/>
      <w:bookmarkEnd w:id="319"/>
      <w:bookmarkStart w:id="320" w:name="_Toc184308063"/>
      <w:bookmarkEnd w:id="320"/>
      <w:bookmarkStart w:id="321" w:name="_Toc184313271"/>
      <w:bookmarkEnd w:id="321"/>
      <w:bookmarkStart w:id="322" w:name="_Toc184313265"/>
      <w:bookmarkEnd w:id="322"/>
      <w:bookmarkStart w:id="323" w:name="_Toc184310344"/>
      <w:bookmarkEnd w:id="323"/>
      <w:bookmarkStart w:id="324" w:name="_Toc184313269"/>
      <w:bookmarkEnd w:id="324"/>
      <w:bookmarkStart w:id="325" w:name="_Toc184313276"/>
      <w:bookmarkEnd w:id="325"/>
      <w:bookmarkStart w:id="326" w:name="_Toc184310323"/>
      <w:bookmarkEnd w:id="326"/>
      <w:bookmarkStart w:id="327" w:name="_Toc184313280"/>
      <w:bookmarkEnd w:id="327"/>
      <w:bookmarkStart w:id="328" w:name="_Toc184314451"/>
      <w:bookmarkEnd w:id="328"/>
      <w:bookmarkStart w:id="329" w:name="_Toc184310314"/>
      <w:bookmarkEnd w:id="329"/>
      <w:bookmarkStart w:id="330" w:name="_Toc184314479"/>
      <w:bookmarkEnd w:id="330"/>
      <w:bookmarkStart w:id="331" w:name="_Toc184314462"/>
      <w:bookmarkEnd w:id="331"/>
      <w:bookmarkStart w:id="332" w:name="_Toc184314415"/>
      <w:bookmarkEnd w:id="332"/>
      <w:bookmarkStart w:id="333" w:name="_Toc184312075"/>
      <w:bookmarkEnd w:id="333"/>
      <w:bookmarkStart w:id="334" w:name="_Toc184310291"/>
      <w:bookmarkEnd w:id="334"/>
      <w:bookmarkStart w:id="335" w:name="_Toc184308079"/>
      <w:bookmarkEnd w:id="335"/>
      <w:bookmarkStart w:id="336" w:name="_Toc184312113"/>
      <w:bookmarkEnd w:id="336"/>
      <w:bookmarkStart w:id="337" w:name="_Toc184310328"/>
      <w:bookmarkEnd w:id="337"/>
      <w:bookmarkStart w:id="338" w:name="_Toc184314477"/>
      <w:bookmarkEnd w:id="338"/>
      <w:bookmarkStart w:id="339" w:name="_Toc184314428"/>
      <w:bookmarkEnd w:id="339"/>
      <w:bookmarkStart w:id="340" w:name="_Toc184314445"/>
      <w:bookmarkEnd w:id="340"/>
      <w:bookmarkStart w:id="341" w:name="_Toc184312073"/>
      <w:bookmarkEnd w:id="341"/>
      <w:bookmarkStart w:id="342" w:name="_Toc184312077"/>
      <w:bookmarkEnd w:id="342"/>
      <w:bookmarkStart w:id="343" w:name="_Toc184310284"/>
      <w:bookmarkEnd w:id="343"/>
      <w:bookmarkStart w:id="344" w:name="_Toc184308088"/>
      <w:bookmarkEnd w:id="344"/>
      <w:bookmarkStart w:id="345" w:name="_Toc184314480"/>
      <w:bookmarkEnd w:id="345"/>
      <w:bookmarkStart w:id="346" w:name="_Toc184310334"/>
      <w:bookmarkEnd w:id="346"/>
      <w:bookmarkStart w:id="347" w:name="_Toc184313292"/>
      <w:bookmarkEnd w:id="347"/>
      <w:bookmarkStart w:id="348" w:name="_Toc184313255"/>
      <w:bookmarkEnd w:id="348"/>
      <w:bookmarkStart w:id="349" w:name="_Toc184313254"/>
      <w:bookmarkEnd w:id="349"/>
      <w:bookmarkStart w:id="350" w:name="_Toc184308068"/>
      <w:bookmarkEnd w:id="350"/>
      <w:bookmarkStart w:id="351" w:name="_Toc184310285"/>
      <w:bookmarkEnd w:id="351"/>
      <w:bookmarkStart w:id="352" w:name="_Toc184308040"/>
      <w:bookmarkEnd w:id="352"/>
      <w:bookmarkStart w:id="353" w:name="_Toc184313244"/>
      <w:bookmarkEnd w:id="353"/>
      <w:bookmarkStart w:id="354" w:name="_Toc184313307"/>
      <w:bookmarkEnd w:id="354"/>
      <w:bookmarkStart w:id="355" w:name="_Toc184312074"/>
      <w:bookmarkEnd w:id="355"/>
      <w:bookmarkStart w:id="356" w:name="_Toc184313249"/>
      <w:bookmarkEnd w:id="356"/>
      <w:bookmarkStart w:id="357" w:name="_Toc184308066"/>
      <w:bookmarkEnd w:id="357"/>
      <w:bookmarkStart w:id="358" w:name="_Toc184313259"/>
      <w:bookmarkEnd w:id="358"/>
      <w:bookmarkStart w:id="359" w:name="_Toc184314421"/>
      <w:bookmarkEnd w:id="359"/>
      <w:bookmarkStart w:id="360" w:name="_Toc184314474"/>
      <w:bookmarkEnd w:id="360"/>
      <w:bookmarkStart w:id="361" w:name="_Toc184314413"/>
      <w:bookmarkEnd w:id="361"/>
      <w:bookmarkStart w:id="362" w:name="_Toc184308041"/>
      <w:bookmarkEnd w:id="362"/>
      <w:bookmarkStart w:id="363" w:name="_Toc184312138"/>
      <w:bookmarkEnd w:id="363"/>
      <w:bookmarkStart w:id="364" w:name="_Toc184308053"/>
      <w:bookmarkEnd w:id="364"/>
      <w:bookmarkStart w:id="365" w:name="_Toc184314414"/>
      <w:bookmarkEnd w:id="365"/>
      <w:bookmarkStart w:id="366" w:name="_Toc184314423"/>
      <w:bookmarkEnd w:id="366"/>
      <w:bookmarkStart w:id="367" w:name="_Toc184313248"/>
      <w:bookmarkEnd w:id="367"/>
      <w:bookmarkStart w:id="368" w:name="_Toc184314442"/>
      <w:bookmarkEnd w:id="368"/>
      <w:bookmarkStart w:id="369" w:name="_Toc184310273"/>
      <w:bookmarkEnd w:id="369"/>
      <w:bookmarkStart w:id="370" w:name="_Toc184314468"/>
      <w:bookmarkEnd w:id="370"/>
      <w:bookmarkStart w:id="371" w:name="_Toc184308045"/>
      <w:bookmarkEnd w:id="371"/>
      <w:bookmarkStart w:id="372" w:name="_Toc184308099"/>
      <w:bookmarkEnd w:id="372"/>
      <w:bookmarkStart w:id="373" w:name="_Toc184308037"/>
      <w:bookmarkEnd w:id="373"/>
      <w:bookmarkStart w:id="374" w:name="_Toc184308102"/>
      <w:bookmarkEnd w:id="374"/>
      <w:bookmarkStart w:id="375" w:name="_Toc184308049"/>
      <w:bookmarkEnd w:id="375"/>
      <w:bookmarkStart w:id="376" w:name="_Toc184314425"/>
      <w:bookmarkEnd w:id="376"/>
      <w:bookmarkStart w:id="377" w:name="_Toc184312067"/>
      <w:bookmarkEnd w:id="377"/>
      <w:bookmarkStart w:id="378" w:name="_Toc184313267"/>
      <w:bookmarkEnd w:id="378"/>
      <w:bookmarkStart w:id="379" w:name="_Toc184310277"/>
      <w:bookmarkEnd w:id="379"/>
      <w:bookmarkStart w:id="380" w:name="_Toc184313308"/>
      <w:bookmarkEnd w:id="380"/>
      <w:bookmarkStart w:id="381" w:name="_Toc184310292"/>
      <w:bookmarkEnd w:id="381"/>
      <w:bookmarkStart w:id="382" w:name="_Toc184313261"/>
      <w:bookmarkEnd w:id="382"/>
      <w:bookmarkStart w:id="383" w:name="_Toc184314420"/>
      <w:bookmarkEnd w:id="383"/>
      <w:bookmarkStart w:id="384" w:name="_Toc184314432"/>
      <w:bookmarkEnd w:id="384"/>
      <w:bookmarkStart w:id="385" w:name="_Toc184314444"/>
      <w:bookmarkEnd w:id="385"/>
      <w:bookmarkStart w:id="386" w:name="_Toc184310299"/>
      <w:bookmarkEnd w:id="386"/>
      <w:bookmarkStart w:id="387" w:name="_Toc184310279"/>
      <w:bookmarkEnd w:id="387"/>
      <w:bookmarkStart w:id="388" w:name="_Toc184312101"/>
      <w:bookmarkEnd w:id="388"/>
      <w:bookmarkStart w:id="389" w:name="_Toc184312135"/>
      <w:bookmarkEnd w:id="389"/>
      <w:bookmarkStart w:id="390" w:name="_Toc184308044"/>
      <w:bookmarkEnd w:id="390"/>
      <w:bookmarkStart w:id="391" w:name="_Toc184308059"/>
      <w:bookmarkEnd w:id="391"/>
      <w:bookmarkStart w:id="392" w:name="_Toc184314460"/>
      <w:bookmarkEnd w:id="392"/>
      <w:bookmarkStart w:id="393" w:name="_Toc184310312"/>
      <w:bookmarkEnd w:id="393"/>
      <w:bookmarkStart w:id="394" w:name="_Toc184312079"/>
      <w:bookmarkEnd w:id="394"/>
      <w:bookmarkStart w:id="395" w:name="_Toc184308100"/>
      <w:bookmarkEnd w:id="395"/>
      <w:bookmarkStart w:id="396" w:name="_Toc184308083"/>
      <w:bookmarkEnd w:id="396"/>
      <w:bookmarkStart w:id="397" w:name="_Toc184313256"/>
      <w:bookmarkEnd w:id="397"/>
      <w:bookmarkStart w:id="398" w:name="_Toc184308048"/>
      <w:bookmarkEnd w:id="398"/>
      <w:r>
        <w:rPr>
          <w:rFonts w:hint="eastAsia" w:ascii="宋体" w:hAnsi="宋体" w:eastAsia="宋体" w:cs="宋体"/>
          <w:b/>
          <w:snapToGrid/>
          <w:color w:val="auto"/>
          <w:kern w:val="2"/>
          <w:sz w:val="36"/>
          <w:szCs w:val="20"/>
          <w:highlight w:val="none"/>
          <w:lang w:val="en-US" w:eastAsia="zh-CN" w:bidi="ar-SA"/>
        </w:rPr>
        <w:t xml:space="preserve"> 评审办法</w:t>
      </w:r>
    </w:p>
    <w:tbl>
      <w:tblPr>
        <w:tblStyle w:val="62"/>
        <w:tblW w:w="97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5897"/>
        <w:gridCol w:w="793"/>
        <w:gridCol w:w="2133"/>
      </w:tblGrid>
      <w:tr w14:paraId="21C6B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289FDE90">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序号</w:t>
            </w:r>
          </w:p>
        </w:tc>
        <w:tc>
          <w:tcPr>
            <w:tcW w:w="5897" w:type="dxa"/>
            <w:vAlign w:val="center"/>
          </w:tcPr>
          <w:p w14:paraId="16D5B9FA">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评审标准</w:t>
            </w:r>
          </w:p>
        </w:tc>
        <w:tc>
          <w:tcPr>
            <w:tcW w:w="793" w:type="dxa"/>
            <w:vAlign w:val="center"/>
          </w:tcPr>
          <w:p w14:paraId="4705E481">
            <w:pPr>
              <w:snapToGrid w:val="0"/>
              <w:jc w:val="center"/>
              <w:outlineLvl w:val="0"/>
              <w:rPr>
                <w:rFonts w:ascii="宋体" w:hAnsi="宋体" w:cs="宋体"/>
                <w:bCs/>
                <w:color w:val="auto"/>
                <w:sz w:val="24"/>
                <w:highlight w:val="none"/>
              </w:rPr>
            </w:pPr>
            <w:r>
              <w:rPr>
                <w:rFonts w:hint="eastAsia" w:ascii="宋体" w:hAnsi="宋体" w:cs="宋体"/>
                <w:bCs/>
                <w:color w:val="auto"/>
                <w:sz w:val="24"/>
                <w:highlight w:val="none"/>
              </w:rPr>
              <w:t>权重</w:t>
            </w:r>
          </w:p>
        </w:tc>
        <w:tc>
          <w:tcPr>
            <w:tcW w:w="2133" w:type="dxa"/>
          </w:tcPr>
          <w:p w14:paraId="1EF718D9">
            <w:pPr>
              <w:snapToGrid w:val="0"/>
              <w:outlineLvl w:val="0"/>
              <w:rPr>
                <w:rFonts w:ascii="宋体" w:hAnsi="宋体" w:cs="宋体"/>
                <w:bCs/>
                <w:color w:val="auto"/>
                <w:sz w:val="24"/>
                <w:highlight w:val="none"/>
              </w:rPr>
            </w:pPr>
            <w:r>
              <w:rPr>
                <w:rFonts w:hint="eastAsia" w:ascii="宋体" w:hAnsi="宋体" w:cs="宋体"/>
                <w:bCs/>
                <w:color w:val="auto"/>
                <w:sz w:val="24"/>
                <w:highlight w:val="none"/>
              </w:rPr>
              <w:t>响应文件中评审标准相应的商务技术资料目录</w:t>
            </w:r>
            <w:r>
              <w:rPr>
                <w:rFonts w:hint="eastAsia" w:ascii="宋体" w:hAnsi="宋体" w:cs="宋体"/>
                <w:color w:val="auto"/>
                <w:sz w:val="24"/>
                <w:highlight w:val="none"/>
                <w:shd w:val="clear" w:color="auto" w:fill="FFFFFF"/>
              </w:rPr>
              <w:t> *</w:t>
            </w:r>
          </w:p>
        </w:tc>
      </w:tr>
      <w:tr w14:paraId="780F6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10" w:type="dxa"/>
            <w:vAlign w:val="center"/>
          </w:tcPr>
          <w:p w14:paraId="5D69AD05">
            <w:pPr>
              <w:snapToGrid w:val="0"/>
              <w:jc w:val="center"/>
              <w:outlineLvl w:val="0"/>
              <w:rPr>
                <w:rFonts w:ascii="宋体" w:hAnsi="宋体" w:cs="宋体"/>
                <w:color w:val="auto"/>
                <w:sz w:val="24"/>
                <w:highlight w:val="none"/>
              </w:rPr>
            </w:pPr>
            <w:r>
              <w:rPr>
                <w:rFonts w:hint="eastAsia" w:ascii="宋体" w:hAnsi="宋体" w:cs="宋体"/>
                <w:color w:val="auto"/>
                <w:sz w:val="24"/>
                <w:highlight w:val="none"/>
                <w:lang w:val="en-US" w:eastAsia="zh-CN"/>
              </w:rPr>
              <w:t>1</w:t>
            </w:r>
          </w:p>
        </w:tc>
        <w:tc>
          <w:tcPr>
            <w:tcW w:w="5897" w:type="dxa"/>
            <w:vAlign w:val="center"/>
          </w:tcPr>
          <w:p w14:paraId="10DCFA73">
            <w:pPr>
              <w:adjustRightInd w:val="0"/>
              <w:snapToGrid w:val="0"/>
              <w:jc w:val="left"/>
              <w:rPr>
                <w:rFonts w:ascii="宋体" w:hAnsi="宋体" w:cs="宋体"/>
                <w:color w:val="auto"/>
                <w:sz w:val="24"/>
                <w:highlight w:val="none"/>
              </w:rPr>
            </w:pPr>
            <w:r>
              <w:rPr>
                <w:rFonts w:hint="eastAsia" w:ascii="宋体" w:hAnsi="宋体" w:cs="宋体"/>
                <w:color w:val="auto"/>
                <w:kern w:val="0"/>
                <w:szCs w:val="21"/>
                <w:highlight w:val="none"/>
              </w:rPr>
              <w:t>企业业绩</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供应商自</w:t>
            </w:r>
            <w:r>
              <w:rPr>
                <w:rFonts w:hint="eastAsia" w:ascii="宋体" w:hAnsi="宋体" w:cs="宋体"/>
                <w:color w:val="auto"/>
                <w:kern w:val="0"/>
                <w:szCs w:val="21"/>
                <w:highlight w:val="none"/>
                <w:lang w:val="en-US" w:eastAsia="zh-CN"/>
              </w:rPr>
              <w:t>2021</w:t>
            </w:r>
            <w:r>
              <w:rPr>
                <w:rFonts w:hint="eastAsia" w:ascii="宋体" w:hAnsi="宋体" w:cs="宋体"/>
                <w:color w:val="auto"/>
                <w:kern w:val="0"/>
                <w:szCs w:val="21"/>
                <w:highlight w:val="none"/>
              </w:rPr>
              <w:t>年1月1日以来，具有类似项目业绩（以合同签订时间为准），每个得</w:t>
            </w:r>
            <w:r>
              <w:rPr>
                <w:rFonts w:hint="eastAsia" w:ascii="宋体" w:hAnsi="宋体" w:cs="宋体"/>
                <w:color w:val="auto"/>
                <w:kern w:val="0"/>
                <w:szCs w:val="21"/>
                <w:highlight w:val="none"/>
                <w:lang w:val="en-US" w:eastAsia="zh-CN"/>
              </w:rPr>
              <w:t>0.5</w:t>
            </w:r>
            <w:r>
              <w:rPr>
                <w:rFonts w:hint="eastAsia" w:ascii="宋体" w:hAnsi="宋体" w:cs="宋体"/>
                <w:color w:val="auto"/>
                <w:kern w:val="0"/>
                <w:szCs w:val="21"/>
                <w:highlight w:val="none"/>
              </w:rPr>
              <w:t>分，最多得</w:t>
            </w: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rPr>
              <w:t>分。需提供合同协议书。同一个用户不重复得分。</w:t>
            </w:r>
          </w:p>
        </w:tc>
        <w:tc>
          <w:tcPr>
            <w:tcW w:w="793" w:type="dxa"/>
            <w:vAlign w:val="center"/>
          </w:tcPr>
          <w:p w14:paraId="57A62331">
            <w:pPr>
              <w:snapToGrid w:val="0"/>
              <w:jc w:val="center"/>
              <w:outlineLvl w:val="0"/>
              <w:rPr>
                <w:rFonts w:ascii="宋体" w:hAnsi="宋体" w:cs="宋体"/>
                <w:bCs/>
                <w:color w:val="auto"/>
                <w:sz w:val="24"/>
                <w:highlight w:val="none"/>
              </w:rPr>
            </w:pPr>
          </w:p>
          <w:p w14:paraId="0358D4A6">
            <w:pPr>
              <w:snapToGrid w:val="0"/>
              <w:jc w:val="center"/>
              <w:outlineLvl w:val="0"/>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1</w:t>
            </w:r>
          </w:p>
        </w:tc>
        <w:tc>
          <w:tcPr>
            <w:tcW w:w="2133" w:type="dxa"/>
          </w:tcPr>
          <w:p w14:paraId="362F8351">
            <w:pPr>
              <w:snapToGrid w:val="0"/>
              <w:outlineLvl w:val="0"/>
              <w:rPr>
                <w:rFonts w:ascii="宋体" w:hAnsi="宋体" w:cs="宋体"/>
                <w:color w:val="auto"/>
                <w:sz w:val="24"/>
                <w:highlight w:val="none"/>
              </w:rPr>
            </w:pPr>
          </w:p>
        </w:tc>
      </w:tr>
      <w:tr w14:paraId="548A9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7580A14F">
            <w:pPr>
              <w:snapToGrid w:val="0"/>
              <w:jc w:val="center"/>
              <w:outlineLvl w:val="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5897" w:type="dxa"/>
            <w:vAlign w:val="center"/>
          </w:tcPr>
          <w:p w14:paraId="15CF2A14">
            <w:pPr>
              <w:adjustRightInd w:val="0"/>
              <w:snapToGrid w:val="0"/>
              <w:jc w:val="left"/>
              <w:rPr>
                <w:rFonts w:hint="eastAsia" w:ascii="宋体" w:hAnsi="宋体" w:cs="宋体"/>
                <w:color w:val="auto"/>
                <w:kern w:val="0"/>
                <w:szCs w:val="21"/>
                <w:highlight w:val="none"/>
              </w:rPr>
            </w:pPr>
            <w:r>
              <w:rPr>
                <w:rFonts w:hint="eastAsia" w:ascii="Calibri" w:hAnsi="Calibri"/>
                <w:color w:val="auto"/>
                <w:sz w:val="22"/>
                <w:szCs w:val="22"/>
                <w:highlight w:val="none"/>
              </w:rPr>
              <w:t>投标</w:t>
            </w:r>
            <w:r>
              <w:rPr>
                <w:rFonts w:ascii="Calibri" w:hAnsi="Calibri"/>
                <w:color w:val="auto"/>
                <w:sz w:val="22"/>
                <w:szCs w:val="22"/>
                <w:highlight w:val="none"/>
              </w:rPr>
              <w:t>供应商具有有效期内的</w:t>
            </w:r>
            <w:r>
              <w:rPr>
                <w:rFonts w:hint="eastAsia" w:ascii="Calibri" w:hAnsi="Calibri"/>
                <w:color w:val="auto"/>
                <w:sz w:val="22"/>
                <w:szCs w:val="22"/>
                <w:highlight w:val="none"/>
              </w:rPr>
              <w:t>质量管理体系认证、职业健康安全管理体系认证、环境管理体系认证每个得</w:t>
            </w:r>
            <w:r>
              <w:rPr>
                <w:rFonts w:ascii="Calibri" w:hAnsi="Calibri"/>
                <w:color w:val="auto"/>
                <w:sz w:val="22"/>
                <w:szCs w:val="22"/>
                <w:highlight w:val="none"/>
              </w:rPr>
              <w:t>1</w:t>
            </w:r>
            <w:r>
              <w:rPr>
                <w:rFonts w:hint="eastAsia" w:ascii="Calibri" w:hAnsi="Calibri"/>
                <w:color w:val="auto"/>
                <w:sz w:val="22"/>
                <w:szCs w:val="22"/>
                <w:highlight w:val="none"/>
              </w:rPr>
              <w:t>分，</w:t>
            </w:r>
            <w:r>
              <w:rPr>
                <w:rFonts w:ascii="Calibri" w:hAnsi="Calibri"/>
                <w:color w:val="auto"/>
                <w:sz w:val="22"/>
                <w:szCs w:val="22"/>
                <w:highlight w:val="none"/>
              </w:rPr>
              <w:t>最高得</w:t>
            </w:r>
            <w:r>
              <w:rPr>
                <w:rFonts w:hint="eastAsia" w:ascii="Calibri" w:hAnsi="Calibri"/>
                <w:color w:val="auto"/>
                <w:sz w:val="22"/>
                <w:szCs w:val="22"/>
                <w:highlight w:val="none"/>
              </w:rPr>
              <w:t>3分。（复印件加盖</w:t>
            </w:r>
            <w:r>
              <w:rPr>
                <w:rFonts w:ascii="Calibri" w:hAnsi="Calibri"/>
                <w:color w:val="auto"/>
                <w:sz w:val="22"/>
                <w:szCs w:val="22"/>
                <w:highlight w:val="none"/>
              </w:rPr>
              <w:t>公章</w:t>
            </w:r>
            <w:r>
              <w:rPr>
                <w:rFonts w:hint="eastAsia" w:ascii="Calibri" w:hAnsi="Calibri"/>
                <w:color w:val="auto"/>
                <w:sz w:val="22"/>
                <w:szCs w:val="22"/>
                <w:highlight w:val="none"/>
              </w:rPr>
              <w:t>）</w:t>
            </w:r>
          </w:p>
        </w:tc>
        <w:tc>
          <w:tcPr>
            <w:tcW w:w="793" w:type="dxa"/>
            <w:vAlign w:val="center"/>
          </w:tcPr>
          <w:p w14:paraId="2173254E">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3</w:t>
            </w:r>
          </w:p>
        </w:tc>
        <w:tc>
          <w:tcPr>
            <w:tcW w:w="2133" w:type="dxa"/>
          </w:tcPr>
          <w:p w14:paraId="02B06D56">
            <w:pPr>
              <w:snapToGrid w:val="0"/>
              <w:outlineLvl w:val="0"/>
              <w:rPr>
                <w:rFonts w:ascii="宋体" w:hAnsi="宋体" w:cs="宋体"/>
                <w:color w:val="auto"/>
                <w:sz w:val="24"/>
                <w:highlight w:val="none"/>
              </w:rPr>
            </w:pPr>
          </w:p>
        </w:tc>
      </w:tr>
      <w:tr w14:paraId="78DD5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1B18DB0F">
            <w:pPr>
              <w:snapToGrid w:val="0"/>
              <w:jc w:val="center"/>
              <w:outlineLvl w:val="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5897" w:type="dxa"/>
            <w:vAlign w:val="center"/>
          </w:tcPr>
          <w:p w14:paraId="0AA749A6">
            <w:pPr>
              <w:spacing w:line="240" w:lineRule="auto"/>
              <w:contextualSpacing/>
              <w:jc w:val="left"/>
              <w:rPr>
                <w:rFonts w:hint="eastAsia" w:ascii="Calibri" w:hAnsi="Calibri"/>
                <w:color w:val="auto"/>
                <w:sz w:val="22"/>
                <w:szCs w:val="22"/>
                <w:highlight w:val="none"/>
                <w:lang w:val="en-US" w:eastAsia="zh-CN"/>
              </w:rPr>
            </w:pPr>
            <w:r>
              <w:rPr>
                <w:rFonts w:hint="eastAsia" w:ascii="Calibri" w:hAnsi="Calibri"/>
                <w:color w:val="auto"/>
                <w:sz w:val="22"/>
                <w:szCs w:val="22"/>
                <w:highlight w:val="none"/>
                <w:lang w:val="en-US" w:eastAsia="zh-CN"/>
              </w:rPr>
              <w:t>对本项目情况及施工环境的了解、分析，对施工场地临时水电、施工围挡和临时办公的方案。</w:t>
            </w:r>
          </w:p>
          <w:p w14:paraId="2373BB4F">
            <w:pPr>
              <w:spacing w:line="240" w:lineRule="auto"/>
              <w:contextualSpacing/>
              <w:jc w:val="left"/>
              <w:rPr>
                <w:rFonts w:ascii="宋体" w:hAnsi="宋体" w:eastAsia="宋体" w:cs="宋体"/>
                <w:bCs/>
                <w:color w:val="auto"/>
                <w:szCs w:val="21"/>
                <w:highlight w:val="none"/>
              </w:rPr>
            </w:pPr>
            <w:r>
              <w:rPr>
                <w:rFonts w:hint="eastAsia" w:ascii="宋体" w:hAnsi="宋体" w:eastAsia="宋体" w:cs="宋体"/>
                <w:bCs/>
                <w:color w:val="auto"/>
                <w:szCs w:val="21"/>
                <w:highlight w:val="none"/>
              </w:rPr>
              <w:t>内容整体全面的得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rPr>
              <w:t>分。</w:t>
            </w:r>
          </w:p>
          <w:p w14:paraId="667DCC6C">
            <w:pPr>
              <w:spacing w:line="240" w:lineRule="auto"/>
              <w:contextualSpacing/>
              <w:jc w:val="left"/>
              <w:rPr>
                <w:rFonts w:ascii="宋体" w:hAnsi="宋体" w:eastAsia="宋体" w:cs="宋体"/>
                <w:bCs/>
                <w:color w:val="auto"/>
                <w:szCs w:val="21"/>
                <w:highlight w:val="none"/>
              </w:rPr>
            </w:pPr>
            <w:r>
              <w:rPr>
                <w:rFonts w:hint="eastAsia" w:ascii="宋体" w:hAnsi="宋体" w:eastAsia="宋体" w:cs="宋体"/>
                <w:bCs/>
                <w:color w:val="auto"/>
                <w:szCs w:val="21"/>
                <w:highlight w:val="none"/>
              </w:rPr>
              <w:t>描述相对普通，整体情况一般的得</w:t>
            </w: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rPr>
              <w:t>分。</w:t>
            </w:r>
          </w:p>
          <w:p w14:paraId="75944D58">
            <w:pPr>
              <w:spacing w:line="240" w:lineRule="auto"/>
              <w:contextualSpacing/>
              <w:jc w:val="left"/>
              <w:rPr>
                <w:rFonts w:ascii="宋体" w:hAnsi="宋体" w:eastAsia="宋体" w:cs="宋体"/>
                <w:bCs/>
                <w:color w:val="auto"/>
                <w:szCs w:val="21"/>
                <w:highlight w:val="none"/>
              </w:rPr>
            </w:pPr>
            <w:r>
              <w:rPr>
                <w:rFonts w:hint="eastAsia" w:ascii="宋体" w:hAnsi="宋体" w:eastAsia="宋体" w:cs="宋体"/>
                <w:bCs/>
                <w:color w:val="auto"/>
                <w:szCs w:val="21"/>
                <w:highlight w:val="none"/>
              </w:rPr>
              <w:t>描述粗略，整体较差，无法完全满足本项目需求的得3分。</w:t>
            </w:r>
          </w:p>
          <w:p w14:paraId="129DDE3D">
            <w:pPr>
              <w:spacing w:line="240" w:lineRule="auto"/>
              <w:contextualSpacing/>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描述差，无法满足项目需求的得1分。</w:t>
            </w:r>
          </w:p>
          <w:p w14:paraId="27997CAF">
            <w:pPr>
              <w:pStyle w:val="80"/>
              <w:ind w:left="0" w:leftChars="0" w:firstLine="0" w:firstLineChars="0"/>
              <w:rPr>
                <w:rFonts w:hint="default"/>
                <w:color w:val="auto"/>
                <w:highlight w:val="none"/>
                <w:lang w:val="en-US" w:eastAsia="zh-CN"/>
              </w:rPr>
            </w:pPr>
            <w:r>
              <w:rPr>
                <w:rFonts w:hint="eastAsia" w:ascii="宋体" w:hAnsi="宋体" w:eastAsia="宋体" w:cs="宋体"/>
                <w:bCs/>
                <w:color w:val="auto"/>
                <w:kern w:val="2"/>
                <w:sz w:val="21"/>
                <w:szCs w:val="21"/>
                <w:highlight w:val="none"/>
                <w:lang w:val="en-US" w:eastAsia="zh-CN" w:bidi="ar-SA"/>
              </w:rPr>
              <w:t>未提供不得分。</w:t>
            </w:r>
          </w:p>
        </w:tc>
        <w:tc>
          <w:tcPr>
            <w:tcW w:w="793" w:type="dxa"/>
            <w:vAlign w:val="center"/>
          </w:tcPr>
          <w:p w14:paraId="5424DDBF">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3734199F">
            <w:pPr>
              <w:snapToGrid w:val="0"/>
              <w:outlineLvl w:val="0"/>
              <w:rPr>
                <w:rFonts w:ascii="宋体" w:hAnsi="宋体" w:cs="宋体"/>
                <w:color w:val="auto"/>
                <w:sz w:val="24"/>
                <w:highlight w:val="none"/>
              </w:rPr>
            </w:pPr>
          </w:p>
        </w:tc>
      </w:tr>
      <w:tr w14:paraId="58EEC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020BFE70">
            <w:pPr>
              <w:snapToGrid w:val="0"/>
              <w:jc w:val="center"/>
              <w:outlineLvl w:val="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5897" w:type="dxa"/>
            <w:vAlign w:val="center"/>
          </w:tcPr>
          <w:p w14:paraId="4C0D3CF1">
            <w:pPr>
              <w:adjustRightInd w:val="0"/>
              <w:snapToGrid w:val="0"/>
              <w:jc w:val="left"/>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lang w:eastAsia="zh-CN"/>
              </w:rPr>
              <w:t>根据采购需求对本</w:t>
            </w:r>
            <w:r>
              <w:rPr>
                <w:rFonts w:hint="eastAsia" w:ascii="宋体" w:hAnsi="宋体" w:eastAsia="宋体" w:cs="宋体"/>
                <w:bCs/>
                <w:color w:val="auto"/>
                <w:sz w:val="21"/>
                <w:szCs w:val="21"/>
                <w:highlight w:val="none"/>
              </w:rPr>
              <w:t>项目</w:t>
            </w:r>
            <w:r>
              <w:rPr>
                <w:rFonts w:hint="eastAsia" w:ascii="宋体" w:hAnsi="宋体" w:eastAsia="宋体" w:cs="宋体"/>
                <w:bCs/>
                <w:color w:val="auto"/>
                <w:sz w:val="21"/>
                <w:szCs w:val="21"/>
                <w:highlight w:val="none"/>
                <w:lang w:eastAsia="zh-CN"/>
              </w:rPr>
              <w:t>提出</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难点解决方案</w:t>
            </w:r>
            <w:r>
              <w:rPr>
                <w:rFonts w:hint="eastAsia" w:ascii="宋体" w:hAnsi="宋体" w:eastAsia="宋体" w:cs="宋体"/>
                <w:color w:val="auto"/>
                <w:sz w:val="21"/>
                <w:szCs w:val="21"/>
                <w:highlight w:val="none"/>
                <w:lang w:eastAsia="zh-CN"/>
              </w:rPr>
              <w:t>，对本项目工作重点难点分析和解决方案准确、清晰。</w:t>
            </w:r>
          </w:p>
          <w:p w14:paraId="61E142E8">
            <w:pPr>
              <w:spacing w:line="240" w:lineRule="auto"/>
              <w:contextualSpacing/>
              <w:jc w:val="left"/>
              <w:rPr>
                <w:rFonts w:ascii="宋体" w:hAnsi="宋体" w:eastAsia="宋体" w:cs="宋体"/>
                <w:bCs/>
                <w:color w:val="auto"/>
                <w:szCs w:val="21"/>
                <w:highlight w:val="none"/>
              </w:rPr>
            </w:pPr>
            <w:r>
              <w:rPr>
                <w:rFonts w:hint="eastAsia" w:ascii="宋体" w:hAnsi="宋体" w:eastAsia="宋体" w:cs="宋体"/>
                <w:bCs/>
                <w:color w:val="auto"/>
                <w:szCs w:val="21"/>
                <w:highlight w:val="none"/>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rPr>
              <w:t>分。</w:t>
            </w:r>
          </w:p>
          <w:p w14:paraId="31BA8733">
            <w:pPr>
              <w:spacing w:line="240" w:lineRule="auto"/>
              <w:contextualSpacing/>
              <w:jc w:val="left"/>
              <w:rPr>
                <w:rFonts w:ascii="宋体" w:hAnsi="宋体" w:eastAsia="宋体" w:cs="宋体"/>
                <w:bCs/>
                <w:color w:val="auto"/>
                <w:szCs w:val="21"/>
                <w:highlight w:val="none"/>
              </w:rPr>
            </w:pPr>
            <w:r>
              <w:rPr>
                <w:rFonts w:hint="eastAsia" w:ascii="宋体" w:hAnsi="宋体" w:eastAsia="宋体" w:cs="宋体"/>
                <w:bCs/>
                <w:color w:val="auto"/>
                <w:szCs w:val="21"/>
                <w:highlight w:val="none"/>
              </w:rPr>
              <w:t>描述相对普通，整体情况一般的得</w:t>
            </w: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rPr>
              <w:t>分。</w:t>
            </w:r>
          </w:p>
          <w:p w14:paraId="296E4C69">
            <w:pPr>
              <w:spacing w:line="240" w:lineRule="auto"/>
              <w:contextualSpacing/>
              <w:jc w:val="left"/>
              <w:rPr>
                <w:rFonts w:ascii="宋体" w:hAnsi="宋体" w:eastAsia="宋体" w:cs="宋体"/>
                <w:bCs/>
                <w:color w:val="auto"/>
                <w:szCs w:val="21"/>
                <w:highlight w:val="none"/>
              </w:rPr>
            </w:pPr>
            <w:r>
              <w:rPr>
                <w:rFonts w:hint="eastAsia" w:ascii="宋体" w:hAnsi="宋体" w:eastAsia="宋体" w:cs="宋体"/>
                <w:bCs/>
                <w:color w:val="auto"/>
                <w:szCs w:val="21"/>
                <w:highlight w:val="none"/>
              </w:rPr>
              <w:t>描述粗略，整体较差，无法完全满足本项目需求的得3分。</w:t>
            </w:r>
          </w:p>
          <w:p w14:paraId="643DD210">
            <w:pPr>
              <w:spacing w:line="240" w:lineRule="auto"/>
              <w:contextualSpacing/>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描述差，无法满足项目需求的得1分。</w:t>
            </w:r>
          </w:p>
          <w:p w14:paraId="3D16C602">
            <w:pPr>
              <w:spacing w:line="240" w:lineRule="auto"/>
              <w:contextualSpacing/>
              <w:jc w:val="left"/>
              <w:rPr>
                <w:rFonts w:hint="default"/>
                <w:color w:val="auto"/>
                <w:highlight w:val="none"/>
                <w:lang w:val="en-US"/>
              </w:rPr>
            </w:pPr>
            <w:r>
              <w:rPr>
                <w:rFonts w:hint="eastAsia" w:ascii="宋体" w:hAnsi="宋体" w:eastAsia="宋体" w:cs="宋体"/>
                <w:bCs/>
                <w:color w:val="auto"/>
                <w:szCs w:val="21"/>
                <w:highlight w:val="none"/>
              </w:rPr>
              <w:t>未提供不得分。</w:t>
            </w:r>
          </w:p>
        </w:tc>
        <w:tc>
          <w:tcPr>
            <w:tcW w:w="793" w:type="dxa"/>
            <w:vAlign w:val="center"/>
          </w:tcPr>
          <w:p w14:paraId="0ADF43EF">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3324BAC8">
            <w:pPr>
              <w:snapToGrid w:val="0"/>
              <w:outlineLvl w:val="0"/>
              <w:rPr>
                <w:rFonts w:ascii="宋体" w:hAnsi="宋体" w:cs="宋体"/>
                <w:color w:val="auto"/>
                <w:sz w:val="24"/>
                <w:highlight w:val="none"/>
              </w:rPr>
            </w:pPr>
          </w:p>
        </w:tc>
      </w:tr>
      <w:tr w14:paraId="33D2B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3963BD71">
            <w:pPr>
              <w:snapToGrid w:val="0"/>
              <w:jc w:val="center"/>
              <w:outlineLvl w:val="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5897" w:type="dxa"/>
            <w:vAlign w:val="center"/>
          </w:tcPr>
          <w:p w14:paraId="48D70DF7">
            <w:pPr>
              <w:spacing w:line="240" w:lineRule="auto"/>
              <w:contextualSpacing/>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rPr>
              <w:t>供应商针对保证工期的施工组织方案和措施的严密性及合理性进行阐述</w:t>
            </w:r>
            <w:r>
              <w:rPr>
                <w:rFonts w:hint="eastAsia" w:ascii="宋体" w:hAnsi="宋体" w:cs="宋体"/>
                <w:color w:val="auto"/>
                <w:kern w:val="0"/>
                <w:szCs w:val="21"/>
                <w:highlight w:val="none"/>
                <w:lang w:val="en-US" w:eastAsia="zh-CN"/>
              </w:rPr>
              <w:t>,包括但不限于临时应急抢修、关键重点地方的抢修方案、夜间抢修方案等内容。</w:t>
            </w:r>
          </w:p>
          <w:p w14:paraId="71E0B111">
            <w:pPr>
              <w:spacing w:line="240" w:lineRule="auto"/>
              <w:contextualSpacing/>
              <w:jc w:val="left"/>
              <w:rPr>
                <w:rFonts w:ascii="宋体" w:hAnsi="宋体" w:cs="宋体"/>
                <w:bCs/>
                <w:color w:val="auto"/>
                <w:szCs w:val="21"/>
                <w:highlight w:val="none"/>
              </w:rPr>
            </w:pPr>
            <w:r>
              <w:rPr>
                <w:rFonts w:hint="eastAsia" w:ascii="宋体" w:hAnsi="宋体" w:cs="宋体"/>
                <w:bCs/>
                <w:color w:val="auto"/>
                <w:szCs w:val="21"/>
                <w:highlight w:val="none"/>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cs="宋体"/>
                <w:bCs/>
                <w:color w:val="auto"/>
                <w:szCs w:val="21"/>
                <w:highlight w:val="none"/>
              </w:rPr>
              <w:t>分。</w:t>
            </w:r>
          </w:p>
          <w:p w14:paraId="38D16D99">
            <w:pPr>
              <w:spacing w:line="240" w:lineRule="auto"/>
              <w:contextualSpacing/>
              <w:jc w:val="left"/>
              <w:rPr>
                <w:rFonts w:ascii="宋体" w:hAnsi="宋体" w:cs="宋体"/>
                <w:bCs/>
                <w:color w:val="auto"/>
                <w:szCs w:val="21"/>
                <w:highlight w:val="none"/>
              </w:rPr>
            </w:pPr>
            <w:r>
              <w:rPr>
                <w:rFonts w:hint="eastAsia" w:ascii="宋体" w:hAnsi="宋体" w:cs="宋体"/>
                <w:bCs/>
                <w:color w:val="auto"/>
                <w:szCs w:val="21"/>
                <w:highlight w:val="none"/>
              </w:rPr>
              <w:t>描述相对普通，整体情况一般的得</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rPr>
              <w:t>分。</w:t>
            </w:r>
          </w:p>
          <w:p w14:paraId="49B8CAD9">
            <w:pPr>
              <w:spacing w:line="240" w:lineRule="auto"/>
              <w:contextualSpacing/>
              <w:jc w:val="left"/>
              <w:rPr>
                <w:rFonts w:ascii="宋体" w:hAnsi="宋体" w:cs="宋体"/>
                <w:bCs/>
                <w:color w:val="auto"/>
                <w:szCs w:val="21"/>
                <w:highlight w:val="none"/>
              </w:rPr>
            </w:pPr>
            <w:r>
              <w:rPr>
                <w:rFonts w:hint="eastAsia" w:ascii="宋体" w:hAnsi="宋体" w:cs="宋体"/>
                <w:bCs/>
                <w:color w:val="auto"/>
                <w:szCs w:val="21"/>
                <w:highlight w:val="none"/>
              </w:rPr>
              <w:t>描述粗略，整体较差，无法完全满足本项目需求的得3分。</w:t>
            </w:r>
          </w:p>
          <w:p w14:paraId="6A839429">
            <w:pPr>
              <w:spacing w:line="240" w:lineRule="auto"/>
              <w:contextualSpacing/>
              <w:jc w:val="left"/>
              <w:rPr>
                <w:rFonts w:ascii="宋体" w:hAnsi="宋体" w:cs="宋体"/>
                <w:bCs/>
                <w:color w:val="auto"/>
                <w:szCs w:val="21"/>
                <w:highlight w:val="none"/>
              </w:rPr>
            </w:pPr>
            <w:r>
              <w:rPr>
                <w:rFonts w:hint="eastAsia" w:ascii="宋体" w:hAnsi="宋体" w:cs="宋体"/>
                <w:bCs/>
                <w:color w:val="auto"/>
                <w:szCs w:val="21"/>
                <w:highlight w:val="none"/>
              </w:rPr>
              <w:t>描述差，无法满足项目需求的得1分。</w:t>
            </w:r>
          </w:p>
          <w:p w14:paraId="2E0DB387">
            <w:pPr>
              <w:snapToGrid w:val="0"/>
              <w:outlineLvl w:val="0"/>
              <w:rPr>
                <w:rFonts w:ascii="宋体" w:hAnsi="宋体" w:cs="宋体"/>
                <w:color w:val="auto"/>
                <w:sz w:val="24"/>
                <w:highlight w:val="none"/>
              </w:rPr>
            </w:pPr>
            <w:r>
              <w:rPr>
                <w:rFonts w:hint="eastAsia" w:ascii="宋体" w:hAnsi="宋体" w:cs="宋体"/>
                <w:bCs/>
                <w:color w:val="auto"/>
                <w:szCs w:val="21"/>
                <w:highlight w:val="none"/>
              </w:rPr>
              <w:t>未提供不得分。</w:t>
            </w:r>
          </w:p>
        </w:tc>
        <w:tc>
          <w:tcPr>
            <w:tcW w:w="793" w:type="dxa"/>
            <w:vAlign w:val="center"/>
          </w:tcPr>
          <w:p w14:paraId="5B65B535">
            <w:pPr>
              <w:snapToGrid w:val="0"/>
              <w:jc w:val="center"/>
              <w:outlineLvl w:val="0"/>
              <w:rPr>
                <w:rFonts w:ascii="宋体" w:hAnsi="宋体" w:cs="宋体"/>
                <w:bCs/>
                <w:color w:val="auto"/>
                <w:sz w:val="24"/>
                <w:highlight w:val="none"/>
              </w:rPr>
            </w:pPr>
          </w:p>
          <w:p w14:paraId="16F42653">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0BDDC727">
            <w:pPr>
              <w:snapToGrid w:val="0"/>
              <w:outlineLvl w:val="0"/>
              <w:rPr>
                <w:rFonts w:ascii="宋体" w:hAnsi="宋体" w:cs="宋体"/>
                <w:color w:val="auto"/>
                <w:sz w:val="24"/>
                <w:highlight w:val="none"/>
              </w:rPr>
            </w:pPr>
          </w:p>
        </w:tc>
      </w:tr>
      <w:tr w14:paraId="0FBB2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4598002B">
            <w:pPr>
              <w:snapToGrid w:val="0"/>
              <w:jc w:val="cente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6</w:t>
            </w:r>
          </w:p>
        </w:tc>
        <w:tc>
          <w:tcPr>
            <w:tcW w:w="5897" w:type="dxa"/>
            <w:vAlign w:val="center"/>
          </w:tcPr>
          <w:p w14:paraId="49A2AB56">
            <w:pPr>
              <w:spacing w:line="240" w:lineRule="auto"/>
              <w:contextualSpacing/>
              <w:jc w:val="left"/>
              <w:rPr>
                <w:rFonts w:hint="eastAsia" w:ascii="宋体" w:hAnsi="宋体" w:eastAsia="宋体" w:cs="宋体"/>
                <w:bCs/>
                <w:color w:val="auto"/>
                <w:szCs w:val="21"/>
                <w:highlight w:val="none"/>
                <w:lang w:val="en-US" w:eastAsia="zh-CN"/>
              </w:rPr>
            </w:pPr>
            <w:r>
              <w:rPr>
                <w:rFonts w:hint="eastAsia"/>
                <w:color w:val="auto"/>
                <w:highlight w:val="none"/>
              </w:rPr>
              <w:t>供应商针对保证工程质量的技术方案和措施的严密性及合理性进行阐述</w:t>
            </w:r>
            <w:r>
              <w:rPr>
                <w:rFonts w:hint="eastAsia"/>
                <w:color w:val="auto"/>
                <w:highlight w:val="none"/>
                <w:lang w:eastAsia="zh-CN"/>
              </w:rPr>
              <w:t>，</w:t>
            </w:r>
            <w:r>
              <w:rPr>
                <w:rFonts w:hint="eastAsia"/>
                <w:color w:val="auto"/>
                <w:highlight w:val="none"/>
                <w:lang w:val="en-US" w:eastAsia="zh-CN"/>
              </w:rPr>
              <w:t>包括但不限于关键重点地方如怎样</w:t>
            </w:r>
            <w:r>
              <w:rPr>
                <w:rFonts w:hint="eastAsia"/>
                <w:color w:val="auto"/>
                <w:highlight w:val="none"/>
                <w:lang w:eastAsia="zh-CN"/>
              </w:rPr>
              <w:t>确保展陈上墙部分能够与改造部分能够同时完成做出方案，对一层、二层展陈内容做整体规划</w:t>
            </w:r>
            <w:r>
              <w:rPr>
                <w:rFonts w:hint="eastAsia"/>
                <w:color w:val="auto"/>
                <w:highlight w:val="none"/>
                <w:lang w:val="en-US" w:eastAsia="zh-CN"/>
              </w:rPr>
              <w:t>的</w:t>
            </w:r>
            <w:r>
              <w:rPr>
                <w:rFonts w:hint="eastAsia" w:ascii="宋体" w:hAnsi="宋体" w:eastAsia="宋体" w:cs="宋体"/>
                <w:bCs/>
                <w:color w:val="auto"/>
                <w:szCs w:val="21"/>
                <w:highlight w:val="none"/>
                <w:lang w:val="en-US" w:eastAsia="zh-CN"/>
              </w:rPr>
              <w:t>抢修方案、夜间抢修方案等内容。</w:t>
            </w:r>
          </w:p>
          <w:p w14:paraId="70D4827D">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w:t>
            </w:r>
          </w:p>
          <w:p w14:paraId="4F052341">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描述相对普通，整体情况一般的得4分。</w:t>
            </w:r>
          </w:p>
          <w:p w14:paraId="76E073E0">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描述粗略，整体较差，无法完全满足本项目需求的得3分。</w:t>
            </w:r>
          </w:p>
          <w:p w14:paraId="164D4C9B">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描述差，无法满足项目需求的得1分。</w:t>
            </w:r>
          </w:p>
          <w:p w14:paraId="463DEC70">
            <w:pPr>
              <w:snapToGrid w:val="0"/>
              <w:rPr>
                <w:rFonts w:ascii="宋体" w:hAnsi="宋体" w:cs="宋体"/>
                <w:color w:val="auto"/>
                <w:highlight w:val="none"/>
              </w:rPr>
            </w:pPr>
            <w:r>
              <w:rPr>
                <w:rFonts w:hint="eastAsia" w:ascii="宋体" w:hAnsi="宋体" w:eastAsia="宋体" w:cs="宋体"/>
                <w:bCs/>
                <w:color w:val="auto"/>
                <w:szCs w:val="21"/>
                <w:highlight w:val="none"/>
                <w:lang w:val="en-US" w:eastAsia="zh-CN"/>
              </w:rPr>
              <w:t>未提供不得分。</w:t>
            </w:r>
          </w:p>
        </w:tc>
        <w:tc>
          <w:tcPr>
            <w:tcW w:w="793" w:type="dxa"/>
            <w:vAlign w:val="center"/>
          </w:tcPr>
          <w:p w14:paraId="77ACD49E">
            <w:pPr>
              <w:snapToGrid w:val="0"/>
              <w:jc w:val="center"/>
              <w:outlineLvl w:val="0"/>
              <w:rPr>
                <w:rFonts w:ascii="宋体" w:hAnsi="宋体" w:cs="宋体"/>
                <w:bCs/>
                <w:color w:val="auto"/>
                <w:sz w:val="24"/>
                <w:highlight w:val="none"/>
              </w:rPr>
            </w:pPr>
          </w:p>
          <w:p w14:paraId="7B4DCD57">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1553C00B">
            <w:pPr>
              <w:snapToGrid w:val="0"/>
              <w:rPr>
                <w:rFonts w:ascii="宋体" w:hAnsi="宋体" w:cs="宋体"/>
                <w:color w:val="auto"/>
                <w:highlight w:val="none"/>
              </w:rPr>
            </w:pPr>
          </w:p>
        </w:tc>
      </w:tr>
      <w:tr w14:paraId="231AE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0CB797A5">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7</w:t>
            </w:r>
          </w:p>
        </w:tc>
        <w:tc>
          <w:tcPr>
            <w:tcW w:w="5897" w:type="dxa"/>
            <w:vAlign w:val="center"/>
          </w:tcPr>
          <w:p w14:paraId="31DEB529">
            <w:pPr>
              <w:spacing w:line="240" w:lineRule="auto"/>
              <w:contextualSpacing/>
              <w:jc w:val="left"/>
              <w:rPr>
                <w:rFonts w:hint="default" w:ascii="宋体" w:hAnsi="宋体" w:eastAsia="宋体" w:cs="宋体"/>
                <w:bCs/>
                <w:color w:val="auto"/>
                <w:szCs w:val="21"/>
                <w:highlight w:val="none"/>
                <w:lang w:val="en-US" w:eastAsia="zh-CN"/>
              </w:rPr>
            </w:pPr>
            <w:r>
              <w:rPr>
                <w:rFonts w:hint="eastAsia"/>
                <w:color w:val="auto"/>
                <w:highlight w:val="none"/>
              </w:rPr>
              <w:t>供应商针对</w:t>
            </w:r>
            <w:r>
              <w:rPr>
                <w:rFonts w:hint="eastAsia" w:ascii="宋体" w:hAnsi="宋体" w:eastAsia="宋体" w:cs="宋体"/>
                <w:bCs/>
                <w:color w:val="auto"/>
                <w:szCs w:val="21"/>
                <w:highlight w:val="none"/>
                <w:lang w:val="en-US" w:eastAsia="zh-CN"/>
              </w:rPr>
              <w:t>确保供应货物（材料）质量的监控措施，对货物的生产、运输、到场后的验收、保存方法等进行阐述。</w:t>
            </w:r>
            <w:r>
              <w:rPr>
                <w:rFonts w:hint="eastAsia"/>
                <w:color w:val="auto"/>
                <w:highlight w:val="none"/>
              </w:rPr>
              <w:t>针对</w:t>
            </w:r>
            <w:r>
              <w:rPr>
                <w:rFonts w:hint="eastAsia"/>
                <w:color w:val="auto"/>
                <w:highlight w:val="none"/>
                <w:lang w:eastAsia="zh-CN"/>
              </w:rPr>
              <w:t>展陈上墙内容与墙面装修能够相结合，</w:t>
            </w:r>
            <w:r>
              <w:rPr>
                <w:rFonts w:hint="eastAsia"/>
                <w:color w:val="auto"/>
                <w:highlight w:val="none"/>
                <w:lang w:val="en-US" w:eastAsia="zh-CN"/>
              </w:rPr>
              <w:t>能</w:t>
            </w:r>
            <w:r>
              <w:rPr>
                <w:rFonts w:hint="eastAsia"/>
                <w:color w:val="auto"/>
                <w:highlight w:val="none"/>
                <w:lang w:eastAsia="zh-CN"/>
              </w:rPr>
              <w:t>深化展陈立面深化施工图纸</w:t>
            </w:r>
            <w:r>
              <w:rPr>
                <w:rFonts w:hint="eastAsia"/>
                <w:color w:val="auto"/>
                <w:highlight w:val="none"/>
                <w:lang w:val="en-US" w:eastAsia="zh-CN"/>
              </w:rPr>
              <w:t>的等方面。</w:t>
            </w:r>
          </w:p>
          <w:p w14:paraId="5F839872">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w:t>
            </w:r>
          </w:p>
          <w:p w14:paraId="028420B7">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描述相对普通，整体情况一般的得4分。</w:t>
            </w:r>
          </w:p>
          <w:p w14:paraId="6FF59F3D">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描述粗略，整体较差，无法完全满足本项目需求的得3分。</w:t>
            </w:r>
          </w:p>
          <w:p w14:paraId="44B0D1DD">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描述差，无法满足项目需求的得1分。</w:t>
            </w:r>
          </w:p>
          <w:p w14:paraId="0E95B215">
            <w:pPr>
              <w:snapToGrid w:val="0"/>
              <w:rPr>
                <w:rFonts w:ascii="宋体" w:hAnsi="宋体" w:cs="宋体"/>
                <w:color w:val="auto"/>
                <w:highlight w:val="none"/>
              </w:rPr>
            </w:pPr>
            <w:r>
              <w:rPr>
                <w:rFonts w:hint="eastAsia" w:ascii="宋体" w:hAnsi="宋体" w:eastAsia="宋体" w:cs="宋体"/>
                <w:bCs/>
                <w:color w:val="auto"/>
                <w:szCs w:val="21"/>
                <w:highlight w:val="none"/>
                <w:lang w:val="en-US" w:eastAsia="zh-CN"/>
              </w:rPr>
              <w:t>未提供不得分。</w:t>
            </w:r>
          </w:p>
        </w:tc>
        <w:tc>
          <w:tcPr>
            <w:tcW w:w="793" w:type="dxa"/>
            <w:vAlign w:val="center"/>
          </w:tcPr>
          <w:p w14:paraId="31580B13">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030401F7">
            <w:pPr>
              <w:snapToGrid w:val="0"/>
              <w:rPr>
                <w:rFonts w:ascii="宋体" w:hAnsi="宋体" w:cs="宋体"/>
                <w:color w:val="auto"/>
                <w:highlight w:val="none"/>
              </w:rPr>
            </w:pPr>
          </w:p>
        </w:tc>
      </w:tr>
      <w:tr w14:paraId="15752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10" w:type="dxa"/>
            <w:vAlign w:val="center"/>
          </w:tcPr>
          <w:p w14:paraId="2C91C72F">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8</w:t>
            </w:r>
          </w:p>
        </w:tc>
        <w:tc>
          <w:tcPr>
            <w:tcW w:w="5897" w:type="dxa"/>
            <w:vAlign w:val="center"/>
          </w:tcPr>
          <w:p w14:paraId="39748EF6">
            <w:pPr>
              <w:spacing w:line="240" w:lineRule="auto"/>
              <w:contextualSpacing/>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供应商针对保证项目实施的技术力量和人力资源安排的合理性，专业配置与工程内容的相适性进行阐述</w:t>
            </w:r>
            <w:r>
              <w:rPr>
                <w:rFonts w:hint="eastAsia" w:ascii="宋体" w:hAnsi="宋体" w:cs="宋体"/>
                <w:color w:val="auto"/>
                <w:kern w:val="0"/>
                <w:szCs w:val="21"/>
                <w:highlight w:val="none"/>
                <w:lang w:eastAsia="zh-CN"/>
              </w:rPr>
              <w:t>，包括但不限于人员简历介绍、人员分工安排的合理性、管理人员的统筹手段、紧急情况下现场人员的工作合力安排及分工、后备力量的支持等内容</w:t>
            </w:r>
            <w:r>
              <w:rPr>
                <w:rFonts w:hint="eastAsia" w:ascii="宋体" w:hAnsi="宋体" w:cs="宋体"/>
                <w:color w:val="auto"/>
                <w:kern w:val="0"/>
                <w:szCs w:val="21"/>
                <w:highlight w:val="none"/>
              </w:rPr>
              <w:t>。保证项目</w:t>
            </w:r>
            <w:r>
              <w:rPr>
                <w:rFonts w:hint="eastAsia" w:ascii="宋体" w:hAnsi="宋体" w:cs="宋体"/>
                <w:color w:val="auto"/>
                <w:kern w:val="0"/>
                <w:szCs w:val="21"/>
                <w:highlight w:val="none"/>
                <w:lang w:eastAsia="zh-CN"/>
              </w:rPr>
              <w:t>能够按实完工需要绘制出项目进场、施工、竣工、开业等时间进度表。</w:t>
            </w:r>
          </w:p>
          <w:p w14:paraId="1AFFA3AC">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w:t>
            </w:r>
          </w:p>
          <w:p w14:paraId="3210F4CB">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描述相对普通，整体情况一般的得4分。</w:t>
            </w:r>
          </w:p>
          <w:p w14:paraId="4E9AEC87">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描述粗略，整体较差，无法完全满足本项目需求的得3分。</w:t>
            </w:r>
          </w:p>
          <w:p w14:paraId="70C94CE5">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描述差，无法满足项目需求的得1分。</w:t>
            </w:r>
          </w:p>
          <w:p w14:paraId="05569E09">
            <w:pPr>
              <w:snapToGrid w:val="0"/>
              <w:rPr>
                <w:rFonts w:ascii="宋体" w:hAnsi="宋体" w:cs="宋体"/>
                <w:color w:val="auto"/>
                <w:highlight w:val="none"/>
              </w:rPr>
            </w:pPr>
            <w:r>
              <w:rPr>
                <w:rFonts w:hint="eastAsia" w:ascii="宋体" w:hAnsi="宋体" w:eastAsia="宋体" w:cs="宋体"/>
                <w:bCs/>
                <w:color w:val="auto"/>
                <w:szCs w:val="21"/>
                <w:highlight w:val="none"/>
                <w:lang w:val="en-US" w:eastAsia="zh-CN"/>
              </w:rPr>
              <w:t>未提供不得分。</w:t>
            </w:r>
          </w:p>
        </w:tc>
        <w:tc>
          <w:tcPr>
            <w:tcW w:w="793" w:type="dxa"/>
            <w:vAlign w:val="center"/>
          </w:tcPr>
          <w:p w14:paraId="757E9FF6">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3E480F94">
            <w:pPr>
              <w:snapToGrid w:val="0"/>
              <w:rPr>
                <w:rFonts w:ascii="宋体" w:hAnsi="宋体" w:cs="宋体"/>
                <w:color w:val="auto"/>
                <w:highlight w:val="none"/>
              </w:rPr>
            </w:pPr>
          </w:p>
        </w:tc>
      </w:tr>
      <w:tr w14:paraId="6DFB5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10" w:type="dxa"/>
            <w:vAlign w:val="center"/>
          </w:tcPr>
          <w:p w14:paraId="158CE569">
            <w:pPr>
              <w:snapToGrid w:val="0"/>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9</w:t>
            </w:r>
          </w:p>
        </w:tc>
        <w:tc>
          <w:tcPr>
            <w:tcW w:w="5897" w:type="dxa"/>
            <w:vAlign w:val="center"/>
          </w:tcPr>
          <w:p w14:paraId="46AACC49">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供应商针对施工方案拟投入的主要加工设备及施工机具是否能满足本项目质量和进度的要求，</w:t>
            </w:r>
          </w:p>
          <w:p w14:paraId="178C2A9E">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w:t>
            </w:r>
          </w:p>
          <w:p w14:paraId="145E2E43">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描述相对普通，整体情况一般的得4分。</w:t>
            </w:r>
          </w:p>
          <w:p w14:paraId="0871BFE6">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描述粗略，整体较差，无法完全满足本项目需求的得3分。</w:t>
            </w:r>
          </w:p>
          <w:p w14:paraId="339DB244">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描述差，无法满足项目需求的得1分。</w:t>
            </w:r>
          </w:p>
          <w:p w14:paraId="350AFEE4">
            <w:pPr>
              <w:spacing w:line="240" w:lineRule="auto"/>
              <w:contextualSpacing/>
              <w:jc w:val="left"/>
              <w:rPr>
                <w:rFonts w:hint="eastAsia"/>
                <w:color w:val="auto"/>
                <w:highlight w:val="none"/>
                <w:lang w:val="en-US" w:eastAsia="zh-CN"/>
              </w:rPr>
            </w:pPr>
            <w:r>
              <w:rPr>
                <w:rFonts w:hint="eastAsia" w:ascii="宋体" w:hAnsi="宋体" w:eastAsia="宋体" w:cs="宋体"/>
                <w:bCs/>
                <w:color w:val="auto"/>
                <w:szCs w:val="21"/>
                <w:highlight w:val="none"/>
                <w:lang w:val="en-US" w:eastAsia="zh-CN"/>
              </w:rPr>
              <w:t>未提供不得分。</w:t>
            </w:r>
          </w:p>
        </w:tc>
        <w:tc>
          <w:tcPr>
            <w:tcW w:w="793" w:type="dxa"/>
            <w:vAlign w:val="center"/>
          </w:tcPr>
          <w:p w14:paraId="5E96FAC9">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3476277C">
            <w:pPr>
              <w:snapToGrid w:val="0"/>
              <w:rPr>
                <w:rFonts w:ascii="宋体" w:hAnsi="宋体" w:cs="宋体"/>
                <w:color w:val="auto"/>
                <w:highlight w:val="none"/>
              </w:rPr>
            </w:pPr>
          </w:p>
        </w:tc>
      </w:tr>
      <w:tr w14:paraId="41C52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8" w:hRule="atLeast"/>
        </w:trPr>
        <w:tc>
          <w:tcPr>
            <w:tcW w:w="910" w:type="dxa"/>
            <w:vAlign w:val="center"/>
          </w:tcPr>
          <w:p w14:paraId="72DE7EF5">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10</w:t>
            </w:r>
          </w:p>
        </w:tc>
        <w:tc>
          <w:tcPr>
            <w:tcW w:w="5897" w:type="dxa"/>
            <w:vAlign w:val="center"/>
          </w:tcPr>
          <w:p w14:paraId="3943E334">
            <w:pPr>
              <w:spacing w:line="240" w:lineRule="auto"/>
              <w:contextualSpacing/>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rPr>
              <w:t>供应商针对安装、调试、验收的方案合理性和竣工资料完整性和及时性等进行阐述</w:t>
            </w:r>
            <w:r>
              <w:rPr>
                <w:rFonts w:hint="eastAsia" w:ascii="宋体" w:hAnsi="宋体" w:cs="宋体"/>
                <w:color w:val="auto"/>
                <w:kern w:val="0"/>
                <w:szCs w:val="21"/>
                <w:highlight w:val="none"/>
                <w:lang w:eastAsia="zh-CN"/>
              </w:rPr>
              <w:t>，包括但不限于常规维修、应急维修及</w:t>
            </w:r>
            <w:r>
              <w:rPr>
                <w:rFonts w:hint="eastAsia" w:ascii="宋体" w:hAnsi="宋体" w:cs="宋体"/>
                <w:color w:val="auto"/>
                <w:kern w:val="0"/>
                <w:szCs w:val="21"/>
                <w:highlight w:val="none"/>
                <w:lang w:val="en-US" w:eastAsia="zh-CN"/>
              </w:rPr>
              <w:t>关键重点地方的安装维修方案及工艺；调试手段及验收环节的规范性等。</w:t>
            </w:r>
          </w:p>
          <w:p w14:paraId="3B635D5C">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w:t>
            </w:r>
          </w:p>
          <w:p w14:paraId="1BC43298">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描述相对普通，整体情况一般的得4分。</w:t>
            </w:r>
          </w:p>
          <w:p w14:paraId="0363DCFE">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描述粗略，整体较差，无法完全满足本项目需求的得3分。</w:t>
            </w:r>
          </w:p>
          <w:p w14:paraId="60EFB020">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描述差，无法满足项目需求的得1分。</w:t>
            </w:r>
          </w:p>
          <w:p w14:paraId="6A71BE53">
            <w:pPr>
              <w:snapToGrid w:val="0"/>
              <w:rPr>
                <w:rFonts w:ascii="宋体" w:hAnsi="宋体" w:cs="宋体"/>
                <w:color w:val="auto"/>
                <w:highlight w:val="none"/>
              </w:rPr>
            </w:pPr>
            <w:r>
              <w:rPr>
                <w:rFonts w:hint="eastAsia" w:ascii="宋体" w:hAnsi="宋体" w:eastAsia="宋体" w:cs="宋体"/>
                <w:bCs/>
                <w:color w:val="auto"/>
                <w:szCs w:val="21"/>
                <w:highlight w:val="none"/>
                <w:lang w:val="en-US" w:eastAsia="zh-CN"/>
              </w:rPr>
              <w:t>未提供不得分。</w:t>
            </w:r>
          </w:p>
        </w:tc>
        <w:tc>
          <w:tcPr>
            <w:tcW w:w="793" w:type="dxa"/>
            <w:vAlign w:val="center"/>
          </w:tcPr>
          <w:p w14:paraId="640EB2B6">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48FEF694">
            <w:pPr>
              <w:snapToGrid w:val="0"/>
              <w:rPr>
                <w:rFonts w:ascii="宋体" w:hAnsi="宋体" w:cs="宋体"/>
                <w:color w:val="auto"/>
                <w:highlight w:val="none"/>
              </w:rPr>
            </w:pPr>
          </w:p>
        </w:tc>
      </w:tr>
      <w:tr w14:paraId="5067A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2C6F63E1">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11</w:t>
            </w:r>
          </w:p>
        </w:tc>
        <w:tc>
          <w:tcPr>
            <w:tcW w:w="5897" w:type="dxa"/>
            <w:vAlign w:val="center"/>
          </w:tcPr>
          <w:p w14:paraId="015C213B">
            <w:pPr>
              <w:spacing w:line="240" w:lineRule="auto"/>
              <w:contextualSpacing/>
              <w:jc w:val="both"/>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安全、文明施工及市政、市容、环保、消防等的保证措施等。</w:t>
            </w:r>
          </w:p>
          <w:p w14:paraId="4D4165B4">
            <w:pPr>
              <w:spacing w:line="240" w:lineRule="auto"/>
              <w:contextualSpacing/>
              <w:jc w:val="both"/>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w:t>
            </w:r>
          </w:p>
          <w:p w14:paraId="5CC58BD2">
            <w:pPr>
              <w:spacing w:line="240" w:lineRule="auto"/>
              <w:contextualSpacing/>
              <w:jc w:val="both"/>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描述相对普通，整体情况一般的得4分。</w:t>
            </w:r>
          </w:p>
          <w:p w14:paraId="0E399D7E">
            <w:pPr>
              <w:spacing w:line="240" w:lineRule="auto"/>
              <w:contextualSpacing/>
              <w:jc w:val="both"/>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描述粗略，整体较差，无法完全满足本项目需求的得3分。</w:t>
            </w:r>
          </w:p>
          <w:p w14:paraId="726446C1">
            <w:pPr>
              <w:spacing w:line="240" w:lineRule="auto"/>
              <w:contextualSpacing/>
              <w:jc w:val="both"/>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描述差，无法满足项目需求的得1分。</w:t>
            </w:r>
          </w:p>
          <w:p w14:paraId="147FF1AB">
            <w:pPr>
              <w:snapToGrid w:val="0"/>
              <w:rPr>
                <w:rFonts w:ascii="宋体" w:hAnsi="宋体" w:cs="宋体"/>
                <w:color w:val="auto"/>
                <w:highlight w:val="none"/>
              </w:rPr>
            </w:pPr>
            <w:r>
              <w:rPr>
                <w:rFonts w:hint="eastAsia" w:ascii="宋体" w:hAnsi="宋体" w:eastAsia="宋体" w:cs="宋体"/>
                <w:bCs/>
                <w:color w:val="auto"/>
                <w:szCs w:val="21"/>
                <w:highlight w:val="none"/>
                <w:lang w:val="en-US" w:eastAsia="zh-CN"/>
              </w:rPr>
              <w:t>未提供不得分。</w:t>
            </w:r>
          </w:p>
        </w:tc>
        <w:tc>
          <w:tcPr>
            <w:tcW w:w="793" w:type="dxa"/>
            <w:vAlign w:val="center"/>
          </w:tcPr>
          <w:p w14:paraId="7CB8AF75">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6D10A99C">
            <w:pPr>
              <w:snapToGrid w:val="0"/>
              <w:rPr>
                <w:rFonts w:ascii="宋体" w:hAnsi="宋体" w:cs="宋体"/>
                <w:color w:val="auto"/>
                <w:highlight w:val="none"/>
              </w:rPr>
            </w:pPr>
          </w:p>
        </w:tc>
      </w:tr>
      <w:tr w14:paraId="14226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23101CDB">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12</w:t>
            </w:r>
          </w:p>
        </w:tc>
        <w:tc>
          <w:tcPr>
            <w:tcW w:w="5897" w:type="dxa"/>
            <w:vAlign w:val="center"/>
          </w:tcPr>
          <w:p w14:paraId="67FF6A27">
            <w:pPr>
              <w:spacing w:line="240" w:lineRule="auto"/>
              <w:contextualSpacing/>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项目组人员组成：组成人员名单、工种、工作经历等。</w:t>
            </w:r>
          </w:p>
          <w:p w14:paraId="25C886B7">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内容整体全面、有结合项目经验进行描述的、提出的解决措施及方案对项目切实有推进作用的，整体完全满足本项目采购要求的得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w:t>
            </w:r>
          </w:p>
          <w:p w14:paraId="40171E08">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描述相对普通，整体情况一般的得4分。</w:t>
            </w:r>
          </w:p>
          <w:p w14:paraId="7ABE7D00">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描述粗略，整体较差，无法完全满足本项目需求的得3分。</w:t>
            </w:r>
          </w:p>
          <w:p w14:paraId="12D8F671">
            <w:pPr>
              <w:spacing w:line="240" w:lineRule="auto"/>
              <w:contextualSpacing/>
              <w:jc w:val="lef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描述差，无法满足项目需求的得1分。</w:t>
            </w:r>
          </w:p>
          <w:p w14:paraId="72800D08">
            <w:pPr>
              <w:snapToGrid w:val="0"/>
              <w:rPr>
                <w:rFonts w:ascii="宋体" w:hAnsi="宋体" w:cs="宋体"/>
                <w:color w:val="auto"/>
                <w:highlight w:val="none"/>
              </w:rPr>
            </w:pPr>
            <w:r>
              <w:rPr>
                <w:rFonts w:hint="eastAsia" w:ascii="宋体" w:hAnsi="宋体" w:eastAsia="宋体" w:cs="宋体"/>
                <w:bCs/>
                <w:color w:val="auto"/>
                <w:szCs w:val="21"/>
                <w:highlight w:val="none"/>
                <w:lang w:val="en-US" w:eastAsia="zh-CN"/>
              </w:rPr>
              <w:t>未提供不得分。</w:t>
            </w:r>
          </w:p>
        </w:tc>
        <w:tc>
          <w:tcPr>
            <w:tcW w:w="793" w:type="dxa"/>
            <w:vAlign w:val="center"/>
          </w:tcPr>
          <w:p w14:paraId="435D80CC">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74D211D8">
            <w:pPr>
              <w:snapToGrid w:val="0"/>
              <w:rPr>
                <w:rFonts w:ascii="宋体" w:hAnsi="宋体" w:cs="宋体"/>
                <w:color w:val="auto"/>
                <w:highlight w:val="none"/>
              </w:rPr>
            </w:pPr>
          </w:p>
        </w:tc>
      </w:tr>
      <w:tr w14:paraId="37133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13493335">
            <w:pPr>
              <w:snapToGrid w:val="0"/>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13</w:t>
            </w:r>
          </w:p>
        </w:tc>
        <w:tc>
          <w:tcPr>
            <w:tcW w:w="5897" w:type="dxa"/>
            <w:vAlign w:val="center"/>
          </w:tcPr>
          <w:p w14:paraId="7814991D">
            <w:pPr>
              <w:snapToGrid w:val="0"/>
              <w:rPr>
                <w:rFonts w:hint="eastAsia" w:ascii="宋体" w:hAnsi="宋体" w:eastAsia="宋体" w:cs="宋体"/>
                <w:bCs/>
                <w:color w:val="auto"/>
                <w:szCs w:val="21"/>
                <w:highlight w:val="none"/>
                <w:lang w:val="en-US" w:eastAsia="zh-CN"/>
              </w:rPr>
            </w:pPr>
            <w:r>
              <w:rPr>
                <w:rFonts w:hint="eastAsia" w:ascii="宋体" w:hAnsi="宋体" w:eastAsia="宋体" w:cs="宋体"/>
                <w:color w:val="auto"/>
                <w:kern w:val="0"/>
                <w:sz w:val="21"/>
                <w:szCs w:val="21"/>
                <w:highlight w:val="none"/>
              </w:rPr>
              <w:t>根据</w:t>
            </w:r>
            <w:r>
              <w:rPr>
                <w:rFonts w:hint="eastAsia" w:ascii="宋体" w:hAnsi="宋体" w:eastAsia="宋体" w:cs="宋体"/>
                <w:color w:val="auto"/>
                <w:kern w:val="0"/>
                <w:sz w:val="21"/>
                <w:szCs w:val="21"/>
                <w:highlight w:val="none"/>
                <w:lang w:eastAsia="zh-CN"/>
              </w:rPr>
              <w:t>投标</w:t>
            </w:r>
            <w:r>
              <w:rPr>
                <w:rFonts w:hint="eastAsia" w:ascii="宋体" w:hAnsi="宋体" w:eastAsia="宋体" w:cs="宋体"/>
                <w:color w:val="auto"/>
                <w:kern w:val="0"/>
                <w:sz w:val="21"/>
                <w:szCs w:val="21"/>
                <w:highlight w:val="none"/>
              </w:rPr>
              <w:t>人针对本项目制定的</w:t>
            </w:r>
            <w:r>
              <w:rPr>
                <w:rFonts w:hint="eastAsia" w:ascii="宋体" w:hAnsi="宋体" w:eastAsia="宋体" w:cs="宋体"/>
                <w:color w:val="auto"/>
                <w:kern w:val="0"/>
                <w:sz w:val="21"/>
                <w:szCs w:val="21"/>
                <w:highlight w:val="none"/>
                <w:lang w:eastAsia="zh-CN"/>
              </w:rPr>
              <w:t>售后服务方案</w:t>
            </w:r>
            <w:r>
              <w:rPr>
                <w:rFonts w:hint="eastAsia" w:ascii="宋体" w:hAnsi="宋体" w:eastAsia="宋体" w:cs="宋体"/>
                <w:color w:val="auto"/>
                <w:kern w:val="0"/>
                <w:sz w:val="21"/>
                <w:szCs w:val="21"/>
                <w:highlight w:val="none"/>
              </w:rPr>
              <w:t>进行评价,</w:t>
            </w:r>
            <w:r>
              <w:rPr>
                <w:rFonts w:hint="eastAsia" w:ascii="宋体" w:hAnsi="宋体" w:eastAsia="宋体" w:cs="宋体"/>
                <w:color w:val="auto"/>
                <w:kern w:val="0"/>
                <w:sz w:val="21"/>
                <w:szCs w:val="21"/>
                <w:highlight w:val="none"/>
                <w:lang w:eastAsia="zh-CN"/>
              </w:rPr>
              <w:t>售后服务</w:t>
            </w:r>
            <w:r>
              <w:rPr>
                <w:rFonts w:hint="eastAsia" w:ascii="宋体" w:hAnsi="宋体" w:eastAsia="宋体" w:cs="宋体"/>
                <w:color w:val="auto"/>
                <w:kern w:val="0"/>
                <w:sz w:val="21"/>
                <w:szCs w:val="21"/>
                <w:highlight w:val="none"/>
              </w:rPr>
              <w:t>方案应至少包括①</w:t>
            </w:r>
            <w:r>
              <w:rPr>
                <w:rFonts w:hint="eastAsia" w:ascii="宋体" w:hAnsi="宋体" w:eastAsia="宋体" w:cs="宋体"/>
                <w:color w:val="auto"/>
                <w:kern w:val="0"/>
                <w:sz w:val="21"/>
                <w:szCs w:val="21"/>
                <w:highlight w:val="none"/>
                <w:lang w:eastAsia="zh-CN" w:bidi="en-US"/>
              </w:rPr>
              <w:t>售后服务保障</w:t>
            </w:r>
            <w:r>
              <w:rPr>
                <w:rFonts w:hint="eastAsia" w:ascii="宋体" w:hAnsi="宋体" w:eastAsia="宋体" w:cs="宋体"/>
                <w:color w:val="auto"/>
                <w:kern w:val="0"/>
                <w:sz w:val="21"/>
                <w:szCs w:val="21"/>
                <w:highlight w:val="none"/>
              </w:rPr>
              <w:t>；②</w:t>
            </w:r>
            <w:r>
              <w:rPr>
                <w:rFonts w:hint="eastAsia" w:ascii="宋体" w:hAnsi="宋体" w:eastAsia="宋体" w:cs="宋体"/>
                <w:color w:val="auto"/>
                <w:kern w:val="0"/>
                <w:sz w:val="21"/>
                <w:szCs w:val="21"/>
                <w:highlight w:val="none"/>
                <w:lang w:eastAsia="zh-CN"/>
              </w:rPr>
              <w:t>响应时间</w:t>
            </w:r>
            <w:r>
              <w:rPr>
                <w:rFonts w:hint="eastAsia" w:ascii="宋体" w:hAnsi="宋体" w:eastAsia="宋体" w:cs="宋体"/>
                <w:color w:val="auto"/>
                <w:kern w:val="0"/>
                <w:sz w:val="21"/>
                <w:szCs w:val="21"/>
                <w:highlight w:val="none"/>
              </w:rPr>
              <w:t>；③</w:t>
            </w:r>
            <w:r>
              <w:rPr>
                <w:rFonts w:hint="eastAsia" w:ascii="宋体" w:hAnsi="宋体" w:eastAsia="宋体" w:cs="宋体"/>
                <w:color w:val="auto"/>
                <w:kern w:val="0"/>
                <w:sz w:val="21"/>
                <w:szCs w:val="21"/>
                <w:highlight w:val="none"/>
                <w:lang w:eastAsia="zh-CN"/>
              </w:rPr>
              <w:t>维修技术服务。</w:t>
            </w:r>
            <w:r>
              <w:rPr>
                <w:rFonts w:hint="eastAsia" w:ascii="宋体" w:hAnsi="宋体" w:eastAsia="宋体" w:cs="宋体"/>
                <w:color w:val="auto"/>
                <w:kern w:val="0"/>
                <w:sz w:val="21"/>
                <w:szCs w:val="21"/>
                <w:highlight w:val="none"/>
              </w:rPr>
              <w:t>以上内容每完整响应成1项得</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0"/>
                <w:sz w:val="21"/>
                <w:szCs w:val="21"/>
                <w:highlight w:val="none"/>
                <w:lang w:eastAsia="zh-CN"/>
              </w:rPr>
              <w:t>最高得</w:t>
            </w:r>
            <w:r>
              <w:rPr>
                <w:rFonts w:hint="eastAsia" w:ascii="宋体" w:hAnsi="宋体" w:eastAsia="宋体" w:cs="宋体"/>
                <w:color w:val="auto"/>
                <w:kern w:val="0"/>
                <w:sz w:val="21"/>
                <w:szCs w:val="21"/>
                <w:highlight w:val="none"/>
                <w:lang w:val="en-US" w:eastAsia="zh-CN"/>
              </w:rPr>
              <w:t>6分，</w:t>
            </w:r>
            <w:r>
              <w:rPr>
                <w:rFonts w:hint="eastAsia" w:ascii="宋体" w:hAnsi="宋体" w:eastAsia="宋体" w:cs="宋体"/>
                <w:color w:val="auto"/>
                <w:sz w:val="21"/>
                <w:szCs w:val="21"/>
                <w:highlight w:val="none"/>
                <w:lang w:val="en-US" w:eastAsia="zh-CN"/>
              </w:rPr>
              <w:t>不符合不得分。</w:t>
            </w:r>
          </w:p>
        </w:tc>
        <w:tc>
          <w:tcPr>
            <w:tcW w:w="793" w:type="dxa"/>
            <w:vAlign w:val="center"/>
          </w:tcPr>
          <w:p w14:paraId="744241E8">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6</w:t>
            </w:r>
          </w:p>
        </w:tc>
        <w:tc>
          <w:tcPr>
            <w:tcW w:w="2133" w:type="dxa"/>
          </w:tcPr>
          <w:p w14:paraId="79071247">
            <w:pPr>
              <w:snapToGrid w:val="0"/>
              <w:rPr>
                <w:rFonts w:ascii="宋体" w:hAnsi="宋体" w:cs="宋体"/>
                <w:color w:val="auto"/>
                <w:highlight w:val="none"/>
              </w:rPr>
            </w:pPr>
          </w:p>
        </w:tc>
      </w:tr>
      <w:tr w14:paraId="26286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430D5207">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14</w:t>
            </w:r>
          </w:p>
        </w:tc>
        <w:tc>
          <w:tcPr>
            <w:tcW w:w="5897" w:type="dxa"/>
            <w:vAlign w:val="center"/>
          </w:tcPr>
          <w:p w14:paraId="65DDAC59">
            <w:pPr>
              <w:adjustRightInd w:val="0"/>
              <w:snapToGrid w:val="0"/>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根据供应商提供的资料从施工材料的品牌、档次及与</w:t>
            </w:r>
            <w:r>
              <w:rPr>
                <w:rFonts w:hint="eastAsia" w:ascii="宋体" w:hAnsi="宋体" w:cs="宋体"/>
                <w:color w:val="auto"/>
                <w:kern w:val="0"/>
                <w:szCs w:val="21"/>
                <w:highlight w:val="none"/>
                <w:lang w:val="en-US" w:eastAsia="zh-CN"/>
              </w:rPr>
              <w:t>采购</w:t>
            </w:r>
            <w:r>
              <w:rPr>
                <w:rFonts w:hint="eastAsia" w:ascii="宋体" w:hAnsi="宋体" w:cs="宋体"/>
                <w:color w:val="auto"/>
                <w:kern w:val="0"/>
                <w:szCs w:val="21"/>
                <w:highlight w:val="none"/>
              </w:rPr>
              <w:t>文件要求的响应性等进行评分</w:t>
            </w:r>
            <w:r>
              <w:rPr>
                <w:rFonts w:hint="eastAsia" w:ascii="宋体" w:hAnsi="宋体" w:cs="宋体"/>
                <w:color w:val="auto"/>
                <w:kern w:val="0"/>
                <w:szCs w:val="21"/>
                <w:highlight w:val="none"/>
                <w:lang w:eastAsia="zh-CN"/>
              </w:rPr>
              <w:t>（此项投标单位需根据主要材料（设备）一览表在商务技术文件中提供自身单位所用品牌表供评委评审，但不得体现价格）</w:t>
            </w:r>
            <w:r>
              <w:rPr>
                <w:rFonts w:hint="eastAsia" w:ascii="宋体" w:hAnsi="宋体" w:cs="宋体"/>
                <w:color w:val="auto"/>
                <w:kern w:val="0"/>
                <w:szCs w:val="21"/>
                <w:highlight w:val="none"/>
              </w:rPr>
              <w:t>。</w:t>
            </w:r>
          </w:p>
          <w:p w14:paraId="41F784D8">
            <w:pPr>
              <w:adjustRightInd w:val="0"/>
              <w:snapToGrid w:val="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较优的得4分。</w:t>
            </w:r>
          </w:p>
          <w:p w14:paraId="3B893850">
            <w:pPr>
              <w:adjustRightInd w:val="0"/>
              <w:snapToGrid w:val="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基本满足项目要求的得2分。</w:t>
            </w:r>
          </w:p>
          <w:p w14:paraId="03EC56B7">
            <w:pPr>
              <w:adjustRightInd w:val="0"/>
              <w:snapToGrid w:val="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相对较差的得1分。</w:t>
            </w:r>
          </w:p>
          <w:p w14:paraId="1D5A817E">
            <w:pPr>
              <w:snapToGrid w:val="0"/>
              <w:rPr>
                <w:rFonts w:ascii="宋体" w:hAnsi="宋体" w:cs="宋体"/>
                <w:color w:val="auto"/>
                <w:highlight w:val="none"/>
              </w:rPr>
            </w:pPr>
            <w:r>
              <w:rPr>
                <w:rFonts w:hint="eastAsia" w:ascii="宋体" w:hAnsi="宋体" w:cs="宋体"/>
                <w:color w:val="auto"/>
                <w:kern w:val="0"/>
                <w:szCs w:val="21"/>
                <w:highlight w:val="none"/>
                <w:lang w:val="en-US" w:eastAsia="zh-CN"/>
              </w:rPr>
              <w:t>未提供或极差的不得分。</w:t>
            </w:r>
          </w:p>
        </w:tc>
        <w:tc>
          <w:tcPr>
            <w:tcW w:w="793" w:type="dxa"/>
            <w:vAlign w:val="center"/>
          </w:tcPr>
          <w:p w14:paraId="3F03FD4C">
            <w:pPr>
              <w:snapToGrid w:val="0"/>
              <w:jc w:val="center"/>
              <w:outlineLvl w:val="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4</w:t>
            </w:r>
          </w:p>
        </w:tc>
        <w:tc>
          <w:tcPr>
            <w:tcW w:w="2133" w:type="dxa"/>
          </w:tcPr>
          <w:p w14:paraId="0B8A002E">
            <w:pPr>
              <w:snapToGrid w:val="0"/>
              <w:rPr>
                <w:rFonts w:ascii="宋体" w:hAnsi="宋体" w:cs="宋体"/>
                <w:color w:val="auto"/>
                <w:highlight w:val="none"/>
              </w:rPr>
            </w:pPr>
          </w:p>
        </w:tc>
      </w:tr>
      <w:tr w14:paraId="37382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13AC48ED">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15</w:t>
            </w:r>
          </w:p>
        </w:tc>
        <w:tc>
          <w:tcPr>
            <w:tcW w:w="5897" w:type="dxa"/>
            <w:vAlign w:val="center"/>
          </w:tcPr>
          <w:p w14:paraId="19E225AF">
            <w:pPr>
              <w:snapToGrid w:val="0"/>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rPr>
              <w:t>合理化建议</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评标委员会将根据供应商对本项目提出的合理化建议进行评分。</w:t>
            </w:r>
          </w:p>
        </w:tc>
        <w:tc>
          <w:tcPr>
            <w:tcW w:w="793" w:type="dxa"/>
            <w:vAlign w:val="center"/>
          </w:tcPr>
          <w:p w14:paraId="0D0A719C">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5</w:t>
            </w:r>
          </w:p>
        </w:tc>
        <w:tc>
          <w:tcPr>
            <w:tcW w:w="2133" w:type="dxa"/>
          </w:tcPr>
          <w:p w14:paraId="4ED8B39D">
            <w:pPr>
              <w:snapToGrid w:val="0"/>
              <w:rPr>
                <w:rFonts w:ascii="宋体" w:hAnsi="宋体" w:cs="宋体"/>
                <w:color w:val="auto"/>
                <w:highlight w:val="none"/>
              </w:rPr>
            </w:pPr>
          </w:p>
        </w:tc>
      </w:tr>
      <w:tr w14:paraId="0345D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7292EF12">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16</w:t>
            </w:r>
          </w:p>
        </w:tc>
        <w:tc>
          <w:tcPr>
            <w:tcW w:w="5897" w:type="dxa"/>
            <w:vAlign w:val="center"/>
          </w:tcPr>
          <w:p w14:paraId="37E92819">
            <w:pPr>
              <w:adjustRightInd w:val="0"/>
              <w:snapToGrid w:val="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eastAsia="zh-CN"/>
              </w:rPr>
              <w:t>政府采购政策：</w:t>
            </w:r>
            <w:r>
              <w:rPr>
                <w:rFonts w:hint="eastAsia" w:ascii="宋体" w:hAnsi="宋体" w:cs="宋体"/>
                <w:color w:val="auto"/>
                <w:kern w:val="0"/>
                <w:szCs w:val="21"/>
                <w:highlight w:val="none"/>
              </w:rPr>
              <w:t>所投材料列入政府采购节能产品、环境标志产品品目清单范围的，节能产品得</w:t>
            </w:r>
            <w:r>
              <w:rPr>
                <w:rFonts w:hint="eastAsia" w:ascii="宋体" w:hAnsi="宋体" w:cs="宋体"/>
                <w:color w:val="auto"/>
                <w:kern w:val="0"/>
                <w:szCs w:val="21"/>
                <w:highlight w:val="none"/>
                <w:lang w:val="en-US" w:eastAsia="zh-CN"/>
              </w:rPr>
              <w:t>0.5</w:t>
            </w:r>
            <w:r>
              <w:rPr>
                <w:rFonts w:hint="eastAsia" w:ascii="宋体" w:hAnsi="宋体" w:cs="宋体"/>
                <w:color w:val="auto"/>
                <w:kern w:val="0"/>
                <w:szCs w:val="21"/>
                <w:highlight w:val="none"/>
              </w:rPr>
              <w:t>分，环境标志产品得</w:t>
            </w:r>
            <w:r>
              <w:rPr>
                <w:rFonts w:hint="eastAsia" w:ascii="宋体" w:hAnsi="宋体" w:cs="宋体"/>
                <w:color w:val="auto"/>
                <w:kern w:val="0"/>
                <w:szCs w:val="21"/>
                <w:highlight w:val="none"/>
                <w:lang w:val="en-US" w:eastAsia="zh-CN"/>
              </w:rPr>
              <w:t>0.5</w:t>
            </w:r>
            <w:r>
              <w:rPr>
                <w:rFonts w:hint="eastAsia" w:ascii="宋体" w:hAnsi="宋体" w:cs="宋体"/>
                <w:color w:val="auto"/>
                <w:kern w:val="0"/>
                <w:szCs w:val="21"/>
                <w:highlight w:val="none"/>
              </w:rPr>
              <w:t>分。（根据最新政府采购节能产品、环境标志产品品目清单，信息查看中国政府采购网http：//www.ccgp.gov.cn进行评分，供应商应在投标文件中提供相关依据国家确定的认证机构出具的、处于有效期之内的节能产品、环境标志产品认证证书证明材料，否则不得分）。</w:t>
            </w:r>
          </w:p>
        </w:tc>
        <w:tc>
          <w:tcPr>
            <w:tcW w:w="793" w:type="dxa"/>
            <w:vAlign w:val="center"/>
          </w:tcPr>
          <w:p w14:paraId="3D702254">
            <w:pPr>
              <w:snapToGrid w:val="0"/>
              <w:jc w:val="center"/>
              <w:outlineLvl w:val="0"/>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w:t>
            </w:r>
          </w:p>
        </w:tc>
        <w:tc>
          <w:tcPr>
            <w:tcW w:w="2133" w:type="dxa"/>
          </w:tcPr>
          <w:p w14:paraId="06A1DFF1">
            <w:pPr>
              <w:snapToGrid w:val="0"/>
              <w:rPr>
                <w:rFonts w:ascii="宋体" w:hAnsi="宋体" w:cs="宋体"/>
                <w:color w:val="auto"/>
                <w:highlight w:val="none"/>
              </w:rPr>
            </w:pPr>
          </w:p>
        </w:tc>
      </w:tr>
      <w:tr w14:paraId="47678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7524A791">
            <w:pPr>
              <w:snapToGrid w:val="0"/>
              <w:jc w:val="center"/>
              <w:outlineLvl w:val="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17</w:t>
            </w:r>
          </w:p>
        </w:tc>
        <w:tc>
          <w:tcPr>
            <w:tcW w:w="5897" w:type="dxa"/>
          </w:tcPr>
          <w:p w14:paraId="01A2E3C3">
            <w:pPr>
              <w:adjustRightInd w:val="0"/>
              <w:snapToGrid w:val="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有效最后报价的最低价作为评审基准价，其最低报价为满分；按［最后报价得分=（评审基准价/最后报价）*</w:t>
            </w:r>
            <w:r>
              <w:rPr>
                <w:rFonts w:hint="eastAsia" w:ascii="宋体" w:hAnsi="宋体" w:cs="宋体"/>
                <w:color w:val="auto"/>
                <w:kern w:val="0"/>
                <w:szCs w:val="21"/>
                <w:highlight w:val="none"/>
                <w:lang w:val="en-US" w:eastAsia="zh-CN"/>
              </w:rPr>
              <w:t>2</w:t>
            </w:r>
            <w:r>
              <w:rPr>
                <w:rFonts w:hint="eastAsia" w:ascii="宋体" w:hAnsi="宋体" w:cs="宋体"/>
                <w:color w:val="auto"/>
                <w:kern w:val="0"/>
                <w:szCs w:val="21"/>
                <w:highlight w:val="none"/>
              </w:rPr>
              <w:t>0］的计算公式计算。</w:t>
            </w:r>
          </w:p>
          <w:p w14:paraId="521B7687">
            <w:pPr>
              <w:adjustRightInd w:val="0"/>
              <w:snapToGrid w:val="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评审过程中，不得去掉报价中的最高报价和最低报价。</w:t>
            </w:r>
          </w:p>
          <w:p w14:paraId="60B5871A">
            <w:pPr>
              <w:adjustRightInd w:val="0"/>
              <w:snapToGrid w:val="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因落实政府采购政策需要进行价格调整的，以调整后的价格计算评审基准价和最后报价。</w:t>
            </w:r>
          </w:p>
        </w:tc>
        <w:tc>
          <w:tcPr>
            <w:tcW w:w="793" w:type="dxa"/>
            <w:vAlign w:val="center"/>
          </w:tcPr>
          <w:p w14:paraId="69CEB0CC">
            <w:pPr>
              <w:snapToGrid w:val="0"/>
              <w:jc w:val="center"/>
              <w:outlineLvl w:val="0"/>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20</w:t>
            </w:r>
          </w:p>
        </w:tc>
        <w:tc>
          <w:tcPr>
            <w:tcW w:w="2133" w:type="dxa"/>
            <w:vAlign w:val="center"/>
          </w:tcPr>
          <w:p w14:paraId="60EF0EB8">
            <w:pPr>
              <w:snapToGrid w:val="0"/>
              <w:jc w:val="center"/>
              <w:outlineLvl w:val="0"/>
              <w:rPr>
                <w:rFonts w:ascii="宋体" w:hAnsi="宋体" w:cs="宋体"/>
                <w:color w:val="auto"/>
                <w:sz w:val="24"/>
                <w:highlight w:val="none"/>
              </w:rPr>
            </w:pPr>
            <w:r>
              <w:rPr>
                <w:rFonts w:hint="eastAsia" w:ascii="宋体" w:hAnsi="宋体" w:cs="宋体"/>
                <w:color w:val="auto"/>
                <w:sz w:val="24"/>
                <w:highlight w:val="none"/>
              </w:rPr>
              <w:t>/</w:t>
            </w:r>
          </w:p>
        </w:tc>
      </w:tr>
      <w:tr w14:paraId="60EC0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0" w:type="dxa"/>
            <w:vAlign w:val="center"/>
          </w:tcPr>
          <w:p w14:paraId="2011C7CE">
            <w:pPr>
              <w:snapToGrid w:val="0"/>
              <w:ind w:firstLine="240" w:firstLineChars="100"/>
              <w:jc w:val="center"/>
              <w:outlineLvl w:val="0"/>
              <w:rPr>
                <w:rFonts w:ascii="宋体" w:hAnsi="宋体" w:cs="宋体"/>
                <w:color w:val="auto"/>
                <w:sz w:val="24"/>
                <w:highlight w:val="none"/>
              </w:rPr>
            </w:pPr>
          </w:p>
        </w:tc>
        <w:tc>
          <w:tcPr>
            <w:tcW w:w="5897" w:type="dxa"/>
          </w:tcPr>
          <w:p w14:paraId="119BBAD4">
            <w:pPr>
              <w:widowControl/>
              <w:shd w:val="clear" w:color="auto" w:fill="FFFFFF"/>
              <w:adjustRightInd/>
              <w:snapToGrid w:val="0"/>
              <w:ind w:firstLine="420"/>
              <w:jc w:val="left"/>
              <w:rPr>
                <w:rFonts w:ascii="宋体" w:hAnsi="宋体" w:cs="宋体"/>
                <w:color w:val="auto"/>
                <w:sz w:val="24"/>
                <w:highlight w:val="none"/>
              </w:rPr>
            </w:pPr>
            <w:r>
              <w:rPr>
                <w:rFonts w:hint="eastAsia" w:ascii="宋体" w:hAnsi="宋体" w:cs="宋体"/>
                <w:color w:val="auto"/>
                <w:sz w:val="24"/>
                <w:highlight w:val="none"/>
              </w:rPr>
              <w:t>注意：不得以特定金额的业绩作为评审因素</w:t>
            </w:r>
          </w:p>
        </w:tc>
        <w:tc>
          <w:tcPr>
            <w:tcW w:w="793" w:type="dxa"/>
            <w:vAlign w:val="center"/>
          </w:tcPr>
          <w:p w14:paraId="044770F7">
            <w:pPr>
              <w:snapToGrid w:val="0"/>
              <w:ind w:firstLine="120" w:firstLineChars="50"/>
              <w:outlineLvl w:val="0"/>
              <w:rPr>
                <w:rFonts w:ascii="宋体" w:hAnsi="宋体" w:cs="宋体"/>
                <w:color w:val="auto"/>
                <w:sz w:val="24"/>
                <w:highlight w:val="none"/>
              </w:rPr>
            </w:pPr>
          </w:p>
        </w:tc>
        <w:tc>
          <w:tcPr>
            <w:tcW w:w="2133" w:type="dxa"/>
            <w:vAlign w:val="center"/>
          </w:tcPr>
          <w:p w14:paraId="1914E3B4">
            <w:pPr>
              <w:snapToGrid w:val="0"/>
              <w:jc w:val="center"/>
              <w:outlineLvl w:val="0"/>
              <w:rPr>
                <w:rFonts w:ascii="宋体" w:hAnsi="宋体" w:cs="宋体"/>
                <w:color w:val="auto"/>
                <w:sz w:val="24"/>
                <w:highlight w:val="none"/>
              </w:rPr>
            </w:pPr>
          </w:p>
        </w:tc>
      </w:tr>
    </w:tbl>
    <w:p w14:paraId="39E7904F">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供应商编制响应文件（商务技术文件部分）时，建议按此目录（序号和内容）提供评审标准相应的商务技术资料。 </w:t>
      </w:r>
    </w:p>
    <w:p w14:paraId="56B4210F">
      <w:pPr>
        <w:jc w:val="left"/>
        <w:rPr>
          <w:rFonts w:ascii="宋体" w:hAnsi="宋体" w:cs="宋体"/>
          <w:b/>
          <w:color w:val="auto"/>
          <w:sz w:val="32"/>
          <w:highlight w:val="none"/>
        </w:rPr>
      </w:pPr>
      <w:r>
        <w:rPr>
          <w:rFonts w:hint="eastAsia" w:ascii="宋体" w:hAnsi="宋体" w:cs="宋体"/>
          <w:b/>
          <w:color w:val="auto"/>
          <w:sz w:val="32"/>
          <w:highlight w:val="none"/>
        </w:rPr>
        <w:br w:type="page"/>
      </w:r>
    </w:p>
    <w:p w14:paraId="616A76E1">
      <w:pPr>
        <w:snapToGrid w:val="0"/>
        <w:spacing w:line="360" w:lineRule="auto"/>
        <w:jc w:val="center"/>
        <w:rPr>
          <w:rFonts w:ascii="宋体" w:hAnsi="宋体" w:cs="宋体"/>
          <w:b/>
          <w:color w:val="auto"/>
          <w:sz w:val="28"/>
          <w:szCs w:val="28"/>
          <w:highlight w:val="none"/>
        </w:rPr>
      </w:pPr>
      <w:r>
        <w:rPr>
          <w:rFonts w:hint="eastAsia" w:ascii="宋体" w:hAnsi="宋体" w:cs="宋体"/>
          <w:b/>
          <w:color w:val="auto"/>
          <w:sz w:val="32"/>
          <w:highlight w:val="none"/>
        </w:rPr>
        <w:t>一、评审方法</w:t>
      </w:r>
    </w:p>
    <w:p w14:paraId="0F837AE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综合评分法，是指响应文件满足磋商文件全部实质性要求且按评审因素的量化指标评审得分最高的供应商为成交候选供应商的评审方法。</w:t>
      </w:r>
    </w:p>
    <w:p w14:paraId="3D6644DE">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二、评审标准</w:t>
      </w:r>
    </w:p>
    <w:p w14:paraId="523B46E5">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评审标准：</w:t>
      </w:r>
      <w:r>
        <w:rPr>
          <w:rFonts w:hint="eastAsia" w:ascii="宋体" w:hAnsi="宋体" w:cs="宋体"/>
          <w:color w:val="auto"/>
          <w:kern w:val="0"/>
          <w:sz w:val="24"/>
          <w:highlight w:val="none"/>
        </w:rPr>
        <w:t>见评审办法前附表。</w:t>
      </w:r>
    </w:p>
    <w:p w14:paraId="5E145446">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三、评审程序</w:t>
      </w:r>
    </w:p>
    <w:p w14:paraId="689CC0C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磋商小组应当对符合资格的供应商的响应文件进行符合性审查，以确定其是否满足采购文件的实质性要求。不满足采购文件的实质性要求的，响应文件无效。</w:t>
      </w:r>
    </w:p>
    <w:p w14:paraId="00650FBF">
      <w:pPr>
        <w:spacing w:line="360" w:lineRule="auto"/>
        <w:ind w:firstLine="472" w:firstLineChars="196"/>
        <w:rPr>
          <w:rFonts w:ascii="宋体" w:hAnsi="宋体" w:cs="宋体"/>
          <w:color w:val="auto"/>
          <w:sz w:val="24"/>
          <w:highlight w:val="none"/>
        </w:rPr>
      </w:pPr>
      <w:r>
        <w:rPr>
          <w:rFonts w:hint="eastAsia" w:ascii="宋体" w:hAnsi="宋体" w:cs="宋体"/>
          <w:b/>
          <w:color w:val="auto"/>
          <w:kern w:val="0"/>
          <w:sz w:val="24"/>
          <w:highlight w:val="none"/>
        </w:rPr>
        <w:t>3.2 磋商。</w:t>
      </w:r>
      <w:r>
        <w:rPr>
          <w:rFonts w:hint="eastAsia" w:ascii="宋体" w:hAnsi="宋体" w:cs="宋体"/>
          <w:color w:val="auto"/>
          <w:sz w:val="24"/>
          <w:highlight w:val="none"/>
        </w:rPr>
        <w:t>磋商小组将对确定为实质性响应本采购文件的响应文件进行详细评价和比较，主要就资信、服务方案内容、服务承诺等磋商小组认为与本次采购有关的因素与</w:t>
      </w:r>
      <w:r>
        <w:rPr>
          <w:rFonts w:hint="eastAsia" w:ascii="宋体" w:hAnsi="宋体" w:cs="宋体"/>
          <w:color w:val="auto"/>
          <w:kern w:val="0"/>
          <w:sz w:val="24"/>
          <w:highlight w:val="none"/>
        </w:rPr>
        <w:t>符合性审查合格的</w:t>
      </w:r>
      <w:r>
        <w:rPr>
          <w:rFonts w:hint="eastAsia" w:ascii="宋体" w:hAnsi="宋体" w:cs="宋体"/>
          <w:color w:val="auto"/>
          <w:sz w:val="24"/>
          <w:highlight w:val="none"/>
        </w:rPr>
        <w:t>供应商逐一进行磋商。</w:t>
      </w:r>
    </w:p>
    <w:p w14:paraId="25BBB492">
      <w:pPr>
        <w:spacing w:line="360" w:lineRule="auto"/>
        <w:ind w:firstLine="470" w:firstLineChars="196"/>
        <w:rPr>
          <w:rFonts w:ascii="宋体" w:hAnsi="宋体" w:cs="宋体"/>
          <w:b/>
          <w:color w:val="auto"/>
          <w:sz w:val="24"/>
          <w:highlight w:val="none"/>
        </w:rPr>
      </w:pPr>
      <w:r>
        <w:rPr>
          <w:rFonts w:hint="eastAsia" w:ascii="宋体" w:hAnsi="宋体" w:cs="宋体"/>
          <w:bCs/>
          <w:color w:val="auto"/>
          <w:sz w:val="24"/>
          <w:highlight w:val="none"/>
        </w:rPr>
        <w:t xml:space="preserve">3.2.1 </w:t>
      </w:r>
      <w:r>
        <w:rPr>
          <w:rFonts w:hint="eastAsia" w:ascii="宋体" w:hAnsi="宋体" w:cs="宋体"/>
          <w:color w:val="auto"/>
          <w:sz w:val="24"/>
          <w:highlight w:val="none"/>
        </w:rPr>
        <w:t>供应商逐家回答磋商小组的提问；</w:t>
      </w:r>
      <w:r>
        <w:rPr>
          <w:rFonts w:hint="eastAsia" w:ascii="宋体" w:hAnsi="宋体" w:cs="宋体"/>
          <w:b/>
          <w:color w:val="auto"/>
          <w:sz w:val="24"/>
          <w:highlight w:val="none"/>
        </w:rPr>
        <w:t>逐家磋商一次为一个轮次，磋商轮次根据实际情况进行。</w:t>
      </w:r>
    </w:p>
    <w:p w14:paraId="6A8F8B0D">
      <w:pPr>
        <w:spacing w:line="360" w:lineRule="auto"/>
        <w:ind w:firstLine="470" w:firstLineChars="196"/>
        <w:rPr>
          <w:rFonts w:ascii="宋体" w:hAnsi="宋体" w:cs="宋体"/>
          <w:color w:val="auto"/>
          <w:sz w:val="24"/>
          <w:highlight w:val="none"/>
        </w:rPr>
      </w:pPr>
      <w:r>
        <w:rPr>
          <w:rFonts w:hint="eastAsia" w:ascii="宋体" w:hAnsi="宋体" w:cs="宋体"/>
          <w:bCs/>
          <w:color w:val="auto"/>
          <w:sz w:val="24"/>
          <w:highlight w:val="none"/>
        </w:rPr>
        <w:t xml:space="preserve">3.2.2 </w:t>
      </w:r>
      <w:r>
        <w:rPr>
          <w:rFonts w:hint="eastAsia" w:ascii="宋体" w:hAnsi="宋体" w:cs="宋体"/>
          <w:color w:val="auto"/>
          <w:sz w:val="24"/>
          <w:highlight w:val="none"/>
        </w:rPr>
        <w:t>供应商应按磋商小组通知的时间在线或以邮件回复做出承诺或回复，承诺或回复的内容须由供应商法定代表人或授权代表签署，并作为响应文件的补充部分。</w:t>
      </w:r>
    </w:p>
    <w:p w14:paraId="6D7F1BAB">
      <w:pPr>
        <w:spacing w:line="360" w:lineRule="auto"/>
        <w:ind w:firstLine="470" w:firstLineChars="196"/>
        <w:rPr>
          <w:rFonts w:ascii="宋体" w:hAnsi="宋体" w:cs="宋体"/>
          <w:bCs/>
          <w:color w:val="auto"/>
          <w:kern w:val="0"/>
          <w:sz w:val="24"/>
          <w:highlight w:val="none"/>
        </w:rPr>
      </w:pPr>
      <w:r>
        <w:rPr>
          <w:rFonts w:hint="eastAsia" w:ascii="宋体" w:hAnsi="宋体" w:cs="宋体"/>
          <w:color w:val="auto"/>
          <w:sz w:val="24"/>
          <w:highlight w:val="none"/>
        </w:rPr>
        <w:t xml:space="preserve">3.2.3 </w:t>
      </w:r>
      <w:r>
        <w:rPr>
          <w:rFonts w:hint="eastAsia" w:ascii="宋体" w:hAnsi="宋体" w:cs="宋体"/>
          <w:b/>
          <w:bCs/>
          <w:color w:val="auto"/>
          <w:sz w:val="24"/>
          <w:highlight w:val="none"/>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color w:val="auto"/>
          <w:sz w:val="24"/>
          <w:highlight w:val="none"/>
        </w:rPr>
        <w:t>实质性变动的内容，须经采购人代表确认。磋商文件有实质性变动的，磋商小组将以书面形式通知所有</w:t>
      </w:r>
      <w:r>
        <w:rPr>
          <w:rFonts w:hint="eastAsia" w:ascii="宋体" w:hAnsi="宋体" w:cs="宋体"/>
          <w:color w:val="auto"/>
          <w:kern w:val="0"/>
          <w:sz w:val="24"/>
          <w:highlight w:val="none"/>
        </w:rPr>
        <w:t>符合性审查合格的</w:t>
      </w:r>
      <w:r>
        <w:rPr>
          <w:rFonts w:hint="eastAsia" w:ascii="宋体" w:hAnsi="宋体" w:cs="宋体"/>
          <w:color w:val="auto"/>
          <w:sz w:val="24"/>
          <w:highlight w:val="none"/>
        </w:rPr>
        <w:t xml:space="preserve">供应商。 </w:t>
      </w:r>
    </w:p>
    <w:p w14:paraId="0C0DF9C0">
      <w:pPr>
        <w:spacing w:line="360" w:lineRule="auto"/>
        <w:ind w:firstLine="472" w:firstLineChars="196"/>
        <w:rPr>
          <w:rFonts w:ascii="宋体" w:hAnsi="宋体" w:cs="宋体"/>
          <w:b/>
          <w:bCs/>
          <w:color w:val="auto"/>
          <w:kern w:val="0"/>
          <w:sz w:val="24"/>
          <w:highlight w:val="none"/>
        </w:rPr>
      </w:pPr>
      <w:r>
        <w:rPr>
          <w:rFonts w:hint="eastAsia" w:ascii="宋体" w:hAnsi="宋体" w:cs="宋体"/>
          <w:b/>
          <w:bCs/>
          <w:color w:val="auto"/>
          <w:kern w:val="0"/>
          <w:sz w:val="24"/>
          <w:highlight w:val="none"/>
        </w:rPr>
        <w:t>3.3最后报价</w:t>
      </w:r>
    </w:p>
    <w:p w14:paraId="4EA68FB0">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3.3.1 磋商文件能够详细列明采购标的的技术、服务要求的，磋商结束后，磋商小组应当要求所有符合性审查合格的供应商在规定时间内提交最后报价，提交最后报价的供应商不得少于3家。</w:t>
      </w:r>
    </w:p>
    <w:p w14:paraId="6E7D839D">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68419B13">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3.3.3 已提交响应文件的供应商，在提交最后报价之前，可以根据磋商情况退出磋商</w:t>
      </w:r>
    </w:p>
    <w:p w14:paraId="2A69BFB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3.4 综合评分。</w:t>
      </w:r>
      <w:r>
        <w:rPr>
          <w:rFonts w:hint="eastAsia" w:ascii="宋体" w:hAnsi="宋体" w:cs="宋体"/>
          <w:bCs/>
          <w:color w:val="auto"/>
          <w:kern w:val="0"/>
          <w:sz w:val="24"/>
          <w:highlight w:val="none"/>
        </w:rPr>
        <w:t>经磋商确定最终采购需求和提交最后报价的供应商后，</w:t>
      </w:r>
      <w:r>
        <w:rPr>
          <w:rFonts w:hint="eastAsia" w:ascii="宋体" w:hAnsi="宋体" w:cs="宋体"/>
          <w:color w:val="auto"/>
          <w:kern w:val="0"/>
          <w:sz w:val="24"/>
          <w:highlight w:val="none"/>
        </w:rPr>
        <w:t>磋商小组应当按照采购文件中规定的评审标准，对符合性审查合格的响应文件进行综合评分。磋商文件中没有规定的评审标准不得作为评审依据。</w:t>
      </w:r>
    </w:p>
    <w:p w14:paraId="5F0B595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3.5汇总商务技术得分。</w:t>
      </w:r>
      <w:r>
        <w:rPr>
          <w:rFonts w:hint="eastAsia" w:ascii="宋体" w:hAnsi="宋体" w:cs="宋体"/>
          <w:color w:val="auto"/>
          <w:kern w:val="0"/>
          <w:sz w:val="24"/>
          <w:highlight w:val="none"/>
        </w:rPr>
        <w:t>磋商小组各成员应当独立对每个供应商的商务和技术文件进行评价，并汇总商务技术得分情况。磋商小组成员总评分偏离平均分30%以上的，以及个人主观打分偏离所有磋商小组成员主观打分平均值</w:t>
      </w:r>
      <w:r>
        <w:rPr>
          <w:rFonts w:ascii="宋体" w:hAnsi="宋体" w:cs="宋体"/>
          <w:color w:val="auto"/>
          <w:kern w:val="0"/>
          <w:sz w:val="24"/>
          <w:highlight w:val="none"/>
        </w:rPr>
        <w:t>30%以上的，由</w:t>
      </w:r>
      <w:r>
        <w:rPr>
          <w:rFonts w:hint="eastAsia" w:ascii="宋体" w:hAnsi="宋体" w:cs="宋体"/>
          <w:color w:val="auto"/>
          <w:kern w:val="0"/>
          <w:sz w:val="24"/>
          <w:highlight w:val="none"/>
        </w:rPr>
        <w:t>磋商小组</w:t>
      </w:r>
      <w:r>
        <w:rPr>
          <w:rFonts w:ascii="宋体" w:hAnsi="宋体" w:cs="宋体"/>
          <w:color w:val="auto"/>
          <w:kern w:val="0"/>
          <w:sz w:val="24"/>
          <w:highlight w:val="none"/>
        </w:rPr>
        <w:t>启动评分畸高、畸低行为认定程序</w:t>
      </w:r>
      <w:r>
        <w:rPr>
          <w:rFonts w:hint="eastAsia" w:ascii="宋体" w:hAnsi="宋体" w:cs="宋体"/>
          <w:color w:val="auto"/>
          <w:kern w:val="0"/>
          <w:sz w:val="24"/>
          <w:highlight w:val="none"/>
        </w:rPr>
        <w:t>，磋商小组组长应提醒相关评审人员进行复核或书面说明理由，评审人员拒绝说明的，由现场监督员据实记录；评审人员的评审、修改记录应保留原件，随项目其他资料一并存档。</w:t>
      </w:r>
    </w:p>
    <w:p w14:paraId="245F73D0">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3.6报价评审。</w:t>
      </w:r>
    </w:p>
    <w:p w14:paraId="4672D878">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3.6.1响应文件报价出现前后不一致的，按照下列规定修正：</w:t>
      </w:r>
    </w:p>
    <w:p w14:paraId="291F754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3.6.1.1响应文件中已标价工程量清单内容与响应文件中相应内容不一致的，以已标价工程量清单为准;</w:t>
      </w:r>
    </w:p>
    <w:p w14:paraId="352D1F8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3.6.1.2大写金额和小写金额不一致的，以大写金额为准;</w:t>
      </w:r>
    </w:p>
    <w:p w14:paraId="37476A75">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3.6.1.3单价金额小数点或者百分比有明显错位的，以已标价工程量清单的总价为准，并修改单价;</w:t>
      </w:r>
    </w:p>
    <w:p w14:paraId="60D5242D">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3.6.1.4总价金额与按单价汇总金额不一致的，以单价金额计算结果为准。</w:t>
      </w:r>
    </w:p>
    <w:p w14:paraId="02D57B5D">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3.6.1.5同时出现两种以上不一致的，按照3.6.1规定的顺序修正。修正后的报价经供应商确认后产生约束力。</w:t>
      </w:r>
    </w:p>
    <w:p w14:paraId="60BA7B26">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3.6.2响应文件出现不是唯一的、有选择性最后报价的，响应文件无效。</w:t>
      </w:r>
    </w:p>
    <w:p w14:paraId="60114A1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3.6.3最后报价超过采购文件中规定的预算金额或者最高限价的，响应文件无效。</w:t>
      </w:r>
    </w:p>
    <w:p w14:paraId="1F6C60C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2%的扣除，用扣除后的价格参加评审。组成联合体或者接受分包的小微企业与联合体内其他企业、分包企业之间存在直接控股、管理关系的，不享受价格扣除优惠政策。</w:t>
      </w:r>
    </w:p>
    <w:p w14:paraId="4D40F00C">
      <w:pPr>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3.7排序与推荐。</w:t>
      </w:r>
      <w:r>
        <w:rPr>
          <w:rFonts w:hint="eastAsia" w:ascii="宋体" w:hAnsi="宋体" w:cs="宋体"/>
          <w:color w:val="auto"/>
          <w:kern w:val="0"/>
          <w:sz w:val="24"/>
          <w:highlight w:val="none"/>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14:paraId="2945BF5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3.8编写评审报告。</w:t>
      </w:r>
      <w:r>
        <w:rPr>
          <w:rFonts w:hint="eastAsia" w:ascii="宋体" w:hAnsi="宋体" w:cs="宋体"/>
          <w:color w:val="auto"/>
          <w:kern w:val="0"/>
          <w:sz w:val="24"/>
          <w:highlight w:val="none"/>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5306B7E0">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四、评审中的其他事项</w:t>
      </w:r>
    </w:p>
    <w:p w14:paraId="5D58C4A5">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4.1供应商澄清、说明或者补正。</w:t>
      </w:r>
      <w:r>
        <w:rPr>
          <w:rFonts w:hint="eastAsia" w:ascii="宋体" w:hAnsi="宋体" w:cs="宋体"/>
          <w:color w:val="auto"/>
          <w:kern w:val="0"/>
          <w:szCs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535AB194">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4.2响应文件无效。</w:t>
      </w:r>
      <w:r>
        <w:rPr>
          <w:rFonts w:hint="eastAsia" w:cs="宋体"/>
          <w:color w:val="auto"/>
          <w:szCs w:val="21"/>
          <w:highlight w:val="none"/>
        </w:rPr>
        <w:t>有下列情形之一的，响应文件无效：</w:t>
      </w:r>
    </w:p>
    <w:p w14:paraId="64C379C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4.2.1供应商不具备采购文件中规定的资格要求的（供应商未提供有效的资格文件的，视为供应商不具备采购文件中规定的资格要求）；</w:t>
      </w:r>
    </w:p>
    <w:p w14:paraId="51DBAC8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4.2.2响应文件未按照采购文件要求签署、盖章的；</w:t>
      </w:r>
    </w:p>
    <w:p w14:paraId="2A2AFB9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4.2.3采购人拟采购的产品属于政府强制采购的节能产品品目清单范围的，供应商未按采购文件要求提供国家确定的认证机构出具的、处于有效期之内的节能产品认证证书的；</w:t>
      </w:r>
    </w:p>
    <w:p w14:paraId="73D2765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4.2.4响应文件含有采购人不能接受的附加条件的；</w:t>
      </w:r>
    </w:p>
    <w:p w14:paraId="4E6A27F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4.2.5响应文件中承诺的响应文件有效期少于采购文件中载明的响应文件有效期的；</w:t>
      </w:r>
    </w:p>
    <w:p w14:paraId="3C92A17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4.2.6响应文件出现不是唯一的、有选择性最后报价的;</w:t>
      </w:r>
    </w:p>
    <w:p w14:paraId="59022D9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4.2.7最后报价超过采购文件中规定的预算金额或者最高限价的;</w:t>
      </w:r>
    </w:p>
    <w:p w14:paraId="4831245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4.2.8报价明显低于其他通过符合性审查供应商的报价，有可能影响产品质量或者不能诚信履约的，未能按要求提供书面说明或者提交相关证明材料，不能证明其报价合理性的;</w:t>
      </w:r>
    </w:p>
    <w:p w14:paraId="1ADC3B1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4.2.9供应商对根据修正原则修正后的报价不确认的；</w:t>
      </w:r>
    </w:p>
    <w:p w14:paraId="6640C97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4.2.10供应商提供虚假材料响应的；</w:t>
      </w:r>
    </w:p>
    <w:p w14:paraId="0AD1DCA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4.2.11供应商有恶意串通、妨碍其他供应商的竞争行为、损害采购人或者其他供应商的合法权益情形的；</w:t>
      </w:r>
    </w:p>
    <w:p w14:paraId="2BCF386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4.2.12供应商仅提交备份响应文件，未在电子交易平台传输递交响应文件的，响应文件无效；</w:t>
      </w:r>
    </w:p>
    <w:p w14:paraId="0BF4A1F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 响应文件不满足采购文件的其它实质性要求的；</w:t>
      </w:r>
    </w:p>
    <w:p w14:paraId="6671E9E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1F9783CF">
      <w:pPr>
        <w:pStyle w:val="24"/>
        <w:snapToGrid w:val="0"/>
        <w:spacing w:line="360" w:lineRule="auto"/>
        <w:ind w:firstLine="472" w:firstLineChars="196"/>
        <w:rPr>
          <w:rFonts w:cs="宋体"/>
          <w:color w:val="auto"/>
          <w:highlight w:val="none"/>
        </w:rPr>
      </w:pPr>
      <w:r>
        <w:rPr>
          <w:rFonts w:hint="eastAsia" w:cs="宋体"/>
          <w:b/>
          <w:color w:val="auto"/>
          <w:highlight w:val="none"/>
        </w:rPr>
        <w:t>5.终止竞争性磋商采购活动。</w:t>
      </w:r>
      <w:r>
        <w:rPr>
          <w:rFonts w:hint="eastAsia" w:cs="宋体"/>
          <w:color w:val="auto"/>
          <w:highlight w:val="none"/>
        </w:rPr>
        <w:t>出现下列情形之一的，采购人或者采购代理机构应当终止竞争性磋商采购活动，发布项目终止公告并说明原因，重新开展采购活动：</w:t>
      </w:r>
    </w:p>
    <w:p w14:paraId="087D32BB">
      <w:pPr>
        <w:pStyle w:val="24"/>
        <w:snapToGrid w:val="0"/>
        <w:spacing w:line="360" w:lineRule="auto"/>
        <w:rPr>
          <w:rFonts w:cs="宋体"/>
          <w:color w:val="auto"/>
          <w:highlight w:val="none"/>
        </w:rPr>
      </w:pPr>
      <w:r>
        <w:rPr>
          <w:rFonts w:hint="eastAsia" w:cs="宋体"/>
          <w:color w:val="auto"/>
          <w:highlight w:val="none"/>
        </w:rPr>
        <w:t>5.1因情况变化，不再符合规定的竞争性磋商采购方式适用情形的；</w:t>
      </w:r>
    </w:p>
    <w:p w14:paraId="4D9A8058">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7E93F344">
      <w:pPr>
        <w:pStyle w:val="24"/>
        <w:snapToGrid w:val="0"/>
        <w:spacing w:line="360" w:lineRule="auto"/>
        <w:rPr>
          <w:rFonts w:cs="宋体"/>
          <w:color w:val="auto"/>
          <w:highlight w:val="none"/>
        </w:rPr>
      </w:pPr>
      <w:r>
        <w:rPr>
          <w:rFonts w:hint="eastAsia" w:cs="宋体"/>
          <w:color w:val="auto"/>
          <w:highlight w:val="none"/>
        </w:rPr>
        <w:t>5.3除本办法第二十一条第三款规定的情形外，在采购过程中符合要求的供应商或者报价未超过采购预算的供应商不足3家的。</w:t>
      </w:r>
    </w:p>
    <w:p w14:paraId="2158434E">
      <w:pPr>
        <w:pStyle w:val="24"/>
        <w:snapToGrid w:val="0"/>
        <w:spacing w:line="360" w:lineRule="auto"/>
        <w:rPr>
          <w:rFonts w:cs="宋体"/>
          <w:color w:val="auto"/>
          <w:highlight w:val="none"/>
        </w:rPr>
      </w:pPr>
      <w:r>
        <w:rPr>
          <w:rFonts w:hint="eastAsia" w:cs="宋体"/>
          <w:color w:val="auto"/>
          <w:highlight w:val="none"/>
        </w:rPr>
        <w:t>5.4在采购活动中因重大变故，采购任务取消的，采购人或者采购代理机构应当终止采购活动，通知所有参加采购活动的供应商，并将项目实施情况和采购任务取消原因报送本级财政部门。</w:t>
      </w:r>
    </w:p>
    <w:p w14:paraId="524BEFC0">
      <w:pPr>
        <w:pStyle w:val="24"/>
        <w:snapToGrid w:val="0"/>
        <w:spacing w:line="360" w:lineRule="auto"/>
        <w:ind w:firstLine="482"/>
        <w:rPr>
          <w:rFonts w:cs="宋体"/>
          <w:color w:val="auto"/>
          <w:highlight w:val="none"/>
        </w:rPr>
      </w:pPr>
      <w:r>
        <w:rPr>
          <w:rFonts w:hint="eastAsia" w:cs="宋体"/>
          <w:b/>
          <w:color w:val="auto"/>
          <w:kern w:val="0"/>
          <w:highlight w:val="none"/>
        </w:rPr>
        <w:t>6.重新开展采购。</w:t>
      </w:r>
      <w:r>
        <w:rPr>
          <w:rFonts w:hint="eastAsia" w:cs="宋体"/>
          <w:color w:val="auto"/>
          <w:highlight w:val="none"/>
        </w:rPr>
        <w:t>有政府采购法第七十一条、第七十二条规定的违法行为之一，影响或者可能影响成交结果的，依照下列规定处理：</w:t>
      </w:r>
    </w:p>
    <w:p w14:paraId="5BA1F6E3">
      <w:pPr>
        <w:pStyle w:val="24"/>
        <w:snapToGrid w:val="0"/>
        <w:spacing w:line="360" w:lineRule="auto"/>
        <w:rPr>
          <w:rFonts w:cs="宋体"/>
          <w:color w:val="auto"/>
          <w:highlight w:val="none"/>
        </w:rPr>
      </w:pPr>
      <w:r>
        <w:rPr>
          <w:rFonts w:hint="eastAsia" w:cs="宋体"/>
          <w:color w:val="auto"/>
          <w:highlight w:val="none"/>
        </w:rPr>
        <w:t>6.1未确定成交供应商的，终止本次政府采购活动，重新开展政府采购活动。</w:t>
      </w:r>
    </w:p>
    <w:p w14:paraId="0C8433D8">
      <w:pPr>
        <w:pStyle w:val="24"/>
        <w:snapToGrid w:val="0"/>
        <w:spacing w:line="360" w:lineRule="auto"/>
        <w:rPr>
          <w:rFonts w:cs="宋体"/>
          <w:color w:val="auto"/>
          <w:highlight w:val="none"/>
        </w:rPr>
      </w:pPr>
      <w:r>
        <w:rPr>
          <w:rFonts w:hint="eastAsia" w:cs="宋体"/>
          <w:color w:val="auto"/>
          <w:highlight w:val="none"/>
        </w:rPr>
        <w:t>6.2已确定成交供应商但尚未签订政府采购合同的，成交结果无效，从合格的成交候选供应商中另行确定成交供应商；没有合格的成交候选供应商的，重新开展政府采购活动。</w:t>
      </w:r>
    </w:p>
    <w:p w14:paraId="671D8FAA">
      <w:pPr>
        <w:pStyle w:val="24"/>
        <w:snapToGrid w:val="0"/>
        <w:spacing w:line="360" w:lineRule="auto"/>
        <w:rPr>
          <w:rFonts w:cs="宋体"/>
          <w:color w:val="auto"/>
          <w:highlight w:val="none"/>
        </w:rPr>
      </w:pPr>
      <w:r>
        <w:rPr>
          <w:rFonts w:hint="eastAsia" w:cs="宋体"/>
          <w:color w:val="auto"/>
          <w:highlight w:val="none"/>
        </w:rPr>
        <w:t>6.3政府采购合同已签订但尚未履行的，撤销合同，从合格的成交候选供应商中另行确定成交供应商；没有合格的成交候选供应商的，重新开展政府采购活动。</w:t>
      </w:r>
    </w:p>
    <w:p w14:paraId="1F9FDCFB">
      <w:pPr>
        <w:pStyle w:val="24"/>
        <w:snapToGrid w:val="0"/>
        <w:spacing w:line="360" w:lineRule="auto"/>
        <w:rPr>
          <w:rFonts w:cs="宋体"/>
          <w:color w:val="auto"/>
          <w:highlight w:val="none"/>
        </w:rPr>
      </w:pPr>
      <w:r>
        <w:rPr>
          <w:rFonts w:hint="eastAsia" w:cs="宋体"/>
          <w:color w:val="auto"/>
          <w:highlight w:val="none"/>
        </w:rPr>
        <w:t>6.4政府采购合同已经履行，给采购人、供应商造成损失的，由责任人承担赔偿责任。</w:t>
      </w:r>
    </w:p>
    <w:p w14:paraId="556C5CFA">
      <w:pPr>
        <w:pStyle w:val="24"/>
        <w:snapToGrid w:val="0"/>
        <w:spacing w:line="360" w:lineRule="auto"/>
        <w:rPr>
          <w:rFonts w:cs="宋体"/>
          <w:color w:val="auto"/>
          <w:highlight w:val="none"/>
        </w:rPr>
      </w:pPr>
      <w:r>
        <w:rPr>
          <w:rFonts w:hint="eastAsia" w:cs="宋体"/>
          <w:color w:val="auto"/>
          <w:highlight w:val="none"/>
        </w:rPr>
        <w:t>6.5政府采购当事人有其他违反政府采购法或者政府采购法实施条例等法律法规规定的行为，经改正后仍然影响或者可能影响成交结果或者依法被认定为成交无效的，依照6.1-6.4规定处理。</w:t>
      </w:r>
    </w:p>
    <w:p w14:paraId="5FC9EBD9">
      <w:pPr>
        <w:pStyle w:val="24"/>
        <w:snapToGrid w:val="0"/>
        <w:spacing w:line="360" w:lineRule="auto"/>
        <w:ind w:firstLine="0" w:firstLineChars="0"/>
        <w:rPr>
          <w:rFonts w:cs="宋体"/>
          <w:color w:val="auto"/>
          <w:highlight w:val="none"/>
        </w:rPr>
        <w:sectPr>
          <w:pgSz w:w="11907" w:h="16840"/>
          <w:pgMar w:top="1440" w:right="1080" w:bottom="1440" w:left="1080" w:header="851" w:footer="851" w:gutter="0"/>
          <w:cols w:space="720" w:num="1"/>
        </w:sectPr>
      </w:pPr>
    </w:p>
    <w:bookmarkEnd w:id="31"/>
    <w:p w14:paraId="143B8A25">
      <w:pPr>
        <w:spacing w:line="360" w:lineRule="auto"/>
        <w:jc w:val="center"/>
        <w:outlineLvl w:val="0"/>
        <w:rPr>
          <w:rFonts w:ascii="宋体" w:hAnsi="宋体" w:eastAsia="宋体" w:cs="Microsoft JhengHei"/>
          <w:b/>
          <w:bCs/>
          <w:kern w:val="0"/>
          <w:sz w:val="20"/>
          <w:szCs w:val="20"/>
        </w:rPr>
      </w:pPr>
      <w:bookmarkStart w:id="399" w:name="第五部分"/>
      <w:bookmarkStart w:id="400" w:name="_Toc86217003"/>
      <w:r>
        <w:rPr>
          <w:rFonts w:hint="eastAsia" w:ascii="宋体" w:hAnsi="宋体" w:cs="宋体"/>
          <w:b/>
          <w:color w:val="auto"/>
          <w:sz w:val="36"/>
          <w:szCs w:val="36"/>
          <w:highlight w:val="yellow"/>
        </w:rPr>
        <w:t>第五部分 拟签订的合同文本</w:t>
      </w:r>
      <w:bookmarkStart w:id="401" w:name="bookmark180"/>
      <w:bookmarkEnd w:id="401"/>
    </w:p>
    <w:p w14:paraId="26D71494">
      <w:pPr>
        <w:kinsoku w:val="0"/>
        <w:overflowPunct w:val="0"/>
        <w:autoSpaceDE w:val="0"/>
        <w:autoSpaceDN w:val="0"/>
        <w:adjustRightInd w:val="0"/>
        <w:spacing w:line="360" w:lineRule="auto"/>
        <w:ind w:left="2212" w:right="44"/>
        <w:jc w:val="left"/>
        <w:outlineLvl w:val="0"/>
        <w:rPr>
          <w:rFonts w:ascii="宋体" w:hAnsi="宋体" w:eastAsia="宋体" w:cs="Times New Roman"/>
          <w:kern w:val="44"/>
          <w:sz w:val="44"/>
          <w:szCs w:val="44"/>
        </w:rPr>
      </w:pPr>
      <w:r>
        <w:rPr>
          <w:rFonts w:hint="eastAsia" w:ascii="宋体" w:hAnsi="宋体" w:eastAsia="宋体" w:cs="Times New Roman"/>
          <w:b/>
          <w:bCs/>
          <w:kern w:val="44"/>
          <w:sz w:val="44"/>
          <w:szCs w:val="44"/>
        </w:rPr>
        <w:t>合同条款及格式</w:t>
      </w:r>
    </w:p>
    <w:p w14:paraId="243D37AD">
      <w:pPr>
        <w:kinsoku w:val="0"/>
        <w:overflowPunct w:val="0"/>
        <w:autoSpaceDE w:val="0"/>
        <w:autoSpaceDN w:val="0"/>
        <w:adjustRightInd w:val="0"/>
        <w:spacing w:line="360" w:lineRule="auto"/>
        <w:jc w:val="left"/>
        <w:rPr>
          <w:rFonts w:ascii="宋体" w:hAnsi="宋体" w:eastAsia="宋体" w:cs="Microsoft JhengHei"/>
          <w:b/>
          <w:bCs/>
          <w:kern w:val="0"/>
          <w:sz w:val="20"/>
          <w:szCs w:val="20"/>
        </w:rPr>
      </w:pPr>
    </w:p>
    <w:p w14:paraId="5B8DAD61">
      <w:pPr>
        <w:kinsoku w:val="0"/>
        <w:overflowPunct w:val="0"/>
        <w:autoSpaceDE w:val="0"/>
        <w:autoSpaceDN w:val="0"/>
        <w:adjustRightInd w:val="0"/>
        <w:spacing w:before="3" w:line="360" w:lineRule="auto"/>
        <w:ind w:firstLine="640" w:firstLineChars="200"/>
        <w:jc w:val="left"/>
        <w:rPr>
          <w:rFonts w:ascii="宋体" w:hAnsi="宋体" w:eastAsia="宋体" w:cs="Microsoft JhengHei"/>
          <w:b/>
          <w:bCs/>
          <w:kern w:val="0"/>
          <w:sz w:val="19"/>
          <w:szCs w:val="19"/>
        </w:rPr>
      </w:pPr>
      <w:r>
        <w:rPr>
          <w:rFonts w:hint="eastAsia" w:ascii="宋体" w:hAnsi="宋体" w:eastAsia="宋体" w:cs="Times New Roman"/>
          <w:kern w:val="0"/>
          <w:sz w:val="32"/>
          <w:szCs w:val="24"/>
        </w:rPr>
        <w:t>使用</w:t>
      </w:r>
      <w:r>
        <w:rPr>
          <w:rFonts w:hint="eastAsia" w:ascii="宋体" w:hAnsi="宋体" w:eastAsia="宋体" w:cs="Times New Roman"/>
          <w:kern w:val="0"/>
          <w:sz w:val="30"/>
          <w:szCs w:val="30"/>
        </w:rPr>
        <w:t>住房城乡建设部、国家工商行政管理总局制定的《建设工程施工合同（示范文本）》（</w:t>
      </w:r>
      <w:r>
        <w:rPr>
          <w:rFonts w:ascii="宋体" w:hAnsi="宋体" w:eastAsia="宋体" w:cs="Times New Roman"/>
          <w:kern w:val="0"/>
          <w:sz w:val="30"/>
          <w:szCs w:val="30"/>
        </w:rPr>
        <w:t>GF—2017—0201</w:t>
      </w:r>
      <w:r>
        <w:rPr>
          <w:rFonts w:hint="eastAsia" w:ascii="宋体" w:hAnsi="宋体" w:eastAsia="宋体" w:cs="Times New Roman"/>
          <w:kern w:val="0"/>
          <w:sz w:val="30"/>
          <w:szCs w:val="30"/>
        </w:rPr>
        <w:t>）及市建设行政主管部门颁发的施工合同专用条款（范本）</w:t>
      </w:r>
      <w:r>
        <w:rPr>
          <w:rFonts w:hint="eastAsia" w:ascii="宋体" w:hAnsi="宋体" w:eastAsia="宋体" w:cs="Times New Roman"/>
          <w:kern w:val="0"/>
          <w:sz w:val="32"/>
          <w:szCs w:val="24"/>
        </w:rPr>
        <w:t>。</w:t>
      </w:r>
    </w:p>
    <w:p w14:paraId="654151A8">
      <w:pPr>
        <w:spacing w:line="360" w:lineRule="auto"/>
        <w:jc w:val="center"/>
        <w:rPr>
          <w:rFonts w:ascii="宋体" w:hAnsi="宋体" w:eastAsia="宋体" w:cs="Times New Roman"/>
          <w:sz w:val="44"/>
          <w:szCs w:val="44"/>
        </w:rPr>
      </w:pPr>
    </w:p>
    <w:p w14:paraId="15E677B2">
      <w:pPr>
        <w:spacing w:line="360" w:lineRule="auto"/>
        <w:jc w:val="center"/>
        <w:rPr>
          <w:rFonts w:ascii="宋体" w:hAnsi="宋体" w:eastAsia="宋体" w:cs="Times New Roman"/>
          <w:sz w:val="44"/>
          <w:szCs w:val="44"/>
        </w:rPr>
      </w:pPr>
    </w:p>
    <w:p w14:paraId="458A9D17">
      <w:pPr>
        <w:spacing w:line="360" w:lineRule="auto"/>
        <w:jc w:val="center"/>
        <w:rPr>
          <w:rFonts w:ascii="宋体" w:hAnsi="宋体" w:eastAsia="宋体" w:cs="Times New Roman"/>
          <w:sz w:val="44"/>
          <w:szCs w:val="44"/>
        </w:rPr>
      </w:pPr>
    </w:p>
    <w:p w14:paraId="71B94263">
      <w:pPr>
        <w:spacing w:line="360" w:lineRule="auto"/>
        <w:jc w:val="center"/>
        <w:rPr>
          <w:rFonts w:ascii="宋体" w:hAnsi="宋体" w:eastAsia="宋体" w:cs="Times New Roman"/>
          <w:sz w:val="44"/>
          <w:szCs w:val="44"/>
        </w:rPr>
      </w:pPr>
    </w:p>
    <w:p w14:paraId="6B34B14B">
      <w:pPr>
        <w:bidi w:val="0"/>
        <w:rPr>
          <w:lang w:val="zh-CN"/>
        </w:rPr>
      </w:pPr>
    </w:p>
    <w:p w14:paraId="5F8288A6">
      <w:pPr>
        <w:bidi w:val="0"/>
        <w:rPr>
          <w:lang w:val="zh-CN"/>
        </w:rPr>
      </w:pPr>
    </w:p>
    <w:p w14:paraId="2DC132A1">
      <w:pPr>
        <w:bidi w:val="0"/>
        <w:rPr>
          <w:lang w:val="zh-CN"/>
        </w:rPr>
      </w:pPr>
    </w:p>
    <w:p w14:paraId="67C01AA9">
      <w:pPr>
        <w:bidi w:val="0"/>
      </w:pPr>
    </w:p>
    <w:p w14:paraId="4FCBACDF">
      <w:pPr>
        <w:bidi w:val="0"/>
      </w:pPr>
    </w:p>
    <w:p w14:paraId="53B3BAEE">
      <w:pPr>
        <w:bidi w:val="0"/>
      </w:pPr>
    </w:p>
    <w:p w14:paraId="31172716">
      <w:pPr>
        <w:bidi w:val="0"/>
      </w:pPr>
    </w:p>
    <w:p w14:paraId="60433CAD">
      <w:pPr>
        <w:autoSpaceDE w:val="0"/>
        <w:autoSpaceDN w:val="0"/>
        <w:adjustRightInd w:val="0"/>
        <w:spacing w:before="260" w:after="260"/>
        <w:jc w:val="center"/>
        <w:outlineLvl w:val="2"/>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第一部分 合同协议书</w:t>
      </w:r>
    </w:p>
    <w:p w14:paraId="0E7B8FD8">
      <w:pPr>
        <w:autoSpaceDE w:val="0"/>
        <w:autoSpaceDN w:val="0"/>
        <w:adjustRightInd w:val="0"/>
        <w:spacing w:line="400" w:lineRule="exact"/>
        <w:jc w:val="left"/>
        <w:rPr>
          <w:rFonts w:ascii="宋体" w:hAnsi="宋体" w:eastAsia="宋体" w:cs="Times New Roman"/>
          <w:b/>
          <w:bCs/>
          <w:color w:val="000000"/>
          <w:kern w:val="0"/>
          <w:szCs w:val="21"/>
          <w:u w:val="single"/>
        </w:rPr>
      </w:pPr>
      <w:r>
        <w:rPr>
          <w:rFonts w:hint="eastAsia" w:ascii="宋体" w:hAnsi="宋体" w:eastAsia="宋体" w:cs="Times New Roman"/>
          <w:b/>
          <w:bCs/>
          <w:color w:val="000000"/>
          <w:kern w:val="0"/>
          <w:szCs w:val="21"/>
        </w:rPr>
        <w:t>发包人（全称）</w:t>
      </w:r>
      <w:r>
        <w:rPr>
          <w:rFonts w:hint="eastAsia" w:ascii="宋体" w:hAnsi="宋体" w:eastAsia="宋体" w:cs="Times New Roman"/>
          <w:b/>
          <w:bCs/>
          <w:color w:val="000000"/>
          <w:kern w:val="0"/>
          <w:szCs w:val="21"/>
          <w:u w:val="single"/>
        </w:rPr>
        <w:t>：</w:t>
      </w:r>
    </w:p>
    <w:p w14:paraId="354A0086">
      <w:pPr>
        <w:autoSpaceDE w:val="0"/>
        <w:autoSpaceDN w:val="0"/>
        <w:adjustRightInd w:val="0"/>
        <w:spacing w:line="400" w:lineRule="exact"/>
        <w:jc w:val="left"/>
        <w:rPr>
          <w:rFonts w:ascii="宋体" w:hAnsi="宋体" w:eastAsia="宋体" w:cs="Times New Roman"/>
          <w:b/>
          <w:bCs/>
          <w:color w:val="000000"/>
          <w:kern w:val="0"/>
          <w:szCs w:val="21"/>
          <w:u w:val="single"/>
        </w:rPr>
      </w:pPr>
      <w:r>
        <w:rPr>
          <w:rFonts w:hint="eastAsia" w:ascii="宋体" w:hAnsi="宋体" w:eastAsia="宋体" w:cs="Times New Roman"/>
          <w:b/>
          <w:bCs/>
          <w:color w:val="000000"/>
          <w:kern w:val="0"/>
          <w:szCs w:val="21"/>
        </w:rPr>
        <w:t>承包人（全称）：</w:t>
      </w:r>
      <w:r>
        <w:rPr>
          <w:rFonts w:hint="eastAsia" w:ascii="宋体" w:hAnsi="宋体" w:eastAsia="宋体" w:cs="Times New Roman"/>
          <w:b/>
          <w:bCs/>
          <w:color w:val="000000"/>
          <w:kern w:val="0"/>
          <w:szCs w:val="21"/>
          <w:u w:val="single"/>
        </w:rPr>
        <w:t xml:space="preserve">   </w:t>
      </w:r>
      <w:r>
        <w:rPr>
          <w:rFonts w:ascii="宋体" w:hAnsi="宋体" w:eastAsia="宋体" w:cs="Times New Roman"/>
          <w:b/>
          <w:bCs/>
          <w:color w:val="000000"/>
          <w:kern w:val="0"/>
          <w:szCs w:val="21"/>
          <w:u w:val="single"/>
        </w:rPr>
        <w:t xml:space="preserve">          </w:t>
      </w:r>
    </w:p>
    <w:p w14:paraId="7302F137">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根据《中华人民共和国民法典》、《中华人民共和国建筑法》及有关法律规定，遵循平等、自愿、公平和诚实信用的原则，双方就施工及有关事项协商一致，共同达成如下协议：</w:t>
      </w:r>
    </w:p>
    <w:p w14:paraId="52ECB155">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 xml:space="preserve"> 一、工程概况</w:t>
      </w:r>
    </w:p>
    <w:p w14:paraId="5D5BE883">
      <w:pPr>
        <w:autoSpaceDE w:val="0"/>
        <w:autoSpaceDN w:val="0"/>
        <w:adjustRightInd w:val="0"/>
        <w:spacing w:line="400" w:lineRule="exact"/>
        <w:ind w:firstLine="411" w:firstLineChars="196"/>
        <w:jc w:val="left"/>
        <w:rPr>
          <w:rFonts w:ascii="宋体" w:hAnsi="宋体" w:eastAsia="宋体" w:cs="Times New Roman"/>
          <w:color w:val="000000"/>
          <w:kern w:val="0"/>
          <w:szCs w:val="21"/>
          <w:u w:val="single"/>
        </w:rPr>
      </w:pPr>
      <w:r>
        <w:rPr>
          <w:rFonts w:hint="eastAsia" w:ascii="宋体" w:hAnsi="宋体" w:eastAsia="宋体" w:cs="Times New Roman"/>
          <w:color w:val="000000"/>
          <w:kern w:val="0"/>
          <w:szCs w:val="21"/>
        </w:rPr>
        <w:t>1.工程名称：</w:t>
      </w:r>
      <w:r>
        <w:rPr>
          <w:rFonts w:hint="eastAsia" w:ascii="宋体" w:hAnsi="宋体" w:eastAsia="宋体" w:cs="Times New Roman"/>
          <w:color w:val="000000"/>
          <w:kern w:val="0"/>
          <w:szCs w:val="21"/>
          <w:u w:val="single"/>
        </w:rPr>
        <w:t>钱江新城CBD楼宇服务中心工程项目</w:t>
      </w:r>
    </w:p>
    <w:p w14:paraId="29F3D33E">
      <w:pPr>
        <w:autoSpaceDE w:val="0"/>
        <w:autoSpaceDN w:val="0"/>
        <w:adjustRightInd w:val="0"/>
        <w:spacing w:line="400" w:lineRule="exact"/>
        <w:ind w:firstLine="411" w:firstLineChars="196"/>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2.工程地点：</w:t>
      </w:r>
      <w:r>
        <w:rPr>
          <w:rFonts w:hint="eastAsia" w:ascii="宋体" w:hAnsi="宋体" w:eastAsia="宋体" w:cs="Times New Roman"/>
          <w:b/>
          <w:bCs/>
          <w:color w:val="000000"/>
          <w:kern w:val="0"/>
          <w:szCs w:val="21"/>
          <w:u w:val="single"/>
        </w:rPr>
        <w:t>。</w:t>
      </w:r>
    </w:p>
    <w:p w14:paraId="09FBA959">
      <w:pPr>
        <w:autoSpaceDE w:val="0"/>
        <w:autoSpaceDN w:val="0"/>
        <w:adjustRightInd w:val="0"/>
        <w:spacing w:line="400" w:lineRule="exact"/>
        <w:ind w:firstLine="411" w:firstLineChars="196"/>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3.工程立项批准文号：</w:t>
      </w:r>
      <w:r>
        <w:rPr>
          <w:rFonts w:hint="eastAsia" w:ascii="宋体" w:hAnsi="宋体" w:eastAsia="宋体" w:cs="Times New Roman"/>
          <w:b/>
          <w:bCs/>
          <w:color w:val="000000"/>
          <w:kern w:val="0"/>
          <w:szCs w:val="21"/>
          <w:u w:val="single"/>
        </w:rPr>
        <w:t xml:space="preserve"> </w:t>
      </w:r>
      <w:r>
        <w:rPr>
          <w:rFonts w:hint="eastAsia" w:ascii="宋体" w:hAnsi="宋体" w:eastAsia="宋体" w:cs="Times New Roman"/>
          <w:color w:val="000000"/>
          <w:kern w:val="0"/>
          <w:szCs w:val="21"/>
          <w:u w:val="single"/>
        </w:rPr>
        <w:t>。</w:t>
      </w:r>
    </w:p>
    <w:p w14:paraId="169C7B2C">
      <w:pPr>
        <w:autoSpaceDE w:val="0"/>
        <w:autoSpaceDN w:val="0"/>
        <w:adjustRightInd w:val="0"/>
        <w:spacing w:line="400" w:lineRule="exact"/>
        <w:ind w:firstLine="411" w:firstLineChars="196"/>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4.资金来源：</w:t>
      </w:r>
      <w:r>
        <w:rPr>
          <w:rFonts w:hint="eastAsia" w:ascii="宋体" w:hAnsi="宋体" w:eastAsia="宋体" w:cs="Times New Roman"/>
          <w:b/>
          <w:bCs/>
          <w:color w:val="000000"/>
          <w:kern w:val="0"/>
          <w:szCs w:val="21"/>
          <w:u w:val="single"/>
        </w:rPr>
        <w:t xml:space="preserve">   </w:t>
      </w:r>
      <w:r>
        <w:rPr>
          <w:rFonts w:hint="eastAsia" w:ascii="宋体" w:hAnsi="宋体" w:eastAsia="宋体" w:cs="Times New Roman"/>
          <w:color w:val="000000"/>
          <w:kern w:val="0"/>
          <w:szCs w:val="21"/>
          <w:u w:val="single"/>
        </w:rPr>
        <w:t>。</w:t>
      </w:r>
    </w:p>
    <w:p w14:paraId="0C2E1789">
      <w:pPr>
        <w:autoSpaceDE w:val="0"/>
        <w:autoSpaceDN w:val="0"/>
        <w:adjustRightInd w:val="0"/>
        <w:spacing w:line="400" w:lineRule="exact"/>
        <w:ind w:firstLine="411" w:firstLineChars="196"/>
        <w:jc w:val="left"/>
        <w:rPr>
          <w:rFonts w:ascii="宋体" w:hAnsi="宋体" w:eastAsia="宋体" w:cs="Times New Roman"/>
          <w:kern w:val="0"/>
          <w:szCs w:val="21"/>
        </w:rPr>
      </w:pPr>
      <w:r>
        <w:rPr>
          <w:rFonts w:hint="eastAsia" w:ascii="宋体" w:hAnsi="宋体" w:eastAsia="宋体" w:cs="Times New Roman"/>
          <w:color w:val="000000"/>
          <w:kern w:val="0"/>
          <w:szCs w:val="21"/>
        </w:rPr>
        <w:t>5.工程内容:</w:t>
      </w:r>
      <w:r>
        <w:rPr>
          <w:rFonts w:hint="eastAsia" w:ascii="宋体" w:hAnsi="宋体" w:eastAsia="宋体" w:cs="Times New Roman"/>
          <w:b/>
          <w:bCs/>
          <w:color w:val="000000"/>
          <w:kern w:val="0"/>
          <w:szCs w:val="21"/>
          <w:u w:val="single"/>
        </w:rPr>
        <w:t>施工图及工程量清单范围内的全部工程内容，具体以提供的施工图、工程量清单及其编制说明、联系单中明确的内容为准。</w:t>
      </w:r>
    </w:p>
    <w:p w14:paraId="5F49A05C">
      <w:pPr>
        <w:autoSpaceDE w:val="0"/>
        <w:autoSpaceDN w:val="0"/>
        <w:adjustRightInd w:val="0"/>
        <w:spacing w:line="400" w:lineRule="exact"/>
        <w:ind w:firstLine="411" w:firstLineChars="196"/>
        <w:jc w:val="left"/>
        <w:rPr>
          <w:rFonts w:ascii="宋体" w:hAnsi="宋体" w:eastAsia="宋体" w:cs="Times New Roman"/>
          <w:kern w:val="0"/>
          <w:szCs w:val="21"/>
          <w:u w:val="single"/>
        </w:rPr>
      </w:pPr>
      <w:r>
        <w:rPr>
          <w:rFonts w:hint="eastAsia" w:ascii="宋体" w:hAnsi="宋体" w:eastAsia="宋体" w:cs="Times New Roman"/>
          <w:color w:val="000000"/>
          <w:kern w:val="0"/>
          <w:szCs w:val="21"/>
        </w:rPr>
        <w:t>6.工程承包范围：</w:t>
      </w:r>
      <w:r>
        <w:rPr>
          <w:rFonts w:hint="eastAsia" w:ascii="宋体" w:hAnsi="宋体" w:eastAsia="宋体" w:cs="Times New Roman"/>
          <w:b/>
          <w:bCs/>
          <w:color w:val="000000"/>
          <w:kern w:val="0"/>
          <w:szCs w:val="21"/>
          <w:u w:val="single"/>
        </w:rPr>
        <w:t>施工图范围内所有内容，具体以提供的施工图、工程量清单中明确内容为准</w:t>
      </w:r>
      <w:r>
        <w:rPr>
          <w:rFonts w:hint="eastAsia" w:ascii="宋体" w:hAnsi="宋体" w:eastAsia="宋体" w:cs="Times New Roman"/>
          <w:color w:val="000000"/>
          <w:kern w:val="0"/>
          <w:szCs w:val="21"/>
          <w:u w:val="single"/>
        </w:rPr>
        <w:t>。</w:t>
      </w:r>
    </w:p>
    <w:p w14:paraId="2699CF1A">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 xml:space="preserve">   二、合同工期</w:t>
      </w:r>
    </w:p>
    <w:p w14:paraId="75AADE93">
      <w:pPr>
        <w:autoSpaceDE w:val="0"/>
        <w:autoSpaceDN w:val="0"/>
        <w:adjustRightInd w:val="0"/>
        <w:spacing w:line="400" w:lineRule="exact"/>
        <w:ind w:firstLine="459"/>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计划开工日期：</w:t>
      </w:r>
      <w:r>
        <w:rPr>
          <w:rFonts w:hint="eastAsia" w:ascii="宋体" w:hAnsi="宋体" w:eastAsia="宋体" w:cs="Times New Roman"/>
          <w:color w:val="000000"/>
          <w:kern w:val="0"/>
          <w:szCs w:val="21"/>
          <w:u w:val="single"/>
        </w:rPr>
        <w:t xml:space="preserve">年 </w:t>
      </w:r>
      <w:r>
        <w:rPr>
          <w:rFonts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u w:val="single"/>
        </w:rPr>
        <w:t xml:space="preserve">月 </w:t>
      </w:r>
      <w:r>
        <w:rPr>
          <w:rFonts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u w:val="single"/>
        </w:rPr>
        <w:t>日（具体以开工报告为准）。</w:t>
      </w:r>
    </w:p>
    <w:p w14:paraId="3729AE34">
      <w:pPr>
        <w:autoSpaceDE w:val="0"/>
        <w:autoSpaceDN w:val="0"/>
        <w:adjustRightInd w:val="0"/>
        <w:spacing w:line="400" w:lineRule="exact"/>
        <w:ind w:firstLine="459"/>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计划竣工日期：</w:t>
      </w:r>
      <w:r>
        <w:rPr>
          <w:rFonts w:hint="eastAsia" w:ascii="宋体" w:hAnsi="宋体" w:eastAsia="宋体" w:cs="Times New Roman"/>
          <w:color w:val="000000"/>
          <w:kern w:val="0"/>
          <w:szCs w:val="21"/>
          <w:u w:val="single"/>
        </w:rPr>
        <w:t xml:space="preserve">年 </w:t>
      </w:r>
      <w:r>
        <w:rPr>
          <w:rFonts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u w:val="single"/>
        </w:rPr>
        <w:t xml:space="preserve">月 </w:t>
      </w:r>
      <w:r>
        <w:rPr>
          <w:rFonts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u w:val="single"/>
        </w:rPr>
        <w:t>日。</w:t>
      </w:r>
    </w:p>
    <w:p w14:paraId="550CE405">
      <w:pPr>
        <w:autoSpaceDE w:val="0"/>
        <w:autoSpaceDN w:val="0"/>
        <w:adjustRightInd w:val="0"/>
        <w:spacing w:line="400" w:lineRule="exact"/>
        <w:ind w:firstLine="459"/>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工期总日历天数：</w:t>
      </w:r>
      <w:r>
        <w:rPr>
          <w:rFonts w:hint="eastAsia" w:ascii="宋体" w:hAnsi="宋体" w:eastAsia="宋体" w:cs="Times New Roman"/>
          <w:color w:val="000000"/>
          <w:kern w:val="0"/>
          <w:szCs w:val="21"/>
          <w:u w:val="single"/>
        </w:rPr>
        <w:t xml:space="preserve"> </w:t>
      </w:r>
      <w:r>
        <w:rPr>
          <w:rFonts w:ascii="宋体" w:hAnsi="宋体" w:eastAsia="宋体" w:cs="Times New Roman"/>
          <w:color w:val="000000"/>
          <w:kern w:val="0"/>
          <w:szCs w:val="21"/>
          <w:u w:val="single"/>
        </w:rPr>
        <w:t xml:space="preserve"> 60 </w:t>
      </w:r>
      <w:r>
        <w:rPr>
          <w:rFonts w:hint="eastAsia"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rPr>
        <w:t>天。工期总日历天数与根据前述计划开竣工日期计算的工期天数不一致的，以工期总日历天数为准。</w:t>
      </w:r>
    </w:p>
    <w:p w14:paraId="6A947991">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三、质量标准</w:t>
      </w:r>
    </w:p>
    <w:p w14:paraId="5D08A324">
      <w:pPr>
        <w:autoSpaceDE w:val="0"/>
        <w:autoSpaceDN w:val="0"/>
        <w:adjustRightInd w:val="0"/>
        <w:spacing w:line="400" w:lineRule="exact"/>
        <w:ind w:firstLine="459"/>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工程质量符合</w:t>
      </w:r>
      <w:r>
        <w:rPr>
          <w:rFonts w:hint="eastAsia" w:ascii="宋体" w:hAnsi="宋体" w:eastAsia="宋体" w:cs="Times New Roman"/>
          <w:b/>
          <w:bCs/>
          <w:color w:val="000000"/>
          <w:kern w:val="0"/>
          <w:szCs w:val="21"/>
          <w:u w:val="single"/>
        </w:rPr>
        <w:t>合格</w:t>
      </w:r>
      <w:r>
        <w:rPr>
          <w:rFonts w:hint="eastAsia" w:ascii="宋体" w:hAnsi="宋体" w:eastAsia="宋体" w:cs="Times New Roman"/>
          <w:color w:val="000000"/>
          <w:kern w:val="0"/>
          <w:szCs w:val="21"/>
        </w:rPr>
        <w:t>标准。</w:t>
      </w:r>
    </w:p>
    <w:p w14:paraId="2F677266">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 xml:space="preserve"> 四、签约合同价与合同价格形式</w:t>
      </w:r>
      <w:r>
        <w:rPr>
          <w:rFonts w:hint="eastAsia" w:ascii="宋体" w:hAnsi="宋体" w:eastAsia="宋体" w:cs="Times New Roman"/>
          <w:b/>
          <w:bCs/>
          <w:color w:val="000000"/>
          <w:kern w:val="0"/>
          <w:szCs w:val="21"/>
        </w:rPr>
        <w:tab/>
      </w:r>
    </w:p>
    <w:p w14:paraId="2E9C701F">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1.签约合同价为：</w:t>
      </w:r>
    </w:p>
    <w:p w14:paraId="42863086">
      <w:pPr>
        <w:autoSpaceDE w:val="0"/>
        <w:autoSpaceDN w:val="0"/>
        <w:adjustRightInd w:val="0"/>
        <w:spacing w:line="400" w:lineRule="exact"/>
        <w:ind w:firstLine="525" w:firstLineChars="25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人民币（大写）</w:t>
      </w:r>
      <w:r>
        <w:rPr>
          <w:rFonts w:hint="eastAsia" w:ascii="宋体" w:hAnsi="宋体" w:eastAsia="宋体" w:cs="Times New Roman"/>
          <w:color w:val="000000"/>
          <w:kern w:val="0"/>
          <w:szCs w:val="21"/>
          <w:u w:val="single"/>
        </w:rPr>
        <w:t xml:space="preserve">  (¥ 元)</w:t>
      </w:r>
      <w:r>
        <w:rPr>
          <w:rFonts w:hint="eastAsia" w:ascii="宋体" w:hAnsi="宋体" w:eastAsia="宋体" w:cs="Times New Roman"/>
          <w:color w:val="000000"/>
          <w:kern w:val="0"/>
          <w:szCs w:val="21"/>
        </w:rPr>
        <w:t>；</w:t>
      </w:r>
    </w:p>
    <w:p w14:paraId="310067A9">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其中：</w:t>
      </w:r>
    </w:p>
    <w:p w14:paraId="77959635">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（1）安全文明施工费：</w:t>
      </w:r>
    </w:p>
    <w:p w14:paraId="40B06AF6">
      <w:pPr>
        <w:autoSpaceDE w:val="0"/>
        <w:autoSpaceDN w:val="0"/>
        <w:adjustRightInd w:val="0"/>
        <w:spacing w:line="400" w:lineRule="exact"/>
        <w:ind w:firstLine="945" w:firstLineChars="45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人民币（大写）</w:t>
      </w:r>
      <w:r>
        <w:rPr>
          <w:rFonts w:hint="eastAsia" w:ascii="宋体" w:hAnsi="宋体" w:eastAsia="宋体" w:cs="Times New Roman"/>
          <w:color w:val="000000"/>
          <w:kern w:val="0"/>
          <w:szCs w:val="21"/>
          <w:u w:val="single"/>
        </w:rPr>
        <w:t xml:space="preserve"> (¥元 </w:t>
      </w:r>
      <w:r>
        <w:rPr>
          <w:rFonts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u w:val="single"/>
        </w:rPr>
        <w:t>)</w:t>
      </w:r>
      <w:r>
        <w:rPr>
          <w:rFonts w:hint="eastAsia" w:ascii="宋体" w:hAnsi="宋体" w:eastAsia="宋体" w:cs="Times New Roman"/>
          <w:color w:val="000000"/>
          <w:kern w:val="0"/>
          <w:szCs w:val="21"/>
        </w:rPr>
        <w:t>；</w:t>
      </w:r>
    </w:p>
    <w:p w14:paraId="4B043503">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（2）材料和工程设备暂估价金额：</w:t>
      </w:r>
    </w:p>
    <w:p w14:paraId="7B727F2A">
      <w:pPr>
        <w:autoSpaceDE w:val="0"/>
        <w:autoSpaceDN w:val="0"/>
        <w:adjustRightInd w:val="0"/>
        <w:spacing w:line="400" w:lineRule="exact"/>
        <w:ind w:firstLine="945" w:firstLineChars="45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人民币（大写）</w:t>
      </w:r>
      <w:r>
        <w:rPr>
          <w:rFonts w:hint="eastAsia" w:ascii="宋体" w:hAnsi="宋体" w:eastAsia="宋体" w:cs="Times New Roman"/>
          <w:color w:val="000000"/>
          <w:kern w:val="0"/>
          <w:szCs w:val="21"/>
          <w:u w:val="single"/>
        </w:rPr>
        <w:t xml:space="preserve">       </w:t>
      </w:r>
      <w:r>
        <w:rPr>
          <w:rFonts w:ascii="宋体" w:hAnsi="宋体" w:eastAsia="宋体" w:cs="Times New Roman"/>
          <w:color w:val="000000"/>
          <w:kern w:val="0"/>
          <w:szCs w:val="21"/>
          <w:u w:val="single"/>
        </w:rPr>
        <w:t>/</w:t>
      </w:r>
      <w:r>
        <w:rPr>
          <w:rFonts w:hint="eastAsia" w:ascii="宋体" w:hAnsi="宋体" w:eastAsia="宋体" w:cs="Times New Roman"/>
          <w:color w:val="000000"/>
          <w:kern w:val="0"/>
          <w:szCs w:val="21"/>
          <w:u w:val="single"/>
        </w:rPr>
        <w:t xml:space="preserve">      </w:t>
      </w:r>
      <w:r>
        <w:rPr>
          <w:rFonts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u w:val="single"/>
        </w:rPr>
        <w:t xml:space="preserve">   (¥     </w:t>
      </w:r>
      <w:r>
        <w:rPr>
          <w:rFonts w:ascii="宋体" w:hAnsi="宋体" w:eastAsia="宋体" w:cs="Times New Roman"/>
          <w:color w:val="000000"/>
          <w:kern w:val="0"/>
          <w:szCs w:val="21"/>
          <w:u w:val="single"/>
        </w:rPr>
        <w:t>/</w:t>
      </w:r>
      <w:r>
        <w:rPr>
          <w:rFonts w:hint="eastAsia" w:ascii="宋体" w:hAnsi="宋体" w:eastAsia="宋体" w:cs="Times New Roman"/>
          <w:color w:val="000000"/>
          <w:kern w:val="0"/>
          <w:szCs w:val="21"/>
          <w:u w:val="single"/>
        </w:rPr>
        <w:t xml:space="preserve">        元)</w:t>
      </w:r>
      <w:r>
        <w:rPr>
          <w:rFonts w:hint="eastAsia" w:ascii="宋体" w:hAnsi="宋体" w:eastAsia="宋体" w:cs="Times New Roman"/>
          <w:color w:val="000000"/>
          <w:kern w:val="0"/>
          <w:szCs w:val="21"/>
        </w:rPr>
        <w:t>；</w:t>
      </w:r>
    </w:p>
    <w:p w14:paraId="72856E9B">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（3）专业工程暂估价金额：</w:t>
      </w:r>
    </w:p>
    <w:p w14:paraId="03F1365C">
      <w:pPr>
        <w:autoSpaceDE w:val="0"/>
        <w:autoSpaceDN w:val="0"/>
        <w:adjustRightInd w:val="0"/>
        <w:spacing w:line="400" w:lineRule="exact"/>
        <w:ind w:firstLine="945" w:firstLineChars="45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人民币（大写）</w:t>
      </w:r>
      <w:r>
        <w:rPr>
          <w:rFonts w:hint="eastAsia" w:ascii="宋体" w:hAnsi="宋体" w:eastAsia="宋体" w:cs="Times New Roman"/>
          <w:color w:val="000000"/>
          <w:kern w:val="0"/>
          <w:szCs w:val="21"/>
          <w:u w:val="single"/>
        </w:rPr>
        <w:t xml:space="preserve">       </w:t>
      </w:r>
      <w:r>
        <w:rPr>
          <w:rFonts w:ascii="宋体" w:hAnsi="宋体" w:eastAsia="宋体" w:cs="Times New Roman"/>
          <w:color w:val="000000"/>
          <w:kern w:val="0"/>
          <w:szCs w:val="21"/>
          <w:u w:val="single"/>
        </w:rPr>
        <w:t>/</w:t>
      </w:r>
      <w:r>
        <w:rPr>
          <w:rFonts w:hint="eastAsia" w:ascii="宋体" w:hAnsi="宋体" w:eastAsia="宋体" w:cs="Times New Roman"/>
          <w:color w:val="000000"/>
          <w:kern w:val="0"/>
          <w:szCs w:val="21"/>
          <w:u w:val="single"/>
        </w:rPr>
        <w:t xml:space="preserve">          (¥     </w:t>
      </w:r>
      <w:r>
        <w:rPr>
          <w:rFonts w:ascii="宋体" w:hAnsi="宋体" w:eastAsia="宋体" w:cs="Times New Roman"/>
          <w:color w:val="000000"/>
          <w:kern w:val="0"/>
          <w:szCs w:val="21"/>
          <w:u w:val="single"/>
        </w:rPr>
        <w:t>/</w:t>
      </w:r>
      <w:r>
        <w:rPr>
          <w:rFonts w:hint="eastAsia" w:ascii="宋体" w:hAnsi="宋体" w:eastAsia="宋体" w:cs="Times New Roman"/>
          <w:color w:val="000000"/>
          <w:kern w:val="0"/>
          <w:szCs w:val="21"/>
          <w:u w:val="single"/>
        </w:rPr>
        <w:t xml:space="preserve">        元)</w:t>
      </w:r>
      <w:r>
        <w:rPr>
          <w:rFonts w:hint="eastAsia" w:ascii="宋体" w:hAnsi="宋体" w:eastAsia="宋体" w:cs="Times New Roman"/>
          <w:color w:val="000000"/>
          <w:kern w:val="0"/>
          <w:szCs w:val="21"/>
        </w:rPr>
        <w:t>；</w:t>
      </w:r>
    </w:p>
    <w:p w14:paraId="57BF1940">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（4）暂列金额：</w:t>
      </w:r>
    </w:p>
    <w:p w14:paraId="59387E12">
      <w:pPr>
        <w:autoSpaceDE w:val="0"/>
        <w:autoSpaceDN w:val="0"/>
        <w:adjustRightInd w:val="0"/>
        <w:spacing w:line="400" w:lineRule="exact"/>
        <w:ind w:firstLine="945" w:firstLineChars="45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人民币（大写）</w:t>
      </w:r>
      <w:r>
        <w:rPr>
          <w:rFonts w:hint="eastAsia" w:ascii="宋体" w:hAnsi="宋体" w:eastAsia="宋体" w:cs="Times New Roman"/>
          <w:color w:val="000000"/>
          <w:kern w:val="0"/>
          <w:szCs w:val="21"/>
          <w:u w:val="single"/>
        </w:rPr>
        <w:t xml:space="preserve">     </w:t>
      </w:r>
      <w:r>
        <w:rPr>
          <w:rFonts w:ascii="宋体" w:hAnsi="宋体" w:eastAsia="宋体" w:cs="Times New Roman"/>
          <w:color w:val="000000"/>
          <w:kern w:val="0"/>
          <w:szCs w:val="21"/>
          <w:u w:val="single"/>
        </w:rPr>
        <w:t>/</w:t>
      </w:r>
      <w:r>
        <w:rPr>
          <w:rFonts w:hint="eastAsia" w:ascii="宋体" w:hAnsi="宋体" w:eastAsia="宋体" w:cs="Times New Roman"/>
          <w:color w:val="000000"/>
          <w:kern w:val="0"/>
          <w:szCs w:val="21"/>
          <w:u w:val="single"/>
        </w:rPr>
        <w:t xml:space="preserve">           (¥     </w:t>
      </w:r>
      <w:r>
        <w:rPr>
          <w:rFonts w:ascii="宋体" w:hAnsi="宋体" w:eastAsia="宋体" w:cs="Times New Roman"/>
          <w:color w:val="000000"/>
          <w:kern w:val="0"/>
          <w:szCs w:val="21"/>
          <w:u w:val="single"/>
        </w:rPr>
        <w:t>/</w:t>
      </w:r>
      <w:r>
        <w:rPr>
          <w:rFonts w:hint="eastAsia" w:ascii="宋体" w:hAnsi="宋体" w:eastAsia="宋体" w:cs="Times New Roman"/>
          <w:color w:val="000000"/>
          <w:kern w:val="0"/>
          <w:szCs w:val="21"/>
          <w:u w:val="single"/>
        </w:rPr>
        <w:t xml:space="preserve">     </w:t>
      </w:r>
      <w:r>
        <w:rPr>
          <w:rFonts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u w:val="single"/>
        </w:rPr>
        <w:t xml:space="preserve">  元)</w:t>
      </w:r>
      <w:r>
        <w:rPr>
          <w:rFonts w:hint="eastAsia" w:ascii="宋体" w:hAnsi="宋体" w:eastAsia="宋体" w:cs="Times New Roman"/>
          <w:color w:val="000000"/>
          <w:kern w:val="0"/>
          <w:szCs w:val="21"/>
        </w:rPr>
        <w:t>。</w:t>
      </w:r>
    </w:p>
    <w:p w14:paraId="67495FDD">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2.合同价格形式：</w:t>
      </w:r>
      <w:r>
        <w:rPr>
          <w:rFonts w:hint="eastAsia" w:ascii="宋体" w:hAnsi="宋体" w:eastAsia="宋体" w:cs="Times New Roman"/>
          <w:b/>
          <w:bCs/>
          <w:color w:val="000000"/>
          <w:kern w:val="0"/>
          <w:szCs w:val="21"/>
          <w:u w:val="single"/>
        </w:rPr>
        <w:t>单价合同</w:t>
      </w:r>
      <w:r>
        <w:rPr>
          <w:rFonts w:hint="eastAsia" w:ascii="宋体" w:hAnsi="宋体" w:eastAsia="宋体" w:cs="Times New Roman"/>
          <w:color w:val="000000"/>
          <w:kern w:val="0"/>
          <w:szCs w:val="21"/>
        </w:rPr>
        <w:t>。</w:t>
      </w:r>
    </w:p>
    <w:p w14:paraId="04EF8DA3">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五、项目经理</w:t>
      </w:r>
    </w:p>
    <w:p w14:paraId="75194C5A">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承包人项目经理：</w:t>
      </w:r>
      <w:r>
        <w:rPr>
          <w:rFonts w:hint="eastAsia" w:ascii="宋体" w:hAnsi="宋体" w:eastAsia="宋体" w:cs="Times New Roman"/>
          <w:color w:val="000000"/>
          <w:kern w:val="0"/>
          <w:szCs w:val="21"/>
          <w:u w:val="single"/>
        </w:rPr>
        <w:t xml:space="preserve">      </w:t>
      </w:r>
      <w:r>
        <w:rPr>
          <w:rFonts w:hint="eastAsia" w:ascii="宋体" w:hAnsi="宋体" w:eastAsia="宋体" w:cs="Times New Roman"/>
          <w:color w:val="000000"/>
          <w:kern w:val="0"/>
          <w:szCs w:val="21"/>
        </w:rPr>
        <w:t>。</w:t>
      </w:r>
    </w:p>
    <w:p w14:paraId="669303FE">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 xml:space="preserve"> 六、合同文件构成</w:t>
      </w:r>
    </w:p>
    <w:p w14:paraId="310D054F">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本协议书与下列文件一起构成合同文件：</w:t>
      </w:r>
    </w:p>
    <w:p w14:paraId="5B917FF7">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（1）中标通知书；</w:t>
      </w:r>
    </w:p>
    <w:p w14:paraId="77E6FF84">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 xml:space="preserve">（2）投标函及其附录； </w:t>
      </w:r>
    </w:p>
    <w:p w14:paraId="73E57485">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（3）专用合同条款及其附件；</w:t>
      </w:r>
    </w:p>
    <w:p w14:paraId="44B3FF0A">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（4）通用合同条款；</w:t>
      </w:r>
    </w:p>
    <w:p w14:paraId="484BEBB0">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（5）技术标准和要求；</w:t>
      </w:r>
    </w:p>
    <w:p w14:paraId="239D9C9A">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（6）图纸；</w:t>
      </w:r>
    </w:p>
    <w:p w14:paraId="708D755E">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（7）已标价工程量清单或预算书；</w:t>
      </w:r>
    </w:p>
    <w:p w14:paraId="7DDC848A">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（8）其他合同文件。</w:t>
      </w:r>
    </w:p>
    <w:p w14:paraId="0FD5A9D5">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在合同订立及履行过程中形成的与合同有关的文件均构成合同文件组成部分。</w:t>
      </w:r>
    </w:p>
    <w:p w14:paraId="12E1020F">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上述各项合同文件包括合同当事人就该项合同文件所作出的补充和修改，属于同一类内容的文件，应以最新签署的为准。专用合同条款及其附件须经合同当事人签字或盖章。</w:t>
      </w:r>
    </w:p>
    <w:p w14:paraId="5D18BD55">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 xml:space="preserve"> 七、承诺</w:t>
      </w:r>
    </w:p>
    <w:p w14:paraId="19245573">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1.发包人承诺按照法律规定履行项目审批手续、筹集工程建设资金并按照合同约定的期限和方式支付合同价款。</w:t>
      </w:r>
    </w:p>
    <w:p w14:paraId="21EEE203">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2.承包人承诺按照法律规定及合同约定组织完成工程施工，确保工程质量和安全，不进行转包及违法分包，并在缺陷责任期及保修期内承担相应的工程维修责任。</w:t>
      </w:r>
    </w:p>
    <w:p w14:paraId="646160A2">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3.发包人和承包人通过招投标形式签订合同的，双方理解并承诺不再就同一工程另行签订与合同实质性内容相背离的协议。</w:t>
      </w:r>
    </w:p>
    <w:p w14:paraId="06C51500">
      <w:pPr>
        <w:autoSpaceDE w:val="0"/>
        <w:autoSpaceDN w:val="0"/>
        <w:adjustRightInd w:val="0"/>
        <w:spacing w:line="400" w:lineRule="exact"/>
        <w:jc w:val="left"/>
        <w:rPr>
          <w:rFonts w:ascii="宋体" w:hAnsi="宋体" w:eastAsia="宋体" w:cs="Times New Roman"/>
          <w:color w:val="000000"/>
          <w:kern w:val="0"/>
          <w:szCs w:val="21"/>
        </w:rPr>
      </w:pPr>
      <w:r>
        <w:rPr>
          <w:rFonts w:hint="eastAsia" w:ascii="宋体" w:hAnsi="宋体" w:eastAsia="宋体" w:cs="Times New Roman"/>
          <w:b/>
          <w:bCs/>
          <w:color w:val="000000"/>
          <w:kern w:val="0"/>
          <w:szCs w:val="21"/>
        </w:rPr>
        <w:t>八、词语含义</w:t>
      </w:r>
    </w:p>
    <w:p w14:paraId="51C354ED">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本协议书中词语含义与第二部分通用合同条款中赋予的含义相同。</w:t>
      </w:r>
    </w:p>
    <w:p w14:paraId="4D9DDD37">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九、签订时间</w:t>
      </w:r>
    </w:p>
    <w:p w14:paraId="3C3C6E02">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本合同于</w:t>
      </w:r>
      <w:r>
        <w:rPr>
          <w:rFonts w:hint="eastAsia" w:ascii="宋体" w:hAnsi="宋体" w:eastAsia="宋体" w:cs="Times New Roman"/>
          <w:color w:val="000000"/>
          <w:kern w:val="0"/>
          <w:szCs w:val="21"/>
          <w:u w:val="single"/>
        </w:rPr>
        <w:t>2024年 月  日</w:t>
      </w:r>
      <w:r>
        <w:rPr>
          <w:rFonts w:hint="eastAsia" w:ascii="宋体" w:hAnsi="宋体" w:eastAsia="宋体" w:cs="Times New Roman"/>
          <w:color w:val="000000"/>
          <w:kern w:val="0"/>
          <w:szCs w:val="21"/>
        </w:rPr>
        <w:t>签订。</w:t>
      </w:r>
    </w:p>
    <w:p w14:paraId="75551332">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十、签订地点</w:t>
      </w:r>
    </w:p>
    <w:p w14:paraId="5BCE6883">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本合同在</w:t>
      </w:r>
      <w:r>
        <w:rPr>
          <w:rFonts w:hint="eastAsia" w:ascii="宋体" w:hAnsi="宋体" w:eastAsia="宋体" w:cs="Times New Roman"/>
          <w:b/>
          <w:bCs/>
          <w:color w:val="000000"/>
          <w:kern w:val="0"/>
          <w:szCs w:val="21"/>
          <w:u w:val="single"/>
        </w:rPr>
        <w:t>发包人所在地</w:t>
      </w:r>
      <w:r>
        <w:rPr>
          <w:rFonts w:hint="eastAsia" w:ascii="宋体" w:hAnsi="宋体" w:eastAsia="宋体" w:cs="Times New Roman"/>
          <w:color w:val="000000"/>
          <w:kern w:val="0"/>
          <w:szCs w:val="21"/>
        </w:rPr>
        <w:t>签订。</w:t>
      </w:r>
    </w:p>
    <w:p w14:paraId="188C5377">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十一、补充协议</w:t>
      </w:r>
    </w:p>
    <w:p w14:paraId="5A6AC8F5">
      <w:pPr>
        <w:autoSpaceDE w:val="0"/>
        <w:autoSpaceDN w:val="0"/>
        <w:adjustRightInd w:val="0"/>
        <w:spacing w:line="400" w:lineRule="exact"/>
        <w:ind w:firstLine="420" w:firstLineChars="200"/>
        <w:jc w:val="left"/>
        <w:rPr>
          <w:rFonts w:ascii="宋体" w:hAnsi="宋体" w:eastAsia="宋体" w:cs="Times New Roman"/>
          <w:b/>
          <w:bCs/>
          <w:color w:val="000000"/>
          <w:kern w:val="0"/>
          <w:szCs w:val="21"/>
        </w:rPr>
      </w:pPr>
      <w:r>
        <w:rPr>
          <w:rFonts w:hint="eastAsia" w:ascii="宋体" w:hAnsi="宋体" w:eastAsia="宋体" w:cs="Times New Roman"/>
          <w:color w:val="000000"/>
          <w:kern w:val="0"/>
          <w:szCs w:val="21"/>
        </w:rPr>
        <w:t>合同未尽事宜，合同当事人另行签订补充协议，补充协议是合同的组成部分。</w:t>
      </w:r>
    </w:p>
    <w:p w14:paraId="4DAC38D8">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十二、合同生效</w:t>
      </w:r>
    </w:p>
    <w:p w14:paraId="630D8824">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本合同自</w:t>
      </w:r>
      <w:r>
        <w:rPr>
          <w:rFonts w:hint="eastAsia" w:ascii="宋体" w:hAnsi="宋体" w:eastAsia="宋体" w:cs="Times New Roman"/>
          <w:b/>
          <w:bCs/>
          <w:color w:val="000000"/>
          <w:kern w:val="0"/>
          <w:szCs w:val="21"/>
          <w:u w:val="single"/>
        </w:rPr>
        <w:t>双方签字并盖章后</w:t>
      </w:r>
      <w:r>
        <w:rPr>
          <w:rFonts w:hint="eastAsia" w:ascii="宋体" w:hAnsi="宋体" w:eastAsia="宋体" w:cs="Times New Roman"/>
          <w:color w:val="000000"/>
          <w:kern w:val="0"/>
          <w:szCs w:val="21"/>
        </w:rPr>
        <w:t>生效。</w:t>
      </w:r>
    </w:p>
    <w:p w14:paraId="192CA678">
      <w:pPr>
        <w:autoSpaceDE w:val="0"/>
        <w:autoSpaceDN w:val="0"/>
        <w:adjustRightInd w:val="0"/>
        <w:spacing w:line="400" w:lineRule="exact"/>
        <w:jc w:val="left"/>
        <w:outlineLvl w:val="3"/>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十三、合同份数</w:t>
      </w:r>
    </w:p>
    <w:p w14:paraId="60FB17D1">
      <w:pPr>
        <w:autoSpaceDE w:val="0"/>
        <w:autoSpaceDN w:val="0"/>
        <w:adjustRightInd w:val="0"/>
        <w:spacing w:line="400" w:lineRule="exact"/>
        <w:ind w:firstLine="420" w:firstLineChars="20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本合同一式</w:t>
      </w:r>
      <w:r>
        <w:rPr>
          <w:rFonts w:hint="eastAsia" w:ascii="宋体" w:hAnsi="宋体" w:eastAsia="宋体" w:cs="Times New Roman"/>
          <w:b/>
          <w:bCs/>
          <w:color w:val="000000"/>
          <w:kern w:val="0"/>
          <w:szCs w:val="21"/>
          <w:u w:val="single"/>
        </w:rPr>
        <w:t xml:space="preserve">捌 </w:t>
      </w:r>
      <w:r>
        <w:rPr>
          <w:rFonts w:hint="eastAsia" w:ascii="宋体" w:hAnsi="宋体" w:eastAsia="宋体" w:cs="Times New Roman"/>
          <w:color w:val="000000"/>
          <w:kern w:val="0"/>
          <w:szCs w:val="21"/>
        </w:rPr>
        <w:t>份，均具有同等法律效力，发包人执</w:t>
      </w:r>
      <w:r>
        <w:rPr>
          <w:rFonts w:hint="eastAsia" w:ascii="宋体" w:hAnsi="宋体" w:eastAsia="宋体" w:cs="Times New Roman"/>
          <w:b/>
          <w:bCs/>
          <w:color w:val="000000"/>
          <w:kern w:val="0"/>
          <w:szCs w:val="21"/>
          <w:u w:val="single"/>
        </w:rPr>
        <w:t>肆</w:t>
      </w:r>
      <w:r>
        <w:rPr>
          <w:rFonts w:hint="eastAsia" w:ascii="宋体" w:hAnsi="宋体" w:eastAsia="宋体" w:cs="Times New Roman"/>
          <w:color w:val="000000"/>
          <w:kern w:val="0"/>
          <w:szCs w:val="21"/>
        </w:rPr>
        <w:t>份，承包人执</w:t>
      </w:r>
      <w:r>
        <w:rPr>
          <w:rFonts w:hint="eastAsia" w:ascii="宋体" w:hAnsi="宋体" w:eastAsia="宋体" w:cs="Times New Roman"/>
          <w:b/>
          <w:bCs/>
          <w:color w:val="000000"/>
          <w:kern w:val="0"/>
          <w:szCs w:val="21"/>
          <w:u w:val="single"/>
        </w:rPr>
        <w:t>肆</w:t>
      </w:r>
      <w:r>
        <w:rPr>
          <w:rFonts w:hint="eastAsia" w:ascii="宋体" w:hAnsi="宋体" w:eastAsia="宋体" w:cs="Times New Roman"/>
          <w:color w:val="000000"/>
          <w:kern w:val="0"/>
          <w:szCs w:val="21"/>
        </w:rPr>
        <w:t>份。</w:t>
      </w:r>
    </w:p>
    <w:p w14:paraId="1BCD9F0B">
      <w:pPr>
        <w:autoSpaceDE w:val="0"/>
        <w:autoSpaceDN w:val="0"/>
        <w:adjustRightInd w:val="0"/>
        <w:jc w:val="left"/>
        <w:rPr>
          <w:rFonts w:ascii="宋体" w:hAnsi="宋体" w:eastAsia="宋体" w:cs="Times New Roman"/>
          <w:color w:val="000000"/>
          <w:kern w:val="0"/>
          <w:szCs w:val="21"/>
        </w:rPr>
      </w:pPr>
    </w:p>
    <w:p w14:paraId="3A5B34F9">
      <w:pPr>
        <w:spacing w:after="100" w:line="259" w:lineRule="auto"/>
        <w:jc w:val="left"/>
        <w:rPr>
          <w:rFonts w:ascii="宋体" w:hAnsi="宋体" w:eastAsia="宋体" w:cs="Times New Roman"/>
          <w:kern w:val="0"/>
          <w:szCs w:val="21"/>
        </w:rPr>
      </w:pPr>
    </w:p>
    <w:p w14:paraId="580C1557">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发包人：  (公章)                   承包人：  (公章)</w:t>
      </w:r>
    </w:p>
    <w:p w14:paraId="629B7F1F">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法定代表人：                       法定代表人：</w:t>
      </w:r>
    </w:p>
    <w:p w14:paraId="0268C446">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委托代理人：                       委托代理人：</w:t>
      </w:r>
    </w:p>
    <w:p w14:paraId="083E5626">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（签字）                          （签字）</w:t>
      </w:r>
    </w:p>
    <w:p w14:paraId="5A7BA36E">
      <w:pPr>
        <w:autoSpaceDE w:val="0"/>
        <w:autoSpaceDN w:val="0"/>
        <w:adjustRightInd w:val="0"/>
        <w:ind w:firstLine="480"/>
        <w:jc w:val="left"/>
        <w:rPr>
          <w:rFonts w:ascii="宋体" w:hAnsi="宋体" w:eastAsia="宋体" w:cs="Times New Roman"/>
          <w:kern w:val="0"/>
          <w:szCs w:val="21"/>
        </w:rPr>
      </w:pPr>
      <w:bookmarkStart w:id="402" w:name="ed_2020Y3M13D15H21M45"/>
      <w:bookmarkEnd w:id="402"/>
      <w:r>
        <w:rPr>
          <w:rFonts w:hint="eastAsia" w:ascii="宋体" w:hAnsi="宋体" w:eastAsia="宋体" w:cs="Times New Roman"/>
          <w:kern w:val="0"/>
          <w:szCs w:val="21"/>
        </w:rPr>
        <w:t>组织机构代码：                    组织机构代码：</w:t>
      </w:r>
    </w:p>
    <w:p w14:paraId="5439A990">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地  址：                           地  址：</w:t>
      </w:r>
    </w:p>
    <w:p w14:paraId="432AD879">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邮政编码：                         邮政编码：</w:t>
      </w:r>
    </w:p>
    <w:p w14:paraId="5DBF67A8">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法定代表人：                       法定代表人：</w:t>
      </w:r>
    </w:p>
    <w:p w14:paraId="12F87FBC">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委托代理人：                       委托代理人：</w:t>
      </w:r>
    </w:p>
    <w:p w14:paraId="624911C2">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电  话：                           电  话：</w:t>
      </w:r>
    </w:p>
    <w:p w14:paraId="283B1DBD">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传  真：                           传  真：</w:t>
      </w:r>
    </w:p>
    <w:p w14:paraId="7EF0A277">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电子信箱：                         电子信箱：</w:t>
      </w:r>
    </w:p>
    <w:p w14:paraId="7095A205">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开户银行：                         开户银行：</w:t>
      </w:r>
    </w:p>
    <w:p w14:paraId="37757E25">
      <w:pPr>
        <w:autoSpaceDE w:val="0"/>
        <w:autoSpaceDN w:val="0"/>
        <w:adjustRightInd w:val="0"/>
        <w:ind w:firstLine="480"/>
        <w:jc w:val="left"/>
        <w:rPr>
          <w:rFonts w:ascii="宋体" w:hAnsi="宋体" w:eastAsia="宋体" w:cs="Times New Roman"/>
          <w:kern w:val="0"/>
          <w:szCs w:val="21"/>
        </w:rPr>
      </w:pPr>
      <w:r>
        <w:rPr>
          <w:rFonts w:hint="eastAsia" w:ascii="宋体" w:hAnsi="宋体" w:eastAsia="宋体" w:cs="Times New Roman"/>
          <w:kern w:val="0"/>
          <w:szCs w:val="21"/>
        </w:rPr>
        <w:t>账  号：                           账 号：</w:t>
      </w:r>
    </w:p>
    <w:p w14:paraId="317533AC">
      <w:pPr>
        <w:kinsoku w:val="0"/>
        <w:overflowPunct w:val="0"/>
        <w:autoSpaceDE w:val="0"/>
        <w:autoSpaceDN w:val="0"/>
        <w:adjustRightInd w:val="0"/>
        <w:jc w:val="left"/>
        <w:rPr>
          <w:rFonts w:ascii="宋体" w:hAnsi="宋体" w:eastAsia="宋体" w:cs="Times New Roman"/>
          <w:b/>
          <w:bCs/>
          <w:kern w:val="0"/>
          <w:szCs w:val="21"/>
          <w:u w:val="single"/>
        </w:rPr>
      </w:pPr>
    </w:p>
    <w:p w14:paraId="784C2C57">
      <w:pPr>
        <w:kinsoku w:val="0"/>
        <w:overflowPunct w:val="0"/>
        <w:autoSpaceDE w:val="0"/>
        <w:autoSpaceDN w:val="0"/>
        <w:adjustRightInd w:val="0"/>
        <w:jc w:val="left"/>
        <w:rPr>
          <w:rFonts w:ascii="宋体" w:hAnsi="宋体" w:eastAsia="宋体" w:cs="Times New Roman"/>
          <w:b/>
          <w:bCs/>
          <w:kern w:val="0"/>
          <w:szCs w:val="21"/>
          <w:u w:val="single"/>
        </w:rPr>
      </w:pPr>
    </w:p>
    <w:p w14:paraId="1D4E0429">
      <w:pPr>
        <w:kinsoku w:val="0"/>
        <w:overflowPunct w:val="0"/>
        <w:autoSpaceDE w:val="0"/>
        <w:autoSpaceDN w:val="0"/>
        <w:adjustRightInd w:val="0"/>
        <w:jc w:val="left"/>
        <w:rPr>
          <w:rFonts w:ascii="宋体" w:hAnsi="宋体" w:eastAsia="宋体" w:cs="Times New Roman"/>
          <w:b/>
          <w:bCs/>
          <w:kern w:val="0"/>
          <w:szCs w:val="21"/>
          <w:u w:val="single"/>
        </w:rPr>
      </w:pPr>
    </w:p>
    <w:p w14:paraId="55026ACA">
      <w:pPr>
        <w:kinsoku w:val="0"/>
        <w:overflowPunct w:val="0"/>
        <w:autoSpaceDE w:val="0"/>
        <w:autoSpaceDN w:val="0"/>
        <w:adjustRightInd w:val="0"/>
        <w:jc w:val="left"/>
        <w:rPr>
          <w:rFonts w:ascii="宋体" w:hAnsi="宋体" w:eastAsia="宋体" w:cs="Times New Roman"/>
          <w:b/>
          <w:bCs/>
          <w:kern w:val="0"/>
          <w:szCs w:val="21"/>
          <w:u w:val="single"/>
        </w:rPr>
      </w:pPr>
    </w:p>
    <w:p w14:paraId="58C7B5AD">
      <w:pPr>
        <w:kinsoku w:val="0"/>
        <w:overflowPunct w:val="0"/>
        <w:autoSpaceDE w:val="0"/>
        <w:autoSpaceDN w:val="0"/>
        <w:adjustRightInd w:val="0"/>
        <w:jc w:val="left"/>
        <w:rPr>
          <w:rFonts w:ascii="宋体" w:hAnsi="宋体" w:eastAsia="宋体" w:cs="Times New Roman"/>
          <w:b/>
          <w:bCs/>
          <w:kern w:val="0"/>
          <w:szCs w:val="21"/>
          <w:u w:val="single"/>
        </w:rPr>
      </w:pPr>
    </w:p>
    <w:p w14:paraId="00919614">
      <w:pPr>
        <w:spacing w:after="100" w:afterAutospacing="1" w:line="259" w:lineRule="auto"/>
        <w:jc w:val="center"/>
        <w:rPr>
          <w:rFonts w:ascii="宋体" w:hAnsi="宋体" w:eastAsia="宋体" w:cs="Times New Roman"/>
          <w:b/>
          <w:bCs/>
          <w:color w:val="000000"/>
          <w:szCs w:val="21"/>
        </w:rPr>
      </w:pPr>
    </w:p>
    <w:p w14:paraId="6C3723C7">
      <w:pPr>
        <w:spacing w:after="100" w:afterAutospacing="1" w:line="259" w:lineRule="auto"/>
        <w:jc w:val="center"/>
        <w:rPr>
          <w:rFonts w:ascii="宋体" w:hAnsi="宋体" w:eastAsia="宋体" w:cs="Times New Roman"/>
          <w:b/>
          <w:bCs/>
          <w:color w:val="000000"/>
          <w:szCs w:val="21"/>
        </w:rPr>
      </w:pPr>
    </w:p>
    <w:p w14:paraId="1A647113">
      <w:pPr>
        <w:spacing w:after="100" w:afterAutospacing="1" w:line="259" w:lineRule="auto"/>
        <w:jc w:val="center"/>
        <w:rPr>
          <w:rFonts w:ascii="宋体" w:hAnsi="宋体" w:eastAsia="宋体" w:cs="Times New Roman"/>
          <w:b/>
          <w:bCs/>
          <w:color w:val="000000"/>
          <w:szCs w:val="21"/>
        </w:rPr>
      </w:pPr>
      <w:r>
        <w:rPr>
          <w:rFonts w:hint="eastAsia" w:ascii="宋体" w:hAnsi="宋体" w:eastAsia="宋体" w:cs="Times New Roman"/>
          <w:b/>
          <w:bCs/>
          <w:color w:val="000000"/>
          <w:szCs w:val="21"/>
        </w:rPr>
        <w:t>第二部分 通用合同条款（略）</w:t>
      </w:r>
    </w:p>
    <w:p w14:paraId="1A529496">
      <w:pPr>
        <w:autoSpaceDE w:val="0"/>
        <w:autoSpaceDN w:val="0"/>
        <w:adjustRightInd w:val="0"/>
        <w:spacing w:line="560" w:lineRule="exact"/>
        <w:jc w:val="center"/>
        <w:rPr>
          <w:rFonts w:ascii="宋体" w:hAnsi="宋体" w:eastAsia="宋体" w:cs="Times New Roman"/>
          <w:b/>
          <w:bCs/>
          <w:color w:val="000000"/>
          <w:kern w:val="0"/>
          <w:szCs w:val="21"/>
        </w:rPr>
      </w:pPr>
      <w:r>
        <w:rPr>
          <w:rFonts w:hint="eastAsia" w:ascii="宋体" w:hAnsi="宋体" w:eastAsia="宋体" w:cs="Times New Roman"/>
          <w:b/>
          <w:bCs/>
          <w:color w:val="000000"/>
          <w:kern w:val="0"/>
          <w:szCs w:val="21"/>
        </w:rPr>
        <w:t>第三部分  专用合同条款</w:t>
      </w:r>
    </w:p>
    <w:p w14:paraId="6D1AF82F">
      <w:pPr>
        <w:autoSpaceDE w:val="0"/>
        <w:autoSpaceDN w:val="0"/>
        <w:adjustRightInd w:val="0"/>
        <w:spacing w:line="560" w:lineRule="exact"/>
        <w:jc w:val="center"/>
        <w:rPr>
          <w:rFonts w:ascii="宋体" w:hAnsi="宋体" w:eastAsia="宋体" w:cs="Times New Roman"/>
          <w:kern w:val="0"/>
          <w:szCs w:val="21"/>
        </w:rPr>
      </w:pPr>
      <w:r>
        <w:rPr>
          <w:rFonts w:hint="eastAsia" w:ascii="宋体" w:hAnsi="宋体" w:eastAsia="宋体" w:cs="Times New Roman"/>
          <w:kern w:val="0"/>
          <w:szCs w:val="21"/>
        </w:rPr>
        <w:t>《杭州市房屋建筑工程和市政基础设施工程施工合同专用条款（示范文本）（2019年修订）》第三部分  专用合同条款</w:t>
      </w:r>
    </w:p>
    <w:p w14:paraId="3EB01E0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  一般约定</w:t>
      </w:r>
    </w:p>
    <w:p w14:paraId="057CF59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1.1词语定义</w:t>
      </w:r>
      <w:r>
        <w:rPr>
          <w:rFonts w:hint="eastAsia" w:ascii="宋体" w:hAnsi="宋体" w:eastAsia="宋体" w:cs="Times New Roman"/>
          <w:kern w:val="0"/>
          <w:szCs w:val="21"/>
        </w:rPr>
        <w:tab/>
      </w:r>
    </w:p>
    <w:p w14:paraId="25E6962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1.1.1  合同</w:t>
      </w:r>
    </w:p>
    <w:p w14:paraId="1A1ADFB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1.1.1.10  其他合同文件包括：</w:t>
      </w:r>
    </w:p>
    <w:p w14:paraId="1404190A">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rPr>
        <w:t>施工组织设计：</w:t>
      </w:r>
      <w:r>
        <w:rPr>
          <w:rFonts w:hint="eastAsia" w:ascii="宋体" w:hAnsi="宋体" w:eastAsia="宋体" w:cs="Times New Roman"/>
          <w:b/>
          <w:bCs/>
          <w:kern w:val="0"/>
          <w:szCs w:val="21"/>
          <w:u w:val="single"/>
        </w:rPr>
        <w:t>施工组织</w:t>
      </w:r>
      <w:r>
        <w:fldChar w:fldCharType="begin"/>
      </w:r>
      <w:r>
        <w:instrText xml:space="preserve"> HYPERLINK "http://baike.baidu.com/view/14417.htm" </w:instrText>
      </w:r>
      <w:r>
        <w:fldChar w:fldCharType="separate"/>
      </w:r>
      <w:r>
        <w:rPr>
          <w:rFonts w:hint="eastAsia" w:ascii="宋体" w:hAnsi="宋体" w:eastAsia="宋体" w:cs="Times New Roman"/>
          <w:color w:val="0000FF"/>
          <w:kern w:val="0"/>
          <w:szCs w:val="21"/>
          <w:u w:val="single"/>
        </w:rPr>
        <w:t>设计</w:t>
      </w:r>
      <w:r>
        <w:rPr>
          <w:rFonts w:hint="eastAsia" w:ascii="宋体" w:hAnsi="宋体" w:eastAsia="宋体" w:cs="Times New Roman"/>
          <w:color w:val="0000FF"/>
          <w:kern w:val="0"/>
          <w:szCs w:val="21"/>
          <w:u w:val="single"/>
        </w:rPr>
        <w:fldChar w:fldCharType="end"/>
      </w:r>
      <w:r>
        <w:rPr>
          <w:rFonts w:hint="eastAsia" w:ascii="宋体" w:hAnsi="宋体" w:eastAsia="宋体" w:cs="Times New Roman"/>
          <w:b/>
          <w:bCs/>
          <w:kern w:val="0"/>
          <w:szCs w:val="21"/>
          <w:u w:val="single"/>
        </w:rPr>
        <w:t>是用来指导</w:t>
      </w:r>
      <w:r>
        <w:fldChar w:fldCharType="begin"/>
      </w:r>
      <w:r>
        <w:instrText xml:space="preserve"> HYPERLINK "http://baike.baidu.com/view/1094820.htm" </w:instrText>
      </w:r>
      <w:r>
        <w:fldChar w:fldCharType="separate"/>
      </w:r>
      <w:r>
        <w:rPr>
          <w:rFonts w:hint="eastAsia" w:ascii="宋体" w:hAnsi="宋体" w:eastAsia="宋体" w:cs="Times New Roman"/>
          <w:color w:val="0000FF"/>
          <w:kern w:val="0"/>
          <w:szCs w:val="21"/>
          <w:u w:val="single"/>
        </w:rPr>
        <w:t>施工项目</w:t>
      </w:r>
      <w:r>
        <w:rPr>
          <w:rFonts w:hint="eastAsia" w:ascii="宋体" w:hAnsi="宋体" w:eastAsia="宋体" w:cs="Times New Roman"/>
          <w:color w:val="0000FF"/>
          <w:kern w:val="0"/>
          <w:szCs w:val="21"/>
          <w:u w:val="single"/>
        </w:rPr>
        <w:fldChar w:fldCharType="end"/>
      </w:r>
      <w:r>
        <w:rPr>
          <w:rFonts w:hint="eastAsia" w:ascii="宋体" w:hAnsi="宋体" w:eastAsia="宋体" w:cs="Times New Roman"/>
          <w:b/>
          <w:bCs/>
          <w:kern w:val="0"/>
          <w:szCs w:val="21"/>
          <w:u w:val="single"/>
        </w:rPr>
        <w:t>全过程各项活动的技术、经济和组织的综合性文件。</w:t>
      </w:r>
    </w:p>
    <w:p w14:paraId="7C414DA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1.1.2合同当事人及其他相关方</w:t>
      </w:r>
    </w:p>
    <w:p w14:paraId="704CE24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1.1.2.4  监理人：</w:t>
      </w:r>
    </w:p>
    <w:p w14:paraId="509172C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名称：</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76ECB33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资质类别和等级：</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71A492B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联系电话：</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519E080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电子信箱：</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36A76E6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通信地址：</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5044430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1.1.2.5  设计人：</w:t>
      </w:r>
    </w:p>
    <w:p w14:paraId="65CC784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名称：</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702F049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资质类别和等级：</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56D136E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联系电话：</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33333DF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电子信箱：</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4FDCF99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通信地址：</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6B60971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1.1.3工程和设备</w:t>
      </w:r>
    </w:p>
    <w:p w14:paraId="7390F06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1.1.3.7  作为施工现场组成部分的其他场所包括：</w:t>
      </w:r>
      <w:r>
        <w:rPr>
          <w:rFonts w:hint="eastAsia" w:ascii="宋体" w:hAnsi="宋体" w:eastAsia="宋体" w:cs="Times New Roman"/>
          <w:kern w:val="0"/>
          <w:szCs w:val="21"/>
          <w:u w:val="single"/>
        </w:rPr>
        <w:t xml:space="preserve">  /  。</w:t>
      </w:r>
    </w:p>
    <w:p w14:paraId="1A64396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1.1.3.9  永久占地包括：</w:t>
      </w:r>
      <w:r>
        <w:rPr>
          <w:rFonts w:hint="eastAsia" w:ascii="宋体" w:hAnsi="宋体" w:eastAsia="宋体" w:cs="Times New Roman"/>
          <w:color w:val="000000"/>
          <w:kern w:val="0"/>
          <w:szCs w:val="21"/>
          <w:u w:val="single"/>
        </w:rPr>
        <w:t>用地红线范围内为实施合同工程需永久占用的土地</w:t>
      </w:r>
      <w:r>
        <w:rPr>
          <w:rFonts w:hint="eastAsia" w:ascii="宋体" w:hAnsi="宋体" w:eastAsia="宋体" w:cs="Times New Roman"/>
          <w:kern w:val="0"/>
          <w:szCs w:val="21"/>
          <w:u w:val="single"/>
        </w:rPr>
        <w:t>。</w:t>
      </w:r>
    </w:p>
    <w:p w14:paraId="11F9DF2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1.1.3.10  临时占地包括：</w:t>
      </w:r>
      <w:r>
        <w:rPr>
          <w:rFonts w:hint="eastAsia" w:ascii="宋体" w:hAnsi="宋体" w:eastAsia="宋体" w:cs="Times New Roman"/>
          <w:color w:val="000000"/>
          <w:kern w:val="0"/>
          <w:szCs w:val="21"/>
          <w:u w:val="single"/>
        </w:rPr>
        <w:t>指永久占地之外为实施合同工程需临时占用的土地</w:t>
      </w:r>
      <w:r>
        <w:rPr>
          <w:rFonts w:hint="eastAsia" w:ascii="宋体" w:hAnsi="宋体" w:eastAsia="宋体" w:cs="Times New Roman"/>
          <w:kern w:val="0"/>
          <w:szCs w:val="21"/>
          <w:u w:val="single"/>
        </w:rPr>
        <w:t>。</w:t>
      </w:r>
    </w:p>
    <w:p w14:paraId="39F1EB3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  法律适用于合同的其他规范性文件：</w:t>
      </w:r>
    </w:p>
    <w:p w14:paraId="10D9DBAD">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1.3.1  杭《州市建设工程工程量清单计价实施细则》(杭建市发〔2018〕578号)；</w:t>
      </w:r>
    </w:p>
    <w:p w14:paraId="10CD39E4">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1.3.2  《关于进一步加强杭州市建设工程市场要素价格动态管理的指导意见》（杭建市发〔2018〕579号）；</w:t>
      </w:r>
    </w:p>
    <w:p w14:paraId="2C32A297">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1.3.3 《关于贯彻《省厅调整安全文明施工费的通知》的通知》（杭建市发〔2022〕54号）</w:t>
      </w:r>
    </w:p>
    <w:p w14:paraId="2D944EA0">
      <w:pPr>
        <w:autoSpaceDE w:val="0"/>
        <w:autoSpaceDN w:val="0"/>
        <w:adjustRightInd w:val="0"/>
        <w:spacing w:line="420" w:lineRule="exact"/>
        <w:ind w:firstLine="455" w:firstLineChars="198"/>
        <w:jc w:val="left"/>
        <w:rPr>
          <w:rFonts w:ascii="宋体" w:hAnsi="宋体" w:eastAsia="宋体" w:cs="Times New Roman"/>
          <w:sz w:val="23"/>
          <w:szCs w:val="23"/>
        </w:rPr>
      </w:pPr>
      <w:r>
        <w:rPr>
          <w:rFonts w:ascii="宋体" w:hAnsi="宋体" w:eastAsia="宋体" w:cs="Times New Roman"/>
          <w:sz w:val="23"/>
          <w:szCs w:val="23"/>
        </w:rPr>
        <w:t>1.3.</w:t>
      </w:r>
      <w:r>
        <w:rPr>
          <w:rFonts w:hint="eastAsia" w:ascii="宋体" w:hAnsi="宋体" w:eastAsia="宋体" w:cs="Times New Roman"/>
          <w:sz w:val="23"/>
          <w:szCs w:val="23"/>
        </w:rPr>
        <w:t>4</w:t>
      </w:r>
      <w:r>
        <w:rPr>
          <w:rFonts w:ascii="宋体" w:hAnsi="宋体" w:eastAsia="宋体" w:cs="Times New Roman"/>
          <w:sz w:val="23"/>
          <w:szCs w:val="23"/>
        </w:rPr>
        <w:t xml:space="preserve"> </w:t>
      </w:r>
      <w:r>
        <w:rPr>
          <w:rFonts w:hint="eastAsia" w:ascii="宋体" w:hAnsi="宋体" w:eastAsia="宋体" w:cs="Times New Roman"/>
          <w:sz w:val="23"/>
          <w:szCs w:val="23"/>
        </w:rPr>
        <w:t>省市建设行政部门颁发的其他现行有效文件（包括但不仅限于以下文件）：</w:t>
      </w:r>
    </w:p>
    <w:p w14:paraId="2D992CD0">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（1）《关于转发省建设厅&lt;关于进一步加强建筑施工领域企业安全生产工作的实施意见&gt;的通知》（杭建工发〔2011〕130号）；</w:t>
      </w:r>
    </w:p>
    <w:p w14:paraId="6858F57C">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（2）《关于进一步加强建设工程安全质量物联网管理应用平台建设的通知》（杭建工发〔2012〕426号）；</w:t>
      </w:r>
    </w:p>
    <w:p w14:paraId="37CE92A7">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（3）《关于开展建筑工程扬尘在线监测设施安装工作的通知》（杭建工〔2019〕103号）；</w:t>
      </w:r>
    </w:p>
    <w:p w14:paraId="0ADCED22">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（4）《关于巩固G20杭州峰会成果进一步加强建设工程文明施工管理的若干意见》（杭建工发〔2017〕112号）；</w:t>
      </w:r>
    </w:p>
    <w:p w14:paraId="5881EA5F">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（5）《杭州市建设领域农民工“无欠薪”管理实施细则（试行）》（杭建市〔2018〕161号）；</w:t>
      </w:r>
    </w:p>
    <w:p w14:paraId="0B09211F">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（6）《关于杭州市建筑工地全面推广使用“浙里工程建设现场管控”重大应用（浙里建）的通知》（杭建数改办〔2022〕1号）；</w:t>
      </w:r>
    </w:p>
    <w:p w14:paraId="7848573C">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（7）《杭州市建设工程渣土管理办法》（市政府令第192号）；</w:t>
      </w:r>
    </w:p>
    <w:p w14:paraId="0A4782C0">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（8）市政府办公厅2022年5月15日发布的《杭州市人民政府办公厅关于进一步规范工程建筑垃圾管理的通知》；</w:t>
      </w:r>
    </w:p>
    <w:p w14:paraId="746FAD3B">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（9）《关于发布杭州市工程渣土消纳市场信息价的通知》（杭渣土领〔2020〕1号）；</w:t>
      </w:r>
    </w:p>
    <w:p w14:paraId="7B559416">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（10）市建委2020年10月30日发布的《关于明确杭州市渣土运输及消纳项目计价清单编制和报价口径的通知》；</w:t>
      </w:r>
    </w:p>
    <w:p w14:paraId="1D1F0050">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（11）《关于转发&lt;关于在全省工程建设领域改革保证金制度的通知&gt;的通知》（杭建市通知〔2020〕4号）；</w:t>
      </w:r>
    </w:p>
    <w:p w14:paraId="495BBB54">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（12）《关于进一步提升杭州市市政道路建设质量管理的若干意见》（杭建工发〔2021〕32号）；</w:t>
      </w:r>
    </w:p>
    <w:p w14:paraId="5F2E5D2E">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（13）《关于全面推广应用承插型盘扣式脚手架的通知》（杭建工发〔2021〕358号）；</w:t>
      </w:r>
    </w:p>
    <w:p w14:paraId="10B99B7C">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（14）《关于明确杭州市建筑施工领域安全生产责任保险费用计取的通知》（杭建招标造价中心〔2021〕84号）；</w:t>
      </w:r>
    </w:p>
    <w:p w14:paraId="3B8E9B7F">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w:t>
      </w:r>
      <w:r>
        <w:rPr>
          <w:rFonts w:ascii="宋体" w:hAnsi="宋体" w:eastAsia="宋体" w:cs="Times New Roman"/>
          <w:kern w:val="0"/>
          <w:szCs w:val="21"/>
        </w:rPr>
        <w:t>15</w:t>
      </w:r>
      <w:r>
        <w:rPr>
          <w:rFonts w:hint="eastAsia" w:ascii="宋体" w:hAnsi="宋体" w:eastAsia="宋体" w:cs="Times New Roman"/>
          <w:kern w:val="0"/>
          <w:szCs w:val="21"/>
        </w:rPr>
        <w:t>）其他：</w:t>
      </w:r>
    </w:p>
    <w:p w14:paraId="68F01A7F">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①《杭州市建筑市场管理若干规定》（杭州市人民政府令第277号）；</w:t>
      </w:r>
    </w:p>
    <w:p w14:paraId="5E355F4A">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②《杭州市建设工程文明施工管理规定》（杭州市人民政府令第278号）；</w:t>
      </w:r>
    </w:p>
    <w:p w14:paraId="40957BF7">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③浙江省、杭州市相关政策文件，上城区政府投资工程项目业主内控管理制度；</w:t>
      </w:r>
    </w:p>
    <w:p w14:paraId="41C183A7">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④其他适用于本工程的法规文件。其它法律、行政法规、地方性法规等。相关部门颁发的有关文件对上述文件有调整的，按其规定执行。</w:t>
      </w:r>
    </w:p>
    <w:p w14:paraId="37E47E1A">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rPr>
        <w:t>1.3.4  新工艺、新技术的约定：</w:t>
      </w:r>
      <w:r>
        <w:rPr>
          <w:rFonts w:hint="eastAsia" w:ascii="宋体" w:hAnsi="宋体" w:eastAsia="宋体" w:cs="Times New Roman"/>
          <w:kern w:val="0"/>
          <w:szCs w:val="21"/>
          <w:u w:val="single"/>
        </w:rPr>
        <w:t xml:space="preserve"> /  。</w:t>
      </w:r>
    </w:p>
    <w:p w14:paraId="53C67C84">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rPr>
        <w:t xml:space="preserve">1.3.15  其他 </w:t>
      </w:r>
      <w:r>
        <w:rPr>
          <w:rFonts w:hint="eastAsia" w:ascii="宋体" w:hAnsi="宋体" w:eastAsia="宋体" w:cs="Times New Roman"/>
          <w:kern w:val="0"/>
          <w:szCs w:val="21"/>
          <w:u w:val="single"/>
        </w:rPr>
        <w:t xml:space="preserve">  /  。</w:t>
      </w:r>
    </w:p>
    <w:p w14:paraId="00A3C254">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1.4 标准和规范</w:t>
      </w:r>
    </w:p>
    <w:p w14:paraId="2562B2FC">
      <w:pPr>
        <w:autoSpaceDE w:val="0"/>
        <w:autoSpaceDN w:val="0"/>
        <w:adjustRightInd w:val="0"/>
        <w:spacing w:line="420" w:lineRule="exact"/>
        <w:ind w:firstLine="415" w:firstLineChars="198"/>
        <w:jc w:val="left"/>
        <w:rPr>
          <w:rFonts w:ascii="宋体" w:hAnsi="宋体" w:eastAsia="宋体" w:cs="Times New Roman"/>
          <w:b/>
          <w:bCs/>
          <w:kern w:val="0"/>
          <w:szCs w:val="21"/>
          <w:u w:val="single"/>
        </w:rPr>
      </w:pPr>
      <w:r>
        <w:rPr>
          <w:rFonts w:hint="eastAsia" w:ascii="宋体" w:hAnsi="宋体" w:eastAsia="宋体" w:cs="Times New Roman"/>
          <w:kern w:val="0"/>
          <w:szCs w:val="21"/>
        </w:rPr>
        <w:t>1.4.1  适用于工程的标准规范包括：</w:t>
      </w:r>
      <w:r>
        <w:rPr>
          <w:rFonts w:hint="eastAsia" w:ascii="宋体" w:hAnsi="宋体" w:eastAsia="宋体" w:cs="Times New Roman"/>
          <w:b/>
          <w:bCs/>
          <w:kern w:val="0"/>
          <w:szCs w:val="21"/>
          <w:u w:val="single"/>
        </w:rPr>
        <w:t>（1）按通用条款约定；</w:t>
      </w:r>
    </w:p>
    <w:p w14:paraId="5679364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1.4.2  发包人提供国外标准、规范的名称：</w:t>
      </w:r>
      <w:r>
        <w:rPr>
          <w:rFonts w:hint="eastAsia" w:ascii="宋体" w:hAnsi="宋体" w:eastAsia="宋体" w:cs="Times New Roman"/>
          <w:kern w:val="0"/>
          <w:szCs w:val="21"/>
          <w:u w:val="single"/>
        </w:rPr>
        <w:t xml:space="preserve">   /  ；</w:t>
      </w:r>
    </w:p>
    <w:p w14:paraId="03251BA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发包人提供国外标准、规范的份数：</w:t>
      </w:r>
      <w:r>
        <w:rPr>
          <w:rFonts w:hint="eastAsia" w:ascii="宋体" w:hAnsi="宋体" w:eastAsia="宋体" w:cs="Times New Roman"/>
          <w:kern w:val="0"/>
          <w:szCs w:val="21"/>
          <w:u w:val="single"/>
        </w:rPr>
        <w:t xml:space="preserve">   /  ；</w:t>
      </w:r>
    </w:p>
    <w:p w14:paraId="41A19DA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发包人提供国外标准、规范的名称：</w:t>
      </w:r>
      <w:r>
        <w:rPr>
          <w:rFonts w:hint="eastAsia" w:ascii="宋体" w:hAnsi="宋体" w:eastAsia="宋体" w:cs="Times New Roman"/>
          <w:kern w:val="0"/>
          <w:szCs w:val="21"/>
          <w:u w:val="single"/>
        </w:rPr>
        <w:t xml:space="preserve">   /  。</w:t>
      </w:r>
    </w:p>
    <w:p w14:paraId="7029989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1.4.3  发包人对工程的技术标准和功能要求的特殊要求</w:t>
      </w:r>
      <w:r>
        <w:rPr>
          <w:rFonts w:hint="eastAsia" w:ascii="宋体" w:hAnsi="宋体" w:eastAsia="宋体" w:cs="Times New Roman"/>
          <w:kern w:val="0"/>
          <w:szCs w:val="21"/>
          <w:u w:val="single"/>
        </w:rPr>
        <w:t>：根据施工实际情况,由设计、现场工程师及相关部门协商后约定。</w:t>
      </w:r>
    </w:p>
    <w:p w14:paraId="06CF949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1.5  合同文件的优先顺序</w:t>
      </w:r>
    </w:p>
    <w:p w14:paraId="64839C6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合同文件组成及优先顺序为：</w:t>
      </w:r>
    </w:p>
    <w:p w14:paraId="2813DC75">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（1）合同协议书；</w:t>
      </w:r>
    </w:p>
    <w:p w14:paraId="1CFD4175">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（2）中标通知书（或项目发承包基本情况表）；</w:t>
      </w:r>
    </w:p>
    <w:p w14:paraId="3AC4EDE3">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（3）投标函及其附录（如果有）；</w:t>
      </w:r>
    </w:p>
    <w:p w14:paraId="2FE6E2C6">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（4）专用合同条款及其附件；</w:t>
      </w:r>
    </w:p>
    <w:p w14:paraId="4796A071">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（5）通用合同条款；</w:t>
      </w:r>
    </w:p>
    <w:p w14:paraId="7895F912">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（6）技术标准和要求；</w:t>
      </w:r>
    </w:p>
    <w:p w14:paraId="2C812891">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（7）图纸；</w:t>
      </w:r>
    </w:p>
    <w:p w14:paraId="71FE146B">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（8）已标价工程量清单或预算书；</w:t>
      </w:r>
    </w:p>
    <w:p w14:paraId="3B625398">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（9）其他合同文件：</w:t>
      </w:r>
    </w:p>
    <w:p w14:paraId="462DB879">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①施工组织设计；</w:t>
      </w:r>
    </w:p>
    <w:p w14:paraId="630AD405">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rPr>
        <w:t>②其他：</w:t>
      </w:r>
      <w:r>
        <w:rPr>
          <w:rFonts w:hint="eastAsia" w:ascii="宋体" w:hAnsi="宋体" w:eastAsia="宋体" w:cs="Times New Roman"/>
          <w:kern w:val="0"/>
          <w:szCs w:val="21"/>
          <w:u w:val="single"/>
        </w:rPr>
        <w:t>变更联系单、会审纪要等。</w:t>
      </w:r>
    </w:p>
    <w:p w14:paraId="3174AA6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1.6图纸和承包人文件</w:t>
      </w:r>
      <w:r>
        <w:rPr>
          <w:rFonts w:hint="eastAsia" w:ascii="宋体" w:hAnsi="宋体" w:eastAsia="宋体" w:cs="Times New Roman"/>
          <w:kern w:val="0"/>
          <w:szCs w:val="21"/>
        </w:rPr>
        <w:tab/>
      </w:r>
    </w:p>
    <w:p w14:paraId="63B9B1B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1.6.1  图纸的提供</w:t>
      </w:r>
    </w:p>
    <w:p w14:paraId="65E3AF3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发包人向承包人提供图纸的期限：</w:t>
      </w:r>
      <w:r>
        <w:rPr>
          <w:rFonts w:hint="eastAsia" w:ascii="宋体" w:hAnsi="宋体" w:eastAsia="宋体" w:cs="Times New Roman"/>
          <w:color w:val="000000"/>
          <w:kern w:val="0"/>
          <w:szCs w:val="21"/>
          <w:u w:val="single"/>
        </w:rPr>
        <w:t>合同签订后7日内</w:t>
      </w:r>
      <w:r>
        <w:rPr>
          <w:rFonts w:hint="eastAsia" w:ascii="宋体" w:hAnsi="宋体" w:eastAsia="宋体" w:cs="Times New Roman"/>
          <w:kern w:val="0"/>
          <w:szCs w:val="21"/>
          <w:u w:val="single"/>
        </w:rPr>
        <w:t>；</w:t>
      </w:r>
    </w:p>
    <w:p w14:paraId="6AC4D25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发包人向承包人提供图纸的数量：</w:t>
      </w:r>
      <w:r>
        <w:rPr>
          <w:rFonts w:hint="eastAsia" w:ascii="宋体" w:hAnsi="宋体" w:eastAsia="宋体" w:cs="Times New Roman"/>
          <w:color w:val="000000"/>
          <w:kern w:val="0"/>
          <w:szCs w:val="21"/>
          <w:u w:val="single"/>
        </w:rPr>
        <w:t>肆套，如承包人额外需要提供施工图纸的，则额外增加的施工图纸的制作费由承包人承担；</w:t>
      </w:r>
    </w:p>
    <w:p w14:paraId="1BC6A19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发包人向承包人提供图纸的内容：</w:t>
      </w:r>
      <w:r>
        <w:rPr>
          <w:rFonts w:hint="eastAsia" w:ascii="宋体" w:hAnsi="宋体" w:eastAsia="宋体" w:cs="Times New Roman"/>
          <w:kern w:val="0"/>
          <w:szCs w:val="21"/>
          <w:u w:val="single"/>
        </w:rPr>
        <w:t>发包人向承包人提供图纸的内容：施工图、设计联系单等。施工过程中承包人要求增加图纸的，发包人应在承包人支付复制工本费后提供承包人要求增加的图纸。使用标准图的，标准图由承包人负责提供，产生的费用由承包人承担。未经发包人同意，承包人不得将图纸泄露给与工程无关的他方。</w:t>
      </w:r>
    </w:p>
    <w:p w14:paraId="2E31B7B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1.6.4  承包人文件</w:t>
      </w:r>
    </w:p>
    <w:p w14:paraId="446167C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需要由承包人提供的文件，包括：发包人、监理人、质监站等相关部门要求提供与施工有关的一切必要文件；（如施工组织设计和施工进度计划、材料和设备采购计划等）；对危险性较大的分部分项工程，投标人需提供与自身报价相应的安全专项施工方案；</w:t>
      </w:r>
    </w:p>
    <w:p w14:paraId="67D7330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承包人提供的文件的期限为：</w:t>
      </w:r>
      <w:r>
        <w:rPr>
          <w:rFonts w:hint="eastAsia" w:ascii="宋体" w:hAnsi="宋体" w:eastAsia="宋体" w:cs="Times New Roman"/>
          <w:color w:val="000000"/>
          <w:kern w:val="0"/>
          <w:szCs w:val="21"/>
          <w:u w:val="single"/>
        </w:rPr>
        <w:t>开工前7天</w:t>
      </w:r>
      <w:r>
        <w:rPr>
          <w:rFonts w:hint="eastAsia" w:ascii="宋体" w:hAnsi="宋体" w:eastAsia="宋体" w:cs="Times New Roman"/>
          <w:kern w:val="0"/>
          <w:szCs w:val="21"/>
          <w:u w:val="single"/>
        </w:rPr>
        <w:t>；</w:t>
      </w:r>
    </w:p>
    <w:p w14:paraId="45CC94E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承包人提供的文件的数量为：</w:t>
      </w:r>
      <w:r>
        <w:rPr>
          <w:rFonts w:hint="eastAsia" w:ascii="宋体" w:hAnsi="宋体" w:eastAsia="宋体" w:cs="Times New Roman"/>
          <w:kern w:val="0"/>
          <w:szCs w:val="21"/>
          <w:u w:val="single"/>
        </w:rPr>
        <w:t>按监理工程师要求的数量；</w:t>
      </w:r>
    </w:p>
    <w:p w14:paraId="5479AFE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承包人提供的文件的形式为：</w:t>
      </w:r>
      <w:r>
        <w:rPr>
          <w:rFonts w:hint="eastAsia" w:ascii="宋体" w:hAnsi="宋体" w:eastAsia="宋体" w:cs="Times New Roman"/>
          <w:kern w:val="0"/>
          <w:szCs w:val="21"/>
          <w:u w:val="single"/>
        </w:rPr>
        <w:t>纸质及电子光盘；</w:t>
      </w:r>
    </w:p>
    <w:p w14:paraId="5B5DCAB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发包人审批承包人文件的期限：</w:t>
      </w:r>
      <w:r>
        <w:rPr>
          <w:rFonts w:hint="eastAsia" w:ascii="宋体" w:hAnsi="宋体" w:eastAsia="宋体" w:cs="Times New Roman"/>
          <w:kern w:val="0"/>
          <w:szCs w:val="21"/>
          <w:u w:val="single"/>
        </w:rPr>
        <w:t>承包人提供完备资料文件情况下，发包人收到14天内予以审批或提出修改意见（不包括专用条款10.4 工程变更文件审批），如需专家论证的相应顺延。</w:t>
      </w:r>
    </w:p>
    <w:p w14:paraId="3835D4B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1.6.5  现场图纸准备</w:t>
      </w:r>
    </w:p>
    <w:p w14:paraId="042E90A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关于现场图纸准备的约定：</w:t>
      </w:r>
      <w:r>
        <w:rPr>
          <w:rFonts w:hint="eastAsia" w:ascii="宋体" w:hAnsi="宋体" w:eastAsia="宋体" w:cs="Times New Roman"/>
          <w:kern w:val="0"/>
          <w:szCs w:val="21"/>
          <w:u w:val="single"/>
        </w:rPr>
        <w:t>（1）承包人应在现场保留一套完整图纸，供发包人代表、监理人员、其它有关人员进行工程检查时使用；（2）承包人需要增加图纸份数，发包人可代为复制，复制费用由承包人承担；（3）工程竣工后，除承包人存档需要的图纸外，应将剩余图纸退还给发包人。</w:t>
      </w:r>
    </w:p>
    <w:p w14:paraId="0971240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1.7  联络</w:t>
      </w:r>
    </w:p>
    <w:p w14:paraId="547FD89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1.7.1  发包人和承包人应当在 7  天内将与合同有关的通知、批准、证明、证书、指示、指令、要求、请求、同意、意见、确定和决定等书面函件送达对方当事人。</w:t>
      </w:r>
    </w:p>
    <w:p w14:paraId="47A4ED9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1.7.2 发包人接收文件的地点：</w:t>
      </w:r>
      <w:r>
        <w:rPr>
          <w:rFonts w:hint="eastAsia" w:ascii="宋体" w:hAnsi="宋体" w:eastAsia="宋体" w:cs="Times New Roman"/>
          <w:kern w:val="0"/>
          <w:szCs w:val="21"/>
          <w:u w:val="single"/>
        </w:rPr>
        <w:t>工程现场或发包人所在地；</w:t>
      </w:r>
    </w:p>
    <w:p w14:paraId="1D3BF12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发包人指定的接收人为：</w:t>
      </w:r>
      <w:r>
        <w:rPr>
          <w:rFonts w:hint="eastAsia" w:ascii="宋体" w:hAnsi="宋体" w:eastAsia="宋体" w:cs="Times New Roman"/>
          <w:kern w:val="0"/>
          <w:szCs w:val="21"/>
          <w:u w:val="single"/>
        </w:rPr>
        <w:t>发包人代表。</w:t>
      </w:r>
    </w:p>
    <w:p w14:paraId="1F9E641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承包人接收文件的地点：</w:t>
      </w:r>
      <w:r>
        <w:rPr>
          <w:rFonts w:hint="eastAsia" w:ascii="宋体" w:hAnsi="宋体" w:eastAsia="宋体" w:cs="Times New Roman"/>
          <w:kern w:val="0"/>
          <w:szCs w:val="21"/>
          <w:u w:val="single"/>
        </w:rPr>
        <w:t>工程现场；</w:t>
      </w:r>
    </w:p>
    <w:p w14:paraId="1A71BB4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承包人指定的接收人为：</w:t>
      </w:r>
      <w:r>
        <w:rPr>
          <w:rFonts w:hint="eastAsia" w:ascii="宋体" w:hAnsi="宋体" w:eastAsia="宋体" w:cs="Times New Roman"/>
          <w:kern w:val="0"/>
          <w:szCs w:val="21"/>
          <w:u w:val="single"/>
        </w:rPr>
        <w:t>项目经理。</w:t>
      </w:r>
    </w:p>
    <w:p w14:paraId="182ADAE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监理人接收文件的地点：</w:t>
      </w:r>
      <w:r>
        <w:rPr>
          <w:rFonts w:hint="eastAsia" w:ascii="宋体" w:hAnsi="宋体" w:eastAsia="宋体" w:cs="Times New Roman"/>
          <w:kern w:val="0"/>
          <w:szCs w:val="21"/>
          <w:u w:val="single"/>
        </w:rPr>
        <w:t>工程现场；</w:t>
      </w:r>
    </w:p>
    <w:p w14:paraId="3F1D962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监理人指定的接收人为：</w:t>
      </w:r>
      <w:r>
        <w:rPr>
          <w:rFonts w:hint="eastAsia" w:ascii="宋体" w:hAnsi="宋体" w:eastAsia="宋体" w:cs="Times New Roman"/>
          <w:kern w:val="0"/>
          <w:szCs w:val="21"/>
          <w:u w:val="single"/>
        </w:rPr>
        <w:t>总监或总监代表。</w:t>
      </w:r>
    </w:p>
    <w:p w14:paraId="6D16511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1.10  交通运输</w:t>
      </w:r>
    </w:p>
    <w:p w14:paraId="0C33153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1.10.1  出入现场的权利</w:t>
      </w:r>
    </w:p>
    <w:p w14:paraId="1EC28C1F">
      <w:pPr>
        <w:autoSpaceDE w:val="0"/>
        <w:autoSpaceDN w:val="0"/>
        <w:adjustRightInd w:val="0"/>
        <w:spacing w:line="420" w:lineRule="exact"/>
        <w:ind w:firstLine="200"/>
        <w:jc w:val="left"/>
        <w:rPr>
          <w:rFonts w:ascii="宋体" w:hAnsi="宋体" w:eastAsia="宋体" w:cs="Times New Roman"/>
          <w:kern w:val="0"/>
          <w:szCs w:val="21"/>
          <w:u w:val="single"/>
        </w:rPr>
      </w:pPr>
      <w:r>
        <w:rPr>
          <w:rFonts w:hint="eastAsia" w:ascii="宋体" w:hAnsi="宋体" w:eastAsia="宋体" w:cs="Times New Roman"/>
          <w:kern w:val="0"/>
          <w:szCs w:val="21"/>
        </w:rPr>
        <w:t>关于出入现场的权利的约定：</w:t>
      </w:r>
      <w:r>
        <w:rPr>
          <w:rFonts w:hint="eastAsia" w:ascii="宋体" w:hAnsi="宋体" w:eastAsia="宋体" w:cs="Times New Roman"/>
          <w:kern w:val="0"/>
          <w:szCs w:val="21"/>
          <w:u w:val="single"/>
        </w:rPr>
        <w:t>按通用条款约定。</w:t>
      </w:r>
    </w:p>
    <w:p w14:paraId="2886354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1.10.3  场内交通</w:t>
      </w:r>
    </w:p>
    <w:p w14:paraId="3FB6276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关于场外交通和场内交通的边界的约定：</w:t>
      </w:r>
      <w:r>
        <w:rPr>
          <w:rFonts w:hint="eastAsia" w:ascii="宋体" w:hAnsi="宋体" w:eastAsia="宋体" w:cs="Times New Roman"/>
          <w:color w:val="000000"/>
          <w:kern w:val="0"/>
          <w:szCs w:val="21"/>
          <w:u w:val="single"/>
        </w:rPr>
        <w:t>规划控制红线</w:t>
      </w:r>
      <w:r>
        <w:rPr>
          <w:rFonts w:hint="eastAsia" w:ascii="宋体" w:hAnsi="宋体" w:eastAsia="宋体" w:cs="Times New Roman"/>
          <w:kern w:val="0"/>
          <w:szCs w:val="21"/>
          <w:u w:val="single"/>
        </w:rPr>
        <w:t>。</w:t>
      </w:r>
    </w:p>
    <w:p w14:paraId="4A13638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关于发包人向承包人免费提供满足工程施工需要的场内道路和交通设施的约定：利用现有的场内道路和交通设施，如需新建，承包人自行建设，并自行承担费用。</w:t>
      </w:r>
    </w:p>
    <w:p w14:paraId="64DD1CB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1.10.4  超大件和超重件的运输</w:t>
      </w:r>
    </w:p>
    <w:p w14:paraId="11A34B9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运输超大件或超重件所需的道路和桥梁临时加固改造费用和其他有关费用由</w:t>
      </w:r>
      <w:r>
        <w:rPr>
          <w:rFonts w:hint="eastAsia" w:ascii="宋体" w:hAnsi="宋体" w:eastAsia="宋体" w:cs="Times New Roman"/>
          <w:color w:val="000000"/>
          <w:kern w:val="0"/>
          <w:szCs w:val="21"/>
          <w:u w:val="single"/>
        </w:rPr>
        <w:t>承包人</w:t>
      </w:r>
      <w:r>
        <w:rPr>
          <w:rFonts w:hint="eastAsia" w:ascii="宋体" w:hAnsi="宋体" w:eastAsia="宋体" w:cs="Times New Roman"/>
          <w:kern w:val="0"/>
          <w:szCs w:val="21"/>
          <w:u w:val="single"/>
        </w:rPr>
        <w:t>承担。</w:t>
      </w:r>
    </w:p>
    <w:p w14:paraId="40976853">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rPr>
        <w:t>本工程的超大件：</w:t>
      </w:r>
      <w:r>
        <w:rPr>
          <w:rFonts w:hint="eastAsia" w:ascii="宋体" w:hAnsi="宋体" w:eastAsia="宋体" w:cs="Times New Roman"/>
          <w:color w:val="000000"/>
          <w:kern w:val="0"/>
          <w:szCs w:val="21"/>
          <w:u w:val="single"/>
        </w:rPr>
        <w:t xml:space="preserve">/ </w:t>
      </w:r>
      <w:r>
        <w:rPr>
          <w:rFonts w:hint="eastAsia" w:ascii="宋体" w:hAnsi="宋体" w:eastAsia="宋体" w:cs="Times New Roman"/>
          <w:kern w:val="0"/>
          <w:szCs w:val="21"/>
          <w:u w:val="single"/>
        </w:rPr>
        <w:t>。</w:t>
      </w:r>
    </w:p>
    <w:p w14:paraId="0B89FFCA">
      <w:pPr>
        <w:autoSpaceDE w:val="0"/>
        <w:autoSpaceDN w:val="0"/>
        <w:adjustRightInd w:val="0"/>
        <w:spacing w:line="420" w:lineRule="exact"/>
        <w:ind w:firstLine="422" w:firstLineChars="200"/>
        <w:jc w:val="left"/>
        <w:rPr>
          <w:rFonts w:ascii="宋体" w:hAnsi="宋体" w:eastAsia="宋体" w:cs="Times New Roman"/>
          <w:kern w:val="0"/>
          <w:szCs w:val="21"/>
          <w:u w:val="single"/>
        </w:rPr>
      </w:pPr>
      <w:r>
        <w:rPr>
          <w:rFonts w:hint="eastAsia" w:ascii="宋体" w:hAnsi="宋体" w:eastAsia="宋体" w:cs="Times New Roman"/>
          <w:b/>
          <w:bCs/>
          <w:kern w:val="0"/>
          <w:szCs w:val="21"/>
        </w:rPr>
        <w:t>本工程的超重件：</w:t>
      </w:r>
      <w:r>
        <w:rPr>
          <w:rFonts w:hint="eastAsia" w:ascii="宋体" w:hAnsi="宋体" w:eastAsia="宋体" w:cs="Times New Roman"/>
          <w:color w:val="000000"/>
          <w:kern w:val="0"/>
          <w:szCs w:val="21"/>
          <w:u w:val="single"/>
        </w:rPr>
        <w:t xml:space="preserve">/ </w:t>
      </w:r>
      <w:r>
        <w:rPr>
          <w:rFonts w:hint="eastAsia" w:ascii="宋体" w:hAnsi="宋体" w:eastAsia="宋体" w:cs="Times New Roman"/>
          <w:kern w:val="0"/>
          <w:szCs w:val="21"/>
          <w:u w:val="single"/>
        </w:rPr>
        <w:t>。</w:t>
      </w:r>
    </w:p>
    <w:p w14:paraId="48268E5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1.11知识产权</w:t>
      </w:r>
    </w:p>
    <w:p w14:paraId="0A30AFE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Times New Roman"/>
          <w:kern w:val="0"/>
          <w:szCs w:val="21"/>
          <w:u w:val="single"/>
        </w:rPr>
        <w:t>发包人。</w:t>
      </w:r>
    </w:p>
    <w:p w14:paraId="08D7E44B">
      <w:pPr>
        <w:autoSpaceDE w:val="0"/>
        <w:autoSpaceDN w:val="0"/>
        <w:adjustRightInd w:val="0"/>
        <w:spacing w:line="420" w:lineRule="exact"/>
        <w:ind w:left="210" w:hanging="210" w:hangingChars="100"/>
        <w:jc w:val="left"/>
        <w:rPr>
          <w:rFonts w:ascii="宋体" w:hAnsi="宋体" w:eastAsia="宋体" w:cs="Times New Roman"/>
          <w:kern w:val="0"/>
          <w:szCs w:val="21"/>
          <w:u w:val="single"/>
        </w:rPr>
      </w:pPr>
      <w:r>
        <w:rPr>
          <w:rFonts w:hint="eastAsia" w:ascii="宋体" w:hAnsi="宋体" w:eastAsia="宋体" w:cs="Times New Roman"/>
          <w:kern w:val="0"/>
          <w:szCs w:val="21"/>
        </w:rPr>
        <w:t>关于发包人提供的上述文件的使用限制的要求：</w:t>
      </w:r>
      <w:r>
        <w:rPr>
          <w:rFonts w:hint="eastAsia" w:ascii="宋体" w:hAnsi="宋体" w:eastAsia="宋体" w:cs="Times New Roman"/>
          <w:kern w:val="0"/>
          <w:szCs w:val="21"/>
          <w:u w:val="single"/>
        </w:rPr>
        <w:t>按通用条款。</w:t>
      </w:r>
    </w:p>
    <w:p w14:paraId="5D5DC26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1.11.2关于承包人为实施工程所编制文件的著作权的归属：</w:t>
      </w:r>
      <w:r>
        <w:rPr>
          <w:rFonts w:hint="eastAsia" w:ascii="宋体" w:hAnsi="宋体" w:eastAsia="宋体" w:cs="Times New Roman"/>
          <w:kern w:val="0"/>
          <w:szCs w:val="21"/>
          <w:u w:val="single"/>
        </w:rPr>
        <w:t>归发包人所有。</w:t>
      </w:r>
    </w:p>
    <w:p w14:paraId="70F7A2E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关于承包人提供的上述文件的使用限制的要求：</w:t>
      </w:r>
      <w:r>
        <w:rPr>
          <w:rFonts w:hint="eastAsia" w:ascii="宋体" w:hAnsi="宋体" w:eastAsia="宋体" w:cs="Times New Roman"/>
          <w:kern w:val="0"/>
          <w:szCs w:val="21"/>
          <w:u w:val="single"/>
        </w:rPr>
        <w:t>本工程实施、结算全过程。</w:t>
      </w:r>
    </w:p>
    <w:p w14:paraId="6730C48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1.11.4承包人在施工过程中所采用的专利、专有技术、技术秘密的使用费的承担方式：</w:t>
      </w:r>
      <w:r>
        <w:rPr>
          <w:rFonts w:hint="eastAsia" w:ascii="宋体" w:hAnsi="宋体" w:eastAsia="宋体" w:cs="Times New Roman"/>
          <w:b/>
          <w:bCs/>
          <w:kern w:val="0"/>
          <w:szCs w:val="21"/>
          <w:u w:val="single"/>
        </w:rPr>
        <w:t>（除发包人指明外）承包人在施工过程中所采用的专利、专有技术、技术秘密的使用费包含在合同价款内。</w:t>
      </w:r>
    </w:p>
    <w:p w14:paraId="54EFE51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1.13  工程量清单错误的修正</w:t>
      </w:r>
    </w:p>
    <w:p w14:paraId="1234040A">
      <w:pPr>
        <w:autoSpaceDE w:val="0"/>
        <w:autoSpaceDN w:val="0"/>
        <w:adjustRightInd w:val="0"/>
        <w:spacing w:line="420" w:lineRule="exact"/>
        <w:ind w:firstLine="420" w:firstLineChars="200"/>
        <w:jc w:val="left"/>
        <w:rPr>
          <w:rFonts w:ascii="宋体" w:hAnsi="宋体" w:eastAsia="宋体" w:cs="Times New Roman"/>
          <w:b/>
          <w:bCs/>
          <w:kern w:val="0"/>
          <w:szCs w:val="21"/>
          <w:u w:val="single"/>
        </w:rPr>
      </w:pPr>
      <w:r>
        <w:rPr>
          <w:rFonts w:hint="eastAsia" w:ascii="宋体" w:hAnsi="宋体" w:eastAsia="宋体" w:cs="Times New Roman"/>
          <w:kern w:val="0"/>
          <w:szCs w:val="21"/>
        </w:rPr>
        <w:t>出现工程量清单错误时，是否调整合同价格：</w:t>
      </w:r>
      <w:r>
        <w:rPr>
          <w:rFonts w:hint="eastAsia" w:ascii="宋体" w:hAnsi="宋体" w:eastAsia="宋体" w:cs="Times New Roman"/>
          <w:b/>
          <w:bCs/>
          <w:kern w:val="0"/>
          <w:szCs w:val="21"/>
          <w:u w:val="single"/>
        </w:rPr>
        <w:t>是</w:t>
      </w:r>
      <w:r>
        <w:rPr>
          <w:rFonts w:hint="eastAsia" w:ascii="宋体" w:hAnsi="宋体" w:eastAsia="宋体" w:cs="Times New Roman"/>
          <w:kern w:val="0"/>
          <w:szCs w:val="21"/>
          <w:u w:val="single"/>
        </w:rPr>
        <w:t>；</w:t>
      </w:r>
    </w:p>
    <w:p w14:paraId="708BA9F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允许调整合同价格的工程量偏差范围：</w:t>
      </w:r>
      <w:r>
        <w:rPr>
          <w:rFonts w:hint="eastAsia" w:ascii="宋体" w:hAnsi="宋体" w:eastAsia="宋体" w:cs="Times New Roman"/>
          <w:kern w:val="0"/>
          <w:szCs w:val="21"/>
          <w:u w:val="single"/>
        </w:rPr>
        <w:t>按专用条款 10.4执行 ；</w:t>
      </w:r>
    </w:p>
    <w:p w14:paraId="3903E9EE">
      <w:pPr>
        <w:autoSpaceDE w:val="0"/>
        <w:autoSpaceDN w:val="0"/>
        <w:adjustRightInd w:val="0"/>
        <w:spacing w:line="420" w:lineRule="exact"/>
        <w:ind w:firstLine="420" w:firstLineChars="200"/>
        <w:jc w:val="left"/>
        <w:rPr>
          <w:rFonts w:ascii="宋体" w:hAnsi="宋体" w:eastAsia="宋体" w:cs="Times New Roman"/>
          <w:color w:val="000000"/>
          <w:kern w:val="0"/>
          <w:szCs w:val="21"/>
          <w:u w:val="single"/>
        </w:rPr>
      </w:pPr>
      <w:r>
        <w:rPr>
          <w:rFonts w:hint="eastAsia" w:ascii="宋体" w:hAnsi="宋体" w:eastAsia="宋体" w:cs="Times New Roman"/>
          <w:kern w:val="0"/>
          <w:szCs w:val="21"/>
        </w:rPr>
        <w:t>调整合同价格的修正时间：</w:t>
      </w:r>
      <w:r>
        <w:rPr>
          <w:rFonts w:hint="eastAsia" w:ascii="宋体" w:hAnsi="宋体" w:eastAsia="宋体" w:cs="Times New Roman"/>
          <w:color w:val="000000"/>
          <w:kern w:val="0"/>
          <w:szCs w:val="21"/>
          <w:u w:val="single"/>
        </w:rPr>
        <w:t>竣工结算时进行修正，最终结果以审计为准。</w:t>
      </w:r>
    </w:p>
    <w:p w14:paraId="663225B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2发包人</w:t>
      </w:r>
    </w:p>
    <w:p w14:paraId="2CDD46DB">
      <w:pPr>
        <w:autoSpaceDE w:val="0"/>
        <w:autoSpaceDN w:val="0"/>
        <w:adjustRightInd w:val="0"/>
        <w:spacing w:line="420" w:lineRule="exact"/>
        <w:ind w:firstLine="308" w:firstLineChars="147"/>
        <w:jc w:val="left"/>
        <w:rPr>
          <w:rFonts w:ascii="宋体" w:hAnsi="宋体" w:eastAsia="宋体" w:cs="Times New Roman"/>
          <w:kern w:val="0"/>
          <w:szCs w:val="21"/>
        </w:rPr>
      </w:pPr>
      <w:r>
        <w:rPr>
          <w:rFonts w:hint="eastAsia" w:ascii="宋体" w:hAnsi="宋体" w:eastAsia="宋体" w:cs="Times New Roman"/>
          <w:kern w:val="0"/>
          <w:szCs w:val="21"/>
        </w:rPr>
        <w:t>发包人应根据工程所需配备发包人代表，同时配备1-2名相关人员到岗履职。发包人应做好承包人农民工工资保证金缴存情况的审核工作，督促未缴存农民工工资保证金的承包人及时缴存。</w:t>
      </w:r>
    </w:p>
    <w:p w14:paraId="3FF3F894">
      <w:pPr>
        <w:autoSpaceDE w:val="0"/>
        <w:autoSpaceDN w:val="0"/>
        <w:adjustRightInd w:val="0"/>
        <w:spacing w:line="420" w:lineRule="exact"/>
        <w:ind w:firstLine="310" w:firstLineChars="147"/>
        <w:jc w:val="left"/>
        <w:rPr>
          <w:rFonts w:ascii="宋体" w:hAnsi="宋体" w:eastAsia="宋体" w:cs="Times New Roman"/>
          <w:b/>
          <w:bCs/>
          <w:kern w:val="0"/>
          <w:szCs w:val="21"/>
        </w:rPr>
      </w:pPr>
      <w:r>
        <w:rPr>
          <w:rFonts w:hint="eastAsia" w:ascii="宋体" w:hAnsi="宋体" w:eastAsia="宋体" w:cs="Times New Roman"/>
          <w:b/>
          <w:bCs/>
          <w:kern w:val="0"/>
          <w:szCs w:val="21"/>
        </w:rPr>
        <w:t>建设工程施工前，发包人必须对工程项目建筑垃圾总量、回填利用量进行全面准确测算，并到项目所在地城管部门办理建筑垃圾处置手续。</w:t>
      </w:r>
    </w:p>
    <w:p w14:paraId="0D942860">
      <w:pPr>
        <w:autoSpaceDE w:val="0"/>
        <w:autoSpaceDN w:val="0"/>
        <w:adjustRightInd w:val="0"/>
        <w:spacing w:line="420" w:lineRule="exact"/>
        <w:ind w:firstLine="310" w:firstLineChars="147"/>
        <w:jc w:val="left"/>
        <w:rPr>
          <w:rFonts w:ascii="宋体" w:hAnsi="宋体" w:eastAsia="宋体" w:cs="Times New Roman"/>
          <w:b/>
          <w:bCs/>
          <w:kern w:val="0"/>
          <w:szCs w:val="21"/>
        </w:rPr>
      </w:pPr>
      <w:r>
        <w:rPr>
          <w:rFonts w:hint="eastAsia" w:ascii="宋体" w:hAnsi="宋体" w:eastAsia="宋体" w:cs="Times New Roman"/>
          <w:b/>
          <w:bCs/>
          <w:kern w:val="0"/>
          <w:szCs w:val="21"/>
        </w:rPr>
        <w:t>发包人有权开展现场检查，督促承包人落实规范垃圾处置合同分包、车辆装载、车辆冲洗和规范消纳等措施。</w:t>
      </w:r>
    </w:p>
    <w:p w14:paraId="07DD9FD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2.2  发包人代表</w:t>
      </w:r>
    </w:p>
    <w:p w14:paraId="5C4A31C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发包人代表：</w:t>
      </w:r>
    </w:p>
    <w:p w14:paraId="2564995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姓名：</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rPr>
        <w:t>；</w:t>
      </w:r>
    </w:p>
    <w:p w14:paraId="1F5BE76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身份证号：</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rPr>
        <w:t>；</w:t>
      </w:r>
    </w:p>
    <w:p w14:paraId="23C99F8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职务：</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rPr>
        <w:t>；</w:t>
      </w:r>
    </w:p>
    <w:p w14:paraId="08FAE07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联系电话：</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rPr>
        <w:t>；</w:t>
      </w:r>
    </w:p>
    <w:p w14:paraId="1B81A22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电子信箱：</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rPr>
        <w:t>；</w:t>
      </w:r>
    </w:p>
    <w:p w14:paraId="5735734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通信地址：</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rPr>
        <w:t>。</w:t>
      </w:r>
    </w:p>
    <w:p w14:paraId="38933EF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发包人对发包人代表的授权范围如下：代表发包方行使工程现场管理协调，对任何作为结算价款调整依据的工期、工程变更、签证单的最终审核确认。</w:t>
      </w:r>
    </w:p>
    <w:p w14:paraId="03E4102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2.4  施工现场、施工条件和基础资料的提供</w:t>
      </w:r>
    </w:p>
    <w:p w14:paraId="5F4B9FD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2.4.1  提供施工现场</w:t>
      </w:r>
    </w:p>
    <w:p w14:paraId="73411EB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关于发包人移交施工现场的期限要求：</w:t>
      </w:r>
      <w:r>
        <w:rPr>
          <w:rFonts w:hint="eastAsia" w:ascii="宋体" w:hAnsi="宋体" w:eastAsia="宋体" w:cs="Times New Roman"/>
          <w:kern w:val="0"/>
          <w:szCs w:val="21"/>
          <w:u w:val="single"/>
        </w:rPr>
        <w:t>已具备施工条件。</w:t>
      </w:r>
    </w:p>
    <w:p w14:paraId="2443C06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2.4.2提供施工条件</w:t>
      </w:r>
    </w:p>
    <w:p w14:paraId="5639D1C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关于发包人应负责提供施工所需要的条件，包括：</w:t>
      </w:r>
      <w:r>
        <w:rPr>
          <w:rFonts w:hint="eastAsia" w:ascii="宋体" w:hAnsi="宋体" w:eastAsia="宋体" w:cs="Times New Roman"/>
          <w:kern w:val="0"/>
          <w:szCs w:val="21"/>
          <w:u w:val="single"/>
        </w:rPr>
        <w:t>（1）发包人提供水、电接入点，位置以现场实际条件为准；电讯线路由承包人自行解决，需要时发包人可协助承包人与电信部门联系，费用全部由承包人承担。</w:t>
      </w:r>
    </w:p>
    <w:p w14:paraId="0331209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（2）开工前向承包人提交工程地质和地下管网线资料，承包人收到发包人提交的资料后7 日内对资料进行复核，逾期未提异议的，视为承包人对资料无异议。承包人需采取措施保护地下管网线，费用由承包人负责，如工程施工损坏地下管线的，由承包人承担责任。非因发包人原因，发包人向承包人提交工程地质和地下管网线资料不全的，施工过程中，承包人如发现施工场地周围可能存在资料中未反映的地下管网线的，应立即停止施工并向发包人及相关单位书面报告，待确认安全后方可施工，否则，因施工损坏地下管网线的，由承包人承担责任。</w:t>
      </w:r>
    </w:p>
    <w:p w14:paraId="0EBB6F1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（3）开工前由发包人办理施工许可证。以不影响承包人开工、正常施工和工程验收为限。</w:t>
      </w:r>
    </w:p>
    <w:p w14:paraId="47A2587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4）在工程开工前，发包人将通过工程师提供一个水准点与坐标控制点，双方代表应做好现场的校验工作并签字确认。移交后，承包人应予以良好保护，此后由于破坏或失准带来的重新测量、放点费用及由此造成的其他损失由承包人承担。完工后将水准点完好地交还给发包人。</w:t>
      </w:r>
    </w:p>
    <w:p w14:paraId="3A29CA04">
      <w:pPr>
        <w:autoSpaceDE w:val="0"/>
        <w:autoSpaceDN w:val="0"/>
        <w:adjustRightInd w:val="0"/>
        <w:spacing w:line="420" w:lineRule="exact"/>
        <w:ind w:firstLine="420" w:firstLineChars="200"/>
        <w:jc w:val="left"/>
        <w:rPr>
          <w:rFonts w:ascii="宋体" w:hAnsi="宋体" w:eastAsia="宋体" w:cs="Times New Roman"/>
          <w:b/>
          <w:bCs/>
          <w:kern w:val="0"/>
          <w:szCs w:val="21"/>
          <w:u w:val="single"/>
        </w:rPr>
      </w:pPr>
      <w:r>
        <w:rPr>
          <w:rFonts w:hint="eastAsia" w:ascii="宋体" w:hAnsi="宋体" w:eastAsia="宋体" w:cs="Times New Roman"/>
          <w:kern w:val="0"/>
          <w:szCs w:val="21"/>
          <w:u w:val="single"/>
        </w:rPr>
        <w:t>（5）图纸会审和设计交底时间: （承包人在收到施工图纸后需组织图纸自审，形成内审纪要，开工前 7 天发包人组织监理人、设计人、承包人四方参与进行图纸会审，会审纪要由四方盖章确认后作为施工依据。）</w:t>
      </w:r>
    </w:p>
    <w:p w14:paraId="7037D90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2.5  资金来源证明及支付担保</w:t>
      </w:r>
    </w:p>
    <w:p w14:paraId="298E297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发包人提供资金来源证明的期限要求：</w:t>
      </w:r>
      <w:r>
        <w:rPr>
          <w:rFonts w:hint="eastAsia" w:ascii="宋体" w:hAnsi="宋体" w:eastAsia="宋体" w:cs="Times New Roman"/>
          <w:kern w:val="0"/>
          <w:szCs w:val="21"/>
          <w:u w:val="single"/>
        </w:rPr>
        <w:t>按通用条款执行。</w:t>
      </w:r>
    </w:p>
    <w:p w14:paraId="4DD9124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发包人是否提供支付担保：</w:t>
      </w:r>
      <w:r>
        <w:rPr>
          <w:rFonts w:hint="eastAsia" w:ascii="宋体" w:hAnsi="宋体" w:eastAsia="宋体" w:cs="Times New Roman"/>
          <w:kern w:val="0"/>
          <w:szCs w:val="21"/>
          <w:u w:val="single"/>
        </w:rPr>
        <w:t>/。</w:t>
      </w:r>
    </w:p>
    <w:p w14:paraId="1B9FA83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发包人提供支付担保的形式：</w:t>
      </w:r>
      <w:r>
        <w:rPr>
          <w:rFonts w:hint="eastAsia" w:ascii="宋体" w:hAnsi="宋体" w:eastAsia="宋体" w:cs="Times New Roman"/>
          <w:kern w:val="0"/>
          <w:szCs w:val="21"/>
          <w:u w:val="single"/>
        </w:rPr>
        <w:t>/。</w:t>
      </w:r>
    </w:p>
    <w:p w14:paraId="5704AE6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3承包人</w:t>
      </w:r>
    </w:p>
    <w:p w14:paraId="69A290C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3.1  承包人的一般义务</w:t>
      </w:r>
    </w:p>
    <w:p w14:paraId="1C98544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（9）承包人提交的竣工资料的内容：</w:t>
      </w:r>
      <w:r>
        <w:rPr>
          <w:rFonts w:hint="eastAsia" w:ascii="宋体" w:hAnsi="宋体" w:eastAsia="宋体" w:cs="Times New Roman"/>
          <w:kern w:val="0"/>
          <w:szCs w:val="21"/>
          <w:u w:val="single"/>
        </w:rPr>
        <w:t>按工程所在地行政主管部门要求执行，符合城建档案馆及其他有关部门要求的竣工图纸（竣工图纸包括手绘竣工蓝图三套、经 CAD 修改并打印的蓝图三套及修改后的电子光盘一套）和竣工资料（包括声像资料一套）及一套光盘。</w:t>
      </w:r>
    </w:p>
    <w:p w14:paraId="1AE697B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承包人需要提交的竣工资料套数：</w:t>
      </w:r>
      <w:r>
        <w:rPr>
          <w:rFonts w:hint="eastAsia" w:ascii="宋体" w:hAnsi="宋体" w:eastAsia="宋体" w:cs="Times New Roman"/>
          <w:kern w:val="0"/>
          <w:szCs w:val="21"/>
          <w:u w:val="single"/>
        </w:rPr>
        <w:t xml:space="preserve"> 两套（一套原件，一套复印件）  。</w:t>
      </w:r>
    </w:p>
    <w:p w14:paraId="1B57127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承包人提交的竣工资料的费用承担：</w:t>
      </w:r>
      <w:r>
        <w:rPr>
          <w:rFonts w:hint="eastAsia" w:ascii="宋体" w:hAnsi="宋体" w:eastAsia="宋体" w:cs="Times New Roman"/>
          <w:kern w:val="0"/>
          <w:szCs w:val="21"/>
          <w:u w:val="single"/>
        </w:rPr>
        <w:t xml:space="preserve"> 承包人自行承担  。</w:t>
      </w:r>
    </w:p>
    <w:p w14:paraId="766CF21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承包人提交的竣工资料移交时间：</w:t>
      </w:r>
      <w:r>
        <w:rPr>
          <w:rFonts w:hint="eastAsia" w:ascii="宋体" w:hAnsi="宋体" w:eastAsia="宋体" w:cs="Times New Roman"/>
          <w:kern w:val="0"/>
          <w:szCs w:val="21"/>
          <w:u w:val="single"/>
        </w:rPr>
        <w:t>竣工验收合格之日起 28 日内。</w:t>
      </w:r>
    </w:p>
    <w:p w14:paraId="4C8F59E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承包人提交的竣工资料形式要求：</w:t>
      </w:r>
      <w:r>
        <w:rPr>
          <w:rFonts w:hint="eastAsia" w:ascii="宋体" w:hAnsi="宋体" w:eastAsia="宋体" w:cs="Times New Roman"/>
          <w:kern w:val="0"/>
          <w:szCs w:val="21"/>
          <w:u w:val="single"/>
        </w:rPr>
        <w:t>纸质及电子文档两套。</w:t>
      </w:r>
    </w:p>
    <w:p w14:paraId="3278EA2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（10）承包人应履行的其他义务：</w:t>
      </w:r>
    </w:p>
    <w:p w14:paraId="63BACD7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承包人应建立实名制电子考勤系统，做好与杭州市智慧工地实名制管理应用系统以及全国建筑工人管理服务信息平台的数据对接工作。</w:t>
      </w:r>
    </w:p>
    <w:p w14:paraId="1068B05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当在工程项目部配备劳资专管员，对分包单位劳动用工实施监督管理。实行分包单位农民工工资委托施工总承包单位代发制度。承包人应当按照与农民工依法约定的工资支付周期和具体支付日期支付工资，且每月至少向农民工足额支付一次工资。</w:t>
      </w:r>
    </w:p>
    <w:p w14:paraId="1B419AE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当在施工现场醒目位置设立维权信息告示牌，明示：（1）建设单位、施工总承包单位及所在项目部、分包单位、行业监管部门、劳资专管员等基本信息；（2）劳动用工相关法律法规、当地最低工资标准、工资支付日期等基本信息；（3）属地行业监管部门和劳动保障监察投诉举报电话、劳动争议调解仲裁申请渠道等信息。</w:t>
      </w:r>
    </w:p>
    <w:p w14:paraId="3EDF4FBA">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承包人应规范建筑垃圾处置分包合同管理，建筑垃圾运输业务应当发包给本工程建筑垃圾处置证核准确定的运输单位。</w:t>
      </w:r>
    </w:p>
    <w:p w14:paraId="18026FEF">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承包人负责根据施工合同约定和相关法律法规要求，编制工程建筑垃圾处置方案，向项目所在地城管部门进行备案，并在工地出入口做好公示及日常维护工作。</w:t>
      </w:r>
    </w:p>
    <w:p w14:paraId="308CE3BD">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承包人要加强建筑垃圾处置分包合同履约监管，严格核对建筑垃圾运输车辆，对不具备垃圾处置证、准运证、通行证的工程车辆，要及时清退。杜绝运输单位将建筑垃圾运输至非指定消纳场所，确保运输和处置规范。</w:t>
      </w:r>
    </w:p>
    <w:p w14:paraId="2809A12E">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承包人与运输、处置单位结算相关费用前应当查验接纳回执。</w:t>
      </w:r>
    </w:p>
    <w:p w14:paraId="14791B2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成品保护：承包人应做好施工现场建筑物、构筑物、设备、管线的保护工作，并对所造成的损伤、损害负全部责任，承担全部费用。对采取的保护措施发生的费用列入措施费；发现损坏应及时抢修，确保在影响范围内的设备、管线、建筑物、构筑物的正常使用，并承担有关费用。为此增加的技术措施费包含在投标报价中。</w:t>
      </w:r>
    </w:p>
    <w:p w14:paraId="051499C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施工现场清洁卫生的要求：</w:t>
      </w:r>
      <w:r>
        <w:rPr>
          <w:rFonts w:hint="eastAsia" w:ascii="宋体" w:hAnsi="宋体" w:eastAsia="宋体" w:cs="Times New Roman"/>
          <w:kern w:val="0"/>
          <w:szCs w:val="21"/>
          <w:u w:val="single"/>
        </w:rPr>
        <w:t>按浙江省、杭州市标化工地管理的有关要求、规定执行。所发生的各项清理费用、临时性收费、临时性占用场地费、临时性设施费及不可预见的费用，均已包括在合同总价内。施工场地做到“工完、料净、场地清”，承担因自身原因违反有关规定造成的损失和罚款。</w:t>
      </w:r>
    </w:p>
    <w:p w14:paraId="025BB6D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遵守政府及主管部门管理规定，符合《建设项目环境保护管理条理》及《杭州市环境噪音管理条理》规定；负责办理有关施工场地交通、环卫和施工噪音管理等手续，承担相关费用，若有相关投诉，施工方承担一切后果。</w:t>
      </w:r>
    </w:p>
    <w:p w14:paraId="138135C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承包人应严格按已确认的施工技术方案实施，并无条件在接受发包人派遣的现场代表对施工质量、进度、安全、投资及协调方面的监督和管理。</w:t>
      </w:r>
    </w:p>
    <w:p w14:paraId="5EF8386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承包人应按期支付工人（农民工）的劳动工资，发包人有权监督承包人对于工人工资支付的发放。并有权按劳动仲裁部门的意见支付相应工资款项。</w:t>
      </w:r>
    </w:p>
    <w:p w14:paraId="7398D1F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承包人应加强安全、文明施工，确保安全操作，在施工现场采取相应的安全防护措施，合同价内的安全文明施工措施费费不得挪作他用。</w:t>
      </w:r>
    </w:p>
    <w:p w14:paraId="48BB9E9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场内施工用水、用电接管自行解决，水电费用按实际发生费用（装表计量）加损耗，由承包人自行向收费部门缴纳。</w:t>
      </w:r>
    </w:p>
    <w:p w14:paraId="60BFC0A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承包人应承担与周围居民的协调、沟通、安抚任务，并承担所发生的费用，如承包人不能协调好与周围群众的关系而导致施工无法正常进行，承包人应无条件服从发包人的协调结果，并承担相关费用。</w:t>
      </w:r>
    </w:p>
    <w:p w14:paraId="374D95B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办施工暂住人口证手续及计划生育，施工现场的夜间照明线路必须单独铺设；承担所有安全保卫责任以及引起的所有经济和法律责任；承担各级政府管理部门所要求的一切责任以及所引起的所有经济和法律责任，并参照通用条款有关规定。</w:t>
      </w:r>
    </w:p>
    <w:p w14:paraId="3674596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承包人对于必须连续施工的分部分项工程，因电力不足或停电，应自备发电机确保连续施工，费用自理，否则由承包人承担造成的损失。</w:t>
      </w:r>
    </w:p>
    <w:p w14:paraId="2897984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承包人应严格按照设计施工图，国家现行规范进行施工，对工程的质量、安全、进度负责。</w:t>
      </w:r>
    </w:p>
    <w:p w14:paraId="5ABA4C1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 xml:space="preserve">向发包人提供的办公和生活房屋及设施的要求:应无偿提供给发包人及监理现场办公室。 </w:t>
      </w:r>
    </w:p>
    <w:p w14:paraId="3805D5D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开工前提供施工组织设计、进度计划及人员、机械的配备情况表，施工现场的平面布置图，必须经发包人有关工程师及监理工程师签字认可，每月25日前提供经总监工程师审核和发包人有关工程师签字认可的下月施工进度计划及当月完成的工程量报表。</w:t>
      </w:r>
    </w:p>
    <w:p w14:paraId="52E9578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 xml:space="preserve">需承包人办理的有关施工场地交通、环卫和施工噪音管理等手续: </w:t>
      </w:r>
    </w:p>
    <w:p w14:paraId="5CCF6EE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按有关部门规定办理监理、排污、夜间施工等手续，发包人协助，承包人承担费用。</w:t>
      </w:r>
    </w:p>
    <w:p w14:paraId="1CDF12E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color w:val="000000"/>
          <w:kern w:val="0"/>
          <w:szCs w:val="21"/>
          <w:u w:val="single"/>
        </w:rPr>
        <w:t>承包人完工后半个月内通过预验收，竣工预验收后1 个半月内提交工程竣工决算资料，否则每延迟一天，</w:t>
      </w:r>
      <w:r>
        <w:rPr>
          <w:rFonts w:hint="eastAsia" w:ascii="宋体" w:hAnsi="宋体" w:eastAsia="宋体" w:cs="Times New Roman"/>
          <w:kern w:val="0"/>
          <w:szCs w:val="21"/>
          <w:u w:val="single"/>
        </w:rPr>
        <w:t>应向发包人支付违约金</w:t>
      </w:r>
      <w:r>
        <w:rPr>
          <w:rFonts w:hint="eastAsia" w:ascii="宋体" w:hAnsi="宋体" w:eastAsia="宋体" w:cs="Times New Roman"/>
          <w:color w:val="000000"/>
          <w:kern w:val="0"/>
          <w:szCs w:val="21"/>
          <w:u w:val="single"/>
        </w:rPr>
        <w:t>人民币壹仟元整，发包人有权在工期保证金中扣除</w:t>
      </w:r>
      <w:r>
        <w:rPr>
          <w:rFonts w:hint="eastAsia" w:ascii="宋体" w:hAnsi="宋体" w:eastAsia="宋体" w:cs="Times New Roman"/>
          <w:kern w:val="0"/>
          <w:szCs w:val="21"/>
          <w:u w:val="single"/>
        </w:rPr>
        <w:t>。</w:t>
      </w:r>
    </w:p>
    <w:p w14:paraId="34E4E01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color w:val="000000"/>
          <w:kern w:val="0"/>
          <w:szCs w:val="21"/>
          <w:u w:val="single"/>
        </w:rPr>
        <w:t>承包人须完成被杭州市城管办数字城管抄告的整改项目，若整改原因由承包人造成，则费用由承包人自行承担，若整改非承包人原因造成，则费用由发包人代表及监理签证后由发包人支付，但若承包人不按有关要求进行整改，并超出规定整改期限的，承包人应按5000 元/次向发包人支付违约金，发包人有权在质量保证金中扣除</w:t>
      </w:r>
      <w:r>
        <w:rPr>
          <w:rFonts w:hint="eastAsia" w:ascii="宋体" w:hAnsi="宋体" w:eastAsia="宋体" w:cs="Times New Roman"/>
          <w:kern w:val="0"/>
          <w:szCs w:val="21"/>
          <w:u w:val="single"/>
        </w:rPr>
        <w:t>。</w:t>
      </w:r>
    </w:p>
    <w:p w14:paraId="4B769B3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 xml:space="preserve">须协助发包人做好各类工程检查、效能监察等台账及配合工作 。  </w:t>
      </w:r>
    </w:p>
    <w:p w14:paraId="202D6F4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3.2  项目经理</w:t>
      </w:r>
    </w:p>
    <w:p w14:paraId="0A13295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3.2.1  项目经理：</w:t>
      </w:r>
    </w:p>
    <w:p w14:paraId="1C260F6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姓名：</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7B29B49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身份证号：</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0A02CED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建造师执业资格等级：</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28C5E5D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建造师注册证书号：</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4B0F843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建造师执业印章号：</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2D4FBEF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安全生产考核合格证书号：</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675D0DA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联系电话：</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77E17AE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电子信箱：</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203616A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通信地址：</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56104AB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承包人对项目经理的授权范围如下：</w:t>
      </w:r>
      <w:r>
        <w:rPr>
          <w:rFonts w:hint="eastAsia" w:ascii="宋体" w:hAnsi="宋体" w:eastAsia="宋体" w:cs="Times New Roman"/>
          <w:kern w:val="0"/>
          <w:szCs w:val="21"/>
          <w:u w:val="single"/>
        </w:rPr>
        <w:t>负责本工程全面的施工管理工作，包括与各参建方的联系、协调，对工程的质量、安全、文明现场、施工进度、资金成本及人力、物力等实施指挥调试，全面管理，代表承包人对重要文件的谈判、决策并行使基本权利，且按国家相关法规约定。</w:t>
      </w:r>
    </w:p>
    <w:p w14:paraId="4A0EB82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关于项目经理每月在施工现场的时间要求：</w:t>
      </w:r>
      <w:r>
        <w:rPr>
          <w:rFonts w:hint="eastAsia" w:ascii="宋体" w:hAnsi="宋体" w:eastAsia="宋体" w:cs="Times New Roman"/>
          <w:kern w:val="0"/>
          <w:szCs w:val="21"/>
          <w:u w:val="single"/>
        </w:rPr>
        <w:t>到位率为80%(按每月24天,每天工作8小时考勤)，重要施工工序或环节时项目经理、技术负责人等必须到场  。</w:t>
      </w:r>
    </w:p>
    <w:p w14:paraId="31BB851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承包人未提交劳动合同，以及没有为项目经理缴纳社会保险证明的违约责任：按通用条款。</w:t>
      </w:r>
    </w:p>
    <w:p w14:paraId="01EC88F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项目经理未经批准，擅自离开施工现场的违约责任：</w:t>
      </w:r>
      <w:r>
        <w:rPr>
          <w:rFonts w:hint="eastAsia" w:ascii="宋体" w:hAnsi="宋体" w:eastAsia="宋体" w:cs="Times New Roman"/>
          <w:kern w:val="0"/>
          <w:szCs w:val="21"/>
          <w:u w:val="single"/>
        </w:rPr>
        <w:t>按人民币3000 元/天计扣，发包人有权在项目班子到位保证金中扣除，且承包人承担因违约给发包人造成的损失 。</w:t>
      </w:r>
    </w:p>
    <w:p w14:paraId="6A4E15A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3.2.3 承包人擅自更换项目经理的违约责任：</w:t>
      </w:r>
    </w:p>
    <w:p w14:paraId="50A1D042">
      <w:pPr>
        <w:autoSpaceDE w:val="0"/>
        <w:autoSpaceDN w:val="0"/>
        <w:adjustRightInd w:val="0"/>
        <w:spacing w:line="420" w:lineRule="exact"/>
        <w:ind w:firstLine="420" w:firstLineChars="200"/>
        <w:jc w:val="left"/>
        <w:rPr>
          <w:rFonts w:ascii="宋体" w:hAnsi="宋体" w:eastAsia="宋体" w:cs="Times New Roman"/>
          <w:b/>
          <w:bCs/>
          <w:kern w:val="0"/>
          <w:szCs w:val="21"/>
          <w:u w:val="single"/>
        </w:rPr>
      </w:pPr>
      <w:r>
        <w:rPr>
          <w:rFonts w:hint="eastAsia" w:ascii="宋体" w:hAnsi="宋体" w:eastAsia="宋体" w:cs="Times New Roman"/>
          <w:kern w:val="0"/>
          <w:szCs w:val="21"/>
        </w:rPr>
        <w:t>（1）承包人确需更换项目经理的，继任项目经理注册执业资格、管理经验的约定：</w:t>
      </w:r>
      <w:r>
        <w:rPr>
          <w:rFonts w:hint="eastAsia" w:ascii="宋体" w:hAnsi="宋体" w:eastAsia="宋体" w:cs="Times New Roman"/>
          <w:kern w:val="0"/>
          <w:szCs w:val="21"/>
          <w:u w:val="single"/>
        </w:rPr>
        <w:t>不得低于原项目经理的注册执业资格、管理经验。承包人更换项目经理时，应提前7天书面通知监理人，并征得发包人书面同意。通知中应当载明继任人员的注册执业资格、管理经验等资料。</w:t>
      </w:r>
    </w:p>
    <w:p w14:paraId="6ABF58F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（2）承包人擅自更换项目经理的违约责任：</w:t>
      </w:r>
      <w:r>
        <w:rPr>
          <w:rFonts w:hint="eastAsia" w:ascii="宋体" w:hAnsi="宋体" w:eastAsia="宋体" w:cs="Times New Roman"/>
          <w:kern w:val="0"/>
          <w:szCs w:val="21"/>
          <w:u w:val="single"/>
        </w:rPr>
        <w:t>每发生一次，承包人应向发包人支付违约金</w:t>
      </w:r>
      <w:bookmarkStart w:id="403" w:name="ed_2021Y1M29D11H38M01"/>
      <w:bookmarkEnd w:id="403"/>
      <w:r>
        <w:rPr>
          <w:rFonts w:hint="eastAsia" w:ascii="宋体" w:hAnsi="宋体" w:eastAsia="宋体" w:cs="Times New Roman"/>
          <w:kern w:val="0"/>
          <w:szCs w:val="21"/>
          <w:u w:val="single"/>
        </w:rPr>
        <w:t>2万元 ，发包人有权在项目班子到位保证金中扣除，且承包人承担因违约给发包人造成的损失 。</w:t>
      </w:r>
    </w:p>
    <w:p w14:paraId="49C5695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3.2.4 承包人无正当理由拒绝更换项目经理的违约责任：</w:t>
      </w:r>
      <w:r>
        <w:rPr>
          <w:rFonts w:hint="eastAsia" w:ascii="宋体" w:hAnsi="宋体" w:eastAsia="宋体" w:cs="Times New Roman"/>
          <w:kern w:val="0"/>
          <w:szCs w:val="21"/>
          <w:u w:val="single"/>
        </w:rPr>
        <w:t>每发生一次，承包人向发包人支付违约金2万元人民币，发包人有权</w:t>
      </w:r>
      <w:bookmarkStart w:id="404" w:name="ed_2021Y1M29D11H38M23"/>
      <w:r>
        <w:rPr>
          <w:rFonts w:hint="eastAsia" w:ascii="宋体" w:hAnsi="宋体" w:eastAsia="宋体" w:cs="Times New Roman"/>
          <w:kern w:val="0"/>
          <w:szCs w:val="21"/>
          <w:u w:val="single"/>
        </w:rPr>
        <w:t>在</w:t>
      </w:r>
      <w:bookmarkEnd w:id="404"/>
      <w:r>
        <w:rPr>
          <w:rFonts w:hint="eastAsia" w:ascii="宋体" w:hAnsi="宋体" w:eastAsia="宋体" w:cs="Times New Roman"/>
          <w:kern w:val="0"/>
          <w:szCs w:val="21"/>
          <w:u w:val="single"/>
        </w:rPr>
        <w:t>项目班子到位保证金中扣除，且承包人承担因违约给发包人造成的全部损失。</w:t>
      </w:r>
    </w:p>
    <w:p w14:paraId="356694A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3.3  承包人人员</w:t>
      </w:r>
    </w:p>
    <w:p w14:paraId="3B62B6E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3.3.1  承包人提交项目管理机构及施工现场管理人员安排报告的期限：</w:t>
      </w:r>
      <w:r>
        <w:rPr>
          <w:rFonts w:hint="eastAsia" w:ascii="宋体" w:hAnsi="宋体" w:eastAsia="宋体" w:cs="Times New Roman"/>
          <w:kern w:val="0"/>
          <w:szCs w:val="21"/>
          <w:u w:val="single"/>
        </w:rPr>
        <w:t>按通用条款约定。</w:t>
      </w:r>
    </w:p>
    <w:p w14:paraId="550F474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3.3.2  承包人需更换主要施工管理人员的，继任人员的数量、注册执业资格、管理经验的约定：</w:t>
      </w:r>
      <w:r>
        <w:rPr>
          <w:rFonts w:hint="eastAsia" w:ascii="宋体" w:hAnsi="宋体" w:eastAsia="宋体" w:cs="Times New Roman"/>
          <w:kern w:val="0"/>
          <w:szCs w:val="21"/>
          <w:u w:val="single"/>
        </w:rPr>
        <w:t>不得低于原主要施工管理人员的数量、注册执业资格、管理经验。</w:t>
      </w:r>
    </w:p>
    <w:p w14:paraId="462F6C8D">
      <w:pPr>
        <w:autoSpaceDE w:val="0"/>
        <w:autoSpaceDN w:val="0"/>
        <w:adjustRightInd w:val="0"/>
        <w:spacing w:line="420" w:lineRule="exact"/>
        <w:ind w:firstLine="396" w:firstLineChars="189"/>
        <w:jc w:val="left"/>
        <w:rPr>
          <w:rFonts w:ascii="宋体" w:hAnsi="宋体" w:eastAsia="宋体" w:cs="Times New Roman"/>
          <w:kern w:val="0"/>
          <w:szCs w:val="21"/>
          <w:u w:val="single"/>
        </w:rPr>
      </w:pPr>
      <w:r>
        <w:rPr>
          <w:rFonts w:hint="eastAsia" w:ascii="宋体" w:hAnsi="宋体" w:eastAsia="宋体" w:cs="Times New Roman"/>
          <w:kern w:val="0"/>
          <w:szCs w:val="21"/>
        </w:rPr>
        <w:t>3.3.3  承包人无正当理由拒绝撤换主要施工管理人员的违约责任：</w:t>
      </w:r>
      <w:r>
        <w:rPr>
          <w:rFonts w:hint="eastAsia" w:ascii="宋体" w:hAnsi="宋体" w:eastAsia="宋体" w:cs="Times New Roman"/>
          <w:kern w:val="0"/>
          <w:szCs w:val="21"/>
          <w:u w:val="single"/>
        </w:rPr>
        <w:t>未按要求撤换，每人次承包人应支付发包人违约金1万元人民币，发包人有权在项目班子到位保证金中扣除，且承包人承担因违约给发包人造成的全部损失。</w:t>
      </w:r>
    </w:p>
    <w:p w14:paraId="246448A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3.3.4  承包人主要施工管理人员离开施工现场的批准要求：</w:t>
      </w:r>
      <w:r>
        <w:rPr>
          <w:rFonts w:hint="eastAsia" w:ascii="宋体" w:hAnsi="宋体" w:eastAsia="宋体" w:cs="Times New Roman"/>
          <w:kern w:val="0"/>
          <w:szCs w:val="21"/>
          <w:u w:val="single"/>
        </w:rPr>
        <w:t>经总监工程师批准，发包人认可后方可离开。</w:t>
      </w:r>
    </w:p>
    <w:p w14:paraId="3644B41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3.3.5承包人擅自更换主要施工管理人员的违约责任：</w:t>
      </w:r>
      <w:r>
        <w:rPr>
          <w:rFonts w:hint="eastAsia" w:ascii="宋体" w:hAnsi="宋体" w:eastAsia="宋体" w:cs="Times New Roman"/>
          <w:kern w:val="0"/>
          <w:szCs w:val="21"/>
          <w:u w:val="single"/>
        </w:rPr>
        <w:t>每擅自更换1人，承包人应支付发包人违约金1万元人民币，发包人有权</w:t>
      </w:r>
      <w:bookmarkStart w:id="405" w:name="ed_2021Y1M29D11H38M49"/>
      <w:r>
        <w:rPr>
          <w:rFonts w:hint="eastAsia" w:ascii="宋体" w:hAnsi="宋体" w:eastAsia="宋体" w:cs="Times New Roman"/>
          <w:kern w:val="0"/>
          <w:szCs w:val="21"/>
          <w:u w:val="single"/>
        </w:rPr>
        <w:t>在</w:t>
      </w:r>
      <w:bookmarkEnd w:id="405"/>
      <w:r>
        <w:rPr>
          <w:rFonts w:hint="eastAsia" w:ascii="宋体" w:hAnsi="宋体" w:eastAsia="宋体" w:cs="Times New Roman"/>
          <w:kern w:val="0"/>
          <w:szCs w:val="21"/>
          <w:u w:val="single"/>
        </w:rPr>
        <w:t>项目班子到位保证金中扣除，且承包人承担因违约给发包人造成的全部损失。</w:t>
      </w:r>
    </w:p>
    <w:p w14:paraId="04BDCCB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承包人主要施工管理人员擅自离开施工现场的违约责任：</w:t>
      </w:r>
      <w:r>
        <w:rPr>
          <w:rFonts w:hint="eastAsia" w:ascii="宋体" w:hAnsi="宋体" w:eastAsia="宋体" w:cs="Times New Roman"/>
          <w:kern w:val="0"/>
          <w:szCs w:val="21"/>
          <w:u w:val="single"/>
        </w:rPr>
        <w:t>每发生一次，承包人应支付发包人违约金1万元人民币，发包人有权在</w:t>
      </w:r>
      <w:bookmarkStart w:id="406" w:name="ed_2021Y1M29D11H39M01"/>
      <w:bookmarkEnd w:id="406"/>
      <w:r>
        <w:rPr>
          <w:rFonts w:hint="eastAsia" w:ascii="宋体" w:hAnsi="宋体" w:eastAsia="宋体" w:cs="Times New Roman"/>
          <w:kern w:val="0"/>
          <w:szCs w:val="21"/>
          <w:u w:val="single"/>
        </w:rPr>
        <w:t>项目班子到位保证金中扣除，且承包人承担因违约给发包人造成的全部损失。</w:t>
      </w:r>
    </w:p>
    <w:p w14:paraId="00646E9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3.5  分包</w:t>
      </w:r>
    </w:p>
    <w:p w14:paraId="27F2667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3.5.1分包的一般约定</w:t>
      </w:r>
    </w:p>
    <w:p w14:paraId="195219D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禁止分包的工程包括：本工程主体结构不得分包。承包人资质范围以内的工程未经发包人同意不得分包，如果承包人未经发包人同意而自行分包、转包，一经发现并查实，发包人有权解除合同并由承包人承担由此造成的一切责任和损失。</w:t>
      </w:r>
    </w:p>
    <w:p w14:paraId="7DB5DB7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主体结构、关键性工作的范围：根据工程项目情况由监理工程师和发包人开工后确认。</w:t>
      </w:r>
    </w:p>
    <w:p w14:paraId="44B245D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3.5.2  分包的确定</w:t>
      </w:r>
    </w:p>
    <w:p w14:paraId="062D431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允许分包的专业工程包括：</w:t>
      </w:r>
      <w:r>
        <w:rPr>
          <w:rFonts w:hint="eastAsia" w:ascii="宋体" w:hAnsi="宋体" w:eastAsia="宋体" w:cs="Times New Roman"/>
          <w:kern w:val="0"/>
          <w:szCs w:val="21"/>
          <w:u w:val="single"/>
        </w:rPr>
        <w:t>承包人不具备相关专业工程的专业承包资质，可以将项目中的专业工程依法分包给具备相应专业承包资质的施工单位，确定的分包单位需经发包人书面同意。</w:t>
      </w:r>
    </w:p>
    <w:p w14:paraId="1172720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其他关于分包的约定：</w:t>
      </w:r>
      <w:r>
        <w:rPr>
          <w:rFonts w:hint="eastAsia" w:ascii="宋体" w:hAnsi="宋体" w:eastAsia="宋体" w:cs="Times New Roman"/>
          <w:kern w:val="0"/>
          <w:szCs w:val="21"/>
          <w:u w:val="single"/>
        </w:rPr>
        <w:t>本工程不得转包、非法分包，一经发现，以承包人违约处理，发包人可终止合同，承包人应于合同终止后30天内清退出场，承包人逾期未清退出场，视为其放弃场地内其物品所有权，发包人自行清退，产生的费用由承包人承担，并从其结算工程款中扣除，同时发包人有权没收全部履约保证金。在合同执行过程中，若发现存在下列情况的视作转包或非法分包：</w:t>
      </w:r>
    </w:p>
    <w:p w14:paraId="6E8CB59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（1）承包人不履行合同约定的工期，成本、质量，安全生产等责任和义务，将其承包的全部建设工程转给他人承包的。</w:t>
      </w:r>
    </w:p>
    <w:p w14:paraId="271EDC7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（2）承包人将其承包的全部建设工程肢解后，以分包名义转给他人承包的。</w:t>
      </w:r>
    </w:p>
    <w:p w14:paraId="65FC71B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（3）承包人将主体结构、关键性工作转给他人承包的。</w:t>
      </w:r>
    </w:p>
    <w:p w14:paraId="20A31A9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（4）施工承包人未在施工现场设立项目管理机构和派驻相应人员进行组织管理的。或者施工现场的项目经理及主要工程管理人员与承包人之间无劳动合同及社会保险关系。</w:t>
      </w:r>
    </w:p>
    <w:p w14:paraId="2C40445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（5）施工现场的项目经理及主要管理人员与合同约定的项目经理及主要管理人员不符。</w:t>
      </w:r>
    </w:p>
    <w:p w14:paraId="388B630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（6）承包人将自身不具备专业承包资质的专业工程分包给不具备相应资质条件的单位，或分包内容未经发包人同意。</w:t>
      </w:r>
    </w:p>
    <w:p w14:paraId="5662C2B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3.5.4  分包合同价款</w:t>
      </w:r>
    </w:p>
    <w:p w14:paraId="25D47851">
      <w:pPr>
        <w:autoSpaceDE w:val="0"/>
        <w:autoSpaceDN w:val="0"/>
        <w:adjustRightInd w:val="0"/>
        <w:spacing w:line="420" w:lineRule="exact"/>
        <w:ind w:firstLine="420" w:firstLineChars="200"/>
        <w:jc w:val="left"/>
        <w:rPr>
          <w:rFonts w:ascii="宋体" w:hAnsi="宋体" w:eastAsia="宋体" w:cs="Times New Roman"/>
          <w:b/>
          <w:bCs/>
          <w:kern w:val="0"/>
          <w:szCs w:val="21"/>
          <w:u w:val="single"/>
        </w:rPr>
      </w:pPr>
      <w:r>
        <w:rPr>
          <w:rFonts w:hint="eastAsia" w:ascii="宋体" w:hAnsi="宋体" w:eastAsia="宋体" w:cs="Times New Roman"/>
          <w:kern w:val="0"/>
          <w:szCs w:val="21"/>
        </w:rPr>
        <w:t>关于分包合同价款支付的约定：</w:t>
      </w:r>
      <w:r>
        <w:rPr>
          <w:rFonts w:hint="eastAsia" w:ascii="宋体" w:hAnsi="宋体" w:eastAsia="宋体" w:cs="Times New Roman"/>
          <w:kern w:val="0"/>
          <w:szCs w:val="21"/>
          <w:u w:val="single"/>
        </w:rPr>
        <w:t>按通用合同条款约定（实行分包单位农民工工资委托施工总承包单位代发制度）。</w:t>
      </w:r>
    </w:p>
    <w:p w14:paraId="631877B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3.6工程照管与成品、半成品保护</w:t>
      </w:r>
    </w:p>
    <w:p w14:paraId="3CB6965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负责照管工程及工程相关的材料、工程设备的起始时间：自发包人向承包人移交施工现场之日起至工程竣工验收交付前。发包人对已完工程保护有特殊要求的，应按发包人要求采取相应保护措施；发包人另行发包的工程经发包人、承包人、分包单位、设计人、监理单位验收合格后移交给承包人的，由承包人负责保护，以上费用均由承包人承担。施工期间因承包人原因造成现场所有材料、设施设备、已完工程、成品、半成品被盗或损毁的，由承包人负责赔偿（包括直接的和间接的）。</w:t>
      </w:r>
    </w:p>
    <w:p w14:paraId="43B1FA5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3.7履约担保</w:t>
      </w:r>
    </w:p>
    <w:p w14:paraId="1DDDD60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承包人是否提供履约担保：</w:t>
      </w:r>
      <w:r>
        <w:rPr>
          <w:rFonts w:hint="eastAsia" w:ascii="宋体" w:hAnsi="宋体" w:eastAsia="宋体" w:cs="Times New Roman"/>
          <w:kern w:val="0"/>
          <w:szCs w:val="21"/>
          <w:u w:val="single"/>
        </w:rPr>
        <w:t>是。</w:t>
      </w:r>
    </w:p>
    <w:p w14:paraId="62690FD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承包人提供履约担保的形式、金额及期限的，采用以下第</w:t>
      </w:r>
      <w:r>
        <w:rPr>
          <w:rFonts w:hint="eastAsia" w:ascii="宋体" w:hAnsi="宋体" w:eastAsia="宋体" w:cs="Times New Roman"/>
          <w:kern w:val="0"/>
          <w:szCs w:val="21"/>
          <w:u w:val="single"/>
        </w:rPr>
        <w:t>（3）</w:t>
      </w:r>
      <w:r>
        <w:rPr>
          <w:rFonts w:hint="eastAsia" w:ascii="宋体" w:hAnsi="宋体" w:eastAsia="宋体" w:cs="Times New Roman"/>
          <w:kern w:val="0"/>
          <w:szCs w:val="21"/>
        </w:rPr>
        <w:t>种方式：</w:t>
      </w:r>
    </w:p>
    <w:p w14:paraId="73911BD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（1）保证保险，金额及期限为：；</w:t>
      </w:r>
    </w:p>
    <w:p w14:paraId="20E51F0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（2）银行保函，金额及期限为：；</w:t>
      </w:r>
    </w:p>
    <w:p w14:paraId="10E4445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（3）其他方式：</w:t>
      </w:r>
      <w:r>
        <w:rPr>
          <w:rFonts w:hint="eastAsia" w:ascii="宋体" w:hAnsi="宋体" w:eastAsia="宋体" w:cs="Times New Roman"/>
          <w:kern w:val="0"/>
          <w:szCs w:val="21"/>
          <w:u w:val="single"/>
        </w:rPr>
        <w:t>如转账/银行保函/保险保证/担保公司担保投标保函/融资担保等。合同签订后，工程预付款支付前,承包人向发包人提供履约担保，金额为合同价的2%。履约担保包括：工程质量保证金占30%，工期保证金占30%，安全文明施工保证金占20%，项目班子到位保证金占20%。</w:t>
      </w:r>
    </w:p>
    <w:p w14:paraId="201F37B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此担保在承包人完成全部工程内容，并且对应的履约保证均达到合同约定要求的，在竣工验收合格后一个月内由发包人无息退还承包人</w:t>
      </w:r>
    </w:p>
    <w:p w14:paraId="68A94D7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 监理人</w:t>
      </w:r>
    </w:p>
    <w:p w14:paraId="420D638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4.1  监理人的一般规定</w:t>
      </w:r>
    </w:p>
    <w:p w14:paraId="16AF628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关于监理人的监理内容：</w:t>
      </w:r>
      <w:r>
        <w:rPr>
          <w:rFonts w:hint="eastAsia" w:ascii="宋体" w:hAnsi="宋体" w:eastAsia="宋体" w:cs="Times New Roman"/>
          <w:kern w:val="0"/>
          <w:szCs w:val="21"/>
          <w:u w:val="single"/>
        </w:rPr>
        <w:t>按照国家监理规范要求及通用条款相关约定，对工程质量、进度、投资、安全、信息管理、合同管理、组织协调等进行全过程管理（包括但不限于）。</w:t>
      </w:r>
    </w:p>
    <w:p w14:paraId="6164530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关于监理人的监理权限：</w:t>
      </w:r>
      <w:r>
        <w:rPr>
          <w:rFonts w:hint="eastAsia" w:ascii="宋体" w:hAnsi="宋体" w:eastAsia="宋体" w:cs="Times New Roman"/>
          <w:kern w:val="0"/>
          <w:szCs w:val="21"/>
          <w:u w:val="single"/>
        </w:rPr>
        <w:t>按通用条款约定。</w:t>
      </w:r>
    </w:p>
    <w:p w14:paraId="60D2EA6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关于监理人在施工现场的办公场所、生活场所的提供和费用承担的约定：</w:t>
      </w:r>
      <w:r>
        <w:rPr>
          <w:rFonts w:hint="eastAsia" w:ascii="宋体" w:hAnsi="宋体" w:eastAsia="宋体" w:cs="Times New Roman"/>
          <w:kern w:val="0"/>
          <w:szCs w:val="21"/>
          <w:u w:val="single"/>
        </w:rPr>
        <w:t>按通用条款约定。</w:t>
      </w:r>
    </w:p>
    <w:p w14:paraId="1677FCC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4.2监理人员</w:t>
      </w:r>
    </w:p>
    <w:p w14:paraId="1428A24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总监理工程师：</w:t>
      </w:r>
    </w:p>
    <w:p w14:paraId="75E644A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姓名：</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1DE5743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职务：</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06A94EC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监理工程师执业资格证书号：</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28411E5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联系电话：</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6535997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电子信箱：</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544E3ED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通信地址：</w:t>
      </w:r>
      <w:r>
        <w:rPr>
          <w:rFonts w:hint="eastAsia" w:ascii="宋体" w:hAnsi="宋体" w:eastAsia="宋体" w:cs="Times New Roman"/>
          <w:kern w:val="0"/>
          <w:szCs w:val="21"/>
          <w:u w:val="single"/>
        </w:rPr>
        <w:t xml:space="preserve">                        </w:t>
      </w:r>
      <w:r>
        <w:rPr>
          <w:rFonts w:hint="eastAsia" w:ascii="宋体" w:hAnsi="宋体" w:eastAsia="宋体" w:cs="Times New Roman"/>
          <w:kern w:val="0"/>
          <w:szCs w:val="21"/>
        </w:rPr>
        <w:t>；</w:t>
      </w:r>
    </w:p>
    <w:p w14:paraId="58CE275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关于监理人的其他约定：</w:t>
      </w:r>
      <w:r>
        <w:rPr>
          <w:rFonts w:hint="eastAsia" w:ascii="宋体" w:hAnsi="宋体" w:eastAsia="宋体" w:cs="Times New Roman"/>
          <w:kern w:val="0"/>
          <w:szCs w:val="21"/>
          <w:u w:val="single"/>
        </w:rPr>
        <w:t>按通用条款约定。</w:t>
      </w:r>
    </w:p>
    <w:p w14:paraId="77C8B90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4.4  商定或确定</w:t>
      </w:r>
    </w:p>
    <w:p w14:paraId="6A70369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在发包人和承包人不能通过协商达成一致意见时，发包人授权监理人对以下事项进行确定：</w:t>
      </w:r>
    </w:p>
    <w:p w14:paraId="6DEBE77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 xml:space="preserve">（1） </w:t>
      </w:r>
      <w:r>
        <w:rPr>
          <w:rFonts w:hint="eastAsia" w:ascii="宋体" w:hAnsi="宋体" w:eastAsia="宋体" w:cs="Times New Roman"/>
          <w:kern w:val="0"/>
          <w:szCs w:val="21"/>
          <w:u w:val="single"/>
        </w:rPr>
        <w:t xml:space="preserve"> /；</w:t>
      </w:r>
    </w:p>
    <w:p w14:paraId="0E1CD16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 xml:space="preserve">（2） </w:t>
      </w:r>
      <w:r>
        <w:rPr>
          <w:rFonts w:hint="eastAsia" w:ascii="宋体" w:hAnsi="宋体" w:eastAsia="宋体" w:cs="Times New Roman"/>
          <w:kern w:val="0"/>
          <w:szCs w:val="21"/>
          <w:u w:val="single"/>
        </w:rPr>
        <w:t xml:space="preserve"> /；</w:t>
      </w:r>
    </w:p>
    <w:p w14:paraId="0299FD0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 xml:space="preserve">（3） </w:t>
      </w:r>
      <w:r>
        <w:rPr>
          <w:rFonts w:hint="eastAsia" w:ascii="宋体" w:hAnsi="宋体" w:eastAsia="宋体" w:cs="Times New Roman"/>
          <w:kern w:val="0"/>
          <w:szCs w:val="21"/>
          <w:u w:val="single"/>
        </w:rPr>
        <w:t xml:space="preserve"> /。</w:t>
      </w:r>
    </w:p>
    <w:p w14:paraId="688C367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5工程质量</w:t>
      </w:r>
    </w:p>
    <w:p w14:paraId="6611DC3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5.1质量要求</w:t>
      </w:r>
    </w:p>
    <w:p w14:paraId="563A96F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5.1.1特殊质量标准和要求：</w:t>
      </w:r>
      <w:r>
        <w:rPr>
          <w:rFonts w:hint="eastAsia" w:ascii="宋体" w:hAnsi="宋体" w:eastAsia="宋体" w:cs="Times New Roman"/>
          <w:kern w:val="0"/>
          <w:szCs w:val="21"/>
          <w:u w:val="single"/>
        </w:rPr>
        <w:t>（1）合格并符合图纸及工程量清单所提出的质量要求。（2）有消防要求的材料、设备检验需与工程同步，不得影响消防验收。（3）双方对工程质量有争议的，由双方同意的检测机构鉴定，所需费用及因此造成的损失，由责任方承担。双方都有责任的，由双方根据责任分别承担。双方对工程质量有争议，选择检测机构达不成一致意见的，发包人有单方选择检测机构的权利，检测结果对承包人有约束力。（4）承包人在报价时应充分考虑本工程的质量要求，对本工程各项工艺、材料的检查、检验、试验、测试等所需费用和时间应充分考虑。（5）在交付及保修期间，如因质量问题需维修，而责任暂时无法界定时，承包人应无条件先进行维修，待界定责任主体后向相应责任主体追偿 。</w:t>
      </w:r>
    </w:p>
    <w:p w14:paraId="20BEE2F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关于工程奖项的约定：</w:t>
      </w:r>
      <w:r>
        <w:rPr>
          <w:rFonts w:hint="eastAsia" w:ascii="宋体" w:hAnsi="宋体" w:eastAsia="宋体" w:cs="Times New Roman"/>
          <w:kern w:val="0"/>
          <w:szCs w:val="21"/>
          <w:u w:val="single"/>
        </w:rPr>
        <w:t xml:space="preserve">    /        。</w:t>
      </w:r>
    </w:p>
    <w:p w14:paraId="5615F805">
      <w:pPr>
        <w:autoSpaceDE w:val="0"/>
        <w:autoSpaceDN w:val="0"/>
        <w:adjustRightInd w:val="0"/>
        <w:spacing w:line="420" w:lineRule="exact"/>
        <w:ind w:left="8400" w:leftChars="40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23D8ACF0">
      <w:pPr>
        <w:autoSpaceDE w:val="0"/>
        <w:autoSpaceDN w:val="0"/>
        <w:adjustRightInd w:val="0"/>
        <w:spacing w:line="420" w:lineRule="exact"/>
        <w:jc w:val="left"/>
        <w:rPr>
          <w:rFonts w:ascii="宋体" w:hAnsi="宋体" w:eastAsia="宋体" w:cs="Times New Roman"/>
          <w:kern w:val="0"/>
          <w:szCs w:val="21"/>
          <w:u w:val="single"/>
        </w:rPr>
      </w:pPr>
      <w:r>
        <w:rPr>
          <w:rFonts w:hint="eastAsia" w:ascii="宋体" w:hAnsi="宋体" w:eastAsia="宋体" w:cs="Times New Roman"/>
          <w:kern w:val="0"/>
          <w:szCs w:val="21"/>
        </w:rPr>
        <w:t>双方约定中间验收部位：</w:t>
      </w:r>
      <w:r>
        <w:rPr>
          <w:rFonts w:hint="eastAsia" w:ascii="宋体" w:hAnsi="宋体" w:eastAsia="宋体" w:cs="Times New Roman"/>
          <w:kern w:val="0"/>
          <w:szCs w:val="21"/>
          <w:u w:val="single"/>
        </w:rPr>
        <w:t>承包人自检合格后在隐蔽工程和中间验收48小时前通知监理工程师和发包人代表参加。通知时提交包括承包人自检记录、通知明确陪同检查人员名单、隐蔽和中间验收时间和地点。验收合格，监理工程师和发包人代表在记录上签字后方可进行隐蔽和继续施工。不合格的，承包人在限定期限内整改后重新组织验收，并承担由此发生的费用，且工期不予顺延。隐蔽工程验收前，承包人必须提交隐蔽工程验收的必要资料，经监理人、承包人共同现场验收后填写；分部分项工程验收前，承包人需提供与本分部分项工程验收的相关的施工技术资料并经验收合格后才能进入下一道工序。对需验收而未验收就进入下一道工序的，承包人每次需向发包人支付违约金5000元，且发包人有权要求剥露验收，相应费用由承包人承担，且工期不予顺延。</w:t>
      </w:r>
    </w:p>
    <w:p w14:paraId="4A6F33DA">
      <w:pPr>
        <w:autoSpaceDE w:val="0"/>
        <w:autoSpaceDN w:val="0"/>
        <w:adjustRightInd w:val="0"/>
        <w:spacing w:line="420" w:lineRule="exact"/>
        <w:jc w:val="left"/>
        <w:rPr>
          <w:rFonts w:ascii="宋体" w:hAnsi="宋体" w:eastAsia="宋体" w:cs="Times New Roman"/>
          <w:kern w:val="0"/>
          <w:szCs w:val="21"/>
          <w:u w:val="single"/>
        </w:rPr>
      </w:pPr>
      <w:r>
        <w:rPr>
          <w:rFonts w:hint="eastAsia" w:ascii="宋体" w:hAnsi="宋体" w:eastAsia="宋体" w:cs="Times New Roman"/>
          <w:kern w:val="0"/>
          <w:szCs w:val="21"/>
          <w:u w:val="single"/>
        </w:rPr>
        <w:t>监理人不能按时进行检查时，应提前24小时提交书面延期要求。</w:t>
      </w:r>
    </w:p>
    <w:p w14:paraId="272502A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关于延期最长不得超过：</w:t>
      </w:r>
      <w:r>
        <w:rPr>
          <w:rFonts w:hint="eastAsia" w:ascii="宋体" w:hAnsi="宋体" w:eastAsia="宋体" w:cs="Times New Roman"/>
          <w:kern w:val="0"/>
          <w:szCs w:val="21"/>
          <w:u w:val="single"/>
        </w:rPr>
        <w:t>48小时。</w:t>
      </w:r>
    </w:p>
    <w:p w14:paraId="51E4371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6  安全文明施工与环境保护</w:t>
      </w:r>
    </w:p>
    <w:p w14:paraId="3B22F09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6.1  安全文明施工</w:t>
      </w:r>
    </w:p>
    <w:p w14:paraId="4675566E">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rPr>
        <w:t>6.1.1  项目安全生产的达标目标及相应事项的约定：</w:t>
      </w:r>
      <w:r>
        <w:rPr>
          <w:rFonts w:hint="eastAsia" w:ascii="宋体" w:hAnsi="宋体" w:eastAsia="宋体" w:cs="Times New Roman"/>
          <w:b/>
          <w:bCs/>
          <w:kern w:val="0"/>
          <w:szCs w:val="21"/>
          <w:u w:val="single"/>
        </w:rPr>
        <w:t>施工现场按照《建筑施工安全检查标准》（JGJ59-2011）评定达到“合格”标准</w:t>
      </w:r>
      <w:r>
        <w:rPr>
          <w:rFonts w:hint="eastAsia" w:ascii="宋体" w:hAnsi="宋体" w:eastAsia="宋体" w:cs="Times New Roman"/>
          <w:kern w:val="0"/>
          <w:szCs w:val="21"/>
          <w:u w:val="single"/>
        </w:rPr>
        <w:t>。</w:t>
      </w:r>
    </w:p>
    <w:p w14:paraId="1E8197E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6.1.4关于治安保卫的特别约定：</w:t>
      </w:r>
      <w:r>
        <w:rPr>
          <w:rFonts w:hint="eastAsia" w:ascii="宋体" w:hAnsi="宋体" w:eastAsia="宋体" w:cs="Times New Roman"/>
          <w:kern w:val="0"/>
          <w:szCs w:val="21"/>
          <w:u w:val="single"/>
        </w:rPr>
        <w:t>包人负责施工区域范围内的交通组织、做好治安管理及保卫工作，安排专人对进出施工区域范围内的人员和车辆进行管理，杜绝治安事件的发生。出现治安事件，承包人应第一时间报警，如存在承包人对内管理不到位导致自身民工或管理人员与当地居民或其他人员产生冲突，按1万元/次支付违约金，发包人有权在</w:t>
      </w:r>
      <w:bookmarkStart w:id="407" w:name="ed_2021Y1M29D12H21M42"/>
      <w:bookmarkEnd w:id="407"/>
      <w:r>
        <w:rPr>
          <w:rFonts w:hint="eastAsia" w:ascii="宋体" w:hAnsi="宋体" w:eastAsia="宋体" w:cs="Times New Roman"/>
          <w:kern w:val="0"/>
          <w:szCs w:val="21"/>
          <w:u w:val="single"/>
        </w:rPr>
        <w:t>安全文明施工保证金中扣除。且承包人无条件赔偿相关损失，如导致发包人受到任何损失的，由承包人负责赔偿，发包人有权在未付工程款中扣除 。</w:t>
      </w:r>
    </w:p>
    <w:p w14:paraId="6CAE0A0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关于编制施工场地治安管理计划的约定：</w:t>
      </w:r>
      <w:r>
        <w:rPr>
          <w:rFonts w:hint="eastAsia" w:ascii="宋体" w:hAnsi="宋体" w:eastAsia="宋体" w:cs="Times New Roman"/>
          <w:kern w:val="0"/>
          <w:szCs w:val="21"/>
          <w:u w:val="single"/>
        </w:rPr>
        <w:t>按通用条款约定。</w:t>
      </w:r>
    </w:p>
    <w:p w14:paraId="6BC3B1D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6.1.5  文明施工</w:t>
      </w:r>
    </w:p>
    <w:p w14:paraId="4D8981C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合同当事人对文明施工的要求：</w:t>
      </w:r>
    </w:p>
    <w:p w14:paraId="2F43B96F">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u w:val="single"/>
        </w:rPr>
        <w:t>（1）遵守地方政府和有关部门对施工场地交通、环卫、安全和施工噪音等管理规定，并办理相关审批手续。</w:t>
      </w:r>
    </w:p>
    <w:p w14:paraId="542D9584">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u w:val="single"/>
        </w:rPr>
        <w:t>（2）承包人应采取有效措施尽量减小尘土和噪音污染，需要进行夜间作业时应经有关部门批准。</w:t>
      </w:r>
    </w:p>
    <w:p w14:paraId="73CDB9A6">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rPr>
        <w:t>（3）其他：</w:t>
      </w:r>
      <w:r>
        <w:rPr>
          <w:rFonts w:hint="eastAsia" w:ascii="宋体" w:hAnsi="宋体" w:eastAsia="宋体" w:cs="Times New Roman"/>
          <w:kern w:val="0"/>
          <w:szCs w:val="21"/>
          <w:u w:val="single"/>
        </w:rPr>
        <w:t xml:space="preserve">       /。</w:t>
      </w:r>
    </w:p>
    <w:p w14:paraId="3658073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（4）上述手续办理费用约定如下：</w:t>
      </w:r>
      <w:r>
        <w:rPr>
          <w:rFonts w:hint="eastAsia" w:ascii="宋体" w:hAnsi="宋体" w:eastAsia="宋体" w:cs="Times New Roman"/>
          <w:kern w:val="0"/>
          <w:szCs w:val="21"/>
          <w:u w:val="single"/>
        </w:rPr>
        <w:t xml:space="preserve"> 由承包人自行承担。</w:t>
      </w:r>
    </w:p>
    <w:p w14:paraId="6A18E699">
      <w:pPr>
        <w:autoSpaceDE w:val="0"/>
        <w:autoSpaceDN w:val="0"/>
        <w:adjustRightInd w:val="0"/>
        <w:spacing w:line="420" w:lineRule="exact"/>
        <w:ind w:firstLine="315" w:firstLineChars="150"/>
        <w:jc w:val="left"/>
        <w:rPr>
          <w:rFonts w:ascii="宋体" w:hAnsi="宋体" w:eastAsia="宋体" w:cs="Times New Roman"/>
          <w:kern w:val="0"/>
          <w:szCs w:val="21"/>
        </w:rPr>
      </w:pPr>
      <w:r>
        <w:rPr>
          <w:rFonts w:hint="eastAsia" w:ascii="宋体" w:hAnsi="宋体" w:eastAsia="宋体" w:cs="Times New Roman"/>
          <w:kern w:val="0"/>
          <w:szCs w:val="21"/>
        </w:rPr>
        <w:t>6.1.6  关于安全文明施工费支付比例和支付期限的约定，按以下第</w:t>
      </w:r>
      <w:r>
        <w:rPr>
          <w:rFonts w:hint="eastAsia" w:ascii="宋体" w:hAnsi="宋体" w:eastAsia="宋体" w:cs="Times New Roman"/>
          <w:kern w:val="0"/>
          <w:szCs w:val="21"/>
          <w:u w:val="single"/>
        </w:rPr>
        <w:t>（1）</w:t>
      </w:r>
      <w:r>
        <w:rPr>
          <w:rFonts w:hint="eastAsia" w:ascii="宋体" w:hAnsi="宋体" w:eastAsia="宋体" w:cs="Times New Roman"/>
          <w:kern w:val="0"/>
          <w:szCs w:val="21"/>
        </w:rPr>
        <w:t>种方式约定：</w:t>
      </w:r>
    </w:p>
    <w:p w14:paraId="585368D4">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u w:val="single"/>
        </w:rPr>
        <w:t>（1）发包人应在开工后28天内预付安全文明施工费总额的60%，剩余部分支付按以下第（①）</w:t>
      </w:r>
      <w:r>
        <w:rPr>
          <w:rFonts w:hint="eastAsia" w:ascii="宋体" w:hAnsi="宋体" w:eastAsia="宋体" w:cs="Times New Roman"/>
          <w:kern w:val="0"/>
          <w:szCs w:val="21"/>
        </w:rPr>
        <w:t>种方式约定：</w:t>
      </w:r>
    </w:p>
    <w:p w14:paraId="12E9606A">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u w:val="single"/>
        </w:rPr>
        <w:t>①视相关措施的落实情况与进度款同期支付。</w:t>
      </w:r>
    </w:p>
    <w:p w14:paraId="1E247C5B">
      <w:pPr>
        <w:autoSpaceDE w:val="0"/>
        <w:autoSpaceDN w:val="0"/>
        <w:adjustRightInd w:val="0"/>
        <w:spacing w:line="420" w:lineRule="exact"/>
        <w:ind w:firstLine="415" w:firstLineChars="198"/>
        <w:jc w:val="left"/>
        <w:rPr>
          <w:rFonts w:ascii="宋体" w:hAnsi="宋体" w:eastAsia="宋体" w:cs="Times New Roman"/>
          <w:kern w:val="0"/>
          <w:szCs w:val="21"/>
          <w:u w:val="single"/>
        </w:rPr>
      </w:pPr>
      <w:bookmarkStart w:id="408" w:name="ed_2021Y1M29D12H22M16"/>
      <w:bookmarkEnd w:id="408"/>
      <w:r>
        <w:rPr>
          <w:rFonts w:hint="eastAsia" w:ascii="宋体" w:hAnsi="宋体" w:eastAsia="宋体" w:cs="Times New Roman"/>
          <w:kern w:val="0"/>
          <w:szCs w:val="21"/>
        </w:rPr>
        <w:t>②其他：</w:t>
      </w:r>
      <w:r>
        <w:rPr>
          <w:rFonts w:hint="eastAsia" w:ascii="宋体" w:hAnsi="宋体" w:eastAsia="宋体" w:cs="Times New Roman"/>
          <w:kern w:val="0"/>
          <w:szCs w:val="21"/>
          <w:u w:val="single"/>
        </w:rPr>
        <w:t>/。</w:t>
      </w:r>
    </w:p>
    <w:p w14:paraId="78C36B39">
      <w:pPr>
        <w:autoSpaceDE w:val="0"/>
        <w:autoSpaceDN w:val="0"/>
        <w:adjustRightInd w:val="0"/>
        <w:spacing w:line="420" w:lineRule="exact"/>
        <w:ind w:firstLine="420" w:firstLineChars="200"/>
        <w:jc w:val="left"/>
        <w:rPr>
          <w:rFonts w:ascii="宋体" w:hAnsi="宋体" w:eastAsia="宋体" w:cs="Times New Roman"/>
          <w:kern w:val="0"/>
          <w:szCs w:val="21"/>
          <w:u w:val="single"/>
        </w:rPr>
      </w:pPr>
      <w:bookmarkStart w:id="409" w:name="ed_2021Y1M29D12H23M11"/>
      <w:bookmarkEnd w:id="409"/>
      <w:r>
        <w:rPr>
          <w:rFonts w:hint="eastAsia" w:ascii="宋体" w:hAnsi="宋体" w:eastAsia="宋体" w:cs="Times New Roman"/>
          <w:kern w:val="0"/>
          <w:szCs w:val="21"/>
        </w:rPr>
        <w:t>（2）其他：</w:t>
      </w:r>
      <w:r>
        <w:rPr>
          <w:rFonts w:hint="eastAsia" w:ascii="宋体" w:hAnsi="宋体" w:eastAsia="宋体" w:cs="Times New Roman"/>
          <w:kern w:val="0"/>
          <w:szCs w:val="21"/>
          <w:u w:val="single"/>
        </w:rPr>
        <w:t>视相关措施的落实情况与进度款同期支付，未实施的安全文明施工措施费将不予支付。</w:t>
      </w:r>
    </w:p>
    <w:p w14:paraId="7BF5647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7工期和进度</w:t>
      </w:r>
    </w:p>
    <w:p w14:paraId="101B0AE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7.1  施工组织设计</w:t>
      </w:r>
    </w:p>
    <w:p w14:paraId="787E479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7.1.1  合同当事人约定的施工组织设计应包括的其他内容：</w:t>
      </w:r>
      <w:r>
        <w:rPr>
          <w:rFonts w:hint="eastAsia" w:ascii="宋体" w:hAnsi="宋体" w:eastAsia="宋体" w:cs="Times New Roman"/>
          <w:kern w:val="0"/>
          <w:szCs w:val="21"/>
          <w:u w:val="single"/>
        </w:rPr>
        <w:t xml:space="preserve"> 按通用条款。</w:t>
      </w:r>
    </w:p>
    <w:p w14:paraId="1F8E2A0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7.1.2  施工组织设计的提交和修改</w:t>
      </w:r>
    </w:p>
    <w:p w14:paraId="2BEE256E">
      <w:pPr>
        <w:autoSpaceDE w:val="0"/>
        <w:autoSpaceDN w:val="0"/>
        <w:adjustRightInd w:val="0"/>
        <w:spacing w:line="420" w:lineRule="exact"/>
        <w:ind w:firstLine="441" w:firstLineChars="210"/>
        <w:jc w:val="left"/>
        <w:rPr>
          <w:rFonts w:ascii="宋体" w:hAnsi="宋体" w:eastAsia="宋体" w:cs="Times New Roman"/>
          <w:kern w:val="0"/>
          <w:szCs w:val="21"/>
          <w:u w:val="single"/>
        </w:rPr>
      </w:pPr>
      <w:r>
        <w:rPr>
          <w:rFonts w:hint="eastAsia" w:ascii="宋体" w:hAnsi="宋体" w:eastAsia="宋体" w:cs="Times New Roman"/>
          <w:kern w:val="0"/>
          <w:szCs w:val="21"/>
        </w:rPr>
        <w:t>承包人提交详细施工组织设计的期限的约定：</w:t>
      </w:r>
      <w:r>
        <w:rPr>
          <w:rFonts w:hint="eastAsia" w:ascii="宋体" w:hAnsi="宋体" w:eastAsia="宋体" w:cs="Times New Roman"/>
          <w:b/>
          <w:bCs/>
          <w:kern w:val="0"/>
          <w:szCs w:val="21"/>
          <w:u w:val="single"/>
        </w:rPr>
        <w:t>合同签订后（3）天内提供详细施工组织设计（施工方案）和进度计划。</w:t>
      </w:r>
    </w:p>
    <w:p w14:paraId="6A1EC83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发包人和监理人在收到详细的施工组织设计后确认或提出修改意见的期限：</w:t>
      </w:r>
      <w:r>
        <w:rPr>
          <w:rFonts w:hint="eastAsia" w:ascii="宋体" w:hAnsi="宋体" w:eastAsia="宋体" w:cs="Times New Roman"/>
          <w:kern w:val="0"/>
          <w:szCs w:val="21"/>
          <w:u w:val="single"/>
        </w:rPr>
        <w:t>收到详细的施工组织设计后3日内。</w:t>
      </w:r>
    </w:p>
    <w:p w14:paraId="39F415B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7.2  施工进度计划</w:t>
      </w:r>
    </w:p>
    <w:p w14:paraId="63F0D8C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7.2.2  施工进度计划的修订</w:t>
      </w:r>
    </w:p>
    <w:p w14:paraId="29B8397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发包人和监理人在收到修订的施工进度计划后确认或提出修改意见的期限：</w:t>
      </w:r>
      <w:r>
        <w:rPr>
          <w:rFonts w:hint="eastAsia" w:ascii="宋体" w:hAnsi="宋体" w:eastAsia="宋体" w:cs="Times New Roman"/>
          <w:kern w:val="0"/>
          <w:szCs w:val="21"/>
          <w:u w:val="single"/>
        </w:rPr>
        <w:t>收到修订的施工进度计划后3日内。</w:t>
      </w:r>
    </w:p>
    <w:p w14:paraId="1B81131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7.3  开工</w:t>
      </w:r>
    </w:p>
    <w:p w14:paraId="41C5840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7.3.1  开工准备</w:t>
      </w:r>
    </w:p>
    <w:p w14:paraId="5166453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关于承包人提交工程开工报审表的期限：</w:t>
      </w:r>
      <w:r>
        <w:rPr>
          <w:rFonts w:hint="eastAsia" w:ascii="宋体" w:hAnsi="宋体" w:eastAsia="宋体" w:cs="Times New Roman"/>
          <w:kern w:val="0"/>
          <w:szCs w:val="21"/>
          <w:u w:val="single"/>
        </w:rPr>
        <w:t>合同签订后，开工前3天 。</w:t>
      </w:r>
    </w:p>
    <w:p w14:paraId="5B7994C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关于发包人应完成的其他开工准备工作及期限：</w:t>
      </w:r>
      <w:r>
        <w:rPr>
          <w:rFonts w:hint="eastAsia" w:ascii="宋体" w:hAnsi="宋体" w:eastAsia="宋体" w:cs="Times New Roman"/>
          <w:kern w:val="0"/>
          <w:szCs w:val="21"/>
          <w:u w:val="single"/>
        </w:rPr>
        <w:t>根据工程性质约定。</w:t>
      </w:r>
    </w:p>
    <w:p w14:paraId="624CD18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关于承包人应完成的其他开工准备工作及期限：</w:t>
      </w:r>
      <w:r>
        <w:rPr>
          <w:rFonts w:hint="eastAsia" w:ascii="宋体" w:hAnsi="宋体" w:eastAsia="宋体" w:cs="Times New Roman"/>
          <w:kern w:val="0"/>
          <w:szCs w:val="21"/>
          <w:u w:val="single"/>
        </w:rPr>
        <w:t>根据工程性质约定。</w:t>
      </w:r>
    </w:p>
    <w:p w14:paraId="380E4BC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7.3.2  开工通知</w:t>
      </w:r>
    </w:p>
    <w:p w14:paraId="177F070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因发包人原因造成监理人未能在计划开工日期之日起60 天内发出开工通知的，承包人有权提出价格调整要求，或者解除合同。</w:t>
      </w:r>
    </w:p>
    <w:p w14:paraId="7F3DBF0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7.4  测量放线</w:t>
      </w:r>
    </w:p>
    <w:p w14:paraId="7ED5884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7.4.1  发包人通过监理人向承包人提供测量基准点、基准线和水准点及其书面资料的期限：</w:t>
      </w:r>
      <w:r>
        <w:rPr>
          <w:rFonts w:hint="eastAsia" w:ascii="宋体" w:hAnsi="宋体" w:eastAsia="宋体" w:cs="Times New Roman"/>
          <w:kern w:val="0"/>
          <w:szCs w:val="21"/>
          <w:u w:val="single"/>
        </w:rPr>
        <w:t>按通用条款约定。</w:t>
      </w:r>
    </w:p>
    <w:p w14:paraId="60DA73B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7.5工期延误</w:t>
      </w:r>
    </w:p>
    <w:p w14:paraId="3795546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7.5.1因发包人原因导致工期延误</w:t>
      </w:r>
    </w:p>
    <w:p w14:paraId="76D393A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（7）因发包人原因导致工期延误的其他情形：</w:t>
      </w:r>
    </w:p>
    <w:p w14:paraId="2DD3B21A">
      <w:pPr>
        <w:autoSpaceDE w:val="0"/>
        <w:autoSpaceDN w:val="0"/>
        <w:adjustRightInd w:val="0"/>
        <w:spacing w:line="420" w:lineRule="exact"/>
        <w:ind w:firstLine="415" w:firstLineChars="198"/>
        <w:jc w:val="left"/>
        <w:rPr>
          <w:rFonts w:ascii="宋体" w:hAnsi="宋体" w:eastAsia="宋体" w:cs="Times New Roman"/>
          <w:kern w:val="0"/>
          <w:szCs w:val="21"/>
          <w:u w:val="single"/>
        </w:rPr>
      </w:pPr>
      <w:r>
        <w:rPr>
          <w:rFonts w:hint="eastAsia" w:ascii="宋体" w:hAnsi="宋体" w:eastAsia="宋体" w:cs="Times New Roman"/>
          <w:kern w:val="0"/>
          <w:szCs w:val="21"/>
          <w:u w:val="single"/>
        </w:rPr>
        <w:t>①重大设计变更引起的工期延误；</w:t>
      </w:r>
    </w:p>
    <w:p w14:paraId="2D6459DA">
      <w:pPr>
        <w:autoSpaceDE w:val="0"/>
        <w:autoSpaceDN w:val="0"/>
        <w:adjustRightInd w:val="0"/>
        <w:spacing w:line="420" w:lineRule="exact"/>
        <w:ind w:firstLine="438" w:firstLineChars="209"/>
        <w:jc w:val="left"/>
        <w:rPr>
          <w:rFonts w:ascii="宋体" w:hAnsi="宋体" w:eastAsia="宋体" w:cs="Times New Roman"/>
          <w:kern w:val="0"/>
          <w:szCs w:val="21"/>
          <w:u w:val="single"/>
        </w:rPr>
      </w:pPr>
      <w:r>
        <w:rPr>
          <w:rFonts w:hint="eastAsia" w:ascii="宋体" w:hAnsi="宋体" w:eastAsia="宋体" w:cs="Times New Roman"/>
          <w:kern w:val="0"/>
          <w:szCs w:val="21"/>
        </w:rPr>
        <w:t>②其他：</w:t>
      </w:r>
      <w:r>
        <w:rPr>
          <w:rFonts w:hint="eastAsia" w:ascii="宋体" w:hAnsi="宋体" w:eastAsia="宋体" w:cs="Times New Roman"/>
          <w:kern w:val="0"/>
          <w:szCs w:val="21"/>
          <w:u w:val="single"/>
        </w:rPr>
        <w:t>因不可抗力延误工期承包人需在发现后7天内办理签证，逾期不予确认。</w:t>
      </w:r>
    </w:p>
    <w:p w14:paraId="7DD7C1D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7.5.2 因承包人原因导致工期延误</w:t>
      </w:r>
    </w:p>
    <w:p w14:paraId="5933E6B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因承包人原因造成工期延误，逾期竣工违约金的计算方法为</w:t>
      </w:r>
      <w:r>
        <w:rPr>
          <w:rFonts w:hint="eastAsia" w:ascii="宋体" w:hAnsi="宋体" w:eastAsia="宋体" w:cs="Times New Roman"/>
          <w:kern w:val="0"/>
          <w:szCs w:val="21"/>
          <w:u w:val="single"/>
        </w:rPr>
        <w:t>：</w:t>
      </w:r>
      <w:r>
        <w:rPr>
          <w:rFonts w:hint="eastAsia" w:ascii="宋体" w:hAnsi="宋体" w:eastAsia="宋体" w:cs="Times New Roman"/>
          <w:color w:val="000000"/>
          <w:kern w:val="0"/>
          <w:szCs w:val="21"/>
          <w:u w:val="single"/>
        </w:rPr>
        <w:t>除扣除全部工期保证金外，每延误一天按合同价的千分之三计算违约金。如延误工期超过合同工期的20%，发包人有权解除合同，并将承包人清退出场</w:t>
      </w:r>
      <w:r>
        <w:rPr>
          <w:rFonts w:hint="eastAsia" w:ascii="宋体" w:hAnsi="宋体" w:eastAsia="宋体" w:cs="Times New Roman"/>
          <w:kern w:val="0"/>
          <w:szCs w:val="21"/>
          <w:u w:val="single"/>
        </w:rPr>
        <w:t>。</w:t>
      </w:r>
    </w:p>
    <w:p w14:paraId="3726C85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因承包人原因造成工期延误，逾期竣工违约金的上限：</w:t>
      </w:r>
      <w:r>
        <w:rPr>
          <w:rFonts w:hint="eastAsia" w:ascii="宋体" w:hAnsi="宋体" w:eastAsia="宋体" w:cs="Times New Roman"/>
          <w:kern w:val="0"/>
          <w:szCs w:val="21"/>
          <w:u w:val="single"/>
        </w:rPr>
        <w:t>不超过合同价的3%。</w:t>
      </w:r>
    </w:p>
    <w:p w14:paraId="65E0342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7.6 不利物质条件</w:t>
      </w:r>
    </w:p>
    <w:p w14:paraId="653D9CC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不利物质条件的其他情形和有关约定：</w:t>
      </w:r>
    </w:p>
    <w:p w14:paraId="07B350C3">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（1）施工场地周围地下管线；</w:t>
      </w:r>
    </w:p>
    <w:p w14:paraId="052E089C">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（2）地下障碍物和污染物；</w:t>
      </w:r>
    </w:p>
    <w:p w14:paraId="520CEBE3">
      <w:pPr>
        <w:autoSpaceDE w:val="0"/>
        <w:autoSpaceDN w:val="0"/>
        <w:adjustRightInd w:val="0"/>
        <w:spacing w:line="420" w:lineRule="exact"/>
        <w:ind w:firstLine="415" w:firstLineChars="198"/>
        <w:jc w:val="left"/>
        <w:rPr>
          <w:rFonts w:ascii="宋体" w:hAnsi="宋体" w:eastAsia="宋体" w:cs="Times New Roman"/>
          <w:kern w:val="0"/>
          <w:szCs w:val="21"/>
        </w:rPr>
      </w:pPr>
      <w:r>
        <w:rPr>
          <w:rFonts w:hint="eastAsia" w:ascii="宋体" w:hAnsi="宋体" w:eastAsia="宋体" w:cs="Times New Roman"/>
          <w:kern w:val="0"/>
          <w:szCs w:val="21"/>
        </w:rPr>
        <w:t>（3）邻近建筑物、构筑物的保护要求；</w:t>
      </w:r>
    </w:p>
    <w:p w14:paraId="54C24B8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（4）其他：</w:t>
      </w:r>
      <w:r>
        <w:rPr>
          <w:rFonts w:hint="eastAsia" w:ascii="宋体" w:hAnsi="宋体" w:eastAsia="宋体" w:cs="Times New Roman"/>
          <w:b/>
          <w:bCs/>
          <w:kern w:val="0"/>
          <w:szCs w:val="21"/>
          <w:u w:val="single"/>
        </w:rPr>
        <w:t>/</w:t>
      </w:r>
      <w:r>
        <w:rPr>
          <w:rFonts w:hint="eastAsia" w:ascii="宋体" w:hAnsi="宋体" w:eastAsia="宋体" w:cs="Times New Roman"/>
          <w:kern w:val="0"/>
          <w:szCs w:val="21"/>
          <w:u w:val="single"/>
        </w:rPr>
        <w:t>。</w:t>
      </w:r>
    </w:p>
    <w:p w14:paraId="3CD8D27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7.7异常恶劣的气候条件</w:t>
      </w:r>
    </w:p>
    <w:p w14:paraId="650DDC57">
      <w:pPr>
        <w:autoSpaceDE w:val="0"/>
        <w:autoSpaceDN w:val="0"/>
        <w:adjustRightInd w:val="0"/>
        <w:spacing w:line="420" w:lineRule="exact"/>
        <w:ind w:firstLine="420" w:firstLineChars="200"/>
        <w:jc w:val="left"/>
        <w:rPr>
          <w:rFonts w:ascii="宋体" w:hAnsi="宋体" w:eastAsia="宋体" w:cs="Times New Roman"/>
          <w:b/>
          <w:bCs/>
          <w:kern w:val="0"/>
          <w:szCs w:val="21"/>
        </w:rPr>
      </w:pPr>
      <w:r>
        <w:rPr>
          <w:rFonts w:hint="eastAsia" w:ascii="宋体" w:hAnsi="宋体" w:eastAsia="宋体" w:cs="Times New Roman"/>
          <w:kern w:val="0"/>
          <w:szCs w:val="21"/>
        </w:rPr>
        <w:t>发包人和承包人同意以下情形视为异常恶劣的气候条件：</w:t>
      </w:r>
    </w:p>
    <w:p w14:paraId="5FCAE4A6">
      <w:pPr>
        <w:autoSpaceDE w:val="0"/>
        <w:autoSpaceDN w:val="0"/>
        <w:adjustRightInd w:val="0"/>
        <w:spacing w:line="420" w:lineRule="exact"/>
        <w:ind w:firstLine="420" w:firstLineChars="200"/>
        <w:jc w:val="left"/>
        <w:rPr>
          <w:rFonts w:ascii="宋体" w:hAnsi="宋体" w:eastAsia="宋体" w:cs="Times New Roman"/>
          <w:b/>
          <w:bCs/>
          <w:kern w:val="0"/>
          <w:szCs w:val="21"/>
          <w:u w:val="single"/>
        </w:rPr>
      </w:pPr>
      <w:r>
        <w:rPr>
          <w:rFonts w:hint="eastAsia" w:ascii="宋体" w:hAnsi="宋体" w:eastAsia="宋体" w:cs="Times New Roman"/>
          <w:kern w:val="0"/>
          <w:szCs w:val="21"/>
          <w:u w:val="single"/>
        </w:rPr>
        <w:t>（1）日最高气温达到40度及以上的天气；</w:t>
      </w:r>
    </w:p>
    <w:p w14:paraId="05B2957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（2）启动台风橙色及以上预警的天气；</w:t>
      </w:r>
    </w:p>
    <w:p w14:paraId="2F1DA67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（3）启动防汛预案一级响应的天气；启动防冻预案一级响应的天气。</w:t>
      </w:r>
    </w:p>
    <w:p w14:paraId="1F87023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7.9  提前竣工的奖励</w:t>
      </w:r>
    </w:p>
    <w:p w14:paraId="196C9E3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7.9.2  提前竣工的奖励：</w:t>
      </w:r>
      <w:r>
        <w:rPr>
          <w:rFonts w:hint="eastAsia" w:ascii="宋体" w:hAnsi="宋体" w:eastAsia="宋体" w:cs="Times New Roman"/>
          <w:kern w:val="0"/>
          <w:szCs w:val="21"/>
          <w:u w:val="single"/>
        </w:rPr>
        <w:t xml:space="preserve">  /     。</w:t>
      </w:r>
    </w:p>
    <w:p w14:paraId="76FDB01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8材料与设备</w:t>
      </w:r>
    </w:p>
    <w:p w14:paraId="7D58561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8.4  材料与工程设备的保管与使用</w:t>
      </w:r>
    </w:p>
    <w:p w14:paraId="40EB88F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8.4.1  发包人供应的材料设备的保管费用的承担：</w:t>
      </w:r>
      <w:r>
        <w:rPr>
          <w:rFonts w:hint="eastAsia" w:ascii="宋体" w:hAnsi="宋体" w:eastAsia="宋体" w:cs="Times New Roman"/>
          <w:kern w:val="0"/>
          <w:szCs w:val="21"/>
          <w:u w:val="single"/>
        </w:rPr>
        <w:t>由承包人承担。</w:t>
      </w:r>
    </w:p>
    <w:p w14:paraId="26F373F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8.6  样品</w:t>
      </w:r>
    </w:p>
    <w:p w14:paraId="64B539C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8.6.1  样品的报送与封存</w:t>
      </w:r>
    </w:p>
    <w:p w14:paraId="1775653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需要承包人报送样品的材料或工程设备，样品的种类、名称、规格、数量要求：</w:t>
      </w:r>
    </w:p>
    <w:p w14:paraId="0DB919D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（1）除行政监督部门规定必须报送与封存的材料设备外，对直接影响工程品质和外观效果的材料、设备，必须经发包人和监理认可后才能大面积使用</w:t>
      </w:r>
      <w:bookmarkStart w:id="410" w:name="ed_2021Y2M1D10H35M08"/>
      <w:bookmarkEnd w:id="410"/>
      <w:r>
        <w:rPr>
          <w:rFonts w:hint="eastAsia" w:ascii="宋体" w:hAnsi="宋体" w:eastAsia="宋体" w:cs="Times New Roman"/>
          <w:kern w:val="0"/>
          <w:szCs w:val="21"/>
          <w:u w:val="single"/>
        </w:rPr>
        <w:t>。</w:t>
      </w:r>
    </w:p>
    <w:p w14:paraId="1120462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2）材料设备采购应根据工程量清单、设计技术文件和国家有关规定的具体要求进行采购，所有材料设备必须具有产品合格证、质保书或试验报告，符合国家规定的技术标准；承包人需提前15天向发包人提供所购材料设备的相关技术资料及产品小样，经监理和发包人审核同意后方可封存小样并采购；采购进场的材料设备应与设计及投标承诺的品牌，规格、质量档次及封存的产品小样相一致，在取得发包人书面认可意见后，承包人方可用于工程。</w:t>
      </w:r>
    </w:p>
    <w:p w14:paraId="1E30679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3）对于招投标文件中没有规定的材料（设备）或者投标人采用的材料（设备）品牌与招投标文件不一致时，承包人必须书面上报发包人，并取得发包人书面批准同后方可采用。若擅自使用未经发包人书面批准同意的品牌，一经发现，发包人或监理工程师有权予以制止，已使用的无条件返工，造成损失的承包人承担一切责任，如影响进度和交付的承担相应违约责任，如造成建设方损失，承包人赔偿相应的损失。</w:t>
      </w:r>
    </w:p>
    <w:p w14:paraId="4201E2E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4）若承包人使用了劣质材料设备，一经发现，发包人或监理工程师有权勒令承包人无条件返工。无论发包人或监理工程师是否发现和制止，由于使用劣质材料设备所引起的一切责任均由承包人自负。如影响工期交付的还需承担相应违约责任，若造成发包人损失的，承包人应赔偿全部损失。</w:t>
      </w:r>
    </w:p>
    <w:p w14:paraId="5D6A2E0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（5）承包人必须按与材料商、分包商签订的合同条款按时支付各种款项。否则，发包人有权暂扣工程款，直至承包人付清欠款后再予支付 。</w:t>
      </w:r>
    </w:p>
    <w:p w14:paraId="4D749D4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8.8施工设备和临时设施</w:t>
      </w:r>
    </w:p>
    <w:p w14:paraId="0DC2ABB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8.8.1  承包人提供的施工设备和临时设施</w:t>
      </w:r>
    </w:p>
    <w:p w14:paraId="0042A68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关于修建临时设施费用承担的约定：</w:t>
      </w:r>
      <w:r>
        <w:rPr>
          <w:rFonts w:hint="eastAsia" w:ascii="宋体" w:hAnsi="宋体" w:eastAsia="宋体" w:cs="Times New Roman"/>
          <w:kern w:val="0"/>
          <w:szCs w:val="21"/>
          <w:u w:val="single"/>
        </w:rPr>
        <w:t>由承包人承担相应费用。</w:t>
      </w:r>
    </w:p>
    <w:p w14:paraId="17FA9BF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9试验与检验</w:t>
      </w:r>
    </w:p>
    <w:p w14:paraId="043D812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9.1试验设备与试验人员</w:t>
      </w:r>
    </w:p>
    <w:p w14:paraId="468FE4F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9.1.2 试验设备</w:t>
      </w:r>
    </w:p>
    <w:p w14:paraId="19501EE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施工现场需要配置的试验场所：</w:t>
      </w:r>
      <w:r>
        <w:rPr>
          <w:rFonts w:hint="eastAsia" w:ascii="宋体" w:hAnsi="宋体" w:eastAsia="宋体" w:cs="Times New Roman"/>
          <w:kern w:val="0"/>
          <w:szCs w:val="21"/>
          <w:u w:val="single"/>
        </w:rPr>
        <w:t>由承包人承担相应费用。</w:t>
      </w:r>
    </w:p>
    <w:p w14:paraId="31BD2B1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施工现场需要配备的试验设备：</w:t>
      </w:r>
      <w:r>
        <w:rPr>
          <w:rFonts w:hint="eastAsia" w:ascii="宋体" w:hAnsi="宋体" w:eastAsia="宋体" w:cs="Times New Roman"/>
          <w:kern w:val="0"/>
          <w:szCs w:val="21"/>
          <w:u w:val="single"/>
        </w:rPr>
        <w:t>由承包人承担相应费用。</w:t>
      </w:r>
    </w:p>
    <w:p w14:paraId="412A5E7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施工现场需要具备的其他试验条件：</w:t>
      </w:r>
      <w:r>
        <w:rPr>
          <w:rFonts w:hint="eastAsia" w:ascii="宋体" w:hAnsi="宋体" w:eastAsia="宋体" w:cs="Times New Roman"/>
          <w:kern w:val="0"/>
          <w:szCs w:val="21"/>
          <w:u w:val="single"/>
        </w:rPr>
        <w:t>由承包人承担相应费用。</w:t>
      </w:r>
    </w:p>
    <w:p w14:paraId="117761B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9.3  材料、工程设备和工程的试验和检验</w:t>
      </w:r>
    </w:p>
    <w:p w14:paraId="2BEC5278">
      <w:pPr>
        <w:autoSpaceDE w:val="0"/>
        <w:autoSpaceDN w:val="0"/>
        <w:adjustRightInd w:val="0"/>
        <w:spacing w:line="420" w:lineRule="exact"/>
        <w:ind w:firstLine="396" w:firstLineChars="189"/>
        <w:jc w:val="left"/>
        <w:rPr>
          <w:rFonts w:ascii="宋体" w:hAnsi="宋体" w:eastAsia="宋体" w:cs="Times New Roman"/>
          <w:kern w:val="0"/>
          <w:szCs w:val="21"/>
          <w:u w:val="single"/>
        </w:rPr>
      </w:pPr>
      <w:r>
        <w:rPr>
          <w:rFonts w:hint="eastAsia" w:ascii="宋体" w:hAnsi="宋体" w:eastAsia="宋体" w:cs="Times New Roman"/>
          <w:kern w:val="0"/>
          <w:szCs w:val="21"/>
        </w:rPr>
        <w:t>试验、检测单位资质条件约定：</w:t>
      </w:r>
      <w:r>
        <w:rPr>
          <w:rFonts w:hint="eastAsia" w:ascii="宋体" w:hAnsi="宋体" w:eastAsia="宋体" w:cs="Times New Roman"/>
          <w:kern w:val="0"/>
          <w:szCs w:val="21"/>
          <w:u w:val="single"/>
        </w:rPr>
        <w:t>必须具备国家规定的相应资质；</w:t>
      </w:r>
    </w:p>
    <w:p w14:paraId="242486C9">
      <w:pPr>
        <w:autoSpaceDE w:val="0"/>
        <w:autoSpaceDN w:val="0"/>
        <w:adjustRightInd w:val="0"/>
        <w:spacing w:line="420" w:lineRule="exact"/>
        <w:ind w:firstLine="396" w:firstLineChars="189"/>
        <w:jc w:val="left"/>
        <w:rPr>
          <w:rFonts w:ascii="宋体" w:hAnsi="宋体" w:eastAsia="宋体" w:cs="Times New Roman"/>
          <w:kern w:val="0"/>
          <w:szCs w:val="21"/>
          <w:u w:val="single"/>
        </w:rPr>
      </w:pPr>
      <w:r>
        <w:rPr>
          <w:rFonts w:hint="eastAsia" w:ascii="宋体" w:hAnsi="宋体" w:eastAsia="宋体" w:cs="Times New Roman"/>
          <w:kern w:val="0"/>
          <w:szCs w:val="21"/>
        </w:rPr>
        <w:t>试验、检测单位选择约定：</w:t>
      </w:r>
      <w:r>
        <w:rPr>
          <w:rFonts w:hint="eastAsia" w:ascii="宋体" w:hAnsi="宋体" w:eastAsia="宋体" w:cs="Times New Roman"/>
          <w:kern w:val="0"/>
          <w:szCs w:val="21"/>
          <w:u w:val="single"/>
        </w:rPr>
        <w:t>由发包人委托具有相应资质的单位，费用由承包人承担；</w:t>
      </w:r>
    </w:p>
    <w:p w14:paraId="2853818C">
      <w:pPr>
        <w:autoSpaceDE w:val="0"/>
        <w:autoSpaceDN w:val="0"/>
        <w:adjustRightInd w:val="0"/>
        <w:spacing w:line="420" w:lineRule="exact"/>
        <w:ind w:firstLine="396" w:firstLineChars="189"/>
        <w:jc w:val="left"/>
        <w:rPr>
          <w:rFonts w:ascii="宋体" w:hAnsi="宋体" w:eastAsia="宋体" w:cs="Times New Roman"/>
          <w:kern w:val="0"/>
          <w:szCs w:val="21"/>
          <w:u w:val="single"/>
        </w:rPr>
      </w:pPr>
      <w:r>
        <w:rPr>
          <w:rFonts w:hint="eastAsia" w:ascii="宋体" w:hAnsi="宋体" w:eastAsia="宋体" w:cs="Times New Roman"/>
          <w:kern w:val="0"/>
          <w:szCs w:val="21"/>
        </w:rPr>
        <w:t>试验、检测费用约定：</w:t>
      </w:r>
      <w:r>
        <w:rPr>
          <w:rFonts w:hint="eastAsia" w:ascii="宋体" w:hAnsi="宋体" w:eastAsia="宋体" w:cs="Times New Roman"/>
          <w:kern w:val="0"/>
          <w:szCs w:val="21"/>
          <w:u w:val="single"/>
        </w:rPr>
        <w:t>工程有关试验、检测费用由承包人承担（政府有关部门明确规定需要发包人支付的除外），并已含在合同价款中，不再另行计算。</w:t>
      </w:r>
    </w:p>
    <w:p w14:paraId="269D980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9.4  现场工艺试验</w:t>
      </w:r>
    </w:p>
    <w:p w14:paraId="06DCFE1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现场工艺试验的有关约定：</w:t>
      </w:r>
      <w:r>
        <w:rPr>
          <w:rFonts w:hint="eastAsia" w:ascii="宋体" w:hAnsi="宋体" w:eastAsia="宋体" w:cs="Times New Roman"/>
          <w:kern w:val="0"/>
          <w:szCs w:val="21"/>
          <w:u w:val="single"/>
        </w:rPr>
        <w:t>按《通用合同条款》9.4 条执行。</w:t>
      </w:r>
    </w:p>
    <w:p w14:paraId="670B58E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10变更</w:t>
      </w:r>
    </w:p>
    <w:p w14:paraId="395F168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10.1  变更的范围</w:t>
      </w:r>
    </w:p>
    <w:p w14:paraId="0FF0D74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关于变更的范围的约定：</w:t>
      </w:r>
      <w:r>
        <w:rPr>
          <w:rFonts w:hint="eastAsia" w:ascii="宋体" w:hAnsi="宋体" w:eastAsia="宋体" w:cs="Times New Roman"/>
          <w:kern w:val="0"/>
          <w:szCs w:val="21"/>
          <w:u w:val="single"/>
        </w:rPr>
        <w:t>按通用合同条款约定。</w:t>
      </w:r>
    </w:p>
    <w:p w14:paraId="257F46D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10.4变更估价</w:t>
      </w:r>
    </w:p>
    <w:p w14:paraId="1ECC5DC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10.4.1变更估价原则</w:t>
      </w:r>
    </w:p>
    <w:p w14:paraId="21354D7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关于变更估价的约定:</w:t>
      </w:r>
    </w:p>
    <w:p w14:paraId="14E9A959">
      <w:pPr>
        <w:autoSpaceDE w:val="0"/>
        <w:autoSpaceDN w:val="0"/>
        <w:adjustRightInd w:val="0"/>
        <w:spacing w:line="420" w:lineRule="exact"/>
        <w:ind w:firstLine="312" w:firstLineChars="148"/>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（1）已标价工程量清单或预算书有相同项目的，按照相同项目单价确定。</w:t>
      </w:r>
    </w:p>
    <w:p w14:paraId="63126A03">
      <w:pPr>
        <w:autoSpaceDE w:val="0"/>
        <w:autoSpaceDN w:val="0"/>
        <w:adjustRightInd w:val="0"/>
        <w:spacing w:line="420" w:lineRule="exact"/>
        <w:ind w:firstLine="312" w:firstLineChars="148"/>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（2）已标价工程量清单或预算书中无相同项目，但有类似项目的，参照类似项目的单价确定。</w:t>
      </w:r>
      <w:bookmarkStart w:id="411" w:name="ed_2021Y1M29D13H40M13"/>
      <w:bookmarkEnd w:id="411"/>
    </w:p>
    <w:p w14:paraId="5479D526">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rPr>
        <w:t>（3）已标价工程量清单或预算书中无相同项目及类似项目单价的，其单价的确定，按以下约定：</w:t>
      </w:r>
      <w:r>
        <w:rPr>
          <w:rFonts w:hint="eastAsia" w:ascii="宋体" w:hAnsi="宋体" w:eastAsia="宋体" w:cs="Times New Roman"/>
          <w:kern w:val="0"/>
          <w:szCs w:val="21"/>
          <w:u w:val="single"/>
        </w:rPr>
        <w:t xml:space="preserve">合同中没有适用或类似工程项目单价的：套用浙江省2018版预算定额和费用定额及相关“营改增”文件或现行相应专业定额，综合费用按相应类别工程费率的下限计取，施工组织措施费不另计算，规费、税金、农民工工伤保险按投标口径执行；材料价格有投标报价的执行投标价，无投标价的执行合同工期前80%的除税信息价平均值，对当地信息价正刊没有公布的材料，发包人应在充分市场询价的基础上，参照同期同类材料市场价格水平、投标报价水平等因素，按照规定审批程序签证确定；当零星工程发生签证台班数量，机械单价有投标价的执行投标价，无投标价的执行预算定额单价；按照上述方法计算后乘以优惠率得出结算价格，优惠率=中标价÷招标控制价 </w:t>
      </w:r>
      <w:r>
        <w:rPr>
          <w:rFonts w:hint="eastAsia" w:ascii="宋体" w:hAnsi="宋体" w:eastAsia="宋体" w:cs="Times New Roman"/>
          <w:b/>
          <w:bCs/>
          <w:kern w:val="0"/>
          <w:szCs w:val="21"/>
          <w:u w:val="single"/>
        </w:rPr>
        <w:t>。</w:t>
      </w:r>
    </w:p>
    <w:p w14:paraId="60F2E766">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rPr>
        <w:t>（4）工程量清单错误和（或）设计变更导致实际完成的工程量与已标价工程量清单或预算书中列明的该项目工程量的变化幅度超过以下情况的，其单价允许调整：凡合价金额占合同总价2%及以上的分部分项清单项目，其工程量增加或减少超过本项目工程数量15%及以上时，或者合价金额占合同总价不到2%的分部分项清单项目，但其工程量增加或减少超过本项目工程数量25%以上时。工程量偏差超过上述变化幅度之外变动部分的相应单价调整方法按以下方式约定：</w:t>
      </w:r>
      <w:r>
        <w:rPr>
          <w:rFonts w:hint="eastAsia" w:ascii="宋体" w:hAnsi="宋体" w:eastAsia="宋体" w:cs="Times New Roman"/>
          <w:kern w:val="0"/>
          <w:szCs w:val="21"/>
          <w:u w:val="single"/>
        </w:rPr>
        <w:t>由承包人按相关定额和计价规范重新组价，最终单价由审计部门确定</w:t>
      </w:r>
      <w:r>
        <w:rPr>
          <w:rFonts w:hint="eastAsia" w:ascii="宋体" w:hAnsi="宋体" w:eastAsia="宋体" w:cs="Times New Roman"/>
          <w:b/>
          <w:bCs/>
          <w:kern w:val="0"/>
          <w:szCs w:val="21"/>
          <w:u w:val="single"/>
        </w:rPr>
        <w:t>。</w:t>
      </w:r>
    </w:p>
    <w:p w14:paraId="61A410AA">
      <w:pPr>
        <w:autoSpaceDE w:val="0"/>
        <w:autoSpaceDN w:val="0"/>
        <w:adjustRightInd w:val="0"/>
        <w:spacing w:line="420" w:lineRule="exact"/>
        <w:ind w:firstLine="312" w:firstLineChars="148"/>
        <w:jc w:val="left"/>
        <w:rPr>
          <w:rFonts w:ascii="宋体" w:hAnsi="宋体" w:eastAsia="宋体" w:cs="Times New Roman"/>
          <w:kern w:val="0"/>
          <w:szCs w:val="21"/>
          <w:u w:val="single"/>
        </w:rPr>
      </w:pPr>
      <w:r>
        <w:rPr>
          <w:rFonts w:hint="eastAsia" w:ascii="宋体" w:hAnsi="宋体" w:eastAsia="宋体" w:cs="Times New Roman"/>
          <w:b/>
          <w:bCs/>
          <w:kern w:val="0"/>
          <w:szCs w:val="21"/>
        </w:rPr>
        <w:t>（5）其他：</w:t>
      </w:r>
      <w:r>
        <w:rPr>
          <w:rFonts w:hint="eastAsia" w:ascii="宋体" w:hAnsi="宋体" w:eastAsia="宋体" w:cs="Times New Roman"/>
          <w:kern w:val="0"/>
          <w:szCs w:val="21"/>
          <w:u w:val="single"/>
        </w:rPr>
        <w:t>①工程量根据施工图及联系单，按照《建设工程工程量清单计价规范》（GB50500-2013）计算。联系单管理按《西湖区政府投资项目工程变更管理办法的通知》（西政办[2016]99 号）执行，未履行规定程序的联系单，不得纳入工程结算。</w:t>
      </w:r>
    </w:p>
    <w:p w14:paraId="6E203713">
      <w:pPr>
        <w:autoSpaceDE w:val="0"/>
        <w:autoSpaceDN w:val="0"/>
        <w:adjustRightInd w:val="0"/>
        <w:spacing w:line="420" w:lineRule="exact"/>
        <w:ind w:firstLine="310" w:firstLineChars="148"/>
        <w:jc w:val="left"/>
        <w:rPr>
          <w:rFonts w:ascii="宋体" w:hAnsi="宋体" w:eastAsia="宋体" w:cs="Times New Roman"/>
          <w:kern w:val="0"/>
          <w:szCs w:val="21"/>
          <w:u w:val="single"/>
        </w:rPr>
      </w:pPr>
      <w:r>
        <w:rPr>
          <w:rFonts w:hint="eastAsia" w:ascii="宋体" w:hAnsi="宋体" w:eastAsia="宋体" w:cs="Times New Roman"/>
          <w:kern w:val="0"/>
          <w:szCs w:val="21"/>
          <w:u w:val="single"/>
        </w:rPr>
        <w:t>②承包人一旦选定品牌后，在工程施工过程中不得以产品品质无法达到设计要求、产品生产能力无法跟上工期进度、该品牌无此类产品等理由要求换品牌；当出现不得不更换产品品牌时，该品牌应在工程量清单选定的品牌、规格范围内，且发包人需对其进行考察确认，单价不应突破原材料投标报价。</w:t>
      </w:r>
    </w:p>
    <w:p w14:paraId="64EDD4A1">
      <w:pPr>
        <w:autoSpaceDE w:val="0"/>
        <w:autoSpaceDN w:val="0"/>
        <w:adjustRightInd w:val="0"/>
        <w:spacing w:line="420" w:lineRule="exact"/>
        <w:ind w:firstLine="310" w:firstLineChars="148"/>
        <w:jc w:val="left"/>
        <w:rPr>
          <w:rFonts w:ascii="宋体" w:hAnsi="宋体" w:eastAsia="宋体" w:cs="Times New Roman"/>
          <w:kern w:val="0"/>
          <w:szCs w:val="21"/>
          <w:u w:val="single"/>
        </w:rPr>
      </w:pPr>
      <w:r>
        <w:rPr>
          <w:rFonts w:hint="eastAsia" w:ascii="宋体" w:hAnsi="宋体" w:eastAsia="宋体" w:cs="Times New Roman"/>
          <w:kern w:val="0"/>
          <w:szCs w:val="21"/>
          <w:u w:val="single"/>
        </w:rPr>
        <w:t>③清单项目中项目特征或工程内容发生部分变更的，应以原综合单价为基础，仅就变更部分相应定额子目调整综合单价。材料变化的仅调整材料的信息价（或除税市场价）差价，并计增减材料差价的税金。</w:t>
      </w:r>
    </w:p>
    <w:p w14:paraId="130300BA">
      <w:pPr>
        <w:autoSpaceDE w:val="0"/>
        <w:autoSpaceDN w:val="0"/>
        <w:adjustRightInd w:val="0"/>
        <w:spacing w:line="420" w:lineRule="exact"/>
        <w:ind w:firstLine="310" w:firstLineChars="148"/>
        <w:jc w:val="left"/>
        <w:rPr>
          <w:rFonts w:ascii="宋体" w:hAnsi="宋体" w:eastAsia="宋体" w:cs="Times New Roman"/>
          <w:kern w:val="0"/>
          <w:szCs w:val="21"/>
          <w:u w:val="single"/>
        </w:rPr>
      </w:pPr>
      <w:r>
        <w:rPr>
          <w:rFonts w:hint="eastAsia" w:ascii="宋体" w:hAnsi="宋体" w:eastAsia="宋体" w:cs="Times New Roman"/>
          <w:kern w:val="0"/>
          <w:szCs w:val="21"/>
          <w:u w:val="single"/>
        </w:rPr>
        <w:t>④措施费调整原则：1）施工组织措施费、施工技术措施费在招标范围未发生变化情况下，按投标报价包干。2）在招标范围发生重大变化或重大设计变更引起施工技术措施项目费增加或减少时，变更部分根据相关变更依据和建设行政主管部门的批复意见按实调整，原措施费项目清单中已有的措施项目，按原有措施费的组价方法或单价调整；原措施费项目清单中没有的措施项目，组价方法按10.4.1第三条执行；组织措施费按中标价的组织措施费同比例调整。3)如有甩项工程，发包人将对相应施工组织措施费和技术措施费按上述方法予以扣除。</w:t>
      </w:r>
    </w:p>
    <w:p w14:paraId="753FAA0C">
      <w:pPr>
        <w:autoSpaceDE w:val="0"/>
        <w:autoSpaceDN w:val="0"/>
        <w:adjustRightInd w:val="0"/>
        <w:spacing w:line="420" w:lineRule="exact"/>
        <w:ind w:firstLine="420" w:firstLineChars="200"/>
        <w:jc w:val="left"/>
        <w:rPr>
          <w:rFonts w:ascii="宋体" w:hAnsi="宋体" w:eastAsia="宋体" w:cs="Times New Roman"/>
          <w:b/>
          <w:bCs/>
          <w:kern w:val="0"/>
          <w:szCs w:val="21"/>
          <w:u w:val="single"/>
        </w:rPr>
      </w:pPr>
      <w:r>
        <w:rPr>
          <w:rFonts w:hint="eastAsia" w:ascii="宋体" w:hAnsi="宋体" w:eastAsia="宋体" w:cs="Times New Roman"/>
          <w:kern w:val="0"/>
          <w:szCs w:val="21"/>
          <w:u w:val="single"/>
        </w:rPr>
        <w:t>⑤工程量清单项目特征描述的分项工程内容均应计入综合单价报价，若承包人提供的分部分项工程量综合单价计算表及综合单价工料机分析表没有详尽分析的，发包人将对实际未实施的分项工程予以扣除，扣除部分的价格参考第按10.4.1第三条，结合投标报价水平确定</w:t>
      </w:r>
      <w:r>
        <w:rPr>
          <w:rFonts w:hint="eastAsia" w:ascii="宋体" w:hAnsi="宋体" w:eastAsia="宋体" w:cs="Times New Roman"/>
          <w:b/>
          <w:bCs/>
          <w:kern w:val="0"/>
          <w:szCs w:val="21"/>
          <w:u w:val="single"/>
        </w:rPr>
        <w:t>。</w:t>
      </w:r>
    </w:p>
    <w:p w14:paraId="266B7D5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10.5  承包人的合理化建议</w:t>
      </w:r>
    </w:p>
    <w:p w14:paraId="04B3D9C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监理人审查承包人合理化建议的期限：</w:t>
      </w:r>
      <w:r>
        <w:rPr>
          <w:rFonts w:hint="eastAsia" w:ascii="宋体" w:hAnsi="宋体" w:eastAsia="宋体" w:cs="Times New Roman"/>
          <w:kern w:val="0"/>
          <w:szCs w:val="21"/>
          <w:u w:val="single"/>
        </w:rPr>
        <w:t>按通用条款执行。</w:t>
      </w:r>
    </w:p>
    <w:p w14:paraId="02B788F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发包人审批承包人合理化建议的期限：</w:t>
      </w:r>
      <w:r>
        <w:rPr>
          <w:rFonts w:hint="eastAsia" w:ascii="宋体" w:hAnsi="宋体" w:eastAsia="宋体" w:cs="Times New Roman"/>
          <w:kern w:val="0"/>
          <w:szCs w:val="21"/>
          <w:u w:val="single"/>
        </w:rPr>
        <w:t>按通用条款执行。</w:t>
      </w:r>
    </w:p>
    <w:p w14:paraId="560DDFA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 xml:space="preserve">承包人提出的合理化建议降低了合同价格或者提高了工程经济效益的奖励的方法和金额为： </w:t>
      </w:r>
      <w:r>
        <w:rPr>
          <w:rFonts w:hint="eastAsia" w:ascii="宋体" w:hAnsi="宋体" w:eastAsia="宋体" w:cs="Times New Roman"/>
          <w:kern w:val="0"/>
          <w:szCs w:val="21"/>
          <w:u w:val="single"/>
        </w:rPr>
        <w:t xml:space="preserve">  /     。</w:t>
      </w:r>
    </w:p>
    <w:p w14:paraId="6D4A739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10.7暂估价</w:t>
      </w:r>
    </w:p>
    <w:p w14:paraId="5C41823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暂估价材料和工程设备的明细详见附件11：《暂估价一览表》。</w:t>
      </w:r>
    </w:p>
    <w:p w14:paraId="582D0BF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10.7.1依法必须招标的暂估价项目</w:t>
      </w:r>
    </w:p>
    <w:p w14:paraId="5331AF7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 xml:space="preserve">对于依法必须招标的暂估价项目的确认和批准采取第 </w:t>
      </w:r>
      <w:r>
        <w:rPr>
          <w:rFonts w:hint="eastAsia" w:ascii="宋体" w:hAnsi="宋体" w:eastAsia="宋体" w:cs="Times New Roman"/>
          <w:kern w:val="0"/>
          <w:szCs w:val="21"/>
          <w:u w:val="single"/>
        </w:rPr>
        <w:t xml:space="preserve">  /     种方式确定。</w:t>
      </w:r>
    </w:p>
    <w:p w14:paraId="342652A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10.7.2  不属于依法必须招标的暂估价项目</w:t>
      </w:r>
    </w:p>
    <w:p w14:paraId="3D3DE7B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对于不属于依法必须招标的暂估价项目的确认和批准采取</w:t>
      </w:r>
      <w:r>
        <w:rPr>
          <w:rFonts w:hint="eastAsia" w:ascii="宋体" w:hAnsi="宋体" w:eastAsia="宋体" w:cs="Times New Roman"/>
          <w:kern w:val="0"/>
          <w:szCs w:val="21"/>
          <w:u w:val="single"/>
        </w:rPr>
        <w:t>第1种</w:t>
      </w:r>
      <w:r>
        <w:rPr>
          <w:rFonts w:hint="eastAsia" w:ascii="宋体" w:hAnsi="宋体" w:eastAsia="宋体" w:cs="Times New Roman"/>
          <w:kern w:val="0"/>
          <w:szCs w:val="21"/>
        </w:rPr>
        <w:t>方式确定。</w:t>
      </w:r>
    </w:p>
    <w:p w14:paraId="0AEF853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第3种方式：承包人直接实施的暂估价项目</w:t>
      </w:r>
    </w:p>
    <w:p w14:paraId="21D7579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 xml:space="preserve">承包人直接实施的暂估价项目的约定： </w:t>
      </w:r>
      <w:r>
        <w:rPr>
          <w:rFonts w:hint="eastAsia" w:ascii="宋体" w:hAnsi="宋体" w:eastAsia="宋体" w:cs="Times New Roman"/>
          <w:kern w:val="0"/>
          <w:szCs w:val="21"/>
          <w:u w:val="single"/>
        </w:rPr>
        <w:t xml:space="preserve">  /     。</w:t>
      </w:r>
    </w:p>
    <w:p w14:paraId="5D4915C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10.8 暂列金额</w:t>
      </w:r>
    </w:p>
    <w:p w14:paraId="57D6254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合同当事人关于暂列金额使用的约定：</w:t>
      </w:r>
      <w:r>
        <w:rPr>
          <w:rFonts w:hint="eastAsia" w:ascii="宋体" w:hAnsi="宋体" w:eastAsia="宋体" w:cs="Times New Roman"/>
          <w:kern w:val="0"/>
          <w:szCs w:val="21"/>
          <w:u w:val="single"/>
        </w:rPr>
        <w:t xml:space="preserve">   /     。</w:t>
      </w:r>
    </w:p>
    <w:p w14:paraId="4D61CDE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11价格调整</w:t>
      </w:r>
    </w:p>
    <w:p w14:paraId="3C258D2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11.1市场价格波动引起的调整</w:t>
      </w:r>
    </w:p>
    <w:p w14:paraId="07A4264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市场价格波动是否调整合同价格的约定：</w:t>
      </w:r>
      <w:r>
        <w:rPr>
          <w:rFonts w:hint="eastAsia" w:ascii="宋体" w:hAnsi="宋体" w:eastAsia="宋体" w:cs="Times New Roman"/>
          <w:kern w:val="0"/>
          <w:szCs w:val="21"/>
          <w:u w:val="single"/>
        </w:rPr>
        <w:t>是。</w:t>
      </w:r>
    </w:p>
    <w:p w14:paraId="3F5C110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因市场价格波动调整合同价格，采用以下</w:t>
      </w:r>
      <w:r>
        <w:rPr>
          <w:rFonts w:hint="eastAsia" w:ascii="宋体" w:hAnsi="宋体" w:eastAsia="宋体" w:cs="Times New Roman"/>
          <w:kern w:val="0"/>
          <w:szCs w:val="21"/>
          <w:u w:val="single"/>
        </w:rPr>
        <w:t>第3种</w:t>
      </w:r>
      <w:r>
        <w:rPr>
          <w:rFonts w:hint="eastAsia" w:ascii="宋体" w:hAnsi="宋体" w:eastAsia="宋体" w:cs="Times New Roman"/>
          <w:kern w:val="0"/>
          <w:szCs w:val="21"/>
        </w:rPr>
        <w:t>方式对合同价格进行调整：</w:t>
      </w:r>
    </w:p>
    <w:p w14:paraId="4A05569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第1种方式：</w:t>
      </w:r>
      <w:r>
        <w:rPr>
          <w:rFonts w:hint="eastAsia" w:ascii="宋体" w:hAnsi="宋体" w:eastAsia="宋体" w:cs="Times New Roman"/>
          <w:kern w:val="0"/>
          <w:szCs w:val="21"/>
          <w:u w:val="single"/>
        </w:rPr>
        <w:t>采用价格指数进行价格调整。</w:t>
      </w:r>
    </w:p>
    <w:p w14:paraId="49D6AE2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关于各可调因子、定值和变值权重，以及基本价格指数及其来源的约定：/；</w:t>
      </w:r>
    </w:p>
    <w:p w14:paraId="4BE4C259">
      <w:pPr>
        <w:autoSpaceDE w:val="0"/>
        <w:autoSpaceDN w:val="0"/>
        <w:adjustRightInd w:val="0"/>
        <w:spacing w:line="420" w:lineRule="exact"/>
        <w:ind w:firstLine="422" w:firstLineChars="200"/>
        <w:jc w:val="left"/>
        <w:rPr>
          <w:rFonts w:ascii="宋体" w:hAnsi="宋体" w:eastAsia="宋体" w:cs="Times New Roman"/>
          <w:kern w:val="0"/>
          <w:szCs w:val="21"/>
          <w:u w:val="single"/>
        </w:rPr>
      </w:pPr>
      <w:r>
        <w:rPr>
          <w:rFonts w:hint="eastAsia" w:ascii="宋体" w:hAnsi="宋体" w:eastAsia="宋体" w:cs="Times New Roman"/>
          <w:b/>
          <w:kern w:val="0"/>
          <w:szCs w:val="21"/>
          <w:u w:val="single"/>
        </w:rPr>
        <w:t>第2种方式：</w:t>
      </w:r>
      <w:r>
        <w:rPr>
          <w:rFonts w:hint="eastAsia" w:ascii="宋体" w:hAnsi="宋体" w:eastAsia="宋体" w:cs="Times New Roman"/>
          <w:kern w:val="0"/>
          <w:szCs w:val="21"/>
          <w:u w:val="single"/>
        </w:rPr>
        <w:t>采用造价信息进行价格调整。</w:t>
      </w:r>
    </w:p>
    <w:p w14:paraId="2200AD8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（2）关于基准价格的约定：</w:t>
      </w:r>
      <w:r>
        <w:rPr>
          <w:rFonts w:hint="eastAsia" w:ascii="宋体" w:hAnsi="宋体" w:eastAsia="宋体" w:cs="Times New Roman"/>
          <w:kern w:val="0"/>
          <w:szCs w:val="21"/>
          <w:u w:val="single"/>
        </w:rPr>
        <w:t xml:space="preserve"> / 。</w:t>
      </w:r>
    </w:p>
    <w:p w14:paraId="0F0E85D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Times New Roman"/>
          <w:kern w:val="0"/>
          <w:szCs w:val="21"/>
          <w:u w:val="single"/>
        </w:rPr>
        <w:t xml:space="preserve"> / %</w:t>
      </w:r>
      <w:r>
        <w:rPr>
          <w:rFonts w:hint="eastAsia" w:ascii="宋体" w:hAnsi="宋体" w:eastAsia="宋体" w:cs="Times New Roman"/>
          <w:kern w:val="0"/>
          <w:szCs w:val="21"/>
        </w:rPr>
        <w:t>时，或材料单价跌幅以已标价工程量清单或预算书中载明材料单价为基础超过</w:t>
      </w:r>
      <w:r>
        <w:rPr>
          <w:rFonts w:hint="eastAsia" w:ascii="宋体" w:hAnsi="宋体" w:eastAsia="宋体" w:cs="Times New Roman"/>
          <w:kern w:val="0"/>
          <w:szCs w:val="21"/>
          <w:u w:val="single"/>
        </w:rPr>
        <w:t xml:space="preserve"> / %</w:t>
      </w:r>
      <w:r>
        <w:rPr>
          <w:rFonts w:hint="eastAsia" w:ascii="宋体" w:hAnsi="宋体" w:eastAsia="宋体" w:cs="Times New Roman"/>
          <w:kern w:val="0"/>
          <w:szCs w:val="21"/>
        </w:rPr>
        <w:t>时，其超过部分据实调整。</w:t>
      </w:r>
    </w:p>
    <w:p w14:paraId="3B31428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②承包人在已标价工程量清单或预算书中载明的材料单价高于基准价格的：专用合同条款合同履行期间材料单价跌幅以基准价格为基础超过</w:t>
      </w:r>
      <w:r>
        <w:rPr>
          <w:rFonts w:hint="eastAsia" w:ascii="宋体" w:hAnsi="宋体" w:eastAsia="宋体" w:cs="Times New Roman"/>
          <w:kern w:val="0"/>
          <w:szCs w:val="21"/>
          <w:u w:val="single"/>
        </w:rPr>
        <w:t xml:space="preserve"> / %</w:t>
      </w:r>
      <w:r>
        <w:rPr>
          <w:rFonts w:hint="eastAsia" w:ascii="宋体" w:hAnsi="宋体" w:eastAsia="宋体" w:cs="Times New Roman"/>
          <w:kern w:val="0"/>
          <w:szCs w:val="21"/>
        </w:rPr>
        <w:t>时，材料单价涨幅以已标价工程量清单或预算书中载明材料单价为基础超过</w:t>
      </w:r>
      <w:r>
        <w:rPr>
          <w:rFonts w:hint="eastAsia" w:ascii="宋体" w:hAnsi="宋体" w:eastAsia="宋体" w:cs="Times New Roman"/>
          <w:kern w:val="0"/>
          <w:szCs w:val="21"/>
          <w:u w:val="single"/>
        </w:rPr>
        <w:t xml:space="preserve"> / %</w:t>
      </w:r>
      <w:r>
        <w:rPr>
          <w:rFonts w:hint="eastAsia" w:ascii="宋体" w:hAnsi="宋体" w:eastAsia="宋体" w:cs="Times New Roman"/>
          <w:kern w:val="0"/>
          <w:szCs w:val="21"/>
        </w:rPr>
        <w:t>时，其超过部分据实调整。</w:t>
      </w:r>
    </w:p>
    <w:p w14:paraId="6BD1079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③承包人在已标价工程量清单或预算书中载明的材料单价等于基准单价的：专用合同条款合同履行期间材料单价涨跌幅以基准单价为基础超过</w:t>
      </w:r>
      <w:r>
        <w:rPr>
          <w:rFonts w:hint="eastAsia" w:ascii="宋体" w:hAnsi="宋体" w:eastAsia="宋体" w:cs="Times New Roman"/>
          <w:kern w:val="0"/>
          <w:szCs w:val="21"/>
          <w:u w:val="single"/>
        </w:rPr>
        <w:t>± / %</w:t>
      </w:r>
      <w:r>
        <w:rPr>
          <w:rFonts w:hint="eastAsia" w:ascii="宋体" w:hAnsi="宋体" w:eastAsia="宋体" w:cs="Times New Roman"/>
          <w:kern w:val="0"/>
          <w:szCs w:val="21"/>
        </w:rPr>
        <w:t>时，其超过部分据实调整。</w:t>
      </w:r>
    </w:p>
    <w:p w14:paraId="4D1CCC39">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第3种方式：采用政策性文件进行价格调整。</w:t>
      </w:r>
    </w:p>
    <w:p w14:paraId="64D39287">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政府投资工程因市场价格波动引起的调整按以下第（1）种方式约定执行：</w:t>
      </w:r>
    </w:p>
    <w:p w14:paraId="23A92D7F">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（1）按《关于进一步加强杭州市建设工程市场要素价格动态管理的指导意见》（杭建市发〔2018〕579号）执行；</w:t>
      </w:r>
    </w:p>
    <w:p w14:paraId="2C431C8E">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rPr>
        <w:t>（2）其他：</w:t>
      </w:r>
      <w:r>
        <w:rPr>
          <w:rFonts w:hint="eastAsia" w:ascii="宋体" w:hAnsi="宋体" w:eastAsia="宋体" w:cs="Times New Roman"/>
          <w:b/>
          <w:bCs/>
          <w:kern w:val="0"/>
          <w:szCs w:val="21"/>
          <w:u w:val="single"/>
        </w:rPr>
        <w:t xml:space="preserve">       /   。</w:t>
      </w:r>
    </w:p>
    <w:p w14:paraId="25AB4F00">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其中：</w:t>
      </w:r>
    </w:p>
    <w:p w14:paraId="38027D8E">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1、风险范围及幅度的约定：</w:t>
      </w:r>
    </w:p>
    <w:p w14:paraId="52978029">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（1）人工费的风险幅度（     5    %）</w:t>
      </w:r>
    </w:p>
    <w:p w14:paraId="191C7AFD">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（2）材料价格的风险幅度（    5     %）</w:t>
      </w:r>
    </w:p>
    <w:p w14:paraId="74A70A6F">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2、材料价款动态调整结算方式采用以下第</w:t>
      </w:r>
      <w:r>
        <w:rPr>
          <w:rFonts w:hint="eastAsia" w:ascii="宋体" w:hAnsi="宋体" w:eastAsia="宋体" w:cs="Times New Roman"/>
          <w:b/>
          <w:bCs/>
          <w:kern w:val="0"/>
          <w:szCs w:val="21"/>
          <w:u w:val="single"/>
        </w:rPr>
        <w:t>（3）</w:t>
      </w:r>
      <w:r>
        <w:rPr>
          <w:rFonts w:hint="eastAsia" w:ascii="宋体" w:hAnsi="宋体" w:eastAsia="宋体" w:cs="Times New Roman"/>
          <w:b/>
          <w:bCs/>
          <w:kern w:val="0"/>
          <w:szCs w:val="21"/>
        </w:rPr>
        <w:t>种方式约定：</w:t>
      </w:r>
    </w:p>
    <w:p w14:paraId="47482BF3">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（1）按时间进度分段结算：。</w:t>
      </w:r>
    </w:p>
    <w:p w14:paraId="36CAEB36">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（2）按工程形象部位(目标)分段结算：。</w:t>
      </w:r>
    </w:p>
    <w:p w14:paraId="21AE399B">
      <w:pPr>
        <w:autoSpaceDE w:val="0"/>
        <w:autoSpaceDN w:val="0"/>
        <w:adjustRightInd w:val="0"/>
        <w:spacing w:line="420" w:lineRule="exact"/>
        <w:ind w:firstLine="422" w:firstLineChars="200"/>
        <w:jc w:val="left"/>
        <w:rPr>
          <w:rFonts w:ascii="宋体" w:hAnsi="宋体" w:eastAsia="宋体" w:cs="Times New Roman"/>
          <w:b/>
          <w:bCs/>
          <w:kern w:val="0"/>
          <w:szCs w:val="21"/>
        </w:rPr>
      </w:pPr>
      <w:r>
        <w:rPr>
          <w:rFonts w:hint="eastAsia" w:ascii="宋体" w:hAnsi="宋体" w:eastAsia="宋体" w:cs="Times New Roman"/>
          <w:b/>
          <w:bCs/>
          <w:kern w:val="0"/>
          <w:szCs w:val="21"/>
        </w:rPr>
        <w:t>（3）竣工后一次性结算：。</w:t>
      </w:r>
    </w:p>
    <w:p w14:paraId="33E4B19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  合同价格、计量与支付</w:t>
      </w:r>
    </w:p>
    <w:p w14:paraId="677EF115">
      <w:pPr>
        <w:autoSpaceDE w:val="0"/>
        <w:autoSpaceDN w:val="0"/>
        <w:adjustRightInd w:val="0"/>
        <w:spacing w:line="420" w:lineRule="exact"/>
        <w:ind w:firstLine="420" w:firstLineChars="200"/>
        <w:jc w:val="left"/>
        <w:rPr>
          <w:rFonts w:ascii="宋体" w:hAnsi="宋体" w:eastAsia="宋体" w:cs="Times New Roman"/>
          <w:b/>
          <w:bCs/>
          <w:kern w:val="0"/>
          <w:szCs w:val="21"/>
        </w:rPr>
      </w:pPr>
      <w:r>
        <w:rPr>
          <w:rFonts w:hint="eastAsia" w:ascii="宋体" w:hAnsi="宋体" w:eastAsia="宋体" w:cs="Times New Roman"/>
          <w:kern w:val="0"/>
          <w:szCs w:val="21"/>
        </w:rPr>
        <w:t>12.1 合同价格形式</w:t>
      </w:r>
    </w:p>
    <w:p w14:paraId="0BF3A80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12.1.1  单价合同。</w:t>
      </w:r>
    </w:p>
    <w:p w14:paraId="1D8279A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综合单价包含的风险范围：</w:t>
      </w:r>
    </w:p>
    <w:p w14:paraId="3182A6DC">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（1）应由承包人承担的工、料、机在投标编制期或预算书编制期与合同实施期间所发生的市场价格波动。</w:t>
      </w:r>
    </w:p>
    <w:p w14:paraId="7C48048F">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rPr>
        <w:t>（2）其他：</w:t>
      </w:r>
      <w:r>
        <w:rPr>
          <w:rFonts w:hint="eastAsia" w:ascii="宋体" w:hAnsi="宋体" w:eastAsia="宋体" w:cs="Times New Roman"/>
          <w:b/>
          <w:bCs/>
          <w:kern w:val="0"/>
          <w:szCs w:val="21"/>
          <w:u w:val="single"/>
        </w:rPr>
        <w:t xml:space="preserve"> /  。</w:t>
      </w:r>
    </w:p>
    <w:p w14:paraId="71E3DC7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风险费用的计算方法：</w:t>
      </w:r>
      <w:r>
        <w:rPr>
          <w:rFonts w:hint="eastAsia" w:ascii="宋体" w:hAnsi="宋体" w:eastAsia="宋体" w:cs="Times New Roman"/>
          <w:kern w:val="0"/>
          <w:szCs w:val="21"/>
          <w:u w:val="single"/>
        </w:rPr>
        <w:t>以上风险费用已在投标报价时考虑，不再另行计取。</w:t>
      </w:r>
    </w:p>
    <w:p w14:paraId="4D8D4DB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风险范围以外合同价格的调整方法：</w:t>
      </w:r>
    </w:p>
    <w:p w14:paraId="40EC58C0">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（1）市场价格波动引起的调整按本合同11.1第3种方式的约定计算 。</w:t>
      </w:r>
    </w:p>
    <w:p w14:paraId="461598B7">
      <w:pPr>
        <w:autoSpaceDE w:val="0"/>
        <w:autoSpaceDN w:val="0"/>
        <w:adjustRightInd w:val="0"/>
        <w:spacing w:line="420" w:lineRule="exact"/>
        <w:ind w:firstLine="441" w:firstLineChars="209"/>
        <w:jc w:val="left"/>
        <w:rPr>
          <w:rFonts w:ascii="宋体" w:hAnsi="宋体" w:eastAsia="宋体" w:cs="Times New Roman"/>
          <w:kern w:val="0"/>
          <w:szCs w:val="21"/>
          <w:u w:val="single"/>
        </w:rPr>
      </w:pPr>
      <w:r>
        <w:rPr>
          <w:rFonts w:hint="eastAsia" w:ascii="宋体" w:hAnsi="宋体" w:eastAsia="宋体" w:cs="Times New Roman"/>
          <w:b/>
          <w:bCs/>
          <w:kern w:val="0"/>
          <w:szCs w:val="21"/>
        </w:rPr>
        <w:t>（2）其他：</w:t>
      </w:r>
      <w:r>
        <w:rPr>
          <w:rFonts w:hint="eastAsia" w:ascii="宋体" w:hAnsi="宋体" w:eastAsia="宋体" w:cs="Times New Roman"/>
          <w:kern w:val="0"/>
          <w:szCs w:val="21"/>
          <w:u w:val="single"/>
        </w:rPr>
        <w:t>a.对于法律、法规、规章或有关政策出台导致工程税金、规费、人工费用发生变化，并由市级、行业建设行政主管部门或其授权的工程造价管理机构根据上述变化发布的政策性调整，承包人不承担此类风险，可按照调整规定执行；</w:t>
      </w:r>
    </w:p>
    <w:p w14:paraId="45906B96">
      <w:pPr>
        <w:autoSpaceDE w:val="0"/>
        <w:autoSpaceDN w:val="0"/>
        <w:adjustRightInd w:val="0"/>
        <w:spacing w:line="420" w:lineRule="exact"/>
        <w:ind w:firstLine="438" w:firstLineChars="209"/>
        <w:jc w:val="left"/>
        <w:rPr>
          <w:rFonts w:ascii="宋体" w:hAnsi="宋体" w:eastAsia="宋体" w:cs="Times New Roman"/>
          <w:kern w:val="0"/>
          <w:szCs w:val="21"/>
          <w:u w:val="single"/>
        </w:rPr>
      </w:pPr>
      <w:r>
        <w:rPr>
          <w:rFonts w:hint="eastAsia" w:ascii="宋体" w:hAnsi="宋体" w:eastAsia="宋体" w:cs="Times New Roman"/>
          <w:kern w:val="0"/>
          <w:szCs w:val="21"/>
          <w:u w:val="single"/>
        </w:rPr>
        <w:t>b.本合同《专用合同条款》第 10.1款所述工程变更，应根据发包人变更及联系单管理办法执行，费用按本专用合同条款第10.4.1 款规定，对合同价款予以调整（清单中明确要求包干的报价项目除外）；</w:t>
      </w:r>
    </w:p>
    <w:p w14:paraId="507C41CB">
      <w:pPr>
        <w:autoSpaceDE w:val="0"/>
        <w:autoSpaceDN w:val="0"/>
        <w:adjustRightInd w:val="0"/>
        <w:spacing w:line="420" w:lineRule="exact"/>
        <w:ind w:firstLine="438" w:firstLineChars="209"/>
        <w:jc w:val="left"/>
        <w:rPr>
          <w:rFonts w:ascii="宋体" w:hAnsi="宋体" w:eastAsia="宋体" w:cs="Times New Roman"/>
          <w:b/>
          <w:bCs/>
          <w:kern w:val="0"/>
          <w:szCs w:val="21"/>
          <w:u w:val="single"/>
        </w:rPr>
      </w:pPr>
      <w:r>
        <w:rPr>
          <w:rFonts w:hint="eastAsia" w:ascii="宋体" w:hAnsi="宋体" w:eastAsia="宋体" w:cs="Times New Roman"/>
          <w:kern w:val="0"/>
          <w:szCs w:val="21"/>
          <w:u w:val="single"/>
        </w:rPr>
        <w:t>c、发包人提出与本工程施工相关的设计或工程变更，承包人不得以任何理由拒绝，并严格执行</w:t>
      </w:r>
      <w:r>
        <w:rPr>
          <w:rFonts w:hint="eastAsia" w:ascii="宋体" w:hAnsi="宋体" w:eastAsia="宋体" w:cs="Times New Roman"/>
          <w:b/>
          <w:bCs/>
          <w:kern w:val="0"/>
          <w:szCs w:val="21"/>
          <w:u w:val="single"/>
        </w:rPr>
        <w:t>。</w:t>
      </w:r>
    </w:p>
    <w:p w14:paraId="49F4DC97">
      <w:pPr>
        <w:autoSpaceDE w:val="0"/>
        <w:autoSpaceDN w:val="0"/>
        <w:adjustRightInd w:val="0"/>
        <w:spacing w:line="420" w:lineRule="exact"/>
        <w:ind w:firstLine="441" w:firstLineChars="210"/>
        <w:jc w:val="left"/>
        <w:rPr>
          <w:rFonts w:ascii="宋体" w:hAnsi="宋体" w:eastAsia="宋体" w:cs="Times New Roman"/>
          <w:kern w:val="0"/>
          <w:szCs w:val="21"/>
        </w:rPr>
      </w:pPr>
      <w:r>
        <w:rPr>
          <w:rFonts w:hint="eastAsia" w:ascii="宋体" w:hAnsi="宋体" w:eastAsia="宋体" w:cs="Times New Roman"/>
          <w:kern w:val="0"/>
          <w:szCs w:val="21"/>
        </w:rPr>
        <w:t>12.1.2  总价合同。</w:t>
      </w:r>
    </w:p>
    <w:p w14:paraId="51BF708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总价包含的风险范围：</w:t>
      </w:r>
      <w:r>
        <w:rPr>
          <w:rFonts w:hint="eastAsia" w:ascii="宋体" w:hAnsi="宋体" w:eastAsia="宋体" w:cs="Times New Roman"/>
          <w:kern w:val="0"/>
          <w:szCs w:val="21"/>
          <w:u w:val="single"/>
        </w:rPr>
        <w:t xml:space="preserve">  /   。</w:t>
      </w:r>
    </w:p>
    <w:p w14:paraId="384C1B6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风险费用的计算方法：</w:t>
      </w:r>
      <w:r>
        <w:rPr>
          <w:rFonts w:hint="eastAsia" w:ascii="宋体" w:hAnsi="宋体" w:eastAsia="宋体" w:cs="Times New Roman"/>
          <w:kern w:val="0"/>
          <w:szCs w:val="21"/>
          <w:u w:val="single"/>
        </w:rPr>
        <w:t xml:space="preserve">  /   。</w:t>
      </w:r>
    </w:p>
    <w:p w14:paraId="5AC3C84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风险范围以外合同价格的调整方法：</w:t>
      </w:r>
      <w:r>
        <w:rPr>
          <w:rFonts w:hint="eastAsia" w:ascii="宋体" w:hAnsi="宋体" w:eastAsia="宋体" w:cs="Times New Roman"/>
          <w:kern w:val="0"/>
          <w:szCs w:val="21"/>
          <w:u w:val="single"/>
        </w:rPr>
        <w:t xml:space="preserve">  /   。</w:t>
      </w:r>
    </w:p>
    <w:p w14:paraId="23E857A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12.1.3  其他价格方式：</w:t>
      </w:r>
      <w:r>
        <w:rPr>
          <w:rFonts w:hint="eastAsia" w:ascii="宋体" w:hAnsi="宋体" w:eastAsia="宋体" w:cs="Times New Roman"/>
          <w:kern w:val="0"/>
          <w:szCs w:val="21"/>
          <w:u w:val="single"/>
        </w:rPr>
        <w:t xml:space="preserve">  /   。</w:t>
      </w:r>
    </w:p>
    <w:p w14:paraId="2376F95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12.2  预付款</w:t>
      </w:r>
    </w:p>
    <w:p w14:paraId="2648FC8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12.2.1  预付款的支付</w:t>
      </w:r>
    </w:p>
    <w:p w14:paraId="590D03D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预付款支付比例或金额：</w:t>
      </w:r>
      <w:r>
        <w:rPr>
          <w:rFonts w:hint="eastAsia" w:ascii="宋体" w:hAnsi="宋体" w:eastAsia="宋体" w:cs="Times New Roman"/>
          <w:kern w:val="0"/>
          <w:szCs w:val="21"/>
          <w:u w:val="single"/>
        </w:rPr>
        <w:t>合同价扣除安全文明施工费、暂列金额、暂估价后的30%。</w:t>
      </w:r>
    </w:p>
    <w:p w14:paraId="635A04E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工资预付款支付比例或金额：</w:t>
      </w:r>
      <w:r>
        <w:rPr>
          <w:rFonts w:hint="eastAsia" w:ascii="宋体" w:hAnsi="宋体" w:eastAsia="宋体" w:cs="Times New Roman"/>
          <w:kern w:val="0"/>
          <w:szCs w:val="21"/>
          <w:u w:val="single"/>
        </w:rPr>
        <w:t xml:space="preserve"> </w:t>
      </w:r>
      <w:r>
        <w:rPr>
          <w:rFonts w:ascii="宋体" w:hAnsi="宋体" w:eastAsia="宋体" w:cs="Times New Roman"/>
          <w:kern w:val="0"/>
          <w:szCs w:val="21"/>
          <w:u w:val="single"/>
        </w:rPr>
        <w:t xml:space="preserve">    </w:t>
      </w:r>
      <w:r>
        <w:rPr>
          <w:rFonts w:hint="eastAsia" w:ascii="宋体" w:hAnsi="宋体" w:eastAsia="宋体" w:cs="Times New Roman"/>
          <w:kern w:val="0"/>
          <w:szCs w:val="21"/>
          <w:u w:val="single"/>
        </w:rPr>
        <w:t>。</w:t>
      </w:r>
    </w:p>
    <w:p w14:paraId="0F7C21E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预付款支付期限：</w:t>
      </w:r>
      <w:r>
        <w:rPr>
          <w:rFonts w:hint="eastAsia" w:ascii="宋体" w:hAnsi="宋体" w:eastAsia="宋体" w:cs="Times New Roman"/>
          <w:kern w:val="0"/>
          <w:szCs w:val="21"/>
          <w:u w:val="single"/>
        </w:rPr>
        <w:t>承包人递交履约保证金，承包人主要管理团队人员到位且完成清单核对工作，具备开工条件后支付。承包人须与代理单位进行清单核对，共同出具核对说明，若清单核对工作未完成，发包人有权暂缓支付预付款。</w:t>
      </w:r>
    </w:p>
    <w:p w14:paraId="282CCBD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预付款扣回的方式：</w:t>
      </w:r>
      <w:r>
        <w:rPr>
          <w:rFonts w:hint="eastAsia" w:ascii="宋体" w:hAnsi="宋体" w:eastAsia="宋体" w:cs="Times New Roman"/>
          <w:kern w:val="0"/>
          <w:szCs w:val="21"/>
          <w:u w:val="single"/>
        </w:rPr>
        <w:t>第一次支付进度款时扣回100%。</w:t>
      </w:r>
    </w:p>
    <w:p w14:paraId="5995EBA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12.2.2  预付款担保</w:t>
      </w:r>
    </w:p>
    <w:p w14:paraId="677E1DA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承包人提交预付款担保的期限：</w:t>
      </w:r>
      <w:r>
        <w:rPr>
          <w:rFonts w:hint="eastAsia" w:ascii="宋体" w:hAnsi="宋体" w:eastAsia="宋体" w:cs="Times New Roman"/>
          <w:kern w:val="0"/>
          <w:szCs w:val="21"/>
          <w:u w:val="single"/>
        </w:rPr>
        <w:t xml:space="preserve">  /    。</w:t>
      </w:r>
    </w:p>
    <w:p w14:paraId="6C43EA5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预付款担保的形式为：</w:t>
      </w:r>
      <w:r>
        <w:rPr>
          <w:rFonts w:hint="eastAsia" w:ascii="宋体" w:hAnsi="宋体" w:eastAsia="宋体" w:cs="Times New Roman"/>
          <w:kern w:val="0"/>
          <w:szCs w:val="21"/>
          <w:u w:val="single"/>
        </w:rPr>
        <w:t xml:space="preserve">  /    。</w:t>
      </w:r>
    </w:p>
    <w:p w14:paraId="04826D5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12.3  计量</w:t>
      </w:r>
    </w:p>
    <w:p w14:paraId="1AAA6D9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12.3.1  计量原则</w:t>
      </w:r>
    </w:p>
    <w:p w14:paraId="173A12E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工程量计算规则：</w:t>
      </w:r>
    </w:p>
    <w:p w14:paraId="29F4808A">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（1）实行工程量清单计价的工程项目，其工程量的计算规则应按国家标准工程量计算规范及省级行业主管部门颁布的补充规定执行。</w:t>
      </w:r>
    </w:p>
    <w:p w14:paraId="23F3E655">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（2）不实行工程量清单计价的工程项目，工程量的计算规则应按省、市行业主管部门颁布的各专业工程定额的工程量计算规则执行。</w:t>
      </w:r>
    </w:p>
    <w:p w14:paraId="5ED8073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12.3.2  计量周期</w:t>
      </w:r>
    </w:p>
    <w:p w14:paraId="2098EB7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关于计量周期的约定：</w:t>
      </w:r>
      <w:r>
        <w:rPr>
          <w:rFonts w:hint="eastAsia" w:ascii="宋体" w:hAnsi="宋体" w:eastAsia="宋体" w:cs="Times New Roman"/>
          <w:kern w:val="0"/>
          <w:szCs w:val="21"/>
          <w:u w:val="single"/>
        </w:rPr>
        <w:t>按完成合同产值。</w:t>
      </w:r>
    </w:p>
    <w:p w14:paraId="258E406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12.3.3  单价合同的计量</w:t>
      </w:r>
    </w:p>
    <w:p w14:paraId="5D4A434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关于单价合同计量的约定：</w:t>
      </w:r>
      <w:r>
        <w:rPr>
          <w:rFonts w:hint="eastAsia" w:ascii="宋体" w:hAnsi="宋体" w:eastAsia="宋体" w:cs="Times New Roman"/>
          <w:kern w:val="0"/>
          <w:szCs w:val="21"/>
          <w:u w:val="single"/>
        </w:rPr>
        <w:t>按完成合同产值。</w:t>
      </w:r>
    </w:p>
    <w:p w14:paraId="0504D98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工资性工程款比例约定：</w:t>
      </w:r>
      <w:r>
        <w:rPr>
          <w:rFonts w:hint="eastAsia" w:ascii="宋体" w:hAnsi="宋体" w:eastAsia="宋体" w:cs="Times New Roman"/>
          <w:kern w:val="0"/>
          <w:szCs w:val="21"/>
          <w:u w:val="single"/>
        </w:rPr>
        <w:t>/。</w:t>
      </w:r>
    </w:p>
    <w:p w14:paraId="261A1A3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12.3.4  总价合同的计量</w:t>
      </w:r>
    </w:p>
    <w:p w14:paraId="526C615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关于总价合同计量的约定：</w:t>
      </w:r>
      <w:r>
        <w:rPr>
          <w:rFonts w:hint="eastAsia" w:ascii="宋体" w:hAnsi="宋体" w:eastAsia="宋体" w:cs="Times New Roman"/>
          <w:kern w:val="0"/>
          <w:szCs w:val="21"/>
          <w:u w:val="single"/>
        </w:rPr>
        <w:t>/。</w:t>
      </w:r>
    </w:p>
    <w:p w14:paraId="22DFD4C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工资性工程款比例约定：</w:t>
      </w:r>
      <w:r>
        <w:rPr>
          <w:rFonts w:hint="eastAsia" w:ascii="宋体" w:hAnsi="宋体" w:eastAsia="宋体" w:cs="Times New Roman"/>
          <w:kern w:val="0"/>
          <w:szCs w:val="21"/>
          <w:u w:val="single"/>
        </w:rPr>
        <w:t>/。</w:t>
      </w:r>
    </w:p>
    <w:p w14:paraId="7FF36FC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12.3.5  总价合同采用支付分解表计量支付的，是否适用第12.3.4 项〔总价合同的计量〕约定进行计量：</w:t>
      </w:r>
      <w:r>
        <w:rPr>
          <w:rFonts w:hint="eastAsia" w:ascii="宋体" w:hAnsi="宋体" w:eastAsia="宋体" w:cs="Times New Roman"/>
          <w:kern w:val="0"/>
          <w:szCs w:val="21"/>
          <w:u w:val="single"/>
        </w:rPr>
        <w:t>/。</w:t>
      </w:r>
    </w:p>
    <w:p w14:paraId="3914CF3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12.3.6其他价格形式合同的计量</w:t>
      </w:r>
    </w:p>
    <w:p w14:paraId="6E5E05E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其他价格形式的计量方式和程序：</w:t>
      </w:r>
      <w:r>
        <w:rPr>
          <w:rFonts w:hint="eastAsia" w:ascii="宋体" w:hAnsi="宋体" w:eastAsia="宋体" w:cs="Times New Roman"/>
          <w:kern w:val="0"/>
          <w:szCs w:val="21"/>
          <w:u w:val="single"/>
        </w:rPr>
        <w:t>/。</w:t>
      </w:r>
    </w:p>
    <w:p w14:paraId="2814A2F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12.4  工程进度款支付</w:t>
      </w:r>
    </w:p>
    <w:p w14:paraId="3ABBCA7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12.4.1  付款周期</w:t>
      </w:r>
    </w:p>
    <w:p w14:paraId="515446E6">
      <w:pPr>
        <w:autoSpaceDE w:val="0"/>
        <w:autoSpaceDN w:val="0"/>
        <w:adjustRightInd w:val="0"/>
        <w:spacing w:line="420" w:lineRule="exact"/>
        <w:ind w:firstLine="420" w:firstLineChars="200"/>
        <w:jc w:val="left"/>
        <w:rPr>
          <w:rFonts w:ascii="宋体" w:hAnsi="宋体" w:eastAsia="宋体" w:cs="Times New Roman"/>
          <w:b/>
          <w:bCs/>
          <w:color w:val="000000"/>
          <w:kern w:val="0"/>
          <w:szCs w:val="21"/>
          <w:u w:val="single"/>
        </w:rPr>
      </w:pPr>
      <w:r>
        <w:rPr>
          <w:rFonts w:hint="eastAsia" w:ascii="宋体" w:hAnsi="宋体" w:eastAsia="宋体" w:cs="Times New Roman"/>
          <w:kern w:val="0"/>
          <w:szCs w:val="21"/>
        </w:rPr>
        <w:t>关于付款周期的约定：</w:t>
      </w:r>
      <w:bookmarkStart w:id="412" w:name="ed_2020Y4M20D15H41M56"/>
      <w:bookmarkEnd w:id="412"/>
      <w:r>
        <w:rPr>
          <w:rFonts w:hint="eastAsia" w:ascii="宋体" w:hAnsi="宋体" w:eastAsia="宋体" w:cs="Times New Roman"/>
          <w:b/>
          <w:bCs/>
          <w:color w:val="000000"/>
          <w:kern w:val="0"/>
          <w:szCs w:val="21"/>
          <w:u w:val="single"/>
        </w:rPr>
        <w:t>双方约定的工程款(进度款)支付的方式和时间：合同签订7日内，预付合同价30%作为工程预付款；工程竣工经初步验收合格，凭初验消项单、竣工结算送审资料支付至合同完成产值的80%；工程审计完成且资料归档后，凭审计告知函或审计报告、工程交接单付至审计价的</w:t>
      </w:r>
      <w:r>
        <w:rPr>
          <w:rFonts w:ascii="宋体" w:hAnsi="宋体" w:eastAsia="宋体" w:cs="Times New Roman"/>
          <w:b/>
          <w:bCs/>
          <w:color w:val="000000"/>
          <w:kern w:val="0"/>
          <w:szCs w:val="21"/>
          <w:u w:val="single"/>
        </w:rPr>
        <w:t>98.5</w:t>
      </w:r>
      <w:r>
        <w:rPr>
          <w:rFonts w:hint="eastAsia" w:ascii="宋体" w:hAnsi="宋体" w:eastAsia="宋体" w:cs="Times New Roman"/>
          <w:b/>
          <w:bCs/>
          <w:color w:val="000000"/>
          <w:kern w:val="0"/>
          <w:szCs w:val="21"/>
          <w:u w:val="single"/>
        </w:rPr>
        <w:t>%，剩余1.5%作为质保金于质保期满后无息付清。</w:t>
      </w:r>
    </w:p>
    <w:p w14:paraId="2930BA73">
      <w:pPr>
        <w:autoSpaceDE w:val="0"/>
        <w:autoSpaceDN w:val="0"/>
        <w:adjustRightInd w:val="0"/>
        <w:spacing w:line="420" w:lineRule="exact"/>
        <w:ind w:firstLine="422" w:firstLineChars="200"/>
        <w:jc w:val="left"/>
        <w:rPr>
          <w:rFonts w:ascii="宋体" w:hAnsi="宋体" w:eastAsia="宋体" w:cs="Times New Roman"/>
          <w:b/>
          <w:bCs/>
          <w:color w:val="000000"/>
          <w:kern w:val="0"/>
          <w:szCs w:val="21"/>
          <w:u w:val="single"/>
        </w:rPr>
      </w:pPr>
      <w:r>
        <w:rPr>
          <w:rFonts w:hint="eastAsia" w:ascii="宋体" w:hAnsi="宋体" w:eastAsia="宋体" w:cs="Times New Roman"/>
          <w:b/>
          <w:bCs/>
          <w:color w:val="000000"/>
          <w:kern w:val="0"/>
          <w:szCs w:val="21"/>
          <w:u w:val="single"/>
        </w:rPr>
        <w:t>如达到上述付款条件，乙方向甲方书面提请付款时须向甲方提供等额有效增值税专用发票，否则甲方有权拒绝付款，直至乙方提供有效增值税专用发票为止，由此造成的支付延迟责任及损失由乙方自行承担，</w:t>
      </w:r>
      <w:r>
        <w:rPr>
          <w:rFonts w:hint="eastAsia" w:ascii="宋体" w:hAnsi="宋体" w:eastAsia="宋体" w:cs="Times New Roman"/>
          <w:b/>
          <w:bCs/>
          <w:color w:val="000000"/>
          <w:kern w:val="0"/>
          <w:szCs w:val="21"/>
          <w:highlight w:val="none"/>
          <w:u w:val="single"/>
        </w:rPr>
        <w:t>上述所有款项支付时间以财政资金到位时间为准</w:t>
      </w:r>
      <w:r>
        <w:rPr>
          <w:rFonts w:hint="eastAsia" w:ascii="宋体" w:hAnsi="宋体" w:eastAsia="宋体" w:cs="Times New Roman"/>
          <w:kern w:val="0"/>
          <w:szCs w:val="21"/>
          <w:highlight w:val="none"/>
          <w:u w:val="single"/>
        </w:rPr>
        <w:t>。</w:t>
      </w:r>
    </w:p>
    <w:p w14:paraId="4D6D9FE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12.4.2进度付款申请单的编制</w:t>
      </w:r>
    </w:p>
    <w:p w14:paraId="019C176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关于进度付款申请单编制的约定：</w:t>
      </w:r>
      <w:r>
        <w:rPr>
          <w:rFonts w:hint="eastAsia" w:ascii="宋体" w:hAnsi="宋体" w:eastAsia="宋体" w:cs="Times New Roman"/>
          <w:kern w:val="0"/>
          <w:szCs w:val="21"/>
          <w:u w:val="single"/>
        </w:rPr>
        <w:t>按发包人或监理要求执行。</w:t>
      </w:r>
    </w:p>
    <w:p w14:paraId="5C3A333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12.4.3 进度付款申请单的提交</w:t>
      </w:r>
    </w:p>
    <w:p w14:paraId="3FCAACC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（1）单价合同进度付款申请单提交的约定：</w:t>
      </w:r>
      <w:r>
        <w:rPr>
          <w:rFonts w:hint="eastAsia" w:ascii="宋体" w:hAnsi="宋体" w:eastAsia="宋体" w:cs="Times New Roman"/>
          <w:kern w:val="0"/>
          <w:szCs w:val="21"/>
          <w:u w:val="single"/>
        </w:rPr>
        <w:t>按完成合同产值。</w:t>
      </w:r>
    </w:p>
    <w:p w14:paraId="5D541D2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（2）总价合同进度付款申请单提交的约定：</w:t>
      </w:r>
      <w:r>
        <w:rPr>
          <w:rFonts w:hint="eastAsia" w:ascii="宋体" w:hAnsi="宋体" w:eastAsia="宋体" w:cs="Times New Roman"/>
          <w:kern w:val="0"/>
          <w:szCs w:val="21"/>
          <w:u w:val="single"/>
        </w:rPr>
        <w:t xml:space="preserve"> /。</w:t>
      </w:r>
    </w:p>
    <w:p w14:paraId="7EEF0B20">
      <w:pPr>
        <w:autoSpaceDE w:val="0"/>
        <w:autoSpaceDN w:val="0"/>
        <w:adjustRightInd w:val="0"/>
        <w:spacing w:line="420" w:lineRule="exact"/>
        <w:ind w:left="1146" w:leftChars="200" w:hanging="726" w:hangingChars="346"/>
        <w:jc w:val="left"/>
        <w:rPr>
          <w:rFonts w:ascii="宋体" w:hAnsi="宋体" w:eastAsia="宋体" w:cs="Times New Roman"/>
          <w:kern w:val="0"/>
          <w:szCs w:val="21"/>
          <w:u w:val="single"/>
        </w:rPr>
      </w:pPr>
      <w:r>
        <w:rPr>
          <w:rFonts w:hint="eastAsia" w:ascii="宋体" w:hAnsi="宋体" w:eastAsia="宋体" w:cs="Times New Roman"/>
          <w:kern w:val="0"/>
          <w:szCs w:val="21"/>
        </w:rPr>
        <w:t>（3）其他价格形式合同进度付款申请单提交的约定：</w:t>
      </w:r>
      <w:r>
        <w:rPr>
          <w:rFonts w:hint="eastAsia" w:ascii="宋体" w:hAnsi="宋体" w:eastAsia="宋体" w:cs="Times New Roman"/>
          <w:kern w:val="0"/>
          <w:szCs w:val="21"/>
          <w:u w:val="single"/>
        </w:rPr>
        <w:t xml:space="preserve"> /。</w:t>
      </w:r>
    </w:p>
    <w:p w14:paraId="338AC00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12.4.4  进度款审核和支付</w:t>
      </w:r>
    </w:p>
    <w:p w14:paraId="6CF60B6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（1）监理人审查并报送发包人的期限：</w:t>
      </w:r>
      <w:r>
        <w:rPr>
          <w:rFonts w:hint="eastAsia" w:ascii="宋体" w:hAnsi="宋体" w:eastAsia="宋体" w:cs="Times New Roman"/>
          <w:kern w:val="0"/>
          <w:szCs w:val="21"/>
          <w:u w:val="single"/>
        </w:rPr>
        <w:t>收到申请7天内。</w:t>
      </w:r>
    </w:p>
    <w:p w14:paraId="361FA0F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发包人完成审批并签发进度款支付证书的期限：</w:t>
      </w:r>
      <w:r>
        <w:rPr>
          <w:rFonts w:hint="eastAsia" w:ascii="宋体" w:hAnsi="宋体" w:eastAsia="宋体" w:cs="Times New Roman"/>
          <w:kern w:val="0"/>
          <w:szCs w:val="21"/>
          <w:u w:val="single"/>
        </w:rPr>
        <w:t>收到申请7天内。</w:t>
      </w:r>
    </w:p>
    <w:p w14:paraId="766E1E9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（2）发包人支付进度款的期限：</w:t>
      </w:r>
      <w:r>
        <w:rPr>
          <w:rFonts w:hint="eastAsia" w:ascii="宋体" w:hAnsi="宋体" w:eastAsia="宋体" w:cs="Times New Roman"/>
          <w:kern w:val="0"/>
          <w:szCs w:val="21"/>
          <w:u w:val="single"/>
        </w:rPr>
        <w:t xml:space="preserve">  /  。</w:t>
      </w:r>
    </w:p>
    <w:p w14:paraId="79981C9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发包人逾期支付进度款的违约金的计算方式：</w:t>
      </w:r>
      <w:r>
        <w:rPr>
          <w:rFonts w:hint="eastAsia" w:ascii="宋体" w:hAnsi="宋体" w:eastAsia="宋体" w:cs="Times New Roman"/>
          <w:kern w:val="0"/>
          <w:szCs w:val="21"/>
          <w:u w:val="single"/>
        </w:rPr>
        <w:t xml:space="preserve">  /  。</w:t>
      </w:r>
    </w:p>
    <w:p w14:paraId="5B8D740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12.4.6支付分解表的编制</w:t>
      </w:r>
    </w:p>
    <w:p w14:paraId="5CA9A3D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2、总价合同支付分解表的编制与审批：</w:t>
      </w:r>
      <w:r>
        <w:rPr>
          <w:rFonts w:hint="eastAsia" w:ascii="宋体" w:hAnsi="宋体" w:eastAsia="宋体" w:cs="Times New Roman"/>
          <w:kern w:val="0"/>
          <w:szCs w:val="21"/>
          <w:u w:val="single"/>
        </w:rPr>
        <w:t xml:space="preserve"> /     。</w:t>
      </w:r>
    </w:p>
    <w:p w14:paraId="72FF1A6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3、单价合同的总价项目支付分解表的编制与审批：</w:t>
      </w:r>
      <w:r>
        <w:rPr>
          <w:rFonts w:hint="eastAsia" w:ascii="宋体" w:hAnsi="宋体" w:eastAsia="宋体" w:cs="Times New Roman"/>
          <w:kern w:val="0"/>
          <w:szCs w:val="21"/>
          <w:u w:val="single"/>
        </w:rPr>
        <w:t>按通用条款执行。</w:t>
      </w:r>
    </w:p>
    <w:p w14:paraId="3FA52DE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13验收和工程试车</w:t>
      </w:r>
    </w:p>
    <w:p w14:paraId="3EDE9ED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13.1分部分项工程验收</w:t>
      </w:r>
    </w:p>
    <w:p w14:paraId="7D810A4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13.1.2监理人不能按时进行验收时，应提前24小时提交书面延期要求。</w:t>
      </w:r>
    </w:p>
    <w:p w14:paraId="5A743403">
      <w:pPr>
        <w:autoSpaceDE w:val="0"/>
        <w:autoSpaceDN w:val="0"/>
        <w:adjustRightInd w:val="0"/>
        <w:spacing w:line="420" w:lineRule="exact"/>
        <w:ind w:firstLine="420" w:firstLineChars="200"/>
        <w:jc w:val="left"/>
        <w:rPr>
          <w:rFonts w:ascii="宋体" w:hAnsi="宋体" w:eastAsia="宋体" w:cs="Times New Roman"/>
          <w:b/>
          <w:bCs/>
          <w:kern w:val="0"/>
          <w:szCs w:val="21"/>
          <w:u w:val="single"/>
        </w:rPr>
      </w:pPr>
      <w:r>
        <w:rPr>
          <w:rFonts w:hint="eastAsia" w:ascii="宋体" w:hAnsi="宋体" w:eastAsia="宋体" w:cs="Times New Roman"/>
          <w:kern w:val="0"/>
          <w:szCs w:val="21"/>
        </w:rPr>
        <w:t>关于延期最长不得超过：</w:t>
      </w:r>
      <w:r>
        <w:rPr>
          <w:rFonts w:hint="eastAsia" w:ascii="宋体" w:hAnsi="宋体" w:eastAsia="宋体" w:cs="Times New Roman"/>
          <w:kern w:val="0"/>
          <w:szCs w:val="21"/>
          <w:u w:val="single"/>
        </w:rPr>
        <w:t>48小时。</w:t>
      </w:r>
    </w:p>
    <w:p w14:paraId="36FC386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13.2  竣工验收</w:t>
      </w:r>
    </w:p>
    <w:p w14:paraId="050D5F3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13.2.2  竣工验收程序</w:t>
      </w:r>
    </w:p>
    <w:p w14:paraId="6D0A0AC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关于竣工验收程序的约定：</w:t>
      </w:r>
      <w:r>
        <w:rPr>
          <w:rFonts w:hint="eastAsia" w:ascii="宋体" w:hAnsi="宋体" w:eastAsia="宋体" w:cs="Times New Roman"/>
          <w:kern w:val="0"/>
          <w:szCs w:val="21"/>
          <w:u w:val="single"/>
        </w:rPr>
        <w:t>按通用合同条款规定执行。</w:t>
      </w:r>
    </w:p>
    <w:p w14:paraId="354D748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发包人不按照本项约定组织竣工验收、颁发工程接收证书的违约金的计算方法：</w:t>
      </w:r>
      <w:r>
        <w:rPr>
          <w:rFonts w:hint="eastAsia" w:ascii="宋体" w:hAnsi="宋体" w:eastAsia="宋体" w:cs="Times New Roman"/>
          <w:kern w:val="0"/>
          <w:szCs w:val="21"/>
          <w:u w:val="single"/>
        </w:rPr>
        <w:t>按通用合同条款规定执行。</w:t>
      </w:r>
    </w:p>
    <w:p w14:paraId="777C23E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13.2.5  移交、接收全部与部分工程</w:t>
      </w:r>
    </w:p>
    <w:p w14:paraId="707A2BF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承包人向发包人移交工程的期限：</w:t>
      </w:r>
      <w:r>
        <w:rPr>
          <w:rFonts w:hint="eastAsia" w:ascii="宋体" w:hAnsi="宋体" w:eastAsia="宋体" w:cs="Times New Roman"/>
          <w:kern w:val="0"/>
          <w:szCs w:val="21"/>
          <w:u w:val="single"/>
        </w:rPr>
        <w:t>按通用条款执行 。</w:t>
      </w:r>
    </w:p>
    <w:p w14:paraId="19F63F1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发包人未按本合同约定接收全部或部分工程的，违约金的计算方法为：</w:t>
      </w:r>
      <w:r>
        <w:rPr>
          <w:rFonts w:hint="eastAsia" w:ascii="宋体" w:hAnsi="宋体" w:eastAsia="宋体" w:cs="Times New Roman"/>
          <w:kern w:val="0"/>
          <w:szCs w:val="21"/>
          <w:u w:val="single"/>
        </w:rPr>
        <w:t>/ 。</w:t>
      </w:r>
    </w:p>
    <w:p w14:paraId="16DEEF0F">
      <w:pPr>
        <w:autoSpaceDE w:val="0"/>
        <w:autoSpaceDN w:val="0"/>
        <w:adjustRightInd w:val="0"/>
        <w:spacing w:line="420" w:lineRule="exact"/>
        <w:ind w:left="210" w:leftChars="100"/>
        <w:jc w:val="left"/>
        <w:rPr>
          <w:rFonts w:ascii="宋体" w:hAnsi="宋体" w:eastAsia="宋体" w:cs="Times New Roman"/>
          <w:kern w:val="0"/>
          <w:szCs w:val="21"/>
          <w:u w:val="single"/>
        </w:rPr>
      </w:pPr>
      <w:r>
        <w:rPr>
          <w:rFonts w:hint="eastAsia" w:ascii="宋体" w:hAnsi="宋体" w:eastAsia="宋体" w:cs="Times New Roman"/>
          <w:kern w:val="0"/>
          <w:szCs w:val="21"/>
        </w:rPr>
        <w:t>承包人未按时移交工程的，违约金的计算方法为：</w:t>
      </w:r>
      <w:r>
        <w:rPr>
          <w:rFonts w:hint="eastAsia" w:ascii="宋体" w:hAnsi="宋体" w:eastAsia="宋体" w:cs="Times New Roman"/>
          <w:kern w:val="0"/>
          <w:szCs w:val="21"/>
          <w:u w:val="single"/>
        </w:rPr>
        <w:t>工程竣工验收通过后7日内，承包人须无条件向发包人移交全部工程，逾期移交的，每逾期一日，按合同价的千分之三每天向发包人支付违约金。同时，承包人移交所有工程之前，发包人有权拒绝支付工程款。</w:t>
      </w:r>
    </w:p>
    <w:p w14:paraId="0185D18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13.3  工程试车</w:t>
      </w:r>
    </w:p>
    <w:p w14:paraId="05C472B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13.3.1  试车程序</w:t>
      </w:r>
    </w:p>
    <w:p w14:paraId="5C720A0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工程试车内容：</w:t>
      </w:r>
      <w:r>
        <w:rPr>
          <w:rFonts w:hint="eastAsia" w:ascii="宋体" w:hAnsi="宋体" w:eastAsia="宋体" w:cs="Times New Roman"/>
          <w:kern w:val="0"/>
          <w:szCs w:val="21"/>
          <w:u w:val="single"/>
        </w:rPr>
        <w:t>所有试车费用承包人已在投标报价中包干。</w:t>
      </w:r>
    </w:p>
    <w:p w14:paraId="1DF6DC2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（1）单机无负荷试车费用由承包人承担；</w:t>
      </w:r>
    </w:p>
    <w:p w14:paraId="2268B49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（2）无负荷联动试车费用由承包人承担。</w:t>
      </w:r>
    </w:p>
    <w:p w14:paraId="25E3BD7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13.3.3  投料试车</w:t>
      </w:r>
    </w:p>
    <w:p w14:paraId="2CE8978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关于投料试车相关事项的约定：</w:t>
      </w:r>
      <w:r>
        <w:rPr>
          <w:rFonts w:hint="eastAsia" w:ascii="宋体" w:hAnsi="宋体" w:eastAsia="宋体" w:cs="Times New Roman"/>
          <w:kern w:val="0"/>
          <w:szCs w:val="21"/>
          <w:u w:val="single"/>
        </w:rPr>
        <w:t>按《通用合同条款》执行。</w:t>
      </w:r>
    </w:p>
    <w:p w14:paraId="720A2EA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13.6  竣工退场</w:t>
      </w:r>
    </w:p>
    <w:p w14:paraId="0BAD566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13.6.1竣工退场</w:t>
      </w:r>
    </w:p>
    <w:p w14:paraId="13D85FB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承包人完成竣工退场的期限：</w:t>
      </w:r>
      <w:r>
        <w:rPr>
          <w:rFonts w:hint="eastAsia" w:ascii="宋体" w:hAnsi="宋体" w:eastAsia="宋体" w:cs="Times New Roman"/>
          <w:kern w:val="0"/>
          <w:szCs w:val="21"/>
          <w:u w:val="single"/>
        </w:rPr>
        <w:t>竣工验收后10日内。</w:t>
      </w:r>
    </w:p>
    <w:p w14:paraId="6EDC04E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14  竣工结算</w:t>
      </w:r>
    </w:p>
    <w:p w14:paraId="09B6136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14.1  竣工结算申请</w:t>
      </w:r>
    </w:p>
    <w:p w14:paraId="291404E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承包人提交竣工结算申请单的期限：</w:t>
      </w:r>
      <w:r>
        <w:rPr>
          <w:rFonts w:hint="eastAsia" w:ascii="宋体" w:hAnsi="宋体" w:eastAsia="宋体" w:cs="Times New Roman"/>
          <w:kern w:val="0"/>
          <w:szCs w:val="21"/>
          <w:u w:val="single"/>
        </w:rPr>
        <w:t>按通用条款执行。</w:t>
      </w:r>
    </w:p>
    <w:p w14:paraId="000CF6A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竣工结算申请单应包括的内容：</w:t>
      </w:r>
      <w:r>
        <w:rPr>
          <w:rFonts w:hint="eastAsia" w:ascii="宋体" w:hAnsi="宋体" w:eastAsia="宋体" w:cs="Times New Roman"/>
          <w:kern w:val="0"/>
          <w:szCs w:val="21"/>
          <w:u w:val="single"/>
        </w:rPr>
        <w:t>按通用条款执行。</w:t>
      </w:r>
    </w:p>
    <w:p w14:paraId="0C5E106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14.2  竣工结算审核</w:t>
      </w:r>
    </w:p>
    <w:p w14:paraId="0FA7DC5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发包人审批竣工付款申请单的期限：</w:t>
      </w:r>
      <w:r>
        <w:rPr>
          <w:rFonts w:hint="eastAsia" w:ascii="宋体" w:hAnsi="宋体" w:eastAsia="宋体" w:cs="Times New Roman"/>
          <w:kern w:val="0"/>
          <w:szCs w:val="21"/>
          <w:u w:val="single"/>
        </w:rPr>
        <w:t>工程结算审核报告完成后28天内。</w:t>
      </w:r>
    </w:p>
    <w:p w14:paraId="35BCE17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发包人完成竣工付款的期限：</w:t>
      </w:r>
      <w:r>
        <w:rPr>
          <w:rFonts w:hint="eastAsia" w:ascii="宋体" w:hAnsi="宋体" w:eastAsia="宋体" w:cs="Times New Roman"/>
          <w:color w:val="000000"/>
          <w:kern w:val="0"/>
          <w:szCs w:val="21"/>
          <w:u w:val="single"/>
        </w:rPr>
        <w:t>发包人审批完成竣工付款申请单后28天内</w:t>
      </w:r>
      <w:r>
        <w:rPr>
          <w:rFonts w:hint="eastAsia" w:ascii="宋体" w:hAnsi="宋体" w:eastAsia="宋体" w:cs="Times New Roman"/>
          <w:kern w:val="0"/>
          <w:szCs w:val="21"/>
          <w:u w:val="single"/>
        </w:rPr>
        <w:t>。</w:t>
      </w:r>
    </w:p>
    <w:p w14:paraId="2A21B30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关于竣工付款证书异议部分复核的方式和程序：</w:t>
      </w:r>
      <w:r>
        <w:rPr>
          <w:rFonts w:hint="eastAsia" w:ascii="宋体" w:hAnsi="宋体" w:eastAsia="宋体" w:cs="Times New Roman"/>
          <w:kern w:val="0"/>
          <w:szCs w:val="21"/>
          <w:u w:val="single"/>
        </w:rPr>
        <w:t>发包人向承包人提交审核报告（审计报告）初稿后30 日内，承包人未书面提出异议或异议内容无合法依据的，视为承包人认可该报告数据，审核中介机构可以出具单方审核报告，发包人按审核报告结算工程款。</w:t>
      </w:r>
      <w:r>
        <w:rPr>
          <w:rFonts w:hint="eastAsia" w:ascii="宋体" w:hAnsi="宋体" w:eastAsia="宋体" w:cs="Times New Roman"/>
          <w:color w:val="000000"/>
          <w:kern w:val="0"/>
          <w:szCs w:val="21"/>
          <w:u w:val="single"/>
        </w:rPr>
        <w:t>发包人在取得合规的增值税专用发票后才支付款项。如承包人开具的发票不规范、不合法或涉嫌虚开，发包人有权拒绝付款，且承包人要负赔偿责任，并不能免除其开具合法发票的义务</w:t>
      </w:r>
      <w:r>
        <w:rPr>
          <w:rFonts w:hint="eastAsia" w:ascii="宋体" w:hAnsi="宋体" w:eastAsia="宋体" w:cs="Times New Roman"/>
          <w:kern w:val="0"/>
          <w:szCs w:val="21"/>
          <w:u w:val="single"/>
        </w:rPr>
        <w:t>。</w:t>
      </w:r>
    </w:p>
    <w:p w14:paraId="69DD779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14.4  最终结清</w:t>
      </w:r>
    </w:p>
    <w:p w14:paraId="7041E59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14.4.1  最终结清申请单</w:t>
      </w:r>
    </w:p>
    <w:p w14:paraId="2B110CB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承包人提交最终结清申请单的份数：</w:t>
      </w:r>
      <w:r>
        <w:rPr>
          <w:rFonts w:hint="eastAsia" w:ascii="宋体" w:hAnsi="宋体" w:eastAsia="宋体" w:cs="Times New Roman"/>
          <w:kern w:val="0"/>
          <w:szCs w:val="21"/>
          <w:u w:val="single"/>
        </w:rPr>
        <w:t>四份。</w:t>
      </w:r>
    </w:p>
    <w:p w14:paraId="4820EFD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承包人提交最终结算申请单的期限：</w:t>
      </w:r>
      <w:r>
        <w:rPr>
          <w:rFonts w:hint="eastAsia" w:ascii="宋体" w:hAnsi="宋体" w:eastAsia="宋体" w:cs="Times New Roman"/>
          <w:kern w:val="0"/>
          <w:szCs w:val="21"/>
          <w:u w:val="single"/>
        </w:rPr>
        <w:t>质保期满后。</w:t>
      </w:r>
    </w:p>
    <w:p w14:paraId="329DE98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14.4.2  最终结清证书和支付</w:t>
      </w:r>
    </w:p>
    <w:p w14:paraId="6F1441B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（1）发包人完成最终结清申请单的审批并颁发最终结清证书的期限：</w:t>
      </w:r>
      <w:r>
        <w:rPr>
          <w:rFonts w:hint="eastAsia" w:ascii="宋体" w:hAnsi="宋体" w:eastAsia="宋体" w:cs="Times New Roman"/>
          <w:kern w:val="0"/>
          <w:szCs w:val="21"/>
          <w:u w:val="single"/>
        </w:rPr>
        <w:t>收到申请28天内。</w:t>
      </w:r>
    </w:p>
    <w:p w14:paraId="7729343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（2）发包人完成支付的期限：</w:t>
      </w:r>
      <w:r>
        <w:rPr>
          <w:rFonts w:hint="eastAsia" w:ascii="宋体" w:hAnsi="宋体" w:eastAsia="宋体" w:cs="Times New Roman"/>
          <w:kern w:val="0"/>
          <w:szCs w:val="21"/>
          <w:u w:val="single"/>
        </w:rPr>
        <w:t>申请签发后14天。</w:t>
      </w:r>
    </w:p>
    <w:p w14:paraId="02C4E0D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15缺陷责任期与保修</w:t>
      </w:r>
    </w:p>
    <w:p w14:paraId="55F2A79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15.2  缺陷责任期</w:t>
      </w:r>
    </w:p>
    <w:p w14:paraId="591445F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缺陷责任期的具体期限：</w:t>
      </w:r>
      <w:r>
        <w:rPr>
          <w:rFonts w:hint="eastAsia" w:ascii="宋体" w:hAnsi="宋体" w:eastAsia="宋体" w:cs="Times New Roman"/>
          <w:kern w:val="0"/>
          <w:szCs w:val="21"/>
          <w:u w:val="single"/>
        </w:rPr>
        <w:t xml:space="preserve"> 24 个月。</w:t>
      </w:r>
    </w:p>
    <w:p w14:paraId="79CDEE9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15.3 质量保证金</w:t>
      </w:r>
    </w:p>
    <w:p w14:paraId="6C474EC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关于是否扣留质量保证金的约定：</w:t>
      </w:r>
      <w:r>
        <w:rPr>
          <w:rFonts w:hint="eastAsia" w:ascii="宋体" w:hAnsi="宋体" w:eastAsia="宋体" w:cs="Times New Roman"/>
          <w:kern w:val="0"/>
          <w:szCs w:val="21"/>
          <w:u w:val="single"/>
        </w:rPr>
        <w:t>是。</w:t>
      </w:r>
    </w:p>
    <w:p w14:paraId="06A70BF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在工程项目竣工前，承包人按专用合同条款第3.7条提供履约担保的，发包人不得同时预留工程质量保证金。</w:t>
      </w:r>
    </w:p>
    <w:p w14:paraId="5183594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15.3.1 承包人提供质量保证金的方式</w:t>
      </w:r>
    </w:p>
    <w:p w14:paraId="3703C78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质量保证金采用以下第</w:t>
      </w:r>
      <w:bookmarkStart w:id="413" w:name="ed_2021Y1M29D13H50M57"/>
      <w:bookmarkEnd w:id="413"/>
      <w:bookmarkStart w:id="414" w:name="ed_2021Y1M29D13H50M24"/>
      <w:r>
        <w:rPr>
          <w:rFonts w:hint="eastAsia" w:ascii="宋体" w:hAnsi="宋体" w:eastAsia="宋体" w:cs="Times New Roman"/>
          <w:kern w:val="0"/>
          <w:szCs w:val="21"/>
        </w:rPr>
        <w:t>（</w:t>
      </w:r>
      <w:bookmarkEnd w:id="414"/>
      <w:r>
        <w:rPr>
          <w:rFonts w:hint="eastAsia" w:ascii="宋体" w:hAnsi="宋体" w:eastAsia="宋体" w:cs="Times New Roman"/>
          <w:kern w:val="0"/>
          <w:szCs w:val="21"/>
        </w:rPr>
        <w:t>4）种方式：</w:t>
      </w:r>
    </w:p>
    <w:p w14:paraId="2709CF9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质量保证金保函，保证金额为：</w:t>
      </w:r>
      <w:r>
        <w:rPr>
          <w:rFonts w:hint="eastAsia" w:ascii="宋体" w:hAnsi="宋体" w:eastAsia="宋体" w:cs="Times New Roman"/>
          <w:kern w:val="0"/>
          <w:szCs w:val="21"/>
          <w:u w:val="single"/>
        </w:rPr>
        <w:t>/；</w:t>
      </w:r>
    </w:p>
    <w:p w14:paraId="3E6CEBD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（2）保证保险，保证金额为：</w:t>
      </w:r>
      <w:r>
        <w:rPr>
          <w:rFonts w:hint="eastAsia" w:ascii="宋体" w:hAnsi="宋体" w:eastAsia="宋体" w:cs="Times New Roman"/>
          <w:kern w:val="0"/>
          <w:szCs w:val="21"/>
          <w:u w:val="single"/>
        </w:rPr>
        <w:t>/；</w:t>
      </w:r>
    </w:p>
    <w:p w14:paraId="73A105E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w:t>
      </w:r>
      <w:r>
        <w:rPr>
          <w:rFonts w:hint="eastAsia" w:ascii="宋体" w:hAnsi="宋体" w:eastAsia="宋体" w:cs="Times New Roman"/>
          <w:kern w:val="0"/>
          <w:szCs w:val="21"/>
          <w:u w:val="single"/>
        </w:rPr>
        <w:t>/%</w:t>
      </w:r>
      <w:r>
        <w:rPr>
          <w:rFonts w:hint="eastAsia" w:ascii="宋体" w:hAnsi="宋体" w:eastAsia="宋体" w:cs="Times New Roman"/>
          <w:kern w:val="0"/>
          <w:szCs w:val="21"/>
        </w:rPr>
        <w:t>的工程款；</w:t>
      </w:r>
    </w:p>
    <w:p w14:paraId="036C447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（4）其他方式:</w:t>
      </w:r>
      <w:r>
        <w:rPr>
          <w:rFonts w:hint="eastAsia" w:ascii="宋体" w:hAnsi="宋体" w:eastAsia="宋体" w:cs="Times New Roman"/>
          <w:kern w:val="0"/>
          <w:szCs w:val="21"/>
          <w:u w:val="single"/>
        </w:rPr>
        <w:t>工程结算审核价的1.5%。</w:t>
      </w:r>
    </w:p>
    <w:p w14:paraId="6B8C33A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15.3.2  质量保证金的扣留</w:t>
      </w:r>
    </w:p>
    <w:p w14:paraId="7CA7132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质量保证金的扣留采取以下</w:t>
      </w:r>
      <w:r>
        <w:rPr>
          <w:rFonts w:hint="eastAsia" w:ascii="宋体" w:hAnsi="宋体" w:eastAsia="宋体" w:cs="Times New Roman"/>
          <w:kern w:val="0"/>
          <w:szCs w:val="21"/>
          <w:u w:val="single"/>
        </w:rPr>
        <w:t>第（</w:t>
      </w:r>
      <w:r>
        <w:rPr>
          <w:rFonts w:ascii="宋体" w:hAnsi="宋体" w:eastAsia="宋体" w:cs="Times New Roman"/>
          <w:kern w:val="0"/>
          <w:szCs w:val="21"/>
          <w:u w:val="single"/>
        </w:rPr>
        <w:t>2</w:t>
      </w:r>
      <w:r>
        <w:rPr>
          <w:rFonts w:hint="eastAsia" w:ascii="宋体" w:hAnsi="宋体" w:eastAsia="宋体" w:cs="Times New Roman"/>
          <w:kern w:val="0"/>
          <w:szCs w:val="21"/>
          <w:u w:val="single"/>
        </w:rPr>
        <w:t>）种</w:t>
      </w:r>
      <w:r>
        <w:rPr>
          <w:rFonts w:hint="eastAsia" w:ascii="宋体" w:hAnsi="宋体" w:eastAsia="宋体" w:cs="Times New Roman"/>
          <w:kern w:val="0"/>
          <w:szCs w:val="21"/>
        </w:rPr>
        <w:t>方式：</w:t>
      </w:r>
    </w:p>
    <w:p w14:paraId="30972FC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（1）在支付工程进度款时逐次扣留，在此情形下，质量保证金的计算基数不包括预付款的支付、扣回以及价格调整的金额；</w:t>
      </w:r>
    </w:p>
    <w:p w14:paraId="33102F4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（2）工程竣工结算时一次性扣留质量保证金；</w:t>
      </w:r>
    </w:p>
    <w:p w14:paraId="0EF2455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（3）其他扣留方式:</w:t>
      </w:r>
      <w:r>
        <w:rPr>
          <w:rFonts w:hint="eastAsia" w:ascii="宋体" w:hAnsi="宋体" w:eastAsia="宋体" w:cs="Times New Roman"/>
          <w:kern w:val="0"/>
          <w:szCs w:val="21"/>
          <w:u w:val="single"/>
        </w:rPr>
        <w:t xml:space="preserve">  /  。</w:t>
      </w:r>
    </w:p>
    <w:p w14:paraId="7F5A8A7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关于质量保证金的补充约定：</w:t>
      </w:r>
      <w:r>
        <w:rPr>
          <w:rFonts w:hint="eastAsia" w:ascii="宋体" w:hAnsi="宋体" w:eastAsia="宋体" w:cs="Times New Roman"/>
          <w:kern w:val="0"/>
          <w:szCs w:val="21"/>
          <w:u w:val="single"/>
        </w:rPr>
        <w:t>按《工程质量保修书》执行。</w:t>
      </w:r>
    </w:p>
    <w:p w14:paraId="4F8001F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15.4  保修</w:t>
      </w:r>
    </w:p>
    <w:p w14:paraId="7CD7C2FB">
      <w:pPr>
        <w:autoSpaceDE w:val="0"/>
        <w:autoSpaceDN w:val="0"/>
        <w:adjustRightInd w:val="0"/>
        <w:spacing w:line="420" w:lineRule="exact"/>
        <w:ind w:firstLine="409" w:firstLineChars="195"/>
        <w:jc w:val="left"/>
        <w:rPr>
          <w:rFonts w:ascii="宋体" w:hAnsi="宋体" w:eastAsia="宋体" w:cs="Times New Roman"/>
          <w:kern w:val="0"/>
          <w:szCs w:val="21"/>
        </w:rPr>
      </w:pPr>
      <w:r>
        <w:rPr>
          <w:rFonts w:hint="eastAsia" w:ascii="宋体" w:hAnsi="宋体" w:eastAsia="宋体" w:cs="Times New Roman"/>
          <w:kern w:val="0"/>
          <w:szCs w:val="21"/>
        </w:rPr>
        <w:t>15.4.1保修责任</w:t>
      </w:r>
    </w:p>
    <w:p w14:paraId="7C60131D">
      <w:pPr>
        <w:autoSpaceDE w:val="0"/>
        <w:autoSpaceDN w:val="0"/>
        <w:adjustRightInd w:val="0"/>
        <w:spacing w:line="420" w:lineRule="exact"/>
        <w:ind w:firstLine="409" w:firstLineChars="195"/>
        <w:jc w:val="left"/>
        <w:rPr>
          <w:rFonts w:ascii="宋体" w:hAnsi="宋体" w:eastAsia="宋体" w:cs="Times New Roman"/>
          <w:kern w:val="0"/>
          <w:szCs w:val="21"/>
          <w:u w:val="single"/>
        </w:rPr>
      </w:pPr>
      <w:r>
        <w:rPr>
          <w:rFonts w:hint="eastAsia" w:ascii="宋体" w:hAnsi="宋体" w:eastAsia="宋体" w:cs="Times New Roman"/>
          <w:kern w:val="0"/>
          <w:szCs w:val="21"/>
        </w:rPr>
        <w:t xml:space="preserve">工程保修期为： </w:t>
      </w:r>
      <w:r>
        <w:rPr>
          <w:rFonts w:hint="eastAsia" w:ascii="宋体" w:hAnsi="宋体" w:eastAsia="宋体" w:cs="Times New Roman"/>
          <w:kern w:val="0"/>
          <w:szCs w:val="21"/>
          <w:u w:val="single"/>
        </w:rPr>
        <w:t>详见《工程质量保修书》 。</w:t>
      </w:r>
    </w:p>
    <w:p w14:paraId="0CCA2A29">
      <w:pPr>
        <w:autoSpaceDE w:val="0"/>
        <w:autoSpaceDN w:val="0"/>
        <w:adjustRightInd w:val="0"/>
        <w:spacing w:line="420" w:lineRule="exact"/>
        <w:ind w:firstLine="409" w:firstLineChars="195"/>
        <w:jc w:val="left"/>
        <w:rPr>
          <w:rFonts w:ascii="宋体" w:hAnsi="宋体" w:eastAsia="宋体" w:cs="Times New Roman"/>
          <w:kern w:val="0"/>
          <w:szCs w:val="21"/>
        </w:rPr>
      </w:pPr>
      <w:r>
        <w:rPr>
          <w:rFonts w:hint="eastAsia" w:ascii="宋体" w:hAnsi="宋体" w:eastAsia="宋体" w:cs="Times New Roman"/>
          <w:kern w:val="0"/>
          <w:szCs w:val="21"/>
        </w:rPr>
        <w:t>15.4.3  修复通知</w:t>
      </w:r>
    </w:p>
    <w:p w14:paraId="42C02CA7">
      <w:pPr>
        <w:autoSpaceDE w:val="0"/>
        <w:autoSpaceDN w:val="0"/>
        <w:adjustRightInd w:val="0"/>
        <w:spacing w:line="420" w:lineRule="exact"/>
        <w:ind w:firstLine="409" w:firstLineChars="195"/>
        <w:jc w:val="left"/>
        <w:rPr>
          <w:rFonts w:ascii="宋体" w:hAnsi="宋体" w:eastAsia="宋体" w:cs="Times New Roman"/>
          <w:kern w:val="0"/>
          <w:szCs w:val="21"/>
          <w:u w:val="single"/>
        </w:rPr>
      </w:pPr>
      <w:r>
        <w:rPr>
          <w:rFonts w:hint="eastAsia" w:ascii="宋体" w:hAnsi="宋体" w:eastAsia="宋体" w:cs="Times New Roman"/>
          <w:kern w:val="0"/>
          <w:szCs w:val="21"/>
        </w:rPr>
        <w:t>承包人收到保修通知并到达工程现场的合理时间：</w:t>
      </w:r>
      <w:r>
        <w:rPr>
          <w:rFonts w:hint="eastAsia" w:ascii="宋体" w:hAnsi="宋体" w:eastAsia="宋体" w:cs="Times New Roman"/>
          <w:kern w:val="0"/>
          <w:szCs w:val="21"/>
          <w:u w:val="single"/>
        </w:rPr>
        <w:t>24 小时内。</w:t>
      </w:r>
    </w:p>
    <w:p w14:paraId="617DE0A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  违约</w:t>
      </w:r>
    </w:p>
    <w:p w14:paraId="351F51C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16.1  发包人违约</w:t>
      </w:r>
    </w:p>
    <w:p w14:paraId="0D9168E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16.1.1  发包人违约的情形</w:t>
      </w:r>
    </w:p>
    <w:p w14:paraId="1E73554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发包人违约的其他情形：</w:t>
      </w:r>
      <w:r>
        <w:rPr>
          <w:rFonts w:hint="eastAsia" w:ascii="宋体" w:hAnsi="宋体" w:eastAsia="宋体" w:cs="Times New Roman"/>
          <w:kern w:val="0"/>
          <w:szCs w:val="21"/>
          <w:u w:val="single"/>
        </w:rPr>
        <w:t>按《通用合同条款》执行。</w:t>
      </w:r>
    </w:p>
    <w:p w14:paraId="499BE82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16.1.2发包人违约的责任</w:t>
      </w:r>
    </w:p>
    <w:p w14:paraId="7D24F13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发包人违约责任的承担方式和计算方法：</w:t>
      </w:r>
    </w:p>
    <w:p w14:paraId="0D46797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（1）因发包人原因未能在计划开工日期前7天内下达开工通知的违约责任</w:t>
      </w:r>
      <w:r>
        <w:rPr>
          <w:rFonts w:hint="eastAsia" w:ascii="宋体" w:hAnsi="宋体" w:eastAsia="宋体" w:cs="Times New Roman"/>
          <w:kern w:val="0"/>
          <w:szCs w:val="21"/>
          <w:u w:val="single"/>
        </w:rPr>
        <w:t>：</w:t>
      </w:r>
      <w:r>
        <w:rPr>
          <w:rFonts w:hint="eastAsia" w:ascii="宋体" w:hAnsi="宋体" w:eastAsia="宋体" w:cs="Times New Roman"/>
          <w:color w:val="000000"/>
          <w:kern w:val="0"/>
          <w:szCs w:val="21"/>
          <w:u w:val="single"/>
        </w:rPr>
        <w:t>/</w:t>
      </w:r>
      <w:r>
        <w:rPr>
          <w:rFonts w:hint="eastAsia" w:ascii="宋体" w:hAnsi="宋体" w:eastAsia="宋体" w:cs="Times New Roman"/>
          <w:kern w:val="0"/>
          <w:szCs w:val="21"/>
          <w:u w:val="single"/>
        </w:rPr>
        <w:t>。</w:t>
      </w:r>
    </w:p>
    <w:p w14:paraId="63AD88D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（2）因发包人原因未能按合同约定支付合同价款的违约责任：</w:t>
      </w:r>
      <w:r>
        <w:rPr>
          <w:rFonts w:hint="eastAsia" w:ascii="宋体" w:hAnsi="宋体" w:eastAsia="宋体" w:cs="Times New Roman"/>
          <w:color w:val="000000"/>
          <w:kern w:val="0"/>
          <w:szCs w:val="21"/>
          <w:u w:val="single"/>
        </w:rPr>
        <w:t>/</w:t>
      </w:r>
      <w:r>
        <w:rPr>
          <w:rFonts w:hint="eastAsia" w:ascii="宋体" w:hAnsi="宋体" w:eastAsia="宋体" w:cs="Times New Roman"/>
          <w:kern w:val="0"/>
          <w:szCs w:val="21"/>
          <w:u w:val="single"/>
        </w:rPr>
        <w:t>。</w:t>
      </w:r>
    </w:p>
    <w:p w14:paraId="1367811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（3）发包人违反第10.1款〔变更的范围〕第（2）项约定，自行实施被取消的工作或转由他人实施的违约责任：</w:t>
      </w:r>
      <w:r>
        <w:rPr>
          <w:rFonts w:hint="eastAsia" w:ascii="宋体" w:hAnsi="宋体" w:eastAsia="宋体" w:cs="Times New Roman"/>
          <w:color w:val="000000"/>
          <w:kern w:val="0"/>
          <w:szCs w:val="21"/>
          <w:u w:val="single"/>
        </w:rPr>
        <w:t>/</w:t>
      </w:r>
      <w:r>
        <w:rPr>
          <w:rFonts w:hint="eastAsia" w:ascii="宋体" w:hAnsi="宋体" w:eastAsia="宋体" w:cs="Times New Roman"/>
          <w:kern w:val="0"/>
          <w:szCs w:val="21"/>
          <w:u w:val="single"/>
        </w:rPr>
        <w:t>。</w:t>
      </w:r>
    </w:p>
    <w:p w14:paraId="04CF1E4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（4）发包人提供的材料、工程设备的规格、数量或质量不符合合同约定，或因发包人原因导致交货日期延误或交货地点变更等情况的违约责任：</w:t>
      </w:r>
      <w:r>
        <w:rPr>
          <w:rFonts w:hint="eastAsia" w:ascii="宋体" w:hAnsi="宋体" w:eastAsia="宋体" w:cs="Times New Roman"/>
          <w:color w:val="000000"/>
          <w:kern w:val="0"/>
          <w:szCs w:val="21"/>
          <w:u w:val="single"/>
        </w:rPr>
        <w:t>/</w:t>
      </w:r>
      <w:r>
        <w:rPr>
          <w:rFonts w:hint="eastAsia" w:ascii="宋体" w:hAnsi="宋体" w:eastAsia="宋体" w:cs="Times New Roman"/>
          <w:kern w:val="0"/>
          <w:szCs w:val="21"/>
          <w:u w:val="single"/>
        </w:rPr>
        <w:t>。</w:t>
      </w:r>
    </w:p>
    <w:p w14:paraId="18CA417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（5）因发包人违反合同约定造成暂停施工的违约责任：</w:t>
      </w:r>
      <w:r>
        <w:rPr>
          <w:rFonts w:hint="eastAsia" w:ascii="宋体" w:hAnsi="宋体" w:eastAsia="宋体" w:cs="Times New Roman"/>
          <w:color w:val="000000"/>
          <w:kern w:val="0"/>
          <w:szCs w:val="21"/>
          <w:u w:val="single"/>
        </w:rPr>
        <w:t>/</w:t>
      </w:r>
      <w:r>
        <w:rPr>
          <w:rFonts w:hint="eastAsia" w:ascii="宋体" w:hAnsi="宋体" w:eastAsia="宋体" w:cs="Times New Roman"/>
          <w:kern w:val="0"/>
          <w:szCs w:val="21"/>
          <w:u w:val="single"/>
        </w:rPr>
        <w:t>。</w:t>
      </w:r>
    </w:p>
    <w:p w14:paraId="223F709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（6）发包人无正当理由没有在约定期限内发出复工指示，导致承包人无法复工的违约责任：</w:t>
      </w:r>
      <w:r>
        <w:rPr>
          <w:rFonts w:hint="eastAsia" w:ascii="宋体" w:hAnsi="宋体" w:eastAsia="宋体" w:cs="Times New Roman"/>
          <w:color w:val="000000"/>
          <w:kern w:val="0"/>
          <w:szCs w:val="21"/>
          <w:u w:val="single"/>
        </w:rPr>
        <w:t>/</w:t>
      </w:r>
      <w:r>
        <w:rPr>
          <w:rFonts w:hint="eastAsia" w:ascii="宋体" w:hAnsi="宋体" w:eastAsia="宋体" w:cs="Times New Roman"/>
          <w:kern w:val="0"/>
          <w:szCs w:val="21"/>
          <w:u w:val="single"/>
        </w:rPr>
        <w:t>。</w:t>
      </w:r>
    </w:p>
    <w:p w14:paraId="76CF275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（7）其他：</w:t>
      </w:r>
      <w:r>
        <w:rPr>
          <w:rFonts w:hint="eastAsia" w:ascii="宋体" w:hAnsi="宋体" w:eastAsia="宋体" w:cs="Times New Roman"/>
          <w:color w:val="000000"/>
          <w:kern w:val="0"/>
          <w:szCs w:val="21"/>
          <w:u w:val="single"/>
        </w:rPr>
        <w:t>/</w:t>
      </w:r>
      <w:r>
        <w:rPr>
          <w:rFonts w:hint="eastAsia" w:ascii="宋体" w:hAnsi="宋体" w:eastAsia="宋体" w:cs="Times New Roman"/>
          <w:kern w:val="0"/>
          <w:szCs w:val="21"/>
          <w:u w:val="single"/>
        </w:rPr>
        <w:t>。</w:t>
      </w:r>
    </w:p>
    <w:p w14:paraId="0424662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16.1.3因发包人违约解除合同</w:t>
      </w:r>
    </w:p>
    <w:p w14:paraId="036FDFA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承包人按16.1.1项〔发包人违约的情形〕约定暂停施工满</w:t>
      </w:r>
      <w:r>
        <w:rPr>
          <w:rFonts w:hint="eastAsia" w:ascii="宋体" w:hAnsi="宋体" w:eastAsia="宋体" w:cs="Times New Roman"/>
          <w:color w:val="000000"/>
          <w:kern w:val="0"/>
          <w:szCs w:val="21"/>
        </w:rPr>
        <w:t>/</w:t>
      </w:r>
      <w:r>
        <w:rPr>
          <w:rFonts w:hint="eastAsia" w:ascii="宋体" w:hAnsi="宋体" w:eastAsia="宋体" w:cs="Times New Roman"/>
          <w:kern w:val="0"/>
          <w:szCs w:val="21"/>
        </w:rPr>
        <w:t>天后发包人仍不纠正其违约行为并致使合同目的不能实现的，承包人有权解除合同。</w:t>
      </w:r>
    </w:p>
    <w:p w14:paraId="75E2E7D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16.2承包人违约</w:t>
      </w:r>
    </w:p>
    <w:p w14:paraId="1CE4564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16.2.1  承包人违约的情形</w:t>
      </w:r>
    </w:p>
    <w:p w14:paraId="7ECFC14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承包人违约的其他情形：</w:t>
      </w:r>
      <w:bookmarkStart w:id="415" w:name="ed_2020Y4M20D15H32M20"/>
      <w:bookmarkEnd w:id="415"/>
    </w:p>
    <w:p w14:paraId="0336C3EC">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（1）承包人未按3.1（10）条规定分包渣土运输业务的，承包人应支付合同总价千分之三违约金；</w:t>
      </w:r>
    </w:p>
    <w:p w14:paraId="6706E36A">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（2）承包人未按照3.1（10）条规定加强建筑垃圾处置分包合同履约监管，出现分包单位使用不符合规定的车辆进出施工现场运输建筑垃圾或将建筑垃圾运输至非指定消纳场所等现象的，承包人应支付 20000元/次违约金；</w:t>
      </w:r>
    </w:p>
    <w:p w14:paraId="0E4F3992">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（3）承包人未做好工程垃圾处理出土处置台账的，承包人应支付10000元/次违约金；</w:t>
      </w:r>
    </w:p>
    <w:p w14:paraId="10605B47">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（4）承包人在结算前未查验接纳回执，与运输、处置单位结算相关费用的，承包人应支付20000元 违约金；</w:t>
      </w:r>
    </w:p>
    <w:p w14:paraId="5B9A5FF9">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（5）承包人未按照已备案的渣土处置方案落实渣土处置措施的，承包人应支付20000元/次违约金；</w:t>
      </w:r>
    </w:p>
    <w:p w14:paraId="4C60C19A">
      <w:pPr>
        <w:autoSpaceDE w:val="0"/>
        <w:autoSpaceDN w:val="0"/>
        <w:adjustRightInd w:val="0"/>
        <w:spacing w:line="420" w:lineRule="exact"/>
        <w:ind w:firstLine="422" w:firstLineChars="200"/>
        <w:jc w:val="left"/>
        <w:rPr>
          <w:rFonts w:ascii="宋体" w:hAnsi="宋体" w:eastAsia="宋体" w:cs="Times New Roman"/>
          <w:b/>
          <w:bCs/>
          <w:kern w:val="0"/>
          <w:szCs w:val="21"/>
          <w:u w:val="single"/>
        </w:rPr>
      </w:pPr>
      <w:r>
        <w:rPr>
          <w:rFonts w:hint="eastAsia" w:ascii="宋体" w:hAnsi="宋体" w:eastAsia="宋体" w:cs="Times New Roman"/>
          <w:b/>
          <w:bCs/>
          <w:kern w:val="0"/>
          <w:szCs w:val="21"/>
          <w:u w:val="single"/>
        </w:rPr>
        <w:t>（6）其他：</w:t>
      </w:r>
      <w:r>
        <w:rPr>
          <w:rFonts w:ascii="宋体" w:hAnsi="宋体" w:eastAsia="宋体" w:cs="Times New Roman"/>
          <w:b/>
          <w:bCs/>
          <w:kern w:val="0"/>
          <w:szCs w:val="21"/>
          <w:u w:val="single"/>
        </w:rPr>
        <w:t xml:space="preserve"> </w:t>
      </w:r>
      <w:r>
        <w:rPr>
          <w:rFonts w:hint="eastAsia" w:ascii="宋体" w:hAnsi="宋体" w:eastAsia="宋体" w:cs="Times New Roman"/>
          <w:kern w:val="0"/>
          <w:szCs w:val="21"/>
          <w:u w:val="single"/>
        </w:rPr>
        <w:t>承包人收到发包人的进场通知书3日内组织项目管理人员、施工队伍、机械设备进场，开始施工准备工作； 5日内提交开工报告，逾期不提交，则发包人自第6天起，自动认为开工，并开始计算工期。开工每延迟一天按合同价的千分之三进行支付违约金，累计延迟7天未能开工，发包人有权解除与承包人的施工合同，扣除承包人的全部履约担保作为赔偿，且承包人必须根据发包人要求无条件退场。</w:t>
      </w:r>
    </w:p>
    <w:p w14:paraId="36F00B3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质量等级达不到合同要求等级的：如在工程建设期间因质量原因而发生重大的工程事故，或出现承包人原因造成严重影响使用的工程质量问题，则承包人除承担必须的维修义务及扣除履约担保中的质量担保外，还应负责赔偿由此给发包人造成的全部损失。</w:t>
      </w:r>
    </w:p>
    <w:p w14:paraId="31EBD1E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按照发包人要求无条件服从并做好配合工作，不得延误工期，否则视违约论处。施工中不得擅自改变材料品牌，否则视作违约，将重新调整材料的主材价格，扣罚相应的履约担保金，并一次性支付违约金10000-30000元。</w:t>
      </w:r>
    </w:p>
    <w:p w14:paraId="3EE0E50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自行报价的材料设备，承包人必须确保符合设计要求、国家技术标准和技术规范，且均有质检部门的质量保证书，并满足相关主管部门的检查和竣工验收要求；否则，发包人将有权要求更换或拆除返工，直至合格为止，引起的损失由承包人承担，每发生一次须支付违约金10000-30000元。所有材料设备均是经相关部门认可的，否则发包人有权退回。</w:t>
      </w:r>
    </w:p>
    <w:p w14:paraId="54BF5AB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在发包人指定的时间内向发包人提供符合存档备案要求的竣工图、竣工资料及竣工验收报告等，并有义务配合发包人将该些资料存档备案。否则，每逾期一天，承包人应按照10000元-30000元向发包人支付违约金。</w:t>
      </w:r>
    </w:p>
    <w:p w14:paraId="4C09080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履约担保构成：工程质量保证金占30%，工期保证金占30%，安全文明施工保证金占20%，项目班子到位保证金占20%。履约保证的扣除：按照施工过程中出现的工程质量、工期控制节点、安全文明施工、施工配合、项目班子成员到岗率等问题，由发包人召集相关单位共同实施扣除款项。扣除款项、违约金及损失可在进度款中扣除。</w:t>
      </w:r>
    </w:p>
    <w:p w14:paraId="11851E8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日常工地安全管理如收到发包人上级主管部门及政府监管部门书面警示及以上批评（处罚）的，发生一件须支付违约金1万元，累计超过三次，除支付违约金外，扣除履约保证金的5%。</w:t>
      </w:r>
    </w:p>
    <w:p w14:paraId="3AF0E6C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编制安全文明施工专项方案，详细阐述施工机械、施工用电、临边围护、施工人员安全等项内容，未按时提交符合要求的安全文明专项方案，须支付违约金5000元；未按经批准的施工方案组织施工，须支付违约金3000～5000元。</w:t>
      </w:r>
    </w:p>
    <w:p w14:paraId="46D3246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设置专职安全员，并积极主动配合建设单位、发包人、监理单位的每日安全检查，承包人项目技术负责人或项目经理应参与每周组织的安全生产大检查，无故不参与安全生产检查，每次须支付违约金500元；对查处的安全隐患，未在规定时间内整改到位的，视隐患严重程度支付违约金3000～5000元。</w:t>
      </w:r>
    </w:p>
    <w:p w14:paraId="2D29879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承包人应执行监理通知、工地例会内有关安全文明方面的有关要求，拒不执行或拖延，须支付违约金1000元。</w:t>
      </w:r>
    </w:p>
    <w:p w14:paraId="2D44BBA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发包人每周进行一次安全文明施工现场及资料检查，并下达整改通知单，承包人须在要求时间内及时整改，未及时整改，视相应情况须支付违约金1000～3000元。</w:t>
      </w:r>
    </w:p>
    <w:p w14:paraId="40E0985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承包人现场人员必须佩戴安全帽并扣帽带，发现未带安全帽或扣帽带者，须支付违约金100元/人次。</w:t>
      </w:r>
    </w:p>
    <w:p w14:paraId="0340254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如发生重伤（含）以上人员伤亡及火灾、塌陷等安全事故，承包人按实承担各种损失并由发包人直接在工程进度款中扣除，并扣罚履约保证金的20%。</w:t>
      </w:r>
    </w:p>
    <w:p w14:paraId="4EE3FEE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对在工地作业区违章操作施工机械或违章接水、接电及动用明火者，承包人须支付违约金500元/人次。</w:t>
      </w:r>
    </w:p>
    <w:p w14:paraId="1BB7788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上道工序需经监理验收合格后方可进入下道工序施工。未经监理验收签认，擅自施工下道工序（尤其是隐蔽工程），导致监理拒绝验收则承包人须支付违约金2000元/次。虽报监理验收但验收未合格的，擅自进入下道工序，监理若责令返工则承包人须支付违约金2000元/次。</w:t>
      </w:r>
    </w:p>
    <w:p w14:paraId="6898C1B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施工组织设计及各类专项施工方案要有可操作性，实施过程中施工单位必须严格按经审核批准的方案实施，如未按方案擅自施工的，承包人须支付违约金5000元/次。</w:t>
      </w:r>
    </w:p>
    <w:p w14:paraId="474D6DE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项目经理部必须按施工组织设计和投标书的承诺，安排专职技术人员对工序进行自检，在合格的基础上及时向监理单位报验，报验时必须随带经有关人员签字盖章的相关技术资料。如无自检和专职检，直接上报监理验收的情况，监理可拒绝验收并处承包人须支付违约金500元/次。</w:t>
      </w:r>
    </w:p>
    <w:p w14:paraId="007E865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未经发包人同意，承包人为施工方便擅自变更图纸，支付违约金5000元/次；恶意偷工减料，须支付违约金5000～10000元/次，并无条件返工，对建筑使用功能影响的，承担赔偿责任。</w:t>
      </w:r>
    </w:p>
    <w:p w14:paraId="10F3C93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在监理旁站范围内的部位施工时，应在施工前上报监理，承包人应按要求安排有指挥能力的施工员（至少项目技术管理人员）全过程在现场指挥协调，并及时处理旁站监理指出的问题。在旁站过程中，对监理提出的问题整改不到位，或拒不整改，承包人须支付违约金2000元/次，态度恶劣甚至其他严重不配合情况，须支付违约金2000～5000元/次。</w:t>
      </w:r>
    </w:p>
    <w:p w14:paraId="737BEDA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对发包人和监理工程师巡查过程中指出的问题，须在指定时间内整改到位，无故拖延或企图蒙混过关，须支付违约金1000元/次。对在监理平行检验过程中指出的问题，整改不到位擅自隐蔽须支付违约金1000元/次，对在平行检验过程中不服从管理，态度恶劣，无理纠缠，须支付违约金2000元/次。</w:t>
      </w:r>
    </w:p>
    <w:p w14:paraId="7458B907">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对于发包人和监理巡查中指出的问题，要及时整改，对于同一问题，巡查中监理已指出但到验收过程中仍未整改到位的，须支付违约金1000元/次；对于同一部位或工种，验收三次未通过的，须支付违约金2000元。对拒绝整改甚至拒收发包人或监理单位的指令文件，须支付违约金3000元。</w:t>
      </w:r>
    </w:p>
    <w:p w14:paraId="0ABF414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新材料、新工艺及可能影响观感质量的工序等施工前应先做样板，并经发包人和监理验收合格后方可大面施工。未经发包人和监理单位同意，擅自进入大面施工，须支付违约金5000元，并重新做样板。</w:t>
      </w:r>
    </w:p>
    <w:p w14:paraId="6638CEE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进场材料（包括甲供材料）必须及时报验，经监理验收合格后方能用于工程。否则须支付违约金2000元。因报验不及时造成的工期、质量影响的，由施工单位负责。</w:t>
      </w:r>
    </w:p>
    <w:p w14:paraId="2C66935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项目经理及技术负责人每月在施工现场的时间按专用条款3.2.1条款约定。每月不少于24天，否则每少一天承包人应支付违约金3000元/人。</w:t>
      </w:r>
    </w:p>
    <w:p w14:paraId="7630450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安全施工、文明施工、环境保护、临时设施费四项措施费不得挪作他用，工程实施过程中根据投标文件的承诺，经监理工程师、发包人审查认可后方可计列费用。承包人应确保工程安全进行，如工程实施过程中出现四级以上（含四级）的安全事故，承包人应支付违约金人民币10万元；出现三级以上（含三级）的安全事故，承包人应支付违约金人民币20万元；所有安全事故的全部责任均由承包人承担。</w:t>
      </w:r>
    </w:p>
    <w:p w14:paraId="34D4189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因工程质量不符合规范要求，发包人或监理每发出整改通知书一次，扣除承包人质量保证金总额的10%，以此类推。工程质量整改通知书累计超过3次，发包人有权解除本合同，并要求承包人无条件退场。</w:t>
      </w:r>
    </w:p>
    <w:p w14:paraId="47C15CE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承包人违反本合同项下任一条款所应产生的违约金，发包人均有均在未付工程款中扣除。</w:t>
      </w:r>
    </w:p>
    <w:p w14:paraId="6016259E">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16.2.2  承包人违约的责任</w:t>
      </w:r>
    </w:p>
    <w:p w14:paraId="4CAE097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承包人违约责任的承担方式和计算方法：</w:t>
      </w:r>
      <w:r>
        <w:rPr>
          <w:rFonts w:hint="eastAsia" w:ascii="宋体" w:hAnsi="宋体" w:eastAsia="宋体" w:cs="Times New Roman"/>
          <w:kern w:val="0"/>
          <w:szCs w:val="21"/>
          <w:u w:val="single"/>
        </w:rPr>
        <w:t>合同有约定的按约定执行，未约定的由承包人按照合同价的30%承担违约金。违约金不足以弥补损失的，由承包人负责赔偿给发包人造成的全部损失  。</w:t>
      </w:r>
    </w:p>
    <w:p w14:paraId="4BAE3016">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16.2.3因承包人违约解除合同</w:t>
      </w:r>
    </w:p>
    <w:p w14:paraId="7477A09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关于承包人违约解除合同的特别约定：</w:t>
      </w:r>
      <w:r>
        <w:rPr>
          <w:rFonts w:hint="eastAsia" w:ascii="宋体" w:hAnsi="宋体" w:eastAsia="宋体" w:cs="Times New Roman"/>
          <w:kern w:val="0"/>
          <w:szCs w:val="21"/>
          <w:u w:val="single"/>
        </w:rPr>
        <w:t xml:space="preserve"> 按通用条款约定  。</w:t>
      </w:r>
    </w:p>
    <w:p w14:paraId="2C59CB6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发包人继续使用承包人在施工现场的材料、设备、临时工程、承包人文件和由承包人或以其名义编制的其他文件的费用承担方式：</w:t>
      </w:r>
      <w:r>
        <w:rPr>
          <w:rFonts w:hint="eastAsia" w:ascii="宋体" w:hAnsi="宋体" w:eastAsia="宋体" w:cs="Times New Roman"/>
          <w:kern w:val="0"/>
          <w:szCs w:val="21"/>
          <w:u w:val="single"/>
        </w:rPr>
        <w:t xml:space="preserve"> 双方另行约定。</w:t>
      </w:r>
    </w:p>
    <w:p w14:paraId="0BDE028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1</w:t>
      </w:r>
      <w:r>
        <w:rPr>
          <w:rFonts w:ascii="宋体" w:hAnsi="宋体" w:eastAsia="宋体" w:cs="Times New Roman"/>
          <w:kern w:val="0"/>
          <w:szCs w:val="21"/>
          <w:u w:val="single"/>
        </w:rPr>
        <w:t>6.3</w:t>
      </w:r>
      <w:r>
        <w:rPr>
          <w:rFonts w:hint="eastAsia" w:ascii="宋体" w:hAnsi="宋体" w:eastAsia="宋体" w:cs="Times New Roman"/>
          <w:kern w:val="0"/>
          <w:szCs w:val="21"/>
          <w:u w:val="single"/>
        </w:rPr>
        <w:t>兜底的违约责任条款</w:t>
      </w:r>
    </w:p>
    <w:p w14:paraId="5F136DB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任意一方违法合同约定的，违约方还需赔偿守约方为实现债权支出的全部费用（包括但不限于律师费、保全担保费等）。</w:t>
      </w:r>
    </w:p>
    <w:p w14:paraId="07644D8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17不可抗力</w:t>
      </w:r>
    </w:p>
    <w:p w14:paraId="2DFE5A2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17.1  不可抗力的确认</w:t>
      </w:r>
    </w:p>
    <w:p w14:paraId="11D47F0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除通用合同条款约定的不可抗力事件之外，视为不可抗力的其他情形：</w:t>
      </w:r>
      <w:r>
        <w:rPr>
          <w:rFonts w:hint="eastAsia" w:ascii="宋体" w:hAnsi="宋体" w:eastAsia="宋体" w:cs="Times New Roman"/>
          <w:kern w:val="0"/>
          <w:szCs w:val="21"/>
          <w:u w:val="single"/>
        </w:rPr>
        <w:t>按通用条款执行。</w:t>
      </w:r>
    </w:p>
    <w:p w14:paraId="2019FD9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17.4  因不可抗力解除合同</w:t>
      </w:r>
    </w:p>
    <w:p w14:paraId="20237A9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合同解除后，发包人应在商定或确定发包人应支付款项后28天内完成款项的支付。</w:t>
      </w:r>
    </w:p>
    <w:p w14:paraId="0C2253F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18保险</w:t>
      </w:r>
    </w:p>
    <w:p w14:paraId="1BFCCAA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18.1  工程保险</w:t>
      </w:r>
    </w:p>
    <w:p w14:paraId="4BF850C6">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关于工程保险的特别约定：</w:t>
      </w:r>
      <w:r>
        <w:rPr>
          <w:rFonts w:hint="eastAsia" w:ascii="宋体" w:hAnsi="宋体" w:eastAsia="宋体" w:cs="Times New Roman"/>
          <w:kern w:val="0"/>
          <w:szCs w:val="21"/>
          <w:u w:val="single"/>
        </w:rPr>
        <w:t>承包人根据所在地管理部门的要求自行投保（包括办理好职工的人身伤亡保险）所需一切保险，费用自理。</w:t>
      </w:r>
    </w:p>
    <w:p w14:paraId="103F946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18.3  其他保险</w:t>
      </w:r>
    </w:p>
    <w:p w14:paraId="722DBA9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关于其他保险的约定：</w:t>
      </w:r>
      <w:r>
        <w:rPr>
          <w:rFonts w:hint="eastAsia" w:ascii="宋体" w:hAnsi="宋体" w:eastAsia="宋体" w:cs="Times New Roman"/>
          <w:color w:val="000000"/>
          <w:kern w:val="0"/>
          <w:szCs w:val="21"/>
          <w:u w:val="single"/>
        </w:rPr>
        <w:t>承包人为建设工程和施工场地内的自有人员设备及第三方生命财产办理保险并支付保险费用，费用已包含在总价内。施工期间所发生的一切与本工程有关的承包人的人员、财产等意外伤害、损失，由承包人承担全部责任和费用</w:t>
      </w:r>
      <w:r>
        <w:rPr>
          <w:rFonts w:hint="eastAsia" w:ascii="宋体" w:hAnsi="宋体" w:eastAsia="宋体" w:cs="Times New Roman"/>
          <w:kern w:val="0"/>
          <w:szCs w:val="21"/>
          <w:u w:val="single"/>
        </w:rPr>
        <w:t>。</w:t>
      </w:r>
    </w:p>
    <w:p w14:paraId="5F5B2384">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承包人是否应为其施工设备等办理财产保险：</w:t>
      </w:r>
      <w:r>
        <w:rPr>
          <w:rFonts w:hint="eastAsia" w:ascii="宋体" w:hAnsi="宋体" w:eastAsia="宋体" w:cs="Times New Roman"/>
          <w:color w:val="000000"/>
          <w:kern w:val="0"/>
          <w:szCs w:val="21"/>
          <w:u w:val="single"/>
        </w:rPr>
        <w:t>是</w:t>
      </w:r>
      <w:r>
        <w:rPr>
          <w:rFonts w:hint="eastAsia" w:ascii="宋体" w:hAnsi="宋体" w:eastAsia="宋体" w:cs="Times New Roman"/>
          <w:kern w:val="0"/>
          <w:szCs w:val="21"/>
          <w:u w:val="single"/>
        </w:rPr>
        <w:t>。</w:t>
      </w:r>
    </w:p>
    <w:p w14:paraId="466E6CD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18.7 通知义务</w:t>
      </w:r>
    </w:p>
    <w:p w14:paraId="155392C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关于变更保险合同时的通知义务的约定：</w:t>
      </w:r>
      <w:r>
        <w:rPr>
          <w:rFonts w:hint="eastAsia" w:ascii="宋体" w:hAnsi="宋体" w:eastAsia="宋体" w:cs="Times New Roman"/>
          <w:kern w:val="0"/>
          <w:szCs w:val="21"/>
          <w:u w:val="single"/>
        </w:rPr>
        <w:t>按通用条款执行。</w:t>
      </w:r>
    </w:p>
    <w:p w14:paraId="4231FDF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20争议解决</w:t>
      </w:r>
    </w:p>
    <w:p w14:paraId="12E885E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20.3  争议评审</w:t>
      </w:r>
    </w:p>
    <w:p w14:paraId="7D65F051">
      <w:pPr>
        <w:autoSpaceDE w:val="0"/>
        <w:autoSpaceDN w:val="0"/>
        <w:adjustRightInd w:val="0"/>
        <w:spacing w:line="420" w:lineRule="exact"/>
        <w:ind w:firstLine="315" w:firstLineChars="150"/>
        <w:jc w:val="left"/>
        <w:rPr>
          <w:rFonts w:ascii="宋体" w:hAnsi="宋体" w:eastAsia="宋体" w:cs="Times New Roman"/>
          <w:kern w:val="0"/>
          <w:szCs w:val="21"/>
          <w:u w:val="single"/>
        </w:rPr>
      </w:pPr>
      <w:r>
        <w:rPr>
          <w:rFonts w:hint="eastAsia" w:ascii="宋体" w:hAnsi="宋体" w:eastAsia="宋体" w:cs="Times New Roman"/>
          <w:kern w:val="0"/>
          <w:szCs w:val="21"/>
        </w:rPr>
        <w:t>合同当事人是否同意将工程争议提交争议评审小组决定：</w:t>
      </w:r>
      <w:r>
        <w:rPr>
          <w:rFonts w:hint="eastAsia" w:ascii="宋体" w:hAnsi="宋体" w:eastAsia="宋体" w:cs="Times New Roman"/>
          <w:kern w:val="0"/>
          <w:szCs w:val="21"/>
          <w:u w:val="single"/>
        </w:rPr>
        <w:t>否。</w:t>
      </w:r>
    </w:p>
    <w:p w14:paraId="4AC147D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20.3.1  争议评审小组的确定</w:t>
      </w:r>
    </w:p>
    <w:p w14:paraId="73EECD9C">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争议评审小组成员的确定：</w:t>
      </w:r>
      <w:r>
        <w:rPr>
          <w:rFonts w:hint="eastAsia" w:ascii="宋体" w:hAnsi="宋体" w:eastAsia="宋体" w:cs="Times New Roman"/>
          <w:kern w:val="0"/>
          <w:szCs w:val="21"/>
          <w:u w:val="single"/>
        </w:rPr>
        <w:t xml:space="preserve">  /  。</w:t>
      </w:r>
    </w:p>
    <w:p w14:paraId="2B52E231">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选定争议评审员的期限：</w:t>
      </w:r>
      <w:r>
        <w:rPr>
          <w:rFonts w:hint="eastAsia" w:ascii="宋体" w:hAnsi="宋体" w:eastAsia="宋体" w:cs="Times New Roman"/>
          <w:kern w:val="0"/>
          <w:szCs w:val="21"/>
          <w:u w:val="single"/>
        </w:rPr>
        <w:t xml:space="preserve">  /  。</w:t>
      </w:r>
    </w:p>
    <w:p w14:paraId="25BC49D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争议评审小组成员的报酬承担方式：</w:t>
      </w:r>
      <w:r>
        <w:rPr>
          <w:rFonts w:hint="eastAsia" w:ascii="宋体" w:hAnsi="宋体" w:eastAsia="宋体" w:cs="Times New Roman"/>
          <w:kern w:val="0"/>
          <w:szCs w:val="21"/>
          <w:u w:val="single"/>
        </w:rPr>
        <w:t xml:space="preserve">  /  。</w:t>
      </w:r>
    </w:p>
    <w:p w14:paraId="4369A75B">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其他事项的约定：</w:t>
      </w:r>
      <w:r>
        <w:rPr>
          <w:rFonts w:hint="eastAsia" w:ascii="宋体" w:hAnsi="宋体" w:eastAsia="宋体" w:cs="Times New Roman"/>
          <w:kern w:val="0"/>
          <w:szCs w:val="21"/>
          <w:u w:val="single"/>
        </w:rPr>
        <w:t xml:space="preserve">  /  。</w:t>
      </w:r>
    </w:p>
    <w:p w14:paraId="4746174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20.3.2  争议评审小组的决定</w:t>
      </w:r>
    </w:p>
    <w:p w14:paraId="66F750E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合同当事人关于本项的约定：</w:t>
      </w:r>
      <w:r>
        <w:rPr>
          <w:rFonts w:hint="eastAsia" w:ascii="宋体" w:hAnsi="宋体" w:eastAsia="宋体" w:cs="Times New Roman"/>
          <w:kern w:val="0"/>
          <w:szCs w:val="21"/>
          <w:u w:val="single"/>
        </w:rPr>
        <w:t xml:space="preserve">  /  。</w:t>
      </w:r>
    </w:p>
    <w:p w14:paraId="38E8DAB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20.4  仲裁或诉讼</w:t>
      </w:r>
    </w:p>
    <w:p w14:paraId="1A41C7B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因合同及合同有关事项发生的争议，双方当事人一致同意依法向工程所在地人民法院起诉解决。</w:t>
      </w:r>
    </w:p>
    <w:p w14:paraId="68972B6A">
      <w:pPr>
        <w:autoSpaceDE w:val="0"/>
        <w:autoSpaceDN w:val="0"/>
        <w:adjustRightInd w:val="0"/>
        <w:spacing w:line="420" w:lineRule="exact"/>
        <w:ind w:firstLine="417" w:firstLineChars="198"/>
        <w:jc w:val="left"/>
        <w:rPr>
          <w:rFonts w:ascii="宋体" w:hAnsi="宋体" w:eastAsia="宋体" w:cs="Times New Roman"/>
          <w:b/>
          <w:bCs/>
          <w:kern w:val="0"/>
          <w:szCs w:val="21"/>
        </w:rPr>
      </w:pPr>
      <w:r>
        <w:rPr>
          <w:rFonts w:hint="eastAsia" w:ascii="宋体" w:hAnsi="宋体" w:eastAsia="宋体" w:cs="Times New Roman"/>
          <w:b/>
          <w:bCs/>
          <w:kern w:val="0"/>
          <w:szCs w:val="21"/>
        </w:rPr>
        <w:t>21．其他补充事项的约定</w:t>
      </w:r>
    </w:p>
    <w:p w14:paraId="0A697859">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1）合同双方确认，本合同及本合同约定的其它文件组成部分中的各项约定都是通过法定招标过程形成的合法成果，不存在与其它资料实质性内容不一致的条款。如果存在任何此类不一致的条款，也不是合同双方真实意思的表示，对合同双方不构成任何合同或法律约束力。合同双方也不存在且也不会签订任何背离本合同实质性内容的其他协议或合同。如果存在或签订背离本合同实质性内容的其他协议或合同，也不是合同双方真实意思的表示，对合同双方不构成任何合同或法律约束力。</w:t>
      </w:r>
    </w:p>
    <w:p w14:paraId="0B3AA4F5">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 xml:space="preserve">（2）承包人未按合同约定履行义务，造成工程质量低下、进度迟缓、管理混乱，发包人有权终止合同，没收全部履约保证金，承包人赔偿发包人因此造成的损失且依法承担相应的法律责任；对工程实施出现的质量问题，承包人未按投标报价项目名称描述施工，承包人按照发包人的要求限期无条件地进行整改，达到质量要求；因整改造成工期延误，由承包人承担一切责任。每发生一起并罚扣履约保证金总额的10%，以此类推，直至扣完。承包人收到开工报告后，立即进行开工，无正当理由不得延误开工日期，在招标人提出警告后7天仍不开工，视作违约，没收履约保证金。 </w:t>
      </w:r>
    </w:p>
    <w:p w14:paraId="63D70E70">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3）工程设计变更、施工联系单签证和管理，按《西湖区政府投资项目工程变更管理办法（西政办【2016】99号）》、《杭州市建设工程工程量清单计价实施细则》文件相关规定执行；所有经发包人确认的工程变更所涉及工程费用调整，在竣工结算审计后按规定支付或扣除。针对本次招标范围内的内容，承包方所列措施费用不得进行调整。结算审核追加费用由承包人承担，其审核追加费由承包人按照浙价服[2009]84号文件承担。</w:t>
      </w:r>
    </w:p>
    <w:p w14:paraId="4C51CACF">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4）工程施工中所采取的必要技术措施费用，如：保证居民正常通行的临时道路和施工用施工便道；按当地要求及时清运土方和建筑垃圾；施工排水；生活污水临时排放设施及维护；自行发电设备等技术措施费用已计入在投标保价中，不另行增加。</w:t>
      </w:r>
    </w:p>
    <w:p w14:paraId="78DE4528">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（5）文明施工及安全保证：</w:t>
      </w:r>
    </w:p>
    <w:p w14:paraId="02100732">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①承包人必须严格遵守和执行中华人民共和国《安全生产法》、《建设工程安全生产条例》、《浙江省安全生产条例》等规定，应严格按杭州市建筑工程安全文明施工标准化现场管理规定的要求进行文明施工，该费用将计入合同总价。在双方签订合同前，必须同时签订“安全生产协议书”。</w:t>
      </w:r>
    </w:p>
    <w:p w14:paraId="3BF0BFCA">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②因安全文明施工不到位，每投诉一次，扣除承包人安全文明施工保证金总额的10%，以此类推，直至扣完。</w:t>
      </w:r>
    </w:p>
    <w:p w14:paraId="1DFA6BD3">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（6）竣工验收合格10日内，承包人必须清除活动用房及工棚，在清除之前不得转让他人。</w:t>
      </w:r>
    </w:p>
    <w:p w14:paraId="2B07340D">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（7）承包人应按有关法律、法规规定及时支付民工工资，不得无故拖延。</w:t>
      </w:r>
    </w:p>
    <w:p w14:paraId="4E64AB9E">
      <w:pPr>
        <w:autoSpaceDE w:val="0"/>
        <w:autoSpaceDN w:val="0"/>
        <w:adjustRightInd w:val="0"/>
        <w:spacing w:line="420" w:lineRule="exact"/>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（8）承包人需在工程验收前与发包人签署工程质量保修书方可申请工程验收，工程质量保修书作为施工合同附件。</w:t>
      </w:r>
    </w:p>
    <w:p w14:paraId="07189E86">
      <w:pPr>
        <w:autoSpaceDE w:val="0"/>
        <w:autoSpaceDN w:val="0"/>
        <w:adjustRightInd w:val="0"/>
        <w:ind w:firstLine="420" w:firstLineChars="200"/>
        <w:jc w:val="left"/>
        <w:rPr>
          <w:rFonts w:ascii="宋体" w:hAnsi="宋体" w:eastAsia="宋体" w:cs="Times New Roman"/>
          <w:kern w:val="0"/>
          <w:szCs w:val="21"/>
          <w:u w:val="single"/>
        </w:rPr>
      </w:pPr>
    </w:p>
    <w:p w14:paraId="56863127">
      <w:pPr>
        <w:autoSpaceDE w:val="0"/>
        <w:autoSpaceDN w:val="0"/>
        <w:adjustRightInd w:val="0"/>
        <w:ind w:firstLine="420" w:firstLineChars="200"/>
        <w:jc w:val="left"/>
        <w:rPr>
          <w:rFonts w:ascii="宋体" w:hAnsi="宋体" w:eastAsia="宋体" w:cs="Times New Roman"/>
          <w:kern w:val="0"/>
          <w:szCs w:val="21"/>
        </w:rPr>
      </w:pPr>
    </w:p>
    <w:p w14:paraId="75188107">
      <w:pPr>
        <w:adjustRightInd w:val="0"/>
        <w:spacing w:line="420" w:lineRule="atLeast"/>
        <w:jc w:val="left"/>
        <w:textAlignment w:val="baseline"/>
        <w:rPr>
          <w:rFonts w:ascii="等线" w:hAnsi="等线" w:eastAsia="等线" w:cs="Times New Roman"/>
          <w:kern w:val="0"/>
          <w:szCs w:val="20"/>
        </w:rPr>
      </w:pPr>
    </w:p>
    <w:p w14:paraId="481ADDE8">
      <w:pPr>
        <w:autoSpaceDE w:val="0"/>
        <w:autoSpaceDN w:val="0"/>
        <w:adjustRightInd w:val="0"/>
        <w:ind w:firstLine="420" w:firstLineChars="200"/>
        <w:jc w:val="left"/>
        <w:rPr>
          <w:rFonts w:ascii="宋体" w:hAnsi="宋体" w:eastAsia="宋体" w:cs="Times New Roman"/>
          <w:kern w:val="0"/>
          <w:szCs w:val="21"/>
        </w:rPr>
      </w:pPr>
    </w:p>
    <w:p w14:paraId="49BFEA91">
      <w:pPr>
        <w:autoSpaceDE w:val="0"/>
        <w:autoSpaceDN w:val="0"/>
        <w:adjustRightInd w:val="0"/>
        <w:ind w:firstLine="420" w:firstLineChars="200"/>
        <w:jc w:val="left"/>
        <w:rPr>
          <w:rFonts w:ascii="宋体" w:hAnsi="宋体" w:eastAsia="宋体" w:cs="Times New Roman"/>
          <w:kern w:val="0"/>
          <w:szCs w:val="21"/>
        </w:rPr>
      </w:pPr>
    </w:p>
    <w:p w14:paraId="62969BFC">
      <w:pPr>
        <w:adjustRightInd w:val="0"/>
        <w:spacing w:line="420" w:lineRule="atLeast"/>
        <w:jc w:val="left"/>
        <w:textAlignment w:val="baseline"/>
        <w:rPr>
          <w:rFonts w:ascii="等线" w:hAnsi="等线" w:eastAsia="等线" w:cs="Times New Roman"/>
          <w:kern w:val="0"/>
          <w:szCs w:val="20"/>
        </w:rPr>
      </w:pPr>
    </w:p>
    <w:p w14:paraId="46EAEE2F">
      <w:pPr>
        <w:autoSpaceDE w:val="0"/>
        <w:autoSpaceDN w:val="0"/>
        <w:adjustRightInd w:val="0"/>
        <w:ind w:firstLine="420" w:firstLineChars="200"/>
        <w:jc w:val="left"/>
        <w:rPr>
          <w:rFonts w:ascii="宋体" w:hAnsi="宋体" w:eastAsia="宋体" w:cs="Times New Roman"/>
          <w:kern w:val="0"/>
          <w:szCs w:val="21"/>
        </w:rPr>
      </w:pPr>
    </w:p>
    <w:p w14:paraId="3DC06089">
      <w:pPr>
        <w:autoSpaceDE w:val="0"/>
        <w:autoSpaceDN w:val="0"/>
        <w:adjustRightInd w:val="0"/>
        <w:ind w:firstLine="420" w:firstLineChars="200"/>
        <w:jc w:val="left"/>
        <w:rPr>
          <w:rFonts w:ascii="宋体" w:hAnsi="宋体" w:eastAsia="宋体" w:cs="Times New Roman"/>
          <w:kern w:val="0"/>
          <w:szCs w:val="21"/>
        </w:rPr>
      </w:pPr>
    </w:p>
    <w:p w14:paraId="18442AFC">
      <w:pPr>
        <w:autoSpaceDE w:val="0"/>
        <w:autoSpaceDN w:val="0"/>
        <w:adjustRightInd w:val="0"/>
        <w:ind w:firstLine="420" w:firstLineChars="200"/>
        <w:jc w:val="left"/>
        <w:rPr>
          <w:rFonts w:ascii="宋体" w:hAnsi="宋体" w:eastAsia="宋体" w:cs="Times New Roman"/>
          <w:kern w:val="0"/>
          <w:szCs w:val="21"/>
        </w:rPr>
      </w:pPr>
    </w:p>
    <w:p w14:paraId="0A31B667">
      <w:pPr>
        <w:autoSpaceDE w:val="0"/>
        <w:autoSpaceDN w:val="0"/>
        <w:adjustRightInd w:val="0"/>
        <w:ind w:firstLine="420" w:firstLineChars="200"/>
        <w:jc w:val="left"/>
        <w:rPr>
          <w:rFonts w:ascii="宋体" w:hAnsi="宋体" w:eastAsia="宋体" w:cs="Times New Roman"/>
          <w:kern w:val="0"/>
          <w:szCs w:val="21"/>
        </w:rPr>
      </w:pPr>
    </w:p>
    <w:p w14:paraId="302F5161">
      <w:pPr>
        <w:autoSpaceDE w:val="0"/>
        <w:autoSpaceDN w:val="0"/>
        <w:adjustRightInd w:val="0"/>
        <w:ind w:firstLine="420" w:firstLineChars="200"/>
        <w:jc w:val="left"/>
        <w:rPr>
          <w:rFonts w:ascii="宋体" w:hAnsi="宋体" w:eastAsia="宋体" w:cs="Times New Roman"/>
          <w:kern w:val="0"/>
          <w:szCs w:val="21"/>
        </w:rPr>
      </w:pPr>
    </w:p>
    <w:p w14:paraId="2251C66A">
      <w:pPr>
        <w:autoSpaceDE w:val="0"/>
        <w:autoSpaceDN w:val="0"/>
        <w:adjustRightInd w:val="0"/>
        <w:ind w:firstLine="420" w:firstLineChars="200"/>
        <w:jc w:val="left"/>
        <w:rPr>
          <w:rFonts w:ascii="宋体" w:hAnsi="宋体" w:eastAsia="宋体" w:cs="Times New Roman"/>
          <w:kern w:val="0"/>
          <w:szCs w:val="21"/>
        </w:rPr>
      </w:pPr>
    </w:p>
    <w:p w14:paraId="3635919F">
      <w:pPr>
        <w:autoSpaceDE w:val="0"/>
        <w:autoSpaceDN w:val="0"/>
        <w:adjustRightInd w:val="0"/>
        <w:ind w:firstLine="420" w:firstLineChars="200"/>
        <w:jc w:val="left"/>
        <w:rPr>
          <w:rFonts w:ascii="宋体" w:hAnsi="宋体" w:eastAsia="宋体" w:cs="Times New Roman"/>
          <w:kern w:val="0"/>
          <w:szCs w:val="21"/>
        </w:rPr>
      </w:pPr>
    </w:p>
    <w:p w14:paraId="402054AF">
      <w:pPr>
        <w:autoSpaceDE w:val="0"/>
        <w:autoSpaceDN w:val="0"/>
        <w:adjustRightInd w:val="0"/>
        <w:ind w:firstLine="420" w:firstLineChars="200"/>
        <w:jc w:val="left"/>
        <w:rPr>
          <w:rFonts w:ascii="宋体" w:hAnsi="宋体" w:eastAsia="宋体" w:cs="Times New Roman"/>
          <w:kern w:val="0"/>
          <w:szCs w:val="21"/>
        </w:rPr>
      </w:pPr>
    </w:p>
    <w:p w14:paraId="335D81D6">
      <w:pPr>
        <w:autoSpaceDE w:val="0"/>
        <w:autoSpaceDN w:val="0"/>
        <w:adjustRightInd w:val="0"/>
        <w:ind w:firstLine="420" w:firstLineChars="200"/>
        <w:jc w:val="left"/>
        <w:rPr>
          <w:rFonts w:ascii="宋体" w:hAnsi="宋体" w:eastAsia="宋体" w:cs="Times New Roman"/>
          <w:kern w:val="0"/>
          <w:szCs w:val="21"/>
        </w:rPr>
      </w:pPr>
    </w:p>
    <w:p w14:paraId="254AB46D">
      <w:pPr>
        <w:autoSpaceDE w:val="0"/>
        <w:autoSpaceDN w:val="0"/>
        <w:adjustRightInd w:val="0"/>
        <w:ind w:firstLine="420" w:firstLineChars="200"/>
        <w:jc w:val="left"/>
        <w:rPr>
          <w:rFonts w:ascii="宋体" w:hAnsi="宋体" w:eastAsia="宋体" w:cs="Times New Roman"/>
          <w:kern w:val="0"/>
          <w:szCs w:val="21"/>
        </w:rPr>
      </w:pPr>
    </w:p>
    <w:p w14:paraId="3DF89097">
      <w:pPr>
        <w:autoSpaceDE w:val="0"/>
        <w:autoSpaceDN w:val="0"/>
        <w:adjustRightInd w:val="0"/>
        <w:jc w:val="left"/>
        <w:rPr>
          <w:rFonts w:ascii="宋体" w:hAnsi="宋体" w:eastAsia="宋体" w:cs="Times New Roman"/>
          <w:kern w:val="0"/>
          <w:szCs w:val="21"/>
        </w:rPr>
      </w:pPr>
    </w:p>
    <w:p w14:paraId="03CFC647">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附件：</w:t>
      </w:r>
    </w:p>
    <w:p w14:paraId="54F647F7">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一、协议书</w:t>
      </w:r>
    </w:p>
    <w:p w14:paraId="0733B516">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1.承包人承揽工程项目一览表</w:t>
      </w:r>
    </w:p>
    <w:p w14:paraId="65B6C51D">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二、专用合同条款</w:t>
      </w:r>
    </w:p>
    <w:p w14:paraId="2FB4C540">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2.发包人供应材料设备一览表</w:t>
      </w:r>
    </w:p>
    <w:p w14:paraId="44FFE850">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3.工程质量保修书</w:t>
      </w:r>
    </w:p>
    <w:p w14:paraId="28802A84">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4.主要建设工程文件目录</w:t>
      </w:r>
    </w:p>
    <w:p w14:paraId="57EBE18B">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5.承包人用于本工程施工的机械设备表</w:t>
      </w:r>
    </w:p>
    <w:p w14:paraId="0F38784D">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6.承包人主要施工管理人员表</w:t>
      </w:r>
    </w:p>
    <w:p w14:paraId="046BDD8B">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7.分包人主要施工管理人员表</w:t>
      </w:r>
    </w:p>
    <w:p w14:paraId="391EE07C">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8.履约担保格式</w:t>
      </w:r>
    </w:p>
    <w:p w14:paraId="7096B75B">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9.预付款担保格式</w:t>
      </w:r>
    </w:p>
    <w:p w14:paraId="610514BE">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10.支付担保格式（财政性投资项目按相关规定执行）</w:t>
      </w:r>
    </w:p>
    <w:p w14:paraId="1AF9B270">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11.暂估价一览表</w:t>
      </w:r>
    </w:p>
    <w:p w14:paraId="783F3E5D">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w:t>
      </w:r>
      <w:r>
        <w:rPr>
          <w:rFonts w:ascii="宋体" w:hAnsi="宋体" w:eastAsia="宋体" w:cs="Times New Roman"/>
          <w:kern w:val="0"/>
          <w:szCs w:val="21"/>
        </w:rPr>
        <w:t>2</w:t>
      </w:r>
      <w:r>
        <w:rPr>
          <w:rFonts w:hint="eastAsia" w:ascii="宋体" w:hAnsi="宋体" w:eastAsia="宋体" w:cs="Times New Roman"/>
          <w:kern w:val="0"/>
          <w:szCs w:val="21"/>
        </w:rPr>
        <w:t>.廉政责任书格式</w:t>
      </w:r>
    </w:p>
    <w:p w14:paraId="2D486129">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w:t>
      </w:r>
      <w:r>
        <w:rPr>
          <w:rFonts w:ascii="宋体" w:hAnsi="宋体" w:eastAsia="宋体" w:cs="Times New Roman"/>
          <w:kern w:val="0"/>
          <w:szCs w:val="21"/>
        </w:rPr>
        <w:t>3</w:t>
      </w:r>
      <w:r>
        <w:rPr>
          <w:rFonts w:hint="eastAsia" w:ascii="宋体" w:hAnsi="宋体" w:eastAsia="宋体" w:cs="Times New Roman"/>
          <w:kern w:val="0"/>
          <w:szCs w:val="21"/>
        </w:rPr>
        <w:t>.安全生产管理责任书</w:t>
      </w:r>
    </w:p>
    <w:p w14:paraId="66A123FB">
      <w:pPr>
        <w:autoSpaceDE w:val="0"/>
        <w:autoSpaceDN w:val="0"/>
        <w:adjustRightInd w:val="0"/>
        <w:jc w:val="left"/>
        <w:rPr>
          <w:rFonts w:ascii="宋体" w:hAnsi="宋体" w:eastAsia="宋体" w:cs="Times New Roman"/>
          <w:kern w:val="0"/>
          <w:szCs w:val="21"/>
          <w:u w:val="single"/>
        </w:rPr>
        <w:sectPr>
          <w:pgSz w:w="11849" w:h="16781"/>
          <w:pgMar w:top="1440" w:right="1083" w:bottom="1440" w:left="1083" w:header="720" w:footer="720" w:gutter="0"/>
          <w:cols w:space="720" w:num="1"/>
          <w:docGrid w:type="lines" w:linePitch="578" w:charSpace="0"/>
        </w:sectPr>
      </w:pPr>
    </w:p>
    <w:p w14:paraId="1B23DBCA">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附件：1</w:t>
      </w:r>
    </w:p>
    <w:p w14:paraId="49B38310">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承包人承揽工程项目一览表</w:t>
      </w:r>
    </w:p>
    <w:p w14:paraId="06B7DCE0">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tbl>
      <w:tblPr>
        <w:tblStyle w:val="62"/>
        <w:tblW w:w="91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41"/>
        <w:gridCol w:w="949"/>
        <w:gridCol w:w="1090"/>
        <w:gridCol w:w="797"/>
        <w:gridCol w:w="451"/>
        <w:gridCol w:w="793"/>
        <w:gridCol w:w="1146"/>
        <w:gridCol w:w="1223"/>
        <w:gridCol w:w="756"/>
        <w:gridCol w:w="796"/>
      </w:tblGrid>
      <w:tr w14:paraId="06458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56A12B9B">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单位工程名称</w:t>
            </w:r>
          </w:p>
        </w:tc>
        <w:tc>
          <w:tcPr>
            <w:tcW w:w="949" w:type="dxa"/>
            <w:tcBorders>
              <w:top w:val="single" w:color="auto" w:sz="4" w:space="0"/>
              <w:left w:val="nil"/>
              <w:bottom w:val="single" w:color="auto" w:sz="4" w:space="0"/>
              <w:right w:val="single" w:color="auto" w:sz="4" w:space="0"/>
            </w:tcBorders>
            <w:vAlign w:val="center"/>
          </w:tcPr>
          <w:p w14:paraId="0012B5ED">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建设规模</w:t>
            </w:r>
          </w:p>
        </w:tc>
        <w:tc>
          <w:tcPr>
            <w:tcW w:w="1090" w:type="dxa"/>
            <w:tcBorders>
              <w:top w:val="single" w:color="auto" w:sz="4" w:space="0"/>
              <w:left w:val="nil"/>
              <w:bottom w:val="single" w:color="auto" w:sz="4" w:space="0"/>
              <w:right w:val="single" w:color="auto" w:sz="4" w:space="0"/>
            </w:tcBorders>
            <w:vAlign w:val="center"/>
          </w:tcPr>
          <w:p w14:paraId="68D9E5B0">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建筑面积(m</w:t>
            </w:r>
            <w:r>
              <w:rPr>
                <w:rFonts w:hint="eastAsia" w:ascii="宋体" w:hAnsi="宋体" w:eastAsia="宋体" w:cs="Times New Roman"/>
                <w:b/>
                <w:bCs/>
                <w:kern w:val="0"/>
                <w:szCs w:val="21"/>
                <w:vertAlign w:val="superscript"/>
              </w:rPr>
              <w:t>2</w:t>
            </w:r>
            <w:r>
              <w:rPr>
                <w:rFonts w:hint="eastAsia" w:ascii="宋体" w:hAnsi="宋体" w:eastAsia="宋体" w:cs="Times New Roman"/>
                <w:b/>
                <w:bCs/>
                <w:kern w:val="0"/>
                <w:szCs w:val="21"/>
              </w:rPr>
              <w:t>)</w:t>
            </w:r>
          </w:p>
        </w:tc>
        <w:tc>
          <w:tcPr>
            <w:tcW w:w="797" w:type="dxa"/>
            <w:tcBorders>
              <w:top w:val="single" w:color="auto" w:sz="4" w:space="0"/>
              <w:left w:val="nil"/>
              <w:bottom w:val="single" w:color="auto" w:sz="4" w:space="0"/>
              <w:right w:val="single" w:color="auto" w:sz="4" w:space="0"/>
            </w:tcBorders>
            <w:vAlign w:val="center"/>
          </w:tcPr>
          <w:p w14:paraId="0A4D91AB">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结构形式</w:t>
            </w:r>
          </w:p>
        </w:tc>
        <w:tc>
          <w:tcPr>
            <w:tcW w:w="451" w:type="dxa"/>
            <w:tcBorders>
              <w:top w:val="single" w:color="auto" w:sz="4" w:space="0"/>
              <w:left w:val="nil"/>
              <w:bottom w:val="single" w:color="auto" w:sz="4" w:space="0"/>
              <w:right w:val="single" w:color="auto" w:sz="4" w:space="0"/>
            </w:tcBorders>
            <w:vAlign w:val="center"/>
          </w:tcPr>
          <w:p w14:paraId="5CDA107B">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层数</w:t>
            </w:r>
          </w:p>
        </w:tc>
        <w:tc>
          <w:tcPr>
            <w:tcW w:w="793" w:type="dxa"/>
            <w:tcBorders>
              <w:top w:val="single" w:color="auto" w:sz="4" w:space="0"/>
              <w:left w:val="nil"/>
              <w:bottom w:val="single" w:color="auto" w:sz="4" w:space="0"/>
              <w:right w:val="single" w:color="auto" w:sz="4" w:space="0"/>
            </w:tcBorders>
            <w:vAlign w:val="center"/>
          </w:tcPr>
          <w:p w14:paraId="34B723D6">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生产能力</w:t>
            </w:r>
          </w:p>
        </w:tc>
        <w:tc>
          <w:tcPr>
            <w:tcW w:w="1146" w:type="dxa"/>
            <w:tcBorders>
              <w:top w:val="single" w:color="auto" w:sz="4" w:space="0"/>
              <w:left w:val="nil"/>
              <w:bottom w:val="single" w:color="auto" w:sz="4" w:space="0"/>
              <w:right w:val="single" w:color="auto" w:sz="4" w:space="0"/>
            </w:tcBorders>
            <w:vAlign w:val="center"/>
          </w:tcPr>
          <w:p w14:paraId="70E6AAD2">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设备安装内容</w:t>
            </w:r>
          </w:p>
        </w:tc>
        <w:tc>
          <w:tcPr>
            <w:tcW w:w="1223" w:type="dxa"/>
            <w:tcBorders>
              <w:top w:val="single" w:color="auto" w:sz="4" w:space="0"/>
              <w:left w:val="nil"/>
              <w:bottom w:val="single" w:color="auto" w:sz="4" w:space="0"/>
              <w:right w:val="single" w:color="auto" w:sz="4" w:space="0"/>
            </w:tcBorders>
            <w:vAlign w:val="center"/>
          </w:tcPr>
          <w:p w14:paraId="5C343193">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合同价格（元）</w:t>
            </w:r>
          </w:p>
        </w:tc>
        <w:tc>
          <w:tcPr>
            <w:tcW w:w="756" w:type="dxa"/>
            <w:tcBorders>
              <w:top w:val="single" w:color="auto" w:sz="4" w:space="0"/>
              <w:left w:val="nil"/>
              <w:bottom w:val="single" w:color="auto" w:sz="4" w:space="0"/>
              <w:right w:val="single" w:color="auto" w:sz="4" w:space="0"/>
            </w:tcBorders>
            <w:vAlign w:val="center"/>
          </w:tcPr>
          <w:p w14:paraId="595EB4D5">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开工日期</w:t>
            </w:r>
          </w:p>
        </w:tc>
        <w:tc>
          <w:tcPr>
            <w:tcW w:w="796" w:type="dxa"/>
            <w:tcBorders>
              <w:top w:val="single" w:color="auto" w:sz="4" w:space="0"/>
              <w:left w:val="nil"/>
              <w:bottom w:val="single" w:color="auto" w:sz="4" w:space="0"/>
              <w:right w:val="single" w:color="auto" w:sz="4" w:space="0"/>
            </w:tcBorders>
            <w:vAlign w:val="center"/>
          </w:tcPr>
          <w:p w14:paraId="214C46D1">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竣工日期</w:t>
            </w:r>
          </w:p>
        </w:tc>
      </w:tr>
      <w:tr w14:paraId="6B3AD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347CA4A8">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2CC589CA">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3143CC2C">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10FC79E5">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40DD0BBA">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7B17A79F">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558682C9">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245434F5">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4D806FF9">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53547C8C">
            <w:pPr>
              <w:autoSpaceDE w:val="0"/>
              <w:autoSpaceDN w:val="0"/>
              <w:adjustRightInd w:val="0"/>
              <w:spacing w:line="320" w:lineRule="exact"/>
              <w:jc w:val="center"/>
              <w:rPr>
                <w:rFonts w:ascii="宋体" w:hAnsi="宋体" w:eastAsia="宋体" w:cs="Times New Roman"/>
                <w:kern w:val="0"/>
                <w:szCs w:val="21"/>
              </w:rPr>
            </w:pPr>
          </w:p>
        </w:tc>
      </w:tr>
      <w:tr w14:paraId="70F5A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4C9FE6A3">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2D5FEC22">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53F2A3ED">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1E879131">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51D9D353">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2C8CFEC8">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3816FA26">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6487662F">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396805DF">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66B60BF5">
            <w:pPr>
              <w:autoSpaceDE w:val="0"/>
              <w:autoSpaceDN w:val="0"/>
              <w:adjustRightInd w:val="0"/>
              <w:spacing w:line="320" w:lineRule="exact"/>
              <w:jc w:val="center"/>
              <w:rPr>
                <w:rFonts w:ascii="宋体" w:hAnsi="宋体" w:eastAsia="宋体" w:cs="Times New Roman"/>
                <w:kern w:val="0"/>
                <w:szCs w:val="21"/>
              </w:rPr>
            </w:pPr>
          </w:p>
        </w:tc>
      </w:tr>
      <w:tr w14:paraId="3A5D8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1C450D79">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20229E2C">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6B1AAED6">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79B23210">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4437866D">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212CCBC1">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4E9181E1">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3F307B9D">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42031EEF">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0CC69C0E">
            <w:pPr>
              <w:autoSpaceDE w:val="0"/>
              <w:autoSpaceDN w:val="0"/>
              <w:adjustRightInd w:val="0"/>
              <w:spacing w:line="320" w:lineRule="exact"/>
              <w:jc w:val="center"/>
              <w:rPr>
                <w:rFonts w:ascii="宋体" w:hAnsi="宋体" w:eastAsia="宋体" w:cs="Times New Roman"/>
                <w:kern w:val="0"/>
                <w:szCs w:val="21"/>
              </w:rPr>
            </w:pPr>
          </w:p>
        </w:tc>
      </w:tr>
      <w:tr w14:paraId="2E404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312E83BB">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60807DBD">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3C64AF93">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7DB0742A">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75656052">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4D2D2DBD">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5940808D">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1A9099B6">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38659197">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2B8F29B8">
            <w:pPr>
              <w:autoSpaceDE w:val="0"/>
              <w:autoSpaceDN w:val="0"/>
              <w:adjustRightInd w:val="0"/>
              <w:spacing w:line="320" w:lineRule="exact"/>
              <w:jc w:val="center"/>
              <w:rPr>
                <w:rFonts w:ascii="宋体" w:hAnsi="宋体" w:eastAsia="宋体" w:cs="Times New Roman"/>
                <w:kern w:val="0"/>
                <w:szCs w:val="21"/>
              </w:rPr>
            </w:pPr>
          </w:p>
        </w:tc>
      </w:tr>
      <w:tr w14:paraId="04E48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72C44CAD">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6FBE878C">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7B630C0D">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21D25B37">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1E0216A3">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512B33E5">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0172B961">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293E61E8">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593EC671">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584FB521">
            <w:pPr>
              <w:autoSpaceDE w:val="0"/>
              <w:autoSpaceDN w:val="0"/>
              <w:adjustRightInd w:val="0"/>
              <w:spacing w:line="320" w:lineRule="exact"/>
              <w:jc w:val="center"/>
              <w:rPr>
                <w:rFonts w:ascii="宋体" w:hAnsi="宋体" w:eastAsia="宋体" w:cs="Times New Roman"/>
                <w:kern w:val="0"/>
                <w:szCs w:val="21"/>
              </w:rPr>
            </w:pPr>
          </w:p>
        </w:tc>
      </w:tr>
      <w:tr w14:paraId="546B7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4F155186">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7FE55C57">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1D146D91">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33BC262C">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54113F4C">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34B6343B">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4CFE8B4F">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5C33214D">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30916B61">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55D12B00">
            <w:pPr>
              <w:autoSpaceDE w:val="0"/>
              <w:autoSpaceDN w:val="0"/>
              <w:adjustRightInd w:val="0"/>
              <w:spacing w:line="320" w:lineRule="exact"/>
              <w:jc w:val="center"/>
              <w:rPr>
                <w:rFonts w:ascii="宋体" w:hAnsi="宋体" w:eastAsia="宋体" w:cs="Times New Roman"/>
                <w:kern w:val="0"/>
                <w:szCs w:val="21"/>
              </w:rPr>
            </w:pPr>
          </w:p>
        </w:tc>
      </w:tr>
      <w:tr w14:paraId="0DE08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391ECC41">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6D8EA789">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14BE2F61">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5F2C5269">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42626C7F">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54E9229F">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0EE2097A">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10924D63">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57AF8E0E">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04E986AE">
            <w:pPr>
              <w:autoSpaceDE w:val="0"/>
              <w:autoSpaceDN w:val="0"/>
              <w:adjustRightInd w:val="0"/>
              <w:spacing w:line="320" w:lineRule="exact"/>
              <w:jc w:val="center"/>
              <w:rPr>
                <w:rFonts w:ascii="宋体" w:hAnsi="宋体" w:eastAsia="宋体" w:cs="Times New Roman"/>
                <w:kern w:val="0"/>
                <w:szCs w:val="21"/>
              </w:rPr>
            </w:pPr>
          </w:p>
        </w:tc>
      </w:tr>
      <w:tr w14:paraId="22342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78DA9F3C">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761BAA25">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1E5B3645">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2C3DAD0A">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55242668">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66E25273">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1381EA7C">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7A0D4F51">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6BA8C013">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43DD773D">
            <w:pPr>
              <w:autoSpaceDE w:val="0"/>
              <w:autoSpaceDN w:val="0"/>
              <w:adjustRightInd w:val="0"/>
              <w:spacing w:line="320" w:lineRule="exact"/>
              <w:jc w:val="center"/>
              <w:rPr>
                <w:rFonts w:ascii="宋体" w:hAnsi="宋体" w:eastAsia="宋体" w:cs="Times New Roman"/>
                <w:kern w:val="0"/>
                <w:szCs w:val="21"/>
              </w:rPr>
            </w:pPr>
          </w:p>
        </w:tc>
      </w:tr>
      <w:tr w14:paraId="25373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46AF9B5D">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59E81F5E">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39083829">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0B5F3CA9">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5FA6E8F9">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21448089">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5C03C6B5">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17EAFDC6">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2D165D9D">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4E120ADA">
            <w:pPr>
              <w:autoSpaceDE w:val="0"/>
              <w:autoSpaceDN w:val="0"/>
              <w:adjustRightInd w:val="0"/>
              <w:spacing w:line="320" w:lineRule="exact"/>
              <w:jc w:val="center"/>
              <w:rPr>
                <w:rFonts w:ascii="宋体" w:hAnsi="宋体" w:eastAsia="宋体" w:cs="Times New Roman"/>
                <w:kern w:val="0"/>
                <w:szCs w:val="21"/>
              </w:rPr>
            </w:pPr>
          </w:p>
        </w:tc>
      </w:tr>
      <w:tr w14:paraId="70AE6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53428F03">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3B755908">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1FE553D0">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3BCD061D">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43705F2D">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4900169E">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23707A00">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2D051A3B">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37CC272B">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2E077F61">
            <w:pPr>
              <w:autoSpaceDE w:val="0"/>
              <w:autoSpaceDN w:val="0"/>
              <w:adjustRightInd w:val="0"/>
              <w:spacing w:line="320" w:lineRule="exact"/>
              <w:jc w:val="center"/>
              <w:rPr>
                <w:rFonts w:ascii="宋体" w:hAnsi="宋体" w:eastAsia="宋体" w:cs="Times New Roman"/>
                <w:kern w:val="0"/>
                <w:szCs w:val="21"/>
              </w:rPr>
            </w:pPr>
          </w:p>
        </w:tc>
      </w:tr>
      <w:tr w14:paraId="0F465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2"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14:paraId="6EEAE682">
            <w:pPr>
              <w:autoSpaceDE w:val="0"/>
              <w:autoSpaceDN w:val="0"/>
              <w:adjustRightInd w:val="0"/>
              <w:spacing w:line="320" w:lineRule="exact"/>
              <w:jc w:val="center"/>
              <w:rPr>
                <w:rFonts w:ascii="宋体" w:hAnsi="宋体" w:eastAsia="宋体" w:cs="Times New Roman"/>
                <w:kern w:val="0"/>
                <w:szCs w:val="21"/>
              </w:rPr>
            </w:pPr>
          </w:p>
        </w:tc>
        <w:tc>
          <w:tcPr>
            <w:tcW w:w="949" w:type="dxa"/>
            <w:tcBorders>
              <w:top w:val="single" w:color="auto" w:sz="4" w:space="0"/>
              <w:left w:val="nil"/>
              <w:bottom w:val="single" w:color="auto" w:sz="4" w:space="0"/>
              <w:right w:val="single" w:color="auto" w:sz="4" w:space="0"/>
            </w:tcBorders>
            <w:vAlign w:val="center"/>
          </w:tcPr>
          <w:p w14:paraId="449A0409">
            <w:pPr>
              <w:autoSpaceDE w:val="0"/>
              <w:autoSpaceDN w:val="0"/>
              <w:adjustRightInd w:val="0"/>
              <w:spacing w:line="320" w:lineRule="exact"/>
              <w:jc w:val="center"/>
              <w:rPr>
                <w:rFonts w:ascii="宋体" w:hAnsi="宋体" w:eastAsia="宋体" w:cs="Times New Roman"/>
                <w:kern w:val="0"/>
                <w:szCs w:val="21"/>
              </w:rPr>
            </w:pPr>
          </w:p>
        </w:tc>
        <w:tc>
          <w:tcPr>
            <w:tcW w:w="1090" w:type="dxa"/>
            <w:tcBorders>
              <w:top w:val="single" w:color="auto" w:sz="4" w:space="0"/>
              <w:left w:val="nil"/>
              <w:bottom w:val="single" w:color="auto" w:sz="4" w:space="0"/>
              <w:right w:val="single" w:color="auto" w:sz="4" w:space="0"/>
            </w:tcBorders>
            <w:vAlign w:val="center"/>
          </w:tcPr>
          <w:p w14:paraId="63999C04">
            <w:pPr>
              <w:autoSpaceDE w:val="0"/>
              <w:autoSpaceDN w:val="0"/>
              <w:adjustRightInd w:val="0"/>
              <w:spacing w:line="320" w:lineRule="exact"/>
              <w:jc w:val="center"/>
              <w:rPr>
                <w:rFonts w:ascii="宋体" w:hAnsi="宋体" w:eastAsia="宋体" w:cs="Times New Roman"/>
                <w:kern w:val="0"/>
                <w:szCs w:val="21"/>
              </w:rPr>
            </w:pPr>
          </w:p>
        </w:tc>
        <w:tc>
          <w:tcPr>
            <w:tcW w:w="797" w:type="dxa"/>
            <w:tcBorders>
              <w:top w:val="single" w:color="auto" w:sz="4" w:space="0"/>
              <w:left w:val="nil"/>
              <w:bottom w:val="single" w:color="auto" w:sz="4" w:space="0"/>
              <w:right w:val="single" w:color="auto" w:sz="4" w:space="0"/>
            </w:tcBorders>
            <w:vAlign w:val="center"/>
          </w:tcPr>
          <w:p w14:paraId="170341FD">
            <w:pPr>
              <w:autoSpaceDE w:val="0"/>
              <w:autoSpaceDN w:val="0"/>
              <w:adjustRightInd w:val="0"/>
              <w:spacing w:line="320" w:lineRule="exact"/>
              <w:jc w:val="center"/>
              <w:rPr>
                <w:rFonts w:ascii="宋体" w:hAnsi="宋体" w:eastAsia="宋体" w:cs="Times New Roman"/>
                <w:kern w:val="0"/>
                <w:szCs w:val="21"/>
              </w:rPr>
            </w:pPr>
          </w:p>
        </w:tc>
        <w:tc>
          <w:tcPr>
            <w:tcW w:w="451" w:type="dxa"/>
            <w:tcBorders>
              <w:top w:val="single" w:color="auto" w:sz="4" w:space="0"/>
              <w:left w:val="nil"/>
              <w:bottom w:val="single" w:color="auto" w:sz="4" w:space="0"/>
              <w:right w:val="single" w:color="auto" w:sz="4" w:space="0"/>
            </w:tcBorders>
            <w:vAlign w:val="center"/>
          </w:tcPr>
          <w:p w14:paraId="7307360A">
            <w:pPr>
              <w:autoSpaceDE w:val="0"/>
              <w:autoSpaceDN w:val="0"/>
              <w:adjustRightInd w:val="0"/>
              <w:spacing w:line="320" w:lineRule="exact"/>
              <w:jc w:val="center"/>
              <w:rPr>
                <w:rFonts w:ascii="宋体" w:hAnsi="宋体" w:eastAsia="宋体" w:cs="Times New Roman"/>
                <w:kern w:val="0"/>
                <w:szCs w:val="21"/>
              </w:rPr>
            </w:pPr>
          </w:p>
        </w:tc>
        <w:tc>
          <w:tcPr>
            <w:tcW w:w="793" w:type="dxa"/>
            <w:tcBorders>
              <w:top w:val="single" w:color="auto" w:sz="4" w:space="0"/>
              <w:left w:val="nil"/>
              <w:bottom w:val="single" w:color="auto" w:sz="4" w:space="0"/>
              <w:right w:val="single" w:color="auto" w:sz="4" w:space="0"/>
            </w:tcBorders>
            <w:vAlign w:val="center"/>
          </w:tcPr>
          <w:p w14:paraId="76B10122">
            <w:pPr>
              <w:autoSpaceDE w:val="0"/>
              <w:autoSpaceDN w:val="0"/>
              <w:adjustRightInd w:val="0"/>
              <w:spacing w:line="320" w:lineRule="exact"/>
              <w:jc w:val="center"/>
              <w:rPr>
                <w:rFonts w:ascii="宋体" w:hAnsi="宋体" w:eastAsia="宋体" w:cs="Times New Roman"/>
                <w:kern w:val="0"/>
                <w:szCs w:val="21"/>
              </w:rPr>
            </w:pPr>
          </w:p>
        </w:tc>
        <w:tc>
          <w:tcPr>
            <w:tcW w:w="1146" w:type="dxa"/>
            <w:tcBorders>
              <w:top w:val="single" w:color="auto" w:sz="4" w:space="0"/>
              <w:left w:val="nil"/>
              <w:bottom w:val="single" w:color="auto" w:sz="4" w:space="0"/>
              <w:right w:val="single" w:color="auto" w:sz="4" w:space="0"/>
            </w:tcBorders>
            <w:vAlign w:val="center"/>
          </w:tcPr>
          <w:p w14:paraId="7F857DF1">
            <w:pPr>
              <w:autoSpaceDE w:val="0"/>
              <w:autoSpaceDN w:val="0"/>
              <w:adjustRightInd w:val="0"/>
              <w:spacing w:line="320" w:lineRule="exact"/>
              <w:jc w:val="center"/>
              <w:rPr>
                <w:rFonts w:ascii="宋体" w:hAnsi="宋体" w:eastAsia="宋体" w:cs="Times New Roman"/>
                <w:kern w:val="0"/>
                <w:szCs w:val="21"/>
              </w:rPr>
            </w:pPr>
          </w:p>
        </w:tc>
        <w:tc>
          <w:tcPr>
            <w:tcW w:w="1223" w:type="dxa"/>
            <w:tcBorders>
              <w:top w:val="single" w:color="auto" w:sz="4" w:space="0"/>
              <w:left w:val="nil"/>
              <w:bottom w:val="single" w:color="auto" w:sz="4" w:space="0"/>
              <w:right w:val="single" w:color="auto" w:sz="4" w:space="0"/>
            </w:tcBorders>
            <w:vAlign w:val="center"/>
          </w:tcPr>
          <w:p w14:paraId="3F3D8BD9">
            <w:pPr>
              <w:autoSpaceDE w:val="0"/>
              <w:autoSpaceDN w:val="0"/>
              <w:adjustRightInd w:val="0"/>
              <w:spacing w:line="320" w:lineRule="exact"/>
              <w:jc w:val="center"/>
              <w:rPr>
                <w:rFonts w:ascii="宋体" w:hAnsi="宋体" w:eastAsia="宋体" w:cs="Times New Roman"/>
                <w:kern w:val="0"/>
                <w:szCs w:val="21"/>
              </w:rPr>
            </w:pPr>
          </w:p>
        </w:tc>
        <w:tc>
          <w:tcPr>
            <w:tcW w:w="756" w:type="dxa"/>
            <w:tcBorders>
              <w:top w:val="single" w:color="auto" w:sz="4" w:space="0"/>
              <w:left w:val="nil"/>
              <w:bottom w:val="single" w:color="auto" w:sz="4" w:space="0"/>
              <w:right w:val="single" w:color="auto" w:sz="4" w:space="0"/>
            </w:tcBorders>
            <w:vAlign w:val="center"/>
          </w:tcPr>
          <w:p w14:paraId="372AE311">
            <w:pPr>
              <w:autoSpaceDE w:val="0"/>
              <w:autoSpaceDN w:val="0"/>
              <w:adjustRightInd w:val="0"/>
              <w:spacing w:line="320" w:lineRule="exact"/>
              <w:jc w:val="center"/>
              <w:rPr>
                <w:rFonts w:ascii="宋体" w:hAnsi="宋体" w:eastAsia="宋体" w:cs="Times New Roman"/>
                <w:kern w:val="0"/>
                <w:szCs w:val="21"/>
              </w:rPr>
            </w:pPr>
          </w:p>
        </w:tc>
        <w:tc>
          <w:tcPr>
            <w:tcW w:w="796" w:type="dxa"/>
            <w:tcBorders>
              <w:top w:val="single" w:color="auto" w:sz="4" w:space="0"/>
              <w:left w:val="nil"/>
              <w:bottom w:val="single" w:color="auto" w:sz="4" w:space="0"/>
              <w:right w:val="single" w:color="auto" w:sz="4" w:space="0"/>
            </w:tcBorders>
            <w:vAlign w:val="center"/>
          </w:tcPr>
          <w:p w14:paraId="0355D7D9">
            <w:pPr>
              <w:autoSpaceDE w:val="0"/>
              <w:autoSpaceDN w:val="0"/>
              <w:adjustRightInd w:val="0"/>
              <w:spacing w:line="320" w:lineRule="exact"/>
              <w:jc w:val="center"/>
              <w:rPr>
                <w:rFonts w:ascii="宋体" w:hAnsi="宋体" w:eastAsia="宋体" w:cs="Times New Roman"/>
                <w:kern w:val="0"/>
                <w:szCs w:val="21"/>
              </w:rPr>
            </w:pPr>
          </w:p>
        </w:tc>
      </w:tr>
    </w:tbl>
    <w:p w14:paraId="639BE0D3">
      <w:pPr>
        <w:autoSpaceDE w:val="0"/>
        <w:autoSpaceDN w:val="0"/>
        <w:adjustRightInd w:val="0"/>
        <w:jc w:val="left"/>
        <w:rPr>
          <w:rFonts w:ascii="宋体" w:hAnsi="宋体" w:eastAsia="宋体" w:cs="Times New Roman"/>
          <w:kern w:val="0"/>
          <w:szCs w:val="21"/>
          <w:u w:val="single"/>
        </w:rPr>
        <w:sectPr>
          <w:pgSz w:w="11849" w:h="16781"/>
          <w:pgMar w:top="1440" w:right="1083" w:bottom="1440" w:left="1083" w:header="720" w:footer="720" w:gutter="0"/>
          <w:cols w:space="720" w:num="1"/>
          <w:docGrid w:type="lines" w:linePitch="578" w:charSpace="0"/>
        </w:sectPr>
      </w:pPr>
    </w:p>
    <w:p w14:paraId="72400EAF">
      <w:pPr>
        <w:autoSpaceDE w:val="0"/>
        <w:autoSpaceDN w:val="0"/>
        <w:adjustRightInd w:val="0"/>
        <w:jc w:val="left"/>
        <w:rPr>
          <w:rFonts w:ascii="宋体" w:hAnsi="宋体" w:eastAsia="宋体" w:cs="Times New Roman"/>
          <w:kern w:val="0"/>
          <w:szCs w:val="21"/>
          <w:u w:val="single"/>
        </w:rPr>
      </w:pPr>
    </w:p>
    <w:p w14:paraId="1E804E81">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发包人供应材料设备一览表</w:t>
      </w:r>
    </w:p>
    <w:p w14:paraId="3B507950">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tbl>
      <w:tblPr>
        <w:tblStyle w:val="62"/>
        <w:tblW w:w="8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18"/>
        <w:gridCol w:w="1218"/>
        <w:gridCol w:w="1035"/>
        <w:gridCol w:w="940"/>
        <w:gridCol w:w="607"/>
        <w:gridCol w:w="1044"/>
        <w:gridCol w:w="992"/>
        <w:gridCol w:w="851"/>
        <w:gridCol w:w="922"/>
        <w:gridCol w:w="651"/>
      </w:tblGrid>
      <w:tr w14:paraId="1DC44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94AD2B9">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序号</w:t>
            </w:r>
          </w:p>
        </w:tc>
        <w:tc>
          <w:tcPr>
            <w:tcW w:w="1218" w:type="dxa"/>
            <w:tcBorders>
              <w:top w:val="single" w:color="auto" w:sz="4" w:space="0"/>
              <w:left w:val="nil"/>
              <w:bottom w:val="single" w:color="auto" w:sz="4" w:space="0"/>
              <w:right w:val="single" w:color="auto" w:sz="4" w:space="0"/>
            </w:tcBorders>
            <w:vAlign w:val="center"/>
          </w:tcPr>
          <w:p w14:paraId="6682C2D2">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材料、</w:t>
            </w:r>
          </w:p>
          <w:p w14:paraId="4178D44C">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设备品种</w:t>
            </w:r>
          </w:p>
        </w:tc>
        <w:tc>
          <w:tcPr>
            <w:tcW w:w="1035" w:type="dxa"/>
            <w:tcBorders>
              <w:top w:val="single" w:color="auto" w:sz="4" w:space="0"/>
              <w:left w:val="nil"/>
              <w:bottom w:val="single" w:color="auto" w:sz="4" w:space="0"/>
              <w:right w:val="single" w:color="auto" w:sz="4" w:space="0"/>
            </w:tcBorders>
            <w:vAlign w:val="center"/>
          </w:tcPr>
          <w:p w14:paraId="53753190">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规格型号</w:t>
            </w:r>
          </w:p>
        </w:tc>
        <w:tc>
          <w:tcPr>
            <w:tcW w:w="940" w:type="dxa"/>
            <w:tcBorders>
              <w:top w:val="single" w:color="auto" w:sz="4" w:space="0"/>
              <w:left w:val="nil"/>
              <w:bottom w:val="single" w:color="auto" w:sz="4" w:space="0"/>
              <w:right w:val="single" w:color="auto" w:sz="4" w:space="0"/>
            </w:tcBorders>
            <w:vAlign w:val="center"/>
          </w:tcPr>
          <w:p w14:paraId="51FB45DE">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单位</w:t>
            </w:r>
          </w:p>
        </w:tc>
        <w:tc>
          <w:tcPr>
            <w:tcW w:w="607" w:type="dxa"/>
            <w:tcBorders>
              <w:top w:val="single" w:color="auto" w:sz="4" w:space="0"/>
              <w:left w:val="nil"/>
              <w:bottom w:val="single" w:color="auto" w:sz="4" w:space="0"/>
              <w:right w:val="single" w:color="auto" w:sz="4" w:space="0"/>
            </w:tcBorders>
            <w:vAlign w:val="center"/>
          </w:tcPr>
          <w:p w14:paraId="2FB42659">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数量</w:t>
            </w:r>
          </w:p>
        </w:tc>
        <w:tc>
          <w:tcPr>
            <w:tcW w:w="1044" w:type="dxa"/>
            <w:tcBorders>
              <w:top w:val="single" w:color="auto" w:sz="4" w:space="0"/>
              <w:left w:val="nil"/>
              <w:bottom w:val="single" w:color="auto" w:sz="4" w:space="0"/>
              <w:right w:val="single" w:color="auto" w:sz="4" w:space="0"/>
            </w:tcBorders>
            <w:vAlign w:val="center"/>
          </w:tcPr>
          <w:p w14:paraId="2D2FEFDC">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单价</w:t>
            </w:r>
          </w:p>
          <w:p w14:paraId="2311A85C">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（元）</w:t>
            </w:r>
          </w:p>
        </w:tc>
        <w:tc>
          <w:tcPr>
            <w:tcW w:w="992" w:type="dxa"/>
            <w:tcBorders>
              <w:top w:val="single" w:color="auto" w:sz="4" w:space="0"/>
              <w:left w:val="nil"/>
              <w:bottom w:val="single" w:color="auto" w:sz="4" w:space="0"/>
              <w:right w:val="single" w:color="auto" w:sz="4" w:space="0"/>
            </w:tcBorders>
            <w:vAlign w:val="center"/>
          </w:tcPr>
          <w:p w14:paraId="7774984D">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质量</w:t>
            </w:r>
          </w:p>
          <w:p w14:paraId="4F03BBBB">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等级</w:t>
            </w:r>
          </w:p>
        </w:tc>
        <w:tc>
          <w:tcPr>
            <w:tcW w:w="851" w:type="dxa"/>
            <w:tcBorders>
              <w:top w:val="single" w:color="auto" w:sz="4" w:space="0"/>
              <w:left w:val="nil"/>
              <w:bottom w:val="single" w:color="auto" w:sz="4" w:space="0"/>
              <w:right w:val="single" w:color="auto" w:sz="4" w:space="0"/>
            </w:tcBorders>
            <w:vAlign w:val="center"/>
          </w:tcPr>
          <w:p w14:paraId="5D45D537">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供应</w:t>
            </w:r>
          </w:p>
          <w:p w14:paraId="5B11887A">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时间</w:t>
            </w:r>
          </w:p>
        </w:tc>
        <w:tc>
          <w:tcPr>
            <w:tcW w:w="922" w:type="dxa"/>
            <w:tcBorders>
              <w:top w:val="single" w:color="auto" w:sz="4" w:space="0"/>
              <w:left w:val="nil"/>
              <w:bottom w:val="single" w:color="auto" w:sz="4" w:space="0"/>
              <w:right w:val="single" w:color="auto" w:sz="4" w:space="0"/>
            </w:tcBorders>
            <w:vAlign w:val="center"/>
          </w:tcPr>
          <w:p w14:paraId="4AADA6EE">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送达</w:t>
            </w:r>
          </w:p>
          <w:p w14:paraId="02E9E6E9">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地点</w:t>
            </w:r>
          </w:p>
        </w:tc>
        <w:tc>
          <w:tcPr>
            <w:tcW w:w="651" w:type="dxa"/>
            <w:tcBorders>
              <w:top w:val="single" w:color="auto" w:sz="4" w:space="0"/>
              <w:left w:val="nil"/>
              <w:bottom w:val="single" w:color="auto" w:sz="4" w:space="0"/>
              <w:right w:val="single" w:color="auto" w:sz="4" w:space="0"/>
            </w:tcBorders>
            <w:vAlign w:val="center"/>
          </w:tcPr>
          <w:p w14:paraId="624C2214">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备注</w:t>
            </w:r>
          </w:p>
        </w:tc>
      </w:tr>
      <w:tr w14:paraId="6742A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0D7BBDDF">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5F2FCD55">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47E50DFF">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3956BA7E">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4F3D38DB">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7ABB1587">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7635D26D">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9D69F81">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09B1CDBE">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052E9625">
            <w:pPr>
              <w:autoSpaceDE w:val="0"/>
              <w:autoSpaceDN w:val="0"/>
              <w:adjustRightInd w:val="0"/>
              <w:spacing w:line="320" w:lineRule="exact"/>
              <w:jc w:val="center"/>
              <w:rPr>
                <w:rFonts w:ascii="宋体" w:hAnsi="宋体" w:eastAsia="宋体" w:cs="Times New Roman"/>
                <w:kern w:val="0"/>
                <w:szCs w:val="21"/>
              </w:rPr>
            </w:pPr>
          </w:p>
        </w:tc>
      </w:tr>
      <w:tr w14:paraId="49500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03C132CB">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25C63D89">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4133758E">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6E3198AF">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7FBB5214">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5048C7AB">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1320D573">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DA94696">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1205CFF9">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04083118">
            <w:pPr>
              <w:autoSpaceDE w:val="0"/>
              <w:autoSpaceDN w:val="0"/>
              <w:adjustRightInd w:val="0"/>
              <w:spacing w:line="320" w:lineRule="exact"/>
              <w:jc w:val="center"/>
              <w:rPr>
                <w:rFonts w:ascii="宋体" w:hAnsi="宋体" w:eastAsia="宋体" w:cs="Times New Roman"/>
                <w:kern w:val="0"/>
                <w:szCs w:val="21"/>
              </w:rPr>
            </w:pPr>
          </w:p>
        </w:tc>
      </w:tr>
      <w:tr w14:paraId="3C585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EB2DE0F">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4EFD9674">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7181B209">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1797F191">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3B1B098A">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1749C003">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0357F482">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04BC24B">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55699162">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4DFB4A25">
            <w:pPr>
              <w:autoSpaceDE w:val="0"/>
              <w:autoSpaceDN w:val="0"/>
              <w:adjustRightInd w:val="0"/>
              <w:spacing w:line="320" w:lineRule="exact"/>
              <w:jc w:val="center"/>
              <w:rPr>
                <w:rFonts w:ascii="宋体" w:hAnsi="宋体" w:eastAsia="宋体" w:cs="Times New Roman"/>
                <w:kern w:val="0"/>
                <w:szCs w:val="21"/>
              </w:rPr>
            </w:pPr>
          </w:p>
        </w:tc>
      </w:tr>
      <w:tr w14:paraId="40AB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4E981D8">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2D26F923">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4B3079FF">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1DC51404">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2C9D91E8">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33F32A74">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12B06E53">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158512E3">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2D3252CD">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7E9F4F1F">
            <w:pPr>
              <w:autoSpaceDE w:val="0"/>
              <w:autoSpaceDN w:val="0"/>
              <w:adjustRightInd w:val="0"/>
              <w:spacing w:line="320" w:lineRule="exact"/>
              <w:jc w:val="center"/>
              <w:rPr>
                <w:rFonts w:ascii="宋体" w:hAnsi="宋体" w:eastAsia="宋体" w:cs="Times New Roman"/>
                <w:kern w:val="0"/>
                <w:szCs w:val="21"/>
              </w:rPr>
            </w:pPr>
          </w:p>
        </w:tc>
      </w:tr>
      <w:tr w14:paraId="21553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07624B15">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60E72537">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1E8B9EDA">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6D59CBF0">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28F19F9D">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58851364">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0445B681">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17717CF">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50D9025E">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303CA365">
            <w:pPr>
              <w:autoSpaceDE w:val="0"/>
              <w:autoSpaceDN w:val="0"/>
              <w:adjustRightInd w:val="0"/>
              <w:spacing w:line="320" w:lineRule="exact"/>
              <w:jc w:val="center"/>
              <w:rPr>
                <w:rFonts w:ascii="宋体" w:hAnsi="宋体" w:eastAsia="宋体" w:cs="Times New Roman"/>
                <w:kern w:val="0"/>
                <w:szCs w:val="21"/>
              </w:rPr>
            </w:pPr>
          </w:p>
        </w:tc>
      </w:tr>
      <w:tr w14:paraId="42C3E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5D3C335A">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698AECF8">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11B1C7CE">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6C4AD7EA">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0E4A210D">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4CE298B5">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2C093F4E">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79CE6E39">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7F676735">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3CEF48AD">
            <w:pPr>
              <w:autoSpaceDE w:val="0"/>
              <w:autoSpaceDN w:val="0"/>
              <w:adjustRightInd w:val="0"/>
              <w:spacing w:line="320" w:lineRule="exact"/>
              <w:jc w:val="center"/>
              <w:rPr>
                <w:rFonts w:ascii="宋体" w:hAnsi="宋体" w:eastAsia="宋体" w:cs="Times New Roman"/>
                <w:kern w:val="0"/>
                <w:szCs w:val="21"/>
              </w:rPr>
            </w:pPr>
          </w:p>
        </w:tc>
      </w:tr>
      <w:tr w14:paraId="7007D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0B73278">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3F18263F">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1C801415">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788F3142">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2861A3B2">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44D19ABD">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382A0B8B">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4009A6E4">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4D545909">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37E890CD">
            <w:pPr>
              <w:autoSpaceDE w:val="0"/>
              <w:autoSpaceDN w:val="0"/>
              <w:adjustRightInd w:val="0"/>
              <w:spacing w:line="320" w:lineRule="exact"/>
              <w:jc w:val="center"/>
              <w:rPr>
                <w:rFonts w:ascii="宋体" w:hAnsi="宋体" w:eastAsia="宋体" w:cs="Times New Roman"/>
                <w:kern w:val="0"/>
                <w:szCs w:val="21"/>
              </w:rPr>
            </w:pPr>
          </w:p>
        </w:tc>
      </w:tr>
      <w:tr w14:paraId="44EFB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8B0122C">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15B61BBF">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0653284F">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3F3E21D6">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4DA4DEFD">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490B7E5B">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58FB38DB">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8C1148F">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623E741C">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10F93EED">
            <w:pPr>
              <w:autoSpaceDE w:val="0"/>
              <w:autoSpaceDN w:val="0"/>
              <w:adjustRightInd w:val="0"/>
              <w:spacing w:line="320" w:lineRule="exact"/>
              <w:jc w:val="center"/>
              <w:rPr>
                <w:rFonts w:ascii="宋体" w:hAnsi="宋体" w:eastAsia="宋体" w:cs="Times New Roman"/>
                <w:kern w:val="0"/>
                <w:szCs w:val="21"/>
              </w:rPr>
            </w:pPr>
          </w:p>
        </w:tc>
      </w:tr>
      <w:tr w14:paraId="58BB4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3BE6C679">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1F58DC03">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2EFD2094">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3FD79E2A">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4DDB8746">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79E17659">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59862014">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98980E7">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7B22C507">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7FED96B3">
            <w:pPr>
              <w:autoSpaceDE w:val="0"/>
              <w:autoSpaceDN w:val="0"/>
              <w:adjustRightInd w:val="0"/>
              <w:spacing w:line="320" w:lineRule="exact"/>
              <w:jc w:val="center"/>
              <w:rPr>
                <w:rFonts w:ascii="宋体" w:hAnsi="宋体" w:eastAsia="宋体" w:cs="Times New Roman"/>
                <w:kern w:val="0"/>
                <w:szCs w:val="21"/>
              </w:rPr>
            </w:pPr>
          </w:p>
        </w:tc>
      </w:tr>
      <w:tr w14:paraId="0167B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3846910">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29BF5F09">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2DAD960A">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7761D931">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7FD62BA7">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56559370">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2C060D93">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7F438ABA">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5D2E08F7">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4A1ACE43">
            <w:pPr>
              <w:autoSpaceDE w:val="0"/>
              <w:autoSpaceDN w:val="0"/>
              <w:adjustRightInd w:val="0"/>
              <w:spacing w:line="320" w:lineRule="exact"/>
              <w:jc w:val="center"/>
              <w:rPr>
                <w:rFonts w:ascii="宋体" w:hAnsi="宋体" w:eastAsia="宋体" w:cs="Times New Roman"/>
                <w:kern w:val="0"/>
                <w:szCs w:val="21"/>
              </w:rPr>
            </w:pPr>
          </w:p>
        </w:tc>
      </w:tr>
      <w:tr w14:paraId="34E41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028C71D4">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60F77EF9">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11CEFB33">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4C878B80">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06FF7B48">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12291B1A">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4E0172C9">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289D67A8">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399E5B51">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0B22109D">
            <w:pPr>
              <w:autoSpaceDE w:val="0"/>
              <w:autoSpaceDN w:val="0"/>
              <w:adjustRightInd w:val="0"/>
              <w:spacing w:line="320" w:lineRule="exact"/>
              <w:jc w:val="center"/>
              <w:rPr>
                <w:rFonts w:ascii="宋体" w:hAnsi="宋体" w:eastAsia="宋体" w:cs="Times New Roman"/>
                <w:kern w:val="0"/>
                <w:szCs w:val="21"/>
              </w:rPr>
            </w:pPr>
          </w:p>
        </w:tc>
      </w:tr>
      <w:tr w14:paraId="2C748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D4E5FED">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32C2C4B1">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7500799D">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2E466888">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5E2503D8">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4D115886">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2D7DEB77">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52BF0574">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05410916">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2B065195">
            <w:pPr>
              <w:autoSpaceDE w:val="0"/>
              <w:autoSpaceDN w:val="0"/>
              <w:adjustRightInd w:val="0"/>
              <w:spacing w:line="320" w:lineRule="exact"/>
              <w:jc w:val="center"/>
              <w:rPr>
                <w:rFonts w:ascii="宋体" w:hAnsi="宋体" w:eastAsia="宋体" w:cs="Times New Roman"/>
                <w:kern w:val="0"/>
                <w:szCs w:val="21"/>
              </w:rPr>
            </w:pPr>
          </w:p>
        </w:tc>
      </w:tr>
      <w:tr w14:paraId="45E86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0DF749F6">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62DD256D">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58F1B63D">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4BE934BA">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4C9892FE">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144C08CC">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43FA2A83">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F3DCA77">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308D2022">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31167738">
            <w:pPr>
              <w:autoSpaceDE w:val="0"/>
              <w:autoSpaceDN w:val="0"/>
              <w:adjustRightInd w:val="0"/>
              <w:spacing w:line="320" w:lineRule="exact"/>
              <w:jc w:val="center"/>
              <w:rPr>
                <w:rFonts w:ascii="宋体" w:hAnsi="宋体" w:eastAsia="宋体" w:cs="Times New Roman"/>
                <w:kern w:val="0"/>
                <w:szCs w:val="21"/>
              </w:rPr>
            </w:pPr>
          </w:p>
        </w:tc>
      </w:tr>
      <w:tr w14:paraId="2EE9D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F0599B4">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14E69590">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6D0482DC">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611D320C">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3815E794">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3B61DDDA">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3488B9CE">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7C4CE3DB">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2CCE4876">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00BEB31C">
            <w:pPr>
              <w:autoSpaceDE w:val="0"/>
              <w:autoSpaceDN w:val="0"/>
              <w:adjustRightInd w:val="0"/>
              <w:spacing w:line="320" w:lineRule="exact"/>
              <w:jc w:val="center"/>
              <w:rPr>
                <w:rFonts w:ascii="宋体" w:hAnsi="宋体" w:eastAsia="宋体" w:cs="Times New Roman"/>
                <w:kern w:val="0"/>
                <w:szCs w:val="21"/>
              </w:rPr>
            </w:pPr>
          </w:p>
        </w:tc>
      </w:tr>
      <w:tr w14:paraId="0B2B4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5CDB287D">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5EAD2920">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340F8D63">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53AFE3DC">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1DC5410C">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335D1FD5">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169B0A3E">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54E4BA86">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65D483E3">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24D49A2C">
            <w:pPr>
              <w:autoSpaceDE w:val="0"/>
              <w:autoSpaceDN w:val="0"/>
              <w:adjustRightInd w:val="0"/>
              <w:spacing w:line="320" w:lineRule="exact"/>
              <w:jc w:val="center"/>
              <w:rPr>
                <w:rFonts w:ascii="宋体" w:hAnsi="宋体" w:eastAsia="宋体" w:cs="Times New Roman"/>
                <w:kern w:val="0"/>
                <w:szCs w:val="21"/>
              </w:rPr>
            </w:pPr>
          </w:p>
        </w:tc>
      </w:tr>
      <w:tr w14:paraId="06DEE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5C4BF53">
            <w:pPr>
              <w:autoSpaceDE w:val="0"/>
              <w:autoSpaceDN w:val="0"/>
              <w:adjustRightInd w:val="0"/>
              <w:spacing w:line="320" w:lineRule="exact"/>
              <w:jc w:val="center"/>
              <w:rPr>
                <w:rFonts w:ascii="宋体" w:hAnsi="宋体" w:eastAsia="宋体" w:cs="Times New Roman"/>
                <w:kern w:val="0"/>
                <w:szCs w:val="21"/>
              </w:rPr>
            </w:pPr>
          </w:p>
        </w:tc>
        <w:tc>
          <w:tcPr>
            <w:tcW w:w="1218" w:type="dxa"/>
            <w:tcBorders>
              <w:top w:val="single" w:color="auto" w:sz="4" w:space="0"/>
              <w:left w:val="nil"/>
              <w:bottom w:val="single" w:color="auto" w:sz="4" w:space="0"/>
              <w:right w:val="single" w:color="auto" w:sz="4" w:space="0"/>
            </w:tcBorders>
            <w:vAlign w:val="center"/>
          </w:tcPr>
          <w:p w14:paraId="37EC99E3">
            <w:pPr>
              <w:autoSpaceDE w:val="0"/>
              <w:autoSpaceDN w:val="0"/>
              <w:adjustRightInd w:val="0"/>
              <w:spacing w:line="320" w:lineRule="exact"/>
              <w:jc w:val="center"/>
              <w:rPr>
                <w:rFonts w:ascii="宋体" w:hAnsi="宋体" w:eastAsia="宋体" w:cs="Times New Roman"/>
                <w:kern w:val="0"/>
                <w:szCs w:val="21"/>
              </w:rPr>
            </w:pPr>
          </w:p>
        </w:tc>
        <w:tc>
          <w:tcPr>
            <w:tcW w:w="1035" w:type="dxa"/>
            <w:tcBorders>
              <w:top w:val="single" w:color="auto" w:sz="4" w:space="0"/>
              <w:left w:val="nil"/>
              <w:bottom w:val="single" w:color="auto" w:sz="4" w:space="0"/>
              <w:right w:val="single" w:color="auto" w:sz="4" w:space="0"/>
            </w:tcBorders>
            <w:vAlign w:val="center"/>
          </w:tcPr>
          <w:p w14:paraId="0AD85EED">
            <w:pPr>
              <w:autoSpaceDE w:val="0"/>
              <w:autoSpaceDN w:val="0"/>
              <w:adjustRightInd w:val="0"/>
              <w:spacing w:line="320" w:lineRule="exact"/>
              <w:jc w:val="center"/>
              <w:rPr>
                <w:rFonts w:ascii="宋体" w:hAnsi="宋体" w:eastAsia="宋体" w:cs="Times New Roman"/>
                <w:kern w:val="0"/>
                <w:szCs w:val="21"/>
              </w:rPr>
            </w:pPr>
          </w:p>
        </w:tc>
        <w:tc>
          <w:tcPr>
            <w:tcW w:w="940" w:type="dxa"/>
            <w:tcBorders>
              <w:top w:val="single" w:color="auto" w:sz="4" w:space="0"/>
              <w:left w:val="nil"/>
              <w:bottom w:val="single" w:color="auto" w:sz="4" w:space="0"/>
              <w:right w:val="single" w:color="auto" w:sz="4" w:space="0"/>
            </w:tcBorders>
            <w:vAlign w:val="center"/>
          </w:tcPr>
          <w:p w14:paraId="29BE6C30">
            <w:pPr>
              <w:autoSpaceDE w:val="0"/>
              <w:autoSpaceDN w:val="0"/>
              <w:adjustRightInd w:val="0"/>
              <w:spacing w:line="320" w:lineRule="exact"/>
              <w:jc w:val="center"/>
              <w:rPr>
                <w:rFonts w:ascii="宋体" w:hAnsi="宋体" w:eastAsia="宋体" w:cs="Times New Roman"/>
                <w:kern w:val="0"/>
                <w:szCs w:val="21"/>
              </w:rPr>
            </w:pPr>
          </w:p>
        </w:tc>
        <w:tc>
          <w:tcPr>
            <w:tcW w:w="607" w:type="dxa"/>
            <w:tcBorders>
              <w:top w:val="single" w:color="auto" w:sz="4" w:space="0"/>
              <w:left w:val="nil"/>
              <w:bottom w:val="single" w:color="auto" w:sz="4" w:space="0"/>
              <w:right w:val="single" w:color="auto" w:sz="4" w:space="0"/>
            </w:tcBorders>
            <w:vAlign w:val="center"/>
          </w:tcPr>
          <w:p w14:paraId="094928DC">
            <w:pPr>
              <w:autoSpaceDE w:val="0"/>
              <w:autoSpaceDN w:val="0"/>
              <w:adjustRightInd w:val="0"/>
              <w:spacing w:line="320" w:lineRule="exact"/>
              <w:jc w:val="center"/>
              <w:rPr>
                <w:rFonts w:ascii="宋体" w:hAnsi="宋体" w:eastAsia="宋体" w:cs="Times New Roman"/>
                <w:kern w:val="0"/>
                <w:szCs w:val="21"/>
              </w:rPr>
            </w:pPr>
          </w:p>
        </w:tc>
        <w:tc>
          <w:tcPr>
            <w:tcW w:w="1044" w:type="dxa"/>
            <w:tcBorders>
              <w:top w:val="single" w:color="auto" w:sz="4" w:space="0"/>
              <w:left w:val="nil"/>
              <w:bottom w:val="single" w:color="auto" w:sz="4" w:space="0"/>
              <w:right w:val="single" w:color="auto" w:sz="4" w:space="0"/>
            </w:tcBorders>
            <w:vAlign w:val="center"/>
          </w:tcPr>
          <w:p w14:paraId="56B134F8">
            <w:pPr>
              <w:autoSpaceDE w:val="0"/>
              <w:autoSpaceDN w:val="0"/>
              <w:adjustRightInd w:val="0"/>
              <w:spacing w:line="320" w:lineRule="exact"/>
              <w:jc w:val="center"/>
              <w:rPr>
                <w:rFonts w:ascii="宋体" w:hAnsi="宋体" w:eastAsia="宋体" w:cs="Times New Roman"/>
                <w:kern w:val="0"/>
                <w:szCs w:val="21"/>
              </w:rPr>
            </w:pPr>
          </w:p>
        </w:tc>
        <w:tc>
          <w:tcPr>
            <w:tcW w:w="992" w:type="dxa"/>
            <w:tcBorders>
              <w:top w:val="single" w:color="auto" w:sz="4" w:space="0"/>
              <w:left w:val="nil"/>
              <w:bottom w:val="single" w:color="auto" w:sz="4" w:space="0"/>
              <w:right w:val="single" w:color="auto" w:sz="4" w:space="0"/>
            </w:tcBorders>
            <w:vAlign w:val="center"/>
          </w:tcPr>
          <w:p w14:paraId="6749FF02">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1CC8E5AB">
            <w:pPr>
              <w:autoSpaceDE w:val="0"/>
              <w:autoSpaceDN w:val="0"/>
              <w:adjustRightInd w:val="0"/>
              <w:spacing w:line="320" w:lineRule="exact"/>
              <w:jc w:val="center"/>
              <w:rPr>
                <w:rFonts w:ascii="宋体" w:hAnsi="宋体" w:eastAsia="宋体" w:cs="Times New Roman"/>
                <w:kern w:val="0"/>
                <w:szCs w:val="21"/>
              </w:rPr>
            </w:pPr>
          </w:p>
        </w:tc>
        <w:tc>
          <w:tcPr>
            <w:tcW w:w="922" w:type="dxa"/>
            <w:tcBorders>
              <w:top w:val="single" w:color="auto" w:sz="4" w:space="0"/>
              <w:left w:val="nil"/>
              <w:bottom w:val="single" w:color="auto" w:sz="4" w:space="0"/>
              <w:right w:val="single" w:color="auto" w:sz="4" w:space="0"/>
            </w:tcBorders>
            <w:vAlign w:val="center"/>
          </w:tcPr>
          <w:p w14:paraId="621F80D9">
            <w:pPr>
              <w:autoSpaceDE w:val="0"/>
              <w:autoSpaceDN w:val="0"/>
              <w:adjustRightInd w:val="0"/>
              <w:spacing w:line="320" w:lineRule="exact"/>
              <w:jc w:val="center"/>
              <w:rPr>
                <w:rFonts w:ascii="宋体" w:hAnsi="宋体" w:eastAsia="宋体" w:cs="Times New Roman"/>
                <w:kern w:val="0"/>
                <w:szCs w:val="21"/>
              </w:rPr>
            </w:pPr>
          </w:p>
        </w:tc>
        <w:tc>
          <w:tcPr>
            <w:tcW w:w="651" w:type="dxa"/>
            <w:tcBorders>
              <w:top w:val="single" w:color="auto" w:sz="4" w:space="0"/>
              <w:left w:val="nil"/>
              <w:bottom w:val="single" w:color="auto" w:sz="4" w:space="0"/>
              <w:right w:val="single" w:color="auto" w:sz="4" w:space="0"/>
            </w:tcBorders>
            <w:vAlign w:val="center"/>
          </w:tcPr>
          <w:p w14:paraId="6D9EF9B8">
            <w:pPr>
              <w:autoSpaceDE w:val="0"/>
              <w:autoSpaceDN w:val="0"/>
              <w:adjustRightInd w:val="0"/>
              <w:spacing w:line="320" w:lineRule="exact"/>
              <w:jc w:val="center"/>
              <w:rPr>
                <w:rFonts w:ascii="宋体" w:hAnsi="宋体" w:eastAsia="宋体" w:cs="Times New Roman"/>
                <w:kern w:val="0"/>
                <w:szCs w:val="21"/>
              </w:rPr>
            </w:pPr>
          </w:p>
        </w:tc>
      </w:tr>
    </w:tbl>
    <w:p w14:paraId="3195B087">
      <w:pPr>
        <w:autoSpaceDE w:val="0"/>
        <w:autoSpaceDN w:val="0"/>
        <w:adjustRightInd w:val="0"/>
        <w:jc w:val="left"/>
        <w:rPr>
          <w:rFonts w:ascii="宋体" w:hAnsi="宋体" w:eastAsia="宋体" w:cs="Times New Roman"/>
          <w:kern w:val="0"/>
          <w:szCs w:val="21"/>
          <w:u w:val="single"/>
        </w:rPr>
      </w:pPr>
    </w:p>
    <w:p w14:paraId="56A1EE07">
      <w:pPr>
        <w:spacing w:after="100" w:line="259" w:lineRule="auto"/>
        <w:jc w:val="left"/>
        <w:rPr>
          <w:rFonts w:ascii="宋体" w:hAnsi="宋体" w:eastAsia="宋体" w:cs="Times New Roman"/>
          <w:kern w:val="0"/>
          <w:szCs w:val="21"/>
        </w:rPr>
      </w:pPr>
    </w:p>
    <w:p w14:paraId="1D356B38">
      <w:pPr>
        <w:autoSpaceDE w:val="0"/>
        <w:autoSpaceDN w:val="0"/>
        <w:adjustRightInd w:val="0"/>
        <w:jc w:val="left"/>
        <w:rPr>
          <w:rFonts w:ascii="宋体" w:hAnsi="宋体" w:eastAsia="宋体" w:cs="Times New Roman"/>
          <w:kern w:val="0"/>
          <w:szCs w:val="21"/>
        </w:rPr>
      </w:pPr>
    </w:p>
    <w:p w14:paraId="255F13AB">
      <w:pPr>
        <w:spacing w:after="100" w:line="259" w:lineRule="auto"/>
        <w:jc w:val="left"/>
        <w:rPr>
          <w:rFonts w:ascii="宋体" w:hAnsi="宋体" w:eastAsia="宋体" w:cs="Times New Roman"/>
          <w:kern w:val="0"/>
          <w:szCs w:val="21"/>
        </w:rPr>
      </w:pPr>
    </w:p>
    <w:p w14:paraId="4B82562C">
      <w:pPr>
        <w:spacing w:after="100" w:line="259" w:lineRule="auto"/>
        <w:jc w:val="left"/>
        <w:rPr>
          <w:rFonts w:ascii="宋体" w:hAnsi="宋体" w:eastAsia="宋体" w:cs="Times New Roman"/>
          <w:kern w:val="0"/>
          <w:szCs w:val="21"/>
        </w:rPr>
      </w:pPr>
    </w:p>
    <w:p w14:paraId="6230A1A9">
      <w:pPr>
        <w:spacing w:after="100" w:line="259" w:lineRule="auto"/>
        <w:jc w:val="left"/>
        <w:rPr>
          <w:rFonts w:ascii="宋体" w:hAnsi="宋体" w:eastAsia="宋体" w:cs="Times New Roman"/>
          <w:kern w:val="0"/>
          <w:szCs w:val="21"/>
        </w:rPr>
      </w:pPr>
    </w:p>
    <w:p w14:paraId="7EB6BBC3">
      <w:pPr>
        <w:spacing w:after="100" w:line="259" w:lineRule="auto"/>
        <w:jc w:val="left"/>
        <w:rPr>
          <w:rFonts w:ascii="宋体" w:hAnsi="宋体" w:eastAsia="宋体" w:cs="Times New Roman"/>
          <w:kern w:val="0"/>
          <w:szCs w:val="21"/>
        </w:rPr>
      </w:pPr>
    </w:p>
    <w:p w14:paraId="434E3335">
      <w:pPr>
        <w:spacing w:after="100" w:line="259" w:lineRule="auto"/>
        <w:jc w:val="left"/>
        <w:rPr>
          <w:rFonts w:ascii="宋体" w:hAnsi="宋体" w:eastAsia="宋体" w:cs="Times New Roman"/>
          <w:kern w:val="0"/>
          <w:szCs w:val="21"/>
        </w:rPr>
      </w:pPr>
    </w:p>
    <w:p w14:paraId="2A0F4C66">
      <w:pPr>
        <w:autoSpaceDE w:val="0"/>
        <w:autoSpaceDN w:val="0"/>
        <w:adjustRightInd w:val="0"/>
        <w:jc w:val="left"/>
        <w:rPr>
          <w:rFonts w:ascii="宋体" w:hAnsi="宋体" w:eastAsia="宋体" w:cs="Times New Roman"/>
          <w:kern w:val="0"/>
          <w:szCs w:val="21"/>
        </w:rPr>
      </w:pPr>
    </w:p>
    <w:p w14:paraId="27F2BE39">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附件：3</w:t>
      </w:r>
    </w:p>
    <w:p w14:paraId="26784A07">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工程质量保修书</w:t>
      </w:r>
    </w:p>
    <w:p w14:paraId="6FBCC6A8">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81E0C40">
      <w:pPr>
        <w:autoSpaceDE w:val="0"/>
        <w:autoSpaceDN w:val="0"/>
        <w:adjustRightInd w:val="0"/>
        <w:spacing w:line="360" w:lineRule="auto"/>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发包人（全称）：</w:t>
      </w:r>
    </w:p>
    <w:p w14:paraId="73C8B868">
      <w:pPr>
        <w:autoSpaceDE w:val="0"/>
        <w:autoSpaceDN w:val="0"/>
        <w:adjustRightInd w:val="0"/>
        <w:spacing w:line="360" w:lineRule="auto"/>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承包人（全称）：</w:t>
      </w:r>
    </w:p>
    <w:p w14:paraId="765760B8">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发包人和承包人根据《中华人民共和国建筑法》和《建设工程质量管理条例》，经协商一致就留下街道“大综改”二期营房改造装饰装修工程（工程全称）签订工程质量保修书。</w:t>
      </w:r>
    </w:p>
    <w:p w14:paraId="11266543">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一、工程质量保修范围和内容</w:t>
      </w:r>
    </w:p>
    <w:p w14:paraId="09077CE8">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承包人在质量保修期内，按照有关法律规定和合同约定，承担工程质量保修责任。</w:t>
      </w:r>
    </w:p>
    <w:p w14:paraId="7F4F8148">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281F9F6B">
      <w:pPr>
        <w:autoSpaceDE w:val="0"/>
        <w:autoSpaceDN w:val="0"/>
        <w:adjustRightInd w:val="0"/>
        <w:spacing w:line="360" w:lineRule="auto"/>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u w:val="single"/>
        </w:rPr>
        <w:t>本工程承包范围内的全部工程内容。</w:t>
      </w:r>
    </w:p>
    <w:p w14:paraId="603393E0">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二、质量保修期</w:t>
      </w:r>
    </w:p>
    <w:p w14:paraId="35BCE792">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根据《建设工程质量管理条例》及有关规定，工程的质量保修期如下：</w:t>
      </w:r>
    </w:p>
    <w:p w14:paraId="2B0C94CC">
      <w:pPr>
        <w:autoSpaceDE w:val="0"/>
        <w:autoSpaceDN w:val="0"/>
        <w:adjustRightInd w:val="0"/>
        <w:spacing w:line="360" w:lineRule="auto"/>
        <w:ind w:firstLine="420" w:firstLineChars="200"/>
        <w:jc w:val="left"/>
        <w:rPr>
          <w:rFonts w:ascii="宋体" w:hAnsi="宋体" w:eastAsia="宋体" w:cs="Times New Roman"/>
          <w:spacing w:val="-4"/>
          <w:kern w:val="0"/>
          <w:szCs w:val="21"/>
        </w:rPr>
      </w:pPr>
      <w:r>
        <w:rPr>
          <w:rFonts w:hint="eastAsia" w:ascii="宋体" w:hAnsi="宋体" w:eastAsia="宋体" w:cs="Times New Roman"/>
          <w:kern w:val="0"/>
          <w:szCs w:val="21"/>
        </w:rPr>
        <w:t>1．</w:t>
      </w:r>
      <w:r>
        <w:rPr>
          <w:rFonts w:hint="eastAsia" w:ascii="宋体" w:hAnsi="宋体" w:eastAsia="宋体" w:cs="Times New Roman"/>
          <w:spacing w:val="-4"/>
          <w:kern w:val="0"/>
          <w:szCs w:val="21"/>
        </w:rPr>
        <w:t>地基基础工程和主体结构工程为设计文件规定的工程合理使用年限；</w:t>
      </w:r>
    </w:p>
    <w:p w14:paraId="1CB517E6">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2．屋面防水工程、有防水要求的卫生间、房间和外墙面的防渗为</w:t>
      </w:r>
      <w:r>
        <w:rPr>
          <w:rFonts w:hint="eastAsia" w:ascii="宋体" w:hAnsi="宋体" w:eastAsia="宋体" w:cs="Times New Roman"/>
          <w:kern w:val="0"/>
          <w:szCs w:val="21"/>
          <w:u w:val="single"/>
        </w:rPr>
        <w:t>5年；</w:t>
      </w:r>
    </w:p>
    <w:p w14:paraId="6A629876">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3．装修工程为</w:t>
      </w:r>
      <w:r>
        <w:rPr>
          <w:rFonts w:hint="eastAsia" w:ascii="宋体" w:hAnsi="宋体" w:eastAsia="宋体" w:cs="Times New Roman"/>
          <w:kern w:val="0"/>
          <w:szCs w:val="21"/>
          <w:u w:val="single"/>
        </w:rPr>
        <w:t>2年</w:t>
      </w:r>
      <w:r>
        <w:rPr>
          <w:rFonts w:hint="eastAsia" w:ascii="宋体" w:hAnsi="宋体" w:eastAsia="宋体" w:cs="Times New Roman"/>
          <w:kern w:val="0"/>
          <w:szCs w:val="21"/>
        </w:rPr>
        <w:t>；</w:t>
      </w:r>
    </w:p>
    <w:p w14:paraId="637FD2C3">
      <w:pPr>
        <w:autoSpaceDE w:val="0"/>
        <w:autoSpaceDN w:val="0"/>
        <w:adjustRightInd w:val="0"/>
        <w:spacing w:line="360" w:lineRule="auto"/>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4．电气管线、给排水管道、设备安装工程为</w:t>
      </w:r>
      <w:r>
        <w:rPr>
          <w:rFonts w:hint="eastAsia" w:ascii="宋体" w:hAnsi="宋体" w:eastAsia="宋体" w:cs="Times New Roman"/>
          <w:kern w:val="0"/>
          <w:szCs w:val="21"/>
          <w:u w:val="single"/>
        </w:rPr>
        <w:t>2年；</w:t>
      </w:r>
    </w:p>
    <w:p w14:paraId="39C57242">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5．供热与供冷系统为</w:t>
      </w:r>
      <w:r>
        <w:rPr>
          <w:rFonts w:hint="eastAsia" w:ascii="宋体" w:hAnsi="宋体" w:eastAsia="宋体" w:cs="Times New Roman"/>
          <w:kern w:val="0"/>
          <w:szCs w:val="21"/>
          <w:u w:val="single"/>
        </w:rPr>
        <w:t>2个</w:t>
      </w:r>
      <w:r>
        <w:rPr>
          <w:rFonts w:hint="eastAsia" w:ascii="宋体" w:hAnsi="宋体" w:eastAsia="宋体" w:cs="Times New Roman"/>
          <w:kern w:val="0"/>
          <w:szCs w:val="21"/>
        </w:rPr>
        <w:t>采暖期、供冷期；</w:t>
      </w:r>
    </w:p>
    <w:p w14:paraId="66BD2BA3">
      <w:pPr>
        <w:autoSpaceDE w:val="0"/>
        <w:autoSpaceDN w:val="0"/>
        <w:adjustRightInd w:val="0"/>
        <w:spacing w:line="360" w:lineRule="auto"/>
        <w:ind w:firstLine="420" w:firstLineChars="200"/>
        <w:jc w:val="left"/>
        <w:rPr>
          <w:rFonts w:ascii="宋体" w:hAnsi="宋体" w:eastAsia="宋体" w:cs="Times New Roman"/>
          <w:kern w:val="0"/>
          <w:szCs w:val="21"/>
          <w:u w:val="single"/>
        </w:rPr>
      </w:pPr>
      <w:r>
        <w:rPr>
          <w:rFonts w:hint="eastAsia" w:ascii="宋体" w:hAnsi="宋体" w:eastAsia="宋体" w:cs="Times New Roman"/>
          <w:kern w:val="0"/>
          <w:szCs w:val="21"/>
        </w:rPr>
        <w:t>6．住宅小区内的给排水设施、道路等配套工程为</w:t>
      </w:r>
      <w:r>
        <w:rPr>
          <w:rFonts w:hint="eastAsia" w:ascii="宋体" w:hAnsi="宋体" w:eastAsia="宋体" w:cs="Times New Roman"/>
          <w:kern w:val="0"/>
          <w:szCs w:val="21"/>
          <w:u w:val="single"/>
        </w:rPr>
        <w:t>2年；</w:t>
      </w:r>
    </w:p>
    <w:p w14:paraId="023FE802">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7．其他项目保修期限约定如下：</w:t>
      </w:r>
      <w:r>
        <w:rPr>
          <w:rFonts w:hint="eastAsia" w:ascii="宋体" w:hAnsi="宋体" w:eastAsia="宋体" w:cs="Times New Roman"/>
          <w:kern w:val="0"/>
          <w:szCs w:val="21"/>
          <w:u w:val="single"/>
        </w:rPr>
        <w:t>其他工程内容保修期为二年。</w:t>
      </w:r>
    </w:p>
    <w:p w14:paraId="68B43565">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质量保修期自工程竣工验收合格之日起计算。</w:t>
      </w:r>
    </w:p>
    <w:p w14:paraId="64714506">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三、缺陷责任期</w:t>
      </w:r>
    </w:p>
    <w:p w14:paraId="6871E625">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工程缺陷责任期为</w:t>
      </w:r>
      <w:r>
        <w:rPr>
          <w:rFonts w:hint="eastAsia" w:ascii="宋体" w:hAnsi="宋体" w:eastAsia="宋体" w:cs="Times New Roman"/>
          <w:kern w:val="0"/>
          <w:szCs w:val="21"/>
          <w:u w:val="single"/>
        </w:rPr>
        <w:t>24个月</w:t>
      </w:r>
      <w:r>
        <w:rPr>
          <w:rFonts w:hint="eastAsia" w:ascii="宋体" w:hAnsi="宋体" w:eastAsia="宋体" w:cs="Times New Roman"/>
          <w:kern w:val="0"/>
          <w:szCs w:val="21"/>
        </w:rPr>
        <w:t>，缺陷责任期自工程通过竣工验收之日起计算。单位工程先于全部工程进行验收，单位工程缺陷责任期自单位工程验收合格之日期起算。</w:t>
      </w:r>
    </w:p>
    <w:p w14:paraId="74971A04">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缺陷责任期终止后，发包人应退还剩余的质量保证金。</w:t>
      </w:r>
    </w:p>
    <w:p w14:paraId="63CDFFF7">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四、质量保修责任</w:t>
      </w:r>
    </w:p>
    <w:p w14:paraId="70E191F3">
      <w:pPr>
        <w:autoSpaceDE w:val="0"/>
        <w:autoSpaceDN w:val="0"/>
        <w:adjustRightInd w:val="0"/>
        <w:spacing w:line="360" w:lineRule="auto"/>
        <w:ind w:firstLine="504" w:firstLineChars="240"/>
        <w:jc w:val="left"/>
        <w:rPr>
          <w:rFonts w:ascii="宋体" w:hAnsi="宋体" w:eastAsia="宋体" w:cs="Times New Roman"/>
          <w:kern w:val="0"/>
          <w:szCs w:val="21"/>
        </w:rPr>
      </w:pPr>
      <w:r>
        <w:rPr>
          <w:rFonts w:hint="eastAsia" w:ascii="宋体" w:hAnsi="宋体" w:eastAsia="宋体" w:cs="Times New Roman"/>
          <w:kern w:val="0"/>
          <w:szCs w:val="21"/>
        </w:rPr>
        <w:t>1．属于保修范围、内容的项目，承包人应当在接到保修通知之日起7天内派人保修。承包人不在约定期限内派人保修的，发包人可以委托他人修理。</w:t>
      </w:r>
    </w:p>
    <w:p w14:paraId="18A914B6">
      <w:pPr>
        <w:autoSpaceDE w:val="0"/>
        <w:autoSpaceDN w:val="0"/>
        <w:adjustRightInd w:val="0"/>
        <w:spacing w:line="360" w:lineRule="auto"/>
        <w:ind w:firstLine="430" w:firstLineChars="205"/>
        <w:jc w:val="left"/>
        <w:rPr>
          <w:rFonts w:ascii="宋体" w:hAnsi="宋体" w:eastAsia="宋体" w:cs="Times New Roman"/>
          <w:kern w:val="0"/>
          <w:szCs w:val="21"/>
        </w:rPr>
      </w:pPr>
      <w:r>
        <w:rPr>
          <w:rFonts w:hint="eastAsia" w:ascii="宋体" w:hAnsi="宋体" w:eastAsia="宋体" w:cs="Times New Roman"/>
          <w:kern w:val="0"/>
          <w:szCs w:val="21"/>
        </w:rPr>
        <w:t>2．发生紧急事故需抢修的，承包人在接到事故通知后，应当立即到达事故现场抢修。</w:t>
      </w:r>
    </w:p>
    <w:p w14:paraId="298C404B">
      <w:pPr>
        <w:autoSpaceDE w:val="0"/>
        <w:autoSpaceDN w:val="0"/>
        <w:adjustRightInd w:val="0"/>
        <w:spacing w:line="360" w:lineRule="auto"/>
        <w:ind w:firstLine="430" w:firstLineChars="205"/>
        <w:jc w:val="left"/>
        <w:rPr>
          <w:rFonts w:ascii="宋体" w:hAnsi="宋体" w:eastAsia="宋体" w:cs="Times New Roman"/>
          <w:kern w:val="0"/>
          <w:szCs w:val="21"/>
        </w:rPr>
      </w:pPr>
      <w:r>
        <w:rPr>
          <w:rFonts w:hint="eastAsia" w:ascii="宋体" w:hAnsi="宋体" w:eastAsia="宋体" w:cs="Times New Roman"/>
          <w:kern w:val="0"/>
          <w:szCs w:val="21"/>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048B3D3D">
      <w:pPr>
        <w:autoSpaceDE w:val="0"/>
        <w:autoSpaceDN w:val="0"/>
        <w:adjustRightInd w:val="0"/>
        <w:spacing w:line="360" w:lineRule="auto"/>
        <w:ind w:firstLine="430" w:firstLineChars="205"/>
        <w:jc w:val="left"/>
        <w:rPr>
          <w:rFonts w:ascii="宋体" w:hAnsi="宋体" w:eastAsia="宋体" w:cs="Times New Roman"/>
          <w:kern w:val="0"/>
          <w:szCs w:val="21"/>
        </w:rPr>
      </w:pPr>
      <w:r>
        <w:rPr>
          <w:rFonts w:hint="eastAsia" w:ascii="宋体" w:hAnsi="宋体" w:eastAsia="宋体" w:cs="Times New Roman"/>
          <w:kern w:val="0"/>
          <w:szCs w:val="21"/>
        </w:rPr>
        <w:t>4．质量保修完成后，由发包人组织验收。</w:t>
      </w:r>
    </w:p>
    <w:p w14:paraId="6CB90547">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五、保修费用</w:t>
      </w:r>
    </w:p>
    <w:p w14:paraId="110C76DF">
      <w:pPr>
        <w:autoSpaceDE w:val="0"/>
        <w:autoSpaceDN w:val="0"/>
        <w:adjustRightInd w:val="0"/>
        <w:spacing w:line="360" w:lineRule="auto"/>
        <w:ind w:firstLine="430" w:firstLineChars="205"/>
        <w:jc w:val="left"/>
        <w:rPr>
          <w:rFonts w:ascii="宋体" w:hAnsi="宋体" w:eastAsia="宋体" w:cs="Times New Roman"/>
          <w:kern w:val="0"/>
          <w:szCs w:val="21"/>
        </w:rPr>
      </w:pPr>
      <w:r>
        <w:rPr>
          <w:rFonts w:hint="eastAsia" w:ascii="宋体" w:hAnsi="宋体" w:eastAsia="宋体" w:cs="Times New Roman"/>
          <w:kern w:val="0"/>
          <w:szCs w:val="21"/>
        </w:rPr>
        <w:t>保修费用由造成质量缺陷的责任方承担。</w:t>
      </w:r>
    </w:p>
    <w:p w14:paraId="26390914">
      <w:pPr>
        <w:autoSpaceDE w:val="0"/>
        <w:autoSpaceDN w:val="0"/>
        <w:adjustRightInd w:val="0"/>
        <w:spacing w:line="360" w:lineRule="auto"/>
        <w:ind w:firstLine="430" w:firstLineChars="205"/>
        <w:jc w:val="left"/>
        <w:rPr>
          <w:rFonts w:ascii="宋体" w:hAnsi="宋体" w:eastAsia="宋体" w:cs="Times New Roman"/>
          <w:kern w:val="0"/>
          <w:szCs w:val="21"/>
          <w:u w:val="single"/>
        </w:rPr>
      </w:pPr>
      <w:r>
        <w:rPr>
          <w:rFonts w:hint="eastAsia" w:ascii="宋体" w:hAnsi="宋体" w:eastAsia="宋体" w:cs="Times New Roman"/>
          <w:kern w:val="0"/>
          <w:szCs w:val="21"/>
        </w:rPr>
        <w:t>六、双方约定的其他工程质量保修事项：</w:t>
      </w:r>
      <w:r>
        <w:rPr>
          <w:rFonts w:hint="eastAsia" w:ascii="宋体" w:hAnsi="宋体" w:eastAsia="宋体" w:cs="Times New Roman"/>
          <w:kern w:val="0"/>
          <w:szCs w:val="21"/>
          <w:u w:val="single"/>
        </w:rPr>
        <w:t>本工程约定的工程质量保证金为工程竣工结算价的1.5%，缺陷责任期满后将质量保证金返还承包人（不计利息）。承包人对相应设备的安装单位及时进行配合，提供相应的技术服务 。</w:t>
      </w:r>
    </w:p>
    <w:p w14:paraId="751E035A">
      <w:pPr>
        <w:autoSpaceDE w:val="0"/>
        <w:autoSpaceDN w:val="0"/>
        <w:adjustRightInd w:val="0"/>
        <w:spacing w:line="360" w:lineRule="auto"/>
        <w:ind w:firstLine="399" w:firstLineChars="190"/>
        <w:jc w:val="left"/>
        <w:rPr>
          <w:rFonts w:ascii="宋体" w:hAnsi="宋体" w:eastAsia="宋体" w:cs="Times New Roman"/>
          <w:kern w:val="0"/>
          <w:szCs w:val="21"/>
        </w:rPr>
      </w:pPr>
      <w:r>
        <w:rPr>
          <w:rFonts w:hint="eastAsia" w:ascii="宋体" w:hAnsi="宋体" w:eastAsia="宋体" w:cs="Times New Roman"/>
          <w:kern w:val="0"/>
          <w:szCs w:val="21"/>
        </w:rPr>
        <w:t>工程质量保修书由发包人、承包人在工程竣工验收前共同签署，作为施工合同附件，其有效期限至保修期满。</w:t>
      </w:r>
    </w:p>
    <w:p w14:paraId="1B7391A7">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BA7742F">
      <w:pPr>
        <w:spacing w:after="100" w:line="259" w:lineRule="auto"/>
        <w:jc w:val="left"/>
        <w:rPr>
          <w:rFonts w:ascii="宋体" w:hAnsi="宋体" w:eastAsia="宋体" w:cs="Times New Roman"/>
          <w:kern w:val="0"/>
          <w:szCs w:val="21"/>
        </w:rPr>
      </w:pPr>
    </w:p>
    <w:p w14:paraId="2220F19D">
      <w:pPr>
        <w:autoSpaceDE w:val="0"/>
        <w:autoSpaceDN w:val="0"/>
        <w:adjustRightInd w:val="0"/>
        <w:jc w:val="left"/>
        <w:rPr>
          <w:rFonts w:ascii="宋体" w:hAnsi="宋体" w:eastAsia="宋体" w:cs="Times New Roman"/>
          <w:kern w:val="0"/>
          <w:szCs w:val="21"/>
        </w:rPr>
      </w:pPr>
    </w:p>
    <w:p w14:paraId="64E1D2E6">
      <w:pPr>
        <w:spacing w:after="100" w:line="259" w:lineRule="auto"/>
        <w:jc w:val="left"/>
        <w:rPr>
          <w:rFonts w:ascii="宋体" w:hAnsi="宋体" w:eastAsia="宋体" w:cs="Times New Roman"/>
          <w:kern w:val="0"/>
          <w:szCs w:val="21"/>
        </w:rPr>
      </w:pPr>
    </w:p>
    <w:p w14:paraId="4664AA9B">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发包人（公章）：                     承包人（公章）：</w:t>
      </w:r>
    </w:p>
    <w:p w14:paraId="1EF1C91D">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地址：                               地址：</w:t>
      </w:r>
    </w:p>
    <w:p w14:paraId="3CBD17FB">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法定代表人（签字）：                 法定代表人（签字）：</w:t>
      </w:r>
    </w:p>
    <w:p w14:paraId="3D4DC5BC">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委托代理人（签字）：                 委托代理人（签字）：</w:t>
      </w:r>
    </w:p>
    <w:p w14:paraId="6BA7970F">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电话：                               电话：</w:t>
      </w:r>
    </w:p>
    <w:p w14:paraId="175B0B85">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传真：                               传真：</w:t>
      </w:r>
    </w:p>
    <w:p w14:paraId="1AD5A48B">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开户银行：                           开户银行：</w:t>
      </w:r>
    </w:p>
    <w:p w14:paraId="111616F4">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账号：                               账号：</w:t>
      </w:r>
    </w:p>
    <w:p w14:paraId="177B59CC">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邮政编码：                           邮政编码：</w:t>
      </w:r>
    </w:p>
    <w:p w14:paraId="7230A1B3">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EB851E1">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1029F657">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4DC13AA">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79EB331A">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F145E30">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5B6E2716">
      <w:pPr>
        <w:spacing w:after="100" w:line="259" w:lineRule="auto"/>
        <w:jc w:val="left"/>
        <w:rPr>
          <w:rFonts w:ascii="宋体" w:hAnsi="宋体" w:eastAsia="宋体" w:cs="Times New Roman"/>
          <w:kern w:val="0"/>
          <w:szCs w:val="21"/>
        </w:rPr>
      </w:pPr>
    </w:p>
    <w:p w14:paraId="2BDE540E">
      <w:pPr>
        <w:spacing w:after="100" w:line="259" w:lineRule="auto"/>
        <w:jc w:val="left"/>
        <w:rPr>
          <w:rFonts w:ascii="宋体" w:hAnsi="宋体" w:eastAsia="宋体" w:cs="Times New Roman"/>
          <w:kern w:val="0"/>
          <w:szCs w:val="21"/>
        </w:rPr>
      </w:pPr>
    </w:p>
    <w:p w14:paraId="0B4B677E">
      <w:pPr>
        <w:spacing w:after="100" w:line="259" w:lineRule="auto"/>
        <w:jc w:val="left"/>
        <w:rPr>
          <w:rFonts w:ascii="宋体" w:hAnsi="宋体" w:eastAsia="宋体" w:cs="Times New Roman"/>
          <w:kern w:val="0"/>
          <w:szCs w:val="21"/>
        </w:rPr>
      </w:pPr>
      <w:r>
        <w:rPr>
          <w:rFonts w:ascii="宋体" w:hAnsi="宋体" w:eastAsia="宋体" w:cs="Times New Roman"/>
          <w:kern w:val="0"/>
          <w:szCs w:val="21"/>
        </w:rPr>
        <w:t xml:space="preserve"> </w:t>
      </w:r>
    </w:p>
    <w:p w14:paraId="66CE0E69">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0A0BB07C">
      <w:pPr>
        <w:spacing w:after="100" w:line="259" w:lineRule="auto"/>
        <w:jc w:val="left"/>
        <w:rPr>
          <w:rFonts w:ascii="宋体" w:hAnsi="宋体" w:eastAsia="宋体" w:cs="Times New Roman"/>
          <w:kern w:val="0"/>
          <w:szCs w:val="21"/>
        </w:rPr>
      </w:pPr>
    </w:p>
    <w:p w14:paraId="7D7E2C75">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附件：4</w:t>
      </w:r>
    </w:p>
    <w:p w14:paraId="6C7C732C">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7D5B43C2">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主要建设工程文件目录</w:t>
      </w:r>
    </w:p>
    <w:p w14:paraId="31437585">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953"/>
        <w:gridCol w:w="989"/>
        <w:gridCol w:w="1450"/>
        <w:gridCol w:w="1243"/>
        <w:gridCol w:w="1498"/>
        <w:gridCol w:w="1667"/>
      </w:tblGrid>
      <w:tr w14:paraId="35D8E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04003587">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文件名称</w:t>
            </w:r>
          </w:p>
        </w:tc>
        <w:tc>
          <w:tcPr>
            <w:tcW w:w="989" w:type="dxa"/>
            <w:tcBorders>
              <w:top w:val="single" w:color="auto" w:sz="4" w:space="0"/>
              <w:left w:val="nil"/>
              <w:bottom w:val="single" w:color="auto" w:sz="4" w:space="0"/>
              <w:right w:val="single" w:color="auto" w:sz="4" w:space="0"/>
            </w:tcBorders>
            <w:vAlign w:val="center"/>
          </w:tcPr>
          <w:p w14:paraId="17123717">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套数</w:t>
            </w:r>
          </w:p>
        </w:tc>
        <w:tc>
          <w:tcPr>
            <w:tcW w:w="1450" w:type="dxa"/>
            <w:tcBorders>
              <w:top w:val="single" w:color="auto" w:sz="4" w:space="0"/>
              <w:left w:val="nil"/>
              <w:bottom w:val="single" w:color="auto" w:sz="4" w:space="0"/>
              <w:right w:val="single" w:color="auto" w:sz="4" w:space="0"/>
            </w:tcBorders>
            <w:vAlign w:val="center"/>
          </w:tcPr>
          <w:p w14:paraId="30D825ED">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费用（元）</w:t>
            </w:r>
          </w:p>
        </w:tc>
        <w:tc>
          <w:tcPr>
            <w:tcW w:w="1243" w:type="dxa"/>
            <w:tcBorders>
              <w:top w:val="single" w:color="auto" w:sz="4" w:space="0"/>
              <w:left w:val="nil"/>
              <w:bottom w:val="single" w:color="auto" w:sz="4" w:space="0"/>
              <w:right w:val="single" w:color="auto" w:sz="4" w:space="0"/>
            </w:tcBorders>
            <w:vAlign w:val="center"/>
          </w:tcPr>
          <w:p w14:paraId="6F33D441">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质量</w:t>
            </w:r>
          </w:p>
        </w:tc>
        <w:tc>
          <w:tcPr>
            <w:tcW w:w="1498" w:type="dxa"/>
            <w:tcBorders>
              <w:top w:val="single" w:color="auto" w:sz="4" w:space="0"/>
              <w:left w:val="nil"/>
              <w:bottom w:val="single" w:color="auto" w:sz="4" w:space="0"/>
              <w:right w:val="single" w:color="auto" w:sz="4" w:space="0"/>
            </w:tcBorders>
            <w:vAlign w:val="center"/>
          </w:tcPr>
          <w:p w14:paraId="3262B5AE">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移交时间</w:t>
            </w:r>
          </w:p>
        </w:tc>
        <w:tc>
          <w:tcPr>
            <w:tcW w:w="1667" w:type="dxa"/>
            <w:tcBorders>
              <w:top w:val="single" w:color="auto" w:sz="4" w:space="0"/>
              <w:left w:val="nil"/>
              <w:bottom w:val="single" w:color="auto" w:sz="4" w:space="0"/>
              <w:right w:val="single" w:color="auto" w:sz="4" w:space="0"/>
            </w:tcBorders>
            <w:vAlign w:val="center"/>
          </w:tcPr>
          <w:p w14:paraId="0FE095A0">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责任人</w:t>
            </w:r>
          </w:p>
        </w:tc>
      </w:tr>
      <w:tr w14:paraId="0C6E7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5CC4F5B9">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0B13A7C1">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0C176006">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77CB6F89">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5282E529">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029E429F">
            <w:pPr>
              <w:autoSpaceDE w:val="0"/>
              <w:autoSpaceDN w:val="0"/>
              <w:adjustRightInd w:val="0"/>
              <w:spacing w:line="320" w:lineRule="exact"/>
              <w:jc w:val="center"/>
              <w:rPr>
                <w:rFonts w:ascii="宋体" w:hAnsi="宋体" w:eastAsia="宋体" w:cs="Times New Roman"/>
                <w:kern w:val="0"/>
                <w:szCs w:val="21"/>
              </w:rPr>
            </w:pPr>
          </w:p>
        </w:tc>
      </w:tr>
      <w:tr w14:paraId="5D9A9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03DA0FF0">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5FA2145C">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67F4087B">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17F641AF">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5D4298BC">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5EEA4D0C">
            <w:pPr>
              <w:autoSpaceDE w:val="0"/>
              <w:autoSpaceDN w:val="0"/>
              <w:adjustRightInd w:val="0"/>
              <w:spacing w:line="320" w:lineRule="exact"/>
              <w:jc w:val="center"/>
              <w:rPr>
                <w:rFonts w:ascii="宋体" w:hAnsi="宋体" w:eastAsia="宋体" w:cs="Times New Roman"/>
                <w:kern w:val="0"/>
                <w:szCs w:val="21"/>
              </w:rPr>
            </w:pPr>
          </w:p>
        </w:tc>
      </w:tr>
      <w:tr w14:paraId="0B2B0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0F787D99">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1C7722A3">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217888B4">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282131CA">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1C7FE867">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72037EF9">
            <w:pPr>
              <w:autoSpaceDE w:val="0"/>
              <w:autoSpaceDN w:val="0"/>
              <w:adjustRightInd w:val="0"/>
              <w:spacing w:line="320" w:lineRule="exact"/>
              <w:jc w:val="center"/>
              <w:rPr>
                <w:rFonts w:ascii="宋体" w:hAnsi="宋体" w:eastAsia="宋体" w:cs="Times New Roman"/>
                <w:kern w:val="0"/>
                <w:szCs w:val="21"/>
              </w:rPr>
            </w:pPr>
          </w:p>
        </w:tc>
      </w:tr>
      <w:tr w14:paraId="60694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0C006687">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0669F029">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292F0154">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0B52C258">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00F660BF">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06EA2A66">
            <w:pPr>
              <w:autoSpaceDE w:val="0"/>
              <w:autoSpaceDN w:val="0"/>
              <w:adjustRightInd w:val="0"/>
              <w:spacing w:line="320" w:lineRule="exact"/>
              <w:jc w:val="center"/>
              <w:rPr>
                <w:rFonts w:ascii="宋体" w:hAnsi="宋体" w:eastAsia="宋体" w:cs="Times New Roman"/>
                <w:kern w:val="0"/>
                <w:szCs w:val="21"/>
              </w:rPr>
            </w:pPr>
          </w:p>
        </w:tc>
      </w:tr>
      <w:tr w14:paraId="3BD3C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4211F340">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45ADB71D">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3456BDB6">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7EB8B15A">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0E78B96B">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486DEAC1">
            <w:pPr>
              <w:autoSpaceDE w:val="0"/>
              <w:autoSpaceDN w:val="0"/>
              <w:adjustRightInd w:val="0"/>
              <w:spacing w:line="320" w:lineRule="exact"/>
              <w:jc w:val="center"/>
              <w:rPr>
                <w:rFonts w:ascii="宋体" w:hAnsi="宋体" w:eastAsia="宋体" w:cs="Times New Roman"/>
                <w:kern w:val="0"/>
                <w:szCs w:val="21"/>
              </w:rPr>
            </w:pPr>
          </w:p>
        </w:tc>
      </w:tr>
      <w:tr w14:paraId="0DD4A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45885A60">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1AFFE87F">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66871EE2">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68B8C0A1">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12C2DC59">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588BFF79">
            <w:pPr>
              <w:autoSpaceDE w:val="0"/>
              <w:autoSpaceDN w:val="0"/>
              <w:adjustRightInd w:val="0"/>
              <w:spacing w:line="320" w:lineRule="exact"/>
              <w:jc w:val="center"/>
              <w:rPr>
                <w:rFonts w:ascii="宋体" w:hAnsi="宋体" w:eastAsia="宋体" w:cs="Times New Roman"/>
                <w:kern w:val="0"/>
                <w:szCs w:val="21"/>
              </w:rPr>
            </w:pPr>
          </w:p>
        </w:tc>
      </w:tr>
      <w:tr w14:paraId="023DC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321EBB4C">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60042ACC">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1AEACC4C">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3CAC4093">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37360D63">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2FAC5B78">
            <w:pPr>
              <w:autoSpaceDE w:val="0"/>
              <w:autoSpaceDN w:val="0"/>
              <w:adjustRightInd w:val="0"/>
              <w:spacing w:line="320" w:lineRule="exact"/>
              <w:jc w:val="center"/>
              <w:rPr>
                <w:rFonts w:ascii="宋体" w:hAnsi="宋体" w:eastAsia="宋体" w:cs="Times New Roman"/>
                <w:kern w:val="0"/>
                <w:szCs w:val="21"/>
              </w:rPr>
            </w:pPr>
          </w:p>
        </w:tc>
      </w:tr>
      <w:tr w14:paraId="45CEF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184F4C15">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35267389">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1F2B1834">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534C36AA">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2DDA054E">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200A4A3E">
            <w:pPr>
              <w:autoSpaceDE w:val="0"/>
              <w:autoSpaceDN w:val="0"/>
              <w:adjustRightInd w:val="0"/>
              <w:spacing w:line="320" w:lineRule="exact"/>
              <w:jc w:val="center"/>
              <w:rPr>
                <w:rFonts w:ascii="宋体" w:hAnsi="宋体" w:eastAsia="宋体" w:cs="Times New Roman"/>
                <w:kern w:val="0"/>
                <w:szCs w:val="21"/>
              </w:rPr>
            </w:pPr>
          </w:p>
        </w:tc>
      </w:tr>
      <w:tr w14:paraId="751E3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30AFE0EB">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66545DA7">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4D99B80B">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1D3658D0">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48F9DCBC">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3495E27A">
            <w:pPr>
              <w:autoSpaceDE w:val="0"/>
              <w:autoSpaceDN w:val="0"/>
              <w:adjustRightInd w:val="0"/>
              <w:spacing w:line="320" w:lineRule="exact"/>
              <w:jc w:val="center"/>
              <w:rPr>
                <w:rFonts w:ascii="宋体" w:hAnsi="宋体" w:eastAsia="宋体" w:cs="Times New Roman"/>
                <w:kern w:val="0"/>
                <w:szCs w:val="21"/>
              </w:rPr>
            </w:pPr>
          </w:p>
        </w:tc>
      </w:tr>
      <w:tr w14:paraId="0BF8F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22F40E35">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07D1D3E9">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17BB3E28">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054C33F7">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57723D62">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54A9AA59">
            <w:pPr>
              <w:autoSpaceDE w:val="0"/>
              <w:autoSpaceDN w:val="0"/>
              <w:adjustRightInd w:val="0"/>
              <w:spacing w:line="320" w:lineRule="exact"/>
              <w:jc w:val="center"/>
              <w:rPr>
                <w:rFonts w:ascii="宋体" w:hAnsi="宋体" w:eastAsia="宋体" w:cs="Times New Roman"/>
                <w:kern w:val="0"/>
                <w:szCs w:val="21"/>
              </w:rPr>
            </w:pPr>
          </w:p>
        </w:tc>
      </w:tr>
      <w:tr w14:paraId="4C6B6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69696867">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0BD729E9">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586F9819">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4C2AE9B9">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2555349A">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50CFBBFB">
            <w:pPr>
              <w:autoSpaceDE w:val="0"/>
              <w:autoSpaceDN w:val="0"/>
              <w:adjustRightInd w:val="0"/>
              <w:spacing w:line="320" w:lineRule="exact"/>
              <w:jc w:val="center"/>
              <w:rPr>
                <w:rFonts w:ascii="宋体" w:hAnsi="宋体" w:eastAsia="宋体" w:cs="Times New Roman"/>
                <w:kern w:val="0"/>
                <w:szCs w:val="21"/>
              </w:rPr>
            </w:pPr>
          </w:p>
        </w:tc>
      </w:tr>
      <w:tr w14:paraId="2E071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4ECE4A82">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5B0D3185">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2431A26B">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1F30BA51">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2B6867EE">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5F67D945">
            <w:pPr>
              <w:autoSpaceDE w:val="0"/>
              <w:autoSpaceDN w:val="0"/>
              <w:adjustRightInd w:val="0"/>
              <w:spacing w:line="320" w:lineRule="exact"/>
              <w:jc w:val="center"/>
              <w:rPr>
                <w:rFonts w:ascii="宋体" w:hAnsi="宋体" w:eastAsia="宋体" w:cs="Times New Roman"/>
                <w:kern w:val="0"/>
                <w:szCs w:val="21"/>
              </w:rPr>
            </w:pPr>
          </w:p>
        </w:tc>
      </w:tr>
      <w:tr w14:paraId="2F6BD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60B0AD79">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74FBF47D">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00DF5115">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123634E0">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4497293A">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76156FB8">
            <w:pPr>
              <w:autoSpaceDE w:val="0"/>
              <w:autoSpaceDN w:val="0"/>
              <w:adjustRightInd w:val="0"/>
              <w:spacing w:line="320" w:lineRule="exact"/>
              <w:jc w:val="center"/>
              <w:rPr>
                <w:rFonts w:ascii="宋体" w:hAnsi="宋体" w:eastAsia="宋体" w:cs="Times New Roman"/>
                <w:kern w:val="0"/>
                <w:szCs w:val="21"/>
              </w:rPr>
            </w:pPr>
          </w:p>
        </w:tc>
      </w:tr>
      <w:tr w14:paraId="77527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5870D72C">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7BFB9F54">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7F1C4C61">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7BAB109B">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6CA915BF">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2DB441F0">
            <w:pPr>
              <w:autoSpaceDE w:val="0"/>
              <w:autoSpaceDN w:val="0"/>
              <w:adjustRightInd w:val="0"/>
              <w:spacing w:line="320" w:lineRule="exact"/>
              <w:jc w:val="center"/>
              <w:rPr>
                <w:rFonts w:ascii="宋体" w:hAnsi="宋体" w:eastAsia="宋体" w:cs="Times New Roman"/>
                <w:kern w:val="0"/>
                <w:szCs w:val="21"/>
              </w:rPr>
            </w:pPr>
          </w:p>
        </w:tc>
      </w:tr>
      <w:tr w14:paraId="70440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30AA1056">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07418418">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77753FD1">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681E307B">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6936CCC0">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7659DB6E">
            <w:pPr>
              <w:autoSpaceDE w:val="0"/>
              <w:autoSpaceDN w:val="0"/>
              <w:adjustRightInd w:val="0"/>
              <w:spacing w:line="320" w:lineRule="exact"/>
              <w:jc w:val="center"/>
              <w:rPr>
                <w:rFonts w:ascii="宋体" w:hAnsi="宋体" w:eastAsia="宋体" w:cs="Times New Roman"/>
                <w:kern w:val="0"/>
                <w:szCs w:val="21"/>
              </w:rPr>
            </w:pPr>
          </w:p>
        </w:tc>
      </w:tr>
      <w:tr w14:paraId="52E1D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953" w:type="dxa"/>
            <w:tcBorders>
              <w:top w:val="single" w:color="auto" w:sz="4" w:space="0"/>
              <w:left w:val="single" w:color="auto" w:sz="4" w:space="0"/>
              <w:bottom w:val="single" w:color="auto" w:sz="4" w:space="0"/>
              <w:right w:val="single" w:color="auto" w:sz="4" w:space="0"/>
            </w:tcBorders>
            <w:vAlign w:val="center"/>
          </w:tcPr>
          <w:p w14:paraId="7D561D09">
            <w:pPr>
              <w:autoSpaceDE w:val="0"/>
              <w:autoSpaceDN w:val="0"/>
              <w:adjustRightInd w:val="0"/>
              <w:spacing w:line="320" w:lineRule="exact"/>
              <w:jc w:val="center"/>
              <w:rPr>
                <w:rFonts w:ascii="宋体" w:hAnsi="宋体" w:eastAsia="宋体" w:cs="Times New Roman"/>
                <w:kern w:val="0"/>
                <w:szCs w:val="21"/>
              </w:rPr>
            </w:pPr>
          </w:p>
        </w:tc>
        <w:tc>
          <w:tcPr>
            <w:tcW w:w="989" w:type="dxa"/>
            <w:tcBorders>
              <w:top w:val="single" w:color="auto" w:sz="4" w:space="0"/>
              <w:left w:val="nil"/>
              <w:bottom w:val="single" w:color="auto" w:sz="4" w:space="0"/>
              <w:right w:val="single" w:color="auto" w:sz="4" w:space="0"/>
            </w:tcBorders>
            <w:vAlign w:val="center"/>
          </w:tcPr>
          <w:p w14:paraId="6BA4E3AB">
            <w:pPr>
              <w:autoSpaceDE w:val="0"/>
              <w:autoSpaceDN w:val="0"/>
              <w:adjustRightInd w:val="0"/>
              <w:spacing w:line="320" w:lineRule="exact"/>
              <w:jc w:val="center"/>
              <w:rPr>
                <w:rFonts w:ascii="宋体" w:hAnsi="宋体" w:eastAsia="宋体" w:cs="Times New Roman"/>
                <w:kern w:val="0"/>
                <w:szCs w:val="21"/>
              </w:rPr>
            </w:pPr>
          </w:p>
        </w:tc>
        <w:tc>
          <w:tcPr>
            <w:tcW w:w="1450" w:type="dxa"/>
            <w:tcBorders>
              <w:top w:val="single" w:color="auto" w:sz="4" w:space="0"/>
              <w:left w:val="nil"/>
              <w:bottom w:val="single" w:color="auto" w:sz="4" w:space="0"/>
              <w:right w:val="single" w:color="auto" w:sz="4" w:space="0"/>
            </w:tcBorders>
            <w:vAlign w:val="center"/>
          </w:tcPr>
          <w:p w14:paraId="2FBF0BA3">
            <w:pPr>
              <w:autoSpaceDE w:val="0"/>
              <w:autoSpaceDN w:val="0"/>
              <w:adjustRightInd w:val="0"/>
              <w:spacing w:line="320" w:lineRule="exact"/>
              <w:jc w:val="center"/>
              <w:rPr>
                <w:rFonts w:ascii="宋体" w:hAnsi="宋体" w:eastAsia="宋体" w:cs="Times New Roman"/>
                <w:kern w:val="0"/>
                <w:szCs w:val="21"/>
              </w:rPr>
            </w:pPr>
          </w:p>
        </w:tc>
        <w:tc>
          <w:tcPr>
            <w:tcW w:w="1243" w:type="dxa"/>
            <w:tcBorders>
              <w:top w:val="single" w:color="auto" w:sz="4" w:space="0"/>
              <w:left w:val="nil"/>
              <w:bottom w:val="single" w:color="auto" w:sz="4" w:space="0"/>
              <w:right w:val="single" w:color="auto" w:sz="4" w:space="0"/>
            </w:tcBorders>
            <w:vAlign w:val="center"/>
          </w:tcPr>
          <w:p w14:paraId="4F2E3113">
            <w:pPr>
              <w:autoSpaceDE w:val="0"/>
              <w:autoSpaceDN w:val="0"/>
              <w:adjustRightInd w:val="0"/>
              <w:spacing w:line="320" w:lineRule="exact"/>
              <w:jc w:val="center"/>
              <w:rPr>
                <w:rFonts w:ascii="宋体" w:hAnsi="宋体" w:eastAsia="宋体" w:cs="Times New Roman"/>
                <w:kern w:val="0"/>
                <w:szCs w:val="21"/>
              </w:rPr>
            </w:pPr>
          </w:p>
        </w:tc>
        <w:tc>
          <w:tcPr>
            <w:tcW w:w="1498" w:type="dxa"/>
            <w:tcBorders>
              <w:top w:val="single" w:color="auto" w:sz="4" w:space="0"/>
              <w:left w:val="nil"/>
              <w:bottom w:val="single" w:color="auto" w:sz="4" w:space="0"/>
              <w:right w:val="single" w:color="auto" w:sz="4" w:space="0"/>
            </w:tcBorders>
            <w:vAlign w:val="center"/>
          </w:tcPr>
          <w:p w14:paraId="3A1D7CF8">
            <w:pPr>
              <w:autoSpaceDE w:val="0"/>
              <w:autoSpaceDN w:val="0"/>
              <w:adjustRightInd w:val="0"/>
              <w:spacing w:line="320" w:lineRule="exact"/>
              <w:jc w:val="center"/>
              <w:rPr>
                <w:rFonts w:ascii="宋体" w:hAnsi="宋体" w:eastAsia="宋体" w:cs="Times New Roman"/>
                <w:kern w:val="0"/>
                <w:szCs w:val="21"/>
              </w:rPr>
            </w:pPr>
          </w:p>
        </w:tc>
        <w:tc>
          <w:tcPr>
            <w:tcW w:w="1667" w:type="dxa"/>
            <w:tcBorders>
              <w:top w:val="single" w:color="auto" w:sz="4" w:space="0"/>
              <w:left w:val="nil"/>
              <w:bottom w:val="single" w:color="auto" w:sz="4" w:space="0"/>
              <w:right w:val="single" w:color="auto" w:sz="4" w:space="0"/>
            </w:tcBorders>
            <w:vAlign w:val="center"/>
          </w:tcPr>
          <w:p w14:paraId="1850127C">
            <w:pPr>
              <w:autoSpaceDE w:val="0"/>
              <w:autoSpaceDN w:val="0"/>
              <w:adjustRightInd w:val="0"/>
              <w:spacing w:line="320" w:lineRule="exact"/>
              <w:jc w:val="center"/>
              <w:rPr>
                <w:rFonts w:ascii="宋体" w:hAnsi="宋体" w:eastAsia="宋体" w:cs="Times New Roman"/>
                <w:kern w:val="0"/>
                <w:szCs w:val="21"/>
              </w:rPr>
            </w:pPr>
          </w:p>
        </w:tc>
      </w:tr>
    </w:tbl>
    <w:p w14:paraId="3C1F92CF">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224FEA2A">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6ED7145D">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C351C16">
      <w:pPr>
        <w:autoSpaceDE w:val="0"/>
        <w:autoSpaceDN w:val="0"/>
        <w:adjustRightInd w:val="0"/>
        <w:jc w:val="left"/>
        <w:rPr>
          <w:rFonts w:ascii="宋体" w:hAnsi="宋体" w:eastAsia="宋体" w:cs="Times New Roman"/>
          <w:kern w:val="0"/>
          <w:szCs w:val="21"/>
        </w:rPr>
      </w:pPr>
    </w:p>
    <w:p w14:paraId="2C834BD7">
      <w:pPr>
        <w:autoSpaceDE w:val="0"/>
        <w:autoSpaceDN w:val="0"/>
        <w:adjustRightInd w:val="0"/>
        <w:jc w:val="left"/>
        <w:rPr>
          <w:rFonts w:ascii="宋体" w:hAnsi="宋体" w:eastAsia="宋体" w:cs="Times New Roman"/>
          <w:kern w:val="0"/>
          <w:szCs w:val="21"/>
        </w:rPr>
      </w:pPr>
    </w:p>
    <w:p w14:paraId="44013466">
      <w:pPr>
        <w:autoSpaceDE w:val="0"/>
        <w:autoSpaceDN w:val="0"/>
        <w:adjustRightInd w:val="0"/>
        <w:jc w:val="left"/>
        <w:rPr>
          <w:rFonts w:ascii="宋体" w:hAnsi="宋体" w:eastAsia="宋体" w:cs="Times New Roman"/>
          <w:kern w:val="0"/>
          <w:szCs w:val="21"/>
        </w:rPr>
      </w:pPr>
    </w:p>
    <w:p w14:paraId="7D43F6DB">
      <w:pPr>
        <w:autoSpaceDE w:val="0"/>
        <w:autoSpaceDN w:val="0"/>
        <w:adjustRightInd w:val="0"/>
        <w:jc w:val="left"/>
        <w:rPr>
          <w:rFonts w:ascii="宋体" w:hAnsi="宋体" w:eastAsia="宋体" w:cs="Times New Roman"/>
          <w:kern w:val="0"/>
          <w:szCs w:val="21"/>
        </w:rPr>
      </w:pPr>
    </w:p>
    <w:p w14:paraId="33622C8A">
      <w:pPr>
        <w:autoSpaceDE w:val="0"/>
        <w:autoSpaceDN w:val="0"/>
        <w:adjustRightInd w:val="0"/>
        <w:jc w:val="left"/>
        <w:rPr>
          <w:rFonts w:ascii="宋体" w:hAnsi="宋体" w:eastAsia="宋体" w:cs="Times New Roman"/>
          <w:kern w:val="0"/>
          <w:szCs w:val="21"/>
        </w:rPr>
      </w:pPr>
    </w:p>
    <w:p w14:paraId="58538312">
      <w:pPr>
        <w:autoSpaceDE w:val="0"/>
        <w:autoSpaceDN w:val="0"/>
        <w:adjustRightInd w:val="0"/>
        <w:jc w:val="left"/>
        <w:rPr>
          <w:rFonts w:ascii="宋体" w:hAnsi="宋体" w:eastAsia="宋体" w:cs="Times New Roman"/>
          <w:kern w:val="0"/>
          <w:szCs w:val="21"/>
        </w:rPr>
      </w:pPr>
    </w:p>
    <w:p w14:paraId="16D83AAF">
      <w:pPr>
        <w:autoSpaceDE w:val="0"/>
        <w:autoSpaceDN w:val="0"/>
        <w:adjustRightInd w:val="0"/>
        <w:jc w:val="left"/>
        <w:rPr>
          <w:rFonts w:ascii="宋体" w:hAnsi="宋体" w:eastAsia="宋体" w:cs="Times New Roman"/>
          <w:kern w:val="0"/>
          <w:szCs w:val="21"/>
        </w:rPr>
      </w:pPr>
    </w:p>
    <w:p w14:paraId="005009B2">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19909508">
      <w:pPr>
        <w:autoSpaceDE w:val="0"/>
        <w:autoSpaceDN w:val="0"/>
        <w:adjustRightInd w:val="0"/>
        <w:jc w:val="left"/>
        <w:rPr>
          <w:rFonts w:ascii="宋体" w:hAnsi="宋体" w:eastAsia="宋体" w:cs="Times New Roman"/>
          <w:kern w:val="0"/>
          <w:szCs w:val="21"/>
        </w:rPr>
      </w:pPr>
    </w:p>
    <w:p w14:paraId="5AB2238E">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附件：5</w:t>
      </w:r>
    </w:p>
    <w:p w14:paraId="7F0AEA03">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60C068ED">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承包人用于本工程施工的机械设备表</w:t>
      </w:r>
    </w:p>
    <w:p w14:paraId="50864568">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tbl>
      <w:tblPr>
        <w:tblStyle w:val="62"/>
        <w:tblW w:w="88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99"/>
        <w:gridCol w:w="1347"/>
        <w:gridCol w:w="850"/>
        <w:gridCol w:w="641"/>
        <w:gridCol w:w="740"/>
        <w:gridCol w:w="1020"/>
        <w:gridCol w:w="1480"/>
        <w:gridCol w:w="1020"/>
        <w:gridCol w:w="921"/>
      </w:tblGrid>
      <w:tr w14:paraId="570BA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4A21838B">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序号</w:t>
            </w:r>
          </w:p>
        </w:tc>
        <w:tc>
          <w:tcPr>
            <w:tcW w:w="1347" w:type="dxa"/>
            <w:tcBorders>
              <w:top w:val="single" w:color="auto" w:sz="4" w:space="0"/>
              <w:left w:val="nil"/>
              <w:bottom w:val="single" w:color="auto" w:sz="4" w:space="0"/>
              <w:right w:val="single" w:color="auto" w:sz="4" w:space="0"/>
            </w:tcBorders>
            <w:vAlign w:val="center"/>
          </w:tcPr>
          <w:p w14:paraId="02C04065">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机械或设备名称</w:t>
            </w:r>
          </w:p>
        </w:tc>
        <w:tc>
          <w:tcPr>
            <w:tcW w:w="850" w:type="dxa"/>
            <w:tcBorders>
              <w:top w:val="single" w:color="auto" w:sz="4" w:space="0"/>
              <w:left w:val="nil"/>
              <w:bottom w:val="single" w:color="auto" w:sz="4" w:space="0"/>
              <w:right w:val="single" w:color="auto" w:sz="4" w:space="0"/>
            </w:tcBorders>
            <w:vAlign w:val="center"/>
          </w:tcPr>
          <w:p w14:paraId="24730E74">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规格</w:t>
            </w:r>
          </w:p>
          <w:p w14:paraId="6CFE2E9D">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型号</w:t>
            </w:r>
          </w:p>
        </w:tc>
        <w:tc>
          <w:tcPr>
            <w:tcW w:w="641" w:type="dxa"/>
            <w:tcBorders>
              <w:top w:val="single" w:color="auto" w:sz="4" w:space="0"/>
              <w:left w:val="nil"/>
              <w:bottom w:val="single" w:color="auto" w:sz="4" w:space="0"/>
              <w:right w:val="single" w:color="auto" w:sz="4" w:space="0"/>
            </w:tcBorders>
            <w:vAlign w:val="center"/>
          </w:tcPr>
          <w:p w14:paraId="6E4F2FE6">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数量</w:t>
            </w:r>
          </w:p>
        </w:tc>
        <w:tc>
          <w:tcPr>
            <w:tcW w:w="740" w:type="dxa"/>
            <w:tcBorders>
              <w:top w:val="single" w:color="auto" w:sz="4" w:space="0"/>
              <w:left w:val="nil"/>
              <w:bottom w:val="single" w:color="auto" w:sz="4" w:space="0"/>
              <w:right w:val="single" w:color="auto" w:sz="4" w:space="0"/>
            </w:tcBorders>
            <w:vAlign w:val="center"/>
          </w:tcPr>
          <w:p w14:paraId="6EED75ED">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产地</w:t>
            </w:r>
          </w:p>
        </w:tc>
        <w:tc>
          <w:tcPr>
            <w:tcW w:w="1020" w:type="dxa"/>
            <w:tcBorders>
              <w:top w:val="single" w:color="auto" w:sz="4" w:space="0"/>
              <w:left w:val="nil"/>
              <w:bottom w:val="single" w:color="auto" w:sz="4" w:space="0"/>
              <w:right w:val="single" w:color="auto" w:sz="4" w:space="0"/>
            </w:tcBorders>
            <w:vAlign w:val="center"/>
          </w:tcPr>
          <w:p w14:paraId="26D1EA2E">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制造年份</w:t>
            </w:r>
          </w:p>
        </w:tc>
        <w:tc>
          <w:tcPr>
            <w:tcW w:w="1480" w:type="dxa"/>
            <w:tcBorders>
              <w:top w:val="single" w:color="auto" w:sz="4" w:space="0"/>
              <w:left w:val="nil"/>
              <w:bottom w:val="single" w:color="auto" w:sz="4" w:space="0"/>
              <w:right w:val="single" w:color="auto" w:sz="4" w:space="0"/>
            </w:tcBorders>
            <w:vAlign w:val="center"/>
          </w:tcPr>
          <w:p w14:paraId="5E119B89">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额定功率</w:t>
            </w:r>
          </w:p>
          <w:p w14:paraId="6488B2C8">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(kW)</w:t>
            </w:r>
          </w:p>
        </w:tc>
        <w:tc>
          <w:tcPr>
            <w:tcW w:w="1020" w:type="dxa"/>
            <w:tcBorders>
              <w:top w:val="single" w:color="auto" w:sz="4" w:space="0"/>
              <w:left w:val="nil"/>
              <w:bottom w:val="single" w:color="auto" w:sz="4" w:space="0"/>
              <w:right w:val="single" w:color="auto" w:sz="4" w:space="0"/>
            </w:tcBorders>
            <w:vAlign w:val="center"/>
          </w:tcPr>
          <w:p w14:paraId="6B3F7E97">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生产能力</w:t>
            </w:r>
          </w:p>
        </w:tc>
        <w:tc>
          <w:tcPr>
            <w:tcW w:w="921" w:type="dxa"/>
            <w:tcBorders>
              <w:top w:val="single" w:color="auto" w:sz="4" w:space="0"/>
              <w:left w:val="nil"/>
              <w:bottom w:val="single" w:color="auto" w:sz="4" w:space="0"/>
              <w:right w:val="single" w:color="auto" w:sz="4" w:space="0"/>
            </w:tcBorders>
            <w:vAlign w:val="center"/>
          </w:tcPr>
          <w:p w14:paraId="7DE8622F">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备注</w:t>
            </w:r>
          </w:p>
        </w:tc>
      </w:tr>
      <w:tr w14:paraId="01D4D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74B96792">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07C74D5E">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03EFD669">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230123A8">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7DC1AFA1">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0A7BBE42">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483EACBD">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2775A26F">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66E532A5">
            <w:pPr>
              <w:autoSpaceDE w:val="0"/>
              <w:autoSpaceDN w:val="0"/>
              <w:adjustRightInd w:val="0"/>
              <w:spacing w:line="320" w:lineRule="exact"/>
              <w:jc w:val="center"/>
              <w:rPr>
                <w:rFonts w:ascii="宋体" w:hAnsi="宋体" w:eastAsia="宋体" w:cs="Times New Roman"/>
                <w:kern w:val="0"/>
                <w:szCs w:val="21"/>
              </w:rPr>
            </w:pPr>
          </w:p>
        </w:tc>
      </w:tr>
      <w:tr w14:paraId="0DCA5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5D7825AD">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654A3A4F">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6BABDF15">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3B9A2888">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2411C5A5">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58D8156B">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74BA98D6">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35864A52">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7BDDF9F0">
            <w:pPr>
              <w:autoSpaceDE w:val="0"/>
              <w:autoSpaceDN w:val="0"/>
              <w:adjustRightInd w:val="0"/>
              <w:spacing w:line="320" w:lineRule="exact"/>
              <w:jc w:val="center"/>
              <w:rPr>
                <w:rFonts w:ascii="宋体" w:hAnsi="宋体" w:eastAsia="宋体" w:cs="Times New Roman"/>
                <w:kern w:val="0"/>
                <w:szCs w:val="21"/>
              </w:rPr>
            </w:pPr>
          </w:p>
        </w:tc>
      </w:tr>
      <w:tr w14:paraId="36269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26854E7E">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6320FFDA">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0404445C">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32BF420F">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6E55FB9C">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73A2786B">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3AF29EAD">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08BE2BCB">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02A2AF2A">
            <w:pPr>
              <w:autoSpaceDE w:val="0"/>
              <w:autoSpaceDN w:val="0"/>
              <w:adjustRightInd w:val="0"/>
              <w:spacing w:line="320" w:lineRule="exact"/>
              <w:jc w:val="center"/>
              <w:rPr>
                <w:rFonts w:ascii="宋体" w:hAnsi="宋体" w:eastAsia="宋体" w:cs="Times New Roman"/>
                <w:kern w:val="0"/>
                <w:szCs w:val="21"/>
              </w:rPr>
            </w:pPr>
          </w:p>
        </w:tc>
      </w:tr>
      <w:tr w14:paraId="37719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0249D89C">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660798F5">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4C83E95D">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7B9C7703">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3C8EB350">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4981DC67">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15F13B2E">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62780C6E">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3281C50F">
            <w:pPr>
              <w:autoSpaceDE w:val="0"/>
              <w:autoSpaceDN w:val="0"/>
              <w:adjustRightInd w:val="0"/>
              <w:spacing w:line="320" w:lineRule="exact"/>
              <w:jc w:val="center"/>
              <w:rPr>
                <w:rFonts w:ascii="宋体" w:hAnsi="宋体" w:eastAsia="宋体" w:cs="Times New Roman"/>
                <w:kern w:val="0"/>
                <w:szCs w:val="21"/>
              </w:rPr>
            </w:pPr>
          </w:p>
        </w:tc>
      </w:tr>
      <w:tr w14:paraId="67897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1B90CDBC">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1D3160B8">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0A5827E6">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72FF46BE">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4649DCF6">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1AAE9F9D">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382E0022">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57C7F7BC">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2D77C9E7">
            <w:pPr>
              <w:autoSpaceDE w:val="0"/>
              <w:autoSpaceDN w:val="0"/>
              <w:adjustRightInd w:val="0"/>
              <w:spacing w:line="320" w:lineRule="exact"/>
              <w:jc w:val="center"/>
              <w:rPr>
                <w:rFonts w:ascii="宋体" w:hAnsi="宋体" w:eastAsia="宋体" w:cs="Times New Roman"/>
                <w:kern w:val="0"/>
                <w:szCs w:val="21"/>
              </w:rPr>
            </w:pPr>
          </w:p>
        </w:tc>
      </w:tr>
      <w:tr w14:paraId="6F0CD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20BD6D90">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1E210103">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73307F71">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26960A76">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651C26CF">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0409BA28">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043733AD">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54C62E97">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51F64047">
            <w:pPr>
              <w:autoSpaceDE w:val="0"/>
              <w:autoSpaceDN w:val="0"/>
              <w:adjustRightInd w:val="0"/>
              <w:spacing w:line="320" w:lineRule="exact"/>
              <w:jc w:val="center"/>
              <w:rPr>
                <w:rFonts w:ascii="宋体" w:hAnsi="宋体" w:eastAsia="宋体" w:cs="Times New Roman"/>
                <w:kern w:val="0"/>
                <w:szCs w:val="21"/>
              </w:rPr>
            </w:pPr>
          </w:p>
        </w:tc>
      </w:tr>
      <w:tr w14:paraId="0EC8E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5A183BE3">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6EBE6953">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19DB8AA4">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1662883A">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5D10D9F5">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6A867161">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42B88D39">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3D0EAEA1">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774E380B">
            <w:pPr>
              <w:autoSpaceDE w:val="0"/>
              <w:autoSpaceDN w:val="0"/>
              <w:adjustRightInd w:val="0"/>
              <w:spacing w:line="320" w:lineRule="exact"/>
              <w:jc w:val="center"/>
              <w:rPr>
                <w:rFonts w:ascii="宋体" w:hAnsi="宋体" w:eastAsia="宋体" w:cs="Times New Roman"/>
                <w:kern w:val="0"/>
                <w:szCs w:val="21"/>
              </w:rPr>
            </w:pPr>
          </w:p>
        </w:tc>
      </w:tr>
      <w:tr w14:paraId="3BC20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4CE71DA4">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5968F1FF">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2A18A02D">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0DC59E57">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715827B9">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5DF8E648">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30A73E96">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1B18BF96">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1F7A8EB9">
            <w:pPr>
              <w:autoSpaceDE w:val="0"/>
              <w:autoSpaceDN w:val="0"/>
              <w:adjustRightInd w:val="0"/>
              <w:spacing w:line="320" w:lineRule="exact"/>
              <w:jc w:val="center"/>
              <w:rPr>
                <w:rFonts w:ascii="宋体" w:hAnsi="宋体" w:eastAsia="宋体" w:cs="Times New Roman"/>
                <w:kern w:val="0"/>
                <w:szCs w:val="21"/>
              </w:rPr>
            </w:pPr>
          </w:p>
        </w:tc>
      </w:tr>
      <w:tr w14:paraId="31726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1EDF0EE0">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6E4A6A5C">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37DF3419">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08DE737C">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59010BB3">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182ABFF3">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3B1292A9">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52913EE0">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2925FD47">
            <w:pPr>
              <w:autoSpaceDE w:val="0"/>
              <w:autoSpaceDN w:val="0"/>
              <w:adjustRightInd w:val="0"/>
              <w:spacing w:line="320" w:lineRule="exact"/>
              <w:jc w:val="center"/>
              <w:rPr>
                <w:rFonts w:ascii="宋体" w:hAnsi="宋体" w:eastAsia="宋体" w:cs="Times New Roman"/>
                <w:kern w:val="0"/>
                <w:szCs w:val="21"/>
              </w:rPr>
            </w:pPr>
          </w:p>
        </w:tc>
      </w:tr>
      <w:tr w14:paraId="6D60B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0D062475">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3FB15A52">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11E2D003">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4552BCDC">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12241F7D">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0ED8B08A">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29F96577">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5FB65D12">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721D6962">
            <w:pPr>
              <w:autoSpaceDE w:val="0"/>
              <w:autoSpaceDN w:val="0"/>
              <w:adjustRightInd w:val="0"/>
              <w:spacing w:line="320" w:lineRule="exact"/>
              <w:jc w:val="center"/>
              <w:rPr>
                <w:rFonts w:ascii="宋体" w:hAnsi="宋体" w:eastAsia="宋体" w:cs="Times New Roman"/>
                <w:kern w:val="0"/>
                <w:szCs w:val="21"/>
              </w:rPr>
            </w:pPr>
          </w:p>
        </w:tc>
      </w:tr>
      <w:tr w14:paraId="70798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32B4A3EB">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57013494">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644AF32C">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2A5FBDEC">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3605BF88">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1591921C">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0C9EFD83">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4A704D0D">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5148C9FB">
            <w:pPr>
              <w:autoSpaceDE w:val="0"/>
              <w:autoSpaceDN w:val="0"/>
              <w:adjustRightInd w:val="0"/>
              <w:spacing w:line="320" w:lineRule="exact"/>
              <w:jc w:val="center"/>
              <w:rPr>
                <w:rFonts w:ascii="宋体" w:hAnsi="宋体" w:eastAsia="宋体" w:cs="Times New Roman"/>
                <w:kern w:val="0"/>
                <w:szCs w:val="21"/>
              </w:rPr>
            </w:pPr>
          </w:p>
        </w:tc>
      </w:tr>
      <w:tr w14:paraId="40784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027D627D">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1F381361">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454C2C09">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16421DCE">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017E14B9">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5CEDA91D">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247DA850">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03AEBDCA">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61B38EC0">
            <w:pPr>
              <w:autoSpaceDE w:val="0"/>
              <w:autoSpaceDN w:val="0"/>
              <w:adjustRightInd w:val="0"/>
              <w:spacing w:line="320" w:lineRule="exact"/>
              <w:jc w:val="center"/>
              <w:rPr>
                <w:rFonts w:ascii="宋体" w:hAnsi="宋体" w:eastAsia="宋体" w:cs="Times New Roman"/>
                <w:kern w:val="0"/>
                <w:szCs w:val="21"/>
              </w:rPr>
            </w:pPr>
          </w:p>
        </w:tc>
      </w:tr>
      <w:tr w14:paraId="7C290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615E947D">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04736132">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59647036">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7D31B888">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77812F57">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32021936">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158E0928">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05020386">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394DE3CD">
            <w:pPr>
              <w:autoSpaceDE w:val="0"/>
              <w:autoSpaceDN w:val="0"/>
              <w:adjustRightInd w:val="0"/>
              <w:spacing w:line="320" w:lineRule="exact"/>
              <w:jc w:val="center"/>
              <w:rPr>
                <w:rFonts w:ascii="宋体" w:hAnsi="宋体" w:eastAsia="宋体" w:cs="Times New Roman"/>
                <w:kern w:val="0"/>
                <w:szCs w:val="21"/>
              </w:rPr>
            </w:pPr>
          </w:p>
        </w:tc>
      </w:tr>
      <w:tr w14:paraId="612FA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4D9EF080">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657D4407">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11A79F1B">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668F8B20">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2BD92CEF">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459D8C4A">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481BC6F4">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6CAC50D6">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29A6058C">
            <w:pPr>
              <w:autoSpaceDE w:val="0"/>
              <w:autoSpaceDN w:val="0"/>
              <w:adjustRightInd w:val="0"/>
              <w:spacing w:line="320" w:lineRule="exact"/>
              <w:jc w:val="center"/>
              <w:rPr>
                <w:rFonts w:ascii="宋体" w:hAnsi="宋体" w:eastAsia="宋体" w:cs="Times New Roman"/>
                <w:kern w:val="0"/>
                <w:szCs w:val="21"/>
              </w:rPr>
            </w:pPr>
          </w:p>
        </w:tc>
      </w:tr>
      <w:tr w14:paraId="4C311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7BA41951">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616C387A">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0FBF8A7F">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4230EC60">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69E8E83A">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2721F29B">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5C64EF9C">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27492291">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3BBFE7EC">
            <w:pPr>
              <w:autoSpaceDE w:val="0"/>
              <w:autoSpaceDN w:val="0"/>
              <w:adjustRightInd w:val="0"/>
              <w:spacing w:line="320" w:lineRule="exact"/>
              <w:jc w:val="center"/>
              <w:rPr>
                <w:rFonts w:ascii="宋体" w:hAnsi="宋体" w:eastAsia="宋体" w:cs="Times New Roman"/>
                <w:kern w:val="0"/>
                <w:szCs w:val="21"/>
              </w:rPr>
            </w:pPr>
          </w:p>
        </w:tc>
      </w:tr>
      <w:tr w14:paraId="65A7A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12E5E024">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17D47256">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4C331BFE">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5FC5B570">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3ECE858B">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13E60901">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7AF4273A">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0391E14C">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0E7CD297">
            <w:pPr>
              <w:autoSpaceDE w:val="0"/>
              <w:autoSpaceDN w:val="0"/>
              <w:adjustRightInd w:val="0"/>
              <w:spacing w:line="320" w:lineRule="exact"/>
              <w:jc w:val="center"/>
              <w:rPr>
                <w:rFonts w:ascii="宋体" w:hAnsi="宋体" w:eastAsia="宋体" w:cs="Times New Roman"/>
                <w:kern w:val="0"/>
                <w:szCs w:val="21"/>
              </w:rPr>
            </w:pPr>
          </w:p>
        </w:tc>
      </w:tr>
      <w:tr w14:paraId="07FE6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2" w:hRule="atLeast"/>
          <w:jc w:val="center"/>
        </w:trPr>
        <w:tc>
          <w:tcPr>
            <w:tcW w:w="799" w:type="dxa"/>
            <w:tcBorders>
              <w:top w:val="single" w:color="auto" w:sz="4" w:space="0"/>
              <w:left w:val="single" w:color="auto" w:sz="4" w:space="0"/>
              <w:bottom w:val="single" w:color="auto" w:sz="4" w:space="0"/>
              <w:right w:val="single" w:color="auto" w:sz="4" w:space="0"/>
            </w:tcBorders>
            <w:vAlign w:val="center"/>
          </w:tcPr>
          <w:p w14:paraId="6B550A55">
            <w:pPr>
              <w:autoSpaceDE w:val="0"/>
              <w:autoSpaceDN w:val="0"/>
              <w:adjustRightInd w:val="0"/>
              <w:spacing w:line="320" w:lineRule="exact"/>
              <w:jc w:val="center"/>
              <w:rPr>
                <w:rFonts w:ascii="宋体" w:hAnsi="宋体" w:eastAsia="宋体" w:cs="Times New Roman"/>
                <w:kern w:val="0"/>
                <w:szCs w:val="21"/>
              </w:rPr>
            </w:pPr>
          </w:p>
        </w:tc>
        <w:tc>
          <w:tcPr>
            <w:tcW w:w="1347" w:type="dxa"/>
            <w:tcBorders>
              <w:top w:val="single" w:color="auto" w:sz="4" w:space="0"/>
              <w:left w:val="nil"/>
              <w:bottom w:val="single" w:color="auto" w:sz="4" w:space="0"/>
              <w:right w:val="single" w:color="auto" w:sz="4" w:space="0"/>
            </w:tcBorders>
            <w:vAlign w:val="center"/>
          </w:tcPr>
          <w:p w14:paraId="387A4BFA">
            <w:pPr>
              <w:autoSpaceDE w:val="0"/>
              <w:autoSpaceDN w:val="0"/>
              <w:adjustRightInd w:val="0"/>
              <w:spacing w:line="320" w:lineRule="exact"/>
              <w:jc w:val="center"/>
              <w:rPr>
                <w:rFonts w:ascii="宋体" w:hAnsi="宋体" w:eastAsia="宋体" w:cs="Times New Roman"/>
                <w:kern w:val="0"/>
                <w:szCs w:val="21"/>
              </w:rPr>
            </w:pPr>
          </w:p>
        </w:tc>
        <w:tc>
          <w:tcPr>
            <w:tcW w:w="850" w:type="dxa"/>
            <w:tcBorders>
              <w:top w:val="single" w:color="auto" w:sz="4" w:space="0"/>
              <w:left w:val="nil"/>
              <w:bottom w:val="single" w:color="auto" w:sz="4" w:space="0"/>
              <w:right w:val="single" w:color="auto" w:sz="4" w:space="0"/>
            </w:tcBorders>
            <w:vAlign w:val="center"/>
          </w:tcPr>
          <w:p w14:paraId="46C17B47">
            <w:pPr>
              <w:autoSpaceDE w:val="0"/>
              <w:autoSpaceDN w:val="0"/>
              <w:adjustRightInd w:val="0"/>
              <w:spacing w:line="320" w:lineRule="exact"/>
              <w:jc w:val="center"/>
              <w:rPr>
                <w:rFonts w:ascii="宋体" w:hAnsi="宋体" w:eastAsia="宋体" w:cs="Times New Roman"/>
                <w:kern w:val="0"/>
                <w:szCs w:val="21"/>
              </w:rPr>
            </w:pPr>
          </w:p>
        </w:tc>
        <w:tc>
          <w:tcPr>
            <w:tcW w:w="641" w:type="dxa"/>
            <w:tcBorders>
              <w:top w:val="single" w:color="auto" w:sz="4" w:space="0"/>
              <w:left w:val="nil"/>
              <w:bottom w:val="single" w:color="auto" w:sz="4" w:space="0"/>
              <w:right w:val="single" w:color="auto" w:sz="4" w:space="0"/>
            </w:tcBorders>
            <w:vAlign w:val="center"/>
          </w:tcPr>
          <w:p w14:paraId="07A33B3F">
            <w:pPr>
              <w:autoSpaceDE w:val="0"/>
              <w:autoSpaceDN w:val="0"/>
              <w:adjustRightInd w:val="0"/>
              <w:spacing w:line="320" w:lineRule="exact"/>
              <w:jc w:val="center"/>
              <w:rPr>
                <w:rFonts w:ascii="宋体" w:hAnsi="宋体" w:eastAsia="宋体" w:cs="Times New Roman"/>
                <w:kern w:val="0"/>
                <w:szCs w:val="21"/>
              </w:rPr>
            </w:pPr>
          </w:p>
        </w:tc>
        <w:tc>
          <w:tcPr>
            <w:tcW w:w="740" w:type="dxa"/>
            <w:tcBorders>
              <w:top w:val="single" w:color="auto" w:sz="4" w:space="0"/>
              <w:left w:val="nil"/>
              <w:bottom w:val="single" w:color="auto" w:sz="4" w:space="0"/>
              <w:right w:val="single" w:color="auto" w:sz="4" w:space="0"/>
            </w:tcBorders>
            <w:vAlign w:val="center"/>
          </w:tcPr>
          <w:p w14:paraId="1C249B4F">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4366DAC0">
            <w:pPr>
              <w:autoSpaceDE w:val="0"/>
              <w:autoSpaceDN w:val="0"/>
              <w:adjustRightInd w:val="0"/>
              <w:spacing w:line="320" w:lineRule="exact"/>
              <w:jc w:val="center"/>
              <w:rPr>
                <w:rFonts w:ascii="宋体" w:hAnsi="宋体" w:eastAsia="宋体" w:cs="Times New Roman"/>
                <w:kern w:val="0"/>
                <w:szCs w:val="21"/>
              </w:rPr>
            </w:pPr>
          </w:p>
        </w:tc>
        <w:tc>
          <w:tcPr>
            <w:tcW w:w="1480" w:type="dxa"/>
            <w:tcBorders>
              <w:top w:val="single" w:color="auto" w:sz="4" w:space="0"/>
              <w:left w:val="nil"/>
              <w:bottom w:val="single" w:color="auto" w:sz="4" w:space="0"/>
              <w:right w:val="single" w:color="auto" w:sz="4" w:space="0"/>
            </w:tcBorders>
            <w:vAlign w:val="center"/>
          </w:tcPr>
          <w:p w14:paraId="5BE2C24D">
            <w:pPr>
              <w:autoSpaceDE w:val="0"/>
              <w:autoSpaceDN w:val="0"/>
              <w:adjustRightInd w:val="0"/>
              <w:spacing w:line="320" w:lineRule="exact"/>
              <w:jc w:val="center"/>
              <w:rPr>
                <w:rFonts w:ascii="宋体" w:hAnsi="宋体" w:eastAsia="宋体" w:cs="Times New Roman"/>
                <w:kern w:val="0"/>
                <w:szCs w:val="21"/>
              </w:rPr>
            </w:pPr>
          </w:p>
        </w:tc>
        <w:tc>
          <w:tcPr>
            <w:tcW w:w="1020" w:type="dxa"/>
            <w:tcBorders>
              <w:top w:val="single" w:color="auto" w:sz="4" w:space="0"/>
              <w:left w:val="nil"/>
              <w:bottom w:val="single" w:color="auto" w:sz="4" w:space="0"/>
              <w:right w:val="single" w:color="auto" w:sz="4" w:space="0"/>
            </w:tcBorders>
            <w:vAlign w:val="center"/>
          </w:tcPr>
          <w:p w14:paraId="2544F9E9">
            <w:pPr>
              <w:autoSpaceDE w:val="0"/>
              <w:autoSpaceDN w:val="0"/>
              <w:adjustRightInd w:val="0"/>
              <w:spacing w:line="320" w:lineRule="exact"/>
              <w:jc w:val="center"/>
              <w:rPr>
                <w:rFonts w:ascii="宋体" w:hAnsi="宋体" w:eastAsia="宋体" w:cs="Times New Roman"/>
                <w:kern w:val="0"/>
                <w:szCs w:val="21"/>
              </w:rPr>
            </w:pPr>
          </w:p>
        </w:tc>
        <w:tc>
          <w:tcPr>
            <w:tcW w:w="921" w:type="dxa"/>
            <w:tcBorders>
              <w:top w:val="single" w:color="auto" w:sz="4" w:space="0"/>
              <w:left w:val="nil"/>
              <w:bottom w:val="single" w:color="auto" w:sz="4" w:space="0"/>
              <w:right w:val="single" w:color="auto" w:sz="4" w:space="0"/>
            </w:tcBorders>
            <w:vAlign w:val="center"/>
          </w:tcPr>
          <w:p w14:paraId="623435BC">
            <w:pPr>
              <w:autoSpaceDE w:val="0"/>
              <w:autoSpaceDN w:val="0"/>
              <w:adjustRightInd w:val="0"/>
              <w:spacing w:line="320" w:lineRule="exact"/>
              <w:jc w:val="center"/>
              <w:rPr>
                <w:rFonts w:ascii="宋体" w:hAnsi="宋体" w:eastAsia="宋体" w:cs="Times New Roman"/>
                <w:kern w:val="0"/>
                <w:szCs w:val="21"/>
              </w:rPr>
            </w:pPr>
          </w:p>
        </w:tc>
      </w:tr>
    </w:tbl>
    <w:p w14:paraId="45098CB3">
      <w:pPr>
        <w:autoSpaceDE w:val="0"/>
        <w:autoSpaceDN w:val="0"/>
        <w:adjustRightInd w:val="0"/>
        <w:jc w:val="left"/>
        <w:rPr>
          <w:rFonts w:ascii="宋体" w:hAnsi="宋体" w:eastAsia="宋体" w:cs="Times New Roman"/>
          <w:kern w:val="0"/>
          <w:szCs w:val="21"/>
          <w:u w:val="single"/>
        </w:rPr>
      </w:pPr>
    </w:p>
    <w:p w14:paraId="1A6790E3">
      <w:pPr>
        <w:autoSpaceDE w:val="0"/>
        <w:autoSpaceDN w:val="0"/>
        <w:adjustRightInd w:val="0"/>
        <w:jc w:val="left"/>
        <w:rPr>
          <w:rFonts w:ascii="宋体" w:hAnsi="宋体" w:eastAsia="宋体" w:cs="Times New Roman"/>
          <w:kern w:val="0"/>
          <w:szCs w:val="21"/>
          <w:u w:val="single"/>
        </w:rPr>
      </w:pPr>
    </w:p>
    <w:p w14:paraId="122E107C">
      <w:pPr>
        <w:autoSpaceDE w:val="0"/>
        <w:autoSpaceDN w:val="0"/>
        <w:adjustRightInd w:val="0"/>
        <w:jc w:val="left"/>
        <w:rPr>
          <w:rFonts w:ascii="宋体" w:hAnsi="宋体" w:eastAsia="宋体" w:cs="Times New Roman"/>
          <w:kern w:val="0"/>
          <w:szCs w:val="21"/>
          <w:u w:val="single"/>
        </w:rPr>
      </w:pPr>
    </w:p>
    <w:p w14:paraId="0C3B2B7C">
      <w:pPr>
        <w:autoSpaceDE w:val="0"/>
        <w:autoSpaceDN w:val="0"/>
        <w:adjustRightInd w:val="0"/>
        <w:jc w:val="left"/>
        <w:rPr>
          <w:rFonts w:ascii="宋体" w:hAnsi="宋体" w:eastAsia="宋体" w:cs="Times New Roman"/>
          <w:kern w:val="0"/>
          <w:szCs w:val="21"/>
          <w:u w:val="single"/>
        </w:rPr>
      </w:pPr>
    </w:p>
    <w:p w14:paraId="54FFDDA2">
      <w:pPr>
        <w:autoSpaceDE w:val="0"/>
        <w:autoSpaceDN w:val="0"/>
        <w:adjustRightInd w:val="0"/>
        <w:jc w:val="left"/>
        <w:rPr>
          <w:rFonts w:ascii="宋体" w:hAnsi="宋体" w:eastAsia="宋体" w:cs="Times New Roman"/>
          <w:kern w:val="0"/>
          <w:szCs w:val="21"/>
          <w:u w:val="single"/>
        </w:rPr>
      </w:pPr>
    </w:p>
    <w:p w14:paraId="76E6626B">
      <w:pPr>
        <w:autoSpaceDE w:val="0"/>
        <w:autoSpaceDN w:val="0"/>
        <w:adjustRightInd w:val="0"/>
        <w:jc w:val="left"/>
        <w:rPr>
          <w:rFonts w:ascii="宋体" w:hAnsi="宋体" w:eastAsia="宋体" w:cs="Times New Roman"/>
          <w:kern w:val="0"/>
          <w:szCs w:val="21"/>
          <w:u w:val="single"/>
        </w:rPr>
      </w:pPr>
    </w:p>
    <w:p w14:paraId="7F5AA984">
      <w:pPr>
        <w:autoSpaceDE w:val="0"/>
        <w:autoSpaceDN w:val="0"/>
        <w:adjustRightInd w:val="0"/>
        <w:jc w:val="left"/>
        <w:rPr>
          <w:rFonts w:ascii="宋体" w:hAnsi="宋体" w:eastAsia="宋体" w:cs="Times New Roman"/>
          <w:kern w:val="0"/>
          <w:szCs w:val="21"/>
          <w:u w:val="single"/>
        </w:rPr>
      </w:pPr>
    </w:p>
    <w:p w14:paraId="54261687">
      <w:pPr>
        <w:autoSpaceDE w:val="0"/>
        <w:autoSpaceDN w:val="0"/>
        <w:adjustRightInd w:val="0"/>
        <w:jc w:val="left"/>
        <w:rPr>
          <w:rFonts w:ascii="宋体" w:hAnsi="宋体" w:eastAsia="宋体" w:cs="Times New Roman"/>
          <w:kern w:val="0"/>
          <w:szCs w:val="21"/>
          <w:u w:val="single"/>
        </w:rPr>
      </w:pPr>
    </w:p>
    <w:p w14:paraId="543B1055">
      <w:pPr>
        <w:autoSpaceDE w:val="0"/>
        <w:autoSpaceDN w:val="0"/>
        <w:adjustRightInd w:val="0"/>
        <w:jc w:val="left"/>
        <w:rPr>
          <w:rFonts w:ascii="宋体" w:hAnsi="宋体" w:eastAsia="宋体" w:cs="Times New Roman"/>
          <w:kern w:val="0"/>
          <w:szCs w:val="21"/>
          <w:u w:val="single"/>
        </w:rPr>
      </w:pPr>
    </w:p>
    <w:p w14:paraId="78EE7E2B">
      <w:pPr>
        <w:autoSpaceDE w:val="0"/>
        <w:autoSpaceDN w:val="0"/>
        <w:adjustRightInd w:val="0"/>
        <w:jc w:val="left"/>
        <w:rPr>
          <w:rFonts w:ascii="宋体" w:hAnsi="宋体" w:eastAsia="宋体" w:cs="Times New Roman"/>
          <w:kern w:val="0"/>
          <w:szCs w:val="21"/>
          <w:u w:val="single"/>
        </w:rPr>
      </w:pPr>
    </w:p>
    <w:p w14:paraId="706B2A09">
      <w:pPr>
        <w:autoSpaceDE w:val="0"/>
        <w:autoSpaceDN w:val="0"/>
        <w:adjustRightInd w:val="0"/>
        <w:jc w:val="left"/>
        <w:rPr>
          <w:rFonts w:ascii="宋体" w:hAnsi="宋体" w:eastAsia="宋体" w:cs="Times New Roman"/>
          <w:kern w:val="0"/>
          <w:szCs w:val="21"/>
          <w:u w:val="single"/>
        </w:rPr>
      </w:pPr>
    </w:p>
    <w:p w14:paraId="5A388332">
      <w:pPr>
        <w:autoSpaceDE w:val="0"/>
        <w:autoSpaceDN w:val="0"/>
        <w:adjustRightInd w:val="0"/>
        <w:jc w:val="left"/>
        <w:rPr>
          <w:rFonts w:ascii="宋体" w:hAnsi="宋体" w:eastAsia="宋体" w:cs="Times New Roman"/>
          <w:kern w:val="0"/>
          <w:szCs w:val="21"/>
          <w:u w:val="single"/>
        </w:rPr>
      </w:pPr>
    </w:p>
    <w:p w14:paraId="450DEC9B">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附件：6</w:t>
      </w:r>
    </w:p>
    <w:p w14:paraId="423ACF2C">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652AB528">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承包人主要施工管理人员表</w:t>
      </w:r>
    </w:p>
    <w:p w14:paraId="3274A822">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tbl>
      <w:tblPr>
        <w:tblStyle w:val="62"/>
        <w:tblW w:w="88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2"/>
        <w:gridCol w:w="1106"/>
        <w:gridCol w:w="1134"/>
        <w:gridCol w:w="1134"/>
        <w:gridCol w:w="4102"/>
      </w:tblGrid>
      <w:tr w14:paraId="6F261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4062E9B5">
            <w:pPr>
              <w:autoSpaceDE w:val="0"/>
              <w:autoSpaceDN w:val="0"/>
              <w:adjustRightInd w:val="0"/>
              <w:spacing w:line="320" w:lineRule="exact"/>
              <w:ind w:left="-53" w:leftChars="-25" w:right="-53" w:rightChars="-25"/>
              <w:jc w:val="center"/>
              <w:rPr>
                <w:rFonts w:ascii="宋体" w:hAnsi="宋体" w:eastAsia="宋体" w:cs="Times New Roman"/>
                <w:b/>
                <w:bCs/>
                <w:kern w:val="0"/>
                <w:szCs w:val="21"/>
              </w:rPr>
            </w:pPr>
            <w:r>
              <w:rPr>
                <w:rFonts w:hint="eastAsia" w:ascii="宋体" w:hAnsi="宋体" w:eastAsia="宋体" w:cs="Times New Roman"/>
                <w:b/>
                <w:bCs/>
                <w:kern w:val="0"/>
                <w:szCs w:val="21"/>
              </w:rPr>
              <w:t>名称</w:t>
            </w:r>
          </w:p>
        </w:tc>
        <w:tc>
          <w:tcPr>
            <w:tcW w:w="1106" w:type="dxa"/>
            <w:tcBorders>
              <w:top w:val="single" w:color="auto" w:sz="4" w:space="0"/>
              <w:left w:val="nil"/>
              <w:bottom w:val="single" w:color="auto" w:sz="4" w:space="0"/>
              <w:right w:val="single" w:color="auto" w:sz="4" w:space="0"/>
            </w:tcBorders>
            <w:vAlign w:val="center"/>
          </w:tcPr>
          <w:p w14:paraId="2DAC97ED">
            <w:pPr>
              <w:autoSpaceDE w:val="0"/>
              <w:autoSpaceDN w:val="0"/>
              <w:adjustRightInd w:val="0"/>
              <w:spacing w:line="320" w:lineRule="exact"/>
              <w:ind w:left="-53" w:leftChars="-25" w:right="-53" w:rightChars="-25"/>
              <w:jc w:val="center"/>
              <w:rPr>
                <w:rFonts w:ascii="宋体" w:hAnsi="宋体" w:eastAsia="宋体" w:cs="Times New Roman"/>
                <w:b/>
                <w:bCs/>
                <w:kern w:val="0"/>
                <w:szCs w:val="21"/>
              </w:rPr>
            </w:pPr>
            <w:r>
              <w:rPr>
                <w:rFonts w:hint="eastAsia" w:ascii="宋体" w:hAnsi="宋体" w:eastAsia="宋体" w:cs="Times New Roman"/>
                <w:b/>
                <w:bCs/>
                <w:kern w:val="0"/>
                <w:szCs w:val="21"/>
              </w:rPr>
              <w:t>姓名</w:t>
            </w:r>
          </w:p>
        </w:tc>
        <w:tc>
          <w:tcPr>
            <w:tcW w:w="1134" w:type="dxa"/>
            <w:tcBorders>
              <w:top w:val="single" w:color="auto" w:sz="4" w:space="0"/>
              <w:left w:val="nil"/>
              <w:bottom w:val="single" w:color="auto" w:sz="4" w:space="0"/>
              <w:right w:val="single" w:color="auto" w:sz="4" w:space="0"/>
            </w:tcBorders>
            <w:vAlign w:val="center"/>
          </w:tcPr>
          <w:p w14:paraId="514D2A66">
            <w:pPr>
              <w:autoSpaceDE w:val="0"/>
              <w:autoSpaceDN w:val="0"/>
              <w:adjustRightInd w:val="0"/>
              <w:spacing w:line="320" w:lineRule="exact"/>
              <w:ind w:left="-53" w:leftChars="-25" w:right="-53" w:rightChars="-25"/>
              <w:jc w:val="center"/>
              <w:rPr>
                <w:rFonts w:ascii="宋体" w:hAnsi="宋体" w:eastAsia="宋体" w:cs="Times New Roman"/>
                <w:b/>
                <w:bCs/>
                <w:kern w:val="0"/>
                <w:szCs w:val="21"/>
              </w:rPr>
            </w:pPr>
            <w:r>
              <w:rPr>
                <w:rFonts w:hint="eastAsia" w:ascii="宋体" w:hAnsi="宋体" w:eastAsia="宋体" w:cs="Times New Roman"/>
                <w:b/>
                <w:bCs/>
                <w:kern w:val="0"/>
                <w:szCs w:val="21"/>
              </w:rPr>
              <w:t>职务</w:t>
            </w:r>
          </w:p>
        </w:tc>
        <w:tc>
          <w:tcPr>
            <w:tcW w:w="1134" w:type="dxa"/>
            <w:tcBorders>
              <w:top w:val="single" w:color="auto" w:sz="4" w:space="0"/>
              <w:left w:val="nil"/>
              <w:bottom w:val="single" w:color="auto" w:sz="4" w:space="0"/>
              <w:right w:val="single" w:color="auto" w:sz="4" w:space="0"/>
            </w:tcBorders>
            <w:vAlign w:val="center"/>
          </w:tcPr>
          <w:p w14:paraId="186079F4">
            <w:pPr>
              <w:autoSpaceDE w:val="0"/>
              <w:autoSpaceDN w:val="0"/>
              <w:adjustRightInd w:val="0"/>
              <w:spacing w:line="320" w:lineRule="exact"/>
              <w:ind w:left="-53" w:leftChars="-25" w:right="-53" w:rightChars="-25"/>
              <w:jc w:val="center"/>
              <w:rPr>
                <w:rFonts w:ascii="宋体" w:hAnsi="宋体" w:eastAsia="宋体" w:cs="Times New Roman"/>
                <w:b/>
                <w:bCs/>
                <w:kern w:val="0"/>
                <w:szCs w:val="21"/>
              </w:rPr>
            </w:pPr>
            <w:r>
              <w:rPr>
                <w:rFonts w:hint="eastAsia" w:ascii="宋体" w:hAnsi="宋体" w:eastAsia="宋体" w:cs="Times New Roman"/>
                <w:b/>
                <w:bCs/>
                <w:kern w:val="0"/>
                <w:szCs w:val="21"/>
              </w:rPr>
              <w:t>职称</w:t>
            </w:r>
          </w:p>
        </w:tc>
        <w:tc>
          <w:tcPr>
            <w:tcW w:w="4102" w:type="dxa"/>
            <w:tcBorders>
              <w:top w:val="single" w:color="auto" w:sz="4" w:space="0"/>
              <w:left w:val="nil"/>
              <w:bottom w:val="single" w:color="auto" w:sz="4" w:space="0"/>
              <w:right w:val="single" w:color="auto" w:sz="4" w:space="0"/>
            </w:tcBorders>
            <w:vAlign w:val="center"/>
          </w:tcPr>
          <w:p w14:paraId="48333286">
            <w:pPr>
              <w:autoSpaceDE w:val="0"/>
              <w:autoSpaceDN w:val="0"/>
              <w:adjustRightInd w:val="0"/>
              <w:spacing w:line="320" w:lineRule="exact"/>
              <w:ind w:left="-53" w:leftChars="-25" w:right="-53" w:rightChars="-25"/>
              <w:jc w:val="center"/>
              <w:rPr>
                <w:rFonts w:ascii="宋体" w:hAnsi="宋体" w:eastAsia="宋体" w:cs="Times New Roman"/>
                <w:b/>
                <w:bCs/>
                <w:kern w:val="0"/>
                <w:szCs w:val="21"/>
              </w:rPr>
            </w:pPr>
            <w:r>
              <w:rPr>
                <w:rFonts w:hint="eastAsia" w:ascii="宋体" w:hAnsi="宋体" w:eastAsia="宋体" w:cs="Times New Roman"/>
                <w:b/>
                <w:bCs/>
                <w:kern w:val="0"/>
                <w:szCs w:val="21"/>
              </w:rPr>
              <w:t>主要资历、经验及承担过的项目</w:t>
            </w:r>
          </w:p>
        </w:tc>
      </w:tr>
      <w:tr w14:paraId="1D4B3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8848" w:type="dxa"/>
            <w:gridSpan w:val="5"/>
            <w:tcBorders>
              <w:top w:val="single" w:color="auto" w:sz="4" w:space="0"/>
              <w:left w:val="single" w:color="auto" w:sz="4" w:space="0"/>
              <w:bottom w:val="single" w:color="auto" w:sz="4" w:space="0"/>
              <w:right w:val="single" w:color="auto" w:sz="4" w:space="0"/>
            </w:tcBorders>
            <w:vAlign w:val="center"/>
          </w:tcPr>
          <w:p w14:paraId="2265250D">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一、总部人员</w:t>
            </w:r>
          </w:p>
        </w:tc>
      </w:tr>
      <w:tr w14:paraId="795B7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6999D996">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项目主管</w:t>
            </w:r>
          </w:p>
        </w:tc>
        <w:tc>
          <w:tcPr>
            <w:tcW w:w="1106" w:type="dxa"/>
            <w:tcBorders>
              <w:top w:val="single" w:color="auto" w:sz="4" w:space="0"/>
              <w:left w:val="nil"/>
              <w:bottom w:val="single" w:color="auto" w:sz="4" w:space="0"/>
              <w:right w:val="single" w:color="auto" w:sz="4" w:space="0"/>
            </w:tcBorders>
            <w:vAlign w:val="center"/>
          </w:tcPr>
          <w:p w14:paraId="4E3D47E7">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FFC3ECA">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B018501">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745844FC">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184CC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46164699">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06" w:type="dxa"/>
            <w:tcBorders>
              <w:top w:val="single" w:color="auto" w:sz="4" w:space="0"/>
              <w:left w:val="nil"/>
              <w:bottom w:val="single" w:color="auto" w:sz="4" w:space="0"/>
              <w:right w:val="single" w:color="auto" w:sz="4" w:space="0"/>
            </w:tcBorders>
            <w:vAlign w:val="center"/>
          </w:tcPr>
          <w:p w14:paraId="5F9F4082">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B7AAEC3">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C8F727E">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162804CC">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1584D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53C8D208">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其他人员</w:t>
            </w:r>
          </w:p>
        </w:tc>
        <w:tc>
          <w:tcPr>
            <w:tcW w:w="1106" w:type="dxa"/>
            <w:tcBorders>
              <w:top w:val="single" w:color="auto" w:sz="4" w:space="0"/>
              <w:left w:val="nil"/>
              <w:bottom w:val="single" w:color="auto" w:sz="4" w:space="0"/>
              <w:right w:val="single" w:color="auto" w:sz="4" w:space="0"/>
            </w:tcBorders>
            <w:vAlign w:val="center"/>
          </w:tcPr>
          <w:p w14:paraId="5A2E66DB">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412CB341">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6AE59A54">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055E80EE">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4798A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24AD9896">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06" w:type="dxa"/>
            <w:tcBorders>
              <w:top w:val="single" w:color="auto" w:sz="4" w:space="0"/>
              <w:left w:val="nil"/>
              <w:bottom w:val="single" w:color="auto" w:sz="4" w:space="0"/>
              <w:right w:val="single" w:color="auto" w:sz="4" w:space="0"/>
            </w:tcBorders>
            <w:vAlign w:val="center"/>
          </w:tcPr>
          <w:p w14:paraId="32C37BFF">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078C6BF">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46D5074">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70B4150E">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57710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8848" w:type="dxa"/>
            <w:gridSpan w:val="5"/>
            <w:tcBorders>
              <w:top w:val="single" w:color="auto" w:sz="4" w:space="0"/>
              <w:left w:val="single" w:color="auto" w:sz="4" w:space="0"/>
              <w:bottom w:val="single" w:color="auto" w:sz="4" w:space="0"/>
              <w:right w:val="single" w:color="auto" w:sz="4" w:space="0"/>
            </w:tcBorders>
            <w:vAlign w:val="center"/>
          </w:tcPr>
          <w:p w14:paraId="4724522B">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二、现场人员</w:t>
            </w:r>
          </w:p>
        </w:tc>
      </w:tr>
      <w:tr w14:paraId="0504A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26B61409">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项目经理</w:t>
            </w:r>
          </w:p>
        </w:tc>
        <w:tc>
          <w:tcPr>
            <w:tcW w:w="1106" w:type="dxa"/>
            <w:tcBorders>
              <w:top w:val="single" w:color="auto" w:sz="4" w:space="0"/>
              <w:left w:val="nil"/>
              <w:bottom w:val="single" w:color="auto" w:sz="4" w:space="0"/>
              <w:right w:val="single" w:color="auto" w:sz="4" w:space="0"/>
            </w:tcBorders>
            <w:vAlign w:val="center"/>
          </w:tcPr>
          <w:p w14:paraId="322B5E29">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44C809E9">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49310044">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77E41B9F">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706EE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1F14C23C">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项目副经理</w:t>
            </w:r>
          </w:p>
        </w:tc>
        <w:tc>
          <w:tcPr>
            <w:tcW w:w="1106" w:type="dxa"/>
            <w:tcBorders>
              <w:top w:val="single" w:color="auto" w:sz="4" w:space="0"/>
              <w:left w:val="nil"/>
              <w:bottom w:val="single" w:color="auto" w:sz="4" w:space="0"/>
              <w:right w:val="single" w:color="auto" w:sz="4" w:space="0"/>
            </w:tcBorders>
            <w:vAlign w:val="center"/>
          </w:tcPr>
          <w:p w14:paraId="7A6C3649">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46B7B18">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4A5E02D6">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139FB1A6">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004C0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68E02842">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技术负责人</w:t>
            </w:r>
          </w:p>
        </w:tc>
        <w:tc>
          <w:tcPr>
            <w:tcW w:w="1106" w:type="dxa"/>
            <w:tcBorders>
              <w:top w:val="single" w:color="auto" w:sz="4" w:space="0"/>
              <w:left w:val="nil"/>
              <w:bottom w:val="single" w:color="auto" w:sz="4" w:space="0"/>
              <w:right w:val="single" w:color="auto" w:sz="4" w:space="0"/>
            </w:tcBorders>
            <w:vAlign w:val="center"/>
          </w:tcPr>
          <w:p w14:paraId="7A75504D">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196A27F">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AE493D1">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7E077CCF">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766B1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007F8711">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造价管理</w:t>
            </w:r>
          </w:p>
        </w:tc>
        <w:tc>
          <w:tcPr>
            <w:tcW w:w="1106" w:type="dxa"/>
            <w:tcBorders>
              <w:top w:val="single" w:color="auto" w:sz="4" w:space="0"/>
              <w:left w:val="nil"/>
              <w:bottom w:val="single" w:color="auto" w:sz="4" w:space="0"/>
              <w:right w:val="single" w:color="auto" w:sz="4" w:space="0"/>
            </w:tcBorders>
            <w:vAlign w:val="center"/>
          </w:tcPr>
          <w:p w14:paraId="376D3C0B">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4A541EE">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2DF3503">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480156C8">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576E5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04F75A38">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质量管理</w:t>
            </w:r>
          </w:p>
        </w:tc>
        <w:tc>
          <w:tcPr>
            <w:tcW w:w="1106" w:type="dxa"/>
            <w:tcBorders>
              <w:top w:val="single" w:color="auto" w:sz="4" w:space="0"/>
              <w:left w:val="nil"/>
              <w:bottom w:val="single" w:color="auto" w:sz="4" w:space="0"/>
              <w:right w:val="single" w:color="auto" w:sz="4" w:space="0"/>
            </w:tcBorders>
            <w:vAlign w:val="center"/>
          </w:tcPr>
          <w:p w14:paraId="204CD450">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3E79BCDB">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5F4EF573">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732B1916">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2ADF5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3F519B65">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材料管理</w:t>
            </w:r>
          </w:p>
        </w:tc>
        <w:tc>
          <w:tcPr>
            <w:tcW w:w="1106" w:type="dxa"/>
            <w:tcBorders>
              <w:top w:val="single" w:color="auto" w:sz="4" w:space="0"/>
              <w:left w:val="nil"/>
              <w:bottom w:val="single" w:color="auto" w:sz="4" w:space="0"/>
              <w:right w:val="single" w:color="auto" w:sz="4" w:space="0"/>
            </w:tcBorders>
            <w:vAlign w:val="center"/>
          </w:tcPr>
          <w:p w14:paraId="38C35340">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385D84C2">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6BADD64">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79CC3A23">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0D9C7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55388D38">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计划管理</w:t>
            </w:r>
          </w:p>
        </w:tc>
        <w:tc>
          <w:tcPr>
            <w:tcW w:w="1106" w:type="dxa"/>
            <w:tcBorders>
              <w:top w:val="single" w:color="auto" w:sz="4" w:space="0"/>
              <w:left w:val="nil"/>
              <w:bottom w:val="single" w:color="auto" w:sz="4" w:space="0"/>
              <w:right w:val="single" w:color="auto" w:sz="4" w:space="0"/>
            </w:tcBorders>
            <w:vAlign w:val="center"/>
          </w:tcPr>
          <w:p w14:paraId="758E8232">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725A4BB">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A2DA1C6">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43A43545">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69A61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4706D4BA">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安全管理</w:t>
            </w:r>
          </w:p>
        </w:tc>
        <w:tc>
          <w:tcPr>
            <w:tcW w:w="1106" w:type="dxa"/>
            <w:tcBorders>
              <w:top w:val="single" w:color="auto" w:sz="4" w:space="0"/>
              <w:left w:val="nil"/>
              <w:bottom w:val="single" w:color="auto" w:sz="4" w:space="0"/>
              <w:right w:val="single" w:color="auto" w:sz="4" w:space="0"/>
            </w:tcBorders>
            <w:vAlign w:val="center"/>
          </w:tcPr>
          <w:p w14:paraId="6C1BC400">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03B2B71">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8FE2FD7">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4A7E483D">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08172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2468F28E">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劳资专管员</w:t>
            </w:r>
          </w:p>
        </w:tc>
        <w:tc>
          <w:tcPr>
            <w:tcW w:w="1106" w:type="dxa"/>
            <w:tcBorders>
              <w:top w:val="single" w:color="auto" w:sz="4" w:space="0"/>
              <w:left w:val="nil"/>
              <w:bottom w:val="single" w:color="auto" w:sz="4" w:space="0"/>
              <w:right w:val="single" w:color="auto" w:sz="4" w:space="0"/>
            </w:tcBorders>
            <w:vAlign w:val="center"/>
          </w:tcPr>
          <w:p w14:paraId="692DFED6">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4963C00">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328880D3">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39C2FAAA">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r w14:paraId="32B05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372" w:type="dxa"/>
            <w:tcBorders>
              <w:top w:val="single" w:color="auto" w:sz="4" w:space="0"/>
              <w:left w:val="single" w:color="auto" w:sz="4" w:space="0"/>
              <w:bottom w:val="single" w:color="auto" w:sz="4" w:space="0"/>
              <w:right w:val="single" w:color="auto" w:sz="4" w:space="0"/>
            </w:tcBorders>
            <w:vAlign w:val="center"/>
          </w:tcPr>
          <w:p w14:paraId="7B5AACA1">
            <w:pPr>
              <w:autoSpaceDE w:val="0"/>
              <w:autoSpaceDN w:val="0"/>
              <w:adjustRightInd w:val="0"/>
              <w:spacing w:line="320" w:lineRule="exact"/>
              <w:ind w:left="-53" w:leftChars="-25" w:right="-53" w:rightChars="-25"/>
              <w:jc w:val="center"/>
              <w:rPr>
                <w:rFonts w:ascii="宋体" w:hAnsi="宋体" w:eastAsia="宋体" w:cs="Times New Roman"/>
                <w:kern w:val="0"/>
                <w:szCs w:val="21"/>
              </w:rPr>
            </w:pPr>
            <w:r>
              <w:rPr>
                <w:rFonts w:hint="eastAsia" w:ascii="宋体" w:hAnsi="宋体" w:eastAsia="宋体" w:cs="Times New Roman"/>
                <w:kern w:val="0"/>
                <w:szCs w:val="21"/>
              </w:rPr>
              <w:t>其他人员</w:t>
            </w:r>
          </w:p>
        </w:tc>
        <w:tc>
          <w:tcPr>
            <w:tcW w:w="1106" w:type="dxa"/>
            <w:tcBorders>
              <w:top w:val="single" w:color="auto" w:sz="4" w:space="0"/>
              <w:left w:val="nil"/>
              <w:bottom w:val="single" w:color="auto" w:sz="4" w:space="0"/>
              <w:right w:val="single" w:color="auto" w:sz="4" w:space="0"/>
            </w:tcBorders>
            <w:vAlign w:val="center"/>
          </w:tcPr>
          <w:p w14:paraId="609D9BF1">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9744558">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C94FDD0">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c>
          <w:tcPr>
            <w:tcW w:w="4102" w:type="dxa"/>
            <w:tcBorders>
              <w:top w:val="single" w:color="auto" w:sz="4" w:space="0"/>
              <w:left w:val="nil"/>
              <w:bottom w:val="single" w:color="auto" w:sz="4" w:space="0"/>
              <w:right w:val="single" w:color="auto" w:sz="4" w:space="0"/>
            </w:tcBorders>
            <w:vAlign w:val="center"/>
          </w:tcPr>
          <w:p w14:paraId="1AD9DAEC">
            <w:pPr>
              <w:autoSpaceDE w:val="0"/>
              <w:autoSpaceDN w:val="0"/>
              <w:adjustRightInd w:val="0"/>
              <w:spacing w:line="320" w:lineRule="exact"/>
              <w:ind w:left="-53" w:leftChars="-25" w:right="-53" w:rightChars="-25"/>
              <w:jc w:val="center"/>
              <w:rPr>
                <w:rFonts w:ascii="宋体" w:hAnsi="宋体" w:eastAsia="宋体" w:cs="Times New Roman"/>
                <w:kern w:val="0"/>
                <w:szCs w:val="21"/>
              </w:rPr>
            </w:pPr>
          </w:p>
        </w:tc>
      </w:tr>
    </w:tbl>
    <w:p w14:paraId="32483B2C">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1812E6E5">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2830A5DA">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6D575AAF">
      <w:pPr>
        <w:autoSpaceDE w:val="0"/>
        <w:autoSpaceDN w:val="0"/>
        <w:adjustRightInd w:val="0"/>
        <w:jc w:val="left"/>
        <w:rPr>
          <w:rFonts w:ascii="宋体" w:hAnsi="宋体" w:eastAsia="宋体" w:cs="Times New Roman"/>
          <w:kern w:val="0"/>
          <w:szCs w:val="21"/>
        </w:rPr>
      </w:pPr>
    </w:p>
    <w:p w14:paraId="4B3ED825">
      <w:pPr>
        <w:autoSpaceDE w:val="0"/>
        <w:autoSpaceDN w:val="0"/>
        <w:adjustRightInd w:val="0"/>
        <w:jc w:val="left"/>
        <w:rPr>
          <w:rFonts w:ascii="宋体" w:hAnsi="宋体" w:eastAsia="宋体" w:cs="Times New Roman"/>
          <w:kern w:val="0"/>
          <w:szCs w:val="21"/>
        </w:rPr>
      </w:pPr>
    </w:p>
    <w:p w14:paraId="44F6E4EC">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EB917A3">
      <w:pPr>
        <w:autoSpaceDE w:val="0"/>
        <w:autoSpaceDN w:val="0"/>
        <w:adjustRightInd w:val="0"/>
        <w:jc w:val="left"/>
        <w:rPr>
          <w:rFonts w:ascii="宋体" w:hAnsi="宋体" w:eastAsia="宋体" w:cs="Times New Roman"/>
          <w:kern w:val="0"/>
          <w:szCs w:val="21"/>
        </w:rPr>
      </w:pPr>
    </w:p>
    <w:p w14:paraId="2DCCA341">
      <w:pPr>
        <w:autoSpaceDE w:val="0"/>
        <w:autoSpaceDN w:val="0"/>
        <w:adjustRightInd w:val="0"/>
        <w:jc w:val="left"/>
        <w:rPr>
          <w:rFonts w:ascii="宋体" w:hAnsi="宋体" w:eastAsia="宋体" w:cs="Times New Roman"/>
          <w:kern w:val="0"/>
          <w:szCs w:val="21"/>
        </w:rPr>
      </w:pPr>
    </w:p>
    <w:p w14:paraId="1E9FC2B1">
      <w:pPr>
        <w:autoSpaceDE w:val="0"/>
        <w:autoSpaceDN w:val="0"/>
        <w:adjustRightInd w:val="0"/>
        <w:jc w:val="left"/>
        <w:rPr>
          <w:rFonts w:ascii="宋体" w:hAnsi="宋体" w:eastAsia="宋体" w:cs="Times New Roman"/>
          <w:kern w:val="0"/>
          <w:szCs w:val="21"/>
        </w:rPr>
      </w:pPr>
    </w:p>
    <w:p w14:paraId="71FCBE1D">
      <w:pPr>
        <w:autoSpaceDE w:val="0"/>
        <w:autoSpaceDN w:val="0"/>
        <w:adjustRightInd w:val="0"/>
        <w:jc w:val="left"/>
        <w:rPr>
          <w:rFonts w:ascii="宋体" w:hAnsi="宋体" w:eastAsia="宋体" w:cs="Times New Roman"/>
          <w:kern w:val="0"/>
          <w:szCs w:val="21"/>
        </w:rPr>
      </w:pPr>
    </w:p>
    <w:p w14:paraId="0816591F">
      <w:pPr>
        <w:autoSpaceDE w:val="0"/>
        <w:autoSpaceDN w:val="0"/>
        <w:adjustRightInd w:val="0"/>
        <w:jc w:val="left"/>
        <w:rPr>
          <w:rFonts w:ascii="宋体" w:hAnsi="宋体" w:eastAsia="宋体" w:cs="Times New Roman"/>
          <w:kern w:val="0"/>
          <w:szCs w:val="21"/>
        </w:rPr>
      </w:pPr>
    </w:p>
    <w:p w14:paraId="5C65B408">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附件：7</w:t>
      </w:r>
    </w:p>
    <w:p w14:paraId="44B87278">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730C3E15">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分包人主要施工管理人员表</w:t>
      </w:r>
    </w:p>
    <w:p w14:paraId="37B69953">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tbl>
      <w:tblPr>
        <w:tblStyle w:val="62"/>
        <w:tblW w:w="88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431"/>
        <w:gridCol w:w="1231"/>
        <w:gridCol w:w="1134"/>
        <w:gridCol w:w="1134"/>
        <w:gridCol w:w="3892"/>
      </w:tblGrid>
      <w:tr w14:paraId="4F831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7324DBFE">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名称</w:t>
            </w:r>
          </w:p>
        </w:tc>
        <w:tc>
          <w:tcPr>
            <w:tcW w:w="1231" w:type="dxa"/>
            <w:tcBorders>
              <w:top w:val="single" w:color="auto" w:sz="4" w:space="0"/>
              <w:left w:val="nil"/>
              <w:bottom w:val="single" w:color="auto" w:sz="4" w:space="0"/>
              <w:right w:val="single" w:color="auto" w:sz="4" w:space="0"/>
            </w:tcBorders>
            <w:vAlign w:val="center"/>
          </w:tcPr>
          <w:p w14:paraId="68188D1E">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姓名</w:t>
            </w:r>
          </w:p>
        </w:tc>
        <w:tc>
          <w:tcPr>
            <w:tcW w:w="1134" w:type="dxa"/>
            <w:tcBorders>
              <w:top w:val="single" w:color="auto" w:sz="4" w:space="0"/>
              <w:left w:val="nil"/>
              <w:bottom w:val="single" w:color="auto" w:sz="4" w:space="0"/>
              <w:right w:val="single" w:color="auto" w:sz="4" w:space="0"/>
            </w:tcBorders>
            <w:vAlign w:val="center"/>
          </w:tcPr>
          <w:p w14:paraId="10EA9CD4">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职务</w:t>
            </w:r>
          </w:p>
        </w:tc>
        <w:tc>
          <w:tcPr>
            <w:tcW w:w="1134" w:type="dxa"/>
            <w:tcBorders>
              <w:top w:val="single" w:color="auto" w:sz="4" w:space="0"/>
              <w:left w:val="nil"/>
              <w:bottom w:val="single" w:color="auto" w:sz="4" w:space="0"/>
              <w:right w:val="single" w:color="auto" w:sz="4" w:space="0"/>
            </w:tcBorders>
            <w:vAlign w:val="center"/>
          </w:tcPr>
          <w:p w14:paraId="138F3E32">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职称</w:t>
            </w:r>
          </w:p>
        </w:tc>
        <w:tc>
          <w:tcPr>
            <w:tcW w:w="3892" w:type="dxa"/>
            <w:tcBorders>
              <w:top w:val="single" w:color="auto" w:sz="4" w:space="0"/>
              <w:left w:val="nil"/>
              <w:bottom w:val="single" w:color="auto" w:sz="4" w:space="0"/>
              <w:right w:val="single" w:color="auto" w:sz="4" w:space="0"/>
            </w:tcBorders>
            <w:vAlign w:val="center"/>
          </w:tcPr>
          <w:p w14:paraId="7951BB15">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主要资历、经验及承担过的项目</w:t>
            </w:r>
          </w:p>
        </w:tc>
      </w:tr>
      <w:tr w14:paraId="30205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8822" w:type="dxa"/>
            <w:gridSpan w:val="5"/>
            <w:tcBorders>
              <w:top w:val="single" w:color="auto" w:sz="4" w:space="0"/>
              <w:left w:val="single" w:color="auto" w:sz="4" w:space="0"/>
              <w:bottom w:val="single" w:color="auto" w:sz="4" w:space="0"/>
              <w:right w:val="single" w:color="auto" w:sz="4" w:space="0"/>
            </w:tcBorders>
            <w:vAlign w:val="center"/>
          </w:tcPr>
          <w:p w14:paraId="7394D79B">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一、总部人员</w:t>
            </w:r>
          </w:p>
        </w:tc>
      </w:tr>
      <w:tr w14:paraId="1565A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6454EAB6">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项目主管</w:t>
            </w:r>
          </w:p>
        </w:tc>
        <w:tc>
          <w:tcPr>
            <w:tcW w:w="1231" w:type="dxa"/>
            <w:tcBorders>
              <w:top w:val="single" w:color="auto" w:sz="4" w:space="0"/>
              <w:left w:val="nil"/>
              <w:bottom w:val="single" w:color="auto" w:sz="4" w:space="0"/>
              <w:right w:val="single" w:color="auto" w:sz="4" w:space="0"/>
            </w:tcBorders>
            <w:vAlign w:val="center"/>
          </w:tcPr>
          <w:p w14:paraId="28BD2D46">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C7E9225">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EB98CBB">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4F589C01">
            <w:pPr>
              <w:autoSpaceDE w:val="0"/>
              <w:autoSpaceDN w:val="0"/>
              <w:adjustRightInd w:val="0"/>
              <w:spacing w:line="320" w:lineRule="exact"/>
              <w:jc w:val="center"/>
              <w:rPr>
                <w:rFonts w:ascii="宋体" w:hAnsi="宋体" w:eastAsia="宋体" w:cs="Times New Roman"/>
                <w:kern w:val="0"/>
                <w:szCs w:val="21"/>
              </w:rPr>
            </w:pPr>
          </w:p>
        </w:tc>
      </w:tr>
      <w:tr w14:paraId="05334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773BC7B1">
            <w:pPr>
              <w:autoSpaceDE w:val="0"/>
              <w:autoSpaceDN w:val="0"/>
              <w:adjustRightInd w:val="0"/>
              <w:spacing w:line="320" w:lineRule="exact"/>
              <w:jc w:val="center"/>
              <w:rPr>
                <w:rFonts w:ascii="宋体" w:hAnsi="宋体" w:eastAsia="宋体" w:cs="Times New Roman"/>
                <w:kern w:val="0"/>
                <w:szCs w:val="21"/>
              </w:rPr>
            </w:pPr>
          </w:p>
        </w:tc>
        <w:tc>
          <w:tcPr>
            <w:tcW w:w="1231" w:type="dxa"/>
            <w:tcBorders>
              <w:top w:val="single" w:color="auto" w:sz="4" w:space="0"/>
              <w:left w:val="nil"/>
              <w:bottom w:val="single" w:color="auto" w:sz="4" w:space="0"/>
              <w:right w:val="single" w:color="auto" w:sz="4" w:space="0"/>
            </w:tcBorders>
            <w:vAlign w:val="center"/>
          </w:tcPr>
          <w:p w14:paraId="4B68C07E">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CAD90E5">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99C62FA">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7F8DFD17">
            <w:pPr>
              <w:autoSpaceDE w:val="0"/>
              <w:autoSpaceDN w:val="0"/>
              <w:adjustRightInd w:val="0"/>
              <w:spacing w:line="320" w:lineRule="exact"/>
              <w:jc w:val="center"/>
              <w:rPr>
                <w:rFonts w:ascii="宋体" w:hAnsi="宋体" w:eastAsia="宋体" w:cs="Times New Roman"/>
                <w:kern w:val="0"/>
                <w:szCs w:val="21"/>
              </w:rPr>
            </w:pPr>
          </w:p>
        </w:tc>
      </w:tr>
      <w:tr w14:paraId="6609C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1B44319E">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其他人员</w:t>
            </w:r>
          </w:p>
        </w:tc>
        <w:tc>
          <w:tcPr>
            <w:tcW w:w="1231" w:type="dxa"/>
            <w:tcBorders>
              <w:top w:val="single" w:color="auto" w:sz="4" w:space="0"/>
              <w:left w:val="nil"/>
              <w:bottom w:val="single" w:color="auto" w:sz="4" w:space="0"/>
              <w:right w:val="single" w:color="auto" w:sz="4" w:space="0"/>
            </w:tcBorders>
            <w:vAlign w:val="center"/>
          </w:tcPr>
          <w:p w14:paraId="2230348C">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E5C908A">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3021C205">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1A1D0306">
            <w:pPr>
              <w:autoSpaceDE w:val="0"/>
              <w:autoSpaceDN w:val="0"/>
              <w:adjustRightInd w:val="0"/>
              <w:spacing w:line="320" w:lineRule="exact"/>
              <w:jc w:val="center"/>
              <w:rPr>
                <w:rFonts w:ascii="宋体" w:hAnsi="宋体" w:eastAsia="宋体" w:cs="Times New Roman"/>
                <w:kern w:val="0"/>
                <w:szCs w:val="21"/>
              </w:rPr>
            </w:pPr>
          </w:p>
        </w:tc>
      </w:tr>
      <w:tr w14:paraId="1BCBA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1F74300E">
            <w:pPr>
              <w:autoSpaceDE w:val="0"/>
              <w:autoSpaceDN w:val="0"/>
              <w:adjustRightInd w:val="0"/>
              <w:spacing w:line="320" w:lineRule="exact"/>
              <w:jc w:val="center"/>
              <w:rPr>
                <w:rFonts w:ascii="宋体" w:hAnsi="宋体" w:eastAsia="宋体" w:cs="Times New Roman"/>
                <w:kern w:val="0"/>
                <w:szCs w:val="21"/>
              </w:rPr>
            </w:pPr>
          </w:p>
        </w:tc>
        <w:tc>
          <w:tcPr>
            <w:tcW w:w="1231" w:type="dxa"/>
            <w:tcBorders>
              <w:top w:val="single" w:color="auto" w:sz="4" w:space="0"/>
              <w:left w:val="nil"/>
              <w:bottom w:val="single" w:color="auto" w:sz="4" w:space="0"/>
              <w:right w:val="single" w:color="auto" w:sz="4" w:space="0"/>
            </w:tcBorders>
            <w:vAlign w:val="center"/>
          </w:tcPr>
          <w:p w14:paraId="476450DE">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6E7F2EEF">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038824F">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32EBD15D">
            <w:pPr>
              <w:autoSpaceDE w:val="0"/>
              <w:autoSpaceDN w:val="0"/>
              <w:adjustRightInd w:val="0"/>
              <w:spacing w:line="320" w:lineRule="exact"/>
              <w:jc w:val="center"/>
              <w:rPr>
                <w:rFonts w:ascii="宋体" w:hAnsi="宋体" w:eastAsia="宋体" w:cs="Times New Roman"/>
                <w:kern w:val="0"/>
                <w:szCs w:val="21"/>
              </w:rPr>
            </w:pPr>
          </w:p>
        </w:tc>
      </w:tr>
      <w:tr w14:paraId="17995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8822" w:type="dxa"/>
            <w:gridSpan w:val="5"/>
            <w:tcBorders>
              <w:top w:val="single" w:color="auto" w:sz="4" w:space="0"/>
              <w:left w:val="single" w:color="auto" w:sz="4" w:space="0"/>
              <w:bottom w:val="single" w:color="auto" w:sz="4" w:space="0"/>
              <w:right w:val="single" w:color="auto" w:sz="4" w:space="0"/>
            </w:tcBorders>
            <w:vAlign w:val="center"/>
          </w:tcPr>
          <w:p w14:paraId="6FC299F6">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二、现场人员</w:t>
            </w:r>
          </w:p>
        </w:tc>
      </w:tr>
      <w:tr w14:paraId="4A1C0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7171A360">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项目经理</w:t>
            </w:r>
          </w:p>
        </w:tc>
        <w:tc>
          <w:tcPr>
            <w:tcW w:w="1231" w:type="dxa"/>
            <w:tcBorders>
              <w:top w:val="single" w:color="auto" w:sz="4" w:space="0"/>
              <w:left w:val="nil"/>
              <w:bottom w:val="single" w:color="auto" w:sz="4" w:space="0"/>
              <w:right w:val="single" w:color="auto" w:sz="4" w:space="0"/>
            </w:tcBorders>
            <w:vAlign w:val="center"/>
          </w:tcPr>
          <w:p w14:paraId="2F959E33">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9E2DBFA">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F1DCA4E">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24E6ECED">
            <w:pPr>
              <w:autoSpaceDE w:val="0"/>
              <w:autoSpaceDN w:val="0"/>
              <w:adjustRightInd w:val="0"/>
              <w:spacing w:line="320" w:lineRule="exact"/>
              <w:jc w:val="center"/>
              <w:rPr>
                <w:rFonts w:ascii="宋体" w:hAnsi="宋体" w:eastAsia="宋体" w:cs="Times New Roman"/>
                <w:kern w:val="0"/>
                <w:szCs w:val="21"/>
              </w:rPr>
            </w:pPr>
          </w:p>
        </w:tc>
      </w:tr>
      <w:tr w14:paraId="5DE03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30D4581D">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项目副经理</w:t>
            </w:r>
          </w:p>
        </w:tc>
        <w:tc>
          <w:tcPr>
            <w:tcW w:w="1231" w:type="dxa"/>
            <w:tcBorders>
              <w:top w:val="single" w:color="auto" w:sz="4" w:space="0"/>
              <w:left w:val="nil"/>
              <w:bottom w:val="single" w:color="auto" w:sz="4" w:space="0"/>
              <w:right w:val="single" w:color="auto" w:sz="4" w:space="0"/>
            </w:tcBorders>
            <w:vAlign w:val="center"/>
          </w:tcPr>
          <w:p w14:paraId="5D452281">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4049A420">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642A43BA">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44752A2F">
            <w:pPr>
              <w:autoSpaceDE w:val="0"/>
              <w:autoSpaceDN w:val="0"/>
              <w:adjustRightInd w:val="0"/>
              <w:spacing w:line="320" w:lineRule="exact"/>
              <w:jc w:val="center"/>
              <w:rPr>
                <w:rFonts w:ascii="宋体" w:hAnsi="宋体" w:eastAsia="宋体" w:cs="Times New Roman"/>
                <w:kern w:val="0"/>
                <w:szCs w:val="21"/>
              </w:rPr>
            </w:pPr>
          </w:p>
        </w:tc>
      </w:tr>
      <w:tr w14:paraId="7D9DC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7CD13EB3">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技术负责人</w:t>
            </w:r>
          </w:p>
        </w:tc>
        <w:tc>
          <w:tcPr>
            <w:tcW w:w="1231" w:type="dxa"/>
            <w:tcBorders>
              <w:top w:val="single" w:color="auto" w:sz="4" w:space="0"/>
              <w:left w:val="nil"/>
              <w:bottom w:val="single" w:color="auto" w:sz="4" w:space="0"/>
              <w:right w:val="single" w:color="auto" w:sz="4" w:space="0"/>
            </w:tcBorders>
            <w:vAlign w:val="center"/>
          </w:tcPr>
          <w:p w14:paraId="025F5B68">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F425A5B">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4F912A07">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0F063EA4">
            <w:pPr>
              <w:autoSpaceDE w:val="0"/>
              <w:autoSpaceDN w:val="0"/>
              <w:adjustRightInd w:val="0"/>
              <w:spacing w:line="320" w:lineRule="exact"/>
              <w:jc w:val="center"/>
              <w:rPr>
                <w:rFonts w:ascii="宋体" w:hAnsi="宋体" w:eastAsia="宋体" w:cs="Times New Roman"/>
                <w:kern w:val="0"/>
                <w:szCs w:val="21"/>
              </w:rPr>
            </w:pPr>
          </w:p>
        </w:tc>
      </w:tr>
      <w:tr w14:paraId="015BE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28497559">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造价管理</w:t>
            </w:r>
          </w:p>
        </w:tc>
        <w:tc>
          <w:tcPr>
            <w:tcW w:w="1231" w:type="dxa"/>
            <w:tcBorders>
              <w:top w:val="single" w:color="auto" w:sz="4" w:space="0"/>
              <w:left w:val="nil"/>
              <w:bottom w:val="single" w:color="auto" w:sz="4" w:space="0"/>
              <w:right w:val="single" w:color="auto" w:sz="4" w:space="0"/>
            </w:tcBorders>
            <w:vAlign w:val="center"/>
          </w:tcPr>
          <w:p w14:paraId="2527A1E3">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C7A5109">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B83C2B9">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08D2282C">
            <w:pPr>
              <w:autoSpaceDE w:val="0"/>
              <w:autoSpaceDN w:val="0"/>
              <w:adjustRightInd w:val="0"/>
              <w:spacing w:line="320" w:lineRule="exact"/>
              <w:jc w:val="center"/>
              <w:rPr>
                <w:rFonts w:ascii="宋体" w:hAnsi="宋体" w:eastAsia="宋体" w:cs="Times New Roman"/>
                <w:kern w:val="0"/>
                <w:szCs w:val="21"/>
              </w:rPr>
            </w:pPr>
          </w:p>
        </w:tc>
      </w:tr>
      <w:tr w14:paraId="6F0D3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3DEB4396">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质量管理</w:t>
            </w:r>
          </w:p>
        </w:tc>
        <w:tc>
          <w:tcPr>
            <w:tcW w:w="1231" w:type="dxa"/>
            <w:tcBorders>
              <w:top w:val="single" w:color="auto" w:sz="4" w:space="0"/>
              <w:left w:val="nil"/>
              <w:bottom w:val="single" w:color="auto" w:sz="4" w:space="0"/>
              <w:right w:val="single" w:color="auto" w:sz="4" w:space="0"/>
            </w:tcBorders>
            <w:vAlign w:val="center"/>
          </w:tcPr>
          <w:p w14:paraId="058CB022">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14DB0BE">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C8218D5">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45FF5283">
            <w:pPr>
              <w:autoSpaceDE w:val="0"/>
              <w:autoSpaceDN w:val="0"/>
              <w:adjustRightInd w:val="0"/>
              <w:spacing w:line="320" w:lineRule="exact"/>
              <w:jc w:val="center"/>
              <w:rPr>
                <w:rFonts w:ascii="宋体" w:hAnsi="宋体" w:eastAsia="宋体" w:cs="Times New Roman"/>
                <w:kern w:val="0"/>
                <w:szCs w:val="21"/>
              </w:rPr>
            </w:pPr>
          </w:p>
        </w:tc>
      </w:tr>
      <w:tr w14:paraId="18A2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6899AC46">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材料管理</w:t>
            </w:r>
          </w:p>
        </w:tc>
        <w:tc>
          <w:tcPr>
            <w:tcW w:w="1231" w:type="dxa"/>
            <w:tcBorders>
              <w:top w:val="single" w:color="auto" w:sz="4" w:space="0"/>
              <w:left w:val="nil"/>
              <w:bottom w:val="single" w:color="auto" w:sz="4" w:space="0"/>
              <w:right w:val="single" w:color="auto" w:sz="4" w:space="0"/>
            </w:tcBorders>
            <w:vAlign w:val="center"/>
          </w:tcPr>
          <w:p w14:paraId="6A72E88C">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55502B02">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F8ED7FF">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26013D89">
            <w:pPr>
              <w:autoSpaceDE w:val="0"/>
              <w:autoSpaceDN w:val="0"/>
              <w:adjustRightInd w:val="0"/>
              <w:spacing w:line="320" w:lineRule="exact"/>
              <w:jc w:val="center"/>
              <w:rPr>
                <w:rFonts w:ascii="宋体" w:hAnsi="宋体" w:eastAsia="宋体" w:cs="Times New Roman"/>
                <w:kern w:val="0"/>
                <w:szCs w:val="21"/>
              </w:rPr>
            </w:pPr>
          </w:p>
        </w:tc>
      </w:tr>
      <w:tr w14:paraId="45380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2C287150">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计划管理</w:t>
            </w:r>
          </w:p>
        </w:tc>
        <w:tc>
          <w:tcPr>
            <w:tcW w:w="1231" w:type="dxa"/>
            <w:tcBorders>
              <w:top w:val="single" w:color="auto" w:sz="4" w:space="0"/>
              <w:left w:val="nil"/>
              <w:bottom w:val="single" w:color="auto" w:sz="4" w:space="0"/>
              <w:right w:val="single" w:color="auto" w:sz="4" w:space="0"/>
            </w:tcBorders>
            <w:vAlign w:val="center"/>
          </w:tcPr>
          <w:p w14:paraId="268FE5DA">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971A339">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78FC968">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022E4C76">
            <w:pPr>
              <w:autoSpaceDE w:val="0"/>
              <w:autoSpaceDN w:val="0"/>
              <w:adjustRightInd w:val="0"/>
              <w:spacing w:line="320" w:lineRule="exact"/>
              <w:jc w:val="center"/>
              <w:rPr>
                <w:rFonts w:ascii="宋体" w:hAnsi="宋体" w:eastAsia="宋体" w:cs="Times New Roman"/>
                <w:kern w:val="0"/>
                <w:szCs w:val="21"/>
              </w:rPr>
            </w:pPr>
          </w:p>
        </w:tc>
      </w:tr>
      <w:tr w14:paraId="6E4D0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tcBorders>
              <w:top w:val="single" w:color="auto" w:sz="4" w:space="0"/>
              <w:left w:val="single" w:color="auto" w:sz="4" w:space="0"/>
              <w:bottom w:val="single" w:color="auto" w:sz="4" w:space="0"/>
              <w:right w:val="single" w:color="auto" w:sz="4" w:space="0"/>
            </w:tcBorders>
            <w:vAlign w:val="center"/>
          </w:tcPr>
          <w:p w14:paraId="129ACB53">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安全管理</w:t>
            </w:r>
          </w:p>
        </w:tc>
        <w:tc>
          <w:tcPr>
            <w:tcW w:w="1231" w:type="dxa"/>
            <w:tcBorders>
              <w:top w:val="single" w:color="auto" w:sz="4" w:space="0"/>
              <w:left w:val="nil"/>
              <w:bottom w:val="single" w:color="auto" w:sz="4" w:space="0"/>
              <w:right w:val="single" w:color="auto" w:sz="4" w:space="0"/>
            </w:tcBorders>
            <w:vAlign w:val="center"/>
          </w:tcPr>
          <w:p w14:paraId="5776E506">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073D0807">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4B6996C9">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2CCA773C">
            <w:pPr>
              <w:autoSpaceDE w:val="0"/>
              <w:autoSpaceDN w:val="0"/>
              <w:adjustRightInd w:val="0"/>
              <w:spacing w:line="320" w:lineRule="exact"/>
              <w:jc w:val="center"/>
              <w:rPr>
                <w:rFonts w:ascii="宋体" w:hAnsi="宋体" w:eastAsia="宋体" w:cs="Times New Roman"/>
                <w:kern w:val="0"/>
                <w:szCs w:val="21"/>
              </w:rPr>
            </w:pPr>
          </w:p>
        </w:tc>
      </w:tr>
      <w:tr w14:paraId="2FC9E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1431" w:type="dxa"/>
            <w:vMerge w:val="restart"/>
            <w:tcBorders>
              <w:top w:val="nil"/>
              <w:left w:val="single" w:color="auto" w:sz="4" w:space="0"/>
              <w:bottom w:val="single" w:color="auto" w:sz="4" w:space="0"/>
              <w:right w:val="single" w:color="auto" w:sz="4" w:space="0"/>
            </w:tcBorders>
            <w:vAlign w:val="center"/>
          </w:tcPr>
          <w:p w14:paraId="1C105D10">
            <w:pPr>
              <w:autoSpaceDE w:val="0"/>
              <w:autoSpaceDN w:val="0"/>
              <w:adjustRightInd w:val="0"/>
              <w:spacing w:line="320" w:lineRule="exact"/>
              <w:jc w:val="center"/>
              <w:rPr>
                <w:rFonts w:ascii="宋体" w:hAnsi="宋体" w:eastAsia="宋体" w:cs="Times New Roman"/>
                <w:kern w:val="0"/>
                <w:szCs w:val="21"/>
              </w:rPr>
            </w:pPr>
            <w:r>
              <w:rPr>
                <w:rFonts w:hint="eastAsia" w:ascii="宋体" w:hAnsi="宋体" w:eastAsia="宋体" w:cs="Times New Roman"/>
                <w:kern w:val="0"/>
                <w:szCs w:val="21"/>
              </w:rPr>
              <w:t>其他人员</w:t>
            </w:r>
          </w:p>
        </w:tc>
        <w:tc>
          <w:tcPr>
            <w:tcW w:w="1231" w:type="dxa"/>
            <w:tcBorders>
              <w:top w:val="single" w:color="auto" w:sz="4" w:space="0"/>
              <w:left w:val="nil"/>
              <w:bottom w:val="single" w:color="auto" w:sz="4" w:space="0"/>
              <w:right w:val="single" w:color="auto" w:sz="4" w:space="0"/>
            </w:tcBorders>
            <w:vAlign w:val="center"/>
          </w:tcPr>
          <w:p w14:paraId="3ACEFF10">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321BD0E5">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7029B0FD">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0A77C4E9">
            <w:pPr>
              <w:autoSpaceDE w:val="0"/>
              <w:autoSpaceDN w:val="0"/>
              <w:adjustRightInd w:val="0"/>
              <w:spacing w:line="320" w:lineRule="exact"/>
              <w:jc w:val="center"/>
              <w:rPr>
                <w:rFonts w:ascii="宋体" w:hAnsi="宋体" w:eastAsia="宋体" w:cs="Times New Roman"/>
                <w:kern w:val="0"/>
                <w:szCs w:val="21"/>
              </w:rPr>
            </w:pPr>
          </w:p>
        </w:tc>
      </w:tr>
      <w:tr w14:paraId="6E8C2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0" w:hRule="atLeast"/>
          <w:jc w:val="center"/>
        </w:trPr>
        <w:tc>
          <w:tcPr>
            <w:tcW w:w="8822" w:type="dxa"/>
            <w:vMerge w:val="continue"/>
            <w:tcBorders>
              <w:top w:val="nil"/>
              <w:left w:val="single" w:color="auto" w:sz="4" w:space="0"/>
              <w:bottom w:val="single" w:color="auto" w:sz="4" w:space="0"/>
              <w:right w:val="single" w:color="auto" w:sz="4" w:space="0"/>
            </w:tcBorders>
            <w:vAlign w:val="center"/>
          </w:tcPr>
          <w:p w14:paraId="6EC22795">
            <w:pPr>
              <w:autoSpaceDE w:val="0"/>
              <w:autoSpaceDN w:val="0"/>
              <w:adjustRightInd w:val="0"/>
              <w:jc w:val="left"/>
              <w:rPr>
                <w:rFonts w:ascii="宋体" w:hAnsi="宋体" w:eastAsia="宋体" w:cs="Times New Roman"/>
                <w:kern w:val="0"/>
                <w:szCs w:val="21"/>
              </w:rPr>
            </w:pPr>
          </w:p>
        </w:tc>
        <w:tc>
          <w:tcPr>
            <w:tcW w:w="1231" w:type="dxa"/>
            <w:tcBorders>
              <w:top w:val="single" w:color="auto" w:sz="4" w:space="0"/>
              <w:left w:val="nil"/>
              <w:bottom w:val="single" w:color="auto" w:sz="4" w:space="0"/>
              <w:right w:val="single" w:color="auto" w:sz="4" w:space="0"/>
            </w:tcBorders>
            <w:vAlign w:val="center"/>
          </w:tcPr>
          <w:p w14:paraId="29757CC9">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1B40F606">
            <w:pPr>
              <w:autoSpaceDE w:val="0"/>
              <w:autoSpaceDN w:val="0"/>
              <w:adjustRightInd w:val="0"/>
              <w:spacing w:line="320" w:lineRule="exact"/>
              <w:jc w:val="center"/>
              <w:rPr>
                <w:rFonts w:ascii="宋体" w:hAnsi="宋体" w:eastAsia="宋体" w:cs="Times New Roman"/>
                <w:kern w:val="0"/>
                <w:szCs w:val="21"/>
              </w:rPr>
            </w:pPr>
          </w:p>
        </w:tc>
        <w:tc>
          <w:tcPr>
            <w:tcW w:w="1134" w:type="dxa"/>
            <w:tcBorders>
              <w:top w:val="single" w:color="auto" w:sz="4" w:space="0"/>
              <w:left w:val="nil"/>
              <w:bottom w:val="single" w:color="auto" w:sz="4" w:space="0"/>
              <w:right w:val="single" w:color="auto" w:sz="4" w:space="0"/>
            </w:tcBorders>
            <w:vAlign w:val="center"/>
          </w:tcPr>
          <w:p w14:paraId="262B1734">
            <w:pPr>
              <w:autoSpaceDE w:val="0"/>
              <w:autoSpaceDN w:val="0"/>
              <w:adjustRightInd w:val="0"/>
              <w:spacing w:line="320" w:lineRule="exact"/>
              <w:jc w:val="center"/>
              <w:rPr>
                <w:rFonts w:ascii="宋体" w:hAnsi="宋体" w:eastAsia="宋体" w:cs="Times New Roman"/>
                <w:kern w:val="0"/>
                <w:szCs w:val="21"/>
              </w:rPr>
            </w:pPr>
          </w:p>
        </w:tc>
        <w:tc>
          <w:tcPr>
            <w:tcW w:w="3892" w:type="dxa"/>
            <w:tcBorders>
              <w:top w:val="single" w:color="auto" w:sz="4" w:space="0"/>
              <w:left w:val="nil"/>
              <w:bottom w:val="single" w:color="auto" w:sz="4" w:space="0"/>
              <w:right w:val="single" w:color="auto" w:sz="4" w:space="0"/>
            </w:tcBorders>
            <w:vAlign w:val="center"/>
          </w:tcPr>
          <w:p w14:paraId="5E25E341">
            <w:pPr>
              <w:autoSpaceDE w:val="0"/>
              <w:autoSpaceDN w:val="0"/>
              <w:adjustRightInd w:val="0"/>
              <w:spacing w:line="320" w:lineRule="exact"/>
              <w:jc w:val="center"/>
              <w:rPr>
                <w:rFonts w:ascii="宋体" w:hAnsi="宋体" w:eastAsia="宋体" w:cs="Times New Roman"/>
                <w:kern w:val="0"/>
                <w:szCs w:val="21"/>
              </w:rPr>
            </w:pPr>
          </w:p>
        </w:tc>
      </w:tr>
    </w:tbl>
    <w:p w14:paraId="12773740">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028F4548">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D618305">
      <w:pPr>
        <w:autoSpaceDE w:val="0"/>
        <w:autoSpaceDN w:val="0"/>
        <w:adjustRightInd w:val="0"/>
        <w:jc w:val="left"/>
        <w:rPr>
          <w:rFonts w:ascii="宋体" w:hAnsi="宋体" w:eastAsia="宋体" w:cs="Times New Roman"/>
          <w:kern w:val="0"/>
          <w:szCs w:val="21"/>
        </w:rPr>
      </w:pPr>
    </w:p>
    <w:p w14:paraId="30EC2293">
      <w:pPr>
        <w:autoSpaceDE w:val="0"/>
        <w:autoSpaceDN w:val="0"/>
        <w:adjustRightInd w:val="0"/>
        <w:jc w:val="left"/>
        <w:rPr>
          <w:rFonts w:ascii="宋体" w:hAnsi="宋体" w:eastAsia="宋体" w:cs="Times New Roman"/>
          <w:kern w:val="0"/>
          <w:szCs w:val="21"/>
        </w:rPr>
      </w:pPr>
    </w:p>
    <w:p w14:paraId="6DF71E04">
      <w:pPr>
        <w:autoSpaceDE w:val="0"/>
        <w:autoSpaceDN w:val="0"/>
        <w:adjustRightInd w:val="0"/>
        <w:jc w:val="left"/>
        <w:rPr>
          <w:rFonts w:ascii="宋体" w:hAnsi="宋体" w:eastAsia="宋体" w:cs="Times New Roman"/>
          <w:kern w:val="0"/>
          <w:szCs w:val="21"/>
        </w:rPr>
      </w:pPr>
    </w:p>
    <w:p w14:paraId="3C477DA2">
      <w:pPr>
        <w:autoSpaceDE w:val="0"/>
        <w:autoSpaceDN w:val="0"/>
        <w:adjustRightInd w:val="0"/>
        <w:jc w:val="left"/>
        <w:rPr>
          <w:rFonts w:ascii="宋体" w:hAnsi="宋体" w:eastAsia="宋体" w:cs="Times New Roman"/>
          <w:kern w:val="0"/>
          <w:szCs w:val="21"/>
        </w:rPr>
      </w:pPr>
    </w:p>
    <w:p w14:paraId="1DAB8533">
      <w:pPr>
        <w:autoSpaceDE w:val="0"/>
        <w:autoSpaceDN w:val="0"/>
        <w:adjustRightInd w:val="0"/>
        <w:jc w:val="left"/>
        <w:rPr>
          <w:rFonts w:ascii="宋体" w:hAnsi="宋体" w:eastAsia="宋体" w:cs="Times New Roman"/>
          <w:kern w:val="0"/>
          <w:szCs w:val="21"/>
        </w:rPr>
      </w:pPr>
    </w:p>
    <w:p w14:paraId="5821A4BB">
      <w:pPr>
        <w:autoSpaceDE w:val="0"/>
        <w:autoSpaceDN w:val="0"/>
        <w:adjustRightInd w:val="0"/>
        <w:jc w:val="left"/>
        <w:rPr>
          <w:rFonts w:ascii="宋体" w:hAnsi="宋体" w:eastAsia="宋体" w:cs="Times New Roman"/>
          <w:kern w:val="0"/>
          <w:szCs w:val="21"/>
        </w:rPr>
      </w:pPr>
    </w:p>
    <w:p w14:paraId="1DB98469">
      <w:pPr>
        <w:autoSpaceDE w:val="0"/>
        <w:autoSpaceDN w:val="0"/>
        <w:adjustRightInd w:val="0"/>
        <w:jc w:val="left"/>
        <w:rPr>
          <w:rFonts w:ascii="宋体" w:hAnsi="宋体" w:eastAsia="宋体" w:cs="Times New Roman"/>
          <w:kern w:val="0"/>
          <w:szCs w:val="21"/>
        </w:rPr>
      </w:pPr>
    </w:p>
    <w:p w14:paraId="711967E3">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附件：8</w:t>
      </w:r>
    </w:p>
    <w:p w14:paraId="76B3750F">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履约担保格式</w:t>
      </w:r>
    </w:p>
    <w:p w14:paraId="5D9EBB8E">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（发包人名称）：</w:t>
      </w:r>
    </w:p>
    <w:p w14:paraId="2D8E2136">
      <w:pPr>
        <w:autoSpaceDE w:val="0"/>
        <w:autoSpaceDN w:val="0"/>
        <w:adjustRightInd w:val="0"/>
        <w:spacing w:line="48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鉴于（发包人名称，以下简称“发包人”）与</w:t>
      </w:r>
    </w:p>
    <w:p w14:paraId="409CDA4D">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（承包人名称，以下称“承包人”）于年</w:t>
      </w:r>
    </w:p>
    <w:p w14:paraId="5C6F92F7">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月日就（工程名称）施工及有关事项协商一致共同签订《建设工程施工合同》。我方愿意无条件地、不可撤销地就承包人履行与你方签订的合同，向你方提供连带责任担保。</w:t>
      </w:r>
    </w:p>
    <w:p w14:paraId="3F65E326">
      <w:pPr>
        <w:autoSpaceDE w:val="0"/>
        <w:autoSpaceDN w:val="0"/>
        <w:adjustRightInd w:val="0"/>
        <w:spacing w:line="48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1.担保金额人民币（大写）元（</w:t>
      </w:r>
      <w:r>
        <w:rPr>
          <w:rFonts w:ascii="宋体" w:hAnsi="宋体" w:eastAsia="宋体" w:cs="Times New Roman"/>
          <w:kern w:val="0"/>
          <w:szCs w:val="21"/>
        </w:rPr>
        <w:t>¥</w:t>
      </w:r>
      <w:r>
        <w:rPr>
          <w:rFonts w:hint="eastAsia" w:ascii="宋体" w:hAnsi="宋体" w:eastAsia="宋体" w:cs="Times New Roman"/>
          <w:kern w:val="0"/>
          <w:szCs w:val="21"/>
        </w:rPr>
        <w:t>）。</w:t>
      </w:r>
    </w:p>
    <w:p w14:paraId="42C80557">
      <w:pPr>
        <w:autoSpaceDE w:val="0"/>
        <w:autoSpaceDN w:val="0"/>
        <w:adjustRightInd w:val="0"/>
        <w:spacing w:line="48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2.担保有效期自你方与承包人签订的合同生效之日起至你方签发或应签发工程接收证书之日止。</w:t>
      </w:r>
    </w:p>
    <w:p w14:paraId="0E81C0F6">
      <w:pPr>
        <w:autoSpaceDE w:val="0"/>
        <w:autoSpaceDN w:val="0"/>
        <w:adjustRightInd w:val="0"/>
        <w:spacing w:line="48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3.在本担保有效期内，因承包人违反合同约定的义务给你方造成经济损失时，我方在收到你方以书面形式提出的在担保金额内的赔偿要求后，在7天内无条件支付。</w:t>
      </w:r>
    </w:p>
    <w:p w14:paraId="22D4557E">
      <w:pPr>
        <w:autoSpaceDE w:val="0"/>
        <w:autoSpaceDN w:val="0"/>
        <w:adjustRightInd w:val="0"/>
        <w:spacing w:line="48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4.你方和承包人按合同约定变更合同时，我方承担本担保规定的义务不变。</w:t>
      </w:r>
    </w:p>
    <w:p w14:paraId="46E0781F">
      <w:pPr>
        <w:autoSpaceDE w:val="0"/>
        <w:autoSpaceDN w:val="0"/>
        <w:adjustRightInd w:val="0"/>
        <w:spacing w:line="48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5.因本保函发生的纠纷，可由双方协商解决，协商不成的，任何一方均可提请仲裁委员会仲裁。</w:t>
      </w:r>
    </w:p>
    <w:p w14:paraId="2C6D23B1">
      <w:pPr>
        <w:autoSpaceDE w:val="0"/>
        <w:autoSpaceDN w:val="0"/>
        <w:adjustRightInd w:val="0"/>
        <w:spacing w:line="48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6.本保函自我方法定代表人（或其授权代理人）签字并加盖公章之日起生效。</w:t>
      </w:r>
    </w:p>
    <w:p w14:paraId="71FEFC63">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担 保 人：（盖单位章）</w:t>
      </w:r>
    </w:p>
    <w:p w14:paraId="5E255FEB">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法定代表人或其委托代理人：（签字）</w:t>
      </w:r>
    </w:p>
    <w:p w14:paraId="5ADDA13F">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地    址：</w:t>
      </w:r>
    </w:p>
    <w:p w14:paraId="037FD6CA">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邮政编码：</w:t>
      </w:r>
    </w:p>
    <w:p w14:paraId="5A5FC23F">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电    话：</w:t>
      </w:r>
    </w:p>
    <w:p w14:paraId="26ABD3F0">
      <w:pPr>
        <w:autoSpaceDE w:val="0"/>
        <w:autoSpaceDN w:val="0"/>
        <w:adjustRightInd w:val="0"/>
        <w:spacing w:line="480" w:lineRule="auto"/>
        <w:jc w:val="left"/>
        <w:rPr>
          <w:rFonts w:ascii="宋体" w:hAnsi="宋体" w:eastAsia="宋体" w:cs="Times New Roman"/>
          <w:kern w:val="0"/>
          <w:szCs w:val="21"/>
        </w:rPr>
      </w:pPr>
      <w:r>
        <w:rPr>
          <w:rFonts w:hint="eastAsia" w:ascii="宋体" w:hAnsi="宋体" w:eastAsia="宋体" w:cs="Times New Roman"/>
          <w:kern w:val="0"/>
          <w:szCs w:val="21"/>
        </w:rPr>
        <w:t xml:space="preserve">传    真： </w:t>
      </w:r>
    </w:p>
    <w:p w14:paraId="28EE6AFE">
      <w:pPr>
        <w:autoSpaceDE w:val="0"/>
        <w:autoSpaceDN w:val="0"/>
        <w:adjustRightInd w:val="0"/>
        <w:spacing w:line="480" w:lineRule="auto"/>
        <w:ind w:right="840" w:rightChars="400" w:firstLine="420" w:firstLineChars="200"/>
        <w:jc w:val="right"/>
        <w:rPr>
          <w:rFonts w:ascii="宋体" w:hAnsi="宋体" w:eastAsia="宋体" w:cs="Times New Roman"/>
          <w:kern w:val="0"/>
          <w:szCs w:val="21"/>
        </w:rPr>
      </w:pPr>
      <w:r>
        <w:rPr>
          <w:rFonts w:hint="eastAsia" w:ascii="宋体" w:hAnsi="宋体" w:eastAsia="宋体" w:cs="Times New Roman"/>
          <w:kern w:val="0"/>
          <w:szCs w:val="21"/>
        </w:rPr>
        <w:t>年月日</w:t>
      </w:r>
    </w:p>
    <w:p w14:paraId="5D8B4CB7">
      <w:pPr>
        <w:autoSpaceDE w:val="0"/>
        <w:autoSpaceDN w:val="0"/>
        <w:adjustRightInd w:val="0"/>
        <w:jc w:val="left"/>
        <w:rPr>
          <w:rFonts w:ascii="宋体" w:hAnsi="宋体" w:eastAsia="宋体" w:cs="Times New Roman"/>
          <w:kern w:val="0"/>
          <w:szCs w:val="21"/>
        </w:rPr>
      </w:pPr>
    </w:p>
    <w:p w14:paraId="440AFC65">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附件：9</w:t>
      </w:r>
    </w:p>
    <w:p w14:paraId="74818874">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285CBB36">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预付款担保格式</w:t>
      </w:r>
    </w:p>
    <w:p w14:paraId="0886BDD8">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42DB5ED">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（发包人名称）：</w:t>
      </w:r>
    </w:p>
    <w:p w14:paraId="58A91040">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根据（承包人名称，以下简称“承包人”）与</w:t>
      </w:r>
    </w:p>
    <w:p w14:paraId="68E14834">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发包人名称，以下称“发包人”）于年月日签订的（工程名称）《建设工程施工合同》，承包人按约定的金额向你方提交一份预付款担保，即有权得到你方支付相等金额的预付款。我方愿意就你方提供给承包人的预付款为承包人提供连带责任担保。</w:t>
      </w:r>
    </w:p>
    <w:p w14:paraId="259BF4BE">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1.担保金额人民币（大写）元（</w:t>
      </w:r>
      <w:r>
        <w:rPr>
          <w:rFonts w:ascii="宋体" w:hAnsi="宋体" w:eastAsia="宋体" w:cs="Times New Roman"/>
          <w:kern w:val="0"/>
          <w:szCs w:val="21"/>
        </w:rPr>
        <w:t>¥</w:t>
      </w:r>
      <w:r>
        <w:rPr>
          <w:rFonts w:hint="eastAsia" w:ascii="宋体" w:hAnsi="宋体" w:eastAsia="宋体" w:cs="Times New Roman"/>
          <w:kern w:val="0"/>
          <w:szCs w:val="21"/>
        </w:rPr>
        <w:t>）。</w:t>
      </w:r>
    </w:p>
    <w:p w14:paraId="6B08EE8B">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2.担保有效期自预付款支付给承包人起生效，至你方签发的进度款支付证书说明已完全扣清止。</w:t>
      </w:r>
    </w:p>
    <w:p w14:paraId="50B43C50">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2D7A9F9B">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4.你方和承包人按合同约定变更合同时，我方承担本保函规定的义务不变。</w:t>
      </w:r>
    </w:p>
    <w:p w14:paraId="5449CF47">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5.因本保函发生的纠纷，可由双方协商解决，协商不成的，任何一方均可提请仲裁委员会仲裁。</w:t>
      </w:r>
    </w:p>
    <w:p w14:paraId="2EA1CC0F">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6.本保函自我方法定代表人（或其授权代理人）签字并加盖公章之日起生效。</w:t>
      </w:r>
    </w:p>
    <w:p w14:paraId="101E1932">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6DB93A0D">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担 保 人：（盖单位章）</w:t>
      </w:r>
    </w:p>
    <w:p w14:paraId="75F4E8F9">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法定代表人或其委托代理人：（签字）</w:t>
      </w:r>
    </w:p>
    <w:p w14:paraId="4F9A9A28">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地    址：</w:t>
      </w:r>
    </w:p>
    <w:p w14:paraId="7918DA8D">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邮政编码：</w:t>
      </w:r>
    </w:p>
    <w:p w14:paraId="49855440">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电    话：</w:t>
      </w:r>
    </w:p>
    <w:p w14:paraId="1AFDED00">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传    真：</w:t>
      </w:r>
    </w:p>
    <w:p w14:paraId="1A79D2FF">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EA04ABD">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76602726">
      <w:pPr>
        <w:autoSpaceDE w:val="0"/>
        <w:autoSpaceDN w:val="0"/>
        <w:adjustRightInd w:val="0"/>
        <w:spacing w:line="360" w:lineRule="auto"/>
        <w:ind w:right="840" w:rightChars="400" w:firstLine="420" w:firstLineChars="200"/>
        <w:jc w:val="right"/>
        <w:rPr>
          <w:rFonts w:ascii="宋体" w:hAnsi="宋体" w:eastAsia="宋体" w:cs="Times New Roman"/>
          <w:kern w:val="0"/>
          <w:szCs w:val="21"/>
        </w:rPr>
      </w:pPr>
      <w:r>
        <w:rPr>
          <w:rFonts w:hint="eastAsia" w:ascii="宋体" w:hAnsi="宋体" w:eastAsia="宋体" w:cs="Times New Roman"/>
          <w:kern w:val="0"/>
          <w:szCs w:val="21"/>
        </w:rPr>
        <w:t>年月日</w:t>
      </w:r>
    </w:p>
    <w:p w14:paraId="61CACB9F">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BF2857A">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附件：10</w:t>
      </w:r>
    </w:p>
    <w:p w14:paraId="61F776AE">
      <w:pPr>
        <w:autoSpaceDE w:val="0"/>
        <w:autoSpaceDN w:val="0"/>
        <w:adjustRightInd w:val="0"/>
        <w:spacing w:line="360" w:lineRule="auto"/>
        <w:jc w:val="center"/>
        <w:rPr>
          <w:rFonts w:ascii="宋体" w:hAnsi="宋体" w:eastAsia="宋体" w:cs="Times New Roman"/>
          <w:kern w:val="0"/>
          <w:szCs w:val="21"/>
        </w:rPr>
      </w:pPr>
      <w:r>
        <w:rPr>
          <w:rFonts w:ascii="宋体" w:hAnsi="宋体" w:eastAsia="宋体" w:cs="Times New Roman"/>
          <w:kern w:val="0"/>
          <w:szCs w:val="21"/>
        </w:rPr>
        <w:t>支付担保格式</w:t>
      </w:r>
    </w:p>
    <w:p w14:paraId="6D90D77C">
      <w:pPr>
        <w:autoSpaceDE w:val="0"/>
        <w:autoSpaceDN w:val="0"/>
        <w:adjustRightInd w:val="0"/>
        <w:spacing w:line="360" w:lineRule="auto"/>
        <w:jc w:val="center"/>
        <w:rPr>
          <w:rFonts w:ascii="宋体" w:hAnsi="宋体" w:eastAsia="宋体" w:cs="Times New Roman"/>
          <w:kern w:val="0"/>
          <w:szCs w:val="21"/>
        </w:rPr>
      </w:pPr>
      <w:r>
        <w:rPr>
          <w:rFonts w:ascii="宋体" w:hAnsi="宋体" w:eastAsia="宋体" w:cs="Times New Roman"/>
          <w:kern w:val="0"/>
          <w:szCs w:val="21"/>
        </w:rPr>
        <w:t>（财政性投资项目按相关规定执行）</w:t>
      </w:r>
    </w:p>
    <w:p w14:paraId="68A7ADED">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（承包人名称）：</w:t>
      </w:r>
    </w:p>
    <w:p w14:paraId="03C83CEF">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鉴于你方作为承包人已经与（发包人名称，以下简称“发包人”）与于年月日签订了</w:t>
      </w:r>
    </w:p>
    <w:p w14:paraId="33D65C84">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（工程名称）《建设工程施工合同》（以下称“主合同”），应发包人的申请，我方愿就发包人履行主合同约定的工程款支付义务以保证的方式向你方提供如下担保：</w:t>
      </w:r>
    </w:p>
    <w:p w14:paraId="41A7F691">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一、保证的范围及保证金额</w:t>
      </w:r>
    </w:p>
    <w:p w14:paraId="63AADE82">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1.我方的保证范围是主合同约定的工程款。</w:t>
      </w:r>
    </w:p>
    <w:p w14:paraId="2D270628">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2.本保函所称主合同约定的工程款是指主合同约定的除工程质量保证金以外的合同价款。</w:t>
      </w:r>
    </w:p>
    <w:p w14:paraId="4D23F9B5">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3.我方保证的金额是主合同约定的工程款的%，数额最高不超过人民币元（大写：）。</w:t>
      </w:r>
    </w:p>
    <w:p w14:paraId="782F7209">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二、保证的方式及保证期间</w:t>
      </w:r>
    </w:p>
    <w:p w14:paraId="4F36C8F1">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1.我方保证的方式为：连带责任保证。</w:t>
      </w:r>
    </w:p>
    <w:p w14:paraId="03C7A131">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2.我方保证的期间为：自本合同生效之日起至主合同约定的工程款支付完毕之日后日内。</w:t>
      </w:r>
    </w:p>
    <w:p w14:paraId="1C7F8DE6">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3.你方与发包人协议变更工程款支付日期的，经我方书面同意后，保证期间按照变更后的支付日期做相应调整。</w:t>
      </w:r>
    </w:p>
    <w:p w14:paraId="647373C3">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三、承担保证责任的形式</w:t>
      </w:r>
    </w:p>
    <w:p w14:paraId="3C2CFD6C">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我方承担保证责任的形式是代为支付。发包人未按主合同约定向你方支付工程款的，由我方在保证金额内代为支付。</w:t>
      </w:r>
    </w:p>
    <w:p w14:paraId="2502DC32">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四、代偿的安排</w:t>
      </w:r>
    </w:p>
    <w:p w14:paraId="79C63A56">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1.你方要求我方承担保证责任的，应向我方发出书面索赔通知及发包人未支付主合同约定工程款的证明材料。索赔通知应写明要求索赔的金额，支付款项应到达的账号。</w:t>
      </w:r>
    </w:p>
    <w:p w14:paraId="44B8DCB8">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2.在出现你方与发包人因工程质量发生争议，发包人拒绝向你方支付工程款的情形时，你方要求我方履行保证责任代为支付的，需提供符合相应条件要求的工程质量检测机构出具的质量说明材料。</w:t>
      </w:r>
    </w:p>
    <w:p w14:paraId="02F852D8">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3.我方收到你方的书面索赔通知及相应的证明材料后７天内无条件支付。</w:t>
      </w:r>
    </w:p>
    <w:p w14:paraId="0B8ECD56">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五、保证责任的解除</w:t>
      </w:r>
    </w:p>
    <w:p w14:paraId="00681DD0">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1.在本保函承诺的保证期间内，你方未书面向我方主张保证责任的，自保证期间届满次日起，我方保证责任解除。</w:t>
      </w:r>
    </w:p>
    <w:p w14:paraId="354C5632">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2.发包人按主合同约定履行了工程款的全部支付义务的，自本保函承诺的保证期间届满次日起，我方保证责任解除。</w:t>
      </w:r>
    </w:p>
    <w:p w14:paraId="4C939C1A">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3.我方按照本保函向你方履行保证责任所支付金额达到本保函保证金额时，自我方向你方支付（支付款项从我方账户划出）之日起，保证责任即解除。</w:t>
      </w:r>
    </w:p>
    <w:p w14:paraId="55D86DDE">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4.按照法律法规的规定或出现应解除我方保证责任的其他情形的，我方在本保函项下的保证责任亦解除。</w:t>
      </w:r>
    </w:p>
    <w:p w14:paraId="6AFBCCB1">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5.我方解除保证责任后，你方应自我方保证责任解除之日起个工作日内，将本保函原件返还我方。</w:t>
      </w:r>
    </w:p>
    <w:p w14:paraId="58E8837B">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六、免责条款</w:t>
      </w:r>
    </w:p>
    <w:p w14:paraId="6B08F626">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1.因你方违约致使发包人不能履行义务的，我方不承担保证责任。</w:t>
      </w:r>
    </w:p>
    <w:p w14:paraId="51D8024B">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2.依照法律法规的规定或你方与发包人的另行约定，免除发包人部分或全部义务的，我方亦免除其相应的保证责任。</w:t>
      </w:r>
    </w:p>
    <w:p w14:paraId="66DCE610">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3.你方与发包人协议变更主合同的，如加重发包人责任致使我方保证责任加重的，需征得我方书面同意，否则我方不再承担因此而加重部分的保证责任，但主合同第10条〔变更〕约定的变更不受本款限制。</w:t>
      </w:r>
    </w:p>
    <w:p w14:paraId="4372E674">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4.因不可抗力造成发包人不能履行义务的，我方不承担保证责任。</w:t>
      </w:r>
    </w:p>
    <w:p w14:paraId="29FFC689">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七、争议解决</w:t>
      </w:r>
    </w:p>
    <w:p w14:paraId="547039CE">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因本保函或本保函相关事项发生的纠纷，可由双方协商解决，协商不成的，按下列第种方式解决：</w:t>
      </w:r>
    </w:p>
    <w:p w14:paraId="70666AFA">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1.向仲裁委员会申请仲裁；</w:t>
      </w:r>
    </w:p>
    <w:p w14:paraId="2422DC2D">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2.向人民法院起诉。</w:t>
      </w:r>
    </w:p>
    <w:p w14:paraId="68657ECA">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八、保函的生效</w:t>
      </w:r>
    </w:p>
    <w:p w14:paraId="18BE006C">
      <w:pPr>
        <w:autoSpaceDE w:val="0"/>
        <w:autoSpaceDN w:val="0"/>
        <w:adjustRightInd w:val="0"/>
        <w:spacing w:line="360" w:lineRule="auto"/>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本保函自我方法定代表人（或其授权代理人）签字并加盖公章之日起生效。</w:t>
      </w:r>
    </w:p>
    <w:p w14:paraId="4C22FE6F">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担保人：（盖章）</w:t>
      </w:r>
    </w:p>
    <w:p w14:paraId="7587C1EF">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法定代表人或委托代理人：（签字）</w:t>
      </w:r>
    </w:p>
    <w:p w14:paraId="7427F751">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地    址：</w:t>
      </w:r>
    </w:p>
    <w:p w14:paraId="3C47C441">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邮政编码：</w:t>
      </w:r>
    </w:p>
    <w:p w14:paraId="2840C5C2">
      <w:pPr>
        <w:autoSpaceDE w:val="0"/>
        <w:autoSpaceDN w:val="0"/>
        <w:adjustRightInd w:val="0"/>
        <w:spacing w:line="360" w:lineRule="auto"/>
        <w:jc w:val="left"/>
        <w:rPr>
          <w:rFonts w:ascii="宋体" w:hAnsi="宋体" w:eastAsia="宋体" w:cs="Times New Roman"/>
          <w:kern w:val="0"/>
          <w:szCs w:val="21"/>
        </w:rPr>
      </w:pPr>
      <w:r>
        <w:rPr>
          <w:rFonts w:hint="eastAsia" w:ascii="宋体" w:hAnsi="宋体" w:eastAsia="宋体" w:cs="Times New Roman"/>
          <w:kern w:val="0"/>
          <w:szCs w:val="21"/>
        </w:rPr>
        <w:t xml:space="preserve">传    真： </w:t>
      </w:r>
    </w:p>
    <w:p w14:paraId="57EF7CA4">
      <w:pPr>
        <w:autoSpaceDE w:val="0"/>
        <w:autoSpaceDN w:val="0"/>
        <w:adjustRightInd w:val="0"/>
        <w:spacing w:line="360" w:lineRule="auto"/>
        <w:ind w:right="840" w:rightChars="400" w:firstLine="420" w:firstLineChars="200"/>
        <w:jc w:val="right"/>
        <w:rPr>
          <w:rFonts w:ascii="宋体" w:hAnsi="宋体" w:eastAsia="宋体" w:cs="Times New Roman"/>
          <w:kern w:val="0"/>
          <w:szCs w:val="21"/>
        </w:rPr>
      </w:pPr>
      <w:r>
        <w:rPr>
          <w:rFonts w:hint="eastAsia" w:ascii="宋体" w:hAnsi="宋体" w:eastAsia="宋体" w:cs="Times New Roman"/>
          <w:kern w:val="0"/>
          <w:szCs w:val="21"/>
        </w:rPr>
        <w:t>年月日</w:t>
      </w:r>
    </w:p>
    <w:p w14:paraId="198D7F44">
      <w:pPr>
        <w:spacing w:after="100" w:line="259" w:lineRule="auto"/>
        <w:jc w:val="left"/>
        <w:rPr>
          <w:rFonts w:ascii="宋体" w:hAnsi="宋体" w:eastAsia="宋体" w:cs="Times New Roman"/>
          <w:kern w:val="0"/>
          <w:szCs w:val="21"/>
        </w:rPr>
      </w:pPr>
    </w:p>
    <w:p w14:paraId="64580574">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附件：11</w:t>
      </w:r>
    </w:p>
    <w:p w14:paraId="1FD6245C">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753DA281">
      <w:pPr>
        <w:autoSpaceDE w:val="0"/>
        <w:autoSpaceDN w:val="0"/>
        <w:adjustRightInd w:val="0"/>
        <w:spacing w:line="560" w:lineRule="exact"/>
        <w:jc w:val="center"/>
        <w:rPr>
          <w:rFonts w:ascii="宋体" w:hAnsi="宋体" w:eastAsia="宋体" w:cs="Times New Roman"/>
          <w:kern w:val="0"/>
          <w:szCs w:val="21"/>
        </w:rPr>
      </w:pPr>
      <w:r>
        <w:rPr>
          <w:rFonts w:ascii="宋体" w:hAnsi="宋体" w:eastAsia="宋体" w:cs="Times New Roman"/>
          <w:kern w:val="0"/>
          <w:szCs w:val="21"/>
        </w:rPr>
        <w:t>暂估价一览表</w:t>
      </w:r>
    </w:p>
    <w:p w14:paraId="58901AD5">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一、材料暂估价表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47"/>
        <w:gridCol w:w="2242"/>
        <w:gridCol w:w="851"/>
        <w:gridCol w:w="774"/>
        <w:gridCol w:w="1646"/>
        <w:gridCol w:w="1418"/>
        <w:gridCol w:w="1082"/>
      </w:tblGrid>
      <w:tr w14:paraId="309AB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2B6253D8">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序号</w:t>
            </w:r>
          </w:p>
        </w:tc>
        <w:tc>
          <w:tcPr>
            <w:tcW w:w="2242" w:type="dxa"/>
            <w:tcBorders>
              <w:top w:val="single" w:color="auto" w:sz="4" w:space="0"/>
              <w:left w:val="nil"/>
              <w:bottom w:val="single" w:color="auto" w:sz="4" w:space="0"/>
              <w:right w:val="single" w:color="auto" w:sz="4" w:space="0"/>
            </w:tcBorders>
            <w:vAlign w:val="center"/>
          </w:tcPr>
          <w:p w14:paraId="76373F9C">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名称</w:t>
            </w:r>
          </w:p>
        </w:tc>
        <w:tc>
          <w:tcPr>
            <w:tcW w:w="851" w:type="dxa"/>
            <w:tcBorders>
              <w:top w:val="single" w:color="auto" w:sz="4" w:space="0"/>
              <w:left w:val="nil"/>
              <w:bottom w:val="single" w:color="auto" w:sz="4" w:space="0"/>
              <w:right w:val="single" w:color="auto" w:sz="4" w:space="0"/>
            </w:tcBorders>
            <w:vAlign w:val="center"/>
          </w:tcPr>
          <w:p w14:paraId="40904214">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单位</w:t>
            </w:r>
          </w:p>
        </w:tc>
        <w:tc>
          <w:tcPr>
            <w:tcW w:w="774" w:type="dxa"/>
            <w:tcBorders>
              <w:top w:val="single" w:color="auto" w:sz="4" w:space="0"/>
              <w:left w:val="nil"/>
              <w:bottom w:val="single" w:color="auto" w:sz="4" w:space="0"/>
              <w:right w:val="single" w:color="auto" w:sz="4" w:space="0"/>
            </w:tcBorders>
            <w:vAlign w:val="center"/>
          </w:tcPr>
          <w:p w14:paraId="7943BD39">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数量</w:t>
            </w:r>
          </w:p>
        </w:tc>
        <w:tc>
          <w:tcPr>
            <w:tcW w:w="1646" w:type="dxa"/>
            <w:tcBorders>
              <w:top w:val="single" w:color="auto" w:sz="4" w:space="0"/>
              <w:left w:val="nil"/>
              <w:bottom w:val="single" w:color="auto" w:sz="4" w:space="0"/>
              <w:right w:val="single" w:color="auto" w:sz="4" w:space="0"/>
            </w:tcBorders>
            <w:vAlign w:val="center"/>
          </w:tcPr>
          <w:p w14:paraId="36BF2A3F">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单价（元）</w:t>
            </w:r>
          </w:p>
        </w:tc>
        <w:tc>
          <w:tcPr>
            <w:tcW w:w="1418" w:type="dxa"/>
            <w:tcBorders>
              <w:top w:val="single" w:color="auto" w:sz="4" w:space="0"/>
              <w:left w:val="nil"/>
              <w:bottom w:val="single" w:color="auto" w:sz="4" w:space="0"/>
              <w:right w:val="single" w:color="auto" w:sz="4" w:space="0"/>
            </w:tcBorders>
            <w:vAlign w:val="center"/>
          </w:tcPr>
          <w:p w14:paraId="5EC47426">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合价（元）</w:t>
            </w:r>
          </w:p>
        </w:tc>
        <w:tc>
          <w:tcPr>
            <w:tcW w:w="1082" w:type="dxa"/>
            <w:tcBorders>
              <w:top w:val="single" w:color="auto" w:sz="4" w:space="0"/>
              <w:left w:val="nil"/>
              <w:bottom w:val="single" w:color="auto" w:sz="4" w:space="0"/>
              <w:right w:val="single" w:color="auto" w:sz="4" w:space="0"/>
            </w:tcBorders>
            <w:vAlign w:val="center"/>
          </w:tcPr>
          <w:p w14:paraId="31A8B7AA">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备注</w:t>
            </w:r>
          </w:p>
        </w:tc>
      </w:tr>
      <w:tr w14:paraId="24BD3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397C88BA">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79961784">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E111BE4">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4167B3E6">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426D4FA1">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76949B7E">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3E1E1FF8">
            <w:pPr>
              <w:autoSpaceDE w:val="0"/>
              <w:autoSpaceDN w:val="0"/>
              <w:adjustRightInd w:val="0"/>
              <w:spacing w:line="320" w:lineRule="exact"/>
              <w:jc w:val="center"/>
              <w:rPr>
                <w:rFonts w:ascii="宋体" w:hAnsi="宋体" w:eastAsia="宋体" w:cs="Times New Roman"/>
                <w:kern w:val="0"/>
                <w:szCs w:val="21"/>
              </w:rPr>
            </w:pPr>
          </w:p>
        </w:tc>
      </w:tr>
      <w:tr w14:paraId="24485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09C7ADFC">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4C6A6274">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284FE80A">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1C8590B1">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4B0C8D99">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3BA1025F">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2AE4BD8C">
            <w:pPr>
              <w:autoSpaceDE w:val="0"/>
              <w:autoSpaceDN w:val="0"/>
              <w:adjustRightInd w:val="0"/>
              <w:spacing w:line="320" w:lineRule="exact"/>
              <w:jc w:val="center"/>
              <w:rPr>
                <w:rFonts w:ascii="宋体" w:hAnsi="宋体" w:eastAsia="宋体" w:cs="Times New Roman"/>
                <w:kern w:val="0"/>
                <w:szCs w:val="21"/>
              </w:rPr>
            </w:pPr>
          </w:p>
        </w:tc>
      </w:tr>
      <w:tr w14:paraId="146A0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076AC2FC">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25C6FA77">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5D83748E">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171B56D0">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0EDE1A45">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79A27F16">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69F26DC5">
            <w:pPr>
              <w:autoSpaceDE w:val="0"/>
              <w:autoSpaceDN w:val="0"/>
              <w:adjustRightInd w:val="0"/>
              <w:spacing w:line="320" w:lineRule="exact"/>
              <w:jc w:val="center"/>
              <w:rPr>
                <w:rFonts w:ascii="宋体" w:hAnsi="宋体" w:eastAsia="宋体" w:cs="Times New Roman"/>
                <w:kern w:val="0"/>
                <w:szCs w:val="21"/>
              </w:rPr>
            </w:pPr>
          </w:p>
        </w:tc>
      </w:tr>
      <w:tr w14:paraId="00DD0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4259E936">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0E5483BA">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5B4E3882">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62DAA712">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79484131">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63F9E4F7">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04D1D4CA">
            <w:pPr>
              <w:autoSpaceDE w:val="0"/>
              <w:autoSpaceDN w:val="0"/>
              <w:adjustRightInd w:val="0"/>
              <w:spacing w:line="320" w:lineRule="exact"/>
              <w:jc w:val="center"/>
              <w:rPr>
                <w:rFonts w:ascii="宋体" w:hAnsi="宋体" w:eastAsia="宋体" w:cs="Times New Roman"/>
                <w:kern w:val="0"/>
                <w:szCs w:val="21"/>
              </w:rPr>
            </w:pPr>
          </w:p>
        </w:tc>
      </w:tr>
      <w:tr w14:paraId="6D57A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39C62B1E">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027102C2">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448377C9">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297336A">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7D9C285F">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6AC5AD90">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3CA05131">
            <w:pPr>
              <w:autoSpaceDE w:val="0"/>
              <w:autoSpaceDN w:val="0"/>
              <w:adjustRightInd w:val="0"/>
              <w:spacing w:line="320" w:lineRule="exact"/>
              <w:jc w:val="center"/>
              <w:rPr>
                <w:rFonts w:ascii="宋体" w:hAnsi="宋体" w:eastAsia="宋体" w:cs="Times New Roman"/>
                <w:kern w:val="0"/>
                <w:szCs w:val="21"/>
              </w:rPr>
            </w:pPr>
          </w:p>
        </w:tc>
      </w:tr>
      <w:tr w14:paraId="6AF72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562B82B7">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5E427C6C">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7AC2230">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61A854F1">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11CF82A9">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60D45074">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4C1F61C9">
            <w:pPr>
              <w:autoSpaceDE w:val="0"/>
              <w:autoSpaceDN w:val="0"/>
              <w:adjustRightInd w:val="0"/>
              <w:spacing w:line="320" w:lineRule="exact"/>
              <w:jc w:val="center"/>
              <w:rPr>
                <w:rFonts w:ascii="宋体" w:hAnsi="宋体" w:eastAsia="宋体" w:cs="Times New Roman"/>
                <w:kern w:val="0"/>
                <w:szCs w:val="21"/>
              </w:rPr>
            </w:pPr>
          </w:p>
        </w:tc>
      </w:tr>
      <w:tr w14:paraId="45FB7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26CEE222">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69C5FA81">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B2823FE">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DF9AE26">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6E9AD0C7">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44484E90">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24FAD649">
            <w:pPr>
              <w:autoSpaceDE w:val="0"/>
              <w:autoSpaceDN w:val="0"/>
              <w:adjustRightInd w:val="0"/>
              <w:spacing w:line="320" w:lineRule="exact"/>
              <w:jc w:val="center"/>
              <w:rPr>
                <w:rFonts w:ascii="宋体" w:hAnsi="宋体" w:eastAsia="宋体" w:cs="Times New Roman"/>
                <w:kern w:val="0"/>
                <w:szCs w:val="21"/>
              </w:rPr>
            </w:pPr>
          </w:p>
        </w:tc>
      </w:tr>
      <w:tr w14:paraId="2F01F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5C327409">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169A596F">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A65BAD6">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6BBD7077">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5D90856E">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0C5BC513">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37A423E6">
            <w:pPr>
              <w:autoSpaceDE w:val="0"/>
              <w:autoSpaceDN w:val="0"/>
              <w:adjustRightInd w:val="0"/>
              <w:spacing w:line="320" w:lineRule="exact"/>
              <w:jc w:val="center"/>
              <w:rPr>
                <w:rFonts w:ascii="宋体" w:hAnsi="宋体" w:eastAsia="宋体" w:cs="Times New Roman"/>
                <w:kern w:val="0"/>
                <w:szCs w:val="21"/>
              </w:rPr>
            </w:pPr>
          </w:p>
        </w:tc>
      </w:tr>
      <w:tr w14:paraId="27B60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79AD3785">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0537D824">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4A6B8311">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1990008A">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44716E0C">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4E9799E0">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28F70636">
            <w:pPr>
              <w:autoSpaceDE w:val="0"/>
              <w:autoSpaceDN w:val="0"/>
              <w:adjustRightInd w:val="0"/>
              <w:spacing w:line="320" w:lineRule="exact"/>
              <w:jc w:val="center"/>
              <w:rPr>
                <w:rFonts w:ascii="宋体" w:hAnsi="宋体" w:eastAsia="宋体" w:cs="Times New Roman"/>
                <w:kern w:val="0"/>
                <w:szCs w:val="21"/>
              </w:rPr>
            </w:pPr>
          </w:p>
        </w:tc>
      </w:tr>
      <w:tr w14:paraId="7626F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0CF66A50">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645944E5">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4FB4EA1F">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6A867470">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432DC9F9">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4EAA34C4">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72B71ED6">
            <w:pPr>
              <w:autoSpaceDE w:val="0"/>
              <w:autoSpaceDN w:val="0"/>
              <w:adjustRightInd w:val="0"/>
              <w:spacing w:line="320" w:lineRule="exact"/>
              <w:jc w:val="center"/>
              <w:rPr>
                <w:rFonts w:ascii="宋体" w:hAnsi="宋体" w:eastAsia="宋体" w:cs="Times New Roman"/>
                <w:kern w:val="0"/>
                <w:szCs w:val="21"/>
              </w:rPr>
            </w:pPr>
          </w:p>
        </w:tc>
      </w:tr>
      <w:tr w14:paraId="534E5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50DA6709">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65AFA97F">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1F065630">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51253C3D">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1C84D0F8">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2E5187A5">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08CD9EB6">
            <w:pPr>
              <w:autoSpaceDE w:val="0"/>
              <w:autoSpaceDN w:val="0"/>
              <w:adjustRightInd w:val="0"/>
              <w:spacing w:line="320" w:lineRule="exact"/>
              <w:jc w:val="center"/>
              <w:rPr>
                <w:rFonts w:ascii="宋体" w:hAnsi="宋体" w:eastAsia="宋体" w:cs="Times New Roman"/>
                <w:kern w:val="0"/>
                <w:szCs w:val="21"/>
              </w:rPr>
            </w:pPr>
          </w:p>
        </w:tc>
      </w:tr>
      <w:tr w14:paraId="6A902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7E717603">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61C9454D">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17490B0">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6FDF711F">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6A03B383">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2B0A9AB5">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50DDDDBB">
            <w:pPr>
              <w:autoSpaceDE w:val="0"/>
              <w:autoSpaceDN w:val="0"/>
              <w:adjustRightInd w:val="0"/>
              <w:spacing w:line="320" w:lineRule="exact"/>
              <w:jc w:val="center"/>
              <w:rPr>
                <w:rFonts w:ascii="宋体" w:hAnsi="宋体" w:eastAsia="宋体" w:cs="Times New Roman"/>
                <w:kern w:val="0"/>
                <w:szCs w:val="21"/>
              </w:rPr>
            </w:pPr>
          </w:p>
        </w:tc>
      </w:tr>
      <w:tr w14:paraId="2E10B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38873972">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36B3A00F">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24102A88">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1B3C5709">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74E3AD83">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5D847219">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3D1A1E7F">
            <w:pPr>
              <w:autoSpaceDE w:val="0"/>
              <w:autoSpaceDN w:val="0"/>
              <w:adjustRightInd w:val="0"/>
              <w:spacing w:line="320" w:lineRule="exact"/>
              <w:jc w:val="center"/>
              <w:rPr>
                <w:rFonts w:ascii="宋体" w:hAnsi="宋体" w:eastAsia="宋体" w:cs="Times New Roman"/>
                <w:kern w:val="0"/>
                <w:szCs w:val="21"/>
              </w:rPr>
            </w:pPr>
          </w:p>
        </w:tc>
      </w:tr>
      <w:tr w14:paraId="65407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52B54BEF">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102EF4D5">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74733D28">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3FE2710">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482D4A48">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0C879236">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4800E43A">
            <w:pPr>
              <w:autoSpaceDE w:val="0"/>
              <w:autoSpaceDN w:val="0"/>
              <w:adjustRightInd w:val="0"/>
              <w:spacing w:line="320" w:lineRule="exact"/>
              <w:jc w:val="center"/>
              <w:rPr>
                <w:rFonts w:ascii="宋体" w:hAnsi="宋体" w:eastAsia="宋体" w:cs="Times New Roman"/>
                <w:kern w:val="0"/>
                <w:szCs w:val="21"/>
              </w:rPr>
            </w:pPr>
          </w:p>
        </w:tc>
      </w:tr>
      <w:tr w14:paraId="03507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744622A1">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41AB6E07">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8A8DFFA">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31A56711">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316FCA92">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28BB2340">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2E440A6B">
            <w:pPr>
              <w:autoSpaceDE w:val="0"/>
              <w:autoSpaceDN w:val="0"/>
              <w:adjustRightInd w:val="0"/>
              <w:spacing w:line="320" w:lineRule="exact"/>
              <w:jc w:val="center"/>
              <w:rPr>
                <w:rFonts w:ascii="宋体" w:hAnsi="宋体" w:eastAsia="宋体" w:cs="Times New Roman"/>
                <w:kern w:val="0"/>
                <w:szCs w:val="21"/>
              </w:rPr>
            </w:pPr>
          </w:p>
        </w:tc>
      </w:tr>
      <w:tr w14:paraId="7596A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422E353B">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01BCEBC3">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47AD3B5B">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5BCAEFA5">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135878C4">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441DB94A">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435A2DAA">
            <w:pPr>
              <w:autoSpaceDE w:val="0"/>
              <w:autoSpaceDN w:val="0"/>
              <w:adjustRightInd w:val="0"/>
              <w:spacing w:line="320" w:lineRule="exact"/>
              <w:jc w:val="center"/>
              <w:rPr>
                <w:rFonts w:ascii="宋体" w:hAnsi="宋体" w:eastAsia="宋体" w:cs="Times New Roman"/>
                <w:kern w:val="0"/>
                <w:szCs w:val="21"/>
              </w:rPr>
            </w:pPr>
          </w:p>
        </w:tc>
      </w:tr>
      <w:tr w14:paraId="0655E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30A4988A">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357CB5C8">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C5696B8">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0E0DB3F">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7D47E7E2">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4A97CDCD">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3CBEFF53">
            <w:pPr>
              <w:autoSpaceDE w:val="0"/>
              <w:autoSpaceDN w:val="0"/>
              <w:adjustRightInd w:val="0"/>
              <w:spacing w:line="320" w:lineRule="exact"/>
              <w:jc w:val="center"/>
              <w:rPr>
                <w:rFonts w:ascii="宋体" w:hAnsi="宋体" w:eastAsia="宋体" w:cs="Times New Roman"/>
                <w:kern w:val="0"/>
                <w:szCs w:val="21"/>
              </w:rPr>
            </w:pPr>
          </w:p>
        </w:tc>
      </w:tr>
      <w:tr w14:paraId="639F8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27DC502F">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49FCD3B8">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3531FFA">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26FE5D0A">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07440A5A">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584DCE46">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3BEF3A62">
            <w:pPr>
              <w:autoSpaceDE w:val="0"/>
              <w:autoSpaceDN w:val="0"/>
              <w:adjustRightInd w:val="0"/>
              <w:spacing w:line="320" w:lineRule="exact"/>
              <w:jc w:val="center"/>
              <w:rPr>
                <w:rFonts w:ascii="宋体" w:hAnsi="宋体" w:eastAsia="宋体" w:cs="Times New Roman"/>
                <w:kern w:val="0"/>
                <w:szCs w:val="21"/>
              </w:rPr>
            </w:pPr>
          </w:p>
        </w:tc>
      </w:tr>
      <w:tr w14:paraId="03267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7AA86BEA">
            <w:pPr>
              <w:autoSpaceDE w:val="0"/>
              <w:autoSpaceDN w:val="0"/>
              <w:adjustRightInd w:val="0"/>
              <w:spacing w:line="320" w:lineRule="exact"/>
              <w:jc w:val="center"/>
              <w:rPr>
                <w:rFonts w:ascii="宋体" w:hAnsi="宋体" w:eastAsia="宋体" w:cs="Times New Roman"/>
                <w:kern w:val="0"/>
                <w:szCs w:val="21"/>
              </w:rPr>
            </w:pPr>
          </w:p>
        </w:tc>
        <w:tc>
          <w:tcPr>
            <w:tcW w:w="2242" w:type="dxa"/>
            <w:tcBorders>
              <w:top w:val="single" w:color="auto" w:sz="4" w:space="0"/>
              <w:left w:val="nil"/>
              <w:bottom w:val="single" w:color="auto" w:sz="4" w:space="0"/>
              <w:right w:val="single" w:color="auto" w:sz="4" w:space="0"/>
            </w:tcBorders>
            <w:vAlign w:val="center"/>
          </w:tcPr>
          <w:p w14:paraId="2A40D96F">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14E240AF">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46D82662">
            <w:pPr>
              <w:autoSpaceDE w:val="0"/>
              <w:autoSpaceDN w:val="0"/>
              <w:adjustRightInd w:val="0"/>
              <w:spacing w:line="320" w:lineRule="exact"/>
              <w:jc w:val="center"/>
              <w:rPr>
                <w:rFonts w:ascii="宋体" w:hAnsi="宋体" w:eastAsia="宋体" w:cs="Times New Roman"/>
                <w:kern w:val="0"/>
                <w:szCs w:val="21"/>
              </w:rPr>
            </w:pPr>
          </w:p>
        </w:tc>
        <w:tc>
          <w:tcPr>
            <w:tcW w:w="1646" w:type="dxa"/>
            <w:tcBorders>
              <w:top w:val="single" w:color="auto" w:sz="4" w:space="0"/>
              <w:left w:val="nil"/>
              <w:bottom w:val="single" w:color="auto" w:sz="4" w:space="0"/>
              <w:right w:val="single" w:color="auto" w:sz="4" w:space="0"/>
            </w:tcBorders>
            <w:vAlign w:val="center"/>
          </w:tcPr>
          <w:p w14:paraId="6D4548E7">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160AB4D1">
            <w:pPr>
              <w:autoSpaceDE w:val="0"/>
              <w:autoSpaceDN w:val="0"/>
              <w:adjustRightInd w:val="0"/>
              <w:spacing w:line="320" w:lineRule="exact"/>
              <w:jc w:val="center"/>
              <w:rPr>
                <w:rFonts w:ascii="宋体" w:hAnsi="宋体" w:eastAsia="宋体" w:cs="Times New Roman"/>
                <w:kern w:val="0"/>
                <w:szCs w:val="21"/>
              </w:rPr>
            </w:pPr>
          </w:p>
        </w:tc>
        <w:tc>
          <w:tcPr>
            <w:tcW w:w="1082" w:type="dxa"/>
            <w:tcBorders>
              <w:top w:val="single" w:color="auto" w:sz="4" w:space="0"/>
              <w:left w:val="nil"/>
              <w:bottom w:val="single" w:color="auto" w:sz="4" w:space="0"/>
              <w:right w:val="single" w:color="auto" w:sz="4" w:space="0"/>
            </w:tcBorders>
            <w:vAlign w:val="center"/>
          </w:tcPr>
          <w:p w14:paraId="33C762CF">
            <w:pPr>
              <w:autoSpaceDE w:val="0"/>
              <w:autoSpaceDN w:val="0"/>
              <w:adjustRightInd w:val="0"/>
              <w:spacing w:line="320" w:lineRule="exact"/>
              <w:jc w:val="center"/>
              <w:rPr>
                <w:rFonts w:ascii="宋体" w:hAnsi="宋体" w:eastAsia="宋体" w:cs="Times New Roman"/>
                <w:kern w:val="0"/>
                <w:szCs w:val="21"/>
              </w:rPr>
            </w:pPr>
          </w:p>
        </w:tc>
      </w:tr>
    </w:tbl>
    <w:p w14:paraId="74DBF35D">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51430C6">
      <w:pPr>
        <w:spacing w:after="100" w:line="259" w:lineRule="auto"/>
        <w:jc w:val="left"/>
        <w:rPr>
          <w:rFonts w:ascii="宋体" w:hAnsi="宋体" w:eastAsia="宋体" w:cs="Times New Roman"/>
          <w:kern w:val="0"/>
          <w:szCs w:val="21"/>
        </w:rPr>
      </w:pPr>
      <w:r>
        <w:rPr>
          <w:rFonts w:ascii="宋体" w:hAnsi="宋体" w:eastAsia="宋体" w:cs="Times New Roman"/>
          <w:kern w:val="0"/>
          <w:szCs w:val="21"/>
        </w:rPr>
        <w:t xml:space="preserve"> </w:t>
      </w:r>
    </w:p>
    <w:p w14:paraId="629FDB64">
      <w:pPr>
        <w:autoSpaceDE w:val="0"/>
        <w:autoSpaceDN w:val="0"/>
        <w:adjustRightInd w:val="0"/>
        <w:jc w:val="left"/>
        <w:rPr>
          <w:rFonts w:ascii="宋体" w:hAnsi="宋体" w:eastAsia="宋体" w:cs="Times New Roman"/>
          <w:kern w:val="0"/>
          <w:szCs w:val="21"/>
        </w:rPr>
      </w:pPr>
      <w:r>
        <w:rPr>
          <w:rFonts w:ascii="宋体" w:hAnsi="宋体" w:eastAsia="宋体" w:cs="Times New Roman"/>
          <w:kern w:val="0"/>
          <w:szCs w:val="21"/>
        </w:rPr>
        <w:t xml:space="preserve"> </w:t>
      </w:r>
    </w:p>
    <w:p w14:paraId="29B085C3">
      <w:pPr>
        <w:spacing w:after="100" w:line="259" w:lineRule="auto"/>
        <w:jc w:val="left"/>
        <w:rPr>
          <w:rFonts w:ascii="宋体" w:hAnsi="宋体" w:eastAsia="宋体" w:cs="Times New Roman"/>
          <w:kern w:val="0"/>
          <w:szCs w:val="21"/>
        </w:rPr>
      </w:pPr>
    </w:p>
    <w:p w14:paraId="74085C09">
      <w:pPr>
        <w:spacing w:after="100" w:line="259" w:lineRule="auto"/>
        <w:jc w:val="left"/>
        <w:rPr>
          <w:rFonts w:ascii="宋体" w:hAnsi="宋体" w:eastAsia="宋体" w:cs="Times New Roman"/>
          <w:kern w:val="0"/>
          <w:szCs w:val="21"/>
        </w:rPr>
      </w:pPr>
    </w:p>
    <w:p w14:paraId="7FBFA912">
      <w:pPr>
        <w:spacing w:after="100" w:line="259" w:lineRule="auto"/>
        <w:jc w:val="left"/>
        <w:rPr>
          <w:rFonts w:ascii="宋体" w:hAnsi="宋体" w:eastAsia="宋体" w:cs="Times New Roman"/>
          <w:kern w:val="0"/>
          <w:szCs w:val="21"/>
        </w:rPr>
      </w:pPr>
    </w:p>
    <w:p w14:paraId="76C615A4">
      <w:pPr>
        <w:spacing w:after="100" w:line="259" w:lineRule="auto"/>
        <w:jc w:val="left"/>
        <w:rPr>
          <w:rFonts w:ascii="宋体" w:hAnsi="宋体" w:eastAsia="宋体" w:cs="Times New Roman"/>
          <w:kern w:val="0"/>
          <w:szCs w:val="21"/>
        </w:rPr>
      </w:pPr>
    </w:p>
    <w:p w14:paraId="28392965">
      <w:pPr>
        <w:spacing w:after="100" w:line="259" w:lineRule="auto"/>
        <w:jc w:val="left"/>
        <w:rPr>
          <w:rFonts w:ascii="宋体" w:hAnsi="宋体" w:eastAsia="宋体" w:cs="Times New Roman"/>
          <w:kern w:val="0"/>
          <w:szCs w:val="21"/>
        </w:rPr>
      </w:pPr>
    </w:p>
    <w:p w14:paraId="33F5C210">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二、工程设备暂估价表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984"/>
        <w:gridCol w:w="851"/>
        <w:gridCol w:w="774"/>
        <w:gridCol w:w="1352"/>
        <w:gridCol w:w="1418"/>
        <w:gridCol w:w="1701"/>
      </w:tblGrid>
      <w:tr w14:paraId="423DB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622A664">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序号</w:t>
            </w:r>
          </w:p>
        </w:tc>
        <w:tc>
          <w:tcPr>
            <w:tcW w:w="1984" w:type="dxa"/>
            <w:tcBorders>
              <w:top w:val="single" w:color="auto" w:sz="4" w:space="0"/>
              <w:left w:val="nil"/>
              <w:bottom w:val="single" w:color="auto" w:sz="4" w:space="0"/>
              <w:right w:val="single" w:color="auto" w:sz="4" w:space="0"/>
            </w:tcBorders>
            <w:vAlign w:val="center"/>
          </w:tcPr>
          <w:p w14:paraId="2A564E94">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名称</w:t>
            </w:r>
          </w:p>
        </w:tc>
        <w:tc>
          <w:tcPr>
            <w:tcW w:w="851" w:type="dxa"/>
            <w:tcBorders>
              <w:top w:val="single" w:color="auto" w:sz="4" w:space="0"/>
              <w:left w:val="nil"/>
              <w:bottom w:val="single" w:color="auto" w:sz="4" w:space="0"/>
              <w:right w:val="single" w:color="auto" w:sz="4" w:space="0"/>
            </w:tcBorders>
            <w:vAlign w:val="center"/>
          </w:tcPr>
          <w:p w14:paraId="4C114E2B">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单位</w:t>
            </w:r>
          </w:p>
        </w:tc>
        <w:tc>
          <w:tcPr>
            <w:tcW w:w="774" w:type="dxa"/>
            <w:tcBorders>
              <w:top w:val="single" w:color="auto" w:sz="4" w:space="0"/>
              <w:left w:val="nil"/>
              <w:bottom w:val="single" w:color="auto" w:sz="4" w:space="0"/>
              <w:right w:val="single" w:color="auto" w:sz="4" w:space="0"/>
            </w:tcBorders>
            <w:vAlign w:val="center"/>
          </w:tcPr>
          <w:p w14:paraId="4EF0AF9F">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数量</w:t>
            </w:r>
          </w:p>
        </w:tc>
        <w:tc>
          <w:tcPr>
            <w:tcW w:w="1352" w:type="dxa"/>
            <w:tcBorders>
              <w:top w:val="single" w:color="auto" w:sz="4" w:space="0"/>
              <w:left w:val="nil"/>
              <w:bottom w:val="single" w:color="auto" w:sz="4" w:space="0"/>
              <w:right w:val="single" w:color="auto" w:sz="4" w:space="0"/>
            </w:tcBorders>
            <w:vAlign w:val="center"/>
          </w:tcPr>
          <w:p w14:paraId="028E451A">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单价（元）</w:t>
            </w:r>
          </w:p>
        </w:tc>
        <w:tc>
          <w:tcPr>
            <w:tcW w:w="1418" w:type="dxa"/>
            <w:tcBorders>
              <w:top w:val="single" w:color="auto" w:sz="4" w:space="0"/>
              <w:left w:val="nil"/>
              <w:bottom w:val="single" w:color="auto" w:sz="4" w:space="0"/>
              <w:right w:val="single" w:color="auto" w:sz="4" w:space="0"/>
            </w:tcBorders>
            <w:vAlign w:val="center"/>
          </w:tcPr>
          <w:p w14:paraId="26FD9DDC">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合价（元）</w:t>
            </w:r>
          </w:p>
        </w:tc>
        <w:tc>
          <w:tcPr>
            <w:tcW w:w="1701" w:type="dxa"/>
            <w:tcBorders>
              <w:top w:val="single" w:color="auto" w:sz="4" w:space="0"/>
              <w:left w:val="nil"/>
              <w:bottom w:val="single" w:color="auto" w:sz="4" w:space="0"/>
              <w:right w:val="single" w:color="auto" w:sz="4" w:space="0"/>
            </w:tcBorders>
            <w:vAlign w:val="center"/>
          </w:tcPr>
          <w:p w14:paraId="6A9DC93A">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备注</w:t>
            </w:r>
          </w:p>
        </w:tc>
      </w:tr>
      <w:tr w14:paraId="27C26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3D9F4DC">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6B938665">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1597AECE">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719CDB4">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33F56D6D">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6973ABF6">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1598F382">
            <w:pPr>
              <w:autoSpaceDE w:val="0"/>
              <w:autoSpaceDN w:val="0"/>
              <w:adjustRightInd w:val="0"/>
              <w:spacing w:line="320" w:lineRule="exact"/>
              <w:jc w:val="center"/>
              <w:rPr>
                <w:rFonts w:ascii="宋体" w:hAnsi="宋体" w:eastAsia="宋体" w:cs="Times New Roman"/>
                <w:kern w:val="0"/>
                <w:szCs w:val="21"/>
              </w:rPr>
            </w:pPr>
          </w:p>
        </w:tc>
      </w:tr>
      <w:tr w14:paraId="66AD9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91098BC">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3CC051EB">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913743F">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3A5F607D">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78057FD0">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060537B1">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11362EC9">
            <w:pPr>
              <w:autoSpaceDE w:val="0"/>
              <w:autoSpaceDN w:val="0"/>
              <w:adjustRightInd w:val="0"/>
              <w:spacing w:line="320" w:lineRule="exact"/>
              <w:jc w:val="center"/>
              <w:rPr>
                <w:rFonts w:ascii="宋体" w:hAnsi="宋体" w:eastAsia="宋体" w:cs="Times New Roman"/>
                <w:kern w:val="0"/>
                <w:szCs w:val="21"/>
              </w:rPr>
            </w:pPr>
          </w:p>
        </w:tc>
      </w:tr>
      <w:tr w14:paraId="39095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BD2D0DE">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1A3AB44">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EEE28A5">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619A0CB8">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6DE6D352">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4B45E0E2">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52D10DC0">
            <w:pPr>
              <w:autoSpaceDE w:val="0"/>
              <w:autoSpaceDN w:val="0"/>
              <w:adjustRightInd w:val="0"/>
              <w:spacing w:line="320" w:lineRule="exact"/>
              <w:jc w:val="center"/>
              <w:rPr>
                <w:rFonts w:ascii="宋体" w:hAnsi="宋体" w:eastAsia="宋体" w:cs="Times New Roman"/>
                <w:kern w:val="0"/>
                <w:szCs w:val="21"/>
              </w:rPr>
            </w:pPr>
          </w:p>
        </w:tc>
      </w:tr>
      <w:tr w14:paraId="5CC47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71404F8">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160F5FBC">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6D86744">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16FE8FD8">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3EE119C6">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5CA6A5A2">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002D167D">
            <w:pPr>
              <w:autoSpaceDE w:val="0"/>
              <w:autoSpaceDN w:val="0"/>
              <w:adjustRightInd w:val="0"/>
              <w:spacing w:line="320" w:lineRule="exact"/>
              <w:jc w:val="center"/>
              <w:rPr>
                <w:rFonts w:ascii="宋体" w:hAnsi="宋体" w:eastAsia="宋体" w:cs="Times New Roman"/>
                <w:kern w:val="0"/>
                <w:szCs w:val="21"/>
              </w:rPr>
            </w:pPr>
          </w:p>
        </w:tc>
      </w:tr>
      <w:tr w14:paraId="3D7F4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8F096D9">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0D7F76C">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83BB5FD">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65C176E3">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49FAC359">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342501DA">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0AC4DDD8">
            <w:pPr>
              <w:autoSpaceDE w:val="0"/>
              <w:autoSpaceDN w:val="0"/>
              <w:adjustRightInd w:val="0"/>
              <w:spacing w:line="320" w:lineRule="exact"/>
              <w:jc w:val="center"/>
              <w:rPr>
                <w:rFonts w:ascii="宋体" w:hAnsi="宋体" w:eastAsia="宋体" w:cs="Times New Roman"/>
                <w:kern w:val="0"/>
                <w:szCs w:val="21"/>
              </w:rPr>
            </w:pPr>
          </w:p>
        </w:tc>
      </w:tr>
      <w:tr w14:paraId="3EAC3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79A8110">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D56226B">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4C735A62">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05F3095">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5ED76279">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07E9AB75">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2A634DCB">
            <w:pPr>
              <w:autoSpaceDE w:val="0"/>
              <w:autoSpaceDN w:val="0"/>
              <w:adjustRightInd w:val="0"/>
              <w:spacing w:line="320" w:lineRule="exact"/>
              <w:jc w:val="center"/>
              <w:rPr>
                <w:rFonts w:ascii="宋体" w:hAnsi="宋体" w:eastAsia="宋体" w:cs="Times New Roman"/>
                <w:kern w:val="0"/>
                <w:szCs w:val="21"/>
              </w:rPr>
            </w:pPr>
          </w:p>
        </w:tc>
      </w:tr>
      <w:tr w14:paraId="3F933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FDE7E30">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59BF6D1">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B5881AD">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5D7383D7">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3395BF93">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12E33688">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31AFC7DD">
            <w:pPr>
              <w:autoSpaceDE w:val="0"/>
              <w:autoSpaceDN w:val="0"/>
              <w:adjustRightInd w:val="0"/>
              <w:spacing w:line="320" w:lineRule="exact"/>
              <w:jc w:val="center"/>
              <w:rPr>
                <w:rFonts w:ascii="宋体" w:hAnsi="宋体" w:eastAsia="宋体" w:cs="Times New Roman"/>
                <w:kern w:val="0"/>
                <w:szCs w:val="21"/>
              </w:rPr>
            </w:pPr>
          </w:p>
        </w:tc>
      </w:tr>
      <w:tr w14:paraId="26BC8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D7AABB5">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361A02CA">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1EE9D687">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BD7B60A">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6D6F4B90">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61B2BA69">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20A64BF4">
            <w:pPr>
              <w:autoSpaceDE w:val="0"/>
              <w:autoSpaceDN w:val="0"/>
              <w:adjustRightInd w:val="0"/>
              <w:spacing w:line="320" w:lineRule="exact"/>
              <w:jc w:val="center"/>
              <w:rPr>
                <w:rFonts w:ascii="宋体" w:hAnsi="宋体" w:eastAsia="宋体" w:cs="Times New Roman"/>
                <w:kern w:val="0"/>
                <w:szCs w:val="21"/>
              </w:rPr>
            </w:pPr>
          </w:p>
        </w:tc>
      </w:tr>
      <w:tr w14:paraId="53F0D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8D98941">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3C7344DA">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2D25288D">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5917C66">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395DF9FF">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654C742A">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411168DE">
            <w:pPr>
              <w:autoSpaceDE w:val="0"/>
              <w:autoSpaceDN w:val="0"/>
              <w:adjustRightInd w:val="0"/>
              <w:spacing w:line="320" w:lineRule="exact"/>
              <w:jc w:val="center"/>
              <w:rPr>
                <w:rFonts w:ascii="宋体" w:hAnsi="宋体" w:eastAsia="宋体" w:cs="Times New Roman"/>
                <w:kern w:val="0"/>
                <w:szCs w:val="21"/>
              </w:rPr>
            </w:pPr>
          </w:p>
        </w:tc>
      </w:tr>
      <w:tr w14:paraId="29745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AA4C825">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7E9F070F">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5DEBF90">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3D67CD8E">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52459D0C">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53A6B4BE">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3D70BFA1">
            <w:pPr>
              <w:autoSpaceDE w:val="0"/>
              <w:autoSpaceDN w:val="0"/>
              <w:adjustRightInd w:val="0"/>
              <w:spacing w:line="320" w:lineRule="exact"/>
              <w:jc w:val="center"/>
              <w:rPr>
                <w:rFonts w:ascii="宋体" w:hAnsi="宋体" w:eastAsia="宋体" w:cs="Times New Roman"/>
                <w:kern w:val="0"/>
                <w:szCs w:val="21"/>
              </w:rPr>
            </w:pPr>
          </w:p>
        </w:tc>
      </w:tr>
      <w:tr w14:paraId="0046A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066AE99">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2E451DA4">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2C8EF25F">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2F4FF88">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0BFBAFCB">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5193B8BE">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2B23321F">
            <w:pPr>
              <w:autoSpaceDE w:val="0"/>
              <w:autoSpaceDN w:val="0"/>
              <w:adjustRightInd w:val="0"/>
              <w:spacing w:line="320" w:lineRule="exact"/>
              <w:jc w:val="center"/>
              <w:rPr>
                <w:rFonts w:ascii="宋体" w:hAnsi="宋体" w:eastAsia="宋体" w:cs="Times New Roman"/>
                <w:kern w:val="0"/>
                <w:szCs w:val="21"/>
              </w:rPr>
            </w:pPr>
          </w:p>
        </w:tc>
      </w:tr>
      <w:tr w14:paraId="5758D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1DD9B9A">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1DA72BDB">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14A284E">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4F91793">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630A10B5">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142FD356">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09CB4D15">
            <w:pPr>
              <w:autoSpaceDE w:val="0"/>
              <w:autoSpaceDN w:val="0"/>
              <w:adjustRightInd w:val="0"/>
              <w:spacing w:line="320" w:lineRule="exact"/>
              <w:jc w:val="center"/>
              <w:rPr>
                <w:rFonts w:ascii="宋体" w:hAnsi="宋体" w:eastAsia="宋体" w:cs="Times New Roman"/>
                <w:kern w:val="0"/>
                <w:szCs w:val="21"/>
              </w:rPr>
            </w:pPr>
          </w:p>
        </w:tc>
      </w:tr>
      <w:tr w14:paraId="42EB8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5A3A5EF">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722169C2">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6E33091">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54CACC2B">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03076EE2">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4F357EBC">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524BD9B3">
            <w:pPr>
              <w:autoSpaceDE w:val="0"/>
              <w:autoSpaceDN w:val="0"/>
              <w:adjustRightInd w:val="0"/>
              <w:spacing w:line="320" w:lineRule="exact"/>
              <w:jc w:val="center"/>
              <w:rPr>
                <w:rFonts w:ascii="宋体" w:hAnsi="宋体" w:eastAsia="宋体" w:cs="Times New Roman"/>
                <w:kern w:val="0"/>
                <w:szCs w:val="21"/>
              </w:rPr>
            </w:pPr>
          </w:p>
        </w:tc>
      </w:tr>
      <w:tr w14:paraId="092C5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16601DC">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2162416C">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5174804F">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D6B39C0">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15937FE7">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569E6BDA">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169C671C">
            <w:pPr>
              <w:autoSpaceDE w:val="0"/>
              <w:autoSpaceDN w:val="0"/>
              <w:adjustRightInd w:val="0"/>
              <w:spacing w:line="320" w:lineRule="exact"/>
              <w:jc w:val="center"/>
              <w:rPr>
                <w:rFonts w:ascii="宋体" w:hAnsi="宋体" w:eastAsia="宋体" w:cs="Times New Roman"/>
                <w:kern w:val="0"/>
                <w:szCs w:val="21"/>
              </w:rPr>
            </w:pPr>
          </w:p>
        </w:tc>
      </w:tr>
      <w:tr w14:paraId="2983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577B276">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C061017">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FA4172C">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519E481">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4D5FE388">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72A8BADC">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4E157DB0">
            <w:pPr>
              <w:autoSpaceDE w:val="0"/>
              <w:autoSpaceDN w:val="0"/>
              <w:adjustRightInd w:val="0"/>
              <w:spacing w:line="320" w:lineRule="exact"/>
              <w:jc w:val="center"/>
              <w:rPr>
                <w:rFonts w:ascii="宋体" w:hAnsi="宋体" w:eastAsia="宋体" w:cs="Times New Roman"/>
                <w:kern w:val="0"/>
                <w:szCs w:val="21"/>
              </w:rPr>
            </w:pPr>
          </w:p>
        </w:tc>
      </w:tr>
      <w:tr w14:paraId="17DC1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7F1D605">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3AC5675">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157D9BC6">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0ECDC988">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07B92EA4">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663F00F3">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1A144D09">
            <w:pPr>
              <w:autoSpaceDE w:val="0"/>
              <w:autoSpaceDN w:val="0"/>
              <w:adjustRightInd w:val="0"/>
              <w:spacing w:line="320" w:lineRule="exact"/>
              <w:jc w:val="center"/>
              <w:rPr>
                <w:rFonts w:ascii="宋体" w:hAnsi="宋体" w:eastAsia="宋体" w:cs="Times New Roman"/>
                <w:kern w:val="0"/>
                <w:szCs w:val="21"/>
              </w:rPr>
            </w:pPr>
          </w:p>
        </w:tc>
      </w:tr>
      <w:tr w14:paraId="06182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125676A">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2FD4851">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09CC1A2E">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6150683">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1FA7CB73">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0334B7FF">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1883747A">
            <w:pPr>
              <w:autoSpaceDE w:val="0"/>
              <w:autoSpaceDN w:val="0"/>
              <w:adjustRightInd w:val="0"/>
              <w:spacing w:line="320" w:lineRule="exact"/>
              <w:jc w:val="center"/>
              <w:rPr>
                <w:rFonts w:ascii="宋体" w:hAnsi="宋体" w:eastAsia="宋体" w:cs="Times New Roman"/>
                <w:kern w:val="0"/>
                <w:szCs w:val="21"/>
              </w:rPr>
            </w:pPr>
          </w:p>
        </w:tc>
      </w:tr>
      <w:tr w14:paraId="0EBC6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6AB3C3B">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2328F08">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78A5F973">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125F9EED">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79609E2B">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0AA0E10B">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58E61B91">
            <w:pPr>
              <w:autoSpaceDE w:val="0"/>
              <w:autoSpaceDN w:val="0"/>
              <w:adjustRightInd w:val="0"/>
              <w:spacing w:line="320" w:lineRule="exact"/>
              <w:jc w:val="center"/>
              <w:rPr>
                <w:rFonts w:ascii="宋体" w:hAnsi="宋体" w:eastAsia="宋体" w:cs="Times New Roman"/>
                <w:kern w:val="0"/>
                <w:szCs w:val="21"/>
              </w:rPr>
            </w:pPr>
          </w:p>
        </w:tc>
      </w:tr>
      <w:tr w14:paraId="03BD1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D0EA771">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663A81C0">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D908B92">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5D4764A9">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16ED94B8">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336F0AD8">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45FFDC8E">
            <w:pPr>
              <w:autoSpaceDE w:val="0"/>
              <w:autoSpaceDN w:val="0"/>
              <w:adjustRightInd w:val="0"/>
              <w:spacing w:line="320" w:lineRule="exact"/>
              <w:jc w:val="center"/>
              <w:rPr>
                <w:rFonts w:ascii="宋体" w:hAnsi="宋体" w:eastAsia="宋体" w:cs="Times New Roman"/>
                <w:kern w:val="0"/>
                <w:szCs w:val="21"/>
              </w:rPr>
            </w:pPr>
          </w:p>
        </w:tc>
      </w:tr>
      <w:tr w14:paraId="1B583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814B0A0">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1CC89D3B">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57448F43">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C38EB55">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2EA90E98">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26A1BAA8">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258285EA">
            <w:pPr>
              <w:autoSpaceDE w:val="0"/>
              <w:autoSpaceDN w:val="0"/>
              <w:adjustRightInd w:val="0"/>
              <w:spacing w:line="320" w:lineRule="exact"/>
              <w:jc w:val="center"/>
              <w:rPr>
                <w:rFonts w:ascii="宋体" w:hAnsi="宋体" w:eastAsia="宋体" w:cs="Times New Roman"/>
                <w:kern w:val="0"/>
                <w:szCs w:val="21"/>
              </w:rPr>
            </w:pPr>
          </w:p>
        </w:tc>
      </w:tr>
      <w:tr w14:paraId="79462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20590A1">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A8A2CA8">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31DFFD67">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909201F">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6E223EF1">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32D5A328">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48E0F5E5">
            <w:pPr>
              <w:autoSpaceDE w:val="0"/>
              <w:autoSpaceDN w:val="0"/>
              <w:adjustRightInd w:val="0"/>
              <w:spacing w:line="320" w:lineRule="exact"/>
              <w:jc w:val="center"/>
              <w:rPr>
                <w:rFonts w:ascii="宋体" w:hAnsi="宋体" w:eastAsia="宋体" w:cs="Times New Roman"/>
                <w:kern w:val="0"/>
                <w:szCs w:val="21"/>
              </w:rPr>
            </w:pPr>
          </w:p>
        </w:tc>
      </w:tr>
      <w:tr w14:paraId="742E4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143F1EA4">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4873B97">
            <w:pPr>
              <w:autoSpaceDE w:val="0"/>
              <w:autoSpaceDN w:val="0"/>
              <w:adjustRightInd w:val="0"/>
              <w:spacing w:line="320" w:lineRule="exact"/>
              <w:jc w:val="center"/>
              <w:rPr>
                <w:rFonts w:ascii="宋体" w:hAnsi="宋体" w:eastAsia="宋体" w:cs="Times New Roman"/>
                <w:kern w:val="0"/>
                <w:szCs w:val="21"/>
              </w:rPr>
            </w:pPr>
          </w:p>
        </w:tc>
        <w:tc>
          <w:tcPr>
            <w:tcW w:w="851" w:type="dxa"/>
            <w:tcBorders>
              <w:top w:val="single" w:color="auto" w:sz="4" w:space="0"/>
              <w:left w:val="nil"/>
              <w:bottom w:val="single" w:color="auto" w:sz="4" w:space="0"/>
              <w:right w:val="single" w:color="auto" w:sz="4" w:space="0"/>
            </w:tcBorders>
            <w:vAlign w:val="center"/>
          </w:tcPr>
          <w:p w14:paraId="6305EAAB">
            <w:pPr>
              <w:autoSpaceDE w:val="0"/>
              <w:autoSpaceDN w:val="0"/>
              <w:adjustRightInd w:val="0"/>
              <w:spacing w:line="320" w:lineRule="exact"/>
              <w:jc w:val="center"/>
              <w:rPr>
                <w:rFonts w:ascii="宋体" w:hAnsi="宋体" w:eastAsia="宋体" w:cs="Times New Roman"/>
                <w:kern w:val="0"/>
                <w:szCs w:val="21"/>
              </w:rPr>
            </w:pPr>
          </w:p>
        </w:tc>
        <w:tc>
          <w:tcPr>
            <w:tcW w:w="774" w:type="dxa"/>
            <w:tcBorders>
              <w:top w:val="single" w:color="auto" w:sz="4" w:space="0"/>
              <w:left w:val="nil"/>
              <w:bottom w:val="single" w:color="auto" w:sz="4" w:space="0"/>
              <w:right w:val="single" w:color="auto" w:sz="4" w:space="0"/>
            </w:tcBorders>
            <w:vAlign w:val="center"/>
          </w:tcPr>
          <w:p w14:paraId="750881A7">
            <w:pPr>
              <w:autoSpaceDE w:val="0"/>
              <w:autoSpaceDN w:val="0"/>
              <w:adjustRightInd w:val="0"/>
              <w:spacing w:line="320" w:lineRule="exact"/>
              <w:jc w:val="center"/>
              <w:rPr>
                <w:rFonts w:ascii="宋体" w:hAnsi="宋体" w:eastAsia="宋体" w:cs="Times New Roman"/>
                <w:kern w:val="0"/>
                <w:szCs w:val="21"/>
              </w:rPr>
            </w:pPr>
          </w:p>
        </w:tc>
        <w:tc>
          <w:tcPr>
            <w:tcW w:w="1352" w:type="dxa"/>
            <w:tcBorders>
              <w:top w:val="single" w:color="auto" w:sz="4" w:space="0"/>
              <w:left w:val="nil"/>
              <w:bottom w:val="single" w:color="auto" w:sz="4" w:space="0"/>
              <w:right w:val="single" w:color="auto" w:sz="4" w:space="0"/>
            </w:tcBorders>
            <w:vAlign w:val="center"/>
          </w:tcPr>
          <w:p w14:paraId="6262D435">
            <w:pPr>
              <w:autoSpaceDE w:val="0"/>
              <w:autoSpaceDN w:val="0"/>
              <w:adjustRightInd w:val="0"/>
              <w:spacing w:line="320" w:lineRule="exact"/>
              <w:jc w:val="center"/>
              <w:rPr>
                <w:rFonts w:ascii="宋体" w:hAnsi="宋体" w:eastAsia="宋体" w:cs="Times New Roman"/>
                <w:kern w:val="0"/>
                <w:szCs w:val="21"/>
              </w:rPr>
            </w:pPr>
          </w:p>
        </w:tc>
        <w:tc>
          <w:tcPr>
            <w:tcW w:w="1418" w:type="dxa"/>
            <w:tcBorders>
              <w:top w:val="single" w:color="auto" w:sz="4" w:space="0"/>
              <w:left w:val="nil"/>
              <w:bottom w:val="single" w:color="auto" w:sz="4" w:space="0"/>
              <w:right w:val="single" w:color="auto" w:sz="4" w:space="0"/>
            </w:tcBorders>
            <w:vAlign w:val="center"/>
          </w:tcPr>
          <w:p w14:paraId="0473EEDE">
            <w:pPr>
              <w:autoSpaceDE w:val="0"/>
              <w:autoSpaceDN w:val="0"/>
              <w:adjustRightInd w:val="0"/>
              <w:spacing w:line="320" w:lineRule="exact"/>
              <w:jc w:val="center"/>
              <w:rPr>
                <w:rFonts w:ascii="宋体" w:hAnsi="宋体" w:eastAsia="宋体" w:cs="Times New Roman"/>
                <w:kern w:val="0"/>
                <w:szCs w:val="21"/>
              </w:rPr>
            </w:pPr>
          </w:p>
        </w:tc>
        <w:tc>
          <w:tcPr>
            <w:tcW w:w="1701" w:type="dxa"/>
            <w:tcBorders>
              <w:top w:val="single" w:color="auto" w:sz="4" w:space="0"/>
              <w:left w:val="nil"/>
              <w:bottom w:val="single" w:color="auto" w:sz="4" w:space="0"/>
              <w:right w:val="single" w:color="auto" w:sz="4" w:space="0"/>
            </w:tcBorders>
            <w:vAlign w:val="center"/>
          </w:tcPr>
          <w:p w14:paraId="6E9F668E">
            <w:pPr>
              <w:autoSpaceDE w:val="0"/>
              <w:autoSpaceDN w:val="0"/>
              <w:adjustRightInd w:val="0"/>
              <w:spacing w:line="320" w:lineRule="exact"/>
              <w:jc w:val="center"/>
              <w:rPr>
                <w:rFonts w:ascii="宋体" w:hAnsi="宋体" w:eastAsia="宋体" w:cs="Times New Roman"/>
                <w:kern w:val="0"/>
                <w:szCs w:val="21"/>
              </w:rPr>
            </w:pPr>
          </w:p>
        </w:tc>
      </w:tr>
    </w:tbl>
    <w:p w14:paraId="2D67DD1E">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049A9DB2">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AA06851">
      <w:pPr>
        <w:autoSpaceDE w:val="0"/>
        <w:autoSpaceDN w:val="0"/>
        <w:adjustRightInd w:val="0"/>
        <w:ind w:firstLine="420" w:firstLineChars="200"/>
        <w:jc w:val="left"/>
        <w:rPr>
          <w:rFonts w:ascii="宋体" w:hAnsi="宋体" w:eastAsia="宋体" w:cs="Times New Roman"/>
          <w:kern w:val="0"/>
          <w:szCs w:val="21"/>
        </w:rPr>
      </w:pPr>
    </w:p>
    <w:p w14:paraId="36CEBD2C">
      <w:pPr>
        <w:autoSpaceDE w:val="0"/>
        <w:autoSpaceDN w:val="0"/>
        <w:adjustRightInd w:val="0"/>
        <w:ind w:firstLine="420" w:firstLineChars="200"/>
        <w:jc w:val="left"/>
        <w:rPr>
          <w:rFonts w:ascii="宋体" w:hAnsi="宋体" w:eastAsia="宋体" w:cs="Times New Roman"/>
          <w:kern w:val="0"/>
          <w:szCs w:val="21"/>
        </w:rPr>
      </w:pPr>
    </w:p>
    <w:p w14:paraId="343C2158">
      <w:pPr>
        <w:autoSpaceDE w:val="0"/>
        <w:autoSpaceDN w:val="0"/>
        <w:adjustRightInd w:val="0"/>
        <w:ind w:firstLine="420" w:firstLineChars="200"/>
        <w:jc w:val="left"/>
        <w:rPr>
          <w:rFonts w:ascii="宋体" w:hAnsi="宋体" w:eastAsia="宋体" w:cs="Times New Roman"/>
          <w:kern w:val="0"/>
          <w:szCs w:val="21"/>
        </w:rPr>
      </w:pPr>
    </w:p>
    <w:p w14:paraId="01D7F714">
      <w:pPr>
        <w:autoSpaceDE w:val="0"/>
        <w:autoSpaceDN w:val="0"/>
        <w:adjustRightInd w:val="0"/>
        <w:ind w:firstLine="420" w:firstLineChars="200"/>
        <w:jc w:val="left"/>
        <w:rPr>
          <w:rFonts w:ascii="宋体" w:hAnsi="宋体" w:eastAsia="宋体" w:cs="Times New Roman"/>
          <w:kern w:val="0"/>
          <w:szCs w:val="21"/>
        </w:rPr>
      </w:pPr>
    </w:p>
    <w:p w14:paraId="552E6007">
      <w:pPr>
        <w:autoSpaceDE w:val="0"/>
        <w:autoSpaceDN w:val="0"/>
        <w:adjustRightInd w:val="0"/>
        <w:ind w:firstLine="420" w:firstLineChars="200"/>
        <w:jc w:val="left"/>
        <w:rPr>
          <w:rFonts w:ascii="宋体" w:hAnsi="宋体" w:eastAsia="宋体" w:cs="Times New Roman"/>
          <w:kern w:val="0"/>
          <w:szCs w:val="21"/>
        </w:rPr>
      </w:pPr>
    </w:p>
    <w:p w14:paraId="6F26DB5D">
      <w:pPr>
        <w:autoSpaceDE w:val="0"/>
        <w:autoSpaceDN w:val="0"/>
        <w:adjustRightInd w:val="0"/>
        <w:ind w:firstLine="420" w:firstLineChars="200"/>
        <w:jc w:val="left"/>
        <w:rPr>
          <w:rFonts w:ascii="宋体" w:hAnsi="宋体" w:eastAsia="宋体" w:cs="Times New Roman"/>
          <w:kern w:val="0"/>
          <w:szCs w:val="21"/>
        </w:rPr>
      </w:pPr>
    </w:p>
    <w:p w14:paraId="40BA6211">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950F394">
      <w:pPr>
        <w:autoSpaceDE w:val="0"/>
        <w:autoSpaceDN w:val="0"/>
        <w:adjustRightInd w:val="0"/>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三、工程设备暂估价表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79"/>
        <w:gridCol w:w="1984"/>
        <w:gridCol w:w="4678"/>
        <w:gridCol w:w="1276"/>
      </w:tblGrid>
      <w:tr w14:paraId="4DC48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419D4098">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序号</w:t>
            </w:r>
          </w:p>
        </w:tc>
        <w:tc>
          <w:tcPr>
            <w:tcW w:w="1984" w:type="dxa"/>
            <w:tcBorders>
              <w:top w:val="single" w:color="auto" w:sz="4" w:space="0"/>
              <w:left w:val="nil"/>
              <w:bottom w:val="single" w:color="auto" w:sz="4" w:space="0"/>
              <w:right w:val="single" w:color="auto" w:sz="4" w:space="0"/>
            </w:tcBorders>
            <w:vAlign w:val="center"/>
          </w:tcPr>
          <w:p w14:paraId="48C3DA2A">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专业工程名称</w:t>
            </w:r>
          </w:p>
        </w:tc>
        <w:tc>
          <w:tcPr>
            <w:tcW w:w="4678" w:type="dxa"/>
            <w:tcBorders>
              <w:top w:val="single" w:color="auto" w:sz="4" w:space="0"/>
              <w:left w:val="nil"/>
              <w:bottom w:val="single" w:color="auto" w:sz="4" w:space="0"/>
              <w:right w:val="single" w:color="auto" w:sz="4" w:space="0"/>
            </w:tcBorders>
            <w:vAlign w:val="center"/>
          </w:tcPr>
          <w:p w14:paraId="1C955A06">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工程内容</w:t>
            </w:r>
          </w:p>
        </w:tc>
        <w:tc>
          <w:tcPr>
            <w:tcW w:w="1276" w:type="dxa"/>
            <w:tcBorders>
              <w:top w:val="single" w:color="auto" w:sz="4" w:space="0"/>
              <w:left w:val="nil"/>
              <w:bottom w:val="single" w:color="auto" w:sz="4" w:space="0"/>
              <w:right w:val="single" w:color="auto" w:sz="4" w:space="0"/>
            </w:tcBorders>
            <w:vAlign w:val="center"/>
          </w:tcPr>
          <w:p w14:paraId="28AB46B6">
            <w:pPr>
              <w:autoSpaceDE w:val="0"/>
              <w:autoSpaceDN w:val="0"/>
              <w:adjustRightInd w:val="0"/>
              <w:spacing w:line="320" w:lineRule="exact"/>
              <w:jc w:val="center"/>
              <w:rPr>
                <w:rFonts w:ascii="宋体" w:hAnsi="宋体" w:eastAsia="宋体" w:cs="Times New Roman"/>
                <w:b/>
                <w:bCs/>
                <w:kern w:val="0"/>
                <w:szCs w:val="21"/>
              </w:rPr>
            </w:pPr>
            <w:r>
              <w:rPr>
                <w:rFonts w:hint="eastAsia" w:ascii="宋体" w:hAnsi="宋体" w:eastAsia="宋体" w:cs="Times New Roman"/>
                <w:b/>
                <w:bCs/>
                <w:kern w:val="0"/>
                <w:szCs w:val="21"/>
              </w:rPr>
              <w:t>金额</w:t>
            </w:r>
          </w:p>
        </w:tc>
      </w:tr>
      <w:tr w14:paraId="44F46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075EAF00">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66C487F">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13262481">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39531FB6">
            <w:pPr>
              <w:autoSpaceDE w:val="0"/>
              <w:autoSpaceDN w:val="0"/>
              <w:adjustRightInd w:val="0"/>
              <w:spacing w:line="320" w:lineRule="exact"/>
              <w:jc w:val="center"/>
              <w:rPr>
                <w:rFonts w:ascii="宋体" w:hAnsi="宋体" w:eastAsia="宋体" w:cs="Times New Roman"/>
                <w:kern w:val="0"/>
                <w:szCs w:val="21"/>
              </w:rPr>
            </w:pPr>
          </w:p>
        </w:tc>
      </w:tr>
      <w:tr w14:paraId="6A16A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6E4BA542">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670FDA6C">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663B4E67">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0C3BB836">
            <w:pPr>
              <w:autoSpaceDE w:val="0"/>
              <w:autoSpaceDN w:val="0"/>
              <w:adjustRightInd w:val="0"/>
              <w:spacing w:line="320" w:lineRule="exact"/>
              <w:jc w:val="center"/>
              <w:rPr>
                <w:rFonts w:ascii="宋体" w:hAnsi="宋体" w:eastAsia="宋体" w:cs="Times New Roman"/>
                <w:kern w:val="0"/>
                <w:szCs w:val="21"/>
              </w:rPr>
            </w:pPr>
          </w:p>
        </w:tc>
      </w:tr>
      <w:tr w14:paraId="41C5A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030E0F4A">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D6D3B69">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728D0775">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2763FBF5">
            <w:pPr>
              <w:autoSpaceDE w:val="0"/>
              <w:autoSpaceDN w:val="0"/>
              <w:adjustRightInd w:val="0"/>
              <w:spacing w:line="320" w:lineRule="exact"/>
              <w:jc w:val="center"/>
              <w:rPr>
                <w:rFonts w:ascii="宋体" w:hAnsi="宋体" w:eastAsia="宋体" w:cs="Times New Roman"/>
                <w:kern w:val="0"/>
                <w:szCs w:val="21"/>
              </w:rPr>
            </w:pPr>
          </w:p>
        </w:tc>
      </w:tr>
      <w:tr w14:paraId="75BF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55D44763">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BC389A4">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278428E7">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1421F4F8">
            <w:pPr>
              <w:autoSpaceDE w:val="0"/>
              <w:autoSpaceDN w:val="0"/>
              <w:adjustRightInd w:val="0"/>
              <w:spacing w:line="320" w:lineRule="exact"/>
              <w:jc w:val="center"/>
              <w:rPr>
                <w:rFonts w:ascii="宋体" w:hAnsi="宋体" w:eastAsia="宋体" w:cs="Times New Roman"/>
                <w:kern w:val="0"/>
                <w:szCs w:val="21"/>
              </w:rPr>
            </w:pPr>
          </w:p>
        </w:tc>
      </w:tr>
      <w:tr w14:paraId="025CD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527B05F0">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49FAD44">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0CC6E4D2">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4544FAF8">
            <w:pPr>
              <w:autoSpaceDE w:val="0"/>
              <w:autoSpaceDN w:val="0"/>
              <w:adjustRightInd w:val="0"/>
              <w:spacing w:line="320" w:lineRule="exact"/>
              <w:jc w:val="center"/>
              <w:rPr>
                <w:rFonts w:ascii="宋体" w:hAnsi="宋体" w:eastAsia="宋体" w:cs="Times New Roman"/>
                <w:kern w:val="0"/>
                <w:szCs w:val="21"/>
              </w:rPr>
            </w:pPr>
          </w:p>
        </w:tc>
      </w:tr>
      <w:tr w14:paraId="09743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3F7698C3">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3CF4D74">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02DB391B">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2F2A6BBE">
            <w:pPr>
              <w:autoSpaceDE w:val="0"/>
              <w:autoSpaceDN w:val="0"/>
              <w:adjustRightInd w:val="0"/>
              <w:spacing w:line="320" w:lineRule="exact"/>
              <w:jc w:val="center"/>
              <w:rPr>
                <w:rFonts w:ascii="宋体" w:hAnsi="宋体" w:eastAsia="宋体" w:cs="Times New Roman"/>
                <w:kern w:val="0"/>
                <w:szCs w:val="21"/>
              </w:rPr>
            </w:pPr>
          </w:p>
        </w:tc>
      </w:tr>
      <w:tr w14:paraId="7F056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4A1FAEA8">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3C7C4A35">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0737B1AB">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7EA79B80">
            <w:pPr>
              <w:autoSpaceDE w:val="0"/>
              <w:autoSpaceDN w:val="0"/>
              <w:adjustRightInd w:val="0"/>
              <w:spacing w:line="320" w:lineRule="exact"/>
              <w:jc w:val="center"/>
              <w:rPr>
                <w:rFonts w:ascii="宋体" w:hAnsi="宋体" w:eastAsia="宋体" w:cs="Times New Roman"/>
                <w:kern w:val="0"/>
                <w:szCs w:val="21"/>
              </w:rPr>
            </w:pPr>
          </w:p>
        </w:tc>
      </w:tr>
      <w:tr w14:paraId="773BB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0D757997">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6EC6589D">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4A42792B">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732F4374">
            <w:pPr>
              <w:autoSpaceDE w:val="0"/>
              <w:autoSpaceDN w:val="0"/>
              <w:adjustRightInd w:val="0"/>
              <w:spacing w:line="320" w:lineRule="exact"/>
              <w:jc w:val="center"/>
              <w:rPr>
                <w:rFonts w:ascii="宋体" w:hAnsi="宋体" w:eastAsia="宋体" w:cs="Times New Roman"/>
                <w:kern w:val="0"/>
                <w:szCs w:val="21"/>
              </w:rPr>
            </w:pPr>
          </w:p>
        </w:tc>
      </w:tr>
      <w:tr w14:paraId="20EA3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498FD34C">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2DA9F5D5">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6C48C371">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3E7EC8CD">
            <w:pPr>
              <w:autoSpaceDE w:val="0"/>
              <w:autoSpaceDN w:val="0"/>
              <w:adjustRightInd w:val="0"/>
              <w:spacing w:line="320" w:lineRule="exact"/>
              <w:jc w:val="center"/>
              <w:rPr>
                <w:rFonts w:ascii="宋体" w:hAnsi="宋体" w:eastAsia="宋体" w:cs="Times New Roman"/>
                <w:kern w:val="0"/>
                <w:szCs w:val="21"/>
              </w:rPr>
            </w:pPr>
          </w:p>
        </w:tc>
      </w:tr>
      <w:tr w14:paraId="343BB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54982310">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6B85F3A7">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0CE13B84">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37B4F585">
            <w:pPr>
              <w:autoSpaceDE w:val="0"/>
              <w:autoSpaceDN w:val="0"/>
              <w:adjustRightInd w:val="0"/>
              <w:spacing w:line="320" w:lineRule="exact"/>
              <w:jc w:val="center"/>
              <w:rPr>
                <w:rFonts w:ascii="宋体" w:hAnsi="宋体" w:eastAsia="宋体" w:cs="Times New Roman"/>
                <w:kern w:val="0"/>
                <w:szCs w:val="21"/>
              </w:rPr>
            </w:pPr>
          </w:p>
        </w:tc>
      </w:tr>
      <w:tr w14:paraId="361C6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72BB0B0E">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0CA41DC3">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0F16771E">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6BE472FE">
            <w:pPr>
              <w:autoSpaceDE w:val="0"/>
              <w:autoSpaceDN w:val="0"/>
              <w:adjustRightInd w:val="0"/>
              <w:spacing w:line="320" w:lineRule="exact"/>
              <w:jc w:val="center"/>
              <w:rPr>
                <w:rFonts w:ascii="宋体" w:hAnsi="宋体" w:eastAsia="宋体" w:cs="Times New Roman"/>
                <w:kern w:val="0"/>
                <w:szCs w:val="21"/>
              </w:rPr>
            </w:pPr>
          </w:p>
        </w:tc>
      </w:tr>
      <w:tr w14:paraId="3694D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7A2F531F">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0494BD8F">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5938BCA3">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70A9A110">
            <w:pPr>
              <w:autoSpaceDE w:val="0"/>
              <w:autoSpaceDN w:val="0"/>
              <w:adjustRightInd w:val="0"/>
              <w:spacing w:line="320" w:lineRule="exact"/>
              <w:jc w:val="center"/>
              <w:rPr>
                <w:rFonts w:ascii="宋体" w:hAnsi="宋体" w:eastAsia="宋体" w:cs="Times New Roman"/>
                <w:kern w:val="0"/>
                <w:szCs w:val="21"/>
              </w:rPr>
            </w:pPr>
          </w:p>
        </w:tc>
      </w:tr>
      <w:tr w14:paraId="70ECF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076BB280">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49AB80A9">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5373BB05">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19DA90AD">
            <w:pPr>
              <w:autoSpaceDE w:val="0"/>
              <w:autoSpaceDN w:val="0"/>
              <w:adjustRightInd w:val="0"/>
              <w:spacing w:line="320" w:lineRule="exact"/>
              <w:jc w:val="center"/>
              <w:rPr>
                <w:rFonts w:ascii="宋体" w:hAnsi="宋体" w:eastAsia="宋体" w:cs="Times New Roman"/>
                <w:kern w:val="0"/>
                <w:szCs w:val="21"/>
              </w:rPr>
            </w:pPr>
          </w:p>
        </w:tc>
      </w:tr>
      <w:tr w14:paraId="122CF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4E142315">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7592AC93">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16F37C57">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15F5CFAE">
            <w:pPr>
              <w:autoSpaceDE w:val="0"/>
              <w:autoSpaceDN w:val="0"/>
              <w:adjustRightInd w:val="0"/>
              <w:spacing w:line="320" w:lineRule="exact"/>
              <w:jc w:val="center"/>
              <w:rPr>
                <w:rFonts w:ascii="宋体" w:hAnsi="宋体" w:eastAsia="宋体" w:cs="Times New Roman"/>
                <w:kern w:val="0"/>
                <w:szCs w:val="21"/>
              </w:rPr>
            </w:pPr>
          </w:p>
        </w:tc>
      </w:tr>
      <w:tr w14:paraId="073FC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612355BD">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239D22DB">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5E4EF450">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15FF8937">
            <w:pPr>
              <w:autoSpaceDE w:val="0"/>
              <w:autoSpaceDN w:val="0"/>
              <w:adjustRightInd w:val="0"/>
              <w:spacing w:line="320" w:lineRule="exact"/>
              <w:jc w:val="center"/>
              <w:rPr>
                <w:rFonts w:ascii="宋体" w:hAnsi="宋体" w:eastAsia="宋体" w:cs="Times New Roman"/>
                <w:kern w:val="0"/>
                <w:szCs w:val="21"/>
              </w:rPr>
            </w:pPr>
          </w:p>
        </w:tc>
      </w:tr>
      <w:tr w14:paraId="2825D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350A985D">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7283F0D6">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4ABB45C4">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0D704C25">
            <w:pPr>
              <w:autoSpaceDE w:val="0"/>
              <w:autoSpaceDN w:val="0"/>
              <w:adjustRightInd w:val="0"/>
              <w:spacing w:line="320" w:lineRule="exact"/>
              <w:jc w:val="center"/>
              <w:rPr>
                <w:rFonts w:ascii="宋体" w:hAnsi="宋体" w:eastAsia="宋体" w:cs="Times New Roman"/>
                <w:kern w:val="0"/>
                <w:szCs w:val="21"/>
              </w:rPr>
            </w:pPr>
          </w:p>
        </w:tc>
      </w:tr>
      <w:tr w14:paraId="69EF3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4E916373">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3AA10B7E">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4F42BD02">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4E59E691">
            <w:pPr>
              <w:autoSpaceDE w:val="0"/>
              <w:autoSpaceDN w:val="0"/>
              <w:adjustRightInd w:val="0"/>
              <w:spacing w:line="320" w:lineRule="exact"/>
              <w:jc w:val="center"/>
              <w:rPr>
                <w:rFonts w:ascii="宋体" w:hAnsi="宋体" w:eastAsia="宋体" w:cs="Times New Roman"/>
                <w:kern w:val="0"/>
                <w:szCs w:val="21"/>
              </w:rPr>
            </w:pPr>
          </w:p>
        </w:tc>
      </w:tr>
      <w:tr w14:paraId="47758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19368F28">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D1EBFAE">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7FAC615B">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131FD686">
            <w:pPr>
              <w:autoSpaceDE w:val="0"/>
              <w:autoSpaceDN w:val="0"/>
              <w:adjustRightInd w:val="0"/>
              <w:spacing w:line="320" w:lineRule="exact"/>
              <w:jc w:val="center"/>
              <w:rPr>
                <w:rFonts w:ascii="宋体" w:hAnsi="宋体" w:eastAsia="宋体" w:cs="Times New Roman"/>
                <w:kern w:val="0"/>
                <w:szCs w:val="21"/>
              </w:rPr>
            </w:pPr>
          </w:p>
        </w:tc>
      </w:tr>
      <w:tr w14:paraId="1ED20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03AB3291">
            <w:pPr>
              <w:autoSpaceDE w:val="0"/>
              <w:autoSpaceDN w:val="0"/>
              <w:adjustRightInd w:val="0"/>
              <w:spacing w:line="320" w:lineRule="exact"/>
              <w:jc w:val="center"/>
              <w:rPr>
                <w:rFonts w:ascii="宋体" w:hAnsi="宋体" w:eastAsia="宋体" w:cs="Times New Roman"/>
                <w:kern w:val="0"/>
                <w:szCs w:val="21"/>
              </w:rPr>
            </w:pPr>
          </w:p>
        </w:tc>
        <w:tc>
          <w:tcPr>
            <w:tcW w:w="1984" w:type="dxa"/>
            <w:tcBorders>
              <w:top w:val="single" w:color="auto" w:sz="4" w:space="0"/>
              <w:left w:val="nil"/>
              <w:bottom w:val="single" w:color="auto" w:sz="4" w:space="0"/>
              <w:right w:val="single" w:color="auto" w:sz="4" w:space="0"/>
            </w:tcBorders>
            <w:vAlign w:val="center"/>
          </w:tcPr>
          <w:p w14:paraId="59BFA470">
            <w:pPr>
              <w:autoSpaceDE w:val="0"/>
              <w:autoSpaceDN w:val="0"/>
              <w:adjustRightInd w:val="0"/>
              <w:spacing w:line="320" w:lineRule="exact"/>
              <w:jc w:val="center"/>
              <w:rPr>
                <w:rFonts w:ascii="宋体" w:hAnsi="宋体" w:eastAsia="宋体" w:cs="Times New Roman"/>
                <w:kern w:val="0"/>
                <w:szCs w:val="21"/>
              </w:rPr>
            </w:pPr>
          </w:p>
        </w:tc>
        <w:tc>
          <w:tcPr>
            <w:tcW w:w="4678" w:type="dxa"/>
            <w:tcBorders>
              <w:top w:val="single" w:color="auto" w:sz="4" w:space="0"/>
              <w:left w:val="nil"/>
              <w:bottom w:val="single" w:color="auto" w:sz="4" w:space="0"/>
              <w:right w:val="single" w:color="auto" w:sz="4" w:space="0"/>
            </w:tcBorders>
            <w:vAlign w:val="center"/>
          </w:tcPr>
          <w:p w14:paraId="28144CA2">
            <w:pPr>
              <w:autoSpaceDE w:val="0"/>
              <w:autoSpaceDN w:val="0"/>
              <w:adjustRightInd w:val="0"/>
              <w:spacing w:line="320" w:lineRule="exact"/>
              <w:jc w:val="center"/>
              <w:rPr>
                <w:rFonts w:ascii="宋体" w:hAnsi="宋体" w:eastAsia="宋体" w:cs="Times New Roman"/>
                <w:kern w:val="0"/>
                <w:szCs w:val="21"/>
              </w:rPr>
            </w:pPr>
          </w:p>
        </w:tc>
        <w:tc>
          <w:tcPr>
            <w:tcW w:w="1276" w:type="dxa"/>
            <w:tcBorders>
              <w:top w:val="single" w:color="auto" w:sz="4" w:space="0"/>
              <w:left w:val="nil"/>
              <w:bottom w:val="single" w:color="auto" w:sz="4" w:space="0"/>
              <w:right w:val="single" w:color="auto" w:sz="4" w:space="0"/>
            </w:tcBorders>
            <w:vAlign w:val="center"/>
          </w:tcPr>
          <w:p w14:paraId="2DCCA491">
            <w:pPr>
              <w:autoSpaceDE w:val="0"/>
              <w:autoSpaceDN w:val="0"/>
              <w:adjustRightInd w:val="0"/>
              <w:spacing w:line="320" w:lineRule="exact"/>
              <w:jc w:val="center"/>
              <w:rPr>
                <w:rFonts w:ascii="宋体" w:hAnsi="宋体" w:eastAsia="宋体" w:cs="Times New Roman"/>
                <w:kern w:val="0"/>
                <w:szCs w:val="21"/>
              </w:rPr>
            </w:pPr>
          </w:p>
        </w:tc>
      </w:tr>
      <w:tr w14:paraId="5A7D5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atLeast"/>
          <w:jc w:val="center"/>
        </w:trPr>
        <w:tc>
          <w:tcPr>
            <w:tcW w:w="8817" w:type="dxa"/>
            <w:gridSpan w:val="4"/>
            <w:tcBorders>
              <w:top w:val="single" w:color="auto" w:sz="4" w:space="0"/>
              <w:left w:val="single" w:color="auto" w:sz="4" w:space="0"/>
              <w:bottom w:val="single" w:color="auto" w:sz="4" w:space="0"/>
              <w:right w:val="single" w:color="auto" w:sz="4" w:space="0"/>
            </w:tcBorders>
            <w:vAlign w:val="center"/>
          </w:tcPr>
          <w:p w14:paraId="7B61300D">
            <w:pPr>
              <w:autoSpaceDE w:val="0"/>
              <w:autoSpaceDN w:val="0"/>
              <w:adjustRightInd w:val="0"/>
              <w:spacing w:line="320" w:lineRule="exact"/>
              <w:jc w:val="left"/>
              <w:rPr>
                <w:rFonts w:ascii="宋体" w:hAnsi="宋体" w:eastAsia="宋体" w:cs="Times New Roman"/>
                <w:b/>
                <w:bCs/>
                <w:kern w:val="0"/>
                <w:szCs w:val="21"/>
              </w:rPr>
            </w:pPr>
            <w:r>
              <w:rPr>
                <w:rFonts w:hint="eastAsia" w:ascii="宋体" w:hAnsi="宋体" w:eastAsia="宋体" w:cs="Times New Roman"/>
                <w:b/>
                <w:bCs/>
                <w:kern w:val="0"/>
                <w:szCs w:val="21"/>
              </w:rPr>
              <w:t>小计：</w:t>
            </w:r>
          </w:p>
        </w:tc>
      </w:tr>
    </w:tbl>
    <w:p w14:paraId="14B6AD8A">
      <w:pPr>
        <w:autoSpaceDE w:val="0"/>
        <w:autoSpaceDN w:val="0"/>
        <w:adjustRightInd w:val="0"/>
        <w:jc w:val="left"/>
        <w:rPr>
          <w:rFonts w:ascii="宋体" w:hAnsi="宋体" w:eastAsia="宋体" w:cs="Times New Roman"/>
          <w:kern w:val="0"/>
          <w:szCs w:val="21"/>
          <w:u w:val="single"/>
        </w:rPr>
      </w:pPr>
    </w:p>
    <w:p w14:paraId="3F2C38BC">
      <w:pPr>
        <w:autoSpaceDE w:val="0"/>
        <w:autoSpaceDN w:val="0"/>
        <w:adjustRightInd w:val="0"/>
        <w:jc w:val="left"/>
        <w:rPr>
          <w:rFonts w:ascii="宋体" w:hAnsi="宋体" w:eastAsia="宋体" w:cs="Times New Roman"/>
          <w:kern w:val="0"/>
          <w:szCs w:val="21"/>
          <w:u w:val="single"/>
        </w:rPr>
      </w:pPr>
    </w:p>
    <w:p w14:paraId="1E896794">
      <w:pPr>
        <w:autoSpaceDE w:val="0"/>
        <w:autoSpaceDN w:val="0"/>
        <w:adjustRightInd w:val="0"/>
        <w:jc w:val="left"/>
        <w:rPr>
          <w:rFonts w:ascii="宋体" w:hAnsi="宋体" w:eastAsia="宋体" w:cs="Times New Roman"/>
          <w:kern w:val="0"/>
          <w:szCs w:val="21"/>
          <w:u w:val="single"/>
        </w:rPr>
      </w:pPr>
    </w:p>
    <w:p w14:paraId="18576618">
      <w:pPr>
        <w:autoSpaceDE w:val="0"/>
        <w:autoSpaceDN w:val="0"/>
        <w:adjustRightInd w:val="0"/>
        <w:jc w:val="left"/>
        <w:rPr>
          <w:rFonts w:ascii="宋体" w:hAnsi="宋体" w:eastAsia="宋体" w:cs="Times New Roman"/>
          <w:kern w:val="0"/>
          <w:szCs w:val="21"/>
          <w:u w:val="single"/>
        </w:rPr>
      </w:pPr>
    </w:p>
    <w:p w14:paraId="6BF46B93">
      <w:pPr>
        <w:autoSpaceDE w:val="0"/>
        <w:autoSpaceDN w:val="0"/>
        <w:adjustRightInd w:val="0"/>
        <w:jc w:val="left"/>
        <w:rPr>
          <w:rFonts w:ascii="宋体" w:hAnsi="宋体" w:eastAsia="宋体" w:cs="Times New Roman"/>
          <w:kern w:val="0"/>
          <w:szCs w:val="21"/>
          <w:u w:val="single"/>
        </w:rPr>
      </w:pPr>
    </w:p>
    <w:p w14:paraId="1ACFE3D6">
      <w:pPr>
        <w:autoSpaceDE w:val="0"/>
        <w:autoSpaceDN w:val="0"/>
        <w:adjustRightInd w:val="0"/>
        <w:jc w:val="left"/>
        <w:rPr>
          <w:rFonts w:ascii="宋体" w:hAnsi="宋体" w:eastAsia="宋体" w:cs="Times New Roman"/>
          <w:kern w:val="0"/>
          <w:szCs w:val="21"/>
          <w:u w:val="single"/>
        </w:rPr>
      </w:pPr>
    </w:p>
    <w:p w14:paraId="34643EEB">
      <w:pPr>
        <w:autoSpaceDE w:val="0"/>
        <w:autoSpaceDN w:val="0"/>
        <w:adjustRightInd w:val="0"/>
        <w:jc w:val="left"/>
        <w:rPr>
          <w:rFonts w:ascii="宋体" w:hAnsi="宋体" w:eastAsia="宋体" w:cs="Times New Roman"/>
          <w:kern w:val="0"/>
          <w:szCs w:val="21"/>
          <w:u w:val="single"/>
        </w:rPr>
      </w:pPr>
    </w:p>
    <w:p w14:paraId="04CE7D5D">
      <w:pPr>
        <w:autoSpaceDE w:val="0"/>
        <w:autoSpaceDN w:val="0"/>
        <w:adjustRightInd w:val="0"/>
        <w:jc w:val="left"/>
        <w:rPr>
          <w:rFonts w:ascii="宋体" w:hAnsi="宋体" w:eastAsia="宋体" w:cs="Times New Roman"/>
          <w:kern w:val="0"/>
          <w:szCs w:val="21"/>
          <w:u w:val="single"/>
        </w:rPr>
      </w:pPr>
    </w:p>
    <w:p w14:paraId="00AC10E9">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color w:val="000000"/>
          <w:kern w:val="0"/>
          <w:szCs w:val="21"/>
        </w:rPr>
        <w:t>附件1</w:t>
      </w:r>
      <w:r>
        <w:rPr>
          <w:rFonts w:ascii="宋体" w:hAnsi="宋体" w:eastAsia="宋体" w:cs="Times New Roman"/>
          <w:color w:val="000000"/>
          <w:kern w:val="0"/>
          <w:szCs w:val="21"/>
        </w:rPr>
        <w:t>2</w:t>
      </w:r>
      <w:r>
        <w:rPr>
          <w:rFonts w:hint="eastAsia" w:ascii="宋体" w:hAnsi="宋体" w:eastAsia="宋体" w:cs="Times New Roman"/>
          <w:color w:val="000000"/>
          <w:kern w:val="0"/>
          <w:szCs w:val="21"/>
        </w:rPr>
        <w:t>：</w:t>
      </w:r>
    </w:p>
    <w:p w14:paraId="64116FFE">
      <w:pPr>
        <w:autoSpaceDE w:val="0"/>
        <w:autoSpaceDN w:val="0"/>
        <w:adjustRightInd w:val="0"/>
        <w:jc w:val="center"/>
        <w:rPr>
          <w:rFonts w:ascii="宋体" w:hAnsi="宋体" w:eastAsia="宋体" w:cs="Times New Roman"/>
          <w:kern w:val="0"/>
          <w:szCs w:val="21"/>
        </w:rPr>
      </w:pPr>
      <w:r>
        <w:rPr>
          <w:rFonts w:hint="eastAsia" w:ascii="宋体" w:hAnsi="宋体" w:eastAsia="宋体" w:cs="Times New Roman"/>
          <w:kern w:val="0"/>
          <w:szCs w:val="21"/>
        </w:rPr>
        <w:t>廉政责任书格式</w:t>
      </w:r>
    </w:p>
    <w:p w14:paraId="0C0249B4">
      <w:pPr>
        <w:autoSpaceDE w:val="0"/>
        <w:autoSpaceDN w:val="0"/>
        <w:adjustRightInd w:val="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4ED248F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根据有关工程建设、廉政建设的规定，为做好工程建设中的党风廉政建设，保证工程建设高效优质，保证建设资金的安全和有效使用以及投资效益，（以下称甲方）与承包人 （以下称乙方），特订立如下合同。</w:t>
      </w:r>
    </w:p>
    <w:p w14:paraId="74453B7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第一条 甲乙双方的权利和义务</w:t>
      </w:r>
    </w:p>
    <w:p w14:paraId="1F08008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（一）严格遵守党和国家有关法律法规及建设部的有关规定。</w:t>
      </w:r>
    </w:p>
    <w:p w14:paraId="1108237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（二）严格执行 施工合同文件，自觉按合同办事。</w:t>
      </w:r>
    </w:p>
    <w:p w14:paraId="0045547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（三）双方的业务活动坚持公开、公正、诚信、透明的原则（除法律认定的商业秘密和合同文件另有规定之外），不得损害国家和集体利益，违反工程建设管理规章制度。</w:t>
      </w:r>
    </w:p>
    <w:p w14:paraId="7EC6109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（四）建立健全廉政制度，开展廉政教育，设立廉政告示牌，公布举报电话，监督并认真查处违法违纪行为。</w:t>
      </w:r>
    </w:p>
    <w:p w14:paraId="0F77C6B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（五）发现对方在业务活动中有违反廉政规定的行为，有及时提醒对方纠正的权利和义务。</w:t>
      </w:r>
    </w:p>
    <w:p w14:paraId="010EB8B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（六）发现对方严重违反本合同义务条款的行为，有向其上级有关部门举报、建议给予处理并要求告知处理结果的权利。</w:t>
      </w:r>
    </w:p>
    <w:p w14:paraId="2CD014D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第二条 甲方的义务</w:t>
      </w:r>
    </w:p>
    <w:p w14:paraId="45BCABA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（一）甲方及其工作人员不得索要或接受乙方的礼金、有价证券和贵重物品，不得在乙方报销任何应由甲方或个人支付的费用等。</w:t>
      </w:r>
    </w:p>
    <w:p w14:paraId="72126E23">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（二）甲方工作人员不得参加乙方安排的超标准宴请和娱乐活动，不得接受乙方提供的通讯工具、交通工具和高档办公用品等。</w:t>
      </w:r>
    </w:p>
    <w:p w14:paraId="481820E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（三）甲方及其工作人员不得要求或者接受乙方为其住房装修、婚丧嫁娶活动、配偶子女的工作安排以及出国出境、旅游等提供方便等。</w:t>
      </w:r>
    </w:p>
    <w:p w14:paraId="60B36F9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（四）甲方工作人员的配偶、子女不得从事与甲方工程有关的材料设备供应、工程分包、劳务等经济活动等。</w:t>
      </w:r>
    </w:p>
    <w:p w14:paraId="5ECC279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（五）甲方及其工作人员不得以任何理由向乙方推荐分包单位，不得要求乙方购买合同外的材料和设备。</w:t>
      </w:r>
    </w:p>
    <w:p w14:paraId="5917360D">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第三条 乙方义务</w:t>
      </w:r>
    </w:p>
    <w:p w14:paraId="6A817007">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（一）乙方不得以任何理由向甲方及其工作人员行贿或馈赠礼金，有价证券、贵重礼品。</w:t>
      </w:r>
    </w:p>
    <w:p w14:paraId="02B3BE8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（二）乙方不得以任何名义为甲方及其工作人员报销应由甲方单位或个人支付的任何费用。</w:t>
      </w:r>
    </w:p>
    <w:p w14:paraId="44A1B9F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（三）乙方不得以任何理由安排甲方工作人员参加超标准宴请及娱乐活动。</w:t>
      </w:r>
    </w:p>
    <w:p w14:paraId="0B67AF38">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（四）乙方不得为甲方单位和个人购置或提供通讯工具、交通工具和高档办公用品等。</w:t>
      </w:r>
    </w:p>
    <w:p w14:paraId="23B9BF34">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第四条 违约责任</w:t>
      </w:r>
    </w:p>
    <w:p w14:paraId="27E8E8C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（一）甲方及其工作人员违反本合同第一、二条，按管理权限，依据有关规定给予党纪、政纪或组织处理；涉嫌犯罪的，移交司法机关追究刑事责任；给乙方单位造成经济损失的，应予以赔偿。</w:t>
      </w:r>
    </w:p>
    <w:p w14:paraId="2D37380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二）乙方及其工作人员违反本合同第一、三条，按管理权限，依据有关规定，给予党纪、政纪或组织处理；给甲方单位造成经济损失的，应予以赔偿；情节严重的，甲方建议工程建设主管部门给予乙方一至三年内不得进入其主管的工程建筑市场的处罚。</w:t>
      </w:r>
    </w:p>
    <w:p w14:paraId="3A6CD8DB">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第五条 双方约定</w:t>
      </w:r>
    </w:p>
    <w:p w14:paraId="7CC8168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本合同由双方或双方上级单位的纪检监察机关负责监督。由甲方或甲方上级单位的纪检监察机关约请乙方或乙方上级单位纪检监察机关对本合同履行情况进行检查提出在本合同规定范围内的裁定意见。</w:t>
      </w:r>
    </w:p>
    <w:p w14:paraId="231467F9">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第六条 本合同有效期为甲乙双方签署之日起至该工程项目竣工验收后止。</w:t>
      </w:r>
    </w:p>
    <w:p w14:paraId="60E580E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第七条 本合同作为施工合同的附件，与工程施工合同具有同等的法律效力，经合同双方签署立即生效。</w:t>
      </w:r>
    </w:p>
    <w:p w14:paraId="5F8F7975">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第八条 本合同甲、乙双方各执一份，送交双方监督单位一份。</w:t>
      </w:r>
    </w:p>
    <w:p w14:paraId="1E335F4A">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33DB4EE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7F6FF160">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048BE5D1">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甲方单位：（盖章）               乙方单位：（盖章）</w:t>
      </w:r>
    </w:p>
    <w:p w14:paraId="05FC32C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法定代表人：                     法定代表人：</w:t>
      </w:r>
    </w:p>
    <w:p w14:paraId="3735E54C">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或                               或 </w:t>
      </w:r>
    </w:p>
    <w:p w14:paraId="29AA73FF">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代  理  人：                     代  理  人： </w:t>
      </w:r>
    </w:p>
    <w:p w14:paraId="0B30B9E2">
      <w:pPr>
        <w:autoSpaceDE w:val="0"/>
        <w:autoSpaceDN w:val="0"/>
        <w:adjustRightInd w:val="0"/>
        <w:spacing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6757C813">
      <w:pPr>
        <w:kinsoku w:val="0"/>
        <w:overflowPunct w:val="0"/>
        <w:autoSpaceDE w:val="0"/>
        <w:autoSpaceDN w:val="0"/>
        <w:adjustRightInd w:val="0"/>
        <w:spacing w:before="7" w:line="420" w:lineRule="exact"/>
        <w:ind w:firstLine="420" w:firstLineChars="200"/>
        <w:jc w:val="left"/>
        <w:rPr>
          <w:rFonts w:ascii="宋体" w:hAnsi="宋体" w:eastAsia="宋体" w:cs="Times New Roman"/>
          <w:kern w:val="0"/>
          <w:szCs w:val="21"/>
        </w:rPr>
      </w:pPr>
      <w:r>
        <w:rPr>
          <w:rFonts w:hint="eastAsia" w:ascii="宋体" w:hAnsi="宋体" w:eastAsia="宋体" w:cs="Times New Roman"/>
          <w:kern w:val="0"/>
          <w:szCs w:val="21"/>
        </w:rPr>
        <w:t>年   月    日                     年   月    日</w:t>
      </w:r>
    </w:p>
    <w:p w14:paraId="2DA36ADA">
      <w:pPr>
        <w:kinsoku w:val="0"/>
        <w:overflowPunct w:val="0"/>
        <w:autoSpaceDE w:val="0"/>
        <w:autoSpaceDN w:val="0"/>
        <w:adjustRightInd w:val="0"/>
        <w:spacing w:before="7" w:line="360" w:lineRule="auto"/>
        <w:jc w:val="left"/>
        <w:rPr>
          <w:rFonts w:ascii="宋体" w:hAnsi="宋体" w:eastAsia="宋体" w:cs="Times New Roman"/>
          <w:kern w:val="0"/>
          <w:szCs w:val="21"/>
        </w:rPr>
      </w:pPr>
      <w:r>
        <w:rPr>
          <w:rFonts w:hint="eastAsia" w:ascii="宋体" w:hAnsi="宋体" w:eastAsia="宋体" w:cs="Times New Roman"/>
          <w:kern w:val="0"/>
          <w:szCs w:val="21"/>
        </w:rPr>
        <w:t xml:space="preserve"> </w:t>
      </w:r>
    </w:p>
    <w:p w14:paraId="714700E3">
      <w:pPr>
        <w:spacing w:after="100" w:line="420" w:lineRule="exact"/>
        <w:ind w:firstLine="420" w:firstLineChars="200"/>
        <w:jc w:val="left"/>
        <w:rPr>
          <w:rFonts w:ascii="宋体" w:hAnsi="宋体" w:eastAsia="宋体" w:cs="Times New Roman"/>
          <w:szCs w:val="21"/>
        </w:rPr>
      </w:pPr>
    </w:p>
    <w:p w14:paraId="4BFA008C">
      <w:pPr>
        <w:spacing w:after="100" w:line="420" w:lineRule="exact"/>
        <w:ind w:firstLine="420" w:firstLineChars="200"/>
        <w:jc w:val="left"/>
        <w:rPr>
          <w:rFonts w:ascii="宋体" w:hAnsi="宋体" w:eastAsia="宋体" w:cs="Times New Roman"/>
          <w:szCs w:val="21"/>
        </w:rPr>
      </w:pPr>
    </w:p>
    <w:p w14:paraId="50F3CCE8">
      <w:pPr>
        <w:spacing w:after="100" w:line="420" w:lineRule="exact"/>
        <w:ind w:firstLine="420" w:firstLineChars="200"/>
        <w:jc w:val="left"/>
        <w:rPr>
          <w:rFonts w:ascii="宋体" w:hAnsi="宋体" w:eastAsia="宋体" w:cs="Times New Roman"/>
          <w:szCs w:val="21"/>
        </w:rPr>
      </w:pPr>
    </w:p>
    <w:p w14:paraId="3408B626">
      <w:pPr>
        <w:spacing w:after="100" w:line="420" w:lineRule="exact"/>
        <w:jc w:val="left"/>
        <w:rPr>
          <w:rFonts w:ascii="宋体" w:hAnsi="宋体" w:eastAsia="宋体" w:cs="Times New Roman"/>
          <w:szCs w:val="21"/>
        </w:rPr>
      </w:pPr>
    </w:p>
    <w:p w14:paraId="4D40AFCA">
      <w:pPr>
        <w:autoSpaceDE w:val="0"/>
        <w:autoSpaceDN w:val="0"/>
        <w:adjustRightInd w:val="0"/>
        <w:jc w:val="left"/>
        <w:rPr>
          <w:rFonts w:ascii="宋体" w:hAnsi="宋体" w:eastAsia="宋体" w:cs="Times New Roman"/>
          <w:color w:val="000000"/>
          <w:kern w:val="0"/>
          <w:szCs w:val="21"/>
        </w:rPr>
      </w:pPr>
      <w:r>
        <w:rPr>
          <w:rFonts w:hint="eastAsia" w:ascii="宋体" w:hAnsi="宋体" w:eastAsia="宋体" w:cs="Times New Roman"/>
          <w:color w:val="000000"/>
          <w:kern w:val="0"/>
          <w:szCs w:val="21"/>
        </w:rPr>
        <w:t>附件1</w:t>
      </w:r>
      <w:r>
        <w:rPr>
          <w:rFonts w:ascii="宋体" w:hAnsi="宋体" w:eastAsia="宋体" w:cs="Times New Roman"/>
          <w:color w:val="000000"/>
          <w:kern w:val="0"/>
          <w:szCs w:val="21"/>
        </w:rPr>
        <w:t>3</w:t>
      </w:r>
      <w:r>
        <w:rPr>
          <w:rFonts w:hint="eastAsia" w:ascii="宋体" w:hAnsi="宋体" w:eastAsia="宋体" w:cs="Times New Roman"/>
          <w:color w:val="000000"/>
          <w:kern w:val="0"/>
          <w:szCs w:val="21"/>
        </w:rPr>
        <w:t>：</w:t>
      </w:r>
    </w:p>
    <w:p w14:paraId="45A4A602">
      <w:pPr>
        <w:spacing w:line="360" w:lineRule="auto"/>
        <w:jc w:val="center"/>
        <w:rPr>
          <w:rFonts w:ascii="宋体" w:hAnsi="宋体" w:eastAsia="宋体" w:cs="Times New Roman"/>
          <w:b/>
          <w:bCs/>
          <w:szCs w:val="21"/>
        </w:rPr>
      </w:pPr>
      <w:r>
        <w:rPr>
          <w:rFonts w:hint="eastAsia" w:ascii="宋体" w:hAnsi="宋体" w:eastAsia="宋体" w:cs="Times New Roman"/>
          <w:b/>
          <w:bCs/>
          <w:szCs w:val="21"/>
        </w:rPr>
        <w:t>安全生产管理责任书</w:t>
      </w:r>
    </w:p>
    <w:p w14:paraId="58817B75">
      <w:pPr>
        <w:spacing w:line="360" w:lineRule="auto"/>
        <w:jc w:val="center"/>
        <w:rPr>
          <w:rFonts w:ascii="宋体" w:hAnsi="宋体" w:eastAsia="宋体" w:cs="Times New Roman"/>
          <w:b/>
          <w:bCs/>
          <w:szCs w:val="21"/>
        </w:rPr>
      </w:pPr>
      <w:r>
        <w:rPr>
          <w:rFonts w:hint="eastAsia" w:ascii="宋体" w:hAnsi="宋体" w:eastAsia="宋体" w:cs="Times New Roman"/>
          <w:b/>
          <w:bCs/>
          <w:szCs w:val="21"/>
        </w:rPr>
        <w:t xml:space="preserve"> </w:t>
      </w:r>
    </w:p>
    <w:p w14:paraId="7A6A2472">
      <w:pPr>
        <w:spacing w:line="360" w:lineRule="auto"/>
        <w:jc w:val="left"/>
        <w:rPr>
          <w:rFonts w:ascii="宋体" w:hAnsi="宋体" w:eastAsia="宋体" w:cs="Times New Roman"/>
          <w:szCs w:val="21"/>
        </w:rPr>
      </w:pPr>
      <w:r>
        <w:rPr>
          <w:rFonts w:hint="eastAsia" w:ascii="宋体" w:hAnsi="宋体" w:eastAsia="宋体" w:cs="Times New Roman"/>
          <w:szCs w:val="21"/>
        </w:rPr>
        <w:t>甲方：</w:t>
      </w:r>
    </w:p>
    <w:p w14:paraId="55052DA9">
      <w:pPr>
        <w:spacing w:line="360" w:lineRule="auto"/>
        <w:jc w:val="left"/>
        <w:rPr>
          <w:rFonts w:ascii="宋体" w:hAnsi="宋体" w:eastAsia="宋体" w:cs="Times New Roman"/>
          <w:szCs w:val="21"/>
        </w:rPr>
      </w:pPr>
      <w:r>
        <w:rPr>
          <w:rFonts w:hint="eastAsia" w:ascii="宋体" w:hAnsi="宋体" w:eastAsia="宋体" w:cs="Times New Roman"/>
          <w:szCs w:val="21"/>
        </w:rPr>
        <w:t>乙方：</w:t>
      </w:r>
    </w:p>
    <w:p w14:paraId="42B59D29">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为加强的安全生产、治安保卫、消防安全和综合治理工作，维护施工场所生产、工作、治安秩序，落实安全责任，有效遏制各类事故的发生，将安全隐患消灭在萌芽状态，根据国家有关安全的法律、法规的规定，结合本项目工程实际，特签订本责任书，以明确双方的责任和义务。</w:t>
      </w:r>
    </w:p>
    <w:p w14:paraId="4C5B15E5">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一、甲方职责与责任</w:t>
      </w:r>
    </w:p>
    <w:p w14:paraId="5D63D086">
      <w:pPr>
        <w:spacing w:line="360" w:lineRule="auto"/>
        <w:ind w:firstLine="210" w:firstLineChars="100"/>
        <w:jc w:val="left"/>
        <w:rPr>
          <w:rFonts w:ascii="宋体" w:hAnsi="宋体" w:eastAsia="宋体" w:cs="Times New Roman"/>
          <w:szCs w:val="21"/>
        </w:rPr>
      </w:pPr>
      <w:r>
        <w:rPr>
          <w:rFonts w:hint="eastAsia" w:ascii="宋体" w:hAnsi="宋体" w:eastAsia="宋体" w:cs="Times New Roman"/>
          <w:szCs w:val="21"/>
        </w:rPr>
        <w:t>（1）严格遵守国家有关安全生产的法律、法规，认真执行上级部门对安全生产管理工作的有关规定。</w:t>
      </w:r>
    </w:p>
    <w:p w14:paraId="594398D1">
      <w:pPr>
        <w:spacing w:line="360" w:lineRule="auto"/>
        <w:ind w:firstLine="210" w:firstLineChars="100"/>
        <w:jc w:val="left"/>
        <w:rPr>
          <w:rFonts w:ascii="宋体" w:hAnsi="宋体" w:eastAsia="宋体" w:cs="Times New Roman"/>
          <w:szCs w:val="21"/>
        </w:rPr>
      </w:pPr>
      <w:r>
        <w:rPr>
          <w:rFonts w:hint="eastAsia" w:ascii="宋体" w:hAnsi="宋体" w:eastAsia="宋体" w:cs="Times New Roman"/>
          <w:szCs w:val="21"/>
        </w:rPr>
        <w:t>（2）做好安全生产的宣传教育和管理工作，总结交流推广先进经验。</w:t>
      </w:r>
    </w:p>
    <w:p w14:paraId="114A7899">
      <w:pPr>
        <w:spacing w:line="360" w:lineRule="auto"/>
        <w:ind w:firstLine="210" w:firstLineChars="100"/>
        <w:jc w:val="left"/>
        <w:rPr>
          <w:rFonts w:ascii="宋体" w:hAnsi="宋体" w:eastAsia="宋体" w:cs="Times New Roman"/>
          <w:szCs w:val="21"/>
        </w:rPr>
      </w:pPr>
      <w:r>
        <w:rPr>
          <w:rFonts w:hint="eastAsia" w:ascii="宋体" w:hAnsi="宋体" w:eastAsia="宋体" w:cs="Times New Roman"/>
          <w:szCs w:val="21"/>
        </w:rPr>
        <w:t>（3）对乙方在生产生活中的行为进行监督，对乙方在生产工作过程中违反规章制度的行为进行警告或处罚。</w:t>
      </w:r>
    </w:p>
    <w:p w14:paraId="710143EB">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二、乙方职责与责任</w:t>
      </w:r>
    </w:p>
    <w:p w14:paraId="5897935E">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（1）严格遵守国家有关安全生产的法律法规，认真执行上级有关安全生产的规定，对所管辖工程的安全生产负直接领导责任。</w:t>
      </w:r>
    </w:p>
    <w:p w14:paraId="49FD66DF">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2）做好安全生产的宣传教育和管理工作，认真执行安全生产技术措施及安全操作规程，针对生产任务特点，向班组人员进行书面安全技术交底，履行签字手续，并对规程、措施、交底进行跟踪落实，随时纠正违章作业，发现并整改不安全隐患；</w:t>
      </w:r>
    </w:p>
    <w:p w14:paraId="19605E2B">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（3）经常检查所辖班组作业人员及各种设备、设施的安全状况，各种设备及安全设施是否符合安全要求，严格执行安全技术交底，落实安全技术措施，并监督其执行，做到不违章指挥；</w:t>
      </w:r>
    </w:p>
    <w:p w14:paraId="21095357">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（4）定期和不定期组织所辖班组人员学习安全操作规程，开展安全教育活动，接受安全部门或人员的安全监督检查，及时整改提出的不安全问题；</w:t>
      </w:r>
    </w:p>
    <w:p w14:paraId="7DCF0186">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（5）对所管工程项目应用的新材料、新工艺、新技术严格执行申报、审批制度、发现问题，及时停止使用，并上报有关部门或领导；</w:t>
      </w:r>
    </w:p>
    <w:p w14:paraId="097A787B">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（6）发生因工伤亡及未遂事故要保护现场，立即上报。</w:t>
      </w:r>
    </w:p>
    <w:p w14:paraId="3A6CB178">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（7）落实日常安全巡视制度，经常深入施工现场，掌握安全生产情况，调查研究生产中的不安全因素，组织制定改进措施。</w:t>
      </w:r>
    </w:p>
    <w:p w14:paraId="76E11791">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（8）做好安全生产台账。</w:t>
      </w:r>
    </w:p>
    <w:p w14:paraId="345200C0">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三、安全生产综合治理目标：</w:t>
      </w:r>
    </w:p>
    <w:p w14:paraId="48F38EF4">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综合治理目标：</w:t>
      </w:r>
    </w:p>
    <w:p w14:paraId="42C0123D">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1、不发生政治、刑事案件</w:t>
      </w:r>
    </w:p>
    <w:p w14:paraId="5D8881B4">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2、不发生严重的治安事件（包括群体性上访、请愿并造成一定后果的事件）</w:t>
      </w:r>
    </w:p>
    <w:p w14:paraId="58E4C489">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3、不发生盗窃事件</w:t>
      </w:r>
    </w:p>
    <w:p w14:paraId="5B54960F">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4、不发生爆炸物品被盗、遗失、挪用的案件</w:t>
      </w:r>
    </w:p>
    <w:p w14:paraId="570D9291">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5、不发生走私、吸毒、贩毒、赌博、嫖娼等案件</w:t>
      </w:r>
    </w:p>
    <w:p w14:paraId="3EBCABB4">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安全生产目标：</w:t>
      </w:r>
    </w:p>
    <w:p w14:paraId="6713E8DD">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1、不发生死亡事故（包括急性中毒死亡事故）、不发生重伤事故</w:t>
      </w:r>
    </w:p>
    <w:p w14:paraId="01D94346">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2、不发生集体中毒事故</w:t>
      </w:r>
    </w:p>
    <w:p w14:paraId="06F697DE">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3、不发生一次直接经济损失1000元以上的火灾事故</w:t>
      </w:r>
    </w:p>
    <w:p w14:paraId="3D2CE569">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4、不发生爆炸事故</w:t>
      </w:r>
    </w:p>
    <w:p w14:paraId="7E69BBBB">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5、不发生交通责任事故</w:t>
      </w:r>
    </w:p>
    <w:p w14:paraId="3953FA9B">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6、不发生机械设备重大责任事故</w:t>
      </w:r>
    </w:p>
    <w:p w14:paraId="65C1E7F2">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四、本责任书自签订之日起生效，至本项目工程结束自行失效。</w:t>
      </w:r>
    </w:p>
    <w:p w14:paraId="5AEC0E5F">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五、本责任书一式四份，甲、乙双方各执二份。</w:t>
      </w:r>
    </w:p>
    <w:p w14:paraId="22458BD5">
      <w:pPr>
        <w:spacing w:line="360" w:lineRule="auto"/>
        <w:ind w:firstLine="420" w:firstLineChars="200"/>
        <w:jc w:val="left"/>
        <w:rPr>
          <w:rFonts w:hint="eastAsia" w:ascii="宋体" w:hAnsi="宋体" w:eastAsia="宋体" w:cs="Times New Roman"/>
          <w:szCs w:val="21"/>
        </w:rPr>
      </w:pPr>
    </w:p>
    <w:p w14:paraId="2ADEDE4A">
      <w:pPr>
        <w:spacing w:line="360" w:lineRule="auto"/>
        <w:ind w:firstLine="420" w:firstLineChars="200"/>
        <w:jc w:val="left"/>
        <w:rPr>
          <w:rFonts w:hint="eastAsia" w:ascii="宋体" w:hAnsi="宋体" w:eastAsia="宋体" w:cs="Times New Roman"/>
          <w:szCs w:val="21"/>
        </w:rPr>
      </w:pPr>
    </w:p>
    <w:p w14:paraId="706243BF">
      <w:pPr>
        <w:spacing w:line="360" w:lineRule="auto"/>
        <w:ind w:firstLine="420" w:firstLineChars="200"/>
        <w:jc w:val="left"/>
        <w:rPr>
          <w:rFonts w:hint="eastAsia" w:ascii="宋体" w:hAnsi="宋体" w:eastAsia="宋体" w:cs="Times New Roman"/>
          <w:szCs w:val="21"/>
        </w:rPr>
      </w:pPr>
    </w:p>
    <w:p w14:paraId="38D0D5E8">
      <w:pPr>
        <w:spacing w:line="360" w:lineRule="auto"/>
        <w:ind w:firstLine="420" w:firstLineChars="200"/>
        <w:jc w:val="left"/>
        <w:rPr>
          <w:rFonts w:hint="eastAsia" w:ascii="宋体" w:hAnsi="宋体" w:eastAsia="宋体" w:cs="Times New Roman"/>
          <w:szCs w:val="21"/>
        </w:rPr>
      </w:pPr>
    </w:p>
    <w:p w14:paraId="2CF03C16">
      <w:pPr>
        <w:spacing w:line="360" w:lineRule="auto"/>
        <w:ind w:firstLine="420" w:firstLineChars="200"/>
        <w:jc w:val="left"/>
        <w:rPr>
          <w:rFonts w:ascii="宋体" w:hAnsi="宋体" w:eastAsia="宋体" w:cs="Times New Roman"/>
          <w:szCs w:val="21"/>
        </w:rPr>
      </w:pPr>
      <w:r>
        <w:rPr>
          <w:rFonts w:hint="eastAsia" w:ascii="宋体" w:hAnsi="宋体" w:eastAsia="宋体" w:cs="Times New Roman"/>
          <w:szCs w:val="21"/>
        </w:rPr>
        <w:t>甲方：                               乙方：</w:t>
      </w:r>
    </w:p>
    <w:p w14:paraId="173DEF36">
      <w:pPr>
        <w:spacing w:line="440" w:lineRule="exact"/>
        <w:ind w:firstLine="420" w:firstLineChars="200"/>
        <w:jc w:val="left"/>
        <w:rPr>
          <w:rFonts w:ascii="宋体" w:hAnsi="宋体" w:eastAsia="宋体" w:cs="Times New Roman"/>
          <w:szCs w:val="21"/>
        </w:rPr>
      </w:pPr>
      <w:r>
        <w:rPr>
          <w:rFonts w:hint="eastAsia" w:ascii="宋体" w:hAnsi="宋体" w:eastAsia="宋体" w:cs="Times New Roman"/>
          <w:szCs w:val="21"/>
        </w:rPr>
        <w:t>法定代表人：                         法定代表人：</w:t>
      </w:r>
    </w:p>
    <w:p w14:paraId="7F9D3B45">
      <w:pPr>
        <w:spacing w:line="440" w:lineRule="exact"/>
        <w:ind w:left="420" w:leftChars="200"/>
        <w:jc w:val="left"/>
        <w:rPr>
          <w:rFonts w:hint="eastAsia" w:ascii="宋体" w:hAnsi="宋体" w:eastAsia="宋体" w:cs="Times New Roman"/>
          <w:szCs w:val="21"/>
        </w:rPr>
      </w:pPr>
      <w:r>
        <w:rPr>
          <w:rFonts w:hint="eastAsia" w:ascii="宋体" w:hAnsi="宋体" w:eastAsia="宋体" w:cs="Times New Roman"/>
          <w:szCs w:val="21"/>
        </w:rPr>
        <w:t xml:space="preserve">或代理人：                           或代理人：                      </w:t>
      </w:r>
    </w:p>
    <w:p w14:paraId="3E0EAE94">
      <w:pPr>
        <w:spacing w:line="440" w:lineRule="exact"/>
        <w:ind w:left="420" w:leftChars="200"/>
        <w:jc w:val="left"/>
        <w:rPr>
          <w:rFonts w:ascii="宋体" w:hAnsi="宋体" w:eastAsia="宋体" w:cs="Microsoft JhengHei"/>
          <w:b/>
          <w:bCs/>
          <w:szCs w:val="21"/>
        </w:rPr>
      </w:pPr>
      <w:r>
        <w:rPr>
          <w:rFonts w:hint="eastAsia" w:ascii="宋体" w:hAnsi="宋体" w:eastAsia="宋体" w:cs="Times New Roman"/>
          <w:szCs w:val="21"/>
        </w:rPr>
        <w:t xml:space="preserve">      日期：                               日期：</w:t>
      </w:r>
      <w:bookmarkStart w:id="416" w:name="ed_2021Y1M29D17H02M47"/>
      <w:bookmarkEnd w:id="416"/>
    </w:p>
    <w:p w14:paraId="544C33F0">
      <w:pPr>
        <w:rPr>
          <w:rFonts w:ascii="宋体" w:hAnsi="宋体" w:eastAsia="宋体" w:cs="Times New Roman"/>
          <w:szCs w:val="21"/>
        </w:rPr>
      </w:pPr>
    </w:p>
    <w:p w14:paraId="0A7165AB">
      <w:pPr>
        <w:tabs>
          <w:tab w:val="left" w:pos="1980"/>
        </w:tabs>
        <w:spacing w:line="360" w:lineRule="auto"/>
        <w:ind w:firstLine="1400" w:firstLineChars="500"/>
        <w:rPr>
          <w:rFonts w:ascii="宋体" w:hAnsi="宋体" w:eastAsia="宋体" w:cs="Times New Roman"/>
          <w:sz w:val="28"/>
          <w:szCs w:val="28"/>
        </w:rPr>
      </w:pPr>
    </w:p>
    <w:p w14:paraId="3B55FEAE"/>
    <w:p w14:paraId="33C09537">
      <w:pPr>
        <w:bidi w:val="0"/>
      </w:pPr>
    </w:p>
    <w:p w14:paraId="7875003F">
      <w:pPr>
        <w:spacing w:line="360" w:lineRule="auto"/>
        <w:ind w:left="-420" w:leftChars="-200" w:right="-420" w:rightChars="-200" w:firstLine="480" w:firstLineChars="200"/>
        <w:jc w:val="center"/>
        <w:outlineLvl w:val="0"/>
        <w:rPr>
          <w:rFonts w:ascii="宋体" w:hAnsi="宋体" w:cs="宋体"/>
          <w:color w:val="auto"/>
          <w:sz w:val="24"/>
          <w:highlight w:val="none"/>
        </w:rPr>
        <w:sectPr>
          <w:headerReference r:id="rId8" w:type="first"/>
          <w:footerReference r:id="rId10" w:type="first"/>
          <w:footerReference r:id="rId9" w:type="default"/>
          <w:pgSz w:w="11906" w:h="16838"/>
          <w:pgMar w:top="1440" w:right="1080" w:bottom="1440" w:left="1080" w:header="851" w:footer="992" w:gutter="0"/>
          <w:cols w:space="720" w:num="1"/>
          <w:titlePg/>
          <w:docGrid w:linePitch="312" w:charSpace="0"/>
        </w:sectPr>
      </w:pPr>
    </w:p>
    <w:p w14:paraId="7D6A78DC">
      <w:pPr>
        <w:snapToGrid w:val="0"/>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9"/>
      <w:r>
        <w:rPr>
          <w:rFonts w:hint="eastAsia" w:ascii="宋体" w:hAnsi="宋体" w:cs="宋体"/>
          <w:b/>
          <w:color w:val="auto"/>
          <w:sz w:val="36"/>
          <w:szCs w:val="20"/>
          <w:highlight w:val="none"/>
        </w:rPr>
        <w:t xml:space="preserve"> </w:t>
      </w:r>
      <w:bookmarkEnd w:id="400"/>
      <w:r>
        <w:rPr>
          <w:rFonts w:hint="eastAsia" w:ascii="宋体" w:hAnsi="宋体" w:cs="宋体"/>
          <w:b/>
          <w:color w:val="auto"/>
          <w:sz w:val="36"/>
          <w:szCs w:val="20"/>
          <w:highlight w:val="none"/>
        </w:rPr>
        <w:t>应提交的有关格式范例</w:t>
      </w:r>
    </w:p>
    <w:p w14:paraId="4F5A4E7F">
      <w:pPr>
        <w:bidi w:val="0"/>
      </w:pPr>
    </w:p>
    <w:p w14:paraId="46B5B55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383D927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AD82A58">
      <w:pPr>
        <w:bidi w:val="0"/>
      </w:pPr>
    </w:p>
    <w:p w14:paraId="40058A8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C0BC5F5">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62F10D6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897B04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1AE7CE9A">
      <w:pPr>
        <w:snapToGrid w:val="0"/>
        <w:spacing w:line="360" w:lineRule="auto"/>
        <w:ind w:firstLine="480" w:firstLineChars="200"/>
        <w:rPr>
          <w:rFonts w:ascii="宋体" w:hAnsi="宋体" w:cs="宋体"/>
          <w:color w:val="auto"/>
          <w:sz w:val="24"/>
          <w:highlight w:val="none"/>
        </w:rPr>
      </w:pPr>
    </w:p>
    <w:p w14:paraId="5704AADD">
      <w:pPr>
        <w:spacing w:line="360" w:lineRule="auto"/>
        <w:ind w:firstLine="480" w:firstLineChars="200"/>
        <w:rPr>
          <w:rFonts w:ascii="宋体" w:hAnsi="宋体" w:cs="宋体"/>
          <w:color w:val="auto"/>
          <w:sz w:val="24"/>
          <w:highlight w:val="none"/>
        </w:rPr>
      </w:pPr>
    </w:p>
    <w:p w14:paraId="11C1A64E">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0D10217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200D69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我方参与（项目名称）【项目编号：（采购编号）】政府采购活动，郑重承诺：</w:t>
      </w:r>
    </w:p>
    <w:p w14:paraId="58E04FD7">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08EAAFD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E159A9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B1691C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D54DE6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7F102F1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6A29D4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2636F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07716F3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72630AA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51386F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4B2F931C">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752C6D9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E12BB34">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0BEB4DCF">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D6B9E6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[以联合体形式参与的，提供联合协议（附件5）；本项目不接受联合体或者供应商不以联合体形式投参与的，则不需要提供]</w:t>
      </w:r>
    </w:p>
    <w:p w14:paraId="40E6810D">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5D82E463">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FDCDE43">
      <w:pPr>
        <w:spacing w:line="360" w:lineRule="auto"/>
        <w:rPr>
          <w:rFonts w:ascii="宋体" w:hAnsi="宋体" w:cs="宋体"/>
          <w:color w:val="auto"/>
          <w:sz w:val="24"/>
          <w:highlight w:val="none"/>
        </w:rPr>
      </w:pPr>
      <w:r>
        <w:rPr>
          <w:rFonts w:hint="eastAsia" w:ascii="宋体" w:hAnsi="宋体" w:cs="宋体"/>
          <w:color w:val="auto"/>
          <w:sz w:val="24"/>
          <w:highlight w:val="none"/>
        </w:rPr>
        <w:t>（根据竞争性磋商公告落实政府采购政策需满足的资格要求选择提供相应的材料；未要求的，无需提供）</w:t>
      </w:r>
    </w:p>
    <w:p w14:paraId="317AE519">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.专门面向中小企业，工程全部由符合政策要求的中小企业（或小微企业）承建的，提供相应的中小企业声明函（附件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4BC111A0">
      <w:pPr>
        <w:widowControl/>
        <w:spacing w:line="360" w:lineRule="auto"/>
        <w:ind w:firstLine="480"/>
        <w:jc w:val="left"/>
        <w:rPr>
          <w:rFonts w:ascii="宋体" w:hAnsi="宋体" w:cs="宋体"/>
          <w:color w:val="auto"/>
          <w:sz w:val="24"/>
          <w:highlight w:val="none"/>
        </w:rPr>
      </w:pPr>
    </w:p>
    <w:p w14:paraId="6DD4168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），联合协议中中小企业合同金额应当达到竞争性磋商公告载明的比例；如果供应商本身提供所有标的均由中小企业承建的，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4AA37FF3">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53DCB47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），分包意向协议中中小企业合同金额应当达到竞争性磋商公告载明的比例；如果供应商本身提供所有标的均由中小企业承建，</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2C2BE9DF">
      <w:pPr>
        <w:widowControl/>
        <w:spacing w:line="360" w:lineRule="auto"/>
        <w:ind w:left="150"/>
        <w:jc w:val="center"/>
        <w:rPr>
          <w:rFonts w:ascii="宋体" w:hAnsi="宋体" w:cs="宋体"/>
          <w:b/>
          <w:color w:val="auto"/>
          <w:kern w:val="0"/>
          <w:sz w:val="32"/>
          <w:szCs w:val="32"/>
          <w:highlight w:val="none"/>
        </w:rPr>
      </w:pPr>
    </w:p>
    <w:p w14:paraId="2423C225">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E1CD85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C9A3B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（根据竞争性磋商公告本项目的特定资格要求提供相应的材料；未要求的，无需提供）</w:t>
      </w:r>
    </w:p>
    <w:p w14:paraId="59111412">
      <w:pPr>
        <w:rPr>
          <w:rFonts w:ascii="宋体" w:hAnsi="宋体" w:cs="宋体"/>
          <w:color w:val="auto"/>
          <w:highlight w:val="none"/>
        </w:rPr>
      </w:pPr>
    </w:p>
    <w:p w14:paraId="2A2E1FB4">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5CBC7F89">
      <w:pPr>
        <w:bidi w:val="0"/>
      </w:pPr>
    </w:p>
    <w:p w14:paraId="75699539">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7748B17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D425153">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响应函……………………………………………………………………………（页码）</w:t>
      </w:r>
    </w:p>
    <w:p w14:paraId="4AE249E5">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2）授权委托书或法定代表人（单位负责人、自然人本人）身份证明</w:t>
      </w:r>
      <w:r>
        <w:rPr>
          <w:rFonts w:hint="eastAsia" w:ascii="宋体" w:hAnsi="宋体" w:cs="宋体"/>
          <w:color w:val="auto"/>
          <w:sz w:val="24"/>
          <w:highlight w:val="none"/>
        </w:rPr>
        <w:t>……………（页码）</w:t>
      </w:r>
    </w:p>
    <w:p w14:paraId="49EA67A1">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）分包意向协议………………………………………………………………………（页码）</w:t>
      </w:r>
    </w:p>
    <w:p w14:paraId="45C79DD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）符合性审查资料……………………………………………………………………（页码）</w:t>
      </w:r>
    </w:p>
    <w:p w14:paraId="1B42E0ED">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）评审标准相应的商务技术资料……………………………………………………（页码）（</w:t>
      </w:r>
      <w:r>
        <w:rPr>
          <w:rFonts w:ascii="宋体" w:hAnsi="宋体" w:cs="宋体"/>
          <w:color w:val="auto"/>
          <w:sz w:val="24"/>
          <w:highlight w:val="none"/>
        </w:rPr>
        <w:t>6</w:t>
      </w:r>
      <w:r>
        <w:rPr>
          <w:rFonts w:hint="eastAsia" w:ascii="宋体" w:hAnsi="宋体" w:cs="宋体"/>
          <w:color w:val="auto"/>
          <w:sz w:val="24"/>
          <w:highlight w:val="none"/>
        </w:rPr>
        <w:t>）商务技术偏离表……………………………………………………………………（页码）</w:t>
      </w:r>
    </w:p>
    <w:p w14:paraId="4B415128">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lang w:val="zh-CN"/>
        </w:rPr>
        <w:t>（</w:t>
      </w:r>
      <w:r>
        <w:rPr>
          <w:rFonts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sz w:val="24"/>
          <w:highlight w:val="none"/>
        </w:rPr>
        <w:t>…………………………………………………（页码）</w:t>
      </w:r>
    </w:p>
    <w:p w14:paraId="19DC10A2">
      <w:pPr>
        <w:snapToGrid w:val="0"/>
        <w:spacing w:line="360" w:lineRule="auto"/>
        <w:jc w:val="center"/>
        <w:rPr>
          <w:rFonts w:ascii="宋体" w:hAnsi="宋体" w:cs="宋体"/>
          <w:b/>
          <w:color w:val="auto"/>
          <w:kern w:val="0"/>
          <w:sz w:val="24"/>
          <w:szCs w:val="32"/>
          <w:highlight w:val="none"/>
          <w:lang w:val="zh-CN"/>
        </w:rPr>
        <w:sectPr>
          <w:pgSz w:w="11906" w:h="16838"/>
          <w:pgMar w:top="1440" w:right="1080" w:bottom="1440" w:left="1080" w:header="851" w:footer="992" w:gutter="0"/>
          <w:cols w:space="720" w:num="1"/>
          <w:titlePg/>
          <w:docGrid w:linePitch="312" w:charSpace="0"/>
        </w:sectPr>
      </w:pPr>
    </w:p>
    <w:p w14:paraId="5CB9430C">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一、响应函</w:t>
      </w:r>
    </w:p>
    <w:p w14:paraId="6CFE381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27A534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我方参加你方组织的（项目名称）【项目编号：（采购编号）】采购的有关活动，并对此项目提交响应文件及报价。为此：</w:t>
      </w:r>
    </w:p>
    <w:p w14:paraId="3AB7BA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1、我方承诺响应文件有效期从提交响应文件的截止之日起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本响应文件在响应文件有效期满之前均具有约束力。</w:t>
      </w:r>
    </w:p>
    <w:p w14:paraId="52B236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2、我方的响应文件包括以下内容：</w:t>
      </w:r>
    </w:p>
    <w:p w14:paraId="0C5AAD2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015747A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63297CC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702F57F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5A8FF83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1E6CC22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44892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2.2.1响应函；</w:t>
      </w:r>
      <w:r>
        <w:rPr>
          <w:rFonts w:hint="eastAsia" w:ascii="宋体" w:hAnsi="宋体" w:cs="宋体"/>
          <w:color w:val="auto"/>
          <w:sz w:val="24"/>
          <w:highlight w:val="none"/>
          <w:lang w:val="zh-CN"/>
        </w:rPr>
        <w:t xml:space="preserve"> </w:t>
      </w:r>
    </w:p>
    <w:p w14:paraId="0DDEB4D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A538C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21C6D50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446F233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评审标准相应的商务技术资料；</w:t>
      </w:r>
    </w:p>
    <w:p w14:paraId="7C7CA59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2.2.6商务技术偏离表；</w:t>
      </w:r>
    </w:p>
    <w:p w14:paraId="45EC52C8">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14:paraId="304FBAE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4ED41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2.3.1报价单；</w:t>
      </w:r>
    </w:p>
    <w:p w14:paraId="4072F9C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2.3.2已标价工程量清单；</w:t>
      </w:r>
    </w:p>
    <w:p w14:paraId="41275F0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2.3.3中小企业声明函（如果有）。</w:t>
      </w:r>
    </w:p>
    <w:p w14:paraId="54D359D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3、我方承诺除商务技术偏离表列出的偏离外，我方响应采购文件的全部要求。</w:t>
      </w:r>
    </w:p>
    <w:p w14:paraId="2C25564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4、如我方成交，我方承诺：</w:t>
      </w:r>
    </w:p>
    <w:p w14:paraId="2E5616C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4.1在收到成交通知书后，在成交通知书规定的期限内与你方签订合同； </w:t>
      </w:r>
    </w:p>
    <w:p w14:paraId="5B0C1D7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08469FD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4.3按照采购文件要求提交履约保证金； </w:t>
      </w:r>
    </w:p>
    <w:p w14:paraId="03E2BEE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256DF6D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C5DEED9">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供应商名称（电子签名）：                          </w:t>
      </w:r>
    </w:p>
    <w:p w14:paraId="7532033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44F7615">
      <w:pPr>
        <w:snapToGrid w:val="0"/>
        <w:spacing w:line="360" w:lineRule="auto"/>
        <w:ind w:left="420" w:leftChars="200" w:firstLine="4200" w:firstLineChars="1750"/>
        <w:rPr>
          <w:rFonts w:ascii="宋体" w:hAnsi="宋体" w:cs="宋体"/>
          <w:color w:val="auto"/>
          <w:kern w:val="0"/>
          <w:sz w:val="24"/>
          <w:highlight w:val="none"/>
          <w:u w:val="single"/>
        </w:rPr>
      </w:pPr>
    </w:p>
    <w:p w14:paraId="27B7E03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F735FD1">
      <w:pPr>
        <w:snapToGrid w:val="0"/>
        <w:spacing w:line="360" w:lineRule="auto"/>
        <w:jc w:val="center"/>
        <w:rPr>
          <w:rFonts w:ascii="宋体" w:hAnsi="宋体" w:cs="宋体"/>
          <w:b/>
          <w:color w:val="auto"/>
          <w:kern w:val="0"/>
          <w:sz w:val="32"/>
          <w:szCs w:val="32"/>
          <w:highlight w:val="none"/>
        </w:rPr>
      </w:pPr>
    </w:p>
    <w:p w14:paraId="23F01277">
      <w:pPr>
        <w:snapToGrid w:val="0"/>
        <w:spacing w:line="360" w:lineRule="auto"/>
        <w:rPr>
          <w:rFonts w:ascii="宋体" w:hAnsi="宋体" w:cs="宋体"/>
          <w:color w:val="auto"/>
          <w:sz w:val="24"/>
          <w:highlight w:val="none"/>
        </w:rPr>
      </w:pPr>
    </w:p>
    <w:p w14:paraId="74BD63E8">
      <w:pPr>
        <w:jc w:val="center"/>
        <w:rPr>
          <w:rFonts w:ascii="宋体" w:hAnsi="宋体" w:cs="宋体"/>
          <w:b/>
          <w:color w:val="auto"/>
          <w:kern w:val="0"/>
          <w:sz w:val="32"/>
          <w:szCs w:val="32"/>
          <w:highlight w:val="none"/>
        </w:rPr>
      </w:pPr>
    </w:p>
    <w:p w14:paraId="3E68B4EC">
      <w:pPr>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2B24288C">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二、授权委托书或法定代表人（单位负责人、自然人本人）身份证明</w:t>
      </w:r>
    </w:p>
    <w:p w14:paraId="7D87864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A0CAB81">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授权委托书（适用于非联合体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14:paraId="7092C748">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5EC77E1">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政府采购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14:paraId="2F5A5FD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35A814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CF9083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14:paraId="1EFB7300">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2D11E42D">
      <w:pPr>
        <w:snapToGrid w:val="0"/>
        <w:spacing w:line="360" w:lineRule="auto"/>
        <w:rPr>
          <w:rFonts w:ascii="宋体" w:hAnsi="宋体" w:cs="宋体"/>
          <w:color w:val="auto"/>
          <w:sz w:val="24"/>
          <w:highlight w:val="none"/>
        </w:rPr>
      </w:pPr>
    </w:p>
    <w:p w14:paraId="1B6FB117">
      <w:pPr>
        <w:snapToGrid w:val="0"/>
        <w:spacing w:line="360" w:lineRule="auto"/>
        <w:rPr>
          <w:rFonts w:ascii="宋体" w:hAnsi="宋体" w:cs="宋体"/>
          <w:color w:val="auto"/>
          <w:sz w:val="24"/>
          <w:highlight w:val="none"/>
        </w:rPr>
      </w:pPr>
    </w:p>
    <w:p w14:paraId="7F5CDFB3">
      <w:pPr>
        <w:snapToGrid w:val="0"/>
        <w:spacing w:line="360" w:lineRule="auto"/>
        <w:rPr>
          <w:rFonts w:ascii="宋体" w:hAnsi="宋体" w:cs="宋体"/>
          <w:color w:val="auto"/>
          <w:sz w:val="24"/>
          <w:highlight w:val="none"/>
        </w:rPr>
      </w:pPr>
    </w:p>
    <w:p w14:paraId="542A3140">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14:paraId="3D332348">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4CF22C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政府采购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14:paraId="1E4010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A83C2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E804F2C">
      <w:pPr>
        <w:jc w:val="center"/>
        <w:rPr>
          <w:rFonts w:ascii="宋体" w:hAnsi="宋体" w:cs="宋体"/>
          <w:b/>
          <w:color w:val="auto"/>
          <w:kern w:val="0"/>
          <w:sz w:val="32"/>
          <w:szCs w:val="32"/>
          <w:highlight w:val="none"/>
        </w:rPr>
      </w:pPr>
    </w:p>
    <w:p w14:paraId="1E703A43">
      <w:pPr>
        <w:jc w:val="center"/>
        <w:rPr>
          <w:rFonts w:ascii="宋体" w:hAnsi="宋体" w:cs="宋体"/>
          <w:b/>
          <w:color w:val="auto"/>
          <w:kern w:val="0"/>
          <w:sz w:val="32"/>
          <w:szCs w:val="32"/>
          <w:highlight w:val="none"/>
        </w:rPr>
      </w:pPr>
    </w:p>
    <w:p w14:paraId="6357D421">
      <w:pPr>
        <w:jc w:val="center"/>
        <w:rPr>
          <w:rFonts w:ascii="宋体" w:hAnsi="宋体" w:cs="宋体"/>
          <w:b/>
          <w:color w:val="auto"/>
          <w:kern w:val="0"/>
          <w:sz w:val="32"/>
          <w:szCs w:val="32"/>
          <w:highlight w:val="none"/>
        </w:rPr>
      </w:pPr>
    </w:p>
    <w:p w14:paraId="5E0397D6">
      <w:pPr>
        <w:rPr>
          <w:rFonts w:ascii="宋体" w:hAnsi="宋体" w:cs="宋体"/>
          <w:color w:val="auto"/>
          <w:highlight w:val="none"/>
        </w:rPr>
      </w:pPr>
    </w:p>
    <w:p w14:paraId="420EA83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B05DB4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E38589E">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4746BB7">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60CB157">
      <w:pPr>
        <w:snapToGrid w:val="0"/>
        <w:jc w:val="center"/>
        <w:rPr>
          <w:rFonts w:hint="eastAsia" w:ascii="宋体" w:hAnsi="宋体" w:cs="宋体"/>
          <w:b/>
          <w:bCs/>
          <w:color w:val="auto"/>
          <w:sz w:val="32"/>
          <w:szCs w:val="32"/>
          <w:highlight w:val="none"/>
          <w:lang w:val="zh-CN"/>
        </w:rPr>
      </w:pPr>
    </w:p>
    <w:p w14:paraId="656DDA2D">
      <w:pPr>
        <w:snapToGrid w:val="0"/>
        <w:jc w:val="center"/>
        <w:rPr>
          <w:rFonts w:hint="eastAsia" w:ascii="宋体" w:hAnsi="宋体" w:cs="宋体"/>
          <w:b/>
          <w:bCs/>
          <w:color w:val="auto"/>
          <w:sz w:val="32"/>
          <w:szCs w:val="32"/>
          <w:highlight w:val="none"/>
          <w:lang w:val="zh-CN"/>
        </w:rPr>
      </w:pPr>
    </w:p>
    <w:p w14:paraId="71155579">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zh-CN"/>
        </w:rPr>
        <w:t>法定代表人、单位负责人或自然人本人</w:t>
      </w:r>
      <w:r>
        <w:rPr>
          <w:rFonts w:hint="eastAsia" w:ascii="宋体" w:hAnsi="宋体" w:cs="宋体"/>
          <w:b/>
          <w:bCs/>
          <w:color w:val="auto"/>
          <w:sz w:val="32"/>
          <w:szCs w:val="32"/>
          <w:highlight w:val="none"/>
        </w:rPr>
        <w:t>的身份证明（适用于法定代表人、单位负责人或者自然人本人代表供应商参加响应）</w:t>
      </w:r>
    </w:p>
    <w:p w14:paraId="6BBC65BB">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C788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69F91F8">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B017736">
            <w:pPr>
              <w:pStyle w:val="149"/>
              <w:adjustRightInd w:val="0"/>
              <w:spacing w:line="360" w:lineRule="auto"/>
              <w:rPr>
                <w:rFonts w:hAnsi="宋体" w:cs="宋体"/>
                <w:bCs/>
                <w:color w:val="auto"/>
                <w:sz w:val="24"/>
                <w:highlight w:val="none"/>
              </w:rPr>
            </w:pPr>
          </w:p>
        </w:tc>
      </w:tr>
    </w:tbl>
    <w:p w14:paraId="581BD88E">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5BEA4B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14:paraId="70B794C3">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0E7E390">
      <w:pPr>
        <w:jc w:val="center"/>
        <w:rPr>
          <w:rFonts w:ascii="宋体" w:hAnsi="宋体" w:cs="宋体"/>
          <w:b/>
          <w:color w:val="auto"/>
          <w:kern w:val="0"/>
          <w:sz w:val="32"/>
          <w:szCs w:val="32"/>
          <w:highlight w:val="none"/>
        </w:rPr>
      </w:pPr>
    </w:p>
    <w:p w14:paraId="0AABF400">
      <w:pPr>
        <w:jc w:val="center"/>
        <w:rPr>
          <w:rFonts w:ascii="宋体" w:hAnsi="宋体" w:cs="宋体"/>
          <w:b/>
          <w:color w:val="auto"/>
          <w:kern w:val="0"/>
          <w:sz w:val="32"/>
          <w:szCs w:val="32"/>
          <w:highlight w:val="none"/>
        </w:rPr>
      </w:pPr>
    </w:p>
    <w:p w14:paraId="6E34D418">
      <w:pPr>
        <w:jc w:val="center"/>
        <w:rPr>
          <w:rFonts w:ascii="宋体" w:hAnsi="宋体" w:cs="宋体"/>
          <w:b/>
          <w:color w:val="auto"/>
          <w:kern w:val="0"/>
          <w:sz w:val="32"/>
          <w:szCs w:val="32"/>
          <w:highlight w:val="none"/>
        </w:rPr>
      </w:pPr>
    </w:p>
    <w:p w14:paraId="1B64B2C8">
      <w:pPr>
        <w:jc w:val="center"/>
        <w:rPr>
          <w:rFonts w:ascii="宋体" w:hAnsi="宋体" w:cs="宋体"/>
          <w:b/>
          <w:color w:val="auto"/>
          <w:kern w:val="0"/>
          <w:sz w:val="32"/>
          <w:szCs w:val="32"/>
          <w:highlight w:val="none"/>
        </w:rPr>
      </w:pPr>
    </w:p>
    <w:p w14:paraId="0437760F">
      <w:pPr>
        <w:jc w:val="center"/>
        <w:rPr>
          <w:rFonts w:ascii="宋体" w:hAnsi="宋体" w:cs="宋体"/>
          <w:b/>
          <w:color w:val="auto"/>
          <w:kern w:val="0"/>
          <w:sz w:val="32"/>
          <w:szCs w:val="32"/>
          <w:highlight w:val="none"/>
        </w:rPr>
      </w:pPr>
    </w:p>
    <w:p w14:paraId="5A4A6BE9">
      <w:pPr>
        <w:jc w:val="center"/>
        <w:rPr>
          <w:rFonts w:ascii="宋体" w:hAnsi="宋体" w:cs="宋体"/>
          <w:b/>
          <w:color w:val="auto"/>
          <w:kern w:val="0"/>
          <w:sz w:val="32"/>
          <w:szCs w:val="32"/>
          <w:highlight w:val="none"/>
        </w:rPr>
      </w:pPr>
    </w:p>
    <w:p w14:paraId="1A682E42">
      <w:pPr>
        <w:jc w:val="center"/>
        <w:rPr>
          <w:rFonts w:ascii="宋体" w:hAnsi="宋体" w:cs="宋体"/>
          <w:b/>
          <w:color w:val="auto"/>
          <w:kern w:val="0"/>
          <w:sz w:val="32"/>
          <w:szCs w:val="32"/>
          <w:highlight w:val="none"/>
        </w:rPr>
      </w:pPr>
    </w:p>
    <w:p w14:paraId="647FEB45">
      <w:pPr>
        <w:jc w:val="center"/>
        <w:rPr>
          <w:rFonts w:ascii="宋体" w:hAnsi="宋体" w:cs="宋体"/>
          <w:b/>
          <w:color w:val="auto"/>
          <w:kern w:val="0"/>
          <w:sz w:val="32"/>
          <w:szCs w:val="32"/>
          <w:highlight w:val="none"/>
        </w:rPr>
      </w:pPr>
    </w:p>
    <w:p w14:paraId="4B7EDAF0">
      <w:pPr>
        <w:jc w:val="center"/>
        <w:rPr>
          <w:rFonts w:ascii="宋体" w:hAnsi="宋体" w:cs="宋体"/>
          <w:b/>
          <w:color w:val="auto"/>
          <w:kern w:val="0"/>
          <w:sz w:val="32"/>
          <w:szCs w:val="32"/>
          <w:highlight w:val="none"/>
        </w:rPr>
      </w:pPr>
    </w:p>
    <w:p w14:paraId="79EC750B">
      <w:pPr>
        <w:jc w:val="center"/>
        <w:rPr>
          <w:rFonts w:ascii="宋体" w:hAnsi="宋体" w:cs="宋体"/>
          <w:b/>
          <w:color w:val="auto"/>
          <w:kern w:val="0"/>
          <w:sz w:val="32"/>
          <w:szCs w:val="32"/>
          <w:highlight w:val="none"/>
        </w:rPr>
      </w:pPr>
    </w:p>
    <w:p w14:paraId="438B6D56">
      <w:pPr>
        <w:snapToGrid w:val="0"/>
        <w:spacing w:line="360" w:lineRule="auto"/>
        <w:ind w:right="480"/>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65179DDF">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三、分包意向协议</w:t>
      </w:r>
    </w:p>
    <w:p w14:paraId="11F757F7">
      <w:pPr>
        <w:widowControl/>
        <w:spacing w:line="360" w:lineRule="auto"/>
        <w:ind w:firstLine="120" w:firstLineChars="50"/>
        <w:jc w:val="left"/>
        <w:rPr>
          <w:rFonts w:ascii="宋体" w:hAnsi="宋体" w:cs="宋体"/>
          <w:color w:val="auto"/>
          <w:sz w:val="24"/>
          <w:highlight w:val="none"/>
        </w:rPr>
      </w:pPr>
      <w:bookmarkStart w:id="417" w:name="_Hlk101169080"/>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；采购人不同意分包或者供应商成交后不以分包方式履行合同的，则不需要提供。</w:t>
      </w:r>
      <w:r>
        <w:rPr>
          <w:rFonts w:hint="eastAsia" w:ascii="宋体" w:hAnsi="宋体" w:cs="宋体"/>
          <w:color w:val="auto"/>
          <w:sz w:val="24"/>
          <w:highlight w:val="none"/>
        </w:rPr>
        <w:t>]</w:t>
      </w:r>
    </w:p>
    <w:bookmarkEnd w:id="417"/>
    <w:p w14:paraId="0330C853">
      <w:pPr>
        <w:snapToGrid w:val="0"/>
        <w:spacing w:line="360" w:lineRule="auto"/>
        <w:rPr>
          <w:rFonts w:ascii="宋体" w:hAnsi="宋体" w:cs="宋体"/>
          <w:color w:val="auto"/>
          <w:kern w:val="0"/>
          <w:sz w:val="24"/>
          <w:highlight w:val="none"/>
        </w:rPr>
      </w:pPr>
    </w:p>
    <w:p w14:paraId="56865CDD">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四、符合性审查资料</w:t>
      </w:r>
    </w:p>
    <w:p w14:paraId="790C2088">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D319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CCE85F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3C4AFB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4538643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07289D9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响应文件中的</w:t>
            </w:r>
          </w:p>
          <w:p w14:paraId="1FCEAF5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3DA5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9650BF">
            <w:pP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14:paraId="38D06C0A">
            <w:pPr>
              <w:spacing w:line="360" w:lineRule="auto"/>
              <w:rPr>
                <w:rFonts w:ascii="宋体" w:hAnsi="宋体" w:cs="宋体"/>
                <w:color w:val="auto"/>
                <w:sz w:val="24"/>
                <w:highlight w:val="none"/>
              </w:rPr>
            </w:pPr>
            <w:r>
              <w:rPr>
                <w:rFonts w:hint="eastAsia" w:ascii="宋体" w:hAnsi="宋体" w:cs="宋体"/>
                <w:color w:val="auto"/>
                <w:sz w:val="24"/>
                <w:highlight w:val="none"/>
              </w:rPr>
              <w:t>响应文件按照采购文件要求签署、盖章。</w:t>
            </w:r>
          </w:p>
        </w:tc>
        <w:tc>
          <w:tcPr>
            <w:tcW w:w="2551" w:type="dxa"/>
            <w:vAlign w:val="center"/>
          </w:tcPr>
          <w:p w14:paraId="34B03308">
            <w:pPr>
              <w:rPr>
                <w:rFonts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14:paraId="0091CC54">
            <w:pPr>
              <w:rPr>
                <w:rFonts w:ascii="宋体" w:hAnsi="宋体" w:cs="宋体"/>
                <w:color w:val="auto"/>
                <w:sz w:val="24"/>
                <w:highlight w:val="none"/>
              </w:rPr>
            </w:pPr>
            <w:r>
              <w:rPr>
                <w:rFonts w:hint="eastAsia" w:ascii="宋体" w:hAnsi="宋体" w:cs="宋体"/>
                <w:color w:val="auto"/>
                <w:sz w:val="24"/>
                <w:highlight w:val="none"/>
              </w:rPr>
              <w:t>见响应文件</w:t>
            </w:r>
          </w:p>
          <w:p w14:paraId="658CD09A">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C846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FE5D49">
            <w:pPr>
              <w:spacing w:line="360" w:lineRule="auto"/>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center"/>
          </w:tcPr>
          <w:p w14:paraId="0B31E330">
            <w:pPr>
              <w:spacing w:line="360" w:lineRule="auto"/>
              <w:rPr>
                <w:rFonts w:ascii="宋体" w:hAnsi="宋体" w:cs="宋体"/>
                <w:color w:val="auto"/>
                <w:sz w:val="24"/>
                <w:highlight w:val="none"/>
              </w:rPr>
            </w:pPr>
            <w:r>
              <w:rPr>
                <w:rFonts w:hint="eastAsia" w:ascii="宋体" w:hAnsi="宋体" w:cs="宋体"/>
                <w:color w:val="auto"/>
                <w:sz w:val="24"/>
                <w:highlight w:val="none"/>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14:paraId="297D9F0D">
            <w:pPr>
              <w:rPr>
                <w:rFonts w:ascii="宋体" w:hAnsi="宋体" w:cs="宋体"/>
                <w:color w:val="auto"/>
                <w:sz w:val="24"/>
                <w:highlight w:val="none"/>
              </w:rPr>
            </w:pPr>
            <w:r>
              <w:rPr>
                <w:rFonts w:hint="eastAsia" w:ascii="宋体" w:hAnsi="宋体" w:cs="宋体"/>
                <w:color w:val="auto"/>
                <w:sz w:val="24"/>
                <w:highlight w:val="none"/>
              </w:rPr>
              <w:t>节能产品认证证书（本项目拟采购的产品不属于政府强制采购的节能产品品目清单范围的，无需提供）</w:t>
            </w:r>
          </w:p>
        </w:tc>
        <w:tc>
          <w:tcPr>
            <w:tcW w:w="1418" w:type="dxa"/>
            <w:vAlign w:val="center"/>
          </w:tcPr>
          <w:p w14:paraId="0788FA14">
            <w:pPr>
              <w:rPr>
                <w:rFonts w:ascii="宋体" w:hAnsi="宋体" w:cs="宋体"/>
                <w:color w:val="auto"/>
                <w:sz w:val="24"/>
                <w:highlight w:val="none"/>
              </w:rPr>
            </w:pPr>
            <w:r>
              <w:rPr>
                <w:rFonts w:hint="eastAsia" w:ascii="宋体" w:hAnsi="宋体" w:cs="宋体"/>
                <w:color w:val="auto"/>
                <w:sz w:val="24"/>
                <w:highlight w:val="none"/>
              </w:rPr>
              <w:t>见响应文件</w:t>
            </w:r>
          </w:p>
          <w:p w14:paraId="163308B3">
            <w:pPr>
              <w:pStyle w:val="3"/>
              <w:jc w:val="both"/>
              <w:rPr>
                <w:rFonts w:ascii="宋体" w:hAnsi="宋体" w:eastAsia="宋体" w:cs="宋体"/>
                <w:color w:val="auto"/>
                <w:highlight w:val="none"/>
                <w:lang w:val="en-US"/>
              </w:rPr>
            </w:pPr>
            <w:r>
              <w:rPr>
                <w:rFonts w:hint="eastAsia" w:ascii="宋体" w:hAnsi="宋体" w:eastAsia="宋体" w:cs="宋体"/>
                <w:b w:val="0"/>
                <w:bCs w:val="0"/>
                <w:color w:val="auto"/>
                <w:sz w:val="24"/>
                <w:szCs w:val="24"/>
                <w:highlight w:val="none"/>
                <w:lang w:val="en-US"/>
              </w:rPr>
              <w:t>第</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页</w:t>
            </w:r>
          </w:p>
        </w:tc>
      </w:tr>
      <w:tr w14:paraId="16F55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10F2456">
            <w:pPr>
              <w:rPr>
                <w:rFonts w:ascii="宋体" w:hAnsi="宋体" w:cs="宋体"/>
                <w:color w:val="auto"/>
                <w:sz w:val="24"/>
                <w:highlight w:val="none"/>
              </w:rPr>
            </w:pPr>
            <w:r>
              <w:rPr>
                <w:rFonts w:hint="eastAsia" w:ascii="宋体" w:hAnsi="宋体" w:cs="宋体"/>
                <w:color w:val="auto"/>
                <w:sz w:val="24"/>
                <w:highlight w:val="none"/>
              </w:rPr>
              <w:t>3</w:t>
            </w:r>
          </w:p>
        </w:tc>
        <w:tc>
          <w:tcPr>
            <w:tcW w:w="4991" w:type="dxa"/>
            <w:vAlign w:val="center"/>
          </w:tcPr>
          <w:p w14:paraId="39087A67">
            <w:pPr>
              <w:spacing w:line="360" w:lineRule="auto"/>
              <w:rPr>
                <w:rFonts w:ascii="宋体" w:hAnsi="宋体" w:cs="宋体"/>
                <w:color w:val="auto"/>
                <w:sz w:val="24"/>
                <w:highlight w:val="none"/>
              </w:rPr>
            </w:pPr>
            <w:r>
              <w:rPr>
                <w:rFonts w:hint="eastAsia" w:ascii="宋体" w:hAnsi="宋体" w:cs="宋体"/>
                <w:color w:val="auto"/>
                <w:sz w:val="24"/>
                <w:highlight w:val="none"/>
              </w:rPr>
              <w:t>响应文件中承诺的响应文件有效期不少于采购文件中载明的响应文件有效期。</w:t>
            </w:r>
          </w:p>
        </w:tc>
        <w:tc>
          <w:tcPr>
            <w:tcW w:w="2551" w:type="dxa"/>
            <w:vAlign w:val="center"/>
          </w:tcPr>
          <w:p w14:paraId="368F27C9">
            <w:pPr>
              <w:rPr>
                <w:rFonts w:ascii="宋体" w:hAnsi="宋体" w:cs="宋体"/>
                <w:color w:val="auto"/>
                <w:sz w:val="24"/>
                <w:highlight w:val="none"/>
              </w:rPr>
            </w:pPr>
            <w:r>
              <w:rPr>
                <w:rFonts w:hint="eastAsia" w:ascii="宋体" w:hAnsi="宋体" w:cs="宋体"/>
                <w:color w:val="auto"/>
                <w:sz w:val="24"/>
                <w:highlight w:val="none"/>
              </w:rPr>
              <w:t>响应函</w:t>
            </w:r>
          </w:p>
        </w:tc>
        <w:tc>
          <w:tcPr>
            <w:tcW w:w="1418" w:type="dxa"/>
            <w:vAlign w:val="center"/>
          </w:tcPr>
          <w:p w14:paraId="03129FC1">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4DB5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D18CD9">
            <w:pPr>
              <w:rPr>
                <w:rFonts w:ascii="宋体" w:hAnsi="宋体" w:cs="宋体"/>
                <w:color w:val="auto"/>
                <w:sz w:val="24"/>
                <w:highlight w:val="none"/>
              </w:rPr>
            </w:pPr>
            <w:r>
              <w:rPr>
                <w:rFonts w:hint="eastAsia" w:ascii="宋体" w:hAnsi="宋体" w:cs="宋体"/>
                <w:color w:val="auto"/>
                <w:sz w:val="24"/>
                <w:highlight w:val="none"/>
              </w:rPr>
              <w:t>4</w:t>
            </w:r>
          </w:p>
        </w:tc>
        <w:tc>
          <w:tcPr>
            <w:tcW w:w="4991" w:type="dxa"/>
            <w:vAlign w:val="center"/>
          </w:tcPr>
          <w:p w14:paraId="2A4349ED">
            <w:pPr>
              <w:spacing w:line="360" w:lineRule="auto"/>
              <w:rPr>
                <w:rFonts w:ascii="宋体" w:hAnsi="宋体" w:cs="宋体"/>
                <w:color w:val="auto"/>
                <w:sz w:val="24"/>
                <w:highlight w:val="none"/>
              </w:rPr>
            </w:pPr>
            <w:r>
              <w:rPr>
                <w:rFonts w:hint="eastAsia" w:ascii="宋体" w:hAnsi="宋体" w:cs="宋体"/>
                <w:color w:val="auto"/>
                <w:sz w:val="24"/>
                <w:highlight w:val="none"/>
              </w:rPr>
              <w:t>响应文件满足采购文件的其它实质性要求。</w:t>
            </w:r>
          </w:p>
        </w:tc>
        <w:tc>
          <w:tcPr>
            <w:tcW w:w="2551" w:type="dxa"/>
            <w:vAlign w:val="center"/>
          </w:tcPr>
          <w:p w14:paraId="2A665638">
            <w:pPr>
              <w:rPr>
                <w:rFonts w:ascii="宋体" w:hAnsi="宋体" w:cs="宋体"/>
                <w:color w:val="auto"/>
                <w:sz w:val="24"/>
                <w:highlight w:val="none"/>
              </w:rPr>
            </w:pPr>
            <w:r>
              <w:rPr>
                <w:rFonts w:hint="eastAsia" w:ascii="宋体" w:hAnsi="宋体" w:cs="宋体"/>
                <w:color w:val="auto"/>
                <w:kern w:val="0"/>
                <w:sz w:val="24"/>
                <w:highlight w:val="none"/>
              </w:rPr>
              <w:t>采购文件其它实质性要求相应的材料（“▲” 系指实质性要求条款，采购文件无其它实质性要求的，无需提供）</w:t>
            </w:r>
          </w:p>
        </w:tc>
        <w:tc>
          <w:tcPr>
            <w:tcW w:w="1418" w:type="dxa"/>
            <w:vAlign w:val="center"/>
          </w:tcPr>
          <w:p w14:paraId="6490F690">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19590C2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4F5F841">
      <w:pPr>
        <w:jc w:val="center"/>
        <w:rPr>
          <w:rFonts w:ascii="宋体" w:hAnsi="宋体" w:cs="宋体"/>
          <w:b/>
          <w:color w:val="auto"/>
          <w:kern w:val="0"/>
          <w:sz w:val="32"/>
          <w:szCs w:val="32"/>
          <w:highlight w:val="none"/>
        </w:rPr>
      </w:pPr>
    </w:p>
    <w:p w14:paraId="35353FBE">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371DCEC">
      <w:pPr>
        <w:jc w:val="center"/>
        <w:rPr>
          <w:rFonts w:ascii="宋体" w:hAnsi="宋体" w:cs="宋体"/>
          <w:b/>
          <w:color w:val="auto"/>
          <w:kern w:val="0"/>
          <w:sz w:val="32"/>
          <w:szCs w:val="32"/>
          <w:highlight w:val="none"/>
        </w:rPr>
      </w:pPr>
    </w:p>
    <w:p w14:paraId="23396FBD">
      <w:pPr>
        <w:jc w:val="center"/>
        <w:rPr>
          <w:rFonts w:ascii="宋体" w:hAnsi="宋体" w:cs="宋体"/>
          <w:b/>
          <w:color w:val="auto"/>
          <w:kern w:val="0"/>
          <w:sz w:val="32"/>
          <w:szCs w:val="32"/>
          <w:highlight w:val="none"/>
        </w:rPr>
      </w:pPr>
    </w:p>
    <w:p w14:paraId="52416FD2">
      <w:pPr>
        <w:jc w:val="center"/>
        <w:rPr>
          <w:rFonts w:ascii="宋体" w:hAnsi="宋体" w:cs="宋体"/>
          <w:b/>
          <w:color w:val="auto"/>
          <w:kern w:val="0"/>
          <w:sz w:val="32"/>
          <w:szCs w:val="32"/>
          <w:highlight w:val="none"/>
        </w:rPr>
      </w:pPr>
    </w:p>
    <w:p w14:paraId="2162F01D">
      <w:pPr>
        <w:jc w:val="center"/>
        <w:rPr>
          <w:rFonts w:ascii="宋体" w:hAnsi="宋体" w:cs="宋体"/>
          <w:b/>
          <w:color w:val="auto"/>
          <w:kern w:val="0"/>
          <w:sz w:val="32"/>
          <w:szCs w:val="32"/>
          <w:highlight w:val="none"/>
        </w:rPr>
      </w:pPr>
    </w:p>
    <w:p w14:paraId="641C3907">
      <w:pPr>
        <w:jc w:val="center"/>
        <w:rPr>
          <w:rFonts w:ascii="宋体" w:hAnsi="宋体" w:cs="宋体"/>
          <w:b/>
          <w:color w:val="auto"/>
          <w:kern w:val="0"/>
          <w:sz w:val="32"/>
          <w:szCs w:val="32"/>
          <w:highlight w:val="none"/>
        </w:rPr>
      </w:pPr>
    </w:p>
    <w:p w14:paraId="0036254E">
      <w:pPr>
        <w:jc w:val="center"/>
        <w:rPr>
          <w:rFonts w:ascii="宋体" w:hAnsi="宋体" w:cs="宋体"/>
          <w:b/>
          <w:color w:val="auto"/>
          <w:kern w:val="0"/>
          <w:sz w:val="32"/>
          <w:szCs w:val="32"/>
          <w:highlight w:val="none"/>
        </w:rPr>
      </w:pPr>
    </w:p>
    <w:p w14:paraId="0DB9A199">
      <w:pPr>
        <w:jc w:val="center"/>
        <w:rPr>
          <w:rFonts w:ascii="宋体" w:hAnsi="宋体" w:cs="宋体"/>
          <w:b/>
          <w:color w:val="auto"/>
          <w:kern w:val="0"/>
          <w:sz w:val="32"/>
          <w:szCs w:val="32"/>
          <w:highlight w:val="none"/>
        </w:rPr>
      </w:pPr>
    </w:p>
    <w:p w14:paraId="708C44CC">
      <w:pPr>
        <w:jc w:val="center"/>
        <w:rPr>
          <w:rFonts w:ascii="宋体" w:hAnsi="宋体" w:cs="宋体"/>
          <w:b/>
          <w:color w:val="auto"/>
          <w:kern w:val="0"/>
          <w:sz w:val="32"/>
          <w:szCs w:val="32"/>
          <w:highlight w:val="none"/>
        </w:rPr>
      </w:pPr>
    </w:p>
    <w:p w14:paraId="088CF6B6">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五、评审标准相应的商务技术资料</w:t>
      </w:r>
    </w:p>
    <w:p w14:paraId="1C227D30">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（按采购文件第四部分评审办法前附表中“响应文件中评审标准相应的商务技术资料目录”提供资料。）</w:t>
      </w:r>
    </w:p>
    <w:p w14:paraId="623B97C3">
      <w:pPr>
        <w:jc w:val="center"/>
        <w:rPr>
          <w:rFonts w:ascii="宋体" w:hAnsi="宋体" w:cs="宋体"/>
          <w:b/>
          <w:color w:val="auto"/>
          <w:kern w:val="0"/>
          <w:sz w:val="32"/>
          <w:szCs w:val="32"/>
          <w:highlight w:val="none"/>
        </w:rPr>
      </w:pPr>
    </w:p>
    <w:p w14:paraId="41231FD3">
      <w:pPr>
        <w:jc w:val="center"/>
        <w:rPr>
          <w:rFonts w:ascii="宋体" w:hAnsi="宋体" w:cs="宋体"/>
          <w:b/>
          <w:color w:val="auto"/>
          <w:kern w:val="0"/>
          <w:sz w:val="32"/>
          <w:szCs w:val="32"/>
          <w:highlight w:val="none"/>
        </w:rPr>
      </w:pPr>
    </w:p>
    <w:p w14:paraId="0BB04BCB">
      <w:pPr>
        <w:jc w:val="center"/>
        <w:rPr>
          <w:rFonts w:ascii="宋体" w:hAnsi="宋体" w:cs="宋体"/>
          <w:b/>
          <w:color w:val="auto"/>
          <w:kern w:val="0"/>
          <w:sz w:val="32"/>
          <w:szCs w:val="32"/>
          <w:highlight w:val="none"/>
        </w:rPr>
      </w:pPr>
    </w:p>
    <w:p w14:paraId="45760C69">
      <w:pPr>
        <w:jc w:val="center"/>
        <w:rPr>
          <w:rFonts w:ascii="宋体" w:hAnsi="宋体" w:cs="宋体"/>
          <w:b/>
          <w:color w:val="auto"/>
          <w:kern w:val="0"/>
          <w:sz w:val="32"/>
          <w:szCs w:val="32"/>
          <w:highlight w:val="none"/>
        </w:rPr>
      </w:pPr>
    </w:p>
    <w:p w14:paraId="08A70D68">
      <w:pPr>
        <w:jc w:val="center"/>
        <w:rPr>
          <w:rFonts w:ascii="宋体" w:hAnsi="宋体" w:cs="宋体"/>
          <w:b/>
          <w:color w:val="auto"/>
          <w:kern w:val="0"/>
          <w:sz w:val="32"/>
          <w:szCs w:val="32"/>
          <w:highlight w:val="none"/>
        </w:rPr>
      </w:pPr>
    </w:p>
    <w:p w14:paraId="4126A851">
      <w:pP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3800CA81">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78DC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1DA809A">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7E83CCEB">
            <w:pPr>
              <w:jc w:val="center"/>
              <w:rPr>
                <w:rFonts w:ascii="宋体" w:hAnsi="宋体" w:cs="宋体"/>
                <w:b/>
                <w:bCs/>
                <w:color w:val="auto"/>
                <w:sz w:val="24"/>
                <w:highlight w:val="none"/>
              </w:rPr>
            </w:pPr>
            <w:r>
              <w:rPr>
                <w:rFonts w:hint="eastAsia" w:ascii="宋体" w:hAnsi="宋体" w:cs="宋体"/>
                <w:b/>
                <w:bCs/>
                <w:color w:val="auto"/>
                <w:sz w:val="24"/>
                <w:highlight w:val="none"/>
              </w:rPr>
              <w:t>采购文件章节及具体内容</w:t>
            </w:r>
          </w:p>
        </w:tc>
        <w:tc>
          <w:tcPr>
            <w:tcW w:w="3546" w:type="dxa"/>
          </w:tcPr>
          <w:p w14:paraId="3A432FD9">
            <w:pPr>
              <w:jc w:val="center"/>
              <w:rPr>
                <w:rFonts w:ascii="宋体" w:hAnsi="宋体" w:cs="宋体"/>
                <w:b/>
                <w:bCs/>
                <w:color w:val="auto"/>
                <w:sz w:val="24"/>
                <w:highlight w:val="none"/>
              </w:rPr>
            </w:pPr>
            <w:r>
              <w:rPr>
                <w:rFonts w:hint="eastAsia" w:ascii="宋体" w:hAnsi="宋体" w:cs="宋体"/>
                <w:b/>
                <w:bCs/>
                <w:color w:val="auto"/>
                <w:sz w:val="24"/>
                <w:highlight w:val="none"/>
              </w:rPr>
              <w:t>响应文件章节及具体内容</w:t>
            </w:r>
          </w:p>
        </w:tc>
        <w:tc>
          <w:tcPr>
            <w:tcW w:w="1276" w:type="dxa"/>
          </w:tcPr>
          <w:p w14:paraId="781C80C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3BE5A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BAC27F5">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D565FED">
            <w:pPr>
              <w:jc w:val="center"/>
              <w:rPr>
                <w:rFonts w:ascii="宋体" w:hAnsi="宋体" w:cs="宋体"/>
                <w:b/>
                <w:color w:val="auto"/>
                <w:kern w:val="0"/>
                <w:sz w:val="32"/>
                <w:szCs w:val="32"/>
                <w:highlight w:val="none"/>
              </w:rPr>
            </w:pPr>
          </w:p>
        </w:tc>
        <w:tc>
          <w:tcPr>
            <w:tcW w:w="3546" w:type="dxa"/>
          </w:tcPr>
          <w:p w14:paraId="1A2613C7">
            <w:pPr>
              <w:jc w:val="center"/>
              <w:rPr>
                <w:rFonts w:ascii="宋体" w:hAnsi="宋体" w:cs="宋体"/>
                <w:b/>
                <w:color w:val="auto"/>
                <w:kern w:val="0"/>
                <w:sz w:val="32"/>
                <w:szCs w:val="32"/>
                <w:highlight w:val="none"/>
              </w:rPr>
            </w:pPr>
          </w:p>
        </w:tc>
        <w:tc>
          <w:tcPr>
            <w:tcW w:w="1276" w:type="dxa"/>
          </w:tcPr>
          <w:p w14:paraId="7438FFC4">
            <w:pPr>
              <w:jc w:val="center"/>
              <w:rPr>
                <w:rFonts w:ascii="宋体" w:hAnsi="宋体" w:cs="宋体"/>
                <w:b/>
                <w:color w:val="auto"/>
                <w:kern w:val="0"/>
                <w:sz w:val="32"/>
                <w:szCs w:val="32"/>
                <w:highlight w:val="none"/>
              </w:rPr>
            </w:pPr>
          </w:p>
        </w:tc>
      </w:tr>
      <w:tr w14:paraId="0F62A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8F4ABF4">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A89087C">
            <w:pPr>
              <w:jc w:val="center"/>
              <w:rPr>
                <w:rFonts w:ascii="宋体" w:hAnsi="宋体" w:cs="宋体"/>
                <w:b/>
                <w:color w:val="auto"/>
                <w:kern w:val="0"/>
                <w:sz w:val="32"/>
                <w:szCs w:val="32"/>
                <w:highlight w:val="none"/>
              </w:rPr>
            </w:pPr>
          </w:p>
        </w:tc>
        <w:tc>
          <w:tcPr>
            <w:tcW w:w="3546" w:type="dxa"/>
          </w:tcPr>
          <w:p w14:paraId="3C853E74">
            <w:pPr>
              <w:jc w:val="center"/>
              <w:rPr>
                <w:rFonts w:ascii="宋体" w:hAnsi="宋体" w:cs="宋体"/>
                <w:b/>
                <w:color w:val="auto"/>
                <w:kern w:val="0"/>
                <w:sz w:val="32"/>
                <w:szCs w:val="32"/>
                <w:highlight w:val="none"/>
              </w:rPr>
            </w:pPr>
          </w:p>
        </w:tc>
        <w:tc>
          <w:tcPr>
            <w:tcW w:w="1276" w:type="dxa"/>
          </w:tcPr>
          <w:p w14:paraId="09460484">
            <w:pPr>
              <w:jc w:val="center"/>
              <w:rPr>
                <w:rFonts w:ascii="宋体" w:hAnsi="宋体" w:cs="宋体"/>
                <w:b/>
                <w:color w:val="auto"/>
                <w:kern w:val="0"/>
                <w:sz w:val="32"/>
                <w:szCs w:val="32"/>
                <w:highlight w:val="none"/>
              </w:rPr>
            </w:pPr>
          </w:p>
        </w:tc>
      </w:tr>
      <w:tr w14:paraId="7FC57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E853D67">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7AEF13D7">
            <w:pPr>
              <w:jc w:val="center"/>
              <w:rPr>
                <w:rFonts w:ascii="宋体" w:hAnsi="宋体" w:cs="宋体"/>
                <w:b/>
                <w:color w:val="auto"/>
                <w:kern w:val="0"/>
                <w:sz w:val="32"/>
                <w:szCs w:val="32"/>
                <w:highlight w:val="none"/>
              </w:rPr>
            </w:pPr>
          </w:p>
        </w:tc>
        <w:tc>
          <w:tcPr>
            <w:tcW w:w="3546" w:type="dxa"/>
          </w:tcPr>
          <w:p w14:paraId="50588858">
            <w:pPr>
              <w:jc w:val="center"/>
              <w:rPr>
                <w:rFonts w:ascii="宋体" w:hAnsi="宋体" w:cs="宋体"/>
                <w:b/>
                <w:color w:val="auto"/>
                <w:kern w:val="0"/>
                <w:sz w:val="32"/>
                <w:szCs w:val="32"/>
                <w:highlight w:val="none"/>
              </w:rPr>
            </w:pPr>
          </w:p>
        </w:tc>
        <w:tc>
          <w:tcPr>
            <w:tcW w:w="1276" w:type="dxa"/>
          </w:tcPr>
          <w:p w14:paraId="46E36EB9">
            <w:pPr>
              <w:jc w:val="center"/>
              <w:rPr>
                <w:rFonts w:ascii="宋体" w:hAnsi="宋体" w:cs="宋体"/>
                <w:b/>
                <w:color w:val="auto"/>
                <w:kern w:val="0"/>
                <w:sz w:val="32"/>
                <w:szCs w:val="32"/>
                <w:highlight w:val="none"/>
              </w:rPr>
            </w:pPr>
          </w:p>
        </w:tc>
      </w:tr>
    </w:tbl>
    <w:p w14:paraId="481BE635">
      <w:pPr>
        <w:jc w:val="left"/>
        <w:rPr>
          <w:rFonts w:ascii="宋体" w:hAnsi="宋体" w:cs="宋体"/>
          <w:color w:val="auto"/>
          <w:kern w:val="0"/>
          <w:sz w:val="24"/>
          <w:highlight w:val="none"/>
        </w:rPr>
      </w:pPr>
      <w:r>
        <w:rPr>
          <w:rFonts w:hint="eastAsia" w:ascii="宋体" w:hAnsi="宋体" w:cs="宋体"/>
          <w:color w:val="auto"/>
          <w:kern w:val="0"/>
          <w:sz w:val="24"/>
          <w:highlight w:val="none"/>
        </w:rPr>
        <w:t>供应商保证：除商务技术偏离表列出的偏离外，供应商响应采购文件的全部要求</w:t>
      </w:r>
    </w:p>
    <w:p w14:paraId="0FEC30C5">
      <w:pPr>
        <w:jc w:val="center"/>
        <w:rPr>
          <w:rFonts w:ascii="宋体" w:hAnsi="宋体" w:cs="宋体"/>
          <w:b/>
          <w:color w:val="auto"/>
          <w:kern w:val="0"/>
          <w:sz w:val="32"/>
          <w:szCs w:val="32"/>
          <w:highlight w:val="none"/>
        </w:rPr>
      </w:pPr>
    </w:p>
    <w:p w14:paraId="360955E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3654BEB">
      <w:pPr>
        <w:ind w:firstLine="1911" w:firstLineChars="595"/>
        <w:rPr>
          <w:rFonts w:ascii="宋体" w:hAnsi="宋体" w:cs="宋体"/>
          <w:b/>
          <w:bCs/>
          <w:color w:val="auto"/>
          <w:sz w:val="32"/>
          <w:szCs w:val="32"/>
          <w:highlight w:val="none"/>
        </w:rPr>
        <w:sectPr>
          <w:footerReference r:id="rId12" w:type="first"/>
          <w:footerReference r:id="rId11" w:type="default"/>
          <w:pgSz w:w="11906" w:h="16838"/>
          <w:pgMar w:top="1440" w:right="1080" w:bottom="1440" w:left="1080" w:header="851" w:footer="992" w:gutter="0"/>
          <w:cols w:space="720" w:num="1"/>
          <w:titlePg/>
          <w:docGrid w:linePitch="312" w:charSpace="0"/>
        </w:sectPr>
      </w:pPr>
    </w:p>
    <w:p w14:paraId="01C3658C">
      <w:pPr>
        <w:snapToGrid w:val="0"/>
        <w:jc w:val="center"/>
        <w:rPr>
          <w:rFonts w:ascii="宋体" w:hAnsi="宋体" w:cs="宋体"/>
          <w:b/>
          <w:color w:val="auto"/>
          <w:kern w:val="0"/>
          <w:sz w:val="32"/>
          <w:szCs w:val="32"/>
          <w:highlight w:val="none"/>
        </w:rPr>
      </w:pPr>
      <w:r>
        <w:rPr>
          <w:rFonts w:hint="eastAsia" w:ascii="宋体" w:hAnsi="宋体" w:cs="宋体"/>
          <w:b/>
          <w:bCs/>
          <w:color w:val="auto"/>
          <w:sz w:val="32"/>
          <w:szCs w:val="32"/>
          <w:highlight w:val="none"/>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7DA1368B">
      <w:pPr>
        <w:snapToGrid w:val="0"/>
        <w:spacing w:line="360" w:lineRule="auto"/>
        <w:rPr>
          <w:rFonts w:ascii="宋体" w:hAnsi="宋体" w:cs="宋体"/>
          <w:color w:val="auto"/>
          <w:sz w:val="24"/>
          <w:highlight w:val="none"/>
        </w:rPr>
      </w:pPr>
    </w:p>
    <w:p w14:paraId="2790BCE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9A7476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238F8A5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8FB95A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40D4507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5DF7CB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5696F5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14:paraId="7E099FC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105003F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74BE0D1E">
      <w:pPr>
        <w:autoSpaceDE w:val="0"/>
        <w:autoSpaceDN w:val="0"/>
        <w:spacing w:line="360" w:lineRule="auto"/>
        <w:ind w:left="2"/>
        <w:jc w:val="left"/>
        <w:rPr>
          <w:rFonts w:ascii="宋体" w:hAnsi="宋体" w:cs="宋体"/>
          <w:color w:val="auto"/>
          <w:kern w:val="0"/>
          <w:sz w:val="24"/>
          <w:highlight w:val="none"/>
          <w:lang w:val="zh-CN"/>
        </w:rPr>
      </w:pPr>
    </w:p>
    <w:p w14:paraId="7A54730B">
      <w:pPr>
        <w:autoSpaceDE w:val="0"/>
        <w:autoSpaceDN w:val="0"/>
        <w:spacing w:line="360" w:lineRule="auto"/>
        <w:ind w:left="2"/>
        <w:jc w:val="left"/>
        <w:rPr>
          <w:rFonts w:ascii="宋体" w:hAnsi="宋体" w:cs="宋体"/>
          <w:color w:val="auto"/>
          <w:kern w:val="0"/>
          <w:sz w:val="24"/>
          <w:highlight w:val="none"/>
          <w:lang w:val="zh-CN"/>
        </w:rPr>
      </w:pPr>
    </w:p>
    <w:p w14:paraId="633FE870">
      <w:pPr>
        <w:autoSpaceDE w:val="0"/>
        <w:autoSpaceDN w:val="0"/>
        <w:spacing w:line="360" w:lineRule="auto"/>
        <w:ind w:left="2"/>
        <w:jc w:val="left"/>
        <w:rPr>
          <w:rFonts w:ascii="宋体" w:hAnsi="宋体" w:cs="宋体"/>
          <w:color w:val="auto"/>
          <w:kern w:val="0"/>
          <w:sz w:val="24"/>
          <w:highlight w:val="none"/>
          <w:lang w:val="zh-CN"/>
        </w:rPr>
      </w:pPr>
    </w:p>
    <w:p w14:paraId="71F3A55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7BF349B4">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EFDB901">
      <w:pPr>
        <w:spacing w:line="360" w:lineRule="auto"/>
        <w:jc w:val="center"/>
        <w:rPr>
          <w:rFonts w:ascii="宋体" w:hAnsi="宋体" w:cs="宋体"/>
          <w:b/>
          <w:bCs/>
          <w:color w:val="auto"/>
          <w:sz w:val="24"/>
          <w:highlight w:val="none"/>
        </w:rPr>
      </w:pPr>
    </w:p>
    <w:p w14:paraId="3F49062F">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C534C1A">
      <w:pPr>
        <w:spacing w:line="360" w:lineRule="auto"/>
        <w:jc w:val="center"/>
        <w:rPr>
          <w:rFonts w:ascii="宋体" w:hAnsi="宋体" w:cs="宋体"/>
          <w:b/>
          <w:bCs/>
          <w:color w:val="auto"/>
          <w:sz w:val="24"/>
          <w:highlight w:val="none"/>
        </w:rPr>
        <w:sectPr>
          <w:pgSz w:w="11906" w:h="16838"/>
          <w:pgMar w:top="1440" w:right="1080" w:bottom="1440" w:left="1080" w:header="851" w:footer="992" w:gutter="0"/>
          <w:cols w:space="720" w:num="1"/>
          <w:titlePg/>
          <w:docGrid w:linePitch="312" w:charSpace="0"/>
        </w:sectPr>
      </w:pPr>
    </w:p>
    <w:p w14:paraId="52E4FC9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21C268C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CBEDFA6">
      <w:pPr>
        <w:bidi w:val="0"/>
      </w:pPr>
    </w:p>
    <w:p w14:paraId="64A3E9D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（1）报价单…………………………………………………………………………（页码）</w:t>
      </w:r>
    </w:p>
    <w:p w14:paraId="0357F4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（2）已标价工程量清单……………………………………………………………（页码）</w:t>
      </w:r>
    </w:p>
    <w:p w14:paraId="469A718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（3）中小企业声明函………………………………………………………………（页码）</w:t>
      </w:r>
    </w:p>
    <w:p w14:paraId="46B8551B">
      <w:pPr>
        <w:snapToGrid w:val="0"/>
        <w:spacing w:line="360" w:lineRule="auto"/>
        <w:ind w:right="480"/>
        <w:jc w:val="center"/>
        <w:rPr>
          <w:rFonts w:ascii="宋体" w:hAnsi="宋体" w:cs="宋体"/>
          <w:b/>
          <w:color w:val="auto"/>
          <w:kern w:val="0"/>
          <w:sz w:val="32"/>
          <w:szCs w:val="32"/>
          <w:highlight w:val="none"/>
        </w:rPr>
      </w:pPr>
    </w:p>
    <w:p w14:paraId="374C7986">
      <w:pPr>
        <w:snapToGrid w:val="0"/>
        <w:spacing w:line="360" w:lineRule="auto"/>
        <w:ind w:right="480"/>
        <w:jc w:val="center"/>
        <w:rPr>
          <w:rFonts w:ascii="宋体" w:hAnsi="宋体" w:cs="宋体"/>
          <w:b/>
          <w:color w:val="auto"/>
          <w:kern w:val="0"/>
          <w:sz w:val="32"/>
          <w:szCs w:val="32"/>
          <w:highlight w:val="none"/>
        </w:rPr>
      </w:pPr>
    </w:p>
    <w:p w14:paraId="0ECFD423">
      <w:pPr>
        <w:snapToGrid w:val="0"/>
        <w:spacing w:line="360" w:lineRule="auto"/>
        <w:ind w:right="480"/>
        <w:jc w:val="center"/>
        <w:rPr>
          <w:rFonts w:ascii="宋体" w:hAnsi="宋体" w:cs="宋体"/>
          <w:b/>
          <w:color w:val="auto"/>
          <w:kern w:val="0"/>
          <w:sz w:val="32"/>
          <w:szCs w:val="32"/>
          <w:highlight w:val="none"/>
        </w:rPr>
      </w:pPr>
    </w:p>
    <w:p w14:paraId="762533D0">
      <w:pPr>
        <w:snapToGrid w:val="0"/>
        <w:spacing w:line="360" w:lineRule="auto"/>
        <w:ind w:right="480"/>
        <w:jc w:val="center"/>
        <w:rPr>
          <w:rFonts w:ascii="宋体" w:hAnsi="宋体" w:cs="宋体"/>
          <w:b/>
          <w:color w:val="auto"/>
          <w:kern w:val="0"/>
          <w:sz w:val="32"/>
          <w:szCs w:val="32"/>
          <w:highlight w:val="none"/>
        </w:rPr>
      </w:pPr>
    </w:p>
    <w:p w14:paraId="2FDEE345">
      <w:pPr>
        <w:snapToGrid w:val="0"/>
        <w:spacing w:line="360" w:lineRule="auto"/>
        <w:ind w:right="480"/>
        <w:jc w:val="center"/>
        <w:rPr>
          <w:rFonts w:ascii="宋体" w:hAnsi="宋体" w:cs="宋体"/>
          <w:b/>
          <w:color w:val="auto"/>
          <w:kern w:val="0"/>
          <w:sz w:val="32"/>
          <w:szCs w:val="32"/>
          <w:highlight w:val="none"/>
        </w:rPr>
      </w:pPr>
    </w:p>
    <w:p w14:paraId="636A9F7F">
      <w:pPr>
        <w:snapToGrid w:val="0"/>
        <w:spacing w:line="360" w:lineRule="auto"/>
        <w:ind w:right="480"/>
        <w:jc w:val="center"/>
        <w:rPr>
          <w:rFonts w:ascii="宋体" w:hAnsi="宋体" w:cs="宋体"/>
          <w:b/>
          <w:color w:val="auto"/>
          <w:kern w:val="0"/>
          <w:sz w:val="32"/>
          <w:szCs w:val="32"/>
          <w:highlight w:val="none"/>
        </w:rPr>
      </w:pPr>
    </w:p>
    <w:p w14:paraId="7D99DBAB">
      <w:pPr>
        <w:snapToGrid w:val="0"/>
        <w:spacing w:line="360" w:lineRule="auto"/>
        <w:ind w:right="480"/>
        <w:jc w:val="center"/>
        <w:rPr>
          <w:rFonts w:ascii="宋体" w:hAnsi="宋体" w:cs="宋体"/>
          <w:b/>
          <w:color w:val="auto"/>
          <w:kern w:val="0"/>
          <w:sz w:val="32"/>
          <w:szCs w:val="32"/>
          <w:highlight w:val="none"/>
        </w:rPr>
      </w:pPr>
    </w:p>
    <w:p w14:paraId="36A9F1BD">
      <w:pPr>
        <w:snapToGrid w:val="0"/>
        <w:spacing w:line="360" w:lineRule="auto"/>
        <w:ind w:right="480"/>
        <w:jc w:val="center"/>
        <w:rPr>
          <w:rFonts w:ascii="宋体" w:hAnsi="宋体" w:cs="宋体"/>
          <w:b/>
          <w:color w:val="auto"/>
          <w:kern w:val="0"/>
          <w:sz w:val="32"/>
          <w:szCs w:val="32"/>
          <w:highlight w:val="none"/>
        </w:rPr>
      </w:pPr>
    </w:p>
    <w:p w14:paraId="3372FF67">
      <w:pPr>
        <w:snapToGrid w:val="0"/>
        <w:spacing w:line="360" w:lineRule="auto"/>
        <w:ind w:right="480"/>
        <w:jc w:val="center"/>
        <w:rPr>
          <w:rFonts w:ascii="宋体" w:hAnsi="宋体" w:cs="宋体"/>
          <w:b/>
          <w:color w:val="auto"/>
          <w:kern w:val="0"/>
          <w:sz w:val="32"/>
          <w:szCs w:val="32"/>
          <w:highlight w:val="none"/>
        </w:rPr>
      </w:pPr>
    </w:p>
    <w:p w14:paraId="4A986468">
      <w:pPr>
        <w:snapToGrid w:val="0"/>
        <w:spacing w:line="360" w:lineRule="auto"/>
        <w:ind w:right="480"/>
        <w:jc w:val="center"/>
        <w:rPr>
          <w:rFonts w:ascii="宋体" w:hAnsi="宋体" w:cs="宋体"/>
          <w:b/>
          <w:color w:val="auto"/>
          <w:kern w:val="0"/>
          <w:sz w:val="32"/>
          <w:szCs w:val="32"/>
          <w:highlight w:val="none"/>
        </w:rPr>
      </w:pPr>
    </w:p>
    <w:p w14:paraId="6B59EB0C">
      <w:pPr>
        <w:snapToGrid w:val="0"/>
        <w:spacing w:line="360" w:lineRule="auto"/>
        <w:ind w:right="480"/>
        <w:jc w:val="center"/>
        <w:rPr>
          <w:rFonts w:ascii="宋体" w:hAnsi="宋体" w:cs="宋体"/>
          <w:b/>
          <w:color w:val="auto"/>
          <w:kern w:val="0"/>
          <w:sz w:val="32"/>
          <w:szCs w:val="32"/>
          <w:highlight w:val="none"/>
        </w:rPr>
      </w:pPr>
    </w:p>
    <w:p w14:paraId="500C5801">
      <w:pPr>
        <w:snapToGrid w:val="0"/>
        <w:spacing w:line="360" w:lineRule="auto"/>
        <w:ind w:right="480"/>
        <w:jc w:val="center"/>
        <w:rPr>
          <w:rFonts w:ascii="宋体" w:hAnsi="宋体" w:cs="宋体"/>
          <w:b/>
          <w:color w:val="auto"/>
          <w:kern w:val="0"/>
          <w:sz w:val="32"/>
          <w:szCs w:val="32"/>
          <w:highlight w:val="none"/>
        </w:rPr>
      </w:pPr>
    </w:p>
    <w:p w14:paraId="041B8A9E">
      <w:pPr>
        <w:snapToGrid w:val="0"/>
        <w:spacing w:line="360" w:lineRule="auto"/>
        <w:ind w:right="480"/>
        <w:jc w:val="center"/>
        <w:rPr>
          <w:rFonts w:ascii="宋体" w:hAnsi="宋体" w:cs="宋体"/>
          <w:b/>
          <w:color w:val="auto"/>
          <w:kern w:val="0"/>
          <w:sz w:val="32"/>
          <w:szCs w:val="32"/>
          <w:highlight w:val="none"/>
        </w:rPr>
      </w:pPr>
    </w:p>
    <w:p w14:paraId="76F2F934">
      <w:pPr>
        <w:snapToGrid w:val="0"/>
        <w:spacing w:line="360" w:lineRule="auto"/>
        <w:ind w:right="480"/>
        <w:jc w:val="center"/>
        <w:rPr>
          <w:rFonts w:ascii="宋体" w:hAnsi="宋体" w:cs="宋体"/>
          <w:b/>
          <w:color w:val="auto"/>
          <w:kern w:val="0"/>
          <w:sz w:val="32"/>
          <w:szCs w:val="32"/>
          <w:highlight w:val="none"/>
        </w:rPr>
      </w:pPr>
    </w:p>
    <w:p w14:paraId="78DB2EFD">
      <w:pPr>
        <w:snapToGrid w:val="0"/>
        <w:spacing w:line="360" w:lineRule="auto"/>
        <w:ind w:right="480"/>
        <w:jc w:val="center"/>
        <w:rPr>
          <w:rFonts w:ascii="宋体" w:hAnsi="宋体" w:cs="宋体"/>
          <w:b/>
          <w:color w:val="auto"/>
          <w:kern w:val="0"/>
          <w:sz w:val="32"/>
          <w:szCs w:val="32"/>
          <w:highlight w:val="none"/>
        </w:rPr>
      </w:pPr>
    </w:p>
    <w:p w14:paraId="0F6EFFF7">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footerReference r:id="rId15" w:type="first"/>
          <w:headerReference r:id="rId13" w:type="default"/>
          <w:footerReference r:id="rId14" w:type="default"/>
          <w:pgSz w:w="11906" w:h="16838"/>
          <w:pgMar w:top="1440" w:right="1080" w:bottom="1440" w:left="1080" w:header="851" w:footer="992" w:gutter="0"/>
          <w:cols w:space="720" w:num="1"/>
          <w:titlePg/>
          <w:docGrid w:linePitch="312" w:charSpace="0"/>
        </w:sectPr>
      </w:pPr>
    </w:p>
    <w:p w14:paraId="33E5CDB3">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一、报价单</w:t>
      </w:r>
    </w:p>
    <w:p w14:paraId="76FC40D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9434A3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按你方采购文件要求，我们，本响应文件签字方，谨此向你方发出要约如下：如你方接受本投标，我方承诺按照如下报价单的价格完成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【项目编号：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56272389">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报价单(单位均为人民币元)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3118"/>
        <w:gridCol w:w="2552"/>
        <w:gridCol w:w="1984"/>
        <w:gridCol w:w="3119"/>
      </w:tblGrid>
      <w:tr w14:paraId="3C55D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951" w:type="dxa"/>
            <w:vAlign w:val="center"/>
          </w:tcPr>
          <w:p w14:paraId="7271806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项目名称</w:t>
            </w:r>
          </w:p>
        </w:tc>
        <w:tc>
          <w:tcPr>
            <w:tcW w:w="1843" w:type="dxa"/>
          </w:tcPr>
          <w:p w14:paraId="13FF83FE">
            <w:pPr>
              <w:spacing w:line="360" w:lineRule="auto"/>
              <w:jc w:val="center"/>
              <w:rPr>
                <w:rFonts w:ascii="宋体" w:hAnsi="宋体" w:cs="宋体"/>
                <w:b/>
                <w:color w:val="auto"/>
                <w:sz w:val="24"/>
                <w:highlight w:val="none"/>
              </w:rPr>
            </w:pPr>
          </w:p>
          <w:p w14:paraId="038EC57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施工范围</w:t>
            </w:r>
          </w:p>
        </w:tc>
        <w:tc>
          <w:tcPr>
            <w:tcW w:w="3118" w:type="dxa"/>
            <w:vAlign w:val="center"/>
          </w:tcPr>
          <w:p w14:paraId="34E711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施工工期</w:t>
            </w:r>
          </w:p>
        </w:tc>
        <w:tc>
          <w:tcPr>
            <w:tcW w:w="2552" w:type="dxa"/>
            <w:vAlign w:val="center"/>
          </w:tcPr>
          <w:p w14:paraId="44E1620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项目经理</w:t>
            </w:r>
          </w:p>
        </w:tc>
        <w:tc>
          <w:tcPr>
            <w:tcW w:w="1984" w:type="dxa"/>
            <w:vAlign w:val="center"/>
          </w:tcPr>
          <w:p w14:paraId="3B3FF05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执业证书信息</w:t>
            </w:r>
          </w:p>
        </w:tc>
        <w:tc>
          <w:tcPr>
            <w:tcW w:w="3119" w:type="dxa"/>
            <w:vAlign w:val="center"/>
          </w:tcPr>
          <w:p w14:paraId="33FE605E">
            <w:pPr>
              <w:spacing w:line="360" w:lineRule="auto"/>
              <w:jc w:val="center"/>
              <w:rPr>
                <w:rFonts w:ascii="宋体" w:hAnsi="宋体" w:cs="宋体"/>
                <w:b/>
                <w:color w:val="auto"/>
                <w:sz w:val="24"/>
                <w:highlight w:val="none"/>
              </w:rPr>
            </w:pPr>
          </w:p>
          <w:p w14:paraId="6693111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101594F">
            <w:pPr>
              <w:spacing w:line="360" w:lineRule="auto"/>
              <w:jc w:val="center"/>
              <w:rPr>
                <w:rFonts w:ascii="宋体" w:hAnsi="宋体" w:cs="宋体"/>
                <w:b/>
                <w:color w:val="auto"/>
                <w:sz w:val="24"/>
                <w:highlight w:val="none"/>
              </w:rPr>
            </w:pPr>
          </w:p>
        </w:tc>
      </w:tr>
      <w:tr w14:paraId="0C1EE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951" w:type="dxa"/>
            <w:vAlign w:val="center"/>
          </w:tcPr>
          <w:p w14:paraId="5C37AA0B">
            <w:pPr>
              <w:snapToGrid w:val="0"/>
              <w:spacing w:line="360" w:lineRule="auto"/>
              <w:jc w:val="center"/>
              <w:rPr>
                <w:rFonts w:ascii="宋体" w:hAnsi="宋体" w:cs="宋体"/>
                <w:color w:val="auto"/>
                <w:sz w:val="24"/>
                <w:highlight w:val="none"/>
              </w:rPr>
            </w:pPr>
          </w:p>
        </w:tc>
        <w:tc>
          <w:tcPr>
            <w:tcW w:w="1843" w:type="dxa"/>
            <w:vAlign w:val="center"/>
          </w:tcPr>
          <w:p w14:paraId="116891B1">
            <w:pPr>
              <w:snapToGrid w:val="0"/>
              <w:spacing w:line="360" w:lineRule="auto"/>
              <w:jc w:val="center"/>
              <w:rPr>
                <w:rFonts w:ascii="宋体" w:hAnsi="宋体" w:cs="宋体"/>
                <w:color w:val="auto"/>
                <w:sz w:val="24"/>
                <w:highlight w:val="none"/>
              </w:rPr>
            </w:pPr>
          </w:p>
        </w:tc>
        <w:tc>
          <w:tcPr>
            <w:tcW w:w="3118" w:type="dxa"/>
            <w:vAlign w:val="center"/>
          </w:tcPr>
          <w:p w14:paraId="223EF8A7">
            <w:pPr>
              <w:snapToGrid w:val="0"/>
              <w:spacing w:line="360" w:lineRule="auto"/>
              <w:jc w:val="center"/>
              <w:rPr>
                <w:rFonts w:ascii="宋体" w:hAnsi="宋体" w:cs="宋体"/>
                <w:color w:val="auto"/>
                <w:sz w:val="24"/>
                <w:highlight w:val="none"/>
              </w:rPr>
            </w:pPr>
          </w:p>
        </w:tc>
        <w:tc>
          <w:tcPr>
            <w:tcW w:w="2552" w:type="dxa"/>
            <w:vAlign w:val="center"/>
          </w:tcPr>
          <w:p w14:paraId="349A25EB">
            <w:pPr>
              <w:spacing w:line="360" w:lineRule="auto"/>
              <w:jc w:val="center"/>
              <w:rPr>
                <w:rFonts w:ascii="宋体" w:hAnsi="宋体" w:cs="宋体"/>
                <w:color w:val="auto"/>
                <w:sz w:val="24"/>
                <w:highlight w:val="none"/>
              </w:rPr>
            </w:pPr>
          </w:p>
        </w:tc>
        <w:tc>
          <w:tcPr>
            <w:tcW w:w="1984" w:type="dxa"/>
            <w:vAlign w:val="center"/>
          </w:tcPr>
          <w:p w14:paraId="32FE2F59">
            <w:pPr>
              <w:spacing w:line="360" w:lineRule="auto"/>
              <w:jc w:val="center"/>
              <w:rPr>
                <w:rFonts w:ascii="宋体" w:hAnsi="宋体" w:cs="宋体"/>
                <w:color w:val="auto"/>
                <w:sz w:val="24"/>
                <w:highlight w:val="none"/>
              </w:rPr>
            </w:pPr>
          </w:p>
        </w:tc>
        <w:tc>
          <w:tcPr>
            <w:tcW w:w="3119" w:type="dxa"/>
            <w:vAlign w:val="center"/>
          </w:tcPr>
          <w:p w14:paraId="5B8F3825">
            <w:pPr>
              <w:spacing w:line="360" w:lineRule="auto"/>
              <w:jc w:val="center"/>
              <w:rPr>
                <w:rFonts w:ascii="宋体" w:hAnsi="宋体" w:cs="宋体"/>
                <w:color w:val="auto"/>
                <w:sz w:val="24"/>
                <w:highlight w:val="none"/>
              </w:rPr>
            </w:pPr>
          </w:p>
        </w:tc>
      </w:tr>
      <w:tr w14:paraId="6F075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14:paraId="02B713B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磋商报价（小写）</w:t>
            </w:r>
          </w:p>
        </w:tc>
        <w:tc>
          <w:tcPr>
            <w:tcW w:w="7655" w:type="dxa"/>
            <w:gridSpan w:val="3"/>
            <w:vAlign w:val="center"/>
          </w:tcPr>
          <w:p w14:paraId="1F006B5F">
            <w:pPr>
              <w:spacing w:line="360" w:lineRule="auto"/>
              <w:jc w:val="center"/>
              <w:rPr>
                <w:rFonts w:ascii="宋体" w:hAnsi="宋体" w:cs="宋体"/>
                <w:color w:val="auto"/>
                <w:sz w:val="24"/>
                <w:highlight w:val="none"/>
              </w:rPr>
            </w:pPr>
          </w:p>
        </w:tc>
      </w:tr>
      <w:tr w14:paraId="43BC0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14:paraId="1F43C4E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磋商报价（大写）</w:t>
            </w:r>
          </w:p>
        </w:tc>
        <w:tc>
          <w:tcPr>
            <w:tcW w:w="7655" w:type="dxa"/>
            <w:gridSpan w:val="3"/>
            <w:vAlign w:val="center"/>
          </w:tcPr>
          <w:p w14:paraId="6348D421">
            <w:pPr>
              <w:spacing w:line="360" w:lineRule="auto"/>
              <w:jc w:val="center"/>
              <w:rPr>
                <w:rFonts w:ascii="宋体" w:hAnsi="宋体" w:cs="宋体"/>
                <w:color w:val="auto"/>
                <w:sz w:val="24"/>
                <w:highlight w:val="none"/>
              </w:rPr>
            </w:pPr>
          </w:p>
        </w:tc>
      </w:tr>
    </w:tbl>
    <w:p w14:paraId="63BDEBA3">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6B920DCA">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4FB94C7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b/>
          <w:color w:val="auto"/>
          <w:kern w:val="0"/>
          <w:sz w:val="24"/>
          <w:highlight w:val="none"/>
          <w:lang w:val="zh-CN"/>
        </w:rPr>
        <w:t>；采购内容未包含在《报价单》名称栏中，供应商不能作出合理解释的，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响应文件含有采购人不能接受的附加条件的，响应文件无效。</w:t>
      </w:r>
    </w:p>
    <w:p w14:paraId="56D71EEC">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3、特别提示：采购机构将对项目名称和项目编号，成交供应商名称、地址和成交金额、施工范围、施工工期、项目经理、执业证书信息、品牌（如果有）、规格型号、数量、单价等予以公示。</w:t>
      </w:r>
    </w:p>
    <w:p w14:paraId="7E25774C">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0A99D3A3">
      <w:pPr>
        <w:spacing w:line="360" w:lineRule="auto"/>
        <w:ind w:firstLine="482" w:firstLineChars="200"/>
        <w:rPr>
          <w:rFonts w:ascii="宋体" w:hAnsi="宋体" w:cs="宋体"/>
          <w:b/>
          <w:color w:val="auto"/>
          <w:kern w:val="0"/>
          <w:sz w:val="24"/>
          <w:highlight w:val="none"/>
        </w:rPr>
      </w:pPr>
    </w:p>
    <w:p w14:paraId="2608D4F0">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736EBD1E">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40" w:right="1080" w:bottom="1440" w:left="1080" w:header="851" w:footer="992" w:gutter="0"/>
          <w:cols w:space="720" w:num="1"/>
          <w:titlePg/>
          <w:docGrid w:linePitch="312" w:charSpace="0"/>
        </w:sectPr>
      </w:pPr>
    </w:p>
    <w:p w14:paraId="6CAA1DAB">
      <w:pPr>
        <w:pStyle w:val="692"/>
        <w:keepNext w:val="0"/>
        <w:pageBreakBefore w:val="0"/>
        <w:tabs>
          <w:tab w:val="clear" w:pos="720"/>
        </w:tabs>
        <w:snapToGrid w:val="0"/>
        <w:spacing w:before="120" w:after="120"/>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二、已标价工程量清单</w:t>
      </w:r>
    </w:p>
    <w:p w14:paraId="77164DB4">
      <w:pPr>
        <w:ind w:right="420"/>
        <w:rPr>
          <w:rFonts w:ascii="宋体" w:hAnsi="宋体" w:cs="宋体"/>
          <w:color w:val="auto"/>
          <w:sz w:val="24"/>
          <w:highlight w:val="none"/>
        </w:rPr>
      </w:pPr>
      <w:r>
        <w:rPr>
          <w:rFonts w:hint="eastAsia" w:ascii="宋体" w:hAnsi="宋体" w:cs="宋体"/>
          <w:color w:val="auto"/>
          <w:sz w:val="24"/>
          <w:highlight w:val="none"/>
        </w:rPr>
        <w:t xml:space="preserve">注：按采购文件工程量清单编制 </w:t>
      </w:r>
    </w:p>
    <w:p w14:paraId="126E514B">
      <w:pPr>
        <w:pStyle w:val="61"/>
        <w:ind w:firstLine="480"/>
        <w:rPr>
          <w:rFonts w:cs="宋体"/>
          <w:color w:val="auto"/>
          <w:sz w:val="24"/>
          <w:highlight w:val="none"/>
        </w:rPr>
      </w:pPr>
    </w:p>
    <w:p w14:paraId="1CFB69D2">
      <w:pPr>
        <w:pStyle w:val="61"/>
        <w:ind w:firstLine="480"/>
        <w:rPr>
          <w:rFonts w:cs="宋体"/>
          <w:color w:val="auto"/>
          <w:sz w:val="24"/>
          <w:highlight w:val="none"/>
        </w:rPr>
        <w:sectPr>
          <w:footerReference r:id="rId19" w:type="first"/>
          <w:headerReference r:id="rId16" w:type="default"/>
          <w:footerReference r:id="rId17" w:type="default"/>
          <w:footerReference r:id="rId18" w:type="even"/>
          <w:pgSz w:w="11906" w:h="16838"/>
          <w:pgMar w:top="1440" w:right="1080" w:bottom="1440" w:left="1080" w:header="851" w:footer="992" w:gutter="0"/>
          <w:cols w:space="720" w:num="1"/>
          <w:titlePg/>
          <w:docGrid w:linePitch="312" w:charSpace="0"/>
        </w:sectPr>
      </w:pPr>
    </w:p>
    <w:p w14:paraId="5E1B8875">
      <w:pPr>
        <w:pStyle w:val="692"/>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三、</w:t>
      </w:r>
      <w:r>
        <w:rPr>
          <w:rFonts w:hint="eastAsia" w:ascii="宋体" w:hAnsi="宋体" w:eastAsia="宋体" w:cs="宋体"/>
          <w:color w:val="auto"/>
          <w:sz w:val="32"/>
          <w:szCs w:val="32"/>
          <w:highlight w:val="none"/>
        </w:rPr>
        <w:t>中小企业声明函</w:t>
      </w:r>
      <w:bookmarkStart w:id="418" w:name="_Hlk101259491"/>
      <w:r>
        <w:rPr>
          <w:rFonts w:hint="eastAsia" w:ascii="宋体" w:hAnsi="宋体" w:eastAsia="宋体" w:cs="宋体"/>
          <w:color w:val="auto"/>
          <w:sz w:val="32"/>
          <w:szCs w:val="32"/>
          <w:highlight w:val="none"/>
        </w:rPr>
        <w:t>（如果有）</w:t>
      </w:r>
      <w:bookmarkEnd w:id="418"/>
    </w:p>
    <w:p w14:paraId="2FBE6860">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1374022E">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19" w:name="_Toc465665161"/>
      <w:r>
        <w:rPr>
          <w:rFonts w:hint="eastAsia" w:ascii="宋体" w:hAnsi="宋体" w:cs="宋体"/>
          <w:color w:val="auto"/>
          <w:highlight w:val="none"/>
        </w:rPr>
        <w:t>附件</w:t>
      </w:r>
      <w:bookmarkEnd w:id="419"/>
    </w:p>
    <w:p w14:paraId="4CF3A26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A761526">
      <w:pPr>
        <w:spacing w:line="360" w:lineRule="auto"/>
        <w:jc w:val="center"/>
        <w:rPr>
          <w:rFonts w:ascii="宋体" w:hAnsi="宋体" w:cs="宋体"/>
          <w:b/>
          <w:color w:val="auto"/>
          <w:spacing w:val="6"/>
          <w:sz w:val="32"/>
          <w:szCs w:val="32"/>
          <w:highlight w:val="none"/>
        </w:rPr>
      </w:pPr>
      <w:bookmarkStart w:id="420" w:name="OLE_LINK13"/>
      <w:bookmarkStart w:id="421" w:name="OLE_LINK14"/>
      <w:r>
        <w:rPr>
          <w:rFonts w:hint="eastAsia" w:ascii="宋体" w:hAnsi="宋体" w:cs="宋体"/>
          <w:b/>
          <w:color w:val="auto"/>
          <w:spacing w:val="6"/>
          <w:sz w:val="32"/>
          <w:szCs w:val="32"/>
          <w:highlight w:val="none"/>
        </w:rPr>
        <w:t>残疾人福利性单位声明函</w:t>
      </w:r>
    </w:p>
    <w:bookmarkEnd w:id="420"/>
    <w:bookmarkEnd w:id="421"/>
    <w:p w14:paraId="7308974C">
      <w:pPr>
        <w:spacing w:line="360" w:lineRule="auto"/>
        <w:rPr>
          <w:rFonts w:ascii="宋体" w:hAnsi="宋体" w:cs="宋体"/>
          <w:b/>
          <w:color w:val="auto"/>
          <w:spacing w:val="6"/>
          <w:sz w:val="30"/>
          <w:szCs w:val="30"/>
          <w:highlight w:val="none"/>
        </w:rPr>
      </w:pPr>
    </w:p>
    <w:p w14:paraId="747414C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294F6A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0050F570">
      <w:pPr>
        <w:spacing w:line="360" w:lineRule="auto"/>
        <w:ind w:firstLine="480" w:firstLineChars="200"/>
        <w:rPr>
          <w:rFonts w:ascii="宋体" w:hAnsi="宋体" w:cs="宋体"/>
          <w:color w:val="auto"/>
          <w:sz w:val="24"/>
          <w:highlight w:val="none"/>
        </w:rPr>
      </w:pPr>
    </w:p>
    <w:p w14:paraId="347AB98A">
      <w:pPr>
        <w:spacing w:line="360" w:lineRule="auto"/>
        <w:ind w:firstLine="480" w:firstLineChars="200"/>
        <w:rPr>
          <w:rFonts w:ascii="宋体" w:hAnsi="宋体" w:cs="宋体"/>
          <w:color w:val="auto"/>
          <w:sz w:val="24"/>
          <w:highlight w:val="none"/>
        </w:rPr>
      </w:pPr>
    </w:p>
    <w:p w14:paraId="01BCA790">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供应商名称（电子签名）</w:t>
      </w:r>
      <w:r>
        <w:rPr>
          <w:rFonts w:hint="eastAsia" w:ascii="宋体" w:hAnsi="宋体" w:cs="宋体"/>
          <w:color w:val="auto"/>
          <w:sz w:val="24"/>
          <w:highlight w:val="none"/>
        </w:rPr>
        <w:t>：</w:t>
      </w:r>
    </w:p>
    <w:p w14:paraId="1709E6C0">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48A850A3">
      <w:pPr>
        <w:spacing w:line="360" w:lineRule="auto"/>
        <w:ind w:firstLine="480" w:firstLineChars="200"/>
        <w:rPr>
          <w:rFonts w:ascii="宋体" w:hAnsi="宋体" w:cs="宋体"/>
          <w:color w:val="auto"/>
          <w:sz w:val="24"/>
          <w:highlight w:val="none"/>
        </w:rPr>
      </w:pPr>
    </w:p>
    <w:p w14:paraId="2C88EFF5">
      <w:pPr>
        <w:spacing w:line="360" w:lineRule="auto"/>
        <w:ind w:firstLine="420" w:firstLineChars="200"/>
        <w:rPr>
          <w:rFonts w:ascii="宋体" w:hAnsi="宋体" w:cs="宋体"/>
          <w:color w:val="auto"/>
          <w:highlight w:val="none"/>
        </w:rPr>
      </w:pPr>
    </w:p>
    <w:p w14:paraId="7F583010">
      <w:pPr>
        <w:spacing w:line="360" w:lineRule="auto"/>
        <w:ind w:firstLine="420" w:firstLineChars="200"/>
        <w:rPr>
          <w:rFonts w:ascii="宋体" w:hAnsi="宋体" w:cs="宋体"/>
          <w:color w:val="auto"/>
          <w:highlight w:val="none"/>
        </w:rPr>
      </w:pPr>
    </w:p>
    <w:p w14:paraId="411934A7">
      <w:pPr>
        <w:spacing w:line="360" w:lineRule="auto"/>
        <w:ind w:firstLine="420" w:firstLineChars="200"/>
        <w:rPr>
          <w:rFonts w:ascii="宋体" w:hAnsi="宋体" w:cs="宋体"/>
          <w:color w:val="auto"/>
          <w:highlight w:val="none"/>
        </w:rPr>
      </w:pPr>
    </w:p>
    <w:p w14:paraId="7171CF41">
      <w:pPr>
        <w:spacing w:line="360" w:lineRule="auto"/>
        <w:ind w:firstLine="420" w:firstLineChars="200"/>
        <w:rPr>
          <w:rFonts w:ascii="宋体" w:hAnsi="宋体" w:cs="宋体"/>
          <w:color w:val="auto"/>
          <w:highlight w:val="none"/>
        </w:rPr>
      </w:pPr>
    </w:p>
    <w:p w14:paraId="6C37657C">
      <w:pPr>
        <w:spacing w:line="360" w:lineRule="auto"/>
        <w:rPr>
          <w:rFonts w:ascii="宋体" w:hAnsi="宋体" w:cs="宋体"/>
          <w:b/>
          <w:color w:val="auto"/>
          <w:sz w:val="24"/>
          <w:highlight w:val="none"/>
        </w:rPr>
      </w:pPr>
    </w:p>
    <w:p w14:paraId="568BB51A">
      <w:pPr>
        <w:spacing w:line="360" w:lineRule="auto"/>
        <w:rPr>
          <w:rFonts w:ascii="宋体" w:hAnsi="宋体" w:cs="宋体"/>
          <w:b/>
          <w:color w:val="auto"/>
          <w:sz w:val="24"/>
          <w:highlight w:val="none"/>
        </w:rPr>
      </w:pPr>
    </w:p>
    <w:p w14:paraId="250B6F4C">
      <w:pPr>
        <w:spacing w:line="360" w:lineRule="auto"/>
        <w:rPr>
          <w:rFonts w:ascii="宋体" w:hAnsi="宋体" w:cs="宋体"/>
          <w:b/>
          <w:color w:val="auto"/>
          <w:sz w:val="24"/>
          <w:highlight w:val="none"/>
        </w:rPr>
      </w:pPr>
    </w:p>
    <w:p w14:paraId="74936C80">
      <w:pPr>
        <w:spacing w:line="360" w:lineRule="auto"/>
        <w:rPr>
          <w:rFonts w:ascii="宋体" w:hAnsi="宋体" w:cs="宋体"/>
          <w:b/>
          <w:color w:val="auto"/>
          <w:sz w:val="24"/>
          <w:highlight w:val="none"/>
        </w:rPr>
      </w:pPr>
    </w:p>
    <w:p w14:paraId="55634BD3">
      <w:pPr>
        <w:spacing w:line="360" w:lineRule="auto"/>
        <w:rPr>
          <w:rFonts w:ascii="宋体" w:hAnsi="宋体" w:cs="宋体"/>
          <w:b/>
          <w:color w:val="auto"/>
          <w:sz w:val="24"/>
          <w:highlight w:val="none"/>
        </w:rPr>
      </w:pPr>
    </w:p>
    <w:p w14:paraId="1479369C">
      <w:pPr>
        <w:spacing w:line="360" w:lineRule="auto"/>
        <w:rPr>
          <w:rFonts w:ascii="宋体" w:hAnsi="宋体" w:cs="宋体"/>
          <w:b/>
          <w:color w:val="auto"/>
          <w:sz w:val="24"/>
          <w:highlight w:val="none"/>
        </w:rPr>
      </w:pPr>
    </w:p>
    <w:p w14:paraId="18466CF7">
      <w:pPr>
        <w:spacing w:line="360" w:lineRule="auto"/>
        <w:rPr>
          <w:rFonts w:ascii="宋体" w:hAnsi="宋体" w:cs="宋体"/>
          <w:b/>
          <w:color w:val="auto"/>
          <w:sz w:val="24"/>
          <w:highlight w:val="none"/>
        </w:rPr>
      </w:pPr>
    </w:p>
    <w:p w14:paraId="3C97D543">
      <w:pPr>
        <w:spacing w:line="360" w:lineRule="auto"/>
        <w:rPr>
          <w:rFonts w:ascii="宋体" w:hAnsi="宋体" w:cs="宋体"/>
          <w:b/>
          <w:color w:val="auto"/>
          <w:sz w:val="24"/>
          <w:highlight w:val="none"/>
        </w:rPr>
      </w:pPr>
    </w:p>
    <w:p w14:paraId="67365BF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47690D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59278C8">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F45BC8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5E78B38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DE8E2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2D6DAD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523BB7F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CBDDC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7D38C5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D12F8C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2E78E6C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AEB215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06E46C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2C4BF79C">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4F16CBD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E32C2E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C51AD79">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34433D7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7DE847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4FA2B1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3E3E8F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7EE9F631">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F2E6D3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44CA2D8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52FA9F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013BD0B0">
      <w:pPr>
        <w:spacing w:line="360" w:lineRule="auto"/>
        <w:jc w:val="center"/>
        <w:rPr>
          <w:rFonts w:ascii="宋体" w:hAnsi="宋体" w:cs="宋体"/>
          <w:b/>
          <w:bCs/>
          <w:color w:val="auto"/>
          <w:sz w:val="24"/>
          <w:highlight w:val="none"/>
        </w:rPr>
      </w:pPr>
    </w:p>
    <w:p w14:paraId="28227DAF">
      <w:pPr>
        <w:spacing w:line="360" w:lineRule="auto"/>
        <w:rPr>
          <w:rFonts w:ascii="宋体" w:hAnsi="宋体" w:cs="宋体"/>
          <w:b/>
          <w:color w:val="auto"/>
          <w:sz w:val="24"/>
          <w:highlight w:val="none"/>
        </w:rPr>
      </w:pPr>
    </w:p>
    <w:p w14:paraId="269826E4">
      <w:pPr>
        <w:spacing w:line="360" w:lineRule="auto"/>
        <w:rPr>
          <w:rFonts w:ascii="宋体" w:hAnsi="宋体" w:cs="宋体"/>
          <w:b/>
          <w:color w:val="auto"/>
          <w:sz w:val="24"/>
          <w:highlight w:val="none"/>
        </w:rPr>
      </w:pPr>
    </w:p>
    <w:p w14:paraId="04C345E7">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70CBCA4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48A0387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6EEE6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8246A8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12457AF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33DC8D5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F658331">
      <w:pPr>
        <w:widowControl/>
        <w:spacing w:line="360" w:lineRule="auto"/>
        <w:ind w:firstLine="600" w:firstLineChars="200"/>
        <w:jc w:val="left"/>
        <w:rPr>
          <w:rFonts w:ascii="宋体" w:hAnsi="宋体" w:cs="宋体"/>
          <w:color w:val="auto"/>
          <w:sz w:val="30"/>
          <w:szCs w:val="30"/>
          <w:highlight w:val="none"/>
        </w:rPr>
      </w:pPr>
    </w:p>
    <w:p w14:paraId="34E88B5E">
      <w:pPr>
        <w:spacing w:line="360" w:lineRule="auto"/>
        <w:jc w:val="center"/>
        <w:rPr>
          <w:rFonts w:ascii="宋体" w:hAnsi="宋体" w:cs="宋体"/>
          <w:b/>
          <w:color w:val="auto"/>
          <w:spacing w:val="6"/>
          <w:sz w:val="32"/>
          <w:szCs w:val="32"/>
          <w:highlight w:val="none"/>
        </w:rPr>
      </w:pPr>
    </w:p>
    <w:p w14:paraId="107FA053">
      <w:pPr>
        <w:spacing w:line="360" w:lineRule="auto"/>
        <w:jc w:val="center"/>
        <w:rPr>
          <w:rFonts w:ascii="宋体" w:hAnsi="宋体" w:cs="宋体"/>
          <w:b/>
          <w:color w:val="auto"/>
          <w:spacing w:val="6"/>
          <w:sz w:val="32"/>
          <w:szCs w:val="32"/>
          <w:highlight w:val="none"/>
        </w:rPr>
      </w:pPr>
    </w:p>
    <w:p w14:paraId="632FEAF6">
      <w:pPr>
        <w:spacing w:line="360" w:lineRule="auto"/>
        <w:jc w:val="center"/>
        <w:rPr>
          <w:rFonts w:ascii="宋体" w:hAnsi="宋体" w:cs="宋体"/>
          <w:b/>
          <w:color w:val="auto"/>
          <w:spacing w:val="6"/>
          <w:sz w:val="32"/>
          <w:szCs w:val="32"/>
          <w:highlight w:val="none"/>
        </w:rPr>
      </w:pPr>
    </w:p>
    <w:p w14:paraId="104D7412">
      <w:pPr>
        <w:spacing w:line="360" w:lineRule="auto"/>
        <w:jc w:val="center"/>
        <w:rPr>
          <w:rFonts w:ascii="宋体" w:hAnsi="宋体" w:cs="宋体"/>
          <w:b/>
          <w:color w:val="auto"/>
          <w:spacing w:val="6"/>
          <w:sz w:val="32"/>
          <w:szCs w:val="32"/>
          <w:highlight w:val="none"/>
        </w:rPr>
      </w:pPr>
    </w:p>
    <w:p w14:paraId="09E3D5A9">
      <w:pPr>
        <w:spacing w:line="360" w:lineRule="auto"/>
        <w:jc w:val="center"/>
        <w:rPr>
          <w:rFonts w:ascii="宋体" w:hAnsi="宋体" w:cs="宋体"/>
          <w:b/>
          <w:color w:val="auto"/>
          <w:spacing w:val="6"/>
          <w:sz w:val="32"/>
          <w:szCs w:val="32"/>
          <w:highlight w:val="none"/>
        </w:rPr>
      </w:pPr>
    </w:p>
    <w:p w14:paraId="7C3C53DD">
      <w:pPr>
        <w:spacing w:line="360" w:lineRule="auto"/>
        <w:jc w:val="center"/>
        <w:rPr>
          <w:rFonts w:ascii="宋体" w:hAnsi="宋体" w:cs="宋体"/>
          <w:b/>
          <w:color w:val="auto"/>
          <w:spacing w:val="6"/>
          <w:sz w:val="32"/>
          <w:szCs w:val="32"/>
          <w:highlight w:val="none"/>
        </w:rPr>
      </w:pPr>
    </w:p>
    <w:p w14:paraId="7D31284B">
      <w:pPr>
        <w:spacing w:line="360" w:lineRule="auto"/>
        <w:jc w:val="center"/>
        <w:rPr>
          <w:rFonts w:ascii="宋体" w:hAnsi="宋体" w:cs="宋体"/>
          <w:b/>
          <w:color w:val="auto"/>
          <w:spacing w:val="6"/>
          <w:sz w:val="32"/>
          <w:szCs w:val="32"/>
          <w:highlight w:val="none"/>
        </w:rPr>
      </w:pPr>
    </w:p>
    <w:p w14:paraId="5539D145">
      <w:pPr>
        <w:spacing w:line="360" w:lineRule="auto"/>
        <w:jc w:val="center"/>
        <w:rPr>
          <w:rFonts w:ascii="宋体" w:hAnsi="宋体" w:cs="宋体"/>
          <w:b/>
          <w:color w:val="auto"/>
          <w:spacing w:val="6"/>
          <w:sz w:val="32"/>
          <w:szCs w:val="32"/>
          <w:highlight w:val="none"/>
        </w:rPr>
      </w:pPr>
    </w:p>
    <w:p w14:paraId="59B22573">
      <w:pPr>
        <w:spacing w:line="360" w:lineRule="auto"/>
        <w:jc w:val="center"/>
        <w:rPr>
          <w:rFonts w:ascii="宋体" w:hAnsi="宋体" w:cs="宋体"/>
          <w:b/>
          <w:color w:val="auto"/>
          <w:spacing w:val="6"/>
          <w:sz w:val="32"/>
          <w:szCs w:val="32"/>
          <w:highlight w:val="none"/>
        </w:rPr>
      </w:pPr>
    </w:p>
    <w:p w14:paraId="415BA056">
      <w:pPr>
        <w:spacing w:line="360" w:lineRule="auto"/>
        <w:jc w:val="center"/>
        <w:rPr>
          <w:rFonts w:ascii="宋体" w:hAnsi="宋体" w:cs="宋体"/>
          <w:b/>
          <w:color w:val="auto"/>
          <w:spacing w:val="6"/>
          <w:sz w:val="32"/>
          <w:szCs w:val="32"/>
          <w:highlight w:val="none"/>
        </w:rPr>
      </w:pPr>
    </w:p>
    <w:p w14:paraId="0D4E2113">
      <w:pPr>
        <w:spacing w:line="360" w:lineRule="auto"/>
        <w:jc w:val="center"/>
        <w:rPr>
          <w:rFonts w:ascii="宋体" w:hAnsi="宋体" w:cs="宋体"/>
          <w:b/>
          <w:color w:val="auto"/>
          <w:spacing w:val="6"/>
          <w:sz w:val="32"/>
          <w:szCs w:val="32"/>
          <w:highlight w:val="none"/>
        </w:rPr>
      </w:pPr>
    </w:p>
    <w:p w14:paraId="0A680A44">
      <w:pPr>
        <w:spacing w:line="360" w:lineRule="auto"/>
        <w:jc w:val="center"/>
        <w:rPr>
          <w:rFonts w:ascii="宋体" w:hAnsi="宋体" w:cs="宋体"/>
          <w:b/>
          <w:color w:val="auto"/>
          <w:spacing w:val="6"/>
          <w:sz w:val="32"/>
          <w:szCs w:val="32"/>
          <w:highlight w:val="none"/>
        </w:rPr>
      </w:pPr>
    </w:p>
    <w:p w14:paraId="03BAED88">
      <w:pPr>
        <w:spacing w:line="360" w:lineRule="auto"/>
        <w:jc w:val="left"/>
        <w:rPr>
          <w:rFonts w:ascii="宋体" w:hAnsi="宋体" w:cs="宋体"/>
          <w:b/>
          <w:color w:val="auto"/>
          <w:spacing w:val="6"/>
          <w:sz w:val="32"/>
          <w:szCs w:val="32"/>
          <w:highlight w:val="none"/>
        </w:rPr>
      </w:pPr>
    </w:p>
    <w:p w14:paraId="66F5BBCF">
      <w:pPr>
        <w:spacing w:line="360" w:lineRule="auto"/>
        <w:jc w:val="left"/>
        <w:rPr>
          <w:rFonts w:ascii="宋体" w:hAnsi="宋体" w:cs="宋体"/>
          <w:b/>
          <w:color w:val="auto"/>
          <w:spacing w:val="6"/>
          <w:sz w:val="32"/>
          <w:szCs w:val="32"/>
          <w:highlight w:val="none"/>
        </w:rPr>
      </w:pPr>
    </w:p>
    <w:p w14:paraId="5BFCA69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6FD1075">
      <w:pPr>
        <w:spacing w:line="360" w:lineRule="auto"/>
        <w:jc w:val="center"/>
        <w:rPr>
          <w:rFonts w:ascii="宋体" w:hAnsi="宋体" w:cs="宋体"/>
          <w:b/>
          <w:color w:val="auto"/>
          <w:sz w:val="24"/>
          <w:highlight w:val="none"/>
        </w:rPr>
      </w:pPr>
    </w:p>
    <w:p w14:paraId="187E427B">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08001333">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519E991D">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9025D84">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EEFAA3">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B2ECA6A">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14ED0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390218D">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0B51F5E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21FF56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8B3147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9858F86">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7689A2C7">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058EBA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65A4E7">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3432F19">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599EDE">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5624F795">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3C3CA2F">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E6F0A8B">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4482F57">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50BB02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DAE17F5">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5617FB4">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409839DC">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28910378">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910969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164A8EEC">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99FF00E">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46AA3FD8">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ECAED3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D5AF6E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53E6B2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0F1FA9F">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438F063">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456A5A3">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51F9FD77">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7D671DC">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5509680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0DE499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2288678">
      <w:pPr>
        <w:spacing w:line="360" w:lineRule="auto"/>
        <w:rPr>
          <w:rFonts w:ascii="宋体" w:hAnsi="宋体" w:cs="宋体"/>
          <w:b/>
          <w:color w:val="auto"/>
          <w:sz w:val="24"/>
          <w:highlight w:val="none"/>
        </w:rPr>
      </w:pPr>
    </w:p>
    <w:p w14:paraId="0915E2BB">
      <w:pPr>
        <w:spacing w:line="360" w:lineRule="auto"/>
        <w:rPr>
          <w:rFonts w:ascii="宋体" w:hAnsi="宋体" w:cs="宋体"/>
          <w:b/>
          <w:color w:val="auto"/>
          <w:sz w:val="24"/>
          <w:highlight w:val="none"/>
        </w:rPr>
      </w:pPr>
    </w:p>
    <w:p w14:paraId="29832CEE">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E5B82DF">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2DC49676">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5EB6535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12563B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3A7D168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6997618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39D0567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4DFEFB7">
      <w:pPr>
        <w:spacing w:line="360" w:lineRule="auto"/>
        <w:rPr>
          <w:rFonts w:ascii="宋体" w:hAnsi="宋体" w:cs="宋体"/>
          <w:b/>
          <w:color w:val="auto"/>
          <w:sz w:val="24"/>
          <w:highlight w:val="none"/>
        </w:rPr>
      </w:pPr>
    </w:p>
    <w:p w14:paraId="78E8D726">
      <w:pPr>
        <w:autoSpaceDE w:val="0"/>
        <w:autoSpaceDN w:val="0"/>
        <w:jc w:val="center"/>
        <w:rPr>
          <w:rFonts w:ascii="宋体" w:hAnsi="宋体" w:cs="宋体"/>
          <w:b/>
          <w:color w:val="auto"/>
          <w:spacing w:val="6"/>
          <w:sz w:val="32"/>
          <w:szCs w:val="32"/>
          <w:highlight w:val="none"/>
        </w:rPr>
      </w:pPr>
    </w:p>
    <w:p w14:paraId="4016DE6C">
      <w:pPr>
        <w:autoSpaceDE w:val="0"/>
        <w:autoSpaceDN w:val="0"/>
        <w:jc w:val="center"/>
        <w:rPr>
          <w:rFonts w:hint="eastAsia" w:ascii="宋体" w:hAnsi="宋体" w:cs="宋体"/>
          <w:b/>
          <w:color w:val="auto"/>
          <w:spacing w:val="6"/>
          <w:sz w:val="32"/>
          <w:szCs w:val="32"/>
          <w:highlight w:val="none"/>
        </w:rPr>
      </w:pPr>
    </w:p>
    <w:p w14:paraId="50C82B4A">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79845607">
      <w:pPr>
        <w:spacing w:line="360" w:lineRule="auto"/>
        <w:rPr>
          <w:rFonts w:ascii="宋体" w:hAnsi="宋体" w:cs="宋体"/>
          <w:color w:val="auto"/>
          <w:sz w:val="24"/>
          <w:highlight w:val="none"/>
          <w:u w:val="single"/>
        </w:rPr>
      </w:pPr>
    </w:p>
    <w:p w14:paraId="0123E135">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4A535BF6">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(供应商全称)是中华人民共和国依法登记注册的合法企业，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你方组织的（项目名称）项目【项目编号：（采购编号）】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CA1B2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48426F63">
      <w:pPr>
        <w:spacing w:line="360" w:lineRule="auto"/>
        <w:ind w:firstLine="494"/>
        <w:rPr>
          <w:rFonts w:ascii="宋体" w:hAnsi="宋体" w:cs="宋体"/>
          <w:color w:val="auto"/>
          <w:sz w:val="24"/>
          <w:highlight w:val="none"/>
        </w:rPr>
      </w:pPr>
    </w:p>
    <w:p w14:paraId="13D95BF9">
      <w:pPr>
        <w:spacing w:line="360" w:lineRule="auto"/>
        <w:ind w:firstLine="494"/>
        <w:rPr>
          <w:rFonts w:ascii="宋体" w:hAnsi="宋体" w:cs="宋体"/>
          <w:color w:val="auto"/>
          <w:sz w:val="24"/>
          <w:highlight w:val="none"/>
        </w:rPr>
      </w:pPr>
    </w:p>
    <w:p w14:paraId="096BCABF">
      <w:pPr>
        <w:spacing w:line="360" w:lineRule="auto"/>
        <w:ind w:firstLine="494"/>
        <w:rPr>
          <w:rFonts w:ascii="宋体" w:hAnsi="宋体" w:cs="宋体"/>
          <w:color w:val="auto"/>
          <w:sz w:val="24"/>
          <w:highlight w:val="none"/>
        </w:rPr>
      </w:pPr>
    </w:p>
    <w:p w14:paraId="204F76DE">
      <w:pPr>
        <w:spacing w:line="360" w:lineRule="auto"/>
        <w:ind w:firstLine="494"/>
        <w:rPr>
          <w:rFonts w:ascii="宋体" w:hAnsi="宋体" w:cs="宋体"/>
          <w:color w:val="auto"/>
          <w:sz w:val="24"/>
          <w:highlight w:val="none"/>
        </w:rPr>
      </w:pPr>
    </w:p>
    <w:p w14:paraId="03D2603A">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供应商（法定名称章）：</w:t>
      </w:r>
    </w:p>
    <w:p w14:paraId="68D6B74B">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EE8C245">
      <w:pPr>
        <w:rPr>
          <w:rFonts w:ascii="宋体" w:hAnsi="宋体" w:cs="宋体"/>
          <w:color w:val="auto"/>
          <w:sz w:val="24"/>
          <w:highlight w:val="none"/>
        </w:rPr>
      </w:pPr>
      <w:r>
        <w:rPr>
          <w:rFonts w:hint="eastAsia" w:ascii="宋体" w:hAnsi="宋体" w:cs="宋体"/>
          <w:b/>
          <w:bCs/>
          <w:color w:val="auto"/>
          <w:sz w:val="24"/>
          <w:highlight w:val="none"/>
        </w:rPr>
        <w:t>附：</w:t>
      </w:r>
    </w:p>
    <w:p w14:paraId="66353124">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w:t>供应商</w:t>
      </w:r>
      <w:r>
        <w:rPr>
          <w:rFonts w:hint="eastAsia" w:ascii="宋体" w:hAnsi="宋体" w:cs="宋体"/>
          <w:color w:val="auto"/>
          <w:sz w:val="24"/>
          <w:highlight w:val="none"/>
        </w:rPr>
        <w:t>法定名称章（印模）                供应商“XX专用章”（印模）</w:t>
      </w:r>
    </w:p>
    <w:p w14:paraId="78C9AECA">
      <w:pPr>
        <w:autoSpaceDE w:val="0"/>
        <w:autoSpaceDN w:val="0"/>
        <w:jc w:val="center"/>
        <w:rPr>
          <w:rFonts w:ascii="宋体" w:hAnsi="宋体" w:cs="宋体"/>
          <w:b/>
          <w:color w:val="auto"/>
          <w:spacing w:val="6"/>
          <w:sz w:val="32"/>
          <w:szCs w:val="32"/>
          <w:highlight w:val="none"/>
        </w:rPr>
      </w:pPr>
    </w:p>
    <w:p w14:paraId="2A944CF0">
      <w:pPr>
        <w:autoSpaceDE w:val="0"/>
        <w:autoSpaceDN w:val="0"/>
        <w:jc w:val="center"/>
        <w:rPr>
          <w:rFonts w:ascii="宋体" w:hAnsi="宋体" w:cs="宋体"/>
          <w:b/>
          <w:color w:val="auto"/>
          <w:spacing w:val="6"/>
          <w:sz w:val="32"/>
          <w:szCs w:val="32"/>
          <w:highlight w:val="none"/>
        </w:rPr>
      </w:pPr>
    </w:p>
    <w:p w14:paraId="349228AA">
      <w:pPr>
        <w:autoSpaceDE w:val="0"/>
        <w:autoSpaceDN w:val="0"/>
        <w:jc w:val="center"/>
        <w:rPr>
          <w:rFonts w:ascii="宋体" w:hAnsi="宋体" w:cs="宋体"/>
          <w:b/>
          <w:color w:val="auto"/>
          <w:spacing w:val="6"/>
          <w:sz w:val="32"/>
          <w:szCs w:val="32"/>
          <w:highlight w:val="none"/>
        </w:rPr>
      </w:pPr>
    </w:p>
    <w:p w14:paraId="61C29944">
      <w:pPr>
        <w:autoSpaceDE w:val="0"/>
        <w:autoSpaceDN w:val="0"/>
        <w:jc w:val="center"/>
        <w:rPr>
          <w:rFonts w:ascii="宋体" w:hAnsi="宋体" w:cs="宋体"/>
          <w:b/>
          <w:color w:val="auto"/>
          <w:spacing w:val="6"/>
          <w:sz w:val="32"/>
          <w:szCs w:val="32"/>
          <w:highlight w:val="none"/>
        </w:rPr>
      </w:pPr>
    </w:p>
    <w:p w14:paraId="3D8DE6EC">
      <w:pPr>
        <w:autoSpaceDE w:val="0"/>
        <w:autoSpaceDN w:val="0"/>
        <w:jc w:val="center"/>
        <w:rPr>
          <w:rFonts w:ascii="宋体" w:hAnsi="宋体" w:cs="宋体"/>
          <w:b/>
          <w:color w:val="auto"/>
          <w:spacing w:val="6"/>
          <w:sz w:val="32"/>
          <w:szCs w:val="32"/>
          <w:highlight w:val="none"/>
        </w:rPr>
      </w:pPr>
    </w:p>
    <w:p w14:paraId="2E9C0813">
      <w:pPr>
        <w:autoSpaceDE w:val="0"/>
        <w:autoSpaceDN w:val="0"/>
        <w:jc w:val="center"/>
        <w:rPr>
          <w:rFonts w:ascii="宋体" w:hAnsi="宋体" w:cs="宋体"/>
          <w:b/>
          <w:color w:val="auto"/>
          <w:spacing w:val="6"/>
          <w:sz w:val="32"/>
          <w:szCs w:val="32"/>
          <w:highlight w:val="none"/>
        </w:rPr>
      </w:pPr>
    </w:p>
    <w:p w14:paraId="67B056E3">
      <w:pPr>
        <w:autoSpaceDE w:val="0"/>
        <w:autoSpaceDN w:val="0"/>
        <w:jc w:val="center"/>
        <w:rPr>
          <w:rFonts w:ascii="宋体" w:hAnsi="宋体" w:cs="宋体"/>
          <w:b/>
          <w:color w:val="auto"/>
          <w:spacing w:val="6"/>
          <w:sz w:val="32"/>
          <w:szCs w:val="32"/>
          <w:highlight w:val="none"/>
        </w:rPr>
      </w:pPr>
    </w:p>
    <w:p w14:paraId="2ED192E4">
      <w:pPr>
        <w:autoSpaceDE w:val="0"/>
        <w:autoSpaceDN w:val="0"/>
        <w:jc w:val="center"/>
        <w:rPr>
          <w:rFonts w:ascii="宋体" w:hAnsi="宋体" w:cs="宋体"/>
          <w:b/>
          <w:color w:val="auto"/>
          <w:spacing w:val="6"/>
          <w:sz w:val="32"/>
          <w:szCs w:val="32"/>
          <w:highlight w:val="none"/>
        </w:rPr>
      </w:pPr>
    </w:p>
    <w:p w14:paraId="3CF7B0D8">
      <w:pPr>
        <w:autoSpaceDE w:val="0"/>
        <w:autoSpaceDN w:val="0"/>
        <w:jc w:val="center"/>
        <w:rPr>
          <w:rFonts w:ascii="宋体" w:hAnsi="宋体" w:cs="宋体"/>
          <w:b/>
          <w:color w:val="auto"/>
          <w:spacing w:val="6"/>
          <w:sz w:val="32"/>
          <w:szCs w:val="32"/>
          <w:highlight w:val="none"/>
        </w:rPr>
      </w:pPr>
    </w:p>
    <w:p w14:paraId="2B82F902">
      <w:pPr>
        <w:autoSpaceDE w:val="0"/>
        <w:autoSpaceDN w:val="0"/>
        <w:jc w:val="center"/>
        <w:rPr>
          <w:rFonts w:ascii="宋体" w:hAnsi="宋体" w:cs="宋体"/>
          <w:b/>
          <w:color w:val="auto"/>
          <w:spacing w:val="6"/>
          <w:sz w:val="32"/>
          <w:szCs w:val="32"/>
          <w:highlight w:val="none"/>
        </w:rPr>
      </w:pPr>
    </w:p>
    <w:p w14:paraId="5B29FDB3">
      <w:pPr>
        <w:autoSpaceDE w:val="0"/>
        <w:autoSpaceDN w:val="0"/>
        <w:jc w:val="center"/>
        <w:rPr>
          <w:rFonts w:ascii="宋体" w:hAnsi="宋体" w:cs="宋体"/>
          <w:b/>
          <w:color w:val="auto"/>
          <w:spacing w:val="6"/>
          <w:sz w:val="32"/>
          <w:szCs w:val="32"/>
          <w:highlight w:val="none"/>
        </w:rPr>
      </w:pPr>
    </w:p>
    <w:p w14:paraId="08CDBC52">
      <w:pPr>
        <w:autoSpaceDE w:val="0"/>
        <w:autoSpaceDN w:val="0"/>
        <w:jc w:val="center"/>
        <w:rPr>
          <w:rFonts w:ascii="宋体" w:hAnsi="宋体" w:cs="宋体"/>
          <w:b/>
          <w:color w:val="auto"/>
          <w:spacing w:val="6"/>
          <w:sz w:val="32"/>
          <w:szCs w:val="32"/>
          <w:highlight w:val="none"/>
        </w:rPr>
      </w:pPr>
    </w:p>
    <w:p w14:paraId="7D68C881">
      <w:pPr>
        <w:autoSpaceDE w:val="0"/>
        <w:autoSpaceDN w:val="0"/>
        <w:jc w:val="center"/>
        <w:rPr>
          <w:rFonts w:ascii="宋体" w:hAnsi="宋体" w:cs="宋体"/>
          <w:b/>
          <w:color w:val="auto"/>
          <w:spacing w:val="6"/>
          <w:sz w:val="32"/>
          <w:szCs w:val="32"/>
          <w:highlight w:val="none"/>
        </w:rPr>
      </w:pPr>
    </w:p>
    <w:p w14:paraId="535E3441">
      <w:pPr>
        <w:autoSpaceDE w:val="0"/>
        <w:autoSpaceDN w:val="0"/>
        <w:jc w:val="center"/>
        <w:rPr>
          <w:rFonts w:ascii="宋体" w:hAnsi="宋体" w:cs="宋体"/>
          <w:b/>
          <w:color w:val="auto"/>
          <w:spacing w:val="6"/>
          <w:sz w:val="32"/>
          <w:szCs w:val="32"/>
          <w:highlight w:val="none"/>
        </w:rPr>
      </w:pPr>
    </w:p>
    <w:p w14:paraId="395A37B8">
      <w:pPr>
        <w:autoSpaceDE w:val="0"/>
        <w:autoSpaceDN w:val="0"/>
        <w:jc w:val="center"/>
        <w:rPr>
          <w:rFonts w:ascii="宋体" w:hAnsi="宋体" w:cs="宋体"/>
          <w:b/>
          <w:color w:val="auto"/>
          <w:spacing w:val="6"/>
          <w:sz w:val="32"/>
          <w:szCs w:val="32"/>
          <w:highlight w:val="none"/>
        </w:rPr>
      </w:pPr>
    </w:p>
    <w:p w14:paraId="73D5939C">
      <w:pPr>
        <w:autoSpaceDE w:val="0"/>
        <w:autoSpaceDN w:val="0"/>
        <w:jc w:val="center"/>
        <w:rPr>
          <w:rFonts w:ascii="宋体" w:hAnsi="宋体" w:cs="宋体"/>
          <w:b/>
          <w:color w:val="auto"/>
          <w:spacing w:val="6"/>
          <w:sz w:val="32"/>
          <w:szCs w:val="32"/>
          <w:highlight w:val="none"/>
        </w:rPr>
      </w:pPr>
    </w:p>
    <w:p w14:paraId="5C4D238C">
      <w:pPr>
        <w:autoSpaceDE w:val="0"/>
        <w:autoSpaceDN w:val="0"/>
        <w:jc w:val="center"/>
        <w:rPr>
          <w:rFonts w:ascii="宋体" w:hAnsi="宋体" w:cs="宋体"/>
          <w:b/>
          <w:color w:val="auto"/>
          <w:spacing w:val="6"/>
          <w:sz w:val="32"/>
          <w:szCs w:val="32"/>
          <w:highlight w:val="none"/>
        </w:rPr>
      </w:pPr>
    </w:p>
    <w:p w14:paraId="078ABC4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1D0F144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（以联合体形式参与的，提供联合协议；本项目不接受联合体或者供应商不以联合体形式参与的，则不需要提供）</w:t>
      </w:r>
    </w:p>
    <w:p w14:paraId="3FC06D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 xml:space="preserve">。 </w:t>
      </w:r>
    </w:p>
    <w:p w14:paraId="633277A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989F21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授权代表根据采购文件规定及</w:t>
      </w:r>
      <w:r>
        <w:rPr>
          <w:rFonts w:hint="eastAsia" w:ascii="宋体" w:hAnsi="宋体" w:cs="宋体"/>
          <w:color w:val="auto"/>
          <w:kern w:val="0"/>
          <w:sz w:val="24"/>
          <w:highlight w:val="none"/>
        </w:rPr>
        <w:t>响应内容</w:t>
      </w:r>
      <w:r>
        <w:rPr>
          <w:rFonts w:hint="eastAsia" w:ascii="宋体" w:hAnsi="宋体" w:cs="宋体"/>
          <w:color w:val="auto"/>
          <w:kern w:val="0"/>
          <w:sz w:val="24"/>
          <w:highlight w:val="none"/>
          <w:lang w:val="zh-CN"/>
        </w:rPr>
        <w:t>而对采购人、采购机构所作的任何合法承诺，包括书面澄清及相应等均对联合投标各方产生约束力。</w:t>
      </w:r>
    </w:p>
    <w:p w14:paraId="256494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中，分工如下：</w:t>
      </w:r>
    </w:p>
    <w:p w14:paraId="603210D4">
      <w:pPr>
        <w:snapToGrid w:val="0"/>
        <w:spacing w:line="360" w:lineRule="auto"/>
        <w:ind w:firstLine="576"/>
        <w:rPr>
          <w:rFonts w:ascii="宋体" w:hAnsi="宋体" w:cs="宋体"/>
          <w:color w:val="auto"/>
          <w:kern w:val="0"/>
          <w:sz w:val="24"/>
          <w:highlight w:val="none"/>
          <w:lang w:val="zh-CN"/>
        </w:rPr>
      </w:pPr>
      <w:bookmarkStart w:id="422"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48317B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1F602D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22"/>
    <w:p w14:paraId="26872B7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D447B2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提供的全部工程由小微企业承建，其合同份额占到合同总金额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（未预留份额专门面向中小企业采购的的采购项目，以及预留份额中的非预留部分采购包，接受联合体</w:t>
      </w:r>
      <w:r>
        <w:rPr>
          <w:rFonts w:hint="eastAsia" w:ascii="宋体" w:hAnsi="宋体" w:cs="宋体"/>
          <w:b/>
          <w:color w:val="auto"/>
          <w:kern w:val="0"/>
          <w:sz w:val="24"/>
          <w:highlight w:val="none"/>
        </w:rPr>
        <w:t>磋商</w:t>
      </w:r>
      <w:r>
        <w:rPr>
          <w:rFonts w:hint="eastAsia" w:ascii="宋体" w:hAnsi="宋体" w:cs="宋体"/>
          <w:b/>
          <w:color w:val="auto"/>
          <w:kern w:val="0"/>
          <w:sz w:val="24"/>
          <w:highlight w:val="none"/>
          <w:lang w:val="zh-CN"/>
        </w:rPr>
        <w:t>的，联合协议约定小微企业的合同份额占到合同总金额30%以上的，对联合体报价给予</w:t>
      </w:r>
      <w:r>
        <w:rPr>
          <w:rFonts w:hint="eastAsia" w:ascii="宋体" w:hAnsi="宋体" w:cs="宋体"/>
          <w:b/>
          <w:color w:val="auto"/>
          <w:kern w:val="0"/>
          <w:sz w:val="24"/>
          <w:highlight w:val="none"/>
        </w:rPr>
        <w:t>2</w:t>
      </w:r>
      <w:r>
        <w:rPr>
          <w:rFonts w:hint="eastAsia" w:ascii="宋体" w:hAnsi="宋体" w:cs="宋体"/>
          <w:b/>
          <w:color w:val="auto"/>
          <w:kern w:val="0"/>
          <w:sz w:val="24"/>
          <w:highlight w:val="none"/>
          <w:lang w:val="zh-CN"/>
        </w:rPr>
        <w:t>%的扣除。供应商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F2AA7D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要求以联合体形式参加的项目或采购包，供应商按采购文件第一部分竞争性磋商公告申请人的资格要求中规定的联合协议中中小企业、小微企业合同金额应当达到的比例要求填写。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2E69312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五、如果成交，</w:t>
      </w:r>
      <w:r>
        <w:rPr>
          <w:rFonts w:hint="eastAsia" w:ascii="宋体" w:hAnsi="宋体" w:cs="宋体"/>
          <w:color w:val="auto"/>
          <w:sz w:val="24"/>
          <w:highlight w:val="none"/>
        </w:rPr>
        <w:t>联合体各成员方共同与采购人签订合同，并就采购合同约定的事项对采购人承担连带责任。</w:t>
      </w:r>
    </w:p>
    <w:p w14:paraId="452AD4D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的其他事宜：</w:t>
      </w:r>
    </w:p>
    <w:p w14:paraId="34CBE02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7F0A105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4EC4BA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34CF5664">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F0E651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A90B64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4830D78">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cols w:space="720" w:num="1"/>
          <w:titlePg/>
          <w:docGrid w:linePitch="312" w:charSpace="0"/>
        </w:sectPr>
      </w:pPr>
    </w:p>
    <w:p w14:paraId="0AC9D70D">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5DC5A3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cs="宋体"/>
          <w:color w:val="auto"/>
          <w:sz w:val="24"/>
          <w:highlight w:val="none"/>
        </w:rPr>
        <w:t>）</w:t>
      </w:r>
    </w:p>
    <w:p w14:paraId="5C548DC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的成交供应商，将依法采取分包方式履行合同。</w:t>
      </w: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054661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72FA66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7B9A379">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4C926E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6D790945">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……）提供的工程全部由小微企业承建，</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（未预留份额专门面向中小企业采购的的采购项目，以及预留份额中的非预留部分采购包，允许分包的，分包意向协议约定小微企业的合同份额占到合同总金额30%以上的，对大中型企业的报价给予</w:t>
      </w:r>
      <w:r>
        <w:rPr>
          <w:rFonts w:hint="eastAsia" w:ascii="宋体" w:hAnsi="宋体" w:cs="宋体"/>
          <w:b/>
          <w:color w:val="auto"/>
          <w:kern w:val="0"/>
          <w:sz w:val="24"/>
          <w:highlight w:val="none"/>
        </w:rPr>
        <w:t>2</w:t>
      </w:r>
      <w:r>
        <w:rPr>
          <w:rFonts w:hint="eastAsia" w:ascii="宋体" w:hAnsi="宋体" w:cs="宋体"/>
          <w:b/>
          <w:color w:val="auto"/>
          <w:kern w:val="0"/>
          <w:sz w:val="24"/>
          <w:highlight w:val="none"/>
          <w:lang w:val="zh-CN"/>
        </w:rPr>
        <w:t>%的扣除。供应商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DA993D9">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2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要求合同分包形式参加的项目或采购包，供应商按采购文件第一部分竞争性磋商公告申请人的资格要求中规定的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23"/>
    </w:p>
    <w:p w14:paraId="3838A09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3151CE62">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2BCF7D2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ADDB26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C9F9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11F8A188">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C9922BF">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97E859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5F4CB3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34FEE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C40CA59">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w:t>
      </w:r>
    </w:p>
    <w:p w14:paraId="1785AFF7">
      <w:pPr>
        <w:snapToGrid w:val="0"/>
        <w:spacing w:line="360" w:lineRule="auto"/>
        <w:ind w:firstLine="5640" w:firstLineChars="235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p>
    <w:p w14:paraId="70693BDC">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F22BB8E">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9C99B89">
      <w:pPr>
        <w:autoSpaceDE w:val="0"/>
        <w:autoSpaceDN w:val="0"/>
        <w:jc w:val="center"/>
        <w:rPr>
          <w:rFonts w:ascii="宋体" w:hAnsi="宋体" w:cs="宋体"/>
          <w:b/>
          <w:color w:val="auto"/>
          <w:spacing w:val="6"/>
          <w:sz w:val="32"/>
          <w:szCs w:val="32"/>
          <w:highlight w:val="none"/>
        </w:rPr>
      </w:pPr>
    </w:p>
    <w:p w14:paraId="07FD1DDB">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cols w:space="720" w:num="1"/>
          <w:titlePg/>
          <w:docGrid w:linePitch="312" w:charSpace="0"/>
        </w:sectPr>
      </w:pPr>
    </w:p>
    <w:p w14:paraId="77326F79">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7</w:t>
      </w:r>
      <w:r>
        <w:rPr>
          <w:rFonts w:hint="eastAsia" w:ascii="宋体" w:hAnsi="宋体" w:cs="宋体"/>
          <w:b/>
          <w:color w:val="auto"/>
          <w:spacing w:val="6"/>
          <w:sz w:val="32"/>
          <w:szCs w:val="32"/>
          <w:highlight w:val="none"/>
        </w:rPr>
        <w:t>：</w:t>
      </w:r>
      <w:r>
        <w:rPr>
          <w:rFonts w:hint="eastAsia" w:ascii="宋体" w:hAnsi="宋体" w:cs="宋体"/>
          <w:b/>
          <w:color w:val="auto"/>
          <w:sz w:val="32"/>
          <w:szCs w:val="32"/>
          <w:highlight w:val="none"/>
        </w:rPr>
        <w:t>中小企业声明函</w:t>
      </w:r>
    </w:p>
    <w:p w14:paraId="3F5F9DE2">
      <w:pPr>
        <w:spacing w:line="360" w:lineRule="auto"/>
        <w:jc w:val="center"/>
        <w:rPr>
          <w:rFonts w:ascii="宋体" w:hAnsi="宋体" w:cs="宋体"/>
          <w:color w:val="auto"/>
          <w:sz w:val="24"/>
          <w:highlight w:val="none"/>
          <w:u w:val="single"/>
        </w:rPr>
      </w:pPr>
    </w:p>
    <w:p w14:paraId="0B3CE646">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中小企业声明函（工程）</w:t>
      </w:r>
    </w:p>
    <w:p w14:paraId="38A7F27A">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E018B3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A50BC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4CE390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3246E54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42D1F9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C31C4C1">
      <w:pPr>
        <w:spacing w:line="360" w:lineRule="auto"/>
        <w:ind w:firstLine="480" w:firstLineChars="200"/>
        <w:rPr>
          <w:rFonts w:ascii="宋体" w:hAnsi="宋体" w:cs="宋体"/>
          <w:color w:val="auto"/>
          <w:sz w:val="24"/>
          <w:highlight w:val="none"/>
        </w:rPr>
      </w:pPr>
    </w:p>
    <w:p w14:paraId="12F54D90">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4928AE7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5525BAA">
      <w:pPr>
        <w:spacing w:line="360" w:lineRule="auto"/>
        <w:jc w:val="left"/>
        <w:rPr>
          <w:rFonts w:ascii="宋体" w:hAnsi="宋体" w:cs="宋体"/>
          <w:color w:val="auto"/>
          <w:sz w:val="18"/>
          <w:szCs w:val="18"/>
          <w:highlight w:val="none"/>
        </w:rPr>
      </w:pPr>
      <w:r>
        <w:rPr>
          <w:rFonts w:hint="eastAsia" w:ascii="宋体" w:hAnsi="宋体" w:cs="宋体"/>
          <w:color w:val="auto"/>
          <w:sz w:val="18"/>
          <w:szCs w:val="18"/>
          <w:highlight w:val="none"/>
        </w:rPr>
        <w:t>从业人员、营业收入、资产总额填报上一年度数据，无上一年度数据的新成立企业可不填报。</w:t>
      </w:r>
    </w:p>
    <w:p w14:paraId="0C700E9D">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1E769C48">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5B8135C4">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3478C1BE">
      <w:pPr>
        <w:spacing w:line="360" w:lineRule="auto"/>
        <w:jc w:val="center"/>
        <w:rPr>
          <w:rFonts w:ascii="宋体" w:hAnsi="宋体" w:cs="宋体"/>
          <w:b/>
          <w:color w:val="auto"/>
          <w:sz w:val="32"/>
          <w:szCs w:val="32"/>
          <w:highlight w:val="none"/>
        </w:rPr>
      </w:pPr>
    </w:p>
    <w:p w14:paraId="3C0E3547">
      <w:pPr>
        <w:spacing w:line="360" w:lineRule="auto"/>
        <w:jc w:val="center"/>
        <w:rPr>
          <w:rFonts w:ascii="宋体" w:hAnsi="宋体" w:cs="宋体"/>
          <w:b/>
          <w:color w:val="auto"/>
          <w:sz w:val="32"/>
          <w:szCs w:val="32"/>
          <w:highlight w:val="none"/>
        </w:rPr>
      </w:pPr>
    </w:p>
    <w:p w14:paraId="6321D189">
      <w:pPr>
        <w:spacing w:line="360" w:lineRule="auto"/>
        <w:jc w:val="center"/>
        <w:rPr>
          <w:rFonts w:ascii="宋体" w:hAnsi="宋体" w:cs="宋体"/>
          <w:b/>
          <w:color w:val="auto"/>
          <w:sz w:val="32"/>
          <w:szCs w:val="32"/>
          <w:highlight w:val="none"/>
        </w:rPr>
      </w:pPr>
    </w:p>
    <w:p w14:paraId="72804692">
      <w:pPr>
        <w:spacing w:line="360" w:lineRule="auto"/>
        <w:jc w:val="center"/>
        <w:rPr>
          <w:rFonts w:ascii="宋体" w:hAnsi="宋体" w:cs="宋体"/>
          <w:b/>
          <w:color w:val="auto"/>
          <w:sz w:val="32"/>
          <w:szCs w:val="32"/>
          <w:highlight w:val="none"/>
        </w:rPr>
      </w:pPr>
    </w:p>
    <w:p w14:paraId="6A2BD8F0">
      <w:pPr>
        <w:spacing w:line="360" w:lineRule="auto"/>
        <w:jc w:val="center"/>
        <w:rPr>
          <w:rFonts w:ascii="宋体" w:hAnsi="宋体" w:cs="宋体"/>
          <w:b/>
          <w:color w:val="auto"/>
          <w:sz w:val="32"/>
          <w:szCs w:val="32"/>
          <w:highlight w:val="none"/>
        </w:rPr>
      </w:pPr>
    </w:p>
    <w:p w14:paraId="7B2F4A27">
      <w:pPr>
        <w:spacing w:line="360" w:lineRule="auto"/>
        <w:jc w:val="center"/>
        <w:rPr>
          <w:rFonts w:ascii="宋体" w:hAnsi="宋体" w:cs="宋体"/>
          <w:b/>
          <w:color w:val="auto"/>
          <w:sz w:val="32"/>
          <w:szCs w:val="32"/>
          <w:highlight w:val="none"/>
        </w:rPr>
      </w:pPr>
    </w:p>
    <w:p w14:paraId="0AB81B84">
      <w:pPr>
        <w:spacing w:line="360" w:lineRule="auto"/>
        <w:jc w:val="center"/>
        <w:rPr>
          <w:rFonts w:ascii="宋体" w:hAnsi="宋体" w:cs="宋体"/>
          <w:b/>
          <w:color w:val="auto"/>
          <w:sz w:val="32"/>
          <w:szCs w:val="32"/>
          <w:highlight w:val="none"/>
        </w:rPr>
      </w:pPr>
    </w:p>
    <w:p w14:paraId="16810898">
      <w:pPr>
        <w:spacing w:line="360" w:lineRule="auto"/>
        <w:jc w:val="center"/>
        <w:rPr>
          <w:rFonts w:ascii="宋体" w:hAnsi="宋体" w:cs="宋体"/>
          <w:b/>
          <w:color w:val="auto"/>
          <w:sz w:val="32"/>
          <w:szCs w:val="32"/>
          <w:highlight w:val="none"/>
        </w:rPr>
      </w:pPr>
    </w:p>
    <w:p w14:paraId="5AF76D68">
      <w:pPr>
        <w:spacing w:line="360" w:lineRule="auto"/>
        <w:jc w:val="center"/>
        <w:rPr>
          <w:rFonts w:ascii="宋体" w:hAnsi="宋体" w:cs="宋体"/>
          <w:b/>
          <w:color w:val="auto"/>
          <w:sz w:val="32"/>
          <w:szCs w:val="32"/>
          <w:highlight w:val="none"/>
        </w:rPr>
      </w:pPr>
    </w:p>
    <w:p w14:paraId="7DFD1E88">
      <w:pPr>
        <w:spacing w:line="360" w:lineRule="auto"/>
        <w:jc w:val="center"/>
        <w:rPr>
          <w:rFonts w:ascii="宋体" w:hAnsi="宋体" w:cs="宋体"/>
          <w:b/>
          <w:color w:val="auto"/>
          <w:sz w:val="32"/>
          <w:szCs w:val="32"/>
          <w:highlight w:val="none"/>
        </w:rPr>
      </w:pPr>
    </w:p>
    <w:p w14:paraId="4D6137D5">
      <w:pPr>
        <w:spacing w:line="360" w:lineRule="auto"/>
        <w:jc w:val="center"/>
        <w:rPr>
          <w:rFonts w:ascii="宋体" w:hAnsi="宋体" w:cs="宋体"/>
          <w:b/>
          <w:color w:val="auto"/>
          <w:sz w:val="32"/>
          <w:szCs w:val="32"/>
          <w:highlight w:val="none"/>
        </w:rPr>
      </w:pPr>
    </w:p>
    <w:p w14:paraId="15FEF1B5">
      <w:pPr>
        <w:spacing w:line="360" w:lineRule="auto"/>
        <w:jc w:val="center"/>
        <w:rPr>
          <w:rFonts w:ascii="宋体" w:hAnsi="宋体" w:cs="宋体"/>
          <w:b/>
          <w:color w:val="auto"/>
          <w:sz w:val="32"/>
          <w:szCs w:val="32"/>
          <w:highlight w:val="none"/>
        </w:rPr>
      </w:pPr>
    </w:p>
    <w:p w14:paraId="5225B1DC">
      <w:pPr>
        <w:spacing w:line="360" w:lineRule="auto"/>
        <w:jc w:val="center"/>
        <w:rPr>
          <w:rFonts w:ascii="宋体" w:hAnsi="宋体" w:cs="宋体"/>
          <w:b/>
          <w:color w:val="auto"/>
          <w:sz w:val="32"/>
          <w:szCs w:val="32"/>
          <w:highlight w:val="none"/>
        </w:rPr>
      </w:pPr>
    </w:p>
    <w:p w14:paraId="71533C51">
      <w:pPr>
        <w:spacing w:line="360" w:lineRule="auto"/>
        <w:jc w:val="center"/>
        <w:rPr>
          <w:rFonts w:ascii="宋体" w:hAnsi="宋体" w:cs="宋体"/>
          <w:b/>
          <w:color w:val="auto"/>
          <w:sz w:val="32"/>
          <w:szCs w:val="32"/>
          <w:highlight w:val="none"/>
        </w:rPr>
      </w:pPr>
    </w:p>
    <w:p w14:paraId="1B8E20E5">
      <w:pPr>
        <w:spacing w:line="360" w:lineRule="auto"/>
        <w:jc w:val="center"/>
        <w:rPr>
          <w:rFonts w:ascii="宋体" w:hAnsi="宋体" w:cs="宋体"/>
          <w:b/>
          <w:color w:val="auto"/>
          <w:sz w:val="32"/>
          <w:szCs w:val="32"/>
          <w:highlight w:val="none"/>
        </w:rPr>
      </w:pPr>
    </w:p>
    <w:p w14:paraId="0A284095">
      <w:pPr>
        <w:spacing w:line="360" w:lineRule="auto"/>
        <w:jc w:val="center"/>
        <w:rPr>
          <w:rFonts w:ascii="宋体" w:hAnsi="宋体" w:cs="宋体"/>
          <w:b/>
          <w:color w:val="auto"/>
          <w:sz w:val="32"/>
          <w:szCs w:val="32"/>
          <w:highlight w:val="none"/>
        </w:rPr>
      </w:pPr>
    </w:p>
    <w:p w14:paraId="1F716722">
      <w:pPr>
        <w:spacing w:line="360" w:lineRule="auto"/>
        <w:jc w:val="center"/>
        <w:rPr>
          <w:rFonts w:ascii="宋体" w:hAnsi="宋体" w:cs="宋体"/>
          <w:b/>
          <w:color w:val="auto"/>
          <w:sz w:val="32"/>
          <w:szCs w:val="32"/>
          <w:highlight w:val="none"/>
        </w:rPr>
      </w:pPr>
    </w:p>
    <w:p w14:paraId="68BF0B7B">
      <w:pPr>
        <w:spacing w:line="360" w:lineRule="auto"/>
        <w:rPr>
          <w:rFonts w:ascii="宋体" w:hAnsi="宋体" w:cs="宋体"/>
          <w:bCs/>
          <w:color w:val="auto"/>
          <w:sz w:val="24"/>
          <w:highlight w:val="none"/>
        </w:rPr>
        <w:sectPr>
          <w:pgSz w:w="11906" w:h="16838"/>
          <w:pgMar w:top="1440" w:right="1080" w:bottom="1440" w:left="1080" w:header="851" w:footer="992" w:gutter="0"/>
          <w:cols w:space="720" w:num="1"/>
          <w:titlePg/>
          <w:docGrid w:linePitch="312" w:charSpace="0"/>
        </w:sectPr>
      </w:pPr>
    </w:p>
    <w:p w14:paraId="566B7DAA">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附件8：工程量清单（另附）</w:t>
      </w:r>
    </w:p>
    <w:p w14:paraId="0469B2DE">
      <w:pPr>
        <w:spacing w:line="360" w:lineRule="auto"/>
        <w:rPr>
          <w:rFonts w:ascii="宋体" w:hAnsi="宋体" w:cs="宋体"/>
          <w:b/>
          <w:color w:val="auto"/>
          <w:spacing w:val="6"/>
          <w:sz w:val="32"/>
          <w:szCs w:val="32"/>
          <w:highlight w:val="none"/>
        </w:rPr>
      </w:pPr>
    </w:p>
    <w:p w14:paraId="1098A8BA">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附件9：图纸（另附）</w:t>
      </w:r>
    </w:p>
    <w:p w14:paraId="40F92E86">
      <w:pPr>
        <w:pStyle w:val="24"/>
        <w:rPr>
          <w:color w:val="auto"/>
          <w:highlight w:val="none"/>
        </w:rPr>
      </w:pPr>
    </w:p>
    <w:sectPr>
      <w:pgSz w:w="11906" w:h="16838"/>
      <w:pgMar w:top="1440" w:right="1080" w:bottom="1440" w:left="108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icrosoft JhengHei">
    <w:panose1 w:val="020B0604030504040204"/>
    <w:charset w:val="88"/>
    <w:family w:val="swiss"/>
    <w:pitch w:val="default"/>
    <w:sig w:usb0="000002A7" w:usb1="28CF4400" w:usb2="00000016" w:usb3="00000000" w:csb0="00100009" w:csb1="00000000"/>
  </w:font>
  <w:font w:name="Segoe Print">
    <w:panose1 w:val="02000600000000000000"/>
    <w:charset w:val="00"/>
    <w:family w:val="auto"/>
    <w:pitch w:val="default"/>
    <w:sig w:usb0="0000028F" w:usb1="00000000" w:usb2="00000000" w:usb3="00000000" w:csb0="2000009F" w:csb1="4701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F1BA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AC88D">
    <w:pPr>
      <w:pStyle w:val="39"/>
      <w:framePr w:wrap="around" w:vAnchor="text" w:hAnchor="margin" w:xAlign="right" w:y="1"/>
      <w:rPr>
        <w:rStyle w:val="72"/>
      </w:rPr>
    </w:pPr>
    <w:r>
      <w:fldChar w:fldCharType="begin"/>
    </w:r>
    <w:r>
      <w:rPr>
        <w:rStyle w:val="72"/>
      </w:rPr>
      <w:instrText xml:space="preserve">PAGE  </w:instrText>
    </w:r>
    <w:r>
      <w:fldChar w:fldCharType="end"/>
    </w:r>
  </w:p>
  <w:p w14:paraId="627A82E4">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2A6A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725E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3BAC1EF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3190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131A5D1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9035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14:paraId="393F68B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A5B0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w:t>
    </w:r>
  </w:p>
  <w:p w14:paraId="25815DD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1336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7767513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0211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62E8D81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1A4B5">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7BEAF">
    <w:pPr>
      <w:pStyle w:val="39"/>
      <w:framePr w:wrap="around" w:vAnchor="text" w:hAnchor="margin" w:xAlign="right" w:y="1"/>
      <w:rPr>
        <w:rStyle w:val="72"/>
      </w:rPr>
    </w:pPr>
    <w:r>
      <w:fldChar w:fldCharType="begin"/>
    </w:r>
    <w:r>
      <w:rPr>
        <w:rStyle w:val="72"/>
      </w:rPr>
      <w:instrText xml:space="preserve">PAGE  </w:instrText>
    </w:r>
    <w:r>
      <w:fldChar w:fldCharType="end"/>
    </w:r>
  </w:p>
  <w:p w14:paraId="048D21F9">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52F21C">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bookmarkStart w:id="424" w:name="_Toc164085800"/>
    <w:bookmarkStart w:id="425" w:name="_Toc36110187"/>
    <w:bookmarkStart w:id="426" w:name="_Toc91899912"/>
    <w:bookmarkStart w:id="427" w:name="_Toc131845147"/>
    <w:r>
      <w:rPr>
        <w:rFonts w:hint="eastAsia" w:ascii="仿宋_GB2312" w:eastAsia="仿宋_GB2312"/>
        <w:kern w:val="0"/>
        <w:szCs w:val="21"/>
      </w:rPr>
      <w:t xml:space="preserve"> 页</w:t>
    </w:r>
    <w:bookmarkEnd w:id="424"/>
    <w:bookmarkEnd w:id="425"/>
    <w:bookmarkEnd w:id="426"/>
    <w:bookmarkEnd w:id="42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F9F62">
    <w:pPr>
      <w:pStyle w:val="40"/>
      <w:pBdr>
        <w:bottom w:val="single" w:color="auto" w:sz="6" w:space="0"/>
      </w:pBdr>
      <w:jc w:val="right"/>
      <w:rPr>
        <w:rFonts w:ascii="仿宋_GB2312" w:eastAsia="仿宋_GB2312"/>
        <w:i/>
        <w:u w:val="single"/>
      </w:rPr>
    </w:pPr>
    <w:r>
      <w:rPr>
        <w:lang w:val="zh-CN"/>
      </w:rPr>
      <w:t>杭州市政府采购</w:t>
    </w:r>
    <w:r>
      <w:rPr>
        <w:rFonts w:hint="eastAsia"/>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76A7E1">
    <w:pPr>
      <w:pStyle w:val="40"/>
      <w:pBdr>
        <w:bottom w:val="single" w:color="auto" w:sz="6" w:space="0"/>
      </w:pBdr>
      <w:tabs>
        <w:tab w:val="center" w:pos="4535"/>
        <w:tab w:val="right" w:pos="9070"/>
        <w:tab w:val="clear" w:pos="4153"/>
        <w:tab w:val="clear" w:pos="8306"/>
      </w:tabs>
      <w:jc w:val="right"/>
    </w:pPr>
    <w:r>
      <w:rPr>
        <w:lang w:val="zh-CN"/>
      </w:rPr>
      <w:t>杭州市政府采购</w:t>
    </w:r>
    <w:r>
      <w:rPr>
        <w:rFonts w:hint="eastAsia"/>
        <w:lang w:val="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92821">
    <w:pPr>
      <w:pStyle w:val="40"/>
      <w:pBdr>
        <w:bottom w:val="single" w:color="auto" w:sz="6" w:space="0"/>
      </w:pBdr>
      <w:tabs>
        <w:tab w:val="center" w:pos="4535"/>
        <w:tab w:val="right" w:pos="9070"/>
        <w:tab w:val="clear" w:pos="4153"/>
        <w:tab w:val="clear" w:pos="8306"/>
      </w:tabs>
      <w:jc w:val="right"/>
    </w:pPr>
    <w:r>
      <w:rPr>
        <w:lang w:val="zh-CN"/>
      </w:rPr>
      <w:t>杭州市政府采购</w:t>
    </w: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1A3D2">
    <w:pPr>
      <w:pStyle w:val="40"/>
      <w:pBdr>
        <w:bottom w:val="single" w:color="auto" w:sz="6" w:space="0"/>
      </w:pBdr>
      <w:tabs>
        <w:tab w:val="center" w:pos="4535"/>
        <w:tab w:val="right" w:pos="9070"/>
        <w:tab w:val="clear" w:pos="4153"/>
        <w:tab w:val="clear" w:pos="8306"/>
      </w:tabs>
      <w:jc w:val="right"/>
      <w:rPr>
        <w:rFonts w:ascii="仿宋_GB2312" w:eastAsia="仿宋_GB2312"/>
        <w:b/>
        <w:i/>
        <w:u w:val="single"/>
      </w:rPr>
    </w:pPr>
    <w:r>
      <w:rPr>
        <w:lang w:val="zh-CN"/>
      </w:rPr>
      <w:t>杭州市政府采购</w:t>
    </w: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CAFB7">
    <w:pPr>
      <w:pStyle w:val="40"/>
      <w:pBdr>
        <w:bottom w:val="single" w:color="auto" w:sz="6" w:space="0"/>
      </w:pBdr>
      <w:tabs>
        <w:tab w:val="center" w:pos="4535"/>
        <w:tab w:val="right" w:pos="9070"/>
        <w:tab w:val="clear" w:pos="4153"/>
        <w:tab w:val="clear" w:pos="8306"/>
      </w:tabs>
      <w:jc w:val="right"/>
      <w:rPr>
        <w:rFonts w:ascii="仿宋_GB2312"/>
        <w:b/>
        <w:i/>
        <w:iCs/>
        <w:u w:val="single"/>
      </w:rPr>
    </w:pPr>
    <w:r>
      <w:rPr>
        <w:lang w:val="zh-CN"/>
      </w:rPr>
      <w:t>杭州市政府采购</w:t>
    </w:r>
    <w:r>
      <w:rPr>
        <w:rFonts w:hint="eastAsia"/>
        <w:lang w:val="zh-CN"/>
      </w:rPr>
      <w:t>竞争性磋商文件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I3MmVlMTlhNDNlMWQ1NmEzZGVkM2Q1MTkyYWMxNm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E44DC"/>
    <w:rsid w:val="019F7441"/>
    <w:rsid w:val="01B37585"/>
    <w:rsid w:val="01C65DA5"/>
    <w:rsid w:val="01D55165"/>
    <w:rsid w:val="01DF6BF8"/>
    <w:rsid w:val="01EC2C57"/>
    <w:rsid w:val="025F0711"/>
    <w:rsid w:val="026B2E25"/>
    <w:rsid w:val="02824D4D"/>
    <w:rsid w:val="02D94262"/>
    <w:rsid w:val="02DC4B10"/>
    <w:rsid w:val="02DD76CE"/>
    <w:rsid w:val="02E04D1F"/>
    <w:rsid w:val="02F36323"/>
    <w:rsid w:val="02F5619C"/>
    <w:rsid w:val="0326446A"/>
    <w:rsid w:val="032D5555"/>
    <w:rsid w:val="036634D2"/>
    <w:rsid w:val="03DD35E4"/>
    <w:rsid w:val="03F040A4"/>
    <w:rsid w:val="04076900"/>
    <w:rsid w:val="041A5A3B"/>
    <w:rsid w:val="042311BA"/>
    <w:rsid w:val="042B157A"/>
    <w:rsid w:val="048F763B"/>
    <w:rsid w:val="049F330E"/>
    <w:rsid w:val="04AA775C"/>
    <w:rsid w:val="04AF1889"/>
    <w:rsid w:val="04C64E6C"/>
    <w:rsid w:val="04F66F48"/>
    <w:rsid w:val="05251E14"/>
    <w:rsid w:val="05A16594"/>
    <w:rsid w:val="05A7762D"/>
    <w:rsid w:val="060E5941"/>
    <w:rsid w:val="06110FAF"/>
    <w:rsid w:val="061E21DC"/>
    <w:rsid w:val="06493CA7"/>
    <w:rsid w:val="065A6178"/>
    <w:rsid w:val="066F1CF3"/>
    <w:rsid w:val="06930BB8"/>
    <w:rsid w:val="07245D42"/>
    <w:rsid w:val="07264C62"/>
    <w:rsid w:val="0779354C"/>
    <w:rsid w:val="07A46B95"/>
    <w:rsid w:val="08061376"/>
    <w:rsid w:val="08452D77"/>
    <w:rsid w:val="086401F8"/>
    <w:rsid w:val="08751CAA"/>
    <w:rsid w:val="087E4C40"/>
    <w:rsid w:val="08923AEE"/>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703465"/>
    <w:rsid w:val="0AA374A5"/>
    <w:rsid w:val="0AAB7649"/>
    <w:rsid w:val="0ABC5606"/>
    <w:rsid w:val="0B026BD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CFF739F"/>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CF1390"/>
    <w:rsid w:val="12D81596"/>
    <w:rsid w:val="13072A44"/>
    <w:rsid w:val="135F4BE2"/>
    <w:rsid w:val="139B1A0A"/>
    <w:rsid w:val="139D25C7"/>
    <w:rsid w:val="13BF3CE4"/>
    <w:rsid w:val="13FD1F2D"/>
    <w:rsid w:val="141008D8"/>
    <w:rsid w:val="14125FE6"/>
    <w:rsid w:val="146D271E"/>
    <w:rsid w:val="14982588"/>
    <w:rsid w:val="149A5AD9"/>
    <w:rsid w:val="14A7619D"/>
    <w:rsid w:val="150536C3"/>
    <w:rsid w:val="150C1963"/>
    <w:rsid w:val="151447A0"/>
    <w:rsid w:val="152B4878"/>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081EBD"/>
    <w:rsid w:val="19932372"/>
    <w:rsid w:val="19A20DD5"/>
    <w:rsid w:val="19AE03F1"/>
    <w:rsid w:val="1A071A03"/>
    <w:rsid w:val="1A1F16AE"/>
    <w:rsid w:val="1A3B5C77"/>
    <w:rsid w:val="1A984BAD"/>
    <w:rsid w:val="1AA050D1"/>
    <w:rsid w:val="1AB8220E"/>
    <w:rsid w:val="1AE4166C"/>
    <w:rsid w:val="1AF06CFB"/>
    <w:rsid w:val="1AF11B8D"/>
    <w:rsid w:val="1B11359C"/>
    <w:rsid w:val="1B2A271F"/>
    <w:rsid w:val="1B530544"/>
    <w:rsid w:val="1B713184"/>
    <w:rsid w:val="1BA209CF"/>
    <w:rsid w:val="1BB4777D"/>
    <w:rsid w:val="1BD75AB8"/>
    <w:rsid w:val="1C0459C2"/>
    <w:rsid w:val="1C1B3B4A"/>
    <w:rsid w:val="1C7725CD"/>
    <w:rsid w:val="1C88086E"/>
    <w:rsid w:val="1D266CE1"/>
    <w:rsid w:val="1D3963AF"/>
    <w:rsid w:val="1D3D0FE5"/>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904124"/>
    <w:rsid w:val="1FE868A9"/>
    <w:rsid w:val="20034907"/>
    <w:rsid w:val="20173E4B"/>
    <w:rsid w:val="204E48BC"/>
    <w:rsid w:val="208921B3"/>
    <w:rsid w:val="20973DEB"/>
    <w:rsid w:val="20B26522"/>
    <w:rsid w:val="20B44310"/>
    <w:rsid w:val="211116EB"/>
    <w:rsid w:val="216133FC"/>
    <w:rsid w:val="21BC7A32"/>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664C88"/>
    <w:rsid w:val="258B00E2"/>
    <w:rsid w:val="25A917A6"/>
    <w:rsid w:val="25BE27CC"/>
    <w:rsid w:val="25F74A5C"/>
    <w:rsid w:val="2628662C"/>
    <w:rsid w:val="262D45DE"/>
    <w:rsid w:val="265D45AC"/>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8FE49D7"/>
    <w:rsid w:val="29345E77"/>
    <w:rsid w:val="294C65AD"/>
    <w:rsid w:val="29806583"/>
    <w:rsid w:val="298B3C4C"/>
    <w:rsid w:val="29ED6FC3"/>
    <w:rsid w:val="29F26D24"/>
    <w:rsid w:val="2A15033F"/>
    <w:rsid w:val="2A1662C1"/>
    <w:rsid w:val="2A1C7367"/>
    <w:rsid w:val="2A2815FA"/>
    <w:rsid w:val="2A6D6092"/>
    <w:rsid w:val="2A7D76B4"/>
    <w:rsid w:val="2AF43EEE"/>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A2FFA"/>
    <w:rsid w:val="2FFD7934"/>
    <w:rsid w:val="30733ACD"/>
    <w:rsid w:val="308C3862"/>
    <w:rsid w:val="309379D8"/>
    <w:rsid w:val="30A270F7"/>
    <w:rsid w:val="30DF1478"/>
    <w:rsid w:val="30EC586F"/>
    <w:rsid w:val="319C6071"/>
    <w:rsid w:val="31AC537E"/>
    <w:rsid w:val="31AF6988"/>
    <w:rsid w:val="31E3679B"/>
    <w:rsid w:val="31E732FD"/>
    <w:rsid w:val="32517576"/>
    <w:rsid w:val="32BE5C2C"/>
    <w:rsid w:val="32D63C1D"/>
    <w:rsid w:val="32FB6478"/>
    <w:rsid w:val="332410BB"/>
    <w:rsid w:val="33263B3F"/>
    <w:rsid w:val="336963EB"/>
    <w:rsid w:val="33816EEB"/>
    <w:rsid w:val="33E56E1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B7458"/>
    <w:rsid w:val="39FC5695"/>
    <w:rsid w:val="3A006D8E"/>
    <w:rsid w:val="3A204F94"/>
    <w:rsid w:val="3A3534C1"/>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362D2"/>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6176D3"/>
    <w:rsid w:val="418F0D2A"/>
    <w:rsid w:val="41D01505"/>
    <w:rsid w:val="42474939"/>
    <w:rsid w:val="424C3C57"/>
    <w:rsid w:val="42562684"/>
    <w:rsid w:val="42613FF3"/>
    <w:rsid w:val="42660D96"/>
    <w:rsid w:val="42813507"/>
    <w:rsid w:val="428667D2"/>
    <w:rsid w:val="42CD1CE0"/>
    <w:rsid w:val="42E1381E"/>
    <w:rsid w:val="42ED6459"/>
    <w:rsid w:val="42FE58DD"/>
    <w:rsid w:val="43174B3D"/>
    <w:rsid w:val="434B790E"/>
    <w:rsid w:val="4360274F"/>
    <w:rsid w:val="43977AB6"/>
    <w:rsid w:val="43A3342B"/>
    <w:rsid w:val="43C77C27"/>
    <w:rsid w:val="43DE09EE"/>
    <w:rsid w:val="44002FAD"/>
    <w:rsid w:val="441C37AA"/>
    <w:rsid w:val="449101DD"/>
    <w:rsid w:val="44DE1391"/>
    <w:rsid w:val="451B225C"/>
    <w:rsid w:val="452410C9"/>
    <w:rsid w:val="45317DFB"/>
    <w:rsid w:val="456D3CE4"/>
    <w:rsid w:val="4579042C"/>
    <w:rsid w:val="457F0571"/>
    <w:rsid w:val="45851176"/>
    <w:rsid w:val="45C55BC2"/>
    <w:rsid w:val="45C63B94"/>
    <w:rsid w:val="460E7DA5"/>
    <w:rsid w:val="46422483"/>
    <w:rsid w:val="4659254A"/>
    <w:rsid w:val="465B0637"/>
    <w:rsid w:val="465E3F0D"/>
    <w:rsid w:val="466A16E6"/>
    <w:rsid w:val="46893F2B"/>
    <w:rsid w:val="46C444E6"/>
    <w:rsid w:val="46C4686E"/>
    <w:rsid w:val="47586E40"/>
    <w:rsid w:val="477B778F"/>
    <w:rsid w:val="478203EC"/>
    <w:rsid w:val="47B025FA"/>
    <w:rsid w:val="4809698F"/>
    <w:rsid w:val="4811697D"/>
    <w:rsid w:val="487A3E25"/>
    <w:rsid w:val="488B5503"/>
    <w:rsid w:val="48937E21"/>
    <w:rsid w:val="489A0361"/>
    <w:rsid w:val="48B94FF3"/>
    <w:rsid w:val="48E37AAB"/>
    <w:rsid w:val="48FD4B4C"/>
    <w:rsid w:val="490A68E0"/>
    <w:rsid w:val="491055FE"/>
    <w:rsid w:val="493A4AAE"/>
    <w:rsid w:val="495F5B3E"/>
    <w:rsid w:val="496F77D7"/>
    <w:rsid w:val="497654FD"/>
    <w:rsid w:val="49B64211"/>
    <w:rsid w:val="49D41AAC"/>
    <w:rsid w:val="49F6167F"/>
    <w:rsid w:val="4A064FA0"/>
    <w:rsid w:val="4A16615C"/>
    <w:rsid w:val="4A4424D7"/>
    <w:rsid w:val="4A5C5F36"/>
    <w:rsid w:val="4AB82D0F"/>
    <w:rsid w:val="4AEB7664"/>
    <w:rsid w:val="4AFD7C19"/>
    <w:rsid w:val="4B0567D1"/>
    <w:rsid w:val="4B236AAE"/>
    <w:rsid w:val="4B2F799D"/>
    <w:rsid w:val="4B707271"/>
    <w:rsid w:val="4B9739F7"/>
    <w:rsid w:val="4BEE2503"/>
    <w:rsid w:val="4BF727EA"/>
    <w:rsid w:val="4C245A30"/>
    <w:rsid w:val="4C556096"/>
    <w:rsid w:val="4CB6685F"/>
    <w:rsid w:val="4CC367FE"/>
    <w:rsid w:val="4D077F3C"/>
    <w:rsid w:val="4D123355"/>
    <w:rsid w:val="4D2A3B31"/>
    <w:rsid w:val="4D312C52"/>
    <w:rsid w:val="4D905305"/>
    <w:rsid w:val="4D964A72"/>
    <w:rsid w:val="4D9C1254"/>
    <w:rsid w:val="4D9E5B15"/>
    <w:rsid w:val="4E793892"/>
    <w:rsid w:val="4E800872"/>
    <w:rsid w:val="4EC569ED"/>
    <w:rsid w:val="4ED50EA1"/>
    <w:rsid w:val="4EEC050C"/>
    <w:rsid w:val="4F104EC3"/>
    <w:rsid w:val="4F47354A"/>
    <w:rsid w:val="4F911C54"/>
    <w:rsid w:val="4FAB04B3"/>
    <w:rsid w:val="4FE625E0"/>
    <w:rsid w:val="5021480F"/>
    <w:rsid w:val="505C301C"/>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4C1537"/>
    <w:rsid w:val="53544462"/>
    <w:rsid w:val="5397158E"/>
    <w:rsid w:val="53E325D5"/>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2E78E5"/>
    <w:rsid w:val="575D12B5"/>
    <w:rsid w:val="57610A87"/>
    <w:rsid w:val="577B1140"/>
    <w:rsid w:val="577B7F21"/>
    <w:rsid w:val="577F181B"/>
    <w:rsid w:val="57921984"/>
    <w:rsid w:val="579737F0"/>
    <w:rsid w:val="57AB7B30"/>
    <w:rsid w:val="57AF5251"/>
    <w:rsid w:val="57B26373"/>
    <w:rsid w:val="57B63F04"/>
    <w:rsid w:val="57CD20C2"/>
    <w:rsid w:val="57D675AB"/>
    <w:rsid w:val="57D95FDD"/>
    <w:rsid w:val="583D08F4"/>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BE2749"/>
    <w:rsid w:val="5AD63A24"/>
    <w:rsid w:val="5AE51A4D"/>
    <w:rsid w:val="5B2E1A1D"/>
    <w:rsid w:val="5B843A1C"/>
    <w:rsid w:val="5B873E3F"/>
    <w:rsid w:val="5BA804D6"/>
    <w:rsid w:val="5C02690E"/>
    <w:rsid w:val="5C196DA7"/>
    <w:rsid w:val="5C2A048C"/>
    <w:rsid w:val="5C4D2220"/>
    <w:rsid w:val="5C80234E"/>
    <w:rsid w:val="5C8A680C"/>
    <w:rsid w:val="5D0C4701"/>
    <w:rsid w:val="5D0F0395"/>
    <w:rsid w:val="5D221076"/>
    <w:rsid w:val="5D397964"/>
    <w:rsid w:val="5D5A391C"/>
    <w:rsid w:val="5D5F10C0"/>
    <w:rsid w:val="5D790E2F"/>
    <w:rsid w:val="5D891B7B"/>
    <w:rsid w:val="5DAD38EE"/>
    <w:rsid w:val="5E006862"/>
    <w:rsid w:val="5E0207B9"/>
    <w:rsid w:val="5E1834A1"/>
    <w:rsid w:val="5E261785"/>
    <w:rsid w:val="5E4A7017"/>
    <w:rsid w:val="5E552BBA"/>
    <w:rsid w:val="5E611C10"/>
    <w:rsid w:val="5E7A0F3F"/>
    <w:rsid w:val="5E9D44EE"/>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0D059B"/>
    <w:rsid w:val="611D2366"/>
    <w:rsid w:val="614167AF"/>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1F5B67"/>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112C4A"/>
    <w:rsid w:val="672F3F24"/>
    <w:rsid w:val="673E055F"/>
    <w:rsid w:val="67551CE3"/>
    <w:rsid w:val="67900E3C"/>
    <w:rsid w:val="67A22552"/>
    <w:rsid w:val="67B22DCC"/>
    <w:rsid w:val="67BE71AA"/>
    <w:rsid w:val="67CF7323"/>
    <w:rsid w:val="67D90273"/>
    <w:rsid w:val="67DE5875"/>
    <w:rsid w:val="67E55852"/>
    <w:rsid w:val="67EB1AB4"/>
    <w:rsid w:val="67FA1285"/>
    <w:rsid w:val="68551F4F"/>
    <w:rsid w:val="687C10C9"/>
    <w:rsid w:val="68840C16"/>
    <w:rsid w:val="68876EFB"/>
    <w:rsid w:val="68884654"/>
    <w:rsid w:val="689F444F"/>
    <w:rsid w:val="68B96DBB"/>
    <w:rsid w:val="68CA2805"/>
    <w:rsid w:val="68E937A3"/>
    <w:rsid w:val="68FB149A"/>
    <w:rsid w:val="693E15D3"/>
    <w:rsid w:val="69627681"/>
    <w:rsid w:val="6977531D"/>
    <w:rsid w:val="69CC2BFF"/>
    <w:rsid w:val="69FD55B8"/>
    <w:rsid w:val="6A0B1C62"/>
    <w:rsid w:val="6A2406C8"/>
    <w:rsid w:val="6A3749C6"/>
    <w:rsid w:val="6A9A1ADF"/>
    <w:rsid w:val="6ADE0BD1"/>
    <w:rsid w:val="6AE81378"/>
    <w:rsid w:val="6AE96859"/>
    <w:rsid w:val="6B147746"/>
    <w:rsid w:val="6B24787C"/>
    <w:rsid w:val="6B573233"/>
    <w:rsid w:val="6B5B6274"/>
    <w:rsid w:val="6B935D53"/>
    <w:rsid w:val="6B955E03"/>
    <w:rsid w:val="6C1316F7"/>
    <w:rsid w:val="6C196F71"/>
    <w:rsid w:val="6C226FCB"/>
    <w:rsid w:val="6C31226F"/>
    <w:rsid w:val="6C517EC7"/>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9C1BBB"/>
    <w:rsid w:val="6FAE1A09"/>
    <w:rsid w:val="6FD75BF8"/>
    <w:rsid w:val="706C207F"/>
    <w:rsid w:val="707723D0"/>
    <w:rsid w:val="70F5661B"/>
    <w:rsid w:val="71360107"/>
    <w:rsid w:val="713B688E"/>
    <w:rsid w:val="7148279F"/>
    <w:rsid w:val="71D43752"/>
    <w:rsid w:val="71F1796A"/>
    <w:rsid w:val="71FB63D5"/>
    <w:rsid w:val="72154626"/>
    <w:rsid w:val="72262B5D"/>
    <w:rsid w:val="72283FF7"/>
    <w:rsid w:val="722E7212"/>
    <w:rsid w:val="723A0474"/>
    <w:rsid w:val="725923E4"/>
    <w:rsid w:val="72864BF7"/>
    <w:rsid w:val="72866971"/>
    <w:rsid w:val="729023FC"/>
    <w:rsid w:val="72B229E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D93560"/>
    <w:rsid w:val="77EC04CC"/>
    <w:rsid w:val="78775729"/>
    <w:rsid w:val="78A42DB0"/>
    <w:rsid w:val="78A656AB"/>
    <w:rsid w:val="78B2245C"/>
    <w:rsid w:val="78E172CC"/>
    <w:rsid w:val="78EA1D1F"/>
    <w:rsid w:val="79036DC3"/>
    <w:rsid w:val="7904172F"/>
    <w:rsid w:val="79091540"/>
    <w:rsid w:val="790F7E27"/>
    <w:rsid w:val="792A231A"/>
    <w:rsid w:val="79316829"/>
    <w:rsid w:val="797E66A9"/>
    <w:rsid w:val="798518A4"/>
    <w:rsid w:val="79A97383"/>
    <w:rsid w:val="79E27E8B"/>
    <w:rsid w:val="79F850CE"/>
    <w:rsid w:val="79FD443C"/>
    <w:rsid w:val="7A1D1975"/>
    <w:rsid w:val="7A217DF7"/>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D564F7"/>
    <w:rsid w:val="7CE00EED"/>
    <w:rsid w:val="7CE27788"/>
    <w:rsid w:val="7D0C32F1"/>
    <w:rsid w:val="7D0F408D"/>
    <w:rsid w:val="7D491C6C"/>
    <w:rsid w:val="7D5429C0"/>
    <w:rsid w:val="7D6E6D43"/>
    <w:rsid w:val="7DB57A34"/>
    <w:rsid w:val="7DE60973"/>
    <w:rsid w:val="7DEF0916"/>
    <w:rsid w:val="7E1E5218"/>
    <w:rsid w:val="7E6C679B"/>
    <w:rsid w:val="7E9A4E1F"/>
    <w:rsid w:val="7EA7723A"/>
    <w:rsid w:val="7EF56FBB"/>
    <w:rsid w:val="7F0768EB"/>
    <w:rsid w:val="7F143BEC"/>
    <w:rsid w:val="7F715AF2"/>
    <w:rsid w:val="7F7B47F9"/>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2"/>
    <w:autoRedefine/>
    <w:qFormat/>
    <w:uiPriority w:val="0"/>
    <w:pPr>
      <w:shd w:val="clear" w:color="auto" w:fill="000080"/>
    </w:pPr>
  </w:style>
  <w:style w:type="paragraph" w:styleId="19">
    <w:name w:val="annotation text"/>
    <w:basedOn w:val="1"/>
    <w:link w:val="344"/>
    <w:autoRedefine/>
    <w:qFormat/>
    <w:uiPriority w:val="99"/>
    <w:pPr>
      <w:jc w:val="left"/>
    </w:pPr>
  </w:style>
  <w:style w:type="paragraph" w:styleId="20">
    <w:name w:val="Salutation"/>
    <w:basedOn w:val="1"/>
    <w:next w:val="1"/>
    <w:link w:val="298"/>
    <w:autoRedefine/>
    <w:qFormat/>
    <w:uiPriority w:val="0"/>
    <w:rPr>
      <w:rFonts w:ascii="仿宋_GB2312" w:eastAsia="仿宋_GB2312"/>
      <w:sz w:val="28"/>
      <w:szCs w:val="20"/>
    </w:rPr>
  </w:style>
  <w:style w:type="paragraph" w:styleId="21">
    <w:name w:val="Body Text 3"/>
    <w:basedOn w:val="1"/>
    <w:link w:val="330"/>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1"/>
    <w:autoRedefine/>
    <w:qFormat/>
    <w:uiPriority w:val="0"/>
    <w:pPr>
      <w:ind w:left="100" w:leftChars="2500"/>
    </w:pPr>
    <w:rPr>
      <w:rFonts w:ascii="宋体"/>
      <w:sz w:val="24"/>
      <w:szCs w:val="21"/>
      <w:lang w:val="zh-CN"/>
    </w:rPr>
  </w:style>
  <w:style w:type="paragraph" w:styleId="36">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1"/>
    <w:autoRedefine/>
    <w:qFormat/>
    <w:uiPriority w:val="0"/>
    <w:rPr>
      <w:lang w:val="zh-CN"/>
    </w:rPr>
  </w:style>
  <w:style w:type="paragraph" w:styleId="38">
    <w:name w:val="Balloon Text"/>
    <w:basedOn w:val="1"/>
    <w:link w:val="188"/>
    <w:autoRedefine/>
    <w:qFormat/>
    <w:uiPriority w:val="0"/>
    <w:rPr>
      <w:sz w:val="18"/>
      <w:szCs w:val="18"/>
    </w:rPr>
  </w:style>
  <w:style w:type="paragraph" w:styleId="39">
    <w:name w:val="footer"/>
    <w:basedOn w:val="1"/>
    <w:link w:val="383"/>
    <w:autoRedefine/>
    <w:qFormat/>
    <w:uiPriority w:val="99"/>
    <w:pPr>
      <w:tabs>
        <w:tab w:val="center" w:pos="4153"/>
        <w:tab w:val="right" w:pos="8306"/>
      </w:tabs>
      <w:snapToGrid w:val="0"/>
      <w:jc w:val="left"/>
    </w:pPr>
    <w:rPr>
      <w:sz w:val="18"/>
      <w:szCs w:val="18"/>
    </w:rPr>
  </w:style>
  <w:style w:type="paragraph" w:styleId="40">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5"/>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5"/>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2"/>
    <w:autoRedefine/>
    <w:qFormat/>
    <w:uiPriority w:val="0"/>
    <w:pPr>
      <w:spacing w:after="120" w:line="480" w:lineRule="auto"/>
    </w:pPr>
  </w:style>
  <w:style w:type="paragraph" w:styleId="56">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autoRedefine/>
    <w:qFormat/>
    <w:uiPriority w:val="0"/>
    <w:rPr>
      <w:b/>
      <w:bCs/>
    </w:rPr>
  </w:style>
  <w:style w:type="paragraph" w:styleId="60">
    <w:name w:val="Body Text First Indent"/>
    <w:basedOn w:val="23"/>
    <w:next w:val="50"/>
    <w:link w:val="321"/>
    <w:autoRedefine/>
    <w:qFormat/>
    <w:uiPriority w:val="0"/>
    <w:pPr>
      <w:ind w:firstLine="420"/>
    </w:pPr>
    <w:rPr>
      <w:rFonts w:hAnsi="Calibri" w:cs="Times New Roman"/>
      <w:snapToGrid/>
      <w:szCs w:val="20"/>
    </w:rPr>
  </w:style>
  <w:style w:type="paragraph" w:styleId="61">
    <w:name w:val="Body Text First Indent 2"/>
    <w:basedOn w:val="24"/>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basedOn w:val="69"/>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character" w:styleId="79">
    <w:name w:val="footnote reference"/>
    <w:basedOn w:val="69"/>
    <w:autoRedefine/>
    <w:qFormat/>
    <w:uiPriority w:val="0"/>
    <w:rPr>
      <w:vertAlign w:val="superscript"/>
    </w:rPr>
  </w:style>
  <w:style w:type="paragraph" w:customStyle="1" w:styleId="80">
    <w:name w:val="段落"/>
    <w:basedOn w:val="81"/>
    <w:link w:val="388"/>
    <w:autoRedefine/>
    <w:qFormat/>
    <w:uiPriority w:val="0"/>
    <w:pPr>
      <w:adjustRightInd/>
      <w:spacing w:line="360" w:lineRule="auto"/>
      <w:ind w:firstLine="480" w:firstLineChars="200"/>
    </w:pPr>
    <w:rPr>
      <w:rFonts w:ascii="宋体" w:hAnsi="宋体"/>
      <w:kern w:val="0"/>
      <w:sz w:val="24"/>
      <w:szCs w:val="20"/>
    </w:rPr>
  </w:style>
  <w:style w:type="paragraph" w:customStyle="1" w:styleId="81">
    <w:name w:val="List Paragraph"/>
    <w:basedOn w:val="1"/>
    <w:autoRedefine/>
    <w:qFormat/>
    <w:uiPriority w:val="0"/>
    <w:pPr>
      <w:ind w:firstLine="420" w:firstLineChars="200"/>
    </w:p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59"/>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6"/>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8"/>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3"/>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5"/>
    <w:autoRedefine/>
    <w:qFormat/>
    <w:uiPriority w:val="0"/>
    <w:rPr>
      <w:rFonts w:ascii="宋体"/>
      <w:kern w:val="2"/>
      <w:sz w:val="24"/>
      <w:szCs w:val="21"/>
      <w:lang w:val="zh-CN"/>
    </w:rPr>
  </w:style>
  <w:style w:type="character" w:customStyle="1" w:styleId="182">
    <w:name w:val="标题 9 Char"/>
    <w:link w:val="11"/>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8"/>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8"/>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29"/>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6"/>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6"/>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列出段落1"/>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4"/>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2"/>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8"/>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7"/>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0"/>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6"/>
    <w:autoRedefine/>
    <w:qFormat/>
    <w:uiPriority w:val="0"/>
    <w:rPr>
      <w:rFonts w:ascii="黑体" w:hAnsi="Courier New" w:eastAsia="黑体"/>
    </w:rPr>
  </w:style>
  <w:style w:type="character" w:customStyle="1" w:styleId="302">
    <w:name w:val="正文文本 2 Char1"/>
    <w:link w:val="55"/>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6"/>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9"/>
    <w:autoRedefine/>
    <w:qFormat/>
    <w:uiPriority w:val="0"/>
    <w:rPr>
      <w:b/>
      <w:bCs/>
      <w:kern w:val="2"/>
      <w:sz w:val="24"/>
      <w:szCs w:val="24"/>
    </w:rPr>
  </w:style>
  <w:style w:type="character" w:customStyle="1" w:styleId="308">
    <w:name w:val="正文文本缩进 2 Char"/>
    <w:link w:val="36"/>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49"/>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0"/>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6"/>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1"/>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autoRedefine/>
    <w:qFormat/>
    <w:uiPriority w:val="99"/>
    <w:rPr>
      <w:kern w:val="2"/>
      <w:sz w:val="21"/>
      <w:szCs w:val="24"/>
    </w:rPr>
  </w:style>
  <w:style w:type="character" w:customStyle="1" w:styleId="345">
    <w:name w:val="签名 Char"/>
    <w:link w:val="41"/>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2"/>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39"/>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80"/>
    <w:autoRedefine/>
    <w:qFormat/>
    <w:uiPriority w:val="0"/>
    <w:rPr>
      <w:rFonts w:ascii="宋体" w:hAnsi="宋体"/>
      <w:sz w:val="24"/>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Char2"/>
    <w:link w:val="40"/>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156"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69"/>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99"/>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5"/>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69"/>
    <w:autoRedefine/>
    <w:qFormat/>
    <w:uiPriority w:val="0"/>
    <w:rPr>
      <w:rFonts w:ascii="Arial" w:hAnsi="Arial" w:eastAsia="黑体" w:cs="Arial"/>
      <w:snapToGrid w:val="0"/>
      <w:kern w:val="0"/>
      <w:szCs w:val="21"/>
    </w:rPr>
  </w:style>
  <w:style w:type="character" w:customStyle="1" w:styleId="431">
    <w:name w:val="hui"/>
    <w:basedOn w:val="69"/>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autoRedefine/>
    <w:qFormat/>
    <w:uiPriority w:val="0"/>
    <w:pPr>
      <w:tabs>
        <w:tab w:val="left" w:pos="2790"/>
        <w:tab w:val="left" w:pos="4230"/>
      </w:tabs>
      <w:spacing w:before="312" w:beforeLines="100"/>
      <w:jc w:val="left"/>
    </w:pPr>
  </w:style>
  <w:style w:type="paragraph" w:customStyle="1" w:styleId="459">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spacing w:before="0" w:after="0"/>
      <w:outlineLvl w:val="5"/>
    </w:pPr>
  </w:style>
  <w:style w:type="paragraph" w:customStyle="1" w:styleId="473">
    <w:name w:val="5级标题"/>
    <w:basedOn w:val="474"/>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仿宋_GB2312" w:eastAsia="仿宋_GB2312"/>
      <w:b/>
      <w:sz w:val="32"/>
      <w:szCs w:val="32"/>
    </w:rPr>
  </w:style>
  <w:style w:type="paragraph" w:customStyle="1" w:styleId="495">
    <w:name w:val="数字标题3"/>
    <w:basedOn w:val="4"/>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7"/>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仿宋_GB2312" w:eastAsia="仿宋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仿宋_GB2312" w:eastAsia="仿宋_GB2312"/>
      <w:b/>
      <w:sz w:val="32"/>
      <w:szCs w:val="32"/>
    </w:rPr>
  </w:style>
  <w:style w:type="paragraph" w:customStyle="1" w:styleId="502">
    <w:name w:val="Char2 Char Char Char1"/>
    <w:basedOn w:val="1"/>
    <w:autoRedefine/>
    <w:qFormat/>
    <w:uiPriority w:val="6"/>
    <w:rPr>
      <w:rFonts w:ascii="仿宋_GB2312" w:eastAsia="仿宋_GB2312"/>
      <w:b/>
      <w:sz w:val="32"/>
      <w:szCs w:val="32"/>
    </w:rPr>
  </w:style>
  <w:style w:type="paragraph" w:customStyle="1" w:styleId="503">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autoRedefine/>
    <w:qFormat/>
    <w:uiPriority w:val="0"/>
    <w:pPr>
      <w:adjustRightInd/>
      <w:ind w:firstLine="420" w:firstLineChars="200"/>
    </w:pPr>
    <w:rPr>
      <w:rFonts w:eastAsia="仿宋_GB2312"/>
      <w:sz w:val="28"/>
    </w:rPr>
  </w:style>
  <w:style w:type="paragraph" w:customStyle="1" w:styleId="521">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autoRedefine/>
    <w:qFormat/>
    <w:uiPriority w:val="0"/>
    <w:pPr>
      <w:adjustRightInd/>
      <w:ind w:firstLine="200" w:firstLineChars="200"/>
      <w:jc w:val="right"/>
    </w:pPr>
  </w:style>
  <w:style w:type="paragraph" w:customStyle="1" w:styleId="524">
    <w:name w:val="Char Char11 Char Char Char Char Char Char Char Char Char"/>
    <w:basedOn w:val="1"/>
    <w:autoRedefine/>
    <w:qFormat/>
    <w:uiPriority w:val="0"/>
    <w:pPr>
      <w:spacing w:line="360" w:lineRule="auto"/>
    </w:pPr>
    <w:rPr>
      <w:szCs w:val="20"/>
    </w:rPr>
  </w:style>
  <w:style w:type="paragraph" w:customStyle="1" w:styleId="525">
    <w:name w:val="正文1.25"/>
    <w:basedOn w:val="1"/>
    <w:autoRedefine/>
    <w:qFormat/>
    <w:uiPriority w:val="0"/>
    <w:pPr>
      <w:adjustRightInd/>
      <w:spacing w:line="300" w:lineRule="auto"/>
      <w:ind w:firstLine="480" w:firstLineChars="200"/>
    </w:pPr>
    <w:rPr>
      <w:sz w:val="24"/>
      <w:szCs w:val="20"/>
    </w:rPr>
  </w:style>
  <w:style w:type="paragraph" w:customStyle="1" w:styleId="526">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autoRedefine/>
    <w:qFormat/>
    <w:uiPriority w:val="6"/>
    <w:rPr>
      <w:rFonts w:ascii="仿宋_GB2312" w:eastAsia="仿宋_GB2312"/>
      <w:b/>
      <w:sz w:val="32"/>
      <w:szCs w:val="20"/>
    </w:rPr>
  </w:style>
  <w:style w:type="paragraph" w:customStyle="1" w:styleId="530">
    <w:name w:val="列出段落2"/>
    <w:basedOn w:val="1"/>
    <w:autoRedefine/>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autoRedefine/>
    <w:qFormat/>
    <w:uiPriority w:val="0"/>
    <w:rPr>
      <w:rFonts w:eastAsia="仿宋_GB2312"/>
      <w:sz w:val="28"/>
      <w:szCs w:val="20"/>
    </w:rPr>
  </w:style>
  <w:style w:type="paragraph" w:customStyle="1" w:styleId="532">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autoRedefine/>
    <w:qFormat/>
    <w:uiPriority w:val="0"/>
    <w:pPr>
      <w:widowControl/>
      <w:jc w:val="left"/>
    </w:pPr>
    <w:rPr>
      <w:rFonts w:cs="宋体"/>
      <w:sz w:val="24"/>
      <w:szCs w:val="20"/>
    </w:rPr>
  </w:style>
  <w:style w:type="paragraph" w:customStyle="1" w:styleId="534">
    <w:name w:val="彩色列表 - 强调文字颜色 11"/>
    <w:basedOn w:val="1"/>
    <w:autoRedefine/>
    <w:qFormat/>
    <w:uiPriority w:val="0"/>
    <w:pPr>
      <w:adjustRightInd/>
      <w:ind w:firstLine="420" w:firstLineChars="200"/>
    </w:pPr>
    <w:rPr>
      <w:rFonts w:ascii="Calibri" w:hAnsi="Calibri"/>
      <w:szCs w:val="22"/>
    </w:rPr>
  </w:style>
  <w:style w:type="paragraph" w:customStyle="1" w:styleId="535">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autoRedefine/>
    <w:qFormat/>
    <w:uiPriority w:val="6"/>
    <w:rPr>
      <w:szCs w:val="20"/>
    </w:rPr>
  </w:style>
  <w:style w:type="paragraph" w:customStyle="1" w:styleId="53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5"/>
    <w:next w:val="235"/>
    <w:autoRedefine/>
    <w:qFormat/>
    <w:uiPriority w:val="0"/>
    <w:pPr>
      <w:spacing w:after="68"/>
    </w:pPr>
    <w:rPr>
      <w:rFonts w:ascii="FHLHE E+ Futura Bk" w:eastAsia="FHLHE E+ Futura Bk" w:cs="Times New Roman"/>
      <w:color w:val="auto"/>
    </w:rPr>
  </w:style>
  <w:style w:type="paragraph" w:customStyle="1" w:styleId="545">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5"/>
    <w:next w:val="235"/>
    <w:autoRedefine/>
    <w:qFormat/>
    <w:uiPriority w:val="0"/>
    <w:rPr>
      <w:rFonts w:ascii="宋体" w:eastAsia="宋体" w:cs="Times New Roman"/>
      <w:color w:val="auto"/>
    </w:rPr>
  </w:style>
  <w:style w:type="paragraph" w:customStyle="1" w:styleId="54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autoRedefine/>
    <w:qFormat/>
    <w:uiPriority w:val="0"/>
    <w:rPr>
      <w:rFonts w:ascii="仿宋_GB2312" w:eastAsia="仿宋_GB2312"/>
      <w:b/>
      <w:sz w:val="32"/>
      <w:szCs w:val="32"/>
    </w:rPr>
  </w:style>
  <w:style w:type="paragraph" w:customStyle="1" w:styleId="551">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autoRedefine/>
    <w:qFormat/>
    <w:uiPriority w:val="0"/>
    <w:pPr>
      <w:spacing w:line="360" w:lineRule="auto"/>
    </w:pPr>
    <w:rPr>
      <w:szCs w:val="20"/>
    </w:rPr>
  </w:style>
  <w:style w:type="paragraph" w:customStyle="1" w:styleId="554">
    <w:name w:val="Char"/>
    <w:basedOn w:val="1"/>
    <w:autoRedefine/>
    <w:qFormat/>
    <w:uiPriority w:val="0"/>
    <w:rPr>
      <w:rFonts w:ascii="仿宋_GB2312" w:eastAsia="仿宋_GB2312"/>
      <w:b/>
      <w:sz w:val="32"/>
      <w:szCs w:val="32"/>
    </w:rPr>
  </w:style>
  <w:style w:type="paragraph" w:customStyle="1" w:styleId="555">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autoRedefine/>
    <w:qFormat/>
    <w:uiPriority w:val="0"/>
    <w:rPr>
      <w:szCs w:val="20"/>
    </w:rPr>
  </w:style>
  <w:style w:type="paragraph" w:customStyle="1" w:styleId="55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9">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autoRedefine/>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3">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4">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autoRedefine/>
    <w:qFormat/>
    <w:uiPriority w:val="0"/>
    <w:rPr>
      <w:szCs w:val="20"/>
    </w:rPr>
  </w:style>
  <w:style w:type="paragraph" w:customStyle="1" w:styleId="58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autoRedefine/>
    <w:qFormat/>
    <w:uiPriority w:val="0"/>
    <w:rPr>
      <w:rFonts w:ascii="Tahoma" w:hAnsi="Tahoma"/>
      <w:sz w:val="24"/>
      <w:szCs w:val="20"/>
    </w:rPr>
  </w:style>
  <w:style w:type="paragraph" w:customStyle="1" w:styleId="583">
    <w:name w:val="标题五"/>
    <w:basedOn w:val="1"/>
    <w:autoRedefine/>
    <w:qFormat/>
    <w:uiPriority w:val="0"/>
    <w:pPr>
      <w:adjustRightInd/>
      <w:spacing w:before="156" w:beforeLines="50" w:line="360" w:lineRule="auto"/>
    </w:pPr>
    <w:rPr>
      <w:b/>
      <w:sz w:val="24"/>
    </w:rPr>
  </w:style>
  <w:style w:type="paragraph" w:customStyle="1" w:styleId="584">
    <w:name w:val="Char Char1101"/>
    <w:basedOn w:val="1"/>
    <w:autoRedefine/>
    <w:qFormat/>
    <w:uiPriority w:val="0"/>
    <w:pPr>
      <w:spacing w:line="360" w:lineRule="auto"/>
    </w:pPr>
    <w:rPr>
      <w:rFonts w:ascii="Tahoma" w:hAnsi="Tahoma"/>
      <w:sz w:val="24"/>
      <w:szCs w:val="20"/>
    </w:rPr>
  </w:style>
  <w:style w:type="paragraph" w:customStyle="1" w:styleId="585">
    <w:name w:val="Char Char Char Char Char Char Char Char1"/>
    <w:basedOn w:val="1"/>
    <w:autoRedefine/>
    <w:qFormat/>
    <w:uiPriority w:val="0"/>
    <w:pPr>
      <w:tabs>
        <w:tab w:val="left" w:pos="360"/>
      </w:tabs>
    </w:pPr>
    <w:rPr>
      <w:sz w:val="24"/>
      <w:szCs w:val="20"/>
    </w:rPr>
  </w:style>
  <w:style w:type="paragraph" w:customStyle="1" w:styleId="586">
    <w:name w:val="Char Char Char 字元 字元"/>
    <w:basedOn w:val="1"/>
    <w:autoRedefine/>
    <w:qFormat/>
    <w:uiPriority w:val="0"/>
    <w:pPr>
      <w:adjustRightInd/>
      <w:spacing w:line="360" w:lineRule="auto"/>
      <w:ind w:firstLine="200" w:firstLineChars="200"/>
    </w:pPr>
    <w:rPr>
      <w:szCs w:val="20"/>
    </w:rPr>
  </w:style>
  <w:style w:type="paragraph" w:customStyle="1" w:styleId="587">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autoRedefine/>
    <w:qFormat/>
    <w:uiPriority w:val="0"/>
    <w:rPr>
      <w:rFonts w:ascii="仿宋_GB2312" w:eastAsia="仿宋_GB2312"/>
      <w:b/>
      <w:sz w:val="32"/>
      <w:szCs w:val="32"/>
    </w:rPr>
  </w:style>
  <w:style w:type="paragraph" w:customStyle="1" w:styleId="58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autoRedefine/>
    <w:qFormat/>
    <w:uiPriority w:val="0"/>
    <w:pPr>
      <w:adjustRightInd/>
    </w:pPr>
    <w:rPr>
      <w:sz w:val="18"/>
      <w:szCs w:val="20"/>
    </w:rPr>
  </w:style>
  <w:style w:type="paragraph" w:customStyle="1" w:styleId="59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9">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autoRedefine/>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5"/>
    <w:autoRedefine/>
    <w:qFormat/>
    <w:uiPriority w:val="0"/>
    <w:pPr>
      <w:snapToGrid w:val="0"/>
      <w:spacing w:line="360" w:lineRule="auto"/>
    </w:pPr>
    <w:rPr>
      <w:rFonts w:ascii="宋体"/>
      <w:b/>
      <w:sz w:val="24"/>
      <w:szCs w:val="20"/>
    </w:rPr>
  </w:style>
  <w:style w:type="paragraph" w:customStyle="1" w:styleId="604">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autoRedefine/>
    <w:qFormat/>
    <w:uiPriority w:val="7"/>
    <w:pPr>
      <w:adjustRightInd/>
    </w:pPr>
    <w:rPr>
      <w:rFonts w:ascii="宋体" w:hAnsi="Courier New"/>
    </w:rPr>
  </w:style>
  <w:style w:type="paragraph" w:customStyle="1" w:styleId="607">
    <w:name w:val="Char3"/>
    <w:basedOn w:val="1"/>
    <w:autoRedefine/>
    <w:qFormat/>
    <w:uiPriority w:val="0"/>
    <w:pPr>
      <w:adjustRightInd/>
    </w:pPr>
    <w:rPr>
      <w:rFonts w:ascii="仿宋_GB2312" w:eastAsia="仿宋_GB2312"/>
      <w:b/>
      <w:sz w:val="32"/>
      <w:szCs w:val="32"/>
    </w:rPr>
  </w:style>
  <w:style w:type="paragraph" w:customStyle="1" w:styleId="60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autoRedefine/>
    <w:qFormat/>
    <w:uiPriority w:val="0"/>
    <w:pPr>
      <w:widowControl/>
      <w:adjustRightInd/>
      <w:spacing w:after="160" w:line="240" w:lineRule="exact"/>
      <w:jc w:val="left"/>
    </w:pPr>
    <w:rPr>
      <w:szCs w:val="20"/>
    </w:rPr>
  </w:style>
  <w:style w:type="paragraph" w:customStyle="1" w:styleId="616">
    <w:name w:val="表格标题2"/>
    <w:basedOn w:val="617"/>
    <w:autoRedefine/>
    <w:qFormat/>
    <w:uiPriority w:val="0"/>
    <w:rPr>
      <w:b/>
    </w:rPr>
  </w:style>
  <w:style w:type="paragraph" w:customStyle="1" w:styleId="617">
    <w:name w:val="表格内文"/>
    <w:basedOn w:val="1"/>
    <w:autoRedefine/>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2"/>
    <w:autoRedefine/>
    <w:qFormat/>
    <w:uiPriority w:val="0"/>
    <w:pPr>
      <w:tabs>
        <w:tab w:val="left" w:pos="840"/>
      </w:tabs>
      <w:adjustRightInd/>
      <w:ind w:left="840" w:hanging="420"/>
    </w:pPr>
  </w:style>
  <w:style w:type="paragraph" w:customStyle="1" w:styleId="625">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156"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6"/>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autoRedefine/>
    <w:qFormat/>
    <w:uiPriority w:val="0"/>
    <w:pPr>
      <w:adjustRightInd/>
      <w:spacing w:line="360" w:lineRule="auto"/>
    </w:pPr>
    <w:rPr>
      <w:rFonts w:ascii="宋体" w:hAnsi="宋体"/>
      <w:szCs w:val="20"/>
    </w:rPr>
  </w:style>
  <w:style w:type="paragraph" w:customStyle="1" w:styleId="75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autoRedefine/>
    <w:qFormat/>
    <w:uiPriority w:val="0"/>
    <w:pPr>
      <w:adjustRightInd/>
    </w:pPr>
    <w:rPr>
      <w:rFonts w:ascii="Tahoma" w:hAnsi="Tahoma"/>
      <w:sz w:val="24"/>
    </w:rPr>
  </w:style>
  <w:style w:type="paragraph" w:customStyle="1" w:styleId="753">
    <w:name w:val="Char Char Char Char11"/>
    <w:basedOn w:val="1"/>
    <w:autoRedefine/>
    <w:qFormat/>
    <w:uiPriority w:val="0"/>
    <w:rPr>
      <w:rFonts w:ascii="Tahoma" w:hAnsi="Tahoma"/>
      <w:sz w:val="24"/>
      <w:szCs w:val="20"/>
    </w:rPr>
  </w:style>
  <w:style w:type="paragraph" w:customStyle="1" w:styleId="75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autoRedefine/>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autoRedefine/>
    <w:qFormat/>
    <w:uiPriority w:val="0"/>
    <w:pPr>
      <w:adjustRightInd/>
    </w:pPr>
    <w:rPr>
      <w:szCs w:val="20"/>
    </w:rPr>
  </w:style>
  <w:style w:type="paragraph" w:customStyle="1" w:styleId="7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autoRedefine/>
    <w:qFormat/>
    <w:uiPriority w:val="34"/>
    <w:pPr>
      <w:adjustRightInd/>
      <w:ind w:firstLine="420" w:firstLineChars="200"/>
    </w:pPr>
    <w:rPr>
      <w:rFonts w:eastAsia="仿宋_GB2312"/>
      <w:sz w:val="28"/>
    </w:rPr>
  </w:style>
  <w:style w:type="paragraph" w:customStyle="1" w:styleId="76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autoRedefine/>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autoRedefine/>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69">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autoRedefine/>
    <w:qFormat/>
    <w:uiPriority w:val="0"/>
    <w:rPr>
      <w:rFonts w:ascii="宋体" w:hAnsi="Times New Roman" w:eastAsia="宋体" w:cs="Times New Roman"/>
      <w:kern w:val="2"/>
      <w:lang w:val="en-US" w:eastAsia="zh-CN" w:bidi="ar-SA"/>
    </w:rPr>
  </w:style>
  <w:style w:type="paragraph" w:customStyle="1" w:styleId="771">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autoRedefine/>
    <w:qFormat/>
    <w:uiPriority w:val="0"/>
    <w:pPr>
      <w:tabs>
        <w:tab w:val="left" w:pos="360"/>
      </w:tabs>
    </w:pPr>
    <w:rPr>
      <w:sz w:val="24"/>
      <w:szCs w:val="20"/>
    </w:rPr>
  </w:style>
  <w:style w:type="paragraph" w:customStyle="1" w:styleId="77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autoRedefine/>
    <w:qFormat/>
    <w:uiPriority w:val="0"/>
    <w:pPr>
      <w:widowControl/>
      <w:adjustRightInd/>
    </w:pPr>
    <w:rPr>
      <w:kern w:val="0"/>
      <w:szCs w:val="21"/>
    </w:rPr>
  </w:style>
  <w:style w:type="paragraph" w:customStyle="1" w:styleId="784">
    <w:name w:val="Char6"/>
    <w:basedOn w:val="1"/>
    <w:autoRedefine/>
    <w:qFormat/>
    <w:uiPriority w:val="0"/>
    <w:rPr>
      <w:rFonts w:ascii="仿宋_GB2312" w:eastAsia="仿宋_GB2312"/>
      <w:b/>
      <w:sz w:val="32"/>
      <w:szCs w:val="32"/>
    </w:rPr>
  </w:style>
  <w:style w:type="paragraph" w:customStyle="1" w:styleId="785">
    <w:name w:val="Char111"/>
    <w:basedOn w:val="1"/>
    <w:autoRedefine/>
    <w:qFormat/>
    <w:uiPriority w:val="0"/>
    <w:rPr>
      <w:rFonts w:ascii="仿宋_GB2312" w:eastAsia="仿宋_GB2312"/>
      <w:b/>
      <w:sz w:val="32"/>
      <w:szCs w:val="32"/>
    </w:rPr>
  </w:style>
  <w:style w:type="paragraph" w:customStyle="1" w:styleId="786">
    <w:name w:val="标题3"/>
    <w:basedOn w:val="4"/>
    <w:next w:val="52"/>
    <w:autoRedefine/>
    <w:qFormat/>
    <w:uiPriority w:val="0"/>
    <w:pPr>
      <w:tabs>
        <w:tab w:val="clear" w:pos="900"/>
      </w:tabs>
      <w:spacing w:after="0" w:line="360" w:lineRule="auto"/>
    </w:pPr>
    <w:rPr>
      <w:rFonts w:ascii="仿宋" w:hAnsi="仿宋" w:eastAsia="仿宋" w:cs="仿宋"/>
    </w:rPr>
  </w:style>
  <w:style w:type="paragraph" w:customStyle="1" w:styleId="78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autoRedefine/>
    <w:qFormat/>
    <w:uiPriority w:val="0"/>
    <w:pPr>
      <w:adjustRightInd/>
      <w:ind w:firstLine="200" w:firstLineChars="200"/>
    </w:pPr>
    <w:rPr>
      <w:rFonts w:ascii="Tahoma" w:hAnsi="Tahoma"/>
      <w:sz w:val="24"/>
      <w:szCs w:val="20"/>
    </w:rPr>
  </w:style>
  <w:style w:type="paragraph" w:customStyle="1" w:styleId="790">
    <w:name w:val="列出段落11"/>
    <w:basedOn w:val="1"/>
    <w:autoRedefine/>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39"/>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autoRedefine/>
    <w:qFormat/>
    <w:uiPriority w:val="0"/>
    <w:pPr>
      <w:tabs>
        <w:tab w:val="left" w:pos="2940"/>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autoRedefine/>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1">
    <w:name w:val="单元格左对齐"/>
    <w:basedOn w:val="1"/>
    <w:autoRedefine/>
    <w:qFormat/>
    <w:uiPriority w:val="0"/>
    <w:pPr>
      <w:adjustRightInd/>
      <w:spacing w:line="360" w:lineRule="auto"/>
    </w:pPr>
    <w:rPr>
      <w:sz w:val="24"/>
    </w:rPr>
  </w:style>
  <w:style w:type="paragraph" w:customStyle="1" w:styleId="802">
    <w:name w:val="正文主体"/>
    <w:basedOn w:val="623"/>
    <w:autoRedefine/>
    <w:qFormat/>
    <w:uiPriority w:val="0"/>
  </w:style>
  <w:style w:type="paragraph" w:customStyle="1" w:styleId="80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autoRedefine/>
    <w:qFormat/>
    <w:uiPriority w:val="0"/>
    <w:pPr>
      <w:adjustRightInd/>
      <w:spacing w:line="360" w:lineRule="auto"/>
      <w:ind w:firstLine="480" w:firstLineChars="200"/>
    </w:pPr>
    <w:rPr>
      <w:sz w:val="24"/>
      <w:szCs w:val="20"/>
    </w:rPr>
  </w:style>
  <w:style w:type="paragraph" w:customStyle="1" w:styleId="807">
    <w:name w:val="P1"/>
    <w:basedOn w:val="1"/>
    <w:autoRedefine/>
    <w:qFormat/>
    <w:uiPriority w:val="0"/>
    <w:pPr>
      <w:adjustRightInd/>
      <w:spacing w:line="288" w:lineRule="auto"/>
      <w:ind w:firstLine="425" w:firstLineChars="200"/>
    </w:pPr>
  </w:style>
  <w:style w:type="paragraph" w:customStyle="1" w:styleId="808">
    <w:name w:val="列表内容"/>
    <w:basedOn w:val="1"/>
    <w:next w:val="1"/>
    <w:autoRedefine/>
    <w:qFormat/>
    <w:uiPriority w:val="0"/>
    <w:pPr>
      <w:widowControl/>
      <w:tabs>
        <w:tab w:val="left" w:pos="840"/>
      </w:tabs>
      <w:ind w:left="840" w:hanging="420"/>
      <w:jc w:val="left"/>
    </w:pPr>
    <w:rPr>
      <w:kern w:val="0"/>
      <w:sz w:val="18"/>
    </w:rPr>
  </w:style>
  <w:style w:type="paragraph" w:customStyle="1" w:styleId="809">
    <w:name w:val="Char Char11 Char Char Char1"/>
    <w:basedOn w:val="1"/>
    <w:autoRedefine/>
    <w:qFormat/>
    <w:uiPriority w:val="6"/>
    <w:pPr>
      <w:spacing w:line="360" w:lineRule="auto"/>
    </w:pPr>
    <w:rPr>
      <w:szCs w:val="20"/>
    </w:rPr>
  </w:style>
  <w:style w:type="paragraph" w:customStyle="1" w:styleId="8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1">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autoRedefine/>
    <w:qFormat/>
    <w:uiPriority w:val="0"/>
    <w:pPr>
      <w:spacing w:line="360" w:lineRule="auto"/>
    </w:pPr>
    <w:rPr>
      <w:szCs w:val="20"/>
    </w:rPr>
  </w:style>
  <w:style w:type="paragraph" w:customStyle="1" w:styleId="81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autoRedefine/>
    <w:qFormat/>
    <w:uiPriority w:val="0"/>
    <w:rPr>
      <w:rFonts w:ascii="仿宋_GB2312" w:eastAsia="仿宋_GB2312"/>
      <w:b/>
      <w:sz w:val="32"/>
      <w:szCs w:val="32"/>
    </w:rPr>
  </w:style>
  <w:style w:type="paragraph" w:customStyle="1" w:styleId="819">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2">
    <w:name w:val="Char Char4 Char Char"/>
    <w:basedOn w:val="1"/>
    <w:autoRedefine/>
    <w:qFormat/>
    <w:uiPriority w:val="0"/>
    <w:pPr>
      <w:widowControl/>
      <w:adjustRightInd/>
      <w:spacing w:after="160" w:line="240" w:lineRule="exact"/>
      <w:jc w:val="left"/>
    </w:pPr>
  </w:style>
  <w:style w:type="paragraph" w:customStyle="1" w:styleId="82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autoRedefine/>
    <w:qFormat/>
    <w:uiPriority w:val="0"/>
    <w:pPr>
      <w:tabs>
        <w:tab w:val="left" w:pos="1260"/>
      </w:tabs>
      <w:adjustRightInd/>
      <w:ind w:left="1260" w:hanging="420"/>
    </w:pPr>
  </w:style>
  <w:style w:type="paragraph" w:customStyle="1" w:styleId="83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autoRedefine/>
    <w:qFormat/>
    <w:uiPriority w:val="0"/>
    <w:rPr>
      <w:rFonts w:ascii="Tahoma" w:hAnsi="Tahoma" w:cs="仿宋_GB2312"/>
      <w:sz w:val="24"/>
      <w:szCs w:val="20"/>
    </w:rPr>
  </w:style>
  <w:style w:type="paragraph" w:customStyle="1" w:styleId="839">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autoRedefine/>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autoRedefine/>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autoRedefine/>
    <w:qFormat/>
    <w:uiPriority w:val="0"/>
    <w:pPr>
      <w:widowControl/>
      <w:spacing w:after="160" w:line="240" w:lineRule="exact"/>
      <w:jc w:val="left"/>
    </w:pPr>
    <w:rPr>
      <w:rFonts w:eastAsia="仿宋_GB2312"/>
      <w:sz w:val="28"/>
    </w:rPr>
  </w:style>
  <w:style w:type="paragraph" w:customStyle="1" w:styleId="860">
    <w:name w:val="Char21"/>
    <w:basedOn w:val="1"/>
    <w:autoRedefine/>
    <w:qFormat/>
    <w:uiPriority w:val="0"/>
    <w:pPr>
      <w:adjustRightInd/>
      <w:ind w:firstLine="200" w:firstLineChars="200"/>
    </w:pPr>
    <w:rPr>
      <w:rFonts w:ascii="仿宋_GB2312" w:eastAsia="仿宋_GB2312"/>
      <w:b/>
      <w:sz w:val="32"/>
      <w:szCs w:val="32"/>
    </w:rPr>
  </w:style>
  <w:style w:type="paragraph" w:customStyle="1" w:styleId="861">
    <w:name w:val="列表段落1"/>
    <w:basedOn w:val="1"/>
    <w:autoRedefine/>
    <w:qFormat/>
    <w:uiPriority w:val="34"/>
    <w:pPr>
      <w:adjustRightInd/>
      <w:ind w:right="238" w:firstLine="420"/>
    </w:pPr>
    <w:rPr>
      <w:rFonts w:ascii="Calibri" w:hAnsi="Calibri"/>
      <w:sz w:val="24"/>
    </w:rPr>
  </w:style>
  <w:style w:type="paragraph" w:customStyle="1" w:styleId="862">
    <w:name w:val="Char Char110"/>
    <w:basedOn w:val="1"/>
    <w:autoRedefine/>
    <w:qFormat/>
    <w:uiPriority w:val="6"/>
    <w:pPr>
      <w:spacing w:line="360" w:lineRule="auto"/>
    </w:pPr>
    <w:rPr>
      <w:rFonts w:ascii="Tahoma" w:hAnsi="Tahoma"/>
      <w:sz w:val="24"/>
      <w:szCs w:val="20"/>
    </w:rPr>
  </w:style>
  <w:style w:type="paragraph" w:customStyle="1" w:styleId="863">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5">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autoRedefine/>
    <w:qFormat/>
    <w:uiPriority w:val="0"/>
    <w:rPr>
      <w:rFonts w:ascii="Tahoma" w:hAnsi="Tahoma" w:cs="仿宋_GB2312"/>
      <w:sz w:val="24"/>
      <w:szCs w:val="20"/>
    </w:rPr>
  </w:style>
  <w:style w:type="paragraph" w:customStyle="1" w:styleId="868">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2">
    <w:name w:val="_Style 12"/>
    <w:basedOn w:val="18"/>
    <w:autoRedefine/>
    <w:qFormat/>
    <w:uiPriority w:val="0"/>
    <w:pPr>
      <w:snapToGrid w:val="0"/>
      <w:spacing w:line="360" w:lineRule="auto"/>
    </w:pPr>
  </w:style>
  <w:style w:type="paragraph" w:customStyle="1" w:styleId="873">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autoRedefine/>
    <w:qFormat/>
    <w:uiPriority w:val="0"/>
    <w:pPr>
      <w:outlineLvl w:val="2"/>
    </w:pPr>
  </w:style>
  <w:style w:type="paragraph" w:customStyle="1" w:styleId="880">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autoRedefine/>
    <w:qFormat/>
    <w:uiPriority w:val="0"/>
    <w:pPr>
      <w:adjustRightInd/>
      <w:ind w:firstLine="200" w:firstLineChars="200"/>
    </w:pPr>
    <w:rPr>
      <w:rFonts w:ascii="Tahoma" w:hAnsi="Tahoma"/>
      <w:sz w:val="24"/>
      <w:szCs w:val="20"/>
    </w:rPr>
  </w:style>
  <w:style w:type="paragraph" w:customStyle="1" w:styleId="882">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3">
    <w:name w:val="MM Empty"/>
    <w:basedOn w:val="1"/>
    <w:autoRedefine/>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autoRedefine/>
    <w:qFormat/>
    <w:uiPriority w:val="0"/>
  </w:style>
  <w:style w:type="paragraph" w:customStyle="1" w:styleId="886">
    <w:name w:val="U_编号2"/>
    <w:basedOn w:val="1"/>
    <w:autoRedefine/>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autoRedefine/>
    <w:qFormat/>
    <w:uiPriority w:val="34"/>
    <w:pPr>
      <w:adjustRightInd/>
      <w:ind w:firstLine="420" w:firstLineChars="200"/>
    </w:pPr>
    <w:rPr>
      <w:rFonts w:eastAsia="仿宋_GB2312"/>
      <w:sz w:val="28"/>
    </w:rPr>
  </w:style>
  <w:style w:type="paragraph" w:customStyle="1" w:styleId="892">
    <w:name w:val="表格 内容"/>
    <w:basedOn w:val="728"/>
    <w:autoRedefine/>
    <w:qFormat/>
    <w:uiPriority w:val="0"/>
    <w:rPr>
      <w:b w:val="0"/>
      <w:sz w:val="20"/>
    </w:rPr>
  </w:style>
  <w:style w:type="paragraph" w:customStyle="1" w:styleId="893">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autoRedefine/>
    <w:qFormat/>
    <w:uiPriority w:val="0"/>
    <w:pPr>
      <w:tabs>
        <w:tab w:val="left" w:pos="1080"/>
      </w:tabs>
      <w:ind w:left="1080" w:hanging="1080"/>
    </w:pPr>
  </w:style>
  <w:style w:type="paragraph" w:customStyle="1" w:styleId="896">
    <w:name w:val="数字标题1"/>
    <w:basedOn w:val="2"/>
    <w:next w:val="1"/>
    <w:autoRedefine/>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autoRedefine/>
    <w:qFormat/>
    <w:uiPriority w:val="0"/>
    <w:pPr>
      <w:widowControl/>
    </w:pPr>
    <w:rPr>
      <w:kern w:val="0"/>
      <w:sz w:val="24"/>
      <w:szCs w:val="20"/>
    </w:rPr>
  </w:style>
  <w:style w:type="paragraph" w:customStyle="1" w:styleId="904">
    <w:name w:val="Char Char113"/>
    <w:basedOn w:val="1"/>
    <w:autoRedefine/>
    <w:qFormat/>
    <w:uiPriority w:val="0"/>
    <w:pPr>
      <w:widowControl/>
      <w:spacing w:after="160" w:line="240" w:lineRule="exact"/>
      <w:jc w:val="left"/>
    </w:pPr>
    <w:rPr>
      <w:rFonts w:eastAsia="仿宋_GB2312"/>
      <w:sz w:val="28"/>
    </w:rPr>
  </w:style>
  <w:style w:type="paragraph" w:customStyle="1" w:styleId="90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autoRedefine/>
    <w:qFormat/>
    <w:uiPriority w:val="34"/>
    <w:pPr>
      <w:adjustRightInd/>
      <w:ind w:firstLine="420" w:firstLineChars="200"/>
    </w:pPr>
    <w:rPr>
      <w:rFonts w:eastAsia="仿宋_GB2312"/>
      <w:sz w:val="28"/>
    </w:rPr>
  </w:style>
  <w:style w:type="paragraph" w:customStyle="1" w:styleId="907">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autoRedefine/>
    <w:qFormat/>
    <w:uiPriority w:val="0"/>
    <w:pPr>
      <w:adjustRightInd/>
      <w:spacing w:before="0"/>
      <w:ind w:firstLine="0"/>
      <w:jc w:val="center"/>
    </w:pPr>
    <w:rPr>
      <w:rFonts w:ascii="微软雅黑" w:hAnsi="微软雅黑"/>
    </w:rPr>
  </w:style>
  <w:style w:type="paragraph" w:customStyle="1" w:styleId="914">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autoRedefine/>
    <w:qFormat/>
    <w:uiPriority w:val="0"/>
    <w:pPr>
      <w:ind w:left="0"/>
    </w:pPr>
  </w:style>
  <w:style w:type="paragraph" w:customStyle="1" w:styleId="917">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autoRedefine/>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autoRedefine/>
    <w:qFormat/>
    <w:uiPriority w:val="34"/>
    <w:pPr>
      <w:ind w:firstLine="420" w:firstLineChars="200"/>
    </w:pPr>
  </w:style>
  <w:style w:type="character" w:customStyle="1" w:styleId="927">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autoRedefine/>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7"/>
    <w:autoRedefine/>
    <w:qFormat/>
    <w:uiPriority w:val="0"/>
    <w:rPr>
      <w:kern w:val="2"/>
      <w:sz w:val="21"/>
      <w:szCs w:val="24"/>
      <w:lang w:val="zh-CN"/>
    </w:rPr>
  </w:style>
  <w:style w:type="character" w:customStyle="1" w:styleId="932">
    <w:name w:val="无间隔 字符"/>
    <w:link w:val="482"/>
    <w:autoRedefine/>
    <w:qFormat/>
    <w:uiPriority w:val="99"/>
    <w:rPr>
      <w:kern w:val="2"/>
      <w:sz w:val="21"/>
      <w:szCs w:val="22"/>
    </w:rPr>
  </w:style>
  <w:style w:type="character" w:customStyle="1" w:styleId="933">
    <w:name w:val="标准文本 Char Char"/>
    <w:link w:val="934"/>
    <w:autoRedefine/>
    <w:qFormat/>
    <w:uiPriority w:val="0"/>
    <w:rPr>
      <w:rFonts w:cs="宋体"/>
      <w:kern w:val="2"/>
      <w:sz w:val="24"/>
    </w:rPr>
  </w:style>
  <w:style w:type="paragraph" w:customStyle="1" w:styleId="934">
    <w:name w:val="标准文本"/>
    <w:basedOn w:val="1"/>
    <w:link w:val="933"/>
    <w:autoRedefine/>
    <w:qFormat/>
    <w:uiPriority w:val="0"/>
    <w:pPr>
      <w:adjustRightInd/>
      <w:spacing w:line="360" w:lineRule="auto"/>
      <w:ind w:firstLine="480" w:firstLineChars="200"/>
    </w:pPr>
    <w:rPr>
      <w:rFonts w:cs="宋体"/>
      <w:sz w:val="24"/>
      <w:szCs w:val="20"/>
    </w:rPr>
  </w:style>
  <w:style w:type="character" w:customStyle="1" w:styleId="935">
    <w:name w:val="Char Char213"/>
    <w:autoRedefine/>
    <w:qFormat/>
    <w:uiPriority w:val="0"/>
    <w:rPr>
      <w:rFonts w:eastAsia="Century Gothic"/>
      <w:b/>
      <w:bCs/>
      <w:kern w:val="44"/>
      <w:sz w:val="32"/>
      <w:szCs w:val="44"/>
      <w:lang w:val="en-US" w:eastAsia="zh-CN" w:bidi="ar-SA"/>
    </w:rPr>
  </w:style>
  <w:style w:type="character" w:customStyle="1" w:styleId="936">
    <w:name w:val="apple-style-span"/>
    <w:autoRedefine/>
    <w:qFormat/>
    <w:uiPriority w:val="0"/>
    <w:rPr>
      <w:rFonts w:ascii="Arial" w:hAnsi="Arial" w:eastAsia="黑体" w:cs="Arial"/>
      <w:snapToGrid w:val="0"/>
      <w:kern w:val="0"/>
      <w:szCs w:val="21"/>
    </w:rPr>
  </w:style>
  <w:style w:type="character" w:customStyle="1" w:styleId="937">
    <w:name w:val="15"/>
    <w:autoRedefine/>
    <w:qFormat/>
    <w:uiPriority w:val="0"/>
    <w:rPr>
      <w:rFonts w:hint="default" w:ascii="Calibri" w:hAnsi="Calibri"/>
      <w:color w:val="0000FF"/>
      <w:u w:val="single"/>
    </w:rPr>
  </w:style>
  <w:style w:type="character" w:customStyle="1" w:styleId="938">
    <w:name w:val="16"/>
    <w:autoRedefine/>
    <w:qFormat/>
    <w:uiPriority w:val="0"/>
    <w:rPr>
      <w:rFonts w:hint="eastAsia" w:ascii="宋体" w:hAnsi="宋体" w:eastAsia="宋体"/>
      <w:color w:val="000000"/>
      <w:sz w:val="20"/>
      <w:szCs w:val="20"/>
    </w:rPr>
  </w:style>
  <w:style w:type="character" w:customStyle="1" w:styleId="939">
    <w:name w:val="edui-unclickable"/>
    <w:autoRedefine/>
    <w:qFormat/>
    <w:uiPriority w:val="0"/>
    <w:rPr>
      <w:color w:val="808080"/>
    </w:rPr>
  </w:style>
  <w:style w:type="character" w:customStyle="1" w:styleId="940">
    <w:name w:val="tpc_content1"/>
    <w:autoRedefine/>
    <w:qFormat/>
    <w:uiPriority w:val="0"/>
    <w:rPr>
      <w:sz w:val="20"/>
      <w:szCs w:val="20"/>
    </w:rPr>
  </w:style>
  <w:style w:type="character" w:customStyle="1" w:styleId="941">
    <w:name w:val="正文文本缩进 字符"/>
    <w:autoRedefine/>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autoRedefine/>
    <w:qFormat/>
    <w:uiPriority w:val="0"/>
    <w:rPr>
      <w:color w:val="0000FF"/>
      <w:u w:val="single"/>
    </w:rPr>
  </w:style>
  <w:style w:type="character" w:customStyle="1" w:styleId="944">
    <w:name w:val="style1"/>
    <w:autoRedefine/>
    <w:qFormat/>
    <w:uiPriority w:val="0"/>
    <w:rPr>
      <w:rFonts w:ascii="Arial" w:hAnsi="Arial" w:eastAsia="黑体" w:cs="Arial"/>
      <w:snapToGrid w:val="0"/>
      <w:kern w:val="0"/>
      <w:szCs w:val="21"/>
    </w:rPr>
  </w:style>
  <w:style w:type="character" w:customStyle="1" w:styleId="945">
    <w:name w:val="zbggtop11 style5"/>
    <w:autoRedefine/>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7">
    <w:name w:val="bulletintext1"/>
    <w:autoRedefine/>
    <w:qFormat/>
    <w:uiPriority w:val="0"/>
    <w:rPr>
      <w:color w:val="000000"/>
      <w:sz w:val="18"/>
    </w:rPr>
  </w:style>
  <w:style w:type="paragraph" w:customStyle="1" w:styleId="948">
    <w:name w:val="_Style 947"/>
    <w:basedOn w:val="1"/>
    <w:next w:val="258"/>
    <w:autoRedefine/>
    <w:qFormat/>
    <w:uiPriority w:val="34"/>
    <w:pPr>
      <w:adjustRightInd/>
      <w:ind w:firstLine="420" w:firstLineChars="200"/>
    </w:pPr>
  </w:style>
  <w:style w:type="paragraph" w:customStyle="1" w:styleId="949">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1">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5">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autoRedefine/>
    <w:qFormat/>
    <w:uiPriority w:val="0"/>
    <w:pPr>
      <w:adjustRightInd/>
      <w:jc w:val="left"/>
    </w:pPr>
    <w:rPr>
      <w:rFonts w:ascii="Calibri" w:hAnsi="Calibri"/>
      <w:kern w:val="0"/>
      <w:sz w:val="22"/>
      <w:szCs w:val="22"/>
      <w:lang w:eastAsia="en-US"/>
    </w:rPr>
  </w:style>
  <w:style w:type="paragraph" w:customStyle="1" w:styleId="957">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autoRedefine/>
    <w:qFormat/>
    <w:uiPriority w:val="0"/>
    <w:rPr>
      <w:color w:val="000000"/>
      <w:shd w:val="clear" w:color="auto" w:fill="EFD200"/>
    </w:rPr>
  </w:style>
  <w:style w:type="character" w:customStyle="1" w:styleId="961">
    <w:name w:val="font71"/>
    <w:autoRedefine/>
    <w:qFormat/>
    <w:uiPriority w:val="0"/>
    <w:rPr>
      <w:rFonts w:hint="eastAsia" w:ascii="宋体" w:hAnsi="宋体" w:eastAsia="宋体" w:cs="宋体"/>
      <w:color w:val="000000"/>
      <w:sz w:val="22"/>
      <w:szCs w:val="22"/>
      <w:u w:val="none"/>
    </w:rPr>
  </w:style>
  <w:style w:type="character" w:customStyle="1" w:styleId="962">
    <w:name w:val="font91"/>
    <w:autoRedefine/>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3"/>
    <w:autoRedefine/>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4">
    <w:name w:val="p16"/>
    <w:basedOn w:val="1"/>
    <w:autoRedefine/>
    <w:qFormat/>
    <w:uiPriority w:val="0"/>
    <w:pPr>
      <w:widowControl/>
      <w:spacing w:before="100" w:after="100"/>
      <w:jc w:val="left"/>
    </w:pPr>
    <w:rPr>
      <w:rFonts w:ascii="宋体" w:hAnsi="宋体" w:cs="宋体"/>
      <w:color w:val="000000"/>
      <w:kern w:val="0"/>
      <w:sz w:val="24"/>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E22E11C-51AB-47DF-B442-849B3EEBA18D}">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114</Pages>
  <Words>60152</Words>
  <Characters>62793</Characters>
  <Lines>399</Lines>
  <Paragraphs>112</Paragraphs>
  <TotalTime>308</TotalTime>
  <ScaleCrop>false</ScaleCrop>
  <LinksUpToDate>false</LinksUpToDate>
  <CharactersWithSpaces>69275</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2022-05-06T23:35:00Z</dcterms:created>
  <dc:creator>玥</dc:creator>
  <cp:lastModifiedBy>李子怡</cp:lastModifiedBy>
  <cp:lastPrinted>2021-12-27T03:06:00Z</cp:lastPrinted>
  <dcterms:modified xsi:type="dcterms:W3CDTF">2024-06-14T15:14:52Z</dcterms:modified>
  <dc:title>杭州市市民卡扩大发卡工程</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9B27DCF9498A42F9B487BEB9CCEEA067_13</vt:lpwstr>
  </property>
  <property fmtid="{D5CDD505-2E9C-101B-9397-08002B2CF9AE}" pid="5" name="commondata">
    <vt:lpwstr>eyJoZGlkIjoiNGNlMmFkMDQ1NDY0ZmRiM2Q0NjY4NTFjN2IwMTllYjMifQ==</vt:lpwstr>
  </property>
</Properties>
</file>