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eastAsia="zh-CN"/>
        </w:rPr>
        <w:t>柯城区双港街道2024-3号、2024-4号地块土地污染物调查服务采购项目</w:t>
      </w:r>
    </w:p>
    <w:p>
      <w:pPr>
        <w:spacing w:before="600" w:beforeLines="250" w:line="312" w:lineRule="auto"/>
        <w:jc w:val="center"/>
        <w:rPr>
          <w:rFonts w:hint="eastAsia" w:ascii="宋体" w:hAnsi="宋体" w:eastAsia="宋体" w:cs="宋体"/>
          <w:bCs/>
          <w:color w:val="auto"/>
          <w:sz w:val="96"/>
          <w:szCs w:val="96"/>
          <w:highlight w:val="none"/>
        </w:rPr>
      </w:pPr>
    </w:p>
    <w:p>
      <w:pPr>
        <w:spacing w:before="600" w:beforeLines="250" w:line="312" w:lineRule="auto"/>
        <w:jc w:val="center"/>
        <w:rPr>
          <w:rFonts w:hint="eastAsia" w:ascii="宋体" w:hAnsi="宋体" w:eastAsia="宋体" w:cs="宋体"/>
          <w:bCs/>
          <w:color w:val="auto"/>
          <w:sz w:val="90"/>
          <w:szCs w:val="90"/>
          <w:highlight w:val="none"/>
        </w:rPr>
      </w:pPr>
      <w:r>
        <w:rPr>
          <w:rFonts w:hint="eastAsia" w:ascii="宋体" w:hAnsi="宋体" w:eastAsia="宋体" w:cs="宋体"/>
          <w:bCs/>
          <w:color w:val="auto"/>
          <w:sz w:val="96"/>
          <w:szCs w:val="96"/>
          <w:highlight w:val="none"/>
        </w:rPr>
        <w:t>招 标 文 件</w:t>
      </w: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480" w:lineRule="auto"/>
        <w:rPr>
          <w:rFonts w:hint="eastAsia" w:ascii="宋体" w:hAnsi="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柯城区双港街道2024-3号、2024-4号地块土地污染物调查服务采购项目</w:t>
      </w:r>
    </w:p>
    <w:p>
      <w:pPr>
        <w:spacing w:line="48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ZJTP2024012</w:t>
      </w:r>
    </w:p>
    <w:p>
      <w:pPr>
        <w:spacing w:line="48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eastAsia="zh-CN"/>
        </w:rPr>
        <w:t>衢州市柯城区双港街道办事处</w:t>
      </w:r>
    </w:p>
    <w:p>
      <w:pPr>
        <w:spacing w:line="48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代理机构：</w:t>
      </w:r>
      <w:r>
        <w:rPr>
          <w:rFonts w:hint="eastAsia" w:ascii="宋体" w:hAnsi="宋体" w:cs="宋体"/>
          <w:color w:val="auto"/>
          <w:sz w:val="32"/>
          <w:szCs w:val="32"/>
          <w:highlight w:val="none"/>
          <w:lang w:eastAsia="zh-CN"/>
        </w:rPr>
        <w:t>浙江天平投资咨询有限公司</w:t>
      </w:r>
    </w:p>
    <w:p>
      <w:pPr>
        <w:spacing w:line="312" w:lineRule="auto"/>
        <w:jc w:val="center"/>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spacing w:line="312" w:lineRule="auto"/>
        <w:jc w:val="center"/>
        <w:rPr>
          <w:rFonts w:hint="eastAsia" w:ascii="宋体" w:hAnsi="宋体" w:eastAsia="宋体" w:cs="宋体"/>
          <w:color w:val="auto"/>
          <w:sz w:val="32"/>
          <w:szCs w:val="32"/>
          <w:highlight w:val="none"/>
        </w:rPr>
        <w:sectPr>
          <w:headerReference r:id="rId3" w:type="default"/>
          <w:footerReference r:id="rId4" w:type="default"/>
          <w:pgSz w:w="11906" w:h="16838"/>
          <w:pgMar w:top="1389" w:right="1134" w:bottom="1389" w:left="1417" w:header="851" w:footer="992" w:gutter="283"/>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年</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rPr>
        <w:t>月</w:t>
      </w:r>
    </w:p>
    <w:p>
      <w:pPr>
        <w:snapToGrid w:val="0"/>
        <w:spacing w:line="312" w:lineRule="auto"/>
        <w:jc w:val="center"/>
        <w:rPr>
          <w:rFonts w:hint="eastAsia" w:ascii="宋体" w:hAnsi="宋体" w:eastAsia="宋体" w:cs="宋体"/>
          <w:bCs/>
          <w:color w:val="auto"/>
          <w:sz w:val="28"/>
          <w:szCs w:val="28"/>
          <w:highlight w:val="none"/>
        </w:rPr>
      </w:pPr>
    </w:p>
    <w:p>
      <w:pPr>
        <w:snapToGrid w:val="0"/>
        <w:spacing w:line="312"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目  录</w:t>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第二章  投标须知前附表及投标须知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"_Toc13978"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一、 投标须知前附表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"_Toc13996"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二、 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"_Toc24659"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三、 招标文件说明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四、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"_Toc21663"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五、 投标文件的签署及规定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"_Toc5517"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六、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七、 投标无效的情形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"_Toc8559"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八、 串通投标的情形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九、 废标的情形</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"_Toc17839"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 开标和评标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十一、 定标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"_Toc18414"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十二、 质疑与投诉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"_Toc29377"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十三、 法律责任</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_Toc29377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十四、 代理服务费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1"/>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"_Toc23429"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十五、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_Toc23429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"_Toc17730"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第三章  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第四章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第五章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"_Toc23244"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lang w:val="zh-CN"/>
        </w:rPr>
        <w:t>第六章</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评标办法及开标程序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9128"/>
        </w:tabs>
        <w:spacing w:line="312"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"_Toc15603"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1"/>
          <w:szCs w:val="21"/>
          <w:highlight w:val="none"/>
          <w:lang w:val="zh-CN"/>
        </w:rPr>
        <w:t xml:space="preserve">第七章  </w:t>
      </w:r>
      <w:r>
        <w:rPr>
          <w:rFonts w:hint="eastAsia" w:ascii="宋体" w:hAnsi="宋体" w:eastAsia="宋体" w:cs="宋体"/>
          <w:bCs/>
          <w:color w:val="auto"/>
          <w:sz w:val="21"/>
          <w:szCs w:val="21"/>
          <w:highlight w:val="none"/>
          <w:lang w:val="en-US" w:eastAsia="zh-CN"/>
        </w:rPr>
        <w:t>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w:t>
      </w:r>
    </w:p>
    <w:p>
      <w:pPr>
        <w:snapToGrid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0" w:name="_Toc354491895"/>
      <w:bookmarkStart w:id="1" w:name="_Toc356371429"/>
    </w:p>
    <w:p>
      <w:pPr>
        <w:snapToGrid w:val="0"/>
        <w:spacing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bookmarkStart w:id="2" w:name="_Toc12559"/>
      <w:bookmarkStart w:id="3" w:name="_Toc2041"/>
      <w:r>
        <w:rPr>
          <w:rFonts w:hint="eastAsia" w:ascii="宋体" w:hAnsi="宋体" w:eastAsia="宋体" w:cs="宋体"/>
          <w:b/>
          <w:bCs w:val="0"/>
          <w:color w:val="auto"/>
          <w:szCs w:val="21"/>
          <w:highlight w:val="none"/>
        </w:rPr>
        <w:t xml:space="preserve">第一章  </w:t>
      </w:r>
      <w:bookmarkEnd w:id="0"/>
      <w:r>
        <w:rPr>
          <w:rFonts w:hint="eastAsia" w:ascii="宋体" w:hAnsi="宋体" w:eastAsia="宋体" w:cs="宋体"/>
          <w:b/>
          <w:bCs w:val="0"/>
          <w:color w:val="auto"/>
          <w:szCs w:val="21"/>
          <w:highlight w:val="none"/>
        </w:rPr>
        <w:t>招标公告</w:t>
      </w:r>
      <w:bookmarkEnd w:id="1"/>
      <w:bookmarkEnd w:id="2"/>
      <w:bookmarkEnd w:id="3"/>
    </w:p>
    <w:p>
      <w:pPr>
        <w:spacing w:line="312" w:lineRule="auto"/>
        <w:jc w:val="center"/>
        <w:rPr>
          <w:rFonts w:hint="eastAsia" w:ascii="宋体" w:hAnsi="宋体" w:eastAsia="宋体" w:cs="宋体"/>
          <w:b/>
          <w:color w:val="auto"/>
          <w:sz w:val="21"/>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柯城区双港街道2024-3号、2024-4号地块土地污染物调查服务采购项目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浙江政府采购网上</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8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pStyle w:val="2"/>
        <w:spacing w:before="0" w:after="0" w:line="360" w:lineRule="auto"/>
        <w:ind w:firstLine="422" w:firstLineChars="200"/>
        <w:rPr>
          <w:rFonts w:hint="eastAsia" w:ascii="宋体" w:hAnsi="宋体" w:eastAsia="宋体" w:cs="宋体"/>
          <w:b/>
          <w:color w:val="auto"/>
          <w:sz w:val="21"/>
          <w:szCs w:val="21"/>
          <w:highlight w:val="none"/>
        </w:rPr>
      </w:pPr>
      <w:bookmarkStart w:id="4" w:name="_Toc35393798"/>
      <w:bookmarkStart w:id="5" w:name="_Toc29280"/>
      <w:bookmarkStart w:id="6" w:name="_Toc28359089"/>
      <w:bookmarkStart w:id="7" w:name="_Toc35393629"/>
      <w:bookmarkStart w:id="8" w:name="_Toc28359012"/>
      <w:r>
        <w:rPr>
          <w:rFonts w:hint="eastAsia" w:ascii="宋体" w:hAnsi="宋体" w:eastAsia="宋体" w:cs="宋体"/>
          <w:b/>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ZJTP2024012</w:t>
      </w:r>
      <w:r>
        <w:rPr>
          <w:rFonts w:hint="eastAsia" w:ascii="宋体" w:hAnsi="宋体" w:cs="宋体"/>
          <w:color w:val="auto"/>
          <w:sz w:val="21"/>
          <w:szCs w:val="21"/>
          <w:highlight w:val="none"/>
          <w:lang w:val="en-US" w:eastAsia="zh-CN"/>
        </w:rPr>
        <w:t xml:space="preserve"> </w:t>
      </w:r>
    </w:p>
    <w:p>
      <w:pPr>
        <w:spacing w:line="360" w:lineRule="auto"/>
        <w:ind w:firstLine="420" w:firstLineChars="200"/>
        <w:rPr>
          <w:rFonts w:hint="eastAsia" w:ascii="宋体" w:hAnsi="宋体" w:cs="宋体"/>
          <w:bCs/>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柯城区双港街道2024-3号、2024-4号地块土地污染物调查服务采购项目</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w:t>
      </w:r>
      <w:r>
        <w:rPr>
          <w:rFonts w:hint="eastAsia" w:ascii="宋体" w:hAnsi="宋体" w:cs="宋体"/>
          <w:color w:val="auto"/>
          <w:sz w:val="21"/>
          <w:szCs w:val="21"/>
          <w:highlight w:val="none"/>
          <w:lang w:val="en-US" w:eastAsia="zh-CN"/>
        </w:rPr>
        <w:t>公开招标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479600.00元</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476200.00元</w:t>
      </w:r>
    </w:p>
    <w:p>
      <w:pPr>
        <w:pStyle w:val="13"/>
        <w:spacing w:line="360" w:lineRule="auto"/>
        <w:ind w:firstLine="420" w:firstLineChars="200"/>
        <w:rPr>
          <w:rFonts w:hint="eastAsia" w:hAnsi="宋体" w:cs="宋体"/>
          <w:bCs/>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hAnsi="宋体" w:cs="宋体"/>
          <w:color w:val="auto"/>
          <w:sz w:val="21"/>
          <w:szCs w:val="21"/>
          <w:highlight w:val="none"/>
          <w:lang w:val="en-US" w:eastAsia="zh-CN"/>
        </w:rPr>
        <w:t>详见第三章</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标项名称: </w:t>
      </w:r>
      <w:r>
        <w:rPr>
          <w:rFonts w:hint="eastAsia" w:hAnsi="宋体" w:cs="宋体"/>
          <w:bCs/>
          <w:color w:val="auto"/>
          <w:sz w:val="21"/>
          <w:szCs w:val="21"/>
          <w:highlight w:val="none"/>
          <w:lang w:val="en-US" w:eastAsia="zh-CN"/>
        </w:rPr>
        <w:t>柯城区双港街道2024-3号、2024-4号地块土地污染物调查服务采购项目</w:t>
      </w:r>
    </w:p>
    <w:p>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r>
        <w:rPr>
          <w:rFonts w:hint="eastAsia" w:hAnsi="宋体" w:cs="宋体"/>
          <w:color w:val="auto"/>
          <w:sz w:val="21"/>
          <w:szCs w:val="21"/>
          <w:highlight w:val="none"/>
          <w:lang w:val="en-US" w:eastAsia="zh-CN"/>
        </w:rPr>
        <w:t>1</w:t>
      </w:r>
    </w:p>
    <w:p>
      <w:pPr>
        <w:pStyle w:val="13"/>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hAnsi="宋体" w:cs="宋体"/>
          <w:color w:val="auto"/>
          <w:sz w:val="21"/>
          <w:szCs w:val="21"/>
          <w:highlight w:val="none"/>
          <w:lang w:val="en-US" w:eastAsia="zh-CN"/>
        </w:rPr>
        <w:t>479600.00</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sz w:val="21"/>
          <w:szCs w:val="21"/>
          <w:highlight w:val="none"/>
          <w:lang w:val="en-US" w:eastAsia="zh-CN"/>
        </w:rPr>
        <w:t>/</w:t>
      </w:r>
    </w:p>
    <w:p>
      <w:pPr>
        <w:pStyle w:val="13"/>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bCs/>
          <w:color w:val="auto"/>
          <w:sz w:val="21"/>
          <w:szCs w:val="21"/>
          <w:highlight w:val="none"/>
        </w:rPr>
        <w:t>详细采购需求见</w:t>
      </w:r>
      <w:r>
        <w:rPr>
          <w:rFonts w:hint="eastAsia" w:hAnsi="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文件第三部分</w:t>
      </w:r>
    </w:p>
    <w:p>
      <w:pPr>
        <w:rPr>
          <w:rFonts w:hint="eastAsia"/>
          <w:color w:val="auto"/>
          <w:highlight w:val="none"/>
        </w:rPr>
      </w:pPr>
    </w:p>
    <w:p>
      <w:pPr>
        <w:spacing w:line="36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接受委托后60日历天内完成</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hAnsi="宋体" w:cs="宋体"/>
          <w:b w:val="0"/>
          <w:bCs/>
          <w:snapToGrid/>
          <w:color w:val="auto"/>
          <w:kern w:val="2"/>
          <w:sz w:val="21"/>
          <w:szCs w:val="21"/>
          <w:highlight w:val="none"/>
          <w:lang w:val="en-US" w:eastAsia="zh-CN"/>
        </w:rPr>
      </w:pPr>
      <w:bookmarkStart w:id="9" w:name="_Toc35393799"/>
      <w:bookmarkStart w:id="10" w:name="_Toc28359090"/>
      <w:bookmarkStart w:id="11" w:name="_Toc35393630"/>
      <w:bookmarkStart w:id="12" w:name="_Toc28359013"/>
      <w:r>
        <w:rPr>
          <w:rFonts w:hint="eastAsia" w:hAnsi="宋体" w:cs="宋体"/>
          <w:b w:val="0"/>
          <w:bCs/>
          <w:color w:val="auto"/>
          <w:sz w:val="21"/>
          <w:szCs w:val="21"/>
          <w:highlight w:val="none"/>
        </w:rPr>
        <w:t>本项目接受联合体投标：</w:t>
      </w:r>
      <w:sdt>
        <w:sdtPr>
          <w:rPr>
            <w:rFonts w:hint="eastAsia" w:ascii="宋体" w:hAnsi="宋体" w:cs="宋体"/>
            <w:b w:val="0"/>
            <w:bCs/>
            <w:color w:val="auto"/>
            <w:kern w:val="0"/>
            <w:sz w:val="21"/>
            <w:szCs w:val="21"/>
            <w:highlight w:val="none"/>
          </w:rPr>
          <w:id w:val="4648"/>
          <w14:checkbox>
            <w14:checked w14:val="0"/>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MS Gothic" w:hAnsi="MS Gothic" w:eastAsia="宋体" w:cs="宋体"/>
              <w:b w:val="0"/>
              <w:bCs/>
              <w:snapToGrid/>
              <w:color w:val="auto"/>
              <w:kern w:val="2"/>
              <w:sz w:val="21"/>
              <w:szCs w:val="21"/>
              <w:highlight w:val="none"/>
              <w:lang w:val="en-US" w:eastAsia="zh-CN" w:bidi="ar-SA"/>
            </w:rPr>
            <w:t>☐</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是；</w:t>
      </w:r>
      <w:sdt>
        <w:sdtPr>
          <w:rPr>
            <w:rFonts w:hint="eastAsia" w:ascii="宋体" w:hAnsi="宋体" w:cs="宋体"/>
            <w:b w:val="0"/>
            <w:bCs/>
            <w:snapToGrid/>
            <w:color w:val="auto"/>
            <w:kern w:val="2"/>
            <w:sz w:val="21"/>
            <w:szCs w:val="21"/>
            <w:highlight w:val="none"/>
          </w:rPr>
          <w:id w:val="4649"/>
          <w14:checkbox>
            <w14:checked w14:val="1"/>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Wingdings" w:hAnsi="Wingdings" w:eastAsia="宋体" w:cs="宋体"/>
              <w:b w:val="0"/>
              <w:bCs/>
              <w:snapToGrid/>
              <w:color w:val="auto"/>
              <w:kern w:val="2"/>
              <w:sz w:val="21"/>
              <w:szCs w:val="21"/>
              <w:highlight w:val="none"/>
              <w:lang w:val="en-US" w:eastAsia="zh-CN" w:bidi="ar-SA"/>
            </w:rPr>
            <w:t>þ</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否</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9"/>
      <w:bookmarkEnd w:id="10"/>
      <w:bookmarkEnd w:id="11"/>
      <w:bookmarkEnd w:id="12"/>
    </w:p>
    <w:p>
      <w:pPr>
        <w:spacing w:line="360" w:lineRule="auto"/>
        <w:ind w:firstLine="420" w:firstLineChars="200"/>
        <w:rPr>
          <w:rFonts w:hint="eastAsia" w:ascii="宋体" w:hAnsi="宋体" w:eastAsia="宋体" w:cs="宋体"/>
          <w:color w:val="auto"/>
          <w:sz w:val="21"/>
          <w:szCs w:val="21"/>
          <w:highlight w:val="none"/>
        </w:rPr>
      </w:pPr>
      <w:bookmarkStart w:id="13" w:name="_Toc28359091"/>
      <w:bookmarkStart w:id="14" w:name="_Toc2835901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2.落实政府采购政策需满足的资格要求：专门面向中小企业（服务全部由符合政策要求的中小企业承接，提供中小企业声明函）</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pPr>
        <w:pStyle w:val="2"/>
        <w:spacing w:before="0" w:after="0" w:line="360" w:lineRule="auto"/>
        <w:ind w:firstLine="422" w:firstLineChars="200"/>
        <w:rPr>
          <w:rFonts w:hint="eastAsia" w:ascii="宋体" w:hAnsi="宋体" w:eastAsia="宋体" w:cs="宋体"/>
          <w:b/>
          <w:color w:val="auto"/>
          <w:sz w:val="21"/>
          <w:szCs w:val="21"/>
          <w:highlight w:val="none"/>
        </w:rPr>
      </w:pPr>
      <w:bookmarkStart w:id="15" w:name="_Toc17427"/>
      <w:bookmarkStart w:id="16" w:name="_Toc35393800"/>
      <w:bookmarkStart w:id="17" w:name="_Toc35393631"/>
      <w:r>
        <w:rPr>
          <w:rFonts w:hint="eastAsia" w:ascii="宋体" w:hAnsi="宋体" w:eastAsia="宋体" w:cs="宋体"/>
          <w:b/>
          <w:color w:val="auto"/>
          <w:sz w:val="21"/>
          <w:szCs w:val="21"/>
          <w:highlight w:val="none"/>
        </w:rPr>
        <w:t>三、获取采购文件</w:t>
      </w:r>
      <w:bookmarkEnd w:id="13"/>
      <w:bookmarkEnd w:id="14"/>
      <w:bookmarkEnd w:id="15"/>
      <w:bookmarkEnd w:id="16"/>
      <w:bookmarkEnd w:id="1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截</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rPr>
        <w:t>日（北京时间，线上获取法定节假日均可，线下获取文件法定节假日除外）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地点（网址）：浙江政府采购网（http://zfcg.czt.zj.gov.cn/）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售价（元）：0 </w:t>
      </w:r>
    </w:p>
    <w:p>
      <w:pPr>
        <w:pStyle w:val="2"/>
        <w:spacing w:before="0" w:after="0" w:line="360" w:lineRule="auto"/>
        <w:ind w:firstLine="422" w:firstLineChars="200"/>
        <w:rPr>
          <w:rFonts w:hint="eastAsia" w:ascii="宋体" w:hAnsi="宋体" w:eastAsia="宋体" w:cs="宋体"/>
          <w:b/>
          <w:color w:val="auto"/>
          <w:sz w:val="21"/>
          <w:szCs w:val="21"/>
          <w:highlight w:val="none"/>
        </w:rPr>
      </w:pPr>
      <w:bookmarkStart w:id="18" w:name="_Toc18004"/>
      <w:bookmarkStart w:id="19" w:name="_Toc28359092"/>
      <w:bookmarkStart w:id="20" w:name="_Toc35393801"/>
      <w:bookmarkStart w:id="21" w:name="_Toc35393632"/>
      <w:bookmarkStart w:id="22" w:name="_Toc28359015"/>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文件提交</w:t>
      </w:r>
      <w:bookmarkEnd w:id="18"/>
      <w:bookmarkEnd w:id="19"/>
      <w:bookmarkEnd w:id="20"/>
      <w:bookmarkEnd w:id="21"/>
      <w:bookmarkEnd w:id="22"/>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 8 </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地点：供应商应于投标文件提交截止时间前按照电子投标要求将电子加密标书上传到“政采云”平台，逾期或未上传成功的将被政府采购云平台拒收。</w:t>
      </w:r>
    </w:p>
    <w:p>
      <w:pPr>
        <w:pStyle w:val="2"/>
        <w:spacing w:before="0" w:after="0" w:line="360" w:lineRule="auto"/>
        <w:ind w:firstLine="422" w:firstLineChars="200"/>
        <w:rPr>
          <w:rFonts w:hint="eastAsia" w:ascii="宋体" w:hAnsi="宋体" w:eastAsia="宋体" w:cs="宋体"/>
          <w:b/>
          <w:color w:val="auto"/>
          <w:sz w:val="21"/>
          <w:szCs w:val="21"/>
          <w:highlight w:val="none"/>
        </w:rPr>
      </w:pPr>
      <w:bookmarkStart w:id="23" w:name="_Toc28359016"/>
      <w:bookmarkStart w:id="24" w:name="_Toc35393633"/>
      <w:bookmarkStart w:id="25" w:name="_Toc28359093"/>
      <w:bookmarkStart w:id="26" w:name="_Toc35393802"/>
      <w:bookmarkStart w:id="27" w:name="_Toc12084"/>
      <w:r>
        <w:rPr>
          <w:rFonts w:hint="eastAsia" w:ascii="宋体" w:hAnsi="宋体" w:eastAsia="宋体" w:cs="宋体"/>
          <w:b/>
          <w:color w:val="auto"/>
          <w:sz w:val="21"/>
          <w:szCs w:val="21"/>
          <w:highlight w:val="none"/>
        </w:rPr>
        <w:t>五、开启</w:t>
      </w:r>
      <w:bookmarkEnd w:id="23"/>
      <w:bookmarkEnd w:id="24"/>
      <w:bookmarkEnd w:id="25"/>
      <w:bookmarkEnd w:id="26"/>
      <w:bookmarkEnd w:id="27"/>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w:t>
      </w:r>
      <w:r>
        <w:rPr>
          <w:rFonts w:hint="eastAsia" w:ascii="宋体" w:hAnsi="宋体" w:cs="宋体"/>
          <w:bCs/>
          <w:color w:val="auto"/>
          <w:sz w:val="21"/>
          <w:szCs w:val="21"/>
          <w:highlight w:val="none"/>
          <w:u w:val="single"/>
          <w:lang w:val="en-US" w:eastAsia="zh-CN"/>
        </w:rPr>
        <w:t xml:space="preserve"> 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政采云平台（https://www.zcygov.cn/）</w:t>
      </w:r>
      <w:r>
        <w:rPr>
          <w:rFonts w:hint="eastAsia" w:ascii="宋体" w:hAnsi="宋体" w:eastAsia="宋体" w:cs="宋体"/>
          <w:color w:val="auto"/>
          <w:sz w:val="21"/>
          <w:szCs w:val="21"/>
          <w:highlight w:val="none"/>
          <w:lang w:eastAsia="zh-CN"/>
        </w:rPr>
        <w:t xml:space="preserve">。 </w:t>
      </w:r>
    </w:p>
    <w:p>
      <w:pPr>
        <w:pStyle w:val="2"/>
        <w:spacing w:before="0" w:after="0" w:line="360" w:lineRule="auto"/>
        <w:ind w:firstLine="422" w:firstLineChars="200"/>
        <w:rPr>
          <w:rFonts w:hint="eastAsia" w:ascii="宋体" w:hAnsi="宋体" w:eastAsia="宋体" w:cs="宋体"/>
          <w:b/>
          <w:color w:val="auto"/>
          <w:sz w:val="21"/>
          <w:szCs w:val="21"/>
          <w:highlight w:val="none"/>
        </w:rPr>
      </w:pPr>
      <w:bookmarkStart w:id="28" w:name="_Toc35393634"/>
      <w:bookmarkStart w:id="29" w:name="_Toc28359017"/>
      <w:bookmarkStart w:id="30" w:name="_Toc28359094"/>
      <w:bookmarkStart w:id="31" w:name="_Toc35393803"/>
      <w:bookmarkStart w:id="32" w:name="_Toc25756"/>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、公告期限</w:t>
      </w:r>
      <w:bookmarkEnd w:id="28"/>
      <w:bookmarkEnd w:id="29"/>
      <w:bookmarkEnd w:id="30"/>
      <w:bookmarkEnd w:id="31"/>
      <w:bookmarkEnd w:id="32"/>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pPr>
        <w:pStyle w:val="2"/>
        <w:numPr>
          <w:ilvl w:val="0"/>
          <w:numId w:val="0"/>
        </w:numPr>
        <w:spacing w:before="0" w:after="0" w:line="360" w:lineRule="auto"/>
        <w:ind w:firstLine="422" w:firstLineChars="200"/>
        <w:rPr>
          <w:rFonts w:hint="eastAsia" w:ascii="宋体" w:hAnsi="宋体" w:eastAsia="宋体" w:cs="宋体"/>
          <w:b/>
          <w:color w:val="auto"/>
          <w:sz w:val="21"/>
          <w:szCs w:val="21"/>
          <w:highlight w:val="none"/>
        </w:rPr>
      </w:pPr>
      <w:bookmarkStart w:id="33" w:name="_Toc35393804"/>
      <w:bookmarkStart w:id="34" w:name="_Toc35393635"/>
      <w:bookmarkStart w:id="35" w:name="_Toc30589"/>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bookmarkEnd w:id="33"/>
      <w:bookmarkEnd w:id="34"/>
      <w:bookmarkEnd w:id="3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w:t>
      </w:r>
      <w:r>
        <w:rPr>
          <w:rFonts w:hint="eastAsia" w:ascii="宋体" w:hAnsi="宋体" w:cs="宋体"/>
          <w:color w:val="auto"/>
          <w:sz w:val="21"/>
          <w:szCs w:val="21"/>
          <w:highlight w:val="none"/>
        </w:rPr>
        <w:t>在线投标响应（电子投标）说明</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.1</w:t>
      </w:r>
      <w:r>
        <w:rPr>
          <w:rFonts w:hint="eastAsia" w:ascii="宋体" w:hAnsi="宋体" w:cs="宋体"/>
          <w:color w:val="auto"/>
          <w:sz w:val="21"/>
          <w:szCs w:val="21"/>
          <w:highlight w:val="none"/>
          <w:u w:val="single"/>
        </w:rPr>
        <w:t>本项目通过“政府采购云平台（</w:t>
      </w:r>
      <w:r>
        <w:rPr>
          <w:rFonts w:ascii="宋体" w:hAnsi="宋体" w:cs="宋体"/>
          <w:color w:val="auto"/>
          <w:sz w:val="21"/>
          <w:szCs w:val="21"/>
          <w:highlight w:val="none"/>
          <w:u w:val="single"/>
        </w:rPr>
        <w:t>www.zcygov.cn</w:t>
      </w:r>
      <w:r>
        <w:rPr>
          <w:rFonts w:hint="eastAsia" w:ascii="宋体" w:hAnsi="宋体" w:cs="宋体"/>
          <w:color w:val="auto"/>
          <w:sz w:val="21"/>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“政采云电子交易客户端”请自行前往“浙江政府采购网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电子交易客户端”进行下载；电子投标具体操作流程文档详见网址：</w:t>
      </w:r>
      <w:r>
        <w:rPr>
          <w:rFonts w:ascii="宋体" w:hAnsi="宋体" w:cs="宋体"/>
          <w:color w:val="auto"/>
          <w:sz w:val="21"/>
          <w:szCs w:val="21"/>
          <w:highlight w:val="none"/>
        </w:rPr>
        <w:t>https://help.zcygov.cn/web/site_2/2018/12-28/2573.html</w:t>
      </w:r>
      <w:r>
        <w:rPr>
          <w:rFonts w:hint="eastAsia" w:ascii="宋体" w:hAnsi="宋体" w:cs="宋体"/>
          <w:color w:val="auto"/>
          <w:sz w:val="21"/>
          <w:szCs w:val="21"/>
          <w:highlight w:val="none"/>
        </w:rPr>
        <w:t>；通过“政府采购云平台”参与在线投标时如遇平台技术问题详询</w:t>
      </w:r>
      <w:r>
        <w:rPr>
          <w:rFonts w:ascii="宋体" w:hAnsi="宋体" w:cs="宋体"/>
          <w:color w:val="auto"/>
          <w:sz w:val="21"/>
          <w:szCs w:val="21"/>
          <w:highlight w:val="none"/>
        </w:rPr>
        <w:t>400-881-7190</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.2</w:t>
      </w:r>
      <w:r>
        <w:rPr>
          <w:rFonts w:hint="eastAsia" w:ascii="宋体" w:hAnsi="宋体" w:cs="宋体"/>
          <w:color w:val="auto"/>
          <w:sz w:val="21"/>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 w:val="21"/>
          <w:szCs w:val="21"/>
          <w:highlight w:val="none"/>
        </w:rPr>
        <w:t>。使用“政采云电子交易客户端”需要提前申领</w:t>
      </w:r>
      <w:r>
        <w:rPr>
          <w:rFonts w:ascii="宋体" w:hAnsi="宋体" w:cs="宋体"/>
          <w:color w:val="auto"/>
          <w:sz w:val="21"/>
          <w:szCs w:val="21"/>
          <w:highlight w:val="none"/>
        </w:rPr>
        <w:t>CA</w:t>
      </w:r>
      <w:r>
        <w:rPr>
          <w:rFonts w:hint="eastAsia" w:ascii="宋体" w:hAnsi="宋体" w:cs="宋体"/>
          <w:color w:val="auto"/>
          <w:sz w:val="21"/>
          <w:szCs w:val="21"/>
          <w:highlight w:val="none"/>
        </w:rPr>
        <w:t>数字证书，申领流程请自行前往“浙江政府采购网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w:t>
      </w:r>
      <w:r>
        <w:rPr>
          <w:rFonts w:ascii="宋体" w:hAnsi="宋体" w:cs="宋体"/>
          <w:color w:val="auto"/>
          <w:sz w:val="21"/>
          <w:szCs w:val="21"/>
          <w:highlight w:val="none"/>
        </w:rPr>
        <w:t>-</w:t>
      </w:r>
      <w:r>
        <w:rPr>
          <w:color w:val="auto"/>
          <w:sz w:val="21"/>
          <w:szCs w:val="21"/>
          <w:highlight w:val="none"/>
        </w:rPr>
        <w:fldChar w:fldCharType="begin"/>
      </w:r>
      <w:r>
        <w:rPr>
          <w:color w:val="auto"/>
          <w:sz w:val="21"/>
          <w:szCs w:val="21"/>
          <w:highlight w:val="none"/>
        </w:rPr>
        <w:instrText xml:space="preserve"> HYPERLINK "http://www.zjzfcg.gov.cn/bidClientTemplate/2019-05-27/12945.html" \t "_blank" \o "CA驱动和申领流程" </w:instrText>
      </w:r>
      <w:r>
        <w:rPr>
          <w:color w:val="auto"/>
          <w:sz w:val="21"/>
          <w:szCs w:val="21"/>
          <w:highlight w:val="none"/>
        </w:rPr>
        <w:fldChar w:fldCharType="separate"/>
      </w:r>
      <w:r>
        <w:rPr>
          <w:rFonts w:ascii="宋体" w:hAnsi="宋体" w:cs="宋体"/>
          <w:color w:val="auto"/>
          <w:sz w:val="21"/>
          <w:szCs w:val="21"/>
          <w:highlight w:val="none"/>
        </w:rPr>
        <w:t>CA</w:t>
      </w:r>
      <w:r>
        <w:rPr>
          <w:rFonts w:hint="eastAsia" w:ascii="宋体" w:hAnsi="宋体" w:cs="宋体"/>
          <w:color w:val="auto"/>
          <w:sz w:val="21"/>
          <w:szCs w:val="21"/>
          <w:highlight w:val="none"/>
        </w:rPr>
        <w:t>驱动和申领流程</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”进行查阅；</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.3</w:t>
      </w:r>
      <w:r>
        <w:rPr>
          <w:rFonts w:hint="eastAsia" w:ascii="宋体" w:hAnsi="宋体" w:cs="宋体"/>
          <w:color w:val="auto"/>
          <w:sz w:val="21"/>
          <w:szCs w:val="21"/>
          <w:highlight w:val="none"/>
        </w:rPr>
        <w:t>投标供应商应当在投标文件递交截止时间前，将系统上生成的“电子加密投标文件（即后缀格式为</w:t>
      </w:r>
      <w:r>
        <w:rPr>
          <w:rFonts w:ascii="宋体" w:hAnsi="宋体" w:cs="宋体"/>
          <w:color w:val="auto"/>
          <w:sz w:val="21"/>
          <w:szCs w:val="21"/>
          <w:highlight w:val="none"/>
        </w:rPr>
        <w:t>.jmbs</w:t>
      </w:r>
      <w:r>
        <w:rPr>
          <w:rFonts w:hint="eastAsia" w:ascii="宋体" w:hAnsi="宋体" w:cs="宋体"/>
          <w:color w:val="auto"/>
          <w:sz w:val="21"/>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2"/>
        <w:spacing w:before="0" w:after="0" w:line="360" w:lineRule="auto"/>
        <w:ind w:firstLine="422" w:firstLineChars="200"/>
        <w:rPr>
          <w:rFonts w:hint="eastAsia" w:ascii="宋体" w:hAnsi="宋体" w:eastAsia="宋体" w:cs="宋体"/>
          <w:b/>
          <w:color w:val="auto"/>
          <w:sz w:val="21"/>
          <w:szCs w:val="21"/>
          <w:highlight w:val="none"/>
        </w:rPr>
      </w:pPr>
      <w:bookmarkStart w:id="36" w:name="_Toc28359095"/>
      <w:bookmarkStart w:id="37" w:name="_Toc23548"/>
      <w:bookmarkStart w:id="38" w:name="_Toc35393636"/>
      <w:bookmarkStart w:id="39" w:name="_Toc35393805"/>
      <w:bookmarkStart w:id="40" w:name="_Toc28359018"/>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、凡对本次采购提出询问，请按以下方式联系。</w:t>
      </w:r>
      <w:bookmarkEnd w:id="36"/>
      <w:bookmarkEnd w:id="37"/>
      <w:bookmarkEnd w:id="38"/>
      <w:bookmarkEnd w:id="39"/>
      <w:bookmarkEnd w:id="40"/>
    </w:p>
    <w:p>
      <w:pPr>
        <w:snapToGrid w:val="0"/>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衢州市柯城区双港街道办事处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吴先生</w:t>
      </w:r>
      <w:r>
        <w:rPr>
          <w:rFonts w:hint="eastAsia" w:ascii="宋体" w:hAnsi="宋体" w:cs="宋体"/>
          <w:color w:val="auto"/>
          <w:szCs w:val="21"/>
          <w:highlight w:val="none"/>
        </w:rPr>
        <w:t>，联系电话：</w:t>
      </w:r>
      <w:r>
        <w:rPr>
          <w:rFonts w:hint="eastAsia" w:ascii="宋体" w:hAnsi="宋体" w:cs="宋体"/>
          <w:color w:val="auto"/>
          <w:kern w:val="0"/>
          <w:sz w:val="21"/>
          <w:szCs w:val="21"/>
        </w:rPr>
        <w:t>0570-</w:t>
      </w:r>
      <w:r>
        <w:rPr>
          <w:rFonts w:hint="eastAsia" w:ascii="宋体" w:hAnsi="宋体" w:cs="宋体"/>
          <w:color w:val="auto"/>
          <w:kern w:val="0"/>
          <w:sz w:val="21"/>
          <w:szCs w:val="21"/>
          <w:lang w:val="en-US" w:eastAsia="zh-CN"/>
        </w:rPr>
        <w:t>3871999</w:t>
      </w:r>
    </w:p>
    <w:p>
      <w:pPr>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质疑受</w:t>
      </w:r>
      <w:r>
        <w:rPr>
          <w:rFonts w:hint="eastAsia" w:ascii="宋体" w:hAnsi="宋体" w:cs="宋体"/>
          <w:color w:val="auto"/>
          <w:szCs w:val="21"/>
          <w:highlight w:val="none"/>
          <w:lang w:val="en-US" w:eastAsia="zh-CN"/>
        </w:rPr>
        <w:t>理人：李女士 ，联系</w:t>
      </w:r>
      <w:r>
        <w:rPr>
          <w:rFonts w:hint="eastAsia" w:ascii="宋体" w:hAnsi="宋体" w:eastAsia="宋体" w:cs="宋体"/>
          <w:bCs/>
          <w:color w:val="auto"/>
          <w:sz w:val="21"/>
          <w:szCs w:val="21"/>
          <w:highlight w:val="none"/>
          <w:lang w:val="en-US" w:eastAsia="zh-CN"/>
        </w:rPr>
        <w:t>电话：</w:t>
      </w:r>
      <w:r>
        <w:rPr>
          <w:rFonts w:hint="eastAsia" w:ascii="宋体" w:hAnsi="宋体" w:cs="宋体"/>
          <w:color w:val="auto"/>
          <w:kern w:val="0"/>
          <w:sz w:val="21"/>
          <w:szCs w:val="21"/>
        </w:rPr>
        <w:t>0570-</w:t>
      </w:r>
      <w:r>
        <w:rPr>
          <w:rFonts w:hint="eastAsia" w:ascii="宋体" w:hAnsi="宋体" w:cs="宋体"/>
          <w:color w:val="auto"/>
          <w:kern w:val="0"/>
          <w:sz w:val="21"/>
          <w:szCs w:val="21"/>
          <w:lang w:val="en-US" w:eastAsia="zh-CN"/>
        </w:rPr>
        <w:t>3871999</w:t>
      </w:r>
      <w:r>
        <w:rPr>
          <w:rFonts w:hint="eastAsia" w:ascii="宋体" w:hAnsi="宋体" w:cs="宋体"/>
          <w:bCs/>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采购代理机构名称：</w:t>
      </w:r>
      <w:r>
        <w:rPr>
          <w:rFonts w:hint="eastAsia" w:ascii="宋体" w:hAnsi="宋体" w:cs="宋体"/>
          <w:bCs/>
          <w:color w:val="auto"/>
          <w:sz w:val="21"/>
          <w:szCs w:val="21"/>
          <w:highlight w:val="none"/>
          <w:lang w:eastAsia="zh-CN"/>
        </w:rPr>
        <w:t>浙江天平投资咨询有限公司</w:t>
      </w:r>
    </w:p>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项目联系人：</w:t>
      </w:r>
      <w:r>
        <w:rPr>
          <w:rFonts w:hint="eastAsia" w:ascii="宋体" w:hAnsi="宋体" w:cs="宋体"/>
          <w:bCs/>
          <w:color w:val="auto"/>
          <w:sz w:val="21"/>
          <w:szCs w:val="21"/>
          <w:highlight w:val="none"/>
          <w:lang w:val="en-US" w:eastAsia="zh-CN"/>
        </w:rPr>
        <w:t>彭</w:t>
      </w:r>
      <w:r>
        <w:rPr>
          <w:rFonts w:hint="eastAsia" w:ascii="宋体" w:hAnsi="宋体" w:eastAsia="宋体" w:cs="宋体"/>
          <w:bCs/>
          <w:color w:val="auto"/>
          <w:sz w:val="21"/>
          <w:szCs w:val="21"/>
          <w:highlight w:val="none"/>
        </w:rPr>
        <w:t>先生，联系电话：</w:t>
      </w:r>
      <w:r>
        <w:rPr>
          <w:rFonts w:hint="eastAsia" w:ascii="宋体" w:hAnsi="宋体" w:cs="宋体"/>
          <w:bCs/>
          <w:color w:val="auto"/>
          <w:sz w:val="21"/>
          <w:szCs w:val="21"/>
          <w:highlight w:val="none"/>
          <w:lang w:val="en-US" w:eastAsia="zh-CN"/>
        </w:rPr>
        <w:t>15157059454</w:t>
      </w:r>
    </w:p>
    <w:p>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质疑受理人：</w:t>
      </w:r>
      <w:r>
        <w:rPr>
          <w:rFonts w:hint="eastAsia" w:ascii="宋体" w:hAnsi="宋体" w:cs="宋体"/>
          <w:bCs/>
          <w:color w:val="auto"/>
          <w:sz w:val="21"/>
          <w:szCs w:val="21"/>
          <w:highlight w:val="none"/>
          <w:lang w:val="en-US" w:eastAsia="zh-CN"/>
        </w:rPr>
        <w:t>丁</w:t>
      </w:r>
      <w:r>
        <w:rPr>
          <w:rFonts w:hint="eastAsia" w:ascii="宋体" w:hAnsi="宋体" w:eastAsia="宋体" w:cs="宋体"/>
          <w:bCs/>
          <w:color w:val="auto"/>
          <w:sz w:val="21"/>
          <w:szCs w:val="21"/>
          <w:highlight w:val="none"/>
        </w:rPr>
        <w:t>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联系电话：</w:t>
      </w:r>
      <w:r>
        <w:rPr>
          <w:rFonts w:hint="eastAsia" w:ascii="宋体" w:hAnsi="宋体" w:cs="宋体"/>
          <w:color w:val="auto"/>
          <w:sz w:val="21"/>
          <w:szCs w:val="21"/>
          <w:highlight w:val="none"/>
          <w:lang w:eastAsia="zh-CN"/>
        </w:rPr>
        <w:t>0570-3650695</w:t>
      </w:r>
      <w:r>
        <w:rPr>
          <w:rFonts w:hint="eastAsia" w:ascii="宋体" w:hAnsi="宋体" w:cs="宋体"/>
          <w:bCs/>
          <w:color w:val="auto"/>
          <w:sz w:val="21"/>
          <w:szCs w:val="21"/>
          <w:highlight w:val="none"/>
          <w:lang w:val="en-US" w:eastAsia="zh-CN"/>
        </w:rPr>
        <w:t xml:space="preserve"> </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同级政府采购监督管理部门名称：衢州市柯城区政府采购监督管理办公室</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蒋</w:t>
      </w:r>
      <w:r>
        <w:rPr>
          <w:rFonts w:hint="eastAsia" w:ascii="宋体" w:hAnsi="宋体" w:cs="宋体"/>
          <w:color w:val="auto"/>
          <w:szCs w:val="21"/>
          <w:highlight w:val="none"/>
        </w:rPr>
        <w:t>先生；</w:t>
      </w:r>
    </w:p>
    <w:p>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监督投诉电话：0570-302</w:t>
      </w:r>
      <w:r>
        <w:rPr>
          <w:rFonts w:hint="eastAsia" w:ascii="宋体" w:hAnsi="宋体" w:cs="宋体"/>
          <w:color w:val="auto"/>
          <w:szCs w:val="21"/>
          <w:highlight w:val="none"/>
          <w:lang w:val="en-US" w:eastAsia="zh-CN"/>
        </w:rPr>
        <w:t>0829</w:t>
      </w: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bookmarkStart w:id="41" w:name="_Toc354491896"/>
      <w:bookmarkStart w:id="42" w:name="_Toc322352982"/>
      <w:bookmarkStart w:id="43" w:name="_Toc356371430"/>
      <w:bookmarkStart w:id="44" w:name="_Toc31264"/>
      <w:bookmarkStart w:id="45" w:name="_Toc26924"/>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pStyle w:val="2"/>
        <w:rPr>
          <w:rFonts w:hint="eastAsia"/>
          <w:color w:val="auto"/>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
          <w:bCs w:val="0"/>
          <w:color w:val="auto"/>
          <w:szCs w:val="21"/>
          <w:highlight w:val="none"/>
        </w:rPr>
      </w:pPr>
    </w:p>
    <w:p>
      <w:pPr>
        <w:snapToGrid w:val="0"/>
        <w:spacing w:before="120" w:beforeLines="50" w:after="120" w:afterLines="50"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第二章  投标</w:t>
      </w:r>
      <w:bookmarkEnd w:id="41"/>
      <w:bookmarkEnd w:id="42"/>
      <w:r>
        <w:rPr>
          <w:rFonts w:hint="eastAsia" w:ascii="宋体" w:hAnsi="宋体" w:eastAsia="宋体" w:cs="宋体"/>
          <w:b/>
          <w:bCs w:val="0"/>
          <w:color w:val="auto"/>
          <w:szCs w:val="21"/>
          <w:highlight w:val="none"/>
        </w:rPr>
        <w:t>须知前附表及投标须知</w:t>
      </w:r>
      <w:bookmarkEnd w:id="43"/>
      <w:bookmarkEnd w:id="44"/>
      <w:bookmarkEnd w:id="45"/>
    </w:p>
    <w:p>
      <w:pPr>
        <w:snapToGrid w:val="0"/>
        <w:spacing w:before="120" w:beforeLines="50" w:after="120" w:afterLines="50" w:line="312" w:lineRule="auto"/>
        <w:ind w:firstLine="422" w:firstLineChars="200"/>
        <w:outlineLvl w:val="1"/>
        <w:rPr>
          <w:rFonts w:hint="eastAsia" w:ascii="宋体" w:hAnsi="宋体" w:eastAsia="宋体" w:cs="宋体"/>
          <w:b/>
          <w:bCs w:val="0"/>
          <w:color w:val="auto"/>
          <w:szCs w:val="21"/>
          <w:highlight w:val="none"/>
        </w:rPr>
      </w:pPr>
      <w:bookmarkStart w:id="46" w:name="_Toc6759"/>
      <w:bookmarkStart w:id="47" w:name="_Toc13978"/>
      <w:bookmarkStart w:id="48" w:name="_Toc356371431"/>
      <w:r>
        <w:rPr>
          <w:rFonts w:hint="eastAsia" w:ascii="宋体" w:hAnsi="宋体" w:eastAsia="宋体" w:cs="宋体"/>
          <w:b/>
          <w:bCs w:val="0"/>
          <w:color w:val="auto"/>
          <w:szCs w:val="21"/>
          <w:highlight w:val="none"/>
        </w:rPr>
        <w:t>一、投标须知前附表</w:t>
      </w:r>
      <w:bookmarkEnd w:id="46"/>
      <w:bookmarkEnd w:id="47"/>
      <w:bookmarkEnd w:id="48"/>
    </w:p>
    <w:tbl>
      <w:tblPr>
        <w:tblStyle w:val="27"/>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236"/>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ind w:firstLine="210" w:firstLineChars="10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衢州市柯城区双港街道办事处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40" w:lineRule="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柯城区双港街道2024-3号、2024-4号地块土地污染物调查服务采购项目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476200</w:t>
            </w:r>
            <w:r>
              <w:rPr>
                <w:rFonts w:hint="eastAsia" w:ascii="宋体" w:hAnsi="宋体" w:cs="宋体"/>
                <w:color w:val="auto"/>
                <w:kern w:val="0"/>
                <w:sz w:val="21"/>
                <w:szCs w:val="21"/>
                <w:highlight w:val="none"/>
                <w:lang w:val="en-US"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lang w:eastAsia="zh-CN"/>
              </w:rPr>
            </w:pPr>
            <w:r>
              <w:rPr>
                <w:rFonts w:hint="eastAsia" w:hAnsi="宋体" w:cs="宋体"/>
                <w:i w:val="0"/>
                <w:iCs w:val="0"/>
                <w:caps w:val="0"/>
                <w:color w:val="auto"/>
                <w:spacing w:val="0"/>
                <w:sz w:val="21"/>
                <w:szCs w:val="21"/>
                <w:lang w:eastAsia="zh-CN"/>
              </w:rPr>
              <w:t>接受委托后60日历天内完成</w:t>
            </w:r>
            <w:r>
              <w:rPr>
                <w:rFonts w:hint="eastAsia" w:ascii="宋体" w:hAnsi="宋体" w:eastAsia="宋体" w:cs="宋体"/>
                <w:i w:val="0"/>
                <w:iCs w:val="0"/>
                <w:caps w:val="0"/>
                <w:color w:val="auto"/>
                <w:spacing w:val="0"/>
                <w:sz w:val="21"/>
                <w:szCs w:val="21"/>
              </w:rPr>
              <w:t>。</w:t>
            </w:r>
            <w:r>
              <w:rPr>
                <w:rFonts w:hint="eastAsia"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投标文件的签章</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pStyle w:val="13"/>
              <w:snapToGrid w:val="0"/>
              <w:spacing w:line="24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编制及形式</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（1）“电子加密投标文件”是指通过“政采云电子交易客户端”完成投标文件编制后生成并加密的数据电文形式的投标文件。</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（2）“备份投标文件”是指与“电子加密投标文件”同时生成的数据电文形式的电子文件（备份标书），其他方式编制的备份投标文件视为无效备份投标文件。</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（3）投标文件编制参照政采云平台供应商项目采购-电子招投标操作指南（网址：</w:t>
            </w:r>
            <w:r>
              <w:rPr>
                <w:rFonts w:hint="eastAsia" w:ascii="宋体" w:hAnsi="宋体" w:eastAsia="宋体" w:cs="宋体"/>
                <w:color w:val="auto"/>
                <w:spacing w:val="-20"/>
                <w:sz w:val="21"/>
                <w:szCs w:val="21"/>
                <w:highlight w:val="none"/>
              </w:rPr>
              <w:t>https://</w:t>
            </w:r>
            <w:r>
              <w:rPr>
                <w:rFonts w:hint="eastAsia" w:ascii="宋体" w:hAnsi="宋体" w:eastAsia="宋体" w:cs="宋体"/>
                <w:color w:val="auto"/>
                <w:spacing w:val="-17"/>
                <w:sz w:val="21"/>
                <w:szCs w:val="21"/>
                <w:highlight w:val="none"/>
              </w:rPr>
              <w:t>help.zcygov.cn/web/site_2/2018/12-28/2573.html</w:t>
            </w:r>
            <w:r>
              <w:rPr>
                <w:rFonts w:hint="eastAsia" w:ascii="宋体" w:hAnsi="宋体" w:eastAsia="宋体" w:cs="宋体"/>
                <w:color w:val="auto"/>
                <w:spacing w:val="-2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上传和递交</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（1）“电子加密投标文件”的上传、递交：</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a.投标供应商应在投标截止时间前将“电子加密投标文件”成功上传递交至“政府采购云平台”，否则投标无效。</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b.“电子加密投标文件”成功上传递交后，供应商可自行打印投标文件接收回执。</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（2）“备份投标文件”的递交：</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在“政府采购云平台”完成“电子加密投标文件”的上传递交后，还可以在投标截止时间前将“备份投标文件”（一份）采用邮箱发送至项目负责人邮箱（3477872623@qq.com），逾期发送至邮箱的“备份投标文件”将不予接收；解密CA必须是上传并制作电子投标文件CA锁。</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电子加密投标文件的解密和异常情况处理</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p>
            <w:pPr>
              <w:pStyle w:val="13"/>
              <w:snapToGrid w:val="0"/>
              <w:spacing w:line="24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截止时间</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eastAsia="zh-CN"/>
              </w:rPr>
              <w:t>2024年</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开标地点</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2024年</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履约保证金交纳</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中标通知书发出后三十天内，中标人通过电汇、转账、银行或保险公司出具的履约保函</w:t>
            </w:r>
            <w:r>
              <w:rPr>
                <w:rFonts w:hint="eastAsia" w:ascii="宋体" w:hAnsi="宋体" w:eastAsia="宋体" w:cs="宋体"/>
                <w:color w:val="auto"/>
                <w:sz w:val="21"/>
                <w:szCs w:val="21"/>
                <w:highlight w:val="none"/>
                <w:lang w:val="en-US" w:eastAsia="zh-CN"/>
              </w:rPr>
              <w:t>等方式</w:t>
            </w:r>
            <w:r>
              <w:rPr>
                <w:rFonts w:hint="eastAsia" w:ascii="宋体" w:hAnsi="宋体" w:eastAsia="宋体" w:cs="宋体"/>
                <w:color w:val="auto"/>
                <w:sz w:val="21"/>
                <w:szCs w:val="21"/>
                <w:highlight w:val="none"/>
              </w:rPr>
              <w:t>向采购人交纳</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作为</w:t>
            </w:r>
            <w:r>
              <w:rPr>
                <w:rFonts w:hint="eastAsia" w:ascii="宋体" w:hAnsi="宋体" w:eastAsia="宋体" w:cs="宋体"/>
                <w:color w:val="auto"/>
                <w:sz w:val="21"/>
                <w:szCs w:val="21"/>
                <w:highlight w:val="none"/>
              </w:rPr>
              <w:t>履约保证金。</w:t>
            </w:r>
            <w:r>
              <w:rPr>
                <w:rFonts w:hint="eastAsia" w:hAnsi="宋体" w:cs="宋体"/>
                <w:color w:val="auto"/>
                <w:sz w:val="21"/>
                <w:szCs w:val="21"/>
                <w:highlight w:val="none"/>
                <w:lang w:val="en-US" w:eastAsia="zh-CN"/>
              </w:rPr>
              <w:t>项目验收合格</w:t>
            </w:r>
            <w:r>
              <w:rPr>
                <w:rFonts w:hint="eastAsia" w:ascii="宋体" w:hAnsi="宋体" w:eastAsia="宋体" w:cs="宋体"/>
                <w:color w:val="auto"/>
                <w:sz w:val="21"/>
                <w:szCs w:val="21"/>
                <w:highlight w:val="none"/>
                <w:lang w:val="en-US" w:eastAsia="zh-CN"/>
              </w:rPr>
              <w:t>后无息退回履约保证金。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exac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联系方式</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衢州市柯城区双港街道办事处</w:t>
            </w:r>
          </w:p>
          <w:p>
            <w:pPr>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cs="宋体"/>
                <w:color w:val="auto"/>
                <w:sz w:val="21"/>
                <w:szCs w:val="21"/>
                <w:highlight w:val="none"/>
                <w:lang w:eastAsia="zh-CN"/>
              </w:rPr>
              <w:t>浙江天平投资咨询有限公司</w:t>
            </w:r>
          </w:p>
          <w:p>
            <w:pPr>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彭</w:t>
            </w:r>
            <w:r>
              <w:rPr>
                <w:rFonts w:hint="eastAsia" w:ascii="宋体" w:hAnsi="宋体" w:eastAsia="宋体" w:cs="宋体"/>
                <w:color w:val="auto"/>
                <w:sz w:val="21"/>
                <w:szCs w:val="21"/>
                <w:highlight w:val="none"/>
                <w:lang w:val="en-US" w:eastAsia="zh-CN"/>
              </w:rPr>
              <w:t>先生</w:t>
            </w:r>
          </w:p>
          <w:p>
            <w:pPr>
              <w:snapToGrid w:val="0"/>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15157059454</w:t>
            </w:r>
          </w:p>
          <w:p>
            <w:pPr>
              <w:tabs>
                <w:tab w:val="left" w:pos="0"/>
              </w:tabs>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衢州市衢江区东方广场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注意事项</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（1）采购人或采购代理机构将对本项目供应商的信用记录进行查询。查询渠道为信用中国网站（www.creditchina.gov.cn）、中国政府采购网（www.ccgp.gov.cn）。</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3"/>
              <w:snapToGrid w:val="0"/>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采购公告，更正公告，中标公示发布网址</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http://www.zjzfcg.gov.cn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keepNext w:val="0"/>
              <w:keepLines w:val="0"/>
              <w:pageBreakBefore w:val="0"/>
              <w:kinsoku/>
              <w:overflowPunct/>
              <w:topLinePunct w:val="0"/>
              <w:bidi w:val="0"/>
              <w:snapToGrid w:val="0"/>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支持中小企业发展</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本项目专门面向</w:t>
            </w:r>
            <w:r>
              <w:rPr>
                <w:rFonts w:hint="eastAsia" w:ascii="宋体" w:hAnsi="宋体" w:eastAsia="宋体" w:cs="宋体"/>
                <w:b/>
                <w:bCs/>
                <w:color w:val="auto"/>
                <w:sz w:val="21"/>
                <w:szCs w:val="21"/>
                <w:highlight w:val="none"/>
              </w:rPr>
              <w:t>中小企业</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在政府采购活动中，投标人提供的货物、工程或者服务符合下列情形的，享受中小企业扶持政策：</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2.1在货物采购项目中，货物由中小企业制造，即货物由中小企业生产且使用该中小企业商号或者注册商标；</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2.2在工程采购项目中，工程由中小企业承建，即工程施工单位为中小企业；</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2.3在服务采购项目中，服务由中小企业承接，即提供服务的人员为中小企业依照《中华人民共和国劳动合同法》订立劳动合同的从业人员。</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在货物采购项目中，投标人提供的货物既有中小企业制造货物，也有大型企业制造货物的，不享受中小企业扶持政策。</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pStyle w:val="13"/>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对于专门面向中、小、微型企业或者监狱企业或者残疾人福利性单位的政府采购货物或服务项目或工程项目，符合资格条件的不再执行价格评审优惠的扶持政策。</w:t>
            </w:r>
          </w:p>
          <w:p>
            <w:pPr>
              <w:pStyle w:val="13"/>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符合《关于促进残疾人就业政府采购政策的通知》（财库〔2017〕141号）规定的条件并提供《残疾人福利性单位声明函》（附件）的残疾人福利性单位视同小型、微型企业；</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3"/>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pPr>
              <w:spacing w:line="240" w:lineRule="auto"/>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标的名称：</w:t>
            </w:r>
            <w:r>
              <w:rPr>
                <w:rFonts w:hint="eastAsia" w:ascii="宋体" w:hAnsi="宋体" w:cs="宋体"/>
                <w:b/>
                <w:bCs/>
                <w:color w:val="auto"/>
                <w:sz w:val="21"/>
                <w:szCs w:val="21"/>
                <w:highlight w:val="none"/>
                <w:lang w:val="zh-CN" w:eastAsia="zh-Hans"/>
              </w:rPr>
              <w:t>柯城区双港街道2024-3号、2024-4号地块土地污染物调查服务采购项目</w:t>
            </w:r>
            <w:r>
              <w:rPr>
                <w:rFonts w:hint="eastAsia" w:ascii="宋体" w:hAnsi="宋体" w:eastAsia="宋体" w:cs="宋体"/>
                <w:b/>
                <w:bCs/>
                <w:color w:val="auto"/>
                <w:sz w:val="21"/>
                <w:szCs w:val="21"/>
                <w:highlight w:val="none"/>
                <w:lang w:val="zh-CN"/>
              </w:rPr>
              <w:t>，所属行业：</w:t>
            </w:r>
            <w:r>
              <w:rPr>
                <w:rFonts w:hint="eastAsia" w:ascii="宋体" w:hAnsi="宋体" w:cs="宋体"/>
                <w:b/>
                <w:bCs/>
                <w:color w:val="auto"/>
                <w:sz w:val="21"/>
                <w:szCs w:val="21"/>
                <w:highlight w:val="none"/>
                <w:lang w:val="en-US" w:eastAsia="zh-CN"/>
              </w:rPr>
              <w:t>其他未列明</w:t>
            </w:r>
            <w:r>
              <w:rPr>
                <w:rFonts w:hint="eastAsia" w:ascii="宋体" w:hAnsi="宋体" w:eastAsia="宋体" w:cs="宋体"/>
                <w:b/>
                <w:bCs/>
                <w:color w:val="auto"/>
                <w:sz w:val="21"/>
                <w:szCs w:val="21"/>
                <w:highlight w:val="none"/>
                <w:lang w:val="en-US" w:eastAsia="zh-CN"/>
              </w:rPr>
              <w:t>行业</w:t>
            </w:r>
            <w:r>
              <w:rPr>
                <w:rFonts w:hint="eastAsia" w:ascii="宋体" w:hAnsi="宋体" w:eastAsia="宋体" w:cs="宋体"/>
                <w:b/>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lang w:val="en-US" w:eastAsia="zh-CN"/>
              </w:rPr>
            </w:pPr>
            <w:bookmarkStart w:id="49" w:name="_Toc13996"/>
            <w:bookmarkStart w:id="50" w:name="_Toc16402"/>
            <w:bookmarkStart w:id="51" w:name="_Toc356371433"/>
            <w:bookmarkStart w:id="52" w:name="_Toc356371435"/>
            <w:bookmarkStart w:id="53" w:name="_Toc17416"/>
            <w:r>
              <w:rPr>
                <w:rFonts w:hint="eastAsia" w:ascii="宋体" w:hAnsi="宋体" w:eastAsia="宋体" w:cs="宋体"/>
                <w:color w:val="auto"/>
                <w:sz w:val="21"/>
                <w:szCs w:val="21"/>
                <w:highlight w:val="none"/>
                <w:lang w:val="en-US" w:eastAsia="zh-CN"/>
              </w:rPr>
              <w:t>20</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支持绿色发展</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40" w:lineRule="auto"/>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napToGrid w:val="0"/>
              <w:spacing w:line="240" w:lineRule="auto"/>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pPr>
              <w:adjustRightInd w:val="0"/>
              <w:snapToGrid w:val="0"/>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3</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支持创新发展</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40" w:lineRule="auto"/>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采购人优先采购被认定为首台套产品和“制造精品”的自主创新产品。</w:t>
            </w:r>
          </w:p>
          <w:p>
            <w:pPr>
              <w:adjustRightInd w:val="0"/>
              <w:snapToGrid w:val="0"/>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6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3"/>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2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中标候选人</w:t>
            </w:r>
          </w:p>
        </w:tc>
        <w:tc>
          <w:tcPr>
            <w:tcW w:w="78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240" w:lineRule="auto"/>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1名</w:t>
            </w:r>
          </w:p>
        </w:tc>
      </w:tr>
    </w:tbl>
    <w:p>
      <w:pPr>
        <w:snapToGrid w:val="0"/>
        <w:spacing w:before="48" w:beforeLines="20" w:after="48" w:afterLines="20"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二、投标须知</w:t>
      </w:r>
      <w:bookmarkEnd w:id="49"/>
      <w:bookmarkEnd w:id="50"/>
      <w:bookmarkEnd w:id="51"/>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本招标文件仅适用于本次招标采购项目的招标、投标、评标、定标、验收、合同履约、付款等行为。</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”系指招标公告中载明的本项目的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“投标人”“供应商”系指是指响应招标、参加投标竞争的法人、其他组织或者自然人。</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“监督单位”系指政府采购法定义监督管理部门</w:t>
      </w:r>
      <w:r>
        <w:rPr>
          <w:rFonts w:hint="eastAsia" w:ascii="宋体" w:hAnsi="宋体" w:eastAsia="宋体" w:cs="宋体"/>
          <w:color w:val="auto"/>
          <w:szCs w:val="21"/>
          <w:highlight w:val="none"/>
          <w:lang w:val="en-US" w:eastAsia="zh-CN"/>
        </w:rPr>
        <w:t>。</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“负责人”系指法人企业的法定负责人，或其他组织为法律、行政法规规定代表单位行使职权的主要负责人，或自然人本人。</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color w:val="auto"/>
          <w:szCs w:val="21"/>
          <w:highlight w:val="none"/>
          <w:lang w:val="en-US" w:eastAsia="zh-CN"/>
        </w:rPr>
        <w:t>详见附件</w:t>
      </w:r>
      <w:r>
        <w:rPr>
          <w:rFonts w:hint="eastAsia" w:ascii="宋体" w:hAnsi="宋体" w:eastAsia="宋体" w:cs="宋体"/>
          <w:color w:val="auto"/>
          <w:szCs w:val="21"/>
          <w:highlight w:val="none"/>
        </w:rPr>
        <w:t>）。</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“电子交易平台”</w:t>
      </w:r>
      <w:r>
        <w:rPr>
          <w:rFonts w:hint="eastAsia" w:ascii="宋体" w:hAnsi="宋体" w:eastAsia="宋体" w:cs="宋体"/>
          <w:color w:val="auto"/>
          <w:szCs w:val="21"/>
          <w:highlight w:val="none"/>
          <w:lang w:val="en-US" w:eastAsia="zh-CN"/>
        </w:rPr>
        <w:t>系</w:t>
      </w:r>
      <w:r>
        <w:rPr>
          <w:rFonts w:hint="eastAsia" w:ascii="宋体" w:hAnsi="宋体" w:eastAsia="宋体" w:cs="宋体"/>
          <w:color w:val="auto"/>
          <w:szCs w:val="21"/>
          <w:highlight w:val="none"/>
        </w:rPr>
        <w:t>指本项目政府采购活动所依托的政府采购云平台（https://www.zcygov.cn/）。</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“▲”系指实质性指标要求条款，如任意一条打“▲”的指标出现负偏离视为实质性不响应招标文件要求，作无效投标处理。“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”系指适用本项目的要求，“☐”系指不适用本项目的要求。</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投标委托</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投标人代表须具有身份证明文件。</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p>
      <w:pPr>
        <w:snapToGrid w:val="0"/>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转包与分包</w:t>
      </w:r>
    </w:p>
    <w:p>
      <w:pPr>
        <w:snapToGrid w:val="0"/>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cs="宋体"/>
          <w:color w:val="auto"/>
          <w:kern w:val="0"/>
          <w:szCs w:val="21"/>
          <w:highlight w:val="none"/>
          <w:lang w:val="en-US" w:eastAsia="zh-CN"/>
        </w:rPr>
        <w:t>与</w:t>
      </w:r>
      <w:r>
        <w:rPr>
          <w:rFonts w:hint="eastAsia" w:ascii="宋体" w:hAnsi="宋体" w:eastAsia="宋体" w:cs="宋体"/>
          <w:color w:val="auto"/>
          <w:kern w:val="0"/>
          <w:szCs w:val="21"/>
          <w:highlight w:val="none"/>
        </w:rPr>
        <w:t>分包。</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b/>
          <w:color w:val="auto"/>
          <w:szCs w:val="21"/>
          <w:highlight w:val="none"/>
        </w:rPr>
      </w:pPr>
      <w:bookmarkStart w:id="54" w:name="_Toc356371434"/>
      <w:bookmarkStart w:id="55" w:name="_Toc15235"/>
      <w:bookmarkStart w:id="56" w:name="_Toc24659"/>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pPr>
        <w:keepNext w:val="0"/>
        <w:keepLines w:val="0"/>
        <w:pageBreakBefore w:val="0"/>
        <w:numPr>
          <w:ilvl w:val="2"/>
          <w:numId w:val="3"/>
        </w:numPr>
        <w:kinsoku/>
        <w:overflowPunct/>
        <w:topLinePunct w:val="0"/>
        <w:bidi w:val="0"/>
        <w:snapToGrid w:val="0"/>
        <w:spacing w:line="312" w:lineRule="auto"/>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三、招标文件说明</w:t>
      </w:r>
      <w:bookmarkEnd w:id="54"/>
      <w:bookmarkEnd w:id="55"/>
      <w:bookmarkEnd w:id="56"/>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招标文件的组成</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招标公告；</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投标须知前附表及投标须知；</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采购内容及要求；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合同文本；</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应提交的有关格式范例；</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评标办法及开标程序。</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招标文件的澄清及修改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57" w:name="_Toc31995"/>
      <w:r>
        <w:rPr>
          <w:rFonts w:hint="eastAsia" w:ascii="宋体" w:hAnsi="宋体" w:eastAsia="宋体" w:cs="宋体"/>
          <w:color w:val="auto"/>
          <w:szCs w:val="21"/>
          <w:highlight w:val="none"/>
        </w:rPr>
        <w:t>四、投标文件的编制</w:t>
      </w:r>
      <w:bookmarkEnd w:id="52"/>
      <w:bookmarkEnd w:id="53"/>
      <w:bookmarkEnd w:id="57"/>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投标文件及供应商与采购有关的来往通知，函件和文件均应使用中文。</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供应商应按本文件中提供的文件格式、内容和要求制作投标文件。</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▲投标文件应分为【资格文件】、【商务技术文件】和【报价文件】。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（1）具有参与政府采购活动一般资格条件的声明函</w:t>
      </w:r>
      <w:r>
        <w:rPr>
          <w:rFonts w:hint="eastAsia" w:ascii="宋体" w:hAnsi="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）有效的投标人《企业法人营业执照》；</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 xml:space="preserve">提供中小企业声明函、小微企业相关证明材料或监狱企业声明函及其相关的充分的证明材料或残疾人福利性单位声明函 </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自评分表（由投标人自行编制）；</w:t>
      </w:r>
    </w:p>
    <w:p>
      <w:pPr>
        <w:snapToGrid w:val="0"/>
        <w:spacing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投标函；</w:t>
      </w:r>
    </w:p>
    <w:p>
      <w:pPr>
        <w:pStyle w:val="47"/>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w:t>
      </w:r>
      <w:r>
        <w:rPr>
          <w:rFonts w:hint="eastAsia" w:ascii="宋体" w:hAnsi="宋体" w:eastAsia="宋体" w:cs="宋体"/>
          <w:color w:val="auto"/>
          <w:sz w:val="21"/>
          <w:szCs w:val="21"/>
          <w:highlight w:val="none"/>
          <w:lang w:eastAsia="zh-CN"/>
        </w:rPr>
        <w:t>；</w:t>
      </w:r>
    </w:p>
    <w:p>
      <w:pPr>
        <w:pStyle w:val="47"/>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法定代表人及其授权代表身份证复印件（复印件）</w:t>
      </w:r>
      <w:r>
        <w:rPr>
          <w:rFonts w:hint="eastAsia" w:ascii="宋体" w:hAnsi="宋体" w:eastAsia="宋体" w:cs="宋体"/>
          <w:color w:val="auto"/>
          <w:sz w:val="21"/>
          <w:szCs w:val="21"/>
          <w:highlight w:val="none"/>
          <w:lang w:eastAsia="zh-CN"/>
        </w:rPr>
        <w:t>；</w:t>
      </w:r>
    </w:p>
    <w:p>
      <w:pPr>
        <w:pStyle w:val="47"/>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w:t>
      </w:r>
      <w:r>
        <w:rPr>
          <w:rFonts w:hint="eastAsia" w:ascii="宋体" w:hAnsi="宋体" w:eastAsia="宋体" w:cs="宋体"/>
          <w:color w:val="auto"/>
          <w:sz w:val="21"/>
          <w:szCs w:val="21"/>
          <w:highlight w:val="none"/>
          <w:lang w:eastAsia="zh-CN"/>
        </w:rPr>
        <w:t>；</w:t>
      </w:r>
    </w:p>
    <w:p>
      <w:pPr>
        <w:pStyle w:val="47"/>
        <w:numPr>
          <w:ilvl w:val="0"/>
          <w:numId w:val="0"/>
        </w:numPr>
        <w:spacing w:line="336"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符合性审查资料</w:t>
      </w:r>
      <w:r>
        <w:rPr>
          <w:rFonts w:hint="eastAsia" w:ascii="宋体" w:hAnsi="宋体" w:eastAsia="宋体" w:cs="宋体"/>
          <w:color w:val="auto"/>
          <w:sz w:val="21"/>
          <w:szCs w:val="21"/>
          <w:highlight w:val="none"/>
          <w:lang w:eastAsia="zh-CN"/>
        </w:rPr>
        <w:t>；</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cs="宋体"/>
          <w:color w:val="auto"/>
          <w:sz w:val="21"/>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投标人</w:t>
      </w:r>
      <w:r>
        <w:rPr>
          <w:rFonts w:hint="eastAsia" w:ascii="宋体" w:hAnsi="宋体" w:cs="宋体"/>
          <w:color w:val="auto"/>
          <w:szCs w:val="21"/>
          <w:highlight w:val="none"/>
          <w:lang w:val="en-US" w:eastAsia="zh-CN"/>
        </w:rPr>
        <w:t>按评标办法自行编制</w:t>
      </w:r>
      <w:r>
        <w:rPr>
          <w:rFonts w:hint="eastAsia" w:ascii="宋体" w:hAnsi="宋体" w:eastAsia="宋体" w:cs="宋体"/>
          <w:color w:val="auto"/>
          <w:szCs w:val="21"/>
          <w:highlight w:val="none"/>
          <w:lang w:val="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根据评分标准</w:t>
      </w:r>
      <w:r>
        <w:rPr>
          <w:rFonts w:hint="eastAsia" w:ascii="宋体" w:hAnsi="宋体" w:eastAsia="宋体" w:cs="宋体"/>
          <w:color w:val="auto"/>
          <w:szCs w:val="21"/>
          <w:highlight w:val="none"/>
        </w:rPr>
        <w:t>认为需要的其他</w:t>
      </w:r>
      <w:r>
        <w:rPr>
          <w:rFonts w:hint="eastAsia" w:ascii="宋体" w:hAnsi="宋体" w:eastAsia="宋体" w:cs="宋体"/>
          <w:color w:val="auto"/>
          <w:szCs w:val="21"/>
          <w:highlight w:val="none"/>
          <w:lang w:eastAsia="zh-CN"/>
        </w:rPr>
        <w:t>技术商务</w:t>
      </w:r>
      <w:r>
        <w:rPr>
          <w:rFonts w:hint="eastAsia" w:ascii="宋体" w:hAnsi="宋体" w:eastAsia="宋体" w:cs="宋体"/>
          <w:color w:val="auto"/>
          <w:szCs w:val="21"/>
          <w:highlight w:val="none"/>
        </w:rPr>
        <w:t>资料。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）开标一览表（格式见第五章）；</w:t>
      </w:r>
    </w:p>
    <w:p>
      <w:pPr>
        <w:snapToGrid w:val="0"/>
        <w:spacing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投标报价明细表（格式见第五章）</w:t>
      </w:r>
      <w:r>
        <w:rPr>
          <w:rFonts w:hint="eastAsia" w:ascii="宋体" w:hAnsi="宋体" w:eastAsia="宋体" w:cs="宋体"/>
          <w:color w:val="auto"/>
          <w:szCs w:val="21"/>
          <w:highlight w:val="none"/>
          <w:lang w:eastAsia="zh-CN"/>
        </w:rPr>
        <w:t>；</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投标人认为需要提供的其他商务资料。</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投标文件内容填写说明 </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供应商必须保证投标文件所提供的全部资料真实可靠，并接受采购人对其中任何资料进一步审查的要求。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《开标一览表》为</w:t>
      </w:r>
      <w:r>
        <w:rPr>
          <w:rFonts w:hint="eastAsia" w:ascii="宋体" w:hAnsi="宋体" w:eastAsia="宋体" w:cs="宋体"/>
          <w:color w:val="auto"/>
          <w:spacing w:val="-6"/>
          <w:szCs w:val="21"/>
          <w:highlight w:val="none"/>
        </w:rPr>
        <w:t>在开标仪式上唱标的内容，要求按格式填写、统一规范，不得自行增减内容。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投标文件须对招标文件中的内容做出实质性的和完整的响应，否则其投标将被拒绝。如果投标</w:t>
      </w:r>
      <w:r>
        <w:rPr>
          <w:rFonts w:hint="eastAsia" w:ascii="宋体" w:hAnsi="宋体" w:eastAsia="宋体" w:cs="宋体"/>
          <w:color w:val="auto"/>
          <w:spacing w:val="-6"/>
          <w:szCs w:val="21"/>
          <w:highlight w:val="none"/>
        </w:rPr>
        <w:t>文件填报的内容资料不详，或没有提供招标文件中所要求的全部资料及数据，将会导致投标被拒绝。</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w:t>
      </w:r>
      <w:r>
        <w:rPr>
          <w:rFonts w:hint="eastAsia" w:ascii="宋体" w:hAnsi="宋体" w:eastAsia="宋体" w:cs="宋体"/>
          <w:color w:val="auto"/>
          <w:spacing w:val="-6"/>
          <w:szCs w:val="21"/>
          <w:highlight w:val="none"/>
        </w:rPr>
        <w:t>标文件不得涂改和增删，如有错漏必须修改，修改处须由法定代表人或授权委托人签字或盖章。</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由于字迹模糊或表达不清引起的后果由投标人负责。</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投标报价应按招标文件中相关附表格式填写。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投标人所报的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在本项目合同执行过程中是固定的，不论其他任何原因，未经招标人认可，不得以任何理由予以变更。投标人在投标报价时应充分考虑上述原则。</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投标文件只允许有一个报价，有选择的或有条件的报价将不予接受。</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▲投标文件从投标文件递交截止之日起，有效期为90天；</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58" w:name="_Toc21663"/>
      <w:bookmarkStart w:id="59" w:name="_Toc14685"/>
      <w:r>
        <w:rPr>
          <w:rFonts w:hint="eastAsia" w:ascii="宋体" w:hAnsi="宋体" w:eastAsia="宋体" w:cs="宋体"/>
          <w:color w:val="auto"/>
          <w:szCs w:val="21"/>
          <w:highlight w:val="none"/>
        </w:rPr>
        <w:t>五、投标文件的签署及规定</w:t>
      </w:r>
      <w:bookmarkEnd w:id="58"/>
      <w:bookmarkEnd w:id="59"/>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《投标文件》的签章：见《前附表》。</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0" w:name="_Toc356371437"/>
      <w:bookmarkStart w:id="61" w:name="_Toc28256"/>
      <w:bookmarkStart w:id="62" w:name="_Toc5517"/>
      <w:r>
        <w:rPr>
          <w:rFonts w:hint="eastAsia" w:ascii="宋体" w:hAnsi="宋体" w:eastAsia="宋体" w:cs="宋体"/>
          <w:color w:val="auto"/>
          <w:szCs w:val="21"/>
          <w:highlight w:val="none"/>
        </w:rPr>
        <w:t>六、投标文件的递交</w:t>
      </w:r>
      <w:bookmarkEnd w:id="60"/>
      <w:bookmarkEnd w:id="61"/>
      <w:bookmarkEnd w:id="62"/>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递交投标文件截止期</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投标供应商应在投标截止时间前将“电子加密投标文件”成功上传递交至“政府采购云平台”，否则投标无效。</w:t>
      </w:r>
    </w:p>
    <w:p>
      <w:pPr>
        <w:numPr>
          <w:ilvl w:val="2"/>
          <w:numId w:val="3"/>
        </w:numPr>
        <w:snapToGrid w:val="0"/>
        <w:spacing w:line="312"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“电子加密投标文件”成功上传递交后，供应商可自行打印投标文件接收回执。</w:t>
      </w:r>
    </w:p>
    <w:p>
      <w:pPr>
        <w:numPr>
          <w:ilvl w:val="1"/>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投标文件的修改和撤销</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在递交投标文件截止时间后，供应商不得对其投标文件做任何修改。</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递交投标文件截止时间后，供应商不得撤回其投标文件。</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3" w:name="_Toc18724"/>
      <w:bookmarkStart w:id="64" w:name="_Toc2881"/>
      <w:bookmarkStart w:id="65" w:name="_Toc356371438"/>
      <w:r>
        <w:rPr>
          <w:rFonts w:hint="eastAsia" w:ascii="宋体" w:hAnsi="宋体" w:eastAsia="宋体" w:cs="宋体"/>
          <w:color w:val="auto"/>
          <w:szCs w:val="21"/>
          <w:highlight w:val="none"/>
        </w:rPr>
        <w:t>七、投标无效的情形</w:t>
      </w:r>
      <w:bookmarkEnd w:id="63"/>
      <w:bookmarkEnd w:id="64"/>
      <w:bookmarkEnd w:id="65"/>
    </w:p>
    <w:p>
      <w:pPr>
        <w:numPr>
          <w:ilvl w:val="1"/>
          <w:numId w:val="3"/>
        </w:numPr>
        <w:snapToGrid w:val="0"/>
        <w:spacing w:line="312" w:lineRule="auto"/>
        <w:ind w:firstLine="420" w:firstLineChars="200"/>
        <w:rPr>
          <w:rFonts w:hint="eastAsia" w:ascii="宋体" w:hAnsi="宋体" w:eastAsia="宋体" w:cs="宋体"/>
          <w:color w:val="auto"/>
          <w:szCs w:val="21"/>
          <w:highlight w:val="none"/>
        </w:rPr>
      </w:pPr>
      <w:bookmarkStart w:id="66" w:name="_Toc356371439"/>
      <w:r>
        <w:rPr>
          <w:rFonts w:hint="eastAsia" w:ascii="宋体" w:hAnsi="宋体" w:eastAsia="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不具备招标文件规定资格要求；</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投标文件未按招标文件要求签署、盖章的，未有效授权的；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招标文件中有▲处条款投标人未作实质性响应的；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资格文件或商务技术文件中包含报价的；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投标文件关键内容字迹模糊、无法辨认的；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投标文件含有采购人不能接受的附加条件的；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报价超出招标文件中规定的预算金额或者最高限价的；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提供虚假材料谋取中标的；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投标人串通投标的；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电子投标文件解密失败的，且未在规定时间内提交电子备份投标文件的；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仅提交“备份投标文件”的；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电子投标文件未按规定要求提供电子签章的；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电子备份投标文件启用后，未按规定要求提供电子签章的；</w:t>
      </w:r>
    </w:p>
    <w:p>
      <w:pPr>
        <w:numPr>
          <w:ilvl w:val="2"/>
          <w:numId w:val="3"/>
        </w:num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7" w:name="_Toc8559"/>
      <w:bookmarkStart w:id="68" w:name="串通投标的情形"/>
      <w:r>
        <w:rPr>
          <w:rFonts w:hint="eastAsia" w:ascii="宋体" w:hAnsi="宋体" w:eastAsia="宋体" w:cs="宋体"/>
          <w:color w:val="auto"/>
          <w:szCs w:val="21"/>
          <w:highlight w:val="none"/>
        </w:rPr>
        <w:t>八、串通投标的情形</w:t>
      </w:r>
      <w:bookmarkEnd w:id="67"/>
    </w:p>
    <w:bookmarkEnd w:id="68"/>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21.有下列情形之一的，视为供应商串通投标，其投标无效：</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21.1</w:t>
      </w:r>
      <w:r>
        <w:rPr>
          <w:rFonts w:hint="eastAsia" w:ascii="宋体" w:hAnsi="宋体" w:eastAsia="宋体" w:cs="宋体"/>
          <w:color w:val="auto"/>
          <w:szCs w:val="21"/>
          <w:highlight w:val="none"/>
        </w:rPr>
        <w:t>不同投标人的投标文件由同一单位或者个人编制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不同投标人的投标文件载明的项目管理成员或者联系人员为同一人；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不同投标人的投标文件异常一致或者投标报价呈规律性差异；</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69" w:name="_Toc359592368"/>
      <w:bookmarkStart w:id="70" w:name="_Toc31946"/>
      <w:bookmarkStart w:id="71" w:name="_Toc20496"/>
      <w:r>
        <w:rPr>
          <w:rFonts w:hint="eastAsia" w:ascii="宋体" w:hAnsi="宋体" w:eastAsia="宋体" w:cs="宋体"/>
          <w:color w:val="auto"/>
          <w:szCs w:val="21"/>
          <w:highlight w:val="none"/>
        </w:rPr>
        <w:t>九、废标的情形</w:t>
      </w:r>
      <w:bookmarkEnd w:id="69"/>
      <w:bookmarkEnd w:id="70"/>
      <w:bookmarkEnd w:id="71"/>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22.2出现影响采购公证的违法、违规行为的；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22.3投标人的报价均超过了采购预算（最高限价），采购人不能支付的；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2" w:name="_Toc17839"/>
      <w:bookmarkStart w:id="73" w:name="_Toc446"/>
      <w:r>
        <w:rPr>
          <w:rFonts w:hint="eastAsia" w:ascii="宋体" w:hAnsi="宋体" w:eastAsia="宋体" w:cs="宋体"/>
          <w:color w:val="auto"/>
          <w:szCs w:val="21"/>
          <w:highlight w:val="none"/>
        </w:rPr>
        <w:t>十、开标</w:t>
      </w:r>
      <w:bookmarkEnd w:id="66"/>
      <w:r>
        <w:rPr>
          <w:rFonts w:hint="eastAsia" w:ascii="宋体" w:hAnsi="宋体" w:eastAsia="宋体" w:cs="宋体"/>
          <w:color w:val="auto"/>
          <w:szCs w:val="21"/>
          <w:highlight w:val="none"/>
        </w:rPr>
        <w:t>和评标</w:t>
      </w:r>
      <w:bookmarkEnd w:id="72"/>
      <w:bookmarkEnd w:id="73"/>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23.开标形式</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24.开标准备</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24.1开标的准备工作由采购组织机构负责落实；</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25.开标流程（两阶段）</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25.1开标第一阶段</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（3）开启投标文件，进入资格审查；</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25.2开标第二阶段</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w:t>
      </w:r>
      <w:r>
        <w:rPr>
          <w:rFonts w:hint="eastAsia" w:ascii="宋体" w:hAnsi="宋体" w:eastAsia="宋体" w:cs="宋体"/>
          <w:color w:val="auto"/>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eastAsia="宋体" w:cs="宋体"/>
          <w:color w:val="auto"/>
          <w:szCs w:val="21"/>
          <w:highlight w:val="none"/>
        </w:rPr>
      </w:pPr>
      <w:bookmarkStart w:id="74" w:name="_Toc24550037"/>
      <w:bookmarkStart w:id="75" w:name="_Toc33194393"/>
      <w:r>
        <w:rPr>
          <w:rFonts w:hint="eastAsia" w:ascii="宋体" w:hAnsi="宋体" w:eastAsia="宋体" w:cs="宋体"/>
          <w:color w:val="auto"/>
          <w:szCs w:val="21"/>
          <w:highlight w:val="none"/>
        </w:rPr>
        <w:t>26.投标供应商资格审查</w:t>
      </w:r>
      <w:bookmarkEnd w:id="74"/>
      <w:bookmarkEnd w:id="75"/>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27.评标委员会</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27.2在评标期间，若有需要投标人应派代表参加询标。</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28.对投标文件的审查和响应性的确定</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29.算术错误将按以下方法更正</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29.2投标文件的大写金额和小写金额不一致的，以大写金额为准；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29.4总价金额与按单价汇总金额不一致的，以单价金额计算结果为准；同时出现两种以上不一致的，</w:t>
      </w:r>
      <w:r>
        <w:rPr>
          <w:rFonts w:hint="eastAsia" w:ascii="宋体" w:hAnsi="宋体" w:eastAsia="宋体" w:cs="宋体"/>
          <w:color w:val="auto"/>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对不同文字文本投标文件的解释发生异议的，以中文文本为准。</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30.评标</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31.保密</w:t>
      </w:r>
    </w:p>
    <w:p>
      <w:pPr>
        <w:snapToGrid w:val="0"/>
        <w:spacing w:line="312" w:lineRule="auto"/>
        <w:ind w:firstLine="420" w:firstLineChars="200"/>
        <w:rPr>
          <w:rFonts w:hint="eastAsia" w:ascii="宋体" w:hAnsi="宋体" w:eastAsia="宋体" w:cs="宋体"/>
          <w:color w:val="auto"/>
          <w:szCs w:val="21"/>
          <w:highlight w:val="none"/>
        </w:rPr>
      </w:pPr>
      <w:bookmarkStart w:id="76" w:name="_Toc356371440"/>
      <w:r>
        <w:rPr>
          <w:rFonts w:hint="eastAsia" w:ascii="宋体" w:hAnsi="宋体" w:eastAsia="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31.2投标人对评标、比较</w:t>
      </w:r>
      <w:r>
        <w:rPr>
          <w:rFonts w:hint="eastAsia" w:ascii="宋体" w:hAnsi="宋体" w:eastAsia="宋体" w:cs="宋体"/>
          <w:color w:val="auto"/>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32.可中止电子交易活动的情形</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32.1电子交易平台发生故障而无法登录访问的；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32.2电子交易平台应用或数据库出现错误，不能进行正常操作的；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32.3电子交易平台发现严重安全漏洞，有潜在泄密危险的；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32.4病毒发作导致不能进行正常操作的；</w:t>
      </w:r>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32.5其他无法保证电子交易的公平、公正和安全的情况。</w:t>
      </w:r>
    </w:p>
    <w:p>
      <w:pPr>
        <w:spacing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eastAsia="宋体" w:cs="宋体"/>
          <w:bCs/>
          <w:color w:val="auto"/>
          <w:szCs w:val="21"/>
          <w:highlight w:val="none"/>
        </w:rPr>
      </w:pPr>
      <w:bookmarkStart w:id="77" w:name="_Toc784"/>
      <w:r>
        <w:rPr>
          <w:rFonts w:hint="eastAsia" w:ascii="宋体" w:hAnsi="宋体" w:eastAsia="宋体" w:cs="宋体"/>
          <w:bCs/>
          <w:color w:val="auto"/>
          <w:szCs w:val="21"/>
          <w:highlight w:val="none"/>
        </w:rPr>
        <w:t>十一、定标</w:t>
      </w:r>
      <w:bookmarkEnd w:id="77"/>
    </w:p>
    <w:bookmarkEnd w:id="76"/>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33.中标通知和合同授予</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78" w:name="质疑与投诉"/>
      <w:bookmarkStart w:id="79" w:name="_Toc18414"/>
      <w:bookmarkStart w:id="80" w:name="_Toc10212"/>
      <w:bookmarkStart w:id="81" w:name="_Toc356371441"/>
      <w:r>
        <w:rPr>
          <w:rFonts w:hint="eastAsia" w:ascii="宋体" w:hAnsi="宋体" w:eastAsia="宋体" w:cs="宋体"/>
          <w:color w:val="auto"/>
          <w:szCs w:val="21"/>
          <w:highlight w:val="none"/>
        </w:rPr>
        <w:t>十二、质疑与投诉</w:t>
      </w:r>
      <w:bookmarkEnd w:id="78"/>
      <w:bookmarkEnd w:id="79"/>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根据《中华人民共和国政府采购法》、《中华人民共和国政府采购法实施条例》、</w:t>
      </w:r>
      <w:r>
        <w:rPr>
          <w:rFonts w:hint="eastAsia" w:ascii="宋体" w:hAnsi="宋体" w:eastAsia="宋体" w:cs="宋体"/>
          <w:color w:val="auto"/>
          <w:szCs w:val="21"/>
          <w:highlight w:val="none"/>
        </w:rPr>
        <w:t>《政府采购质疑和投诉办法》</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财政部令第94号</w:t>
      </w:r>
      <w:r>
        <w:rPr>
          <w:rFonts w:hint="eastAsia" w:ascii="宋体" w:hAnsi="宋体" w:eastAsia="宋体" w:cs="宋体"/>
          <w:color w:val="auto"/>
          <w:szCs w:val="21"/>
          <w:highlight w:val="none"/>
          <w:lang w:val="zh-CN"/>
        </w:rPr>
        <w:t>)，政府采购供应商可以依法提起质疑和投诉。</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35.供应商询问</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36.供应商质疑</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36.2对采购过程提出质疑的，为各采购程序环节结束之日。</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36.3对中标结果提出质疑的，为中标结果公告期限届满之日。</w:t>
      </w:r>
    </w:p>
    <w:p>
      <w:pPr>
        <w:snapToGrid w:val="0"/>
        <w:spacing w:line="312" w:lineRule="auto"/>
        <w:ind w:firstLine="420" w:firstLineChars="200"/>
        <w:rPr>
          <w:rFonts w:hint="eastAsia" w:ascii="宋体" w:hAnsi="宋体" w:eastAsia="宋体" w:cs="宋体"/>
          <w:color w:val="auto"/>
          <w:spacing w:val="-17"/>
          <w:szCs w:val="21"/>
          <w:highlight w:val="none"/>
          <w:lang w:val="en-US" w:eastAsia="zh-CN"/>
        </w:rPr>
      </w:pPr>
      <w:r>
        <w:rPr>
          <w:rFonts w:hint="eastAsia" w:ascii="宋体" w:hAnsi="宋体" w:eastAsia="宋体" w:cs="宋体"/>
          <w:color w:val="auto"/>
          <w:szCs w:val="21"/>
          <w:highlight w:val="none"/>
        </w:rPr>
        <w:t>36.4供应商质疑应当有明确的请求和必要的证明材料。供应商提交的质疑书需一式三份，由法定代表人签字（或盖章）并加盖单位公章。质疑书格式范本详见</w:t>
      </w:r>
      <w:r>
        <w:rPr>
          <w:rFonts w:hint="eastAsia" w:ascii="宋体" w:hAnsi="宋体" w:cs="宋体"/>
          <w:color w:val="auto"/>
          <w:szCs w:val="21"/>
          <w:highlight w:val="none"/>
          <w:lang w:val="en-US" w:eastAsia="zh-CN"/>
        </w:rPr>
        <w:t>附件。</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37.供应商投诉</w:t>
      </w:r>
    </w:p>
    <w:p>
      <w:pPr>
        <w:snapToGrid w:val="0"/>
        <w:spacing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37.1质疑供应商对采购机构的答复不满意或者采购机构未在规定的时间内作出答复的，可以在答复期满后十五个工作日内向同级政府采购监督管理部门提出投诉。</w:t>
      </w:r>
      <w:r>
        <w:rPr>
          <w:rFonts w:hint="eastAsia" w:ascii="宋体" w:hAnsi="宋体" w:cs="宋体"/>
          <w:color w:val="auto"/>
          <w:szCs w:val="21"/>
          <w:highlight w:val="none"/>
          <w:lang w:val="en-US" w:eastAsia="zh-CN"/>
        </w:rPr>
        <w:t>投诉书格式范本见附件。</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2" w:name="_Toc29377"/>
      <w:r>
        <w:rPr>
          <w:rFonts w:hint="eastAsia" w:ascii="宋体" w:hAnsi="宋体" w:eastAsia="宋体" w:cs="宋体"/>
          <w:color w:val="auto"/>
          <w:szCs w:val="21"/>
          <w:highlight w:val="none"/>
        </w:rPr>
        <w:t>十三、法律责任</w:t>
      </w:r>
      <w:bookmarkEnd w:id="80"/>
      <w:bookmarkEnd w:id="81"/>
      <w:bookmarkEnd w:id="82"/>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38.1提供虚假材料谋取中标的；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38.2采取不正当手段诋毁、排挤其他投标人的；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38.3与采购人、采购代理机构、其他投标人恶意串通的；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38.4向采购人、采购代理机构行贿或者提供其他不正当利益的；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3" w:name="_Toc29877"/>
      <w:r>
        <w:rPr>
          <w:rFonts w:hint="eastAsia" w:ascii="宋体" w:hAnsi="宋体" w:eastAsia="宋体" w:cs="宋体"/>
          <w:color w:val="auto"/>
          <w:szCs w:val="21"/>
          <w:highlight w:val="none"/>
        </w:rPr>
        <w:t>十四、代理服务费</w:t>
      </w:r>
      <w:bookmarkEnd w:id="83"/>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39.招标代理服务费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评审费</w:t>
      </w:r>
      <w:r>
        <w:rPr>
          <w:rFonts w:hint="eastAsia" w:ascii="宋体" w:hAnsi="宋体" w:eastAsia="宋体" w:cs="宋体"/>
          <w:color w:val="auto"/>
          <w:szCs w:val="21"/>
          <w:highlight w:val="none"/>
        </w:rPr>
        <w:t xml:space="preserve">由中标单位支付，由招标代理人在发中标通知书时按中标金额向中标单位一次性收取。  </w:t>
      </w:r>
    </w:p>
    <w:p>
      <w:pPr>
        <w:snapToGrid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40.招标代理服务收费标准按国家发展计划委员会计价格</w:t>
      </w:r>
      <w:r>
        <w:rPr>
          <w:rFonts w:hint="eastAsia" w:ascii="宋体" w:hAnsi="宋体" w:eastAsia="宋体" w:cs="宋体"/>
          <w:color w:val="auto"/>
          <w:szCs w:val="21"/>
          <w:highlight w:val="none"/>
          <w:lang w:eastAsia="zh-CN"/>
        </w:rPr>
        <w:t>[2002]1980号文件收取</w:t>
      </w:r>
      <w:r>
        <w:rPr>
          <w:rFonts w:hint="eastAsia" w:ascii="宋体" w:hAnsi="宋体" w:eastAsia="宋体" w:cs="宋体"/>
          <w:color w:val="auto"/>
          <w:szCs w:val="21"/>
          <w:highlight w:val="none"/>
        </w:rPr>
        <w:t>，按差额定率累进法计算。</w:t>
      </w:r>
    </w:p>
    <w:p>
      <w:pPr>
        <w:snapToGrid w:val="0"/>
        <w:spacing w:line="312"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招标代理服务收费标准</w:t>
      </w:r>
    </w:p>
    <w:tbl>
      <w:tblPr>
        <w:tblStyle w:val="27"/>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eastAsia="宋体" w:cs="宋体"/>
                <w:color w:val="auto"/>
                <w:szCs w:val="21"/>
                <w:highlight w:val="none"/>
              </w:rPr>
            </w:pPr>
          </w:p>
          <w:p>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3990" w:type="dxa"/>
            <w:vAlign w:val="center"/>
          </w:tcPr>
          <w:p>
            <w:pPr>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rPr>
              <w:t>%</w:t>
            </w:r>
          </w:p>
        </w:tc>
      </w:tr>
    </w:tbl>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.服务费以人民币收取。</w:t>
      </w:r>
    </w:p>
    <w:p>
      <w:pPr>
        <w:snapToGrid w:val="0"/>
        <w:spacing w:before="48" w:beforeLines="20" w:after="48" w:afterLines="20" w:line="312" w:lineRule="auto"/>
        <w:ind w:firstLine="420" w:firstLineChars="200"/>
        <w:rPr>
          <w:rFonts w:hint="eastAsia" w:ascii="宋体" w:hAnsi="宋体" w:eastAsia="宋体" w:cs="宋体"/>
          <w:color w:val="auto"/>
          <w:szCs w:val="21"/>
          <w:highlight w:val="none"/>
        </w:rPr>
      </w:pPr>
      <w:bookmarkStart w:id="84" w:name="_Toc14136"/>
      <w:bookmarkStart w:id="85" w:name="_Toc23429"/>
      <w:bookmarkStart w:id="86" w:name="_Toc356371442"/>
      <w:r>
        <w:rPr>
          <w:rFonts w:hint="eastAsia" w:ascii="宋体" w:hAnsi="宋体" w:eastAsia="宋体" w:cs="宋体"/>
          <w:color w:val="auto"/>
          <w:szCs w:val="21"/>
          <w:highlight w:val="none"/>
        </w:rPr>
        <w:t>十五、其他</w:t>
      </w:r>
      <w:bookmarkEnd w:id="84"/>
      <w:bookmarkEnd w:id="85"/>
      <w:bookmarkEnd w:id="86"/>
    </w:p>
    <w:p>
      <w:pPr>
        <w:snapToGrid w:val="0"/>
        <w:spacing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.解释权：本招标文件是依据《政府采购法》及有关规定编制的，解释权属采购人。</w:t>
      </w:r>
    </w:p>
    <w:p>
      <w:pPr>
        <w:spacing w:line="312" w:lineRule="auto"/>
        <w:rPr>
          <w:rFonts w:hint="eastAsia" w:ascii="宋体" w:hAnsi="宋体" w:eastAsia="宋体" w:cs="宋体"/>
          <w:color w:val="auto"/>
          <w:szCs w:val="21"/>
          <w:highlight w:val="none"/>
        </w:rPr>
        <w:sectPr>
          <w:headerReference r:id="rId5" w:type="default"/>
          <w:footerReference r:id="rId6" w:type="default"/>
          <w:pgSz w:w="11906" w:h="16838"/>
          <w:pgMar w:top="1389" w:right="1247" w:bottom="1389" w:left="1247" w:header="851" w:footer="992" w:gutter="284"/>
          <w:pgBorders>
            <w:top w:val="none" w:sz="0" w:space="0"/>
            <w:left w:val="none" w:sz="0" w:space="0"/>
            <w:bottom w:val="none" w:sz="0" w:space="0"/>
            <w:right w:val="none" w:sz="0" w:space="0"/>
          </w:pgBorders>
          <w:pgNumType w:start="1"/>
          <w:cols w:space="720" w:num="1"/>
          <w:docGrid w:linePitch="312" w:charSpace="0"/>
        </w:sectPr>
      </w:pPr>
    </w:p>
    <w:p>
      <w:pPr>
        <w:snapToGrid w:val="0"/>
        <w:spacing w:line="312" w:lineRule="auto"/>
        <w:jc w:val="center"/>
        <w:outlineLvl w:val="0"/>
        <w:rPr>
          <w:rFonts w:hint="eastAsia" w:ascii="宋体" w:hAnsi="宋体" w:eastAsia="宋体" w:cs="宋体"/>
          <w:b/>
          <w:bCs w:val="0"/>
          <w:color w:val="auto"/>
          <w:szCs w:val="21"/>
          <w:highlight w:val="none"/>
        </w:rPr>
      </w:pPr>
      <w:bookmarkStart w:id="87" w:name="_Toc26454"/>
      <w:bookmarkStart w:id="88" w:name="_Toc350256314"/>
      <w:bookmarkStart w:id="89" w:name="_Toc17730"/>
      <w:bookmarkStart w:id="90" w:name="_Toc322352983"/>
      <w:bookmarkStart w:id="91" w:name="_Toc354401531"/>
      <w:r>
        <w:rPr>
          <w:rFonts w:hint="eastAsia" w:ascii="宋体" w:hAnsi="宋体" w:eastAsia="宋体" w:cs="宋体"/>
          <w:b/>
          <w:bCs w:val="0"/>
          <w:color w:val="auto"/>
          <w:szCs w:val="21"/>
          <w:highlight w:val="none"/>
        </w:rPr>
        <w:t>第三章  采购内容及要求</w:t>
      </w:r>
      <w:bookmarkEnd w:id="87"/>
      <w:bookmarkEnd w:id="88"/>
      <w:bookmarkEnd w:id="89"/>
      <w:bookmarkEnd w:id="90"/>
      <w:bookmarkEnd w:id="91"/>
    </w:p>
    <w:p>
      <w:pPr>
        <w:snapToGrid w:val="0"/>
        <w:spacing w:line="312" w:lineRule="auto"/>
        <w:jc w:val="center"/>
        <w:outlineLvl w:val="0"/>
        <w:rPr>
          <w:rFonts w:hint="eastAsia" w:ascii="宋体" w:hAnsi="宋体" w:eastAsia="宋体" w:cs="宋体"/>
          <w:bCs/>
          <w:color w:val="auto"/>
          <w:szCs w:val="21"/>
          <w:highlight w:val="none"/>
        </w:rPr>
      </w:pPr>
      <w:bookmarkStart w:id="92" w:name="_Toc354401534"/>
      <w:bookmarkStart w:id="93" w:name="_Toc10473"/>
      <w:bookmarkStart w:id="94" w:name="_Toc350256315"/>
      <w:bookmarkStart w:id="95" w:name="_Toc322352984"/>
      <w:bookmarkStart w:id="96" w:name="_Toc15447"/>
    </w:p>
    <w:p>
      <w:pPr>
        <w:spacing w:line="360" w:lineRule="auto"/>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一、项目情况</w:t>
      </w:r>
    </w:p>
    <w:p>
      <w:pPr>
        <w:spacing w:line="360" w:lineRule="auto"/>
        <w:ind w:firstLine="480" w:firstLineChars="200"/>
        <w:rPr>
          <w:rFonts w:ascii="宋体" w:hAnsi="宋体" w:eastAsia="宋体"/>
          <w:bCs/>
          <w:color w:val="auto"/>
          <w:sz w:val="24"/>
          <w:szCs w:val="24"/>
        </w:rPr>
      </w:pPr>
      <w:r>
        <w:rPr>
          <w:rFonts w:hint="eastAsia" w:ascii="宋体" w:hAnsi="宋体" w:eastAsia="宋体"/>
          <w:bCs/>
          <w:color w:val="auto"/>
          <w:sz w:val="24"/>
          <w:szCs w:val="24"/>
        </w:rPr>
        <w:t>1、柯城区双港街道2024-3号地块位于衢州市柯城区320国道以南，双港西路以西，霞光路以北，曙光路以东，占地面积40287平方米。柯城区双港街道2024-4号地块位于衢州市柯城区霞光路以西，永盛路以北，曙光路以东，鼎盛路以南，占地面积74811平方米。目前土地已平整，历史上为工业用地和绿化用地。</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2、两个地块土地拟由政府回用，后期用于居住等用地开发。土壤污染状况调查是商住和公共配套用地出让之前必须的环节。为缩短出让地块前期工作时间，独立核算做地成本，需要第三方开展土壤场地调查工作。</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3、根据场地土壤污染状况初步调查工作内容及流程根据《中华人民共和国土壤污染防治法》、《土壤污染防治行动计划》(国发[2016]31号)、《污染地块土壤环境管理办法》(环保部令 2016年第42号)、《浙江省土壤污染防治工作方案》(浙政发[2016]47号)、《浙江省建设用地土壤污染风险管控和修复监督管理办法》（浙环发[2021]21号）等文件要求，有新的文件以最新文件要求为准，对用途拟变更为住宅、公共管理与公共服务用地的所有地块，应开展土壤污染状况调查，并对该地块调查后作出是否污染的最终结论，出具土壤污染状况调查报告。</w:t>
      </w:r>
    </w:p>
    <w:p>
      <w:pPr>
        <w:spacing w:line="360" w:lineRule="auto"/>
        <w:ind w:firstLine="482" w:firstLineChars="200"/>
        <w:rPr>
          <w:rFonts w:hint="eastAsia" w:ascii="宋体" w:hAnsi="宋体" w:eastAsia="宋体"/>
          <w:b/>
          <w:color w:val="auto"/>
          <w:sz w:val="24"/>
          <w:szCs w:val="24"/>
        </w:rPr>
      </w:pPr>
      <w:r>
        <w:rPr>
          <w:rFonts w:hint="eastAsia" w:ascii="宋体" w:hAnsi="宋体" w:eastAsia="宋体"/>
          <w:b/>
          <w:color w:val="auto"/>
          <w:sz w:val="24"/>
          <w:szCs w:val="24"/>
        </w:rPr>
        <w:t>二、项目工作内容</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通过场地资料收集、现场踏勘、人员访谈、信息整理及分析、制定采样布点方案、现场采样、样品检测、数据分析与调查、调查报告编制等工作。通过资料分析、现场查勘等这些方法，确定土壤污染物含量是否超过国家或地方有关土壤污染风险管控标准（筛选值），完成符合规范的场地环境调查报告的编制，提供通过生态环保部门评审的成果报告，并且完成备案。</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（1）调查要求</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1、调查准备：供应商在开展调查前，需筹备调查人员、物料配备、调查计划制定、试调查等工作，并着手对调查人员开展培训，使调查人员了解熟悉调查指标和调查方法。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2、第一阶段环境调查：本阶段调查是以资料收集、现场踏勘和人员访谈为主进行污场地污染识别，判断该场地是否存在潜在污染源，如果可能存在污染源，则识别可能的污染物，确定进一步调查工作需 要关注的污染物和污染区域。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3、场地初步采样调查：结合第一阶段环境调查的数据资料进行初步采样调查，确定土壤类型、水文地质条件，初步确定污染物种类、程度和空间分布，为详细采样调查方案设计提供参考。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初步采样调查后，对数据进行评估和分析，根据评估结果判断是否需要进行场地环境详细采样调查，如果需要，则进入制定详细采样工作计划阶段，否则编制场地环境调查报告，场地调查结束。</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布点是土壤环境调查的关键环节，布点的位置和数量应当主要基于专业的判断，项目严格按照《建设用地调查评估技术指南》、《场地环境调查技术导则》 (HJ 25.1-2019)及《场地环境监测技术导则》(HJ25.2-2019)等进行布点和采样分析。布点监测方案需经专家论证通过后方可实施。</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4、形成报告：组建项目研究团队，在科学汇总、深入分析调查数据和意见建议的基础上，挖掘调查对象的现状、问题、原因等要素，撰写高质量、有价值的报告，做到内容客观准确、分析深入透彻、建议科学可行，发挥辅助决策、推进工作的作用。工作成果应当符合国家及浙江省、台州市有关土壤及地下水检测标准，并确保符合国家环保部最新发布的相关技术标准。若报告未通过评审或者不符合采购人要求，供应商应当免费负责修改直至获得生态环境部门的备案。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5、调查报告备案：调查报告需由生态环保部门评审及备案。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6、调查档案管理：调查实施主体应确保调查工作资料完整，通过资料分析、现场查勘等这些方法，确定土壤污染物含量是否超过国家或地方有关土壤污染风险管控标准（筛选值），完成符合规范的场地环境调查报告的编制，在完成调查报告后5日内报送至生态环境部门审查，在审查通过后5日内向生态环境部门上报备案资料，在备案通过后5日内向调查主体移交成果资料。调查主体应做好相关资料的签收和归档工作。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（2）调查原则：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 xml:space="preserve">1、客观性原则：核心是实事求是，寻求反映风险真实状态的准确信息，不允许带有任何个人主观的意愿和偏见。要从具体情况出发，认识风险的差别和变化，把握风险所处的具体时间、空间和其他条件，分析它的发展形式和过程，以保证调查结果能如实反映客观实际。 </w:t>
      </w:r>
    </w:p>
    <w:p>
      <w:pPr>
        <w:spacing w:line="360" w:lineRule="auto"/>
        <w:ind w:firstLine="480" w:firstLineChars="200"/>
        <w:rPr>
          <w:rFonts w:hint="eastAsia" w:ascii="宋体" w:hAnsi="宋体" w:eastAsia="宋体"/>
          <w:bCs/>
          <w:color w:val="auto"/>
          <w:sz w:val="24"/>
          <w:szCs w:val="24"/>
        </w:rPr>
      </w:pPr>
      <w:r>
        <w:rPr>
          <w:rFonts w:hint="eastAsia" w:ascii="宋体" w:hAnsi="宋体" w:eastAsia="宋体"/>
          <w:bCs/>
          <w:color w:val="auto"/>
          <w:sz w:val="24"/>
          <w:szCs w:val="24"/>
        </w:rPr>
        <w:t>2、科学性原则：调查结论要用真实、可靠的数据和资料作为支持，观点、意见、建议不能凭空臆造，通过调查所得到的数据和资料应当有效地支持调查者所要说明的观点，调查结论与调查资料之间要有严密的逻辑性。</w:t>
      </w: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 </w:t>
      </w:r>
      <w:bookmarkEnd w:id="92"/>
      <w:bookmarkEnd w:id="93"/>
      <w:bookmarkEnd w:id="94"/>
      <w:bookmarkEnd w:id="95"/>
      <w:bookmarkEnd w:id="96"/>
      <w:bookmarkStart w:id="97" w:name="_Toc7538"/>
      <w:r>
        <w:rPr>
          <w:rFonts w:hint="eastAsia" w:ascii="宋体" w:hAnsi="宋体" w:eastAsia="宋体" w:cs="宋体"/>
          <w:b/>
          <w:bCs w:val="0"/>
          <w:color w:val="auto"/>
          <w:szCs w:val="21"/>
          <w:highlight w:val="none"/>
        </w:rPr>
        <w:t>第四章  合同</w:t>
      </w:r>
      <w:r>
        <w:rPr>
          <w:rFonts w:hint="eastAsia" w:ascii="宋体" w:hAnsi="宋体" w:cs="宋体"/>
          <w:b/>
          <w:bCs w:val="0"/>
          <w:color w:val="auto"/>
          <w:szCs w:val="21"/>
          <w:highlight w:val="none"/>
          <w:lang w:val="en-US" w:eastAsia="zh-CN"/>
        </w:rPr>
        <w:t>主要</w:t>
      </w:r>
      <w:r>
        <w:rPr>
          <w:rFonts w:hint="eastAsia" w:ascii="宋体" w:hAnsi="宋体" w:eastAsia="宋体" w:cs="宋体"/>
          <w:b/>
          <w:bCs w:val="0"/>
          <w:color w:val="auto"/>
          <w:szCs w:val="21"/>
          <w:highlight w:val="none"/>
        </w:rPr>
        <w:t>条款</w:t>
      </w:r>
      <w:bookmarkEnd w:id="97"/>
    </w:p>
    <w:p>
      <w:pPr>
        <w:tabs>
          <w:tab w:val="right" w:pos="8306"/>
        </w:tabs>
        <w:spacing w:line="312" w:lineRule="auto"/>
        <w:jc w:val="center"/>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w:t>
      </w:r>
      <w:r>
        <w:rPr>
          <w:rFonts w:hint="eastAsia" w:ascii="黑体" w:hAnsi="黑体" w:eastAsia="黑体" w:cs="黑体"/>
          <w:b w:val="0"/>
          <w:bCs w:val="0"/>
          <w:color w:val="auto"/>
          <w:sz w:val="24"/>
          <w:szCs w:val="24"/>
          <w:highlight w:val="none"/>
          <w:lang w:val="en-US" w:eastAsia="zh-CN"/>
        </w:rPr>
        <w:t>以实际签订的合同为准</w:t>
      </w:r>
      <w:r>
        <w:rPr>
          <w:rFonts w:hint="eastAsia" w:ascii="黑体" w:hAnsi="黑体" w:eastAsia="黑体" w:cs="黑体"/>
          <w:b w:val="0"/>
          <w:bCs w:val="0"/>
          <w:color w:val="auto"/>
          <w:sz w:val="24"/>
          <w:szCs w:val="24"/>
          <w:highlight w:val="none"/>
          <w:lang w:eastAsia="zh-CN"/>
        </w:rPr>
        <w:t>）</w:t>
      </w:r>
    </w:p>
    <w:p>
      <w:pPr>
        <w:pStyle w:val="13"/>
        <w:widowControl w:val="0"/>
        <w:overflowPunct/>
        <w:adjustRightInd/>
        <w:snapToGrid w:val="0"/>
        <w:spacing w:line="440" w:lineRule="exact"/>
        <w:rPr>
          <w:rFonts w:hint="eastAsia" w:hAnsi="宋体" w:eastAsia="宋体" w:cs="宋体"/>
          <w:color w:val="auto"/>
          <w:sz w:val="24"/>
          <w:szCs w:val="24"/>
        </w:rPr>
      </w:pPr>
      <w:r>
        <w:rPr>
          <w:rFonts w:hint="eastAsia" w:hAnsi="宋体" w:eastAsia="宋体" w:cs="宋体"/>
          <w:color w:val="auto"/>
          <w:sz w:val="24"/>
          <w:szCs w:val="24"/>
        </w:rPr>
        <w:t>项目名称：</w:t>
      </w:r>
      <w:r>
        <w:rPr>
          <w:rFonts w:hint="eastAsia" w:hAnsi="宋体" w:eastAsia="宋体" w:cs="宋体"/>
          <w:color w:val="auto"/>
          <w:sz w:val="24"/>
          <w:szCs w:val="24"/>
          <w:lang w:val="en-US" w:eastAsia="zh-CN"/>
        </w:rPr>
        <w:t xml:space="preserve"> </w:t>
      </w:r>
      <w:r>
        <w:rPr>
          <w:rFonts w:hint="eastAsia" w:hAnsi="宋体" w:eastAsia="宋体" w:cs="宋体"/>
          <w:color w:val="auto"/>
          <w:sz w:val="24"/>
          <w:szCs w:val="24"/>
        </w:rPr>
        <w:t xml:space="preserve">   </w:t>
      </w:r>
    </w:p>
    <w:p>
      <w:pPr>
        <w:pStyle w:val="13"/>
        <w:widowControl w:val="0"/>
        <w:overflowPunct/>
        <w:adjustRightInd/>
        <w:snapToGrid w:val="0"/>
        <w:spacing w:line="440" w:lineRule="exact"/>
        <w:rPr>
          <w:rFonts w:hint="eastAsia" w:hAnsi="宋体" w:eastAsia="宋体" w:cs="宋体"/>
          <w:color w:val="auto"/>
          <w:lang w:val="en-US" w:eastAsia="zh-CN"/>
        </w:rPr>
      </w:pPr>
      <w:r>
        <w:rPr>
          <w:rFonts w:hint="eastAsia" w:hAnsi="宋体" w:eastAsia="宋体" w:cs="宋体"/>
          <w:color w:val="auto"/>
          <w:sz w:val="24"/>
          <w:szCs w:val="24"/>
        </w:rPr>
        <w:t>甲方：</w:t>
      </w:r>
      <w:r>
        <w:rPr>
          <w:rFonts w:hint="eastAsia" w:hAnsi="宋体" w:eastAsia="宋体" w:cs="宋体"/>
          <w:color w:val="auto"/>
          <w:sz w:val="24"/>
          <w:szCs w:val="24"/>
          <w:u w:val="single"/>
        </w:rPr>
        <w:t xml:space="preserve">                        </w:t>
      </w:r>
      <w:r>
        <w:rPr>
          <w:rFonts w:hint="eastAsia" w:hAnsi="宋体" w:eastAsia="宋体" w:cs="宋体"/>
          <w:color w:val="auto"/>
          <w:sz w:val="24"/>
          <w:szCs w:val="24"/>
          <w:u w:val="single"/>
          <w:lang w:val="en-US" w:eastAsia="zh-CN"/>
        </w:rPr>
        <w:t xml:space="preserve">   </w:t>
      </w:r>
    </w:p>
    <w:p>
      <w:pPr>
        <w:pStyle w:val="13"/>
        <w:widowControl w:val="0"/>
        <w:overflowPunct/>
        <w:adjustRightInd/>
        <w:snapToGrid w:val="0"/>
        <w:spacing w:line="440" w:lineRule="exact"/>
        <w:rPr>
          <w:rFonts w:hint="eastAsia" w:hAnsi="宋体" w:eastAsia="宋体" w:cs="宋体"/>
          <w:color w:val="auto"/>
        </w:rPr>
      </w:pPr>
      <w:r>
        <w:rPr>
          <w:rFonts w:hint="eastAsia" w:hAnsi="宋体" w:eastAsia="宋体" w:cs="宋体"/>
          <w:color w:val="auto"/>
          <w:sz w:val="24"/>
          <w:szCs w:val="24"/>
        </w:rPr>
        <w:t>乙方：</w:t>
      </w:r>
      <w:r>
        <w:rPr>
          <w:rFonts w:hint="eastAsia" w:hAnsi="宋体" w:eastAsia="宋体" w:cs="宋体"/>
          <w:color w:val="auto"/>
          <w:sz w:val="24"/>
          <w:szCs w:val="24"/>
          <w:u w:val="single"/>
        </w:rPr>
        <w:t xml:space="preserve">                           </w:t>
      </w:r>
    </w:p>
    <w:p>
      <w:pPr>
        <w:pStyle w:val="13"/>
        <w:widowControl w:val="0"/>
        <w:numPr>
          <w:ilvl w:val="0"/>
          <w:numId w:val="4"/>
        </w:numPr>
        <w:overflowPunct/>
        <w:autoSpaceDE/>
        <w:autoSpaceDN/>
        <w:snapToGrid w:val="0"/>
        <w:spacing w:line="44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乙双方根据</w:t>
      </w:r>
      <w:r>
        <w:rPr>
          <w:rFonts w:hint="eastAsia" w:hAnsi="宋体" w:eastAsia="宋体" w:cs="宋体"/>
          <w:color w:val="auto"/>
          <w:sz w:val="24"/>
          <w:szCs w:val="24"/>
          <w:u w:val="single"/>
        </w:rPr>
        <w:t xml:space="preserve">       </w:t>
      </w:r>
      <w:r>
        <w:rPr>
          <w:rFonts w:hint="eastAsia" w:hAnsi="宋体" w:eastAsia="宋体" w:cs="宋体"/>
          <w:color w:val="auto"/>
          <w:sz w:val="24"/>
          <w:szCs w:val="24"/>
        </w:rPr>
        <w:t>年</w:t>
      </w:r>
      <w:r>
        <w:rPr>
          <w:rFonts w:hint="eastAsia" w:hAnsi="宋体" w:eastAsia="宋体" w:cs="宋体"/>
          <w:color w:val="auto"/>
          <w:sz w:val="24"/>
          <w:szCs w:val="24"/>
          <w:u w:val="single"/>
        </w:rPr>
        <w:t xml:space="preserve">      </w:t>
      </w:r>
      <w:r>
        <w:rPr>
          <w:rFonts w:hint="eastAsia" w:hAnsi="宋体" w:eastAsia="宋体" w:cs="宋体"/>
          <w:color w:val="auto"/>
          <w:sz w:val="24"/>
          <w:szCs w:val="24"/>
        </w:rPr>
        <w:t>月</w:t>
      </w:r>
      <w:r>
        <w:rPr>
          <w:rFonts w:hint="eastAsia" w:hAnsi="宋体" w:eastAsia="宋体" w:cs="宋体"/>
          <w:color w:val="auto"/>
          <w:sz w:val="24"/>
          <w:szCs w:val="24"/>
          <w:u w:val="single"/>
        </w:rPr>
        <w:t xml:space="preserve">       </w:t>
      </w:r>
      <w:r>
        <w:rPr>
          <w:rFonts w:hint="eastAsia" w:hAnsi="宋体" w:eastAsia="宋体" w:cs="宋体"/>
          <w:color w:val="auto"/>
          <w:sz w:val="24"/>
          <w:szCs w:val="24"/>
        </w:rPr>
        <w:t>日</w:t>
      </w:r>
      <w:r>
        <w:rPr>
          <w:rFonts w:hint="eastAsia" w:hAnsi="宋体" w:eastAsia="宋体" w:cs="宋体"/>
          <w:color w:val="auto"/>
          <w:sz w:val="24"/>
          <w:szCs w:val="24"/>
          <w:lang w:eastAsia="zh-CN"/>
        </w:rPr>
        <w:t>柯城区双港街道2024-3号、2024-4号地块土地污染物调查服务采购项目</w:t>
      </w:r>
      <w:r>
        <w:rPr>
          <w:rFonts w:hint="eastAsia" w:hAnsi="宋体" w:eastAsia="宋体" w:cs="宋体"/>
          <w:color w:val="auto"/>
          <w:sz w:val="24"/>
          <w:szCs w:val="24"/>
        </w:rPr>
        <w:t>采购结果和采购文件的要求，并经双方协调一致，订立本合同。</w:t>
      </w:r>
    </w:p>
    <w:p>
      <w:pPr>
        <w:pStyle w:val="13"/>
        <w:widowControl w:val="0"/>
        <w:overflowPunct/>
        <w:adjustRightInd/>
        <w:spacing w:line="440" w:lineRule="exact"/>
        <w:ind w:firstLine="472" w:firstLineChars="196"/>
        <w:rPr>
          <w:rFonts w:hint="eastAsia" w:hAnsi="宋体" w:eastAsia="宋体" w:cs="宋体"/>
          <w:b/>
          <w:bCs/>
          <w:color w:val="auto"/>
          <w:sz w:val="24"/>
          <w:szCs w:val="24"/>
        </w:rPr>
      </w:pPr>
      <w:r>
        <w:rPr>
          <w:rFonts w:hint="eastAsia" w:hAnsi="宋体" w:eastAsia="宋体" w:cs="宋体"/>
          <w:b/>
          <w:bCs/>
          <w:color w:val="auto"/>
          <w:sz w:val="24"/>
          <w:szCs w:val="24"/>
        </w:rPr>
        <w:t>一、合同文件组成及解释顺序：采购文件及其补充文件、采购响应文件。合同文件组成的所有内容是构成合同不可分割的部分，与合同具有同等法律效力。除上述合同顺序外，合同文件之间有矛盾的，以较后时间制定的为准。</w:t>
      </w:r>
    </w:p>
    <w:p>
      <w:pPr>
        <w:pStyle w:val="13"/>
        <w:widowControl w:val="0"/>
        <w:overflowPunct/>
        <w:adjustRightInd/>
        <w:snapToGrid w:val="0"/>
        <w:spacing w:line="440" w:lineRule="exact"/>
        <w:ind w:left="564" w:leftChars="171" w:hanging="205" w:hangingChars="85"/>
        <w:rPr>
          <w:rFonts w:hint="eastAsia" w:hAnsi="宋体" w:eastAsia="宋体" w:cs="宋体"/>
          <w:snapToGrid w:val="0"/>
          <w:color w:val="auto"/>
          <w:sz w:val="24"/>
          <w:szCs w:val="24"/>
        </w:rPr>
      </w:pPr>
      <w:r>
        <w:rPr>
          <w:rFonts w:hint="eastAsia" w:hAnsi="宋体" w:eastAsia="宋体" w:cs="宋体"/>
          <w:b/>
          <w:bCs/>
          <w:color w:val="auto"/>
          <w:sz w:val="24"/>
          <w:szCs w:val="24"/>
        </w:rPr>
        <w:t>二、合同内容</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甲方工作内容：</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1.委托乙方开展</w:t>
      </w:r>
      <w:r>
        <w:rPr>
          <w:rFonts w:hint="eastAsia" w:ascii="宋体" w:hAnsi="宋体" w:eastAsia="宋体" w:cs="宋体"/>
          <w:color w:val="auto"/>
          <w:sz w:val="24"/>
          <w:szCs w:val="24"/>
        </w:rPr>
        <w:t>柯城区双港街道2024-3号地块、2024-4号地块土壤调查服务</w:t>
      </w:r>
      <w:r>
        <w:rPr>
          <w:rFonts w:hint="eastAsia" w:ascii="宋体" w:hAnsi="宋体" w:eastAsia="宋体" w:cs="宋体"/>
          <w:snapToGrid w:val="0"/>
          <w:color w:val="auto"/>
          <w:kern w:val="0"/>
          <w:sz w:val="24"/>
          <w:szCs w:val="24"/>
        </w:rPr>
        <w:t>工作；</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2.配合乙方进场作业，对调查工作遇到的问题进行协调解决。</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乙方工作内容：</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1.按照《建设用地土壤污染状况调查 技术导则》（HJ25.1-2019）等技术规范开展调查；</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2.编制土壤污染状况调查报告，判定地块是否能满足建设用地敏感用地要求；</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3.协助甲方完成报告的备案和上报工作。</w:t>
      </w:r>
    </w:p>
    <w:p>
      <w:pPr>
        <w:pStyle w:val="13"/>
        <w:widowControl w:val="0"/>
        <w:overflowPunct/>
        <w:adjustRightInd/>
        <w:snapToGrid w:val="0"/>
        <w:spacing w:line="440" w:lineRule="exact"/>
        <w:ind w:left="564" w:leftChars="171" w:hanging="205" w:hangingChars="85"/>
        <w:rPr>
          <w:rFonts w:hint="eastAsia" w:hAnsi="宋体" w:eastAsia="宋体" w:cs="宋体"/>
          <w:snapToGrid w:val="0"/>
          <w:color w:val="auto"/>
          <w:sz w:val="24"/>
          <w:szCs w:val="24"/>
        </w:rPr>
      </w:pPr>
      <w:r>
        <w:rPr>
          <w:rFonts w:hint="eastAsia" w:hAnsi="宋体" w:eastAsia="宋体" w:cs="宋体"/>
          <w:b/>
          <w:bCs/>
          <w:snapToGrid w:val="0"/>
          <w:color w:val="auto"/>
          <w:sz w:val="24"/>
          <w:szCs w:val="24"/>
          <w:lang w:val="en-US" w:eastAsia="zh-CN"/>
        </w:rPr>
        <w:t>三</w:t>
      </w:r>
      <w:r>
        <w:rPr>
          <w:rFonts w:hint="eastAsia" w:hAnsi="宋体" w:eastAsia="宋体" w:cs="宋体"/>
          <w:b/>
          <w:bCs/>
          <w:snapToGrid w:val="0"/>
          <w:color w:val="auto"/>
          <w:sz w:val="24"/>
          <w:szCs w:val="24"/>
        </w:rPr>
        <w:t>、履行期限、地点和方式：</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本合同自    年   月   日至     年   月    日在 衢州市柯城区（地点）履行。</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甲方：按合同要求及时向乙方支付调查咨询费。</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乙方：在甲方提供相关有效资料齐全后60 个工作日内提交调查报告。</w:t>
      </w:r>
    </w:p>
    <w:p>
      <w:pPr>
        <w:autoSpaceDE w:val="0"/>
        <w:autoSpaceDN w:val="0"/>
        <w:spacing w:line="440" w:lineRule="exact"/>
        <w:ind w:firstLine="482" w:firstLineChars="200"/>
        <w:textAlignment w:val="bottom"/>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四、委托方的协作事项：</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在合同生效后 15 日内，委托方（甲方）应向顾问方（乙方）提供下列资料和工作条件：</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1.地块及周边的历史生产资料、地块的红线图、区域的地质勘查报告等资料；</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2.为工作人员提供方便（包括现场考察、配合乙方与相关部门进行沟通）。</w:t>
      </w:r>
    </w:p>
    <w:p>
      <w:pPr>
        <w:autoSpaceDE w:val="0"/>
        <w:autoSpaceDN w:val="0"/>
        <w:spacing w:line="440" w:lineRule="exact"/>
        <w:ind w:firstLine="482"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五、技术情报和资料保密：</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双方共享</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1、未经甲方许可，乙方不得将甲方提供的资料泄漏给任何第三方（当地负责备案本报告的主管部门除外）。</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2、未经乙方同意，甲方不得将本报告泄漏给任何第三方（行政部门除外）。</w:t>
      </w:r>
    </w:p>
    <w:p>
      <w:pPr>
        <w:autoSpaceDE w:val="0"/>
        <w:autoSpaceDN w:val="0"/>
        <w:spacing w:line="440" w:lineRule="exact"/>
        <w:ind w:firstLine="482"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六、验收、评价方法：</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咨询报告达到本合同第一项“咨询的内容、形式和要求”中所列要求，采用专家评审会方式验收，由评审会专家组出具技术咨询验收证明(即评审意见)。</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评价方法：按国家和地方有关场地调查的法律法规和工作规范。</w:t>
      </w:r>
    </w:p>
    <w:p>
      <w:pPr>
        <w:autoSpaceDE w:val="0"/>
        <w:autoSpaceDN w:val="0"/>
        <w:spacing w:line="440" w:lineRule="exact"/>
        <w:ind w:firstLine="482"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七、报酬及其支付方式：</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（一）本项目报酬（大写）：</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（小写：      元）。</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具体包括：采样监测费、报告编制费。</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（二）支付方式</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甲方在乙方完成调查工作后收到乙方开具增值税发票后10个工作日内一次性支付全部费用。</w:t>
      </w:r>
    </w:p>
    <w:p>
      <w:pPr>
        <w:autoSpaceDE w:val="0"/>
        <w:autoSpaceDN w:val="0"/>
        <w:spacing w:line="440" w:lineRule="exact"/>
        <w:ind w:firstLine="482" w:firstLineChars="200"/>
        <w:textAlignment w:val="bottom"/>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八、违约责任：</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如逾期提交报告或乙方提交的报告未能通过主管部门审核的，甲方有权中止付款，并要求乙方按每逾期一日支付合同总价款万分之五的违约金。逾期30日以上甲方有权单方解除本合同，乙方退还甲方已付款项外，还应支付合同总价款10%的违约金。</w:t>
      </w:r>
    </w:p>
    <w:p>
      <w:pPr>
        <w:autoSpaceDE w:val="0"/>
        <w:autoSpaceDN w:val="0"/>
        <w:spacing w:line="440" w:lineRule="exact"/>
        <w:ind w:firstLine="482" w:firstLineChars="200"/>
        <w:textAlignment w:val="bottom"/>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九、争议的解决办法</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在合同履行过程中发生争议，双方应当协商解决，也可以请求主管部门进行调解。</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双方不愿协商、调解解决或者协商、调解不成的，则应向甲方所在地人民法院起诉。</w:t>
      </w:r>
    </w:p>
    <w:p>
      <w:pPr>
        <w:autoSpaceDE w:val="0"/>
        <w:autoSpaceDN w:val="0"/>
        <w:spacing w:line="440" w:lineRule="exact"/>
        <w:ind w:firstLine="482" w:firstLineChars="200"/>
        <w:textAlignment w:val="bottom"/>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十、其他约定</w:t>
      </w:r>
    </w:p>
    <w:p>
      <w:pPr>
        <w:autoSpaceDE w:val="0"/>
        <w:autoSpaceDN w:val="0"/>
        <w:spacing w:line="440" w:lineRule="exact"/>
        <w:ind w:firstLine="480" w:firstLineChars="200"/>
        <w:textAlignment w:val="bottom"/>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本合同一式 肆 份，具有同等法律效力。甲乙双方各执 贰  份，双方签字盖章之日起生效。</w:t>
      </w:r>
    </w:p>
    <w:p>
      <w:pPr>
        <w:spacing w:line="440" w:lineRule="exact"/>
        <w:ind w:left="149" w:leftChars="71" w:firstLine="292" w:firstLineChars="122"/>
        <w:rPr>
          <w:rFonts w:hint="eastAsia" w:ascii="宋体" w:hAnsi="宋体" w:eastAsia="宋体" w:cs="宋体"/>
          <w:snapToGrid w:val="0"/>
          <w:color w:val="auto"/>
          <w:kern w:val="0"/>
          <w:sz w:val="24"/>
          <w:szCs w:val="24"/>
        </w:rPr>
      </w:pP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甲方（盖章）：                            乙方（盖章）：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法定代表人                                法定代表人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或受委托人（签字）：                       或受委托人（签字）：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联系人：                                  联系人：</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地址：                                    地址：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                                    电话：</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传真：                                    传真：</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开户银行：                                开户银行：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帐号：                                    帐号：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合同签订时间：    年   月   日          </w:t>
      </w:r>
    </w:p>
    <w:p>
      <w:pPr>
        <w:spacing w:line="440" w:lineRule="exact"/>
        <w:ind w:left="149" w:leftChars="71" w:firstLine="292" w:firstLineChars="122"/>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合同签订地点：</w:t>
      </w:r>
    </w:p>
    <w:p>
      <w:pPr>
        <w:snapToGrid w:val="0"/>
        <w:spacing w:line="500" w:lineRule="exact"/>
        <w:jc w:val="center"/>
        <w:outlineLvl w:val="0"/>
        <w:rPr>
          <w:rFonts w:hint="eastAsia" w:ascii="宋体" w:hAnsi="宋体" w:cs="宋体"/>
          <w:b/>
          <w:color w:val="auto"/>
          <w:sz w:val="28"/>
          <w:szCs w:val="28"/>
          <w:highlight w:val="none"/>
        </w:rPr>
      </w:pPr>
    </w:p>
    <w:p>
      <w:pPr>
        <w:snapToGrid w:val="0"/>
        <w:spacing w:line="500" w:lineRule="exact"/>
        <w:jc w:val="center"/>
        <w:outlineLvl w:val="0"/>
        <w:rPr>
          <w:rFonts w:hint="eastAsia" w:ascii="宋体" w:hAnsi="宋体" w:cs="宋体"/>
          <w:b/>
          <w:color w:val="auto"/>
          <w:sz w:val="28"/>
          <w:szCs w:val="28"/>
          <w:highlight w:val="none"/>
        </w:rPr>
      </w:pPr>
    </w:p>
    <w:p>
      <w:pPr>
        <w:snapToGrid w:val="0"/>
        <w:spacing w:line="500" w:lineRule="exact"/>
        <w:jc w:val="center"/>
        <w:outlineLvl w:val="0"/>
        <w:rPr>
          <w:rFonts w:hint="eastAsia" w:ascii="宋体" w:hAnsi="宋体" w:cs="宋体"/>
          <w:b/>
          <w:color w:val="auto"/>
          <w:sz w:val="28"/>
          <w:szCs w:val="28"/>
          <w:highlight w:val="none"/>
        </w:rPr>
      </w:pPr>
    </w:p>
    <w:p>
      <w:pPr>
        <w:pStyle w:val="10"/>
        <w:keepNext w:val="0"/>
        <w:keepLines w:val="0"/>
        <w:pageBreakBefore w:val="0"/>
        <w:widowControl w:val="0"/>
        <w:kinsoku/>
        <w:wordWrap/>
        <w:overflowPunct/>
        <w:topLinePunct w:val="0"/>
        <w:autoSpaceDE/>
        <w:autoSpaceDN/>
        <w:bidi w:val="0"/>
        <w:adjustRightInd/>
        <w:spacing w:line="360" w:lineRule="auto"/>
        <w:textAlignment w:val="auto"/>
        <w:rPr>
          <w:rFonts w:hint="eastAsia"/>
          <w:color w:val="auto"/>
          <w:highlight w:val="none"/>
        </w:rPr>
      </w:pPr>
    </w:p>
    <w:p>
      <w:pPr>
        <w:spacing w:line="312" w:lineRule="auto"/>
        <w:jc w:val="center"/>
        <w:rPr>
          <w:rFonts w:hint="eastAsia" w:ascii="宋体" w:hAnsi="宋体" w:eastAsia="宋体" w:cs="宋体"/>
          <w:b/>
          <w:bCs/>
          <w:color w:val="auto"/>
          <w:szCs w:val="21"/>
          <w:highlight w:val="none"/>
        </w:rPr>
      </w:pPr>
    </w:p>
    <w:p>
      <w:pPr>
        <w:snapToGrid w:val="0"/>
        <w:spacing w:line="312" w:lineRule="auto"/>
        <w:jc w:val="center"/>
        <w:outlineLvl w:val="0"/>
        <w:rPr>
          <w:rFonts w:hint="eastAsia" w:ascii="宋体" w:hAnsi="宋体" w:eastAsia="宋体" w:cs="宋体"/>
          <w:b/>
          <w:color w:val="auto"/>
          <w:szCs w:val="21"/>
          <w:highlight w:val="none"/>
        </w:rPr>
      </w:pPr>
      <w:bookmarkStart w:id="98" w:name="_Toc354491899"/>
      <w:bookmarkStart w:id="99" w:name="_Toc322352985"/>
      <w:bookmarkStart w:id="100" w:name="_Toc356371458"/>
      <w:bookmarkStart w:id="101" w:name="_Toc15536"/>
    </w:p>
    <w:p>
      <w:pPr>
        <w:snapToGrid w:val="0"/>
        <w:spacing w:line="312" w:lineRule="auto"/>
        <w:jc w:val="center"/>
        <w:outlineLvl w:val="0"/>
        <w:rPr>
          <w:rFonts w:hint="eastAsia" w:ascii="宋体" w:hAnsi="宋体" w:eastAsia="宋体" w:cs="宋体"/>
          <w:b/>
          <w:color w:val="auto"/>
          <w:szCs w:val="21"/>
          <w:highlight w:val="none"/>
        </w:rPr>
      </w:pPr>
    </w:p>
    <w:p>
      <w:pPr>
        <w:snapToGrid w:val="0"/>
        <w:spacing w:line="312" w:lineRule="auto"/>
        <w:jc w:val="center"/>
        <w:outlineLvl w:val="0"/>
        <w:rPr>
          <w:rFonts w:hint="eastAsia" w:ascii="宋体" w:hAnsi="宋体" w:eastAsia="宋体" w:cs="宋体"/>
          <w:b/>
          <w:color w:val="auto"/>
          <w:szCs w:val="21"/>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snapToGrid w:val="0"/>
        <w:spacing w:line="432" w:lineRule="auto"/>
        <w:jc w:val="center"/>
        <w:outlineLvl w:val="0"/>
        <w:rPr>
          <w:rFonts w:hint="eastAsia" w:ascii="宋体" w:hAnsi="宋体" w:eastAsia="宋体" w:cs="宋体"/>
          <w:b/>
          <w:bCs w:val="0"/>
          <w:color w:val="auto"/>
          <w:szCs w:val="21"/>
          <w:highlight w:val="none"/>
        </w:rPr>
      </w:pPr>
      <w:bookmarkStart w:id="102" w:name="_Toc3822"/>
    </w:p>
    <w:p>
      <w:pPr>
        <w:snapToGrid w:val="0"/>
        <w:spacing w:line="432" w:lineRule="auto"/>
        <w:jc w:val="center"/>
        <w:outlineLvl w:val="0"/>
        <w:rPr>
          <w:rFonts w:hint="eastAsia" w:ascii="宋体" w:hAnsi="宋体" w:eastAsia="宋体" w:cs="宋体"/>
          <w:b/>
          <w:bCs w:val="0"/>
          <w:color w:val="auto"/>
          <w:szCs w:val="21"/>
          <w:highlight w:val="none"/>
        </w:rPr>
      </w:pPr>
    </w:p>
    <w:p>
      <w:pPr>
        <w:pStyle w:val="2"/>
        <w:rPr>
          <w:rFonts w:hint="eastAsia"/>
          <w:color w:val="auto"/>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p>
    <w:p>
      <w:pPr>
        <w:snapToGrid w:val="0"/>
        <w:spacing w:line="432" w:lineRule="auto"/>
        <w:jc w:val="center"/>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第五章  应提交的有关格式范例</w:t>
      </w:r>
      <w:bookmarkEnd w:id="98"/>
      <w:bookmarkEnd w:id="99"/>
      <w:bookmarkEnd w:id="100"/>
      <w:bookmarkEnd w:id="101"/>
      <w:bookmarkEnd w:id="102"/>
    </w:p>
    <w:p>
      <w:pPr>
        <w:snapToGrid w:val="0"/>
        <w:spacing w:line="432" w:lineRule="auto"/>
        <w:jc w:val="center"/>
        <w:outlineLvl w:val="1"/>
        <w:rPr>
          <w:rFonts w:hint="eastAsia" w:ascii="宋体" w:hAnsi="宋体" w:eastAsia="宋体" w:cs="宋体"/>
          <w:color w:val="auto"/>
          <w:sz w:val="28"/>
          <w:szCs w:val="28"/>
          <w:highlight w:val="none"/>
        </w:rPr>
      </w:pPr>
      <w:bookmarkStart w:id="103" w:name="_Toc13045"/>
      <w:bookmarkStart w:id="104" w:name="_Toc13877"/>
      <w:r>
        <w:rPr>
          <w:rStyle w:val="32"/>
          <w:rFonts w:hint="eastAsia" w:ascii="宋体" w:hAnsi="宋体" w:eastAsia="宋体" w:cs="宋体"/>
          <w:b/>
          <w:bCs/>
          <w:color w:val="auto"/>
          <w:sz w:val="21"/>
          <w:szCs w:val="21"/>
          <w:highlight w:val="none"/>
        </w:rPr>
        <w:t>一、投标文件封面</w:t>
      </w:r>
      <w:bookmarkEnd w:id="103"/>
      <w:bookmarkEnd w:id="104"/>
    </w:p>
    <w:p>
      <w:pPr>
        <w:spacing w:line="312" w:lineRule="auto"/>
        <w:ind w:left="1800" w:leftChars="857"/>
        <w:jc w:val="right"/>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12" w:lineRule="auto"/>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p>
      <w:pPr>
        <w:spacing w:line="312" w:lineRule="auto"/>
        <w:ind w:firstLine="280" w:firstLineChars="100"/>
        <w:rPr>
          <w:rFonts w:hint="eastAsia" w:ascii="宋体" w:hAnsi="宋体" w:eastAsia="宋体" w:cs="宋体"/>
          <w:color w:val="auto"/>
          <w:sz w:val="28"/>
          <w:szCs w:val="28"/>
          <w:highlight w:val="none"/>
        </w:rPr>
      </w:pPr>
    </w:p>
    <w:p>
      <w:pPr>
        <w:spacing w:line="312"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资 格 文 件</w:t>
      </w:r>
    </w:p>
    <w:p>
      <w:pPr>
        <w:snapToGrid w:val="0"/>
        <w:spacing w:line="312"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bookmarkStart w:id="105" w:name="_Toc357410801"/>
      <w:r>
        <w:rPr>
          <w:rFonts w:hint="eastAsia" w:ascii="宋体" w:hAnsi="宋体" w:eastAsia="宋体" w:cs="宋体"/>
          <w:color w:val="auto"/>
          <w:sz w:val="32"/>
          <w:szCs w:val="32"/>
          <w:highlight w:val="none"/>
        </w:rPr>
        <w:t>商务技术文件、报价文件）</w:t>
      </w:r>
      <w:bookmarkEnd w:id="105"/>
    </w:p>
    <w:p>
      <w:pPr>
        <w:pStyle w:val="36"/>
        <w:rPr>
          <w:rFonts w:hint="eastAsia" w:ascii="宋体" w:hAnsi="宋体" w:eastAsia="宋体" w:cs="宋体"/>
          <w:color w:val="auto"/>
          <w:sz w:val="32"/>
          <w:szCs w:val="32"/>
          <w:highlight w:val="none"/>
        </w:rPr>
      </w:pPr>
    </w:p>
    <w:p>
      <w:pPr>
        <w:pStyle w:val="36"/>
        <w:rPr>
          <w:rFonts w:hint="eastAsia" w:ascii="宋体" w:hAnsi="宋体" w:eastAsia="宋体" w:cs="宋体"/>
          <w:color w:val="auto"/>
          <w:sz w:val="32"/>
          <w:szCs w:val="32"/>
          <w:highlight w:val="none"/>
        </w:rPr>
      </w:pPr>
    </w:p>
    <w:p>
      <w:pPr>
        <w:pStyle w:val="36"/>
        <w:rPr>
          <w:rFonts w:hint="eastAsia" w:ascii="宋体" w:hAnsi="宋体" w:eastAsia="宋体" w:cs="宋体"/>
          <w:color w:val="auto"/>
          <w:sz w:val="32"/>
          <w:szCs w:val="32"/>
          <w:highlight w:val="none"/>
        </w:rPr>
      </w:pPr>
    </w:p>
    <w:p>
      <w:pPr>
        <w:pStyle w:val="36"/>
        <w:rPr>
          <w:rFonts w:hint="eastAsia" w:ascii="宋体" w:hAnsi="宋体" w:eastAsia="宋体" w:cs="宋体"/>
          <w:color w:val="auto"/>
          <w:sz w:val="32"/>
          <w:szCs w:val="32"/>
          <w:highlight w:val="none"/>
        </w:rPr>
      </w:pPr>
    </w:p>
    <w:p>
      <w:pPr>
        <w:pStyle w:val="36"/>
        <w:rPr>
          <w:rFonts w:hint="eastAsia" w:ascii="宋体" w:hAnsi="宋体" w:eastAsia="宋体" w:cs="宋体"/>
          <w:color w:val="auto"/>
          <w:sz w:val="32"/>
          <w:szCs w:val="32"/>
          <w:highlight w:val="none"/>
        </w:rPr>
      </w:pPr>
    </w:p>
    <w:p>
      <w:pPr>
        <w:snapToGrid w:val="0"/>
        <w:spacing w:line="312" w:lineRule="auto"/>
        <w:ind w:firstLine="1962" w:firstLineChars="698"/>
        <w:rPr>
          <w:rFonts w:hint="eastAsia" w:ascii="宋体" w:hAnsi="宋体" w:eastAsia="宋体" w:cs="宋体"/>
          <w:b/>
          <w:color w:val="auto"/>
          <w:sz w:val="28"/>
          <w:szCs w:val="28"/>
          <w:highlight w:val="none"/>
        </w:rPr>
      </w:pPr>
    </w:p>
    <w:p>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06" w:name="_Toc357410802"/>
      <w:r>
        <w:rPr>
          <w:rFonts w:hint="eastAsia" w:ascii="宋体" w:hAnsi="宋体" w:eastAsia="宋体" w:cs="宋体"/>
          <w:color w:val="auto"/>
          <w:sz w:val="28"/>
          <w:szCs w:val="28"/>
          <w:highlight w:val="none"/>
        </w:rPr>
        <w:t>项目名称：</w:t>
      </w:r>
      <w:bookmarkEnd w:id="106"/>
      <w:r>
        <w:rPr>
          <w:rFonts w:hint="eastAsia" w:ascii="宋体" w:hAnsi="宋体" w:eastAsia="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07" w:name="_Toc357410803"/>
      <w:r>
        <w:rPr>
          <w:rFonts w:hint="eastAsia" w:ascii="宋体" w:hAnsi="宋体" w:eastAsia="宋体" w:cs="宋体"/>
          <w:color w:val="auto"/>
          <w:sz w:val="28"/>
          <w:szCs w:val="28"/>
          <w:highlight w:val="none"/>
        </w:rPr>
        <w:t>项目编号：</w:t>
      </w:r>
      <w:bookmarkEnd w:id="107"/>
      <w:r>
        <w:rPr>
          <w:rFonts w:hint="eastAsia" w:ascii="宋体" w:hAnsi="宋体" w:eastAsia="宋体" w:cs="宋体"/>
          <w:color w:val="auto"/>
          <w:sz w:val="28"/>
          <w:szCs w:val="28"/>
          <w:highlight w:val="none"/>
          <w:u w:val="single"/>
        </w:rPr>
        <w:t xml:space="preserve">                    </w:t>
      </w:r>
    </w:p>
    <w:p>
      <w:pPr>
        <w:snapToGrid w:val="0"/>
        <w:spacing w:line="480" w:lineRule="auto"/>
        <w:ind w:firstLine="2318" w:firstLineChars="828"/>
        <w:jc w:val="left"/>
        <w:rPr>
          <w:rFonts w:hint="default" w:ascii="宋体" w:hAnsi="宋体" w:eastAsia="宋体" w:cs="宋体"/>
          <w:color w:val="auto"/>
          <w:sz w:val="28"/>
          <w:szCs w:val="28"/>
          <w:highlight w:val="none"/>
          <w:u w:val="single"/>
          <w:lang w:val="en-US" w:eastAsia="zh-CN"/>
        </w:rPr>
      </w:pPr>
      <w:bookmarkStart w:id="108" w:name="_Toc357410804"/>
      <w:r>
        <w:rPr>
          <w:rFonts w:hint="eastAsia" w:ascii="宋体" w:hAnsi="宋体" w:cs="宋体"/>
          <w:color w:val="auto"/>
          <w:sz w:val="28"/>
          <w:szCs w:val="28"/>
          <w:highlight w:val="none"/>
          <w:lang w:val="en-US" w:eastAsia="zh-CN"/>
        </w:rPr>
        <w:t>标项：</w:t>
      </w:r>
      <w:r>
        <w:rPr>
          <w:rFonts w:hint="eastAsia" w:ascii="宋体" w:hAnsi="宋体" w:cs="宋体"/>
          <w:color w:val="auto"/>
          <w:sz w:val="28"/>
          <w:szCs w:val="28"/>
          <w:highlight w:val="none"/>
          <w:u w:val="single"/>
          <w:lang w:val="en-US" w:eastAsia="zh-CN"/>
        </w:rPr>
        <w:t xml:space="preserve">                       </w:t>
      </w:r>
    </w:p>
    <w:p>
      <w:pPr>
        <w:snapToGrid w:val="0"/>
        <w:spacing w:line="480" w:lineRule="auto"/>
        <w:ind w:firstLine="2318" w:firstLineChars="828"/>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（电子签章）</w:t>
      </w:r>
      <w:bookmarkEnd w:id="108"/>
    </w:p>
    <w:p>
      <w:pPr>
        <w:snapToGrid w:val="0"/>
        <w:spacing w:line="480" w:lineRule="auto"/>
        <w:ind w:firstLine="2318" w:firstLineChars="828"/>
        <w:jc w:val="left"/>
        <w:rPr>
          <w:rFonts w:hint="eastAsia" w:ascii="宋体" w:hAnsi="宋体" w:eastAsia="宋体" w:cs="宋体"/>
          <w:color w:val="auto"/>
          <w:szCs w:val="21"/>
          <w:highlight w:val="none"/>
        </w:rPr>
        <w:sectPr>
          <w:headerReference r:id="rId8" w:type="first"/>
          <w:footerReference r:id="rId10" w:type="first"/>
          <w:headerReference r:id="rId7" w:type="even"/>
          <w:footerReference r:id="rId9" w:type="even"/>
          <w:pgSz w:w="11906" w:h="16838"/>
          <w:pgMar w:top="1389" w:right="1247" w:bottom="1389" w:left="1247" w:header="851" w:footer="992" w:gutter="284"/>
          <w:pgBorders>
            <w:top w:val="none" w:sz="0" w:space="0"/>
            <w:left w:val="none" w:sz="0" w:space="0"/>
            <w:bottom w:val="none" w:sz="0" w:space="0"/>
            <w:right w:val="none" w:sz="0" w:space="0"/>
          </w:pgBorders>
          <w:cols w:space="720" w:num="1"/>
          <w:docGrid w:linePitch="312" w:charSpace="0"/>
        </w:sectPr>
      </w:pPr>
      <w:bookmarkStart w:id="109" w:name="_Toc357410805"/>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09"/>
    </w:p>
    <w:p>
      <w:pPr>
        <w:spacing w:line="312" w:lineRule="auto"/>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二、资格文件</w:t>
      </w:r>
    </w:p>
    <w:p>
      <w:pPr>
        <w:pStyle w:val="26"/>
        <w:rPr>
          <w:rFonts w:hint="eastAsia"/>
          <w:color w:val="auto"/>
        </w:rPr>
      </w:pPr>
    </w:p>
    <w:p>
      <w:pPr>
        <w:spacing w:line="312" w:lineRule="auto"/>
        <w:jc w:val="center"/>
        <w:rPr>
          <w:rFonts w:hint="eastAsia" w:ascii="宋体" w:hAnsi="宋体" w:cs="宋体"/>
          <w:b/>
          <w:color w:val="auto"/>
          <w:szCs w:val="21"/>
          <w:highlight w:val="none"/>
        </w:rPr>
      </w:pPr>
      <w:r>
        <w:rPr>
          <w:rFonts w:hint="eastAsia" w:ascii="宋体" w:hAnsi="宋体" w:eastAsia="宋体" w:cs="宋体"/>
          <w:b/>
          <w:bCs w:val="0"/>
          <w:color w:val="auto"/>
          <w:sz w:val="21"/>
          <w:szCs w:val="21"/>
          <w:highlight w:val="none"/>
        </w:rPr>
        <w:t xml:space="preserve">1 </w:t>
      </w:r>
      <w:r>
        <w:rPr>
          <w:rFonts w:hint="eastAsia" w:ascii="宋体" w:hAnsi="宋体" w:cs="宋体"/>
          <w:b/>
          <w:color w:val="auto"/>
          <w:szCs w:val="21"/>
          <w:highlight w:val="none"/>
        </w:rPr>
        <w:t>具有参与政府采购活动</w:t>
      </w:r>
      <w:r>
        <w:rPr>
          <w:rFonts w:hint="eastAsia" w:ascii="宋体" w:hAnsi="宋体" w:cs="宋体"/>
          <w:b/>
          <w:color w:val="auto"/>
          <w:szCs w:val="21"/>
          <w:highlight w:val="none"/>
          <w:lang w:val="en-US" w:eastAsia="zh-CN"/>
        </w:rPr>
        <w:t>一般</w:t>
      </w:r>
      <w:r>
        <w:rPr>
          <w:rFonts w:hint="eastAsia" w:ascii="宋体" w:hAnsi="宋体" w:cs="宋体"/>
          <w:b/>
          <w:color w:val="auto"/>
          <w:szCs w:val="21"/>
          <w:highlight w:val="none"/>
        </w:rPr>
        <w:t>资格条件的声明函</w:t>
      </w:r>
    </w:p>
    <w:p>
      <w:pPr>
        <w:pStyle w:val="24"/>
        <w:rPr>
          <w:rFonts w:hint="eastAsia" w:ascii="宋体" w:hAnsi="宋体" w:eastAsia="宋体" w:cs="宋体"/>
          <w:color w:val="auto"/>
          <w:sz w:val="21"/>
          <w:szCs w:val="21"/>
          <w:highlight w:val="none"/>
        </w:rPr>
      </w:pPr>
    </w:p>
    <w:p>
      <w:pPr>
        <w:spacing w:line="312"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衢州市柯城区双港街道办事处</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浙江天平投资咨询有限公司</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政府采购活动，郑重承诺：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pPr>
        <w:pStyle w:val="2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如有虚假，采购人可取消我方任何资格（投标/中标/签订合同），我方对此无任何异议。</w:t>
      </w:r>
    </w:p>
    <w:p>
      <w:pPr>
        <w:keepNext w:val="0"/>
        <w:keepLines w:val="0"/>
        <w:pageBreakBefore w:val="0"/>
        <w:widowControl w:val="0"/>
        <w:kinsoku/>
        <w:wordWrap/>
        <w:overflowPunct/>
        <w:topLinePunct w:val="0"/>
        <w:autoSpaceDE/>
        <w:autoSpaceDN/>
        <w:bidi w:val="0"/>
        <w:spacing w:line="500" w:lineRule="exact"/>
        <w:jc w:val="center"/>
        <w:textAlignment w:val="auto"/>
        <w:rPr>
          <w:rStyle w:val="32"/>
          <w:rFonts w:hint="eastAsia" w:ascii="宋体" w:hAnsi="宋体" w:eastAsia="宋体" w:cs="宋体"/>
          <w:b w:val="0"/>
          <w:color w:val="auto"/>
          <w:sz w:val="21"/>
          <w:szCs w:val="21"/>
          <w:highlight w:val="none"/>
        </w:rPr>
      </w:pPr>
    </w:p>
    <w:p>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法定代表人或授权代表人（签字或盖章）：                                   </w:t>
      </w:r>
    </w:p>
    <w:p>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23"/>
        <w:rPr>
          <w:rFonts w:hint="eastAsia" w:ascii="宋体" w:hAnsi="宋体" w:eastAsia="宋体" w:cs="宋体"/>
          <w:color w:val="auto"/>
          <w:sz w:val="21"/>
          <w:szCs w:val="21"/>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法定代表人授权委托书（格式） </w:t>
      </w:r>
    </w:p>
    <w:p>
      <w:pPr>
        <w:jc w:val="center"/>
        <w:rPr>
          <w:rFonts w:hint="eastAsia" w:ascii="宋体" w:hAnsi="宋体" w:eastAsia="宋体" w:cs="宋体"/>
          <w:b/>
          <w:color w:val="auto"/>
          <w:sz w:val="21"/>
          <w:szCs w:val="21"/>
          <w:highlight w:val="none"/>
        </w:rPr>
      </w:pPr>
    </w:p>
    <w:p>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本授权委托书声明：我</w:t>
      </w:r>
      <w:r>
        <w:rPr>
          <w:rFonts w:hint="eastAsia" w:ascii="宋体" w:hAnsi="宋体" w:eastAsia="宋体" w:cs="宋体"/>
          <w:color w:val="auto"/>
          <w:sz w:val="21"/>
          <w:szCs w:val="21"/>
          <w:highlight w:val="none"/>
          <w:u w:val="single"/>
        </w:rPr>
        <w:t xml:space="preserve">         (填写姓名)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（填写投标人单位全称）</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的（填写姓名）为我公司授权代表，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。以本公司的名义参加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pPr>
        <w:snapToGrid w:val="0"/>
        <w:spacing w:line="600" w:lineRule="exact"/>
        <w:jc w:val="lef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pPr>
        <w:spacing w:line="360" w:lineRule="exact"/>
        <w:rPr>
          <w:rFonts w:hint="eastAsia" w:ascii="宋体" w:hAnsi="宋体" w:eastAsia="宋体" w:cs="宋体"/>
          <w:color w:val="auto"/>
          <w:sz w:val="21"/>
          <w:szCs w:val="21"/>
          <w:highlight w:val="none"/>
        </w:rPr>
      </w:pPr>
    </w:p>
    <w:p>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spacing w:line="360" w:lineRule="exact"/>
        <w:rPr>
          <w:rFonts w:hint="eastAsia" w:ascii="宋体" w:hAnsi="宋体" w:eastAsia="宋体" w:cs="宋体"/>
          <w:color w:val="auto"/>
          <w:sz w:val="21"/>
          <w:szCs w:val="21"/>
          <w:highlight w:val="none"/>
        </w:rPr>
      </w:pPr>
    </w:p>
    <w:p>
      <w:pPr>
        <w:spacing w:line="360" w:lineRule="exact"/>
        <w:rPr>
          <w:rFonts w:hint="eastAsia" w:ascii="宋体" w:hAnsi="宋体" w:eastAsia="宋体" w:cs="宋体"/>
          <w:color w:val="auto"/>
          <w:sz w:val="21"/>
          <w:szCs w:val="21"/>
          <w:highlight w:val="none"/>
        </w:rPr>
      </w:pPr>
    </w:p>
    <w:p>
      <w:pPr>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ind w:firstLine="4305" w:firstLineChars="2050"/>
        <w:jc w:val="left"/>
        <w:rPr>
          <w:rFonts w:hint="eastAsia" w:ascii="宋体" w:hAnsi="宋体" w:eastAsia="宋体" w:cs="宋体"/>
          <w:color w:val="auto"/>
          <w:sz w:val="21"/>
          <w:szCs w:val="21"/>
          <w:highlight w:val="none"/>
        </w:rPr>
      </w:pPr>
    </w:p>
    <w:p>
      <w:pPr>
        <w:spacing w:line="80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附：身份证复印件</w:t>
      </w:r>
    </w:p>
    <w:p>
      <w:pPr>
        <w:spacing w:line="800" w:lineRule="exact"/>
        <w:rPr>
          <w:rFonts w:hint="eastAsia" w:ascii="宋体" w:hAnsi="宋体" w:eastAsia="宋体" w:cs="宋体"/>
          <w:b/>
          <w:color w:val="auto"/>
          <w:sz w:val="21"/>
          <w:szCs w:val="21"/>
          <w:highlight w:val="none"/>
        </w:rPr>
      </w:pPr>
    </w:p>
    <w:p>
      <w:pPr>
        <w:spacing w:line="800" w:lineRule="exact"/>
        <w:jc w:val="center"/>
        <w:rPr>
          <w:rFonts w:hint="eastAsia" w:ascii="宋体" w:hAnsi="宋体" w:eastAsia="宋体" w:cs="宋体"/>
          <w:b/>
          <w:color w:val="auto"/>
          <w:sz w:val="21"/>
          <w:szCs w:val="21"/>
          <w:highlight w:val="none"/>
          <w:lang w:val="en-US" w:eastAsia="zh-CN"/>
        </w:rPr>
      </w:pPr>
    </w:p>
    <w:p>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法定代表人身份证明书(格式)</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spacing w:line="440" w:lineRule="exact"/>
        <w:ind w:right="281" w:rightChars="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（填写投标人名称）</w:t>
      </w:r>
      <w:r>
        <w:rPr>
          <w:rFonts w:hint="eastAsia" w:ascii="宋体" w:hAnsi="宋体" w:eastAsia="宋体" w:cs="宋体"/>
          <w:color w:val="auto"/>
          <w:sz w:val="21"/>
          <w:szCs w:val="21"/>
          <w:highlight w:val="none"/>
        </w:rPr>
        <w:t>的法定代表人。</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spacing w:line="440" w:lineRule="exact"/>
        <w:rPr>
          <w:rFonts w:hint="eastAsia" w:ascii="宋体" w:hAnsi="宋体" w:eastAsia="宋体" w:cs="宋体"/>
          <w:color w:val="auto"/>
          <w:sz w:val="21"/>
          <w:szCs w:val="21"/>
          <w:highlight w:val="none"/>
        </w:rPr>
      </w:pP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                             （电子签章）</w:t>
      </w:r>
    </w:p>
    <w:p>
      <w:pPr>
        <w:spacing w:line="440" w:lineRule="exact"/>
        <w:ind w:right="480"/>
        <w:rPr>
          <w:rFonts w:hint="eastAsia" w:ascii="宋体" w:hAnsi="宋体" w:eastAsia="宋体" w:cs="宋体"/>
          <w:color w:val="auto"/>
          <w:sz w:val="21"/>
          <w:szCs w:val="21"/>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widowControl/>
        <w:spacing w:line="360" w:lineRule="auto"/>
        <w:ind w:firstLine="422" w:firstLineChars="200"/>
        <w:jc w:val="center"/>
        <w:rPr>
          <w:rFonts w:hint="eastAsia" w:ascii="宋体" w:hAnsi="宋体" w:eastAsia="宋体" w:cs="宋体"/>
          <w:b/>
          <w:color w:val="auto"/>
          <w:kern w:val="0"/>
          <w:sz w:val="21"/>
          <w:szCs w:val="21"/>
          <w:highlight w:val="none"/>
          <w:lang w:val="en-US" w:eastAsia="zh-CN"/>
        </w:rPr>
      </w:pPr>
    </w:p>
    <w:p>
      <w:pPr>
        <w:widowControl/>
        <w:spacing w:line="360" w:lineRule="auto"/>
        <w:ind w:firstLine="422" w:firstLineChars="200"/>
        <w:jc w:val="center"/>
        <w:rPr>
          <w:rFonts w:hint="eastAsia" w:ascii="宋体" w:hAnsi="宋体" w:eastAsia="宋体" w:cs="宋体"/>
          <w:b/>
          <w:color w:val="auto"/>
          <w:kern w:val="0"/>
          <w:sz w:val="21"/>
          <w:szCs w:val="21"/>
          <w:highlight w:val="none"/>
          <w:lang w:val="en-US" w:eastAsia="zh-CN"/>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p>
    <w:p>
      <w:pPr>
        <w:spacing w:line="400" w:lineRule="exact"/>
        <w:ind w:left="140" w:right="-20"/>
        <w:jc w:val="left"/>
        <w:rPr>
          <w:rFonts w:ascii="Times New Roman" w:hAnsi="Times New Roman"/>
          <w:b/>
          <w:bCs/>
          <w:color w:val="auto"/>
          <w:sz w:val="24"/>
          <w:highlight w:val="none"/>
        </w:rPr>
      </w:pPr>
      <w:r>
        <w:rPr>
          <w:rFonts w:ascii="Times New Roman" w:hAnsi="Times New Roman"/>
          <w:b/>
          <w:bCs/>
          <w:color w:val="auto"/>
          <w:sz w:val="24"/>
          <w:highlight w:val="none"/>
        </w:rPr>
        <w:t>中小企业声明函</w:t>
      </w:r>
    </w:p>
    <w:p>
      <w:pPr>
        <w:widowControl/>
        <w:spacing w:before="100" w:beforeAutospacing="1" w:after="100" w:afterAutospacing="1" w:line="400" w:lineRule="exact"/>
        <w:ind w:firstLine="482"/>
        <w:jc w:val="center"/>
        <w:rPr>
          <w:rFonts w:ascii="Times New Roman" w:hAnsi="Times New Roman"/>
          <w:b/>
          <w:bCs/>
          <w:color w:val="auto"/>
          <w:sz w:val="24"/>
          <w:highlight w:val="none"/>
        </w:rPr>
      </w:pPr>
    </w:p>
    <w:p>
      <w:pPr>
        <w:widowControl/>
        <w:spacing w:before="100" w:beforeAutospacing="1" w:after="100" w:afterAutospacing="1" w:line="400" w:lineRule="exact"/>
        <w:ind w:firstLine="482"/>
        <w:jc w:val="center"/>
        <w:rPr>
          <w:rFonts w:ascii="Times New Roman" w:hAnsi="Times New Roman"/>
          <w:b/>
          <w:color w:val="auto"/>
          <w:sz w:val="24"/>
          <w:highlight w:val="none"/>
        </w:rPr>
      </w:pPr>
      <w:r>
        <w:rPr>
          <w:rFonts w:ascii="Times New Roman" w:hAnsi="Times New Roman"/>
          <w:b/>
          <w:bCs/>
          <w:color w:val="auto"/>
          <w:sz w:val="24"/>
          <w:highlight w:val="none"/>
        </w:rPr>
        <w:t>中小企业声明函（工程、服务）</w:t>
      </w:r>
    </w:p>
    <w:p>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本公司（联合体）郑重声明，根据《政府采购促进中小企业发展管理办法》（财库﹝2020﹞46 号）的规定，本公司（联合体）参加 </w:t>
      </w:r>
      <w:r>
        <w:rPr>
          <w:rFonts w:ascii="Times New Roman" w:hAnsi="Times New Roman"/>
          <w:bCs/>
          <w:color w:val="auto"/>
          <w:sz w:val="24"/>
          <w:highlight w:val="none"/>
          <w:u w:val="single"/>
        </w:rPr>
        <w:t>（单位名称）</w:t>
      </w:r>
      <w:r>
        <w:rPr>
          <w:rFonts w:ascii="Times New Roman" w:hAnsi="Times New Roman"/>
          <w:bCs/>
          <w:color w:val="auto"/>
          <w:sz w:val="24"/>
          <w:highlight w:val="none"/>
        </w:rPr>
        <w:t xml:space="preserve"> 的</w:t>
      </w:r>
      <w:r>
        <w:rPr>
          <w:rFonts w:ascii="Times New Roman" w:hAnsi="Times New Roman"/>
          <w:bCs/>
          <w:color w:val="auto"/>
          <w:sz w:val="24"/>
          <w:highlight w:val="none"/>
          <w:u w:val="single"/>
        </w:rPr>
        <w:t xml:space="preserve"> （项目名称） </w:t>
      </w:r>
      <w:r>
        <w:rPr>
          <w:rFonts w:ascii="Times New Roman" w:hAnsi="Times New Roman"/>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1. </w:t>
      </w:r>
      <w:r>
        <w:rPr>
          <w:rFonts w:ascii="Times New Roman" w:hAnsi="Times New Roman"/>
          <w:bCs/>
          <w:color w:val="auto"/>
          <w:sz w:val="24"/>
          <w:highlight w:val="none"/>
          <w:u w:val="single"/>
        </w:rPr>
        <w:t>（标的名称）</w:t>
      </w:r>
      <w:r>
        <w:rPr>
          <w:rFonts w:ascii="Times New Roman" w:hAnsi="Times New Roman"/>
          <w:bCs/>
          <w:color w:val="auto"/>
          <w:sz w:val="24"/>
          <w:highlight w:val="none"/>
        </w:rPr>
        <w:t xml:space="preserve"> ，属于</w:t>
      </w:r>
      <w:r>
        <w:rPr>
          <w:rFonts w:ascii="Times New Roman" w:hAnsi="Times New Roman"/>
          <w:bCs/>
          <w:color w:val="auto"/>
          <w:sz w:val="24"/>
          <w:highlight w:val="none"/>
          <w:u w:val="single"/>
        </w:rPr>
        <w:t xml:space="preserve"> （采购文件中明确的所属行业）</w:t>
      </w:r>
      <w:r>
        <w:rPr>
          <w:rFonts w:ascii="Times New Roman" w:hAnsi="Times New Roman"/>
          <w:bCs/>
          <w:color w:val="auto"/>
          <w:sz w:val="24"/>
          <w:highlight w:val="none"/>
        </w:rPr>
        <w:t>行业 ；承建（承接）企业为</w:t>
      </w:r>
      <w:r>
        <w:rPr>
          <w:rFonts w:ascii="Times New Roman" w:hAnsi="Times New Roman"/>
          <w:bCs/>
          <w:color w:val="auto"/>
          <w:sz w:val="24"/>
          <w:highlight w:val="none"/>
          <w:u w:val="single"/>
        </w:rPr>
        <w:t xml:space="preserve"> （企业名称） </w:t>
      </w:r>
      <w:r>
        <w:rPr>
          <w:rFonts w:ascii="Times New Roman" w:hAnsi="Times New Roman"/>
          <w:bCs/>
          <w:color w:val="auto"/>
          <w:sz w:val="24"/>
          <w:highlight w:val="none"/>
        </w:rPr>
        <w:t>，从业人员人，营业收入为万元，资产总额为万元</w:t>
      </w:r>
      <w:r>
        <w:rPr>
          <w:rFonts w:ascii="Times New Roman" w:hAnsi="Times New Roman"/>
          <w:bCs/>
          <w:color w:val="auto"/>
          <w:sz w:val="24"/>
          <w:highlight w:val="none"/>
          <w:vertAlign w:val="superscript"/>
        </w:rPr>
        <w:t>1</w:t>
      </w:r>
      <w:r>
        <w:rPr>
          <w:rFonts w:ascii="Times New Roman" w:hAnsi="Times New Roman"/>
          <w:bCs/>
          <w:color w:val="auto"/>
          <w:sz w:val="24"/>
          <w:highlight w:val="none"/>
        </w:rPr>
        <w:t>，属于</w:t>
      </w:r>
      <w:r>
        <w:rPr>
          <w:rFonts w:ascii="Times New Roman" w:hAnsi="Times New Roman"/>
          <w:bCs/>
          <w:color w:val="auto"/>
          <w:sz w:val="24"/>
          <w:highlight w:val="none"/>
          <w:u w:val="single"/>
        </w:rPr>
        <w:t>（中型企业、小型企业、微型企业）</w:t>
      </w:r>
      <w:r>
        <w:rPr>
          <w:rFonts w:ascii="Times New Roman" w:hAnsi="Times New Roman"/>
          <w:bCs/>
          <w:color w:val="auto"/>
          <w:sz w:val="24"/>
          <w:highlight w:val="none"/>
        </w:rPr>
        <w:t>；</w:t>
      </w:r>
    </w:p>
    <w:p>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2. </w:t>
      </w:r>
      <w:r>
        <w:rPr>
          <w:rFonts w:ascii="Times New Roman" w:hAnsi="Times New Roman"/>
          <w:bCs/>
          <w:color w:val="auto"/>
          <w:sz w:val="24"/>
          <w:highlight w:val="none"/>
          <w:u w:val="single"/>
        </w:rPr>
        <w:t xml:space="preserve">（标的名称） </w:t>
      </w:r>
      <w:r>
        <w:rPr>
          <w:rFonts w:ascii="Times New Roman" w:hAnsi="Times New Roman"/>
          <w:bCs/>
          <w:color w:val="auto"/>
          <w:sz w:val="24"/>
          <w:highlight w:val="none"/>
        </w:rPr>
        <w:t>，属于</w:t>
      </w:r>
      <w:r>
        <w:rPr>
          <w:rFonts w:ascii="Times New Roman" w:hAnsi="Times New Roman"/>
          <w:bCs/>
          <w:color w:val="auto"/>
          <w:sz w:val="24"/>
          <w:highlight w:val="none"/>
          <w:u w:val="single"/>
        </w:rPr>
        <w:t xml:space="preserve"> （采购文件中明确的所属行业）</w:t>
      </w:r>
      <w:r>
        <w:rPr>
          <w:rFonts w:ascii="Times New Roman" w:hAnsi="Times New Roman"/>
          <w:bCs/>
          <w:color w:val="auto"/>
          <w:sz w:val="24"/>
          <w:highlight w:val="none"/>
        </w:rPr>
        <w:t>行业 ；承建（承接）企业为</w:t>
      </w:r>
      <w:r>
        <w:rPr>
          <w:rFonts w:ascii="Times New Roman" w:hAnsi="Times New Roman"/>
          <w:bCs/>
          <w:color w:val="auto"/>
          <w:sz w:val="24"/>
          <w:highlight w:val="none"/>
          <w:u w:val="single"/>
        </w:rPr>
        <w:t xml:space="preserve">（企业名称） </w:t>
      </w:r>
      <w:r>
        <w:rPr>
          <w:rFonts w:ascii="Times New Roman" w:hAnsi="Times New Roman"/>
          <w:bCs/>
          <w:color w:val="auto"/>
          <w:sz w:val="24"/>
          <w:highlight w:val="none"/>
        </w:rPr>
        <w:t>，从业人员人，营业收入为万元，资产总额为万元，属于 （中型企业、小型企业、微型企业） ；</w:t>
      </w:r>
    </w:p>
    <w:p>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w:t>
      </w:r>
    </w:p>
    <w:p>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以上企业，不属于大企业的分支机构，不存在控股股东为大企业的情形，也不存在与大企业的负责人为同一人的情形。</w:t>
      </w:r>
    </w:p>
    <w:p>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本企业对上述声明内容的真实性负责。如有虚假，将依法承担相应责任。</w:t>
      </w:r>
    </w:p>
    <w:p>
      <w:pPr>
        <w:pStyle w:val="52"/>
        <w:rPr>
          <w:rFonts w:ascii="Times New Roman" w:hAnsi="Times New Roman"/>
          <w:color w:val="auto"/>
          <w:highlight w:val="none"/>
        </w:rPr>
      </w:pPr>
    </w:p>
    <w:p>
      <w:pPr>
        <w:spacing w:line="600" w:lineRule="exact"/>
        <w:ind w:firstLine="3960" w:firstLineChars="1650"/>
        <w:textAlignment w:val="baseline"/>
        <w:rPr>
          <w:rFonts w:ascii="Times New Roman" w:hAnsi="Times New Roman"/>
          <w:color w:val="auto"/>
          <w:sz w:val="24"/>
          <w:highlight w:val="none"/>
        </w:rPr>
      </w:pPr>
    </w:p>
    <w:p>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pPr>
        <w:pStyle w:val="11"/>
        <w:ind w:firstLine="240"/>
        <w:rPr>
          <w:rFonts w:ascii="Times New Roman" w:hAnsi="Times New Roman"/>
          <w:color w:val="auto"/>
          <w:sz w:val="24"/>
          <w:highlight w:val="none"/>
        </w:rPr>
      </w:pPr>
    </w:p>
    <w:p>
      <w:pPr>
        <w:pStyle w:val="52"/>
        <w:rPr>
          <w:rFonts w:ascii="Times New Roman" w:hAnsi="Times New Roman"/>
          <w:color w:val="auto"/>
          <w:highlight w:val="none"/>
        </w:rPr>
      </w:pPr>
    </w:p>
    <w:p>
      <w:pPr>
        <w:snapToGrid w:val="0"/>
        <w:spacing w:line="360" w:lineRule="auto"/>
        <w:rPr>
          <w:rFonts w:ascii="Times New Roman" w:hAnsi="Times New Roman"/>
          <w:b/>
          <w:color w:val="auto"/>
          <w:sz w:val="24"/>
          <w:highlight w:val="none"/>
        </w:rPr>
      </w:pPr>
      <w:r>
        <w:rPr>
          <w:rFonts w:ascii="Times New Roman" w:hAnsi="Times New Roman"/>
          <w:b/>
          <w:color w:val="auto"/>
          <w:sz w:val="24"/>
          <w:highlight w:val="none"/>
        </w:rPr>
        <w:t>特别说明：</w:t>
      </w:r>
    </w:p>
    <w:p>
      <w:pPr>
        <w:snapToGrid w:val="0"/>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1、从业人员、营业收入、资产总额填报上一年度数据，无上一年度数据的新成立企业可不填报。</w:t>
      </w:r>
    </w:p>
    <w:p>
      <w:pPr>
        <w:autoSpaceDE w:val="0"/>
        <w:autoSpaceDN w:val="0"/>
        <w:adjustRightInd w:val="0"/>
        <w:spacing w:line="400" w:lineRule="exact"/>
        <w:jc w:val="center"/>
        <w:rPr>
          <w:rFonts w:ascii="Times New Roman" w:hAnsi="Times New Roman" w:eastAsia="华文中宋"/>
          <w:b/>
          <w:color w:val="auto"/>
          <w:sz w:val="28"/>
          <w:szCs w:val="28"/>
          <w:highlight w:val="none"/>
          <w:lang w:val="zh-CN"/>
        </w:rPr>
      </w:pPr>
    </w:p>
    <w:p>
      <w:pPr>
        <w:autoSpaceDE w:val="0"/>
        <w:autoSpaceDN w:val="0"/>
        <w:adjustRightInd w:val="0"/>
        <w:spacing w:line="400" w:lineRule="exact"/>
        <w:jc w:val="center"/>
        <w:rPr>
          <w:rFonts w:ascii="Times New Roman" w:hAnsi="Times New Roman" w:eastAsia="华文中宋"/>
          <w:b/>
          <w:color w:val="auto"/>
          <w:sz w:val="28"/>
          <w:szCs w:val="28"/>
          <w:highlight w:val="none"/>
          <w:lang w:val="zh-CN"/>
        </w:rPr>
      </w:pPr>
    </w:p>
    <w:p>
      <w:pPr>
        <w:autoSpaceDE w:val="0"/>
        <w:autoSpaceDN w:val="0"/>
        <w:adjustRightInd w:val="0"/>
        <w:spacing w:line="400" w:lineRule="exact"/>
        <w:ind w:firstLine="3654" w:firstLineChars="1300"/>
        <w:rPr>
          <w:rFonts w:ascii="Times New Roman" w:hAnsi="Times New Roman"/>
          <w:b/>
          <w:color w:val="auto"/>
          <w:sz w:val="28"/>
          <w:szCs w:val="28"/>
          <w:highlight w:val="none"/>
          <w:lang w:val="zh-CN"/>
        </w:rPr>
      </w:pPr>
      <w:r>
        <w:rPr>
          <w:rFonts w:ascii="Times New Roman" w:hAnsi="Times New Roman"/>
          <w:b/>
          <w:color w:val="auto"/>
          <w:sz w:val="28"/>
          <w:szCs w:val="28"/>
          <w:highlight w:val="none"/>
          <w:lang w:val="zh-CN"/>
        </w:rPr>
        <w:t>监狱企业声明函</w:t>
      </w:r>
    </w:p>
    <w:p>
      <w:pPr>
        <w:autoSpaceDE w:val="0"/>
        <w:autoSpaceDN w:val="0"/>
        <w:adjustRightInd w:val="0"/>
        <w:snapToGrid w:val="0"/>
        <w:spacing w:after="240" w:afterLines="100"/>
        <w:jc w:val="center"/>
        <w:rPr>
          <w:rFonts w:ascii="Times New Roman" w:hAnsi="Times New Roman"/>
          <w:bCs/>
          <w:color w:val="auto"/>
          <w:szCs w:val="21"/>
          <w:highlight w:val="none"/>
          <w:lang w:val="zh-CN"/>
        </w:rPr>
      </w:pPr>
    </w:p>
    <w:p>
      <w:pPr>
        <w:autoSpaceDE w:val="0"/>
        <w:autoSpaceDN w:val="0"/>
        <w:adjustRightInd w:val="0"/>
        <w:snapToGrid w:val="0"/>
        <w:spacing w:after="240" w:afterLines="100"/>
        <w:ind w:firstLine="3600" w:firstLineChars="1500"/>
        <w:rPr>
          <w:rFonts w:ascii="Times New Roman" w:hAnsi="Times New Roman"/>
          <w:bCs/>
          <w:color w:val="auto"/>
          <w:sz w:val="24"/>
          <w:highlight w:val="none"/>
          <w:lang w:val="zh-CN"/>
        </w:rPr>
      </w:pPr>
      <w:r>
        <w:rPr>
          <w:rFonts w:ascii="Times New Roman" w:hAnsi="Times New Roman"/>
          <w:bCs/>
          <w:color w:val="auto"/>
          <w:sz w:val="24"/>
          <w:highlight w:val="none"/>
          <w:lang w:val="zh-CN"/>
        </w:rPr>
        <w:t>【非监狱企业不需提供】</w:t>
      </w:r>
    </w:p>
    <w:p>
      <w:pPr>
        <w:widowControl/>
        <w:adjustRightInd w:val="0"/>
        <w:snapToGrid w:val="0"/>
        <w:spacing w:line="312"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本企业郑重声明，根据《关于政府采购支持监狱企业发展有关问题的通知》（财库[2014]68号）的规定，本企业为</w:t>
      </w:r>
      <w:r>
        <w:rPr>
          <w:rFonts w:ascii="Times New Roman" w:hAnsi="Times New Roman"/>
          <w:color w:val="auto"/>
          <w:sz w:val="24"/>
          <w:highlight w:val="none"/>
          <w:u w:val="single"/>
        </w:rPr>
        <w:t>监狱企业</w:t>
      </w:r>
      <w:r>
        <w:rPr>
          <w:rFonts w:ascii="Times New Roman" w:hAnsi="Times New Roman"/>
          <w:color w:val="auto"/>
          <w:sz w:val="24"/>
          <w:highlight w:val="none"/>
        </w:rPr>
        <w:t>。</w:t>
      </w:r>
    </w:p>
    <w:p>
      <w:pPr>
        <w:widowControl/>
        <w:adjustRightInd w:val="0"/>
        <w:snapToGrid w:val="0"/>
        <w:spacing w:line="312"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根据上述标准，我企业属于</w:t>
      </w:r>
      <w:r>
        <w:rPr>
          <w:rFonts w:ascii="Times New Roman" w:hAnsi="Times New Roman"/>
          <w:color w:val="auto"/>
          <w:sz w:val="24"/>
          <w:highlight w:val="none"/>
          <w:u w:val="single"/>
        </w:rPr>
        <w:t>监狱企业</w:t>
      </w:r>
      <w:r>
        <w:rPr>
          <w:rFonts w:ascii="Times New Roman" w:hAnsi="Times New Roman"/>
          <w:color w:val="auto"/>
          <w:sz w:val="24"/>
          <w:highlight w:val="none"/>
        </w:rPr>
        <w:t>的理由为：</w:t>
      </w:r>
    </w:p>
    <w:p>
      <w:pPr>
        <w:widowControl/>
        <w:adjustRightInd w:val="0"/>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本企业为参加（项目名称：    ）（项目编号：   ）采购活动提供本企业的产品。</w:t>
      </w:r>
    </w:p>
    <w:p>
      <w:pPr>
        <w:widowControl/>
        <w:adjustRightInd w:val="0"/>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本企业对上述声明的真实性负责。如有虚假，将依法承担相应责任。</w:t>
      </w:r>
    </w:p>
    <w:p>
      <w:pPr>
        <w:adjustRightInd w:val="0"/>
        <w:snapToGrid w:val="0"/>
        <w:spacing w:line="312" w:lineRule="auto"/>
        <w:ind w:firstLine="480" w:firstLineChars="200"/>
        <w:jc w:val="center"/>
        <w:rPr>
          <w:rFonts w:ascii="Times New Roman" w:hAnsi="Times New Roman"/>
          <w:color w:val="auto"/>
          <w:sz w:val="24"/>
          <w:highlight w:val="none"/>
        </w:rPr>
      </w:pPr>
    </w:p>
    <w:p>
      <w:pPr>
        <w:adjustRightInd w:val="0"/>
        <w:snapToGrid w:val="0"/>
        <w:spacing w:line="312" w:lineRule="auto"/>
        <w:ind w:firstLine="480" w:firstLineChars="200"/>
        <w:jc w:val="center"/>
        <w:rPr>
          <w:rFonts w:ascii="Times New Roman" w:hAnsi="Times New Roman"/>
          <w:color w:val="auto"/>
          <w:sz w:val="24"/>
          <w:highlight w:val="none"/>
        </w:rPr>
      </w:pPr>
    </w:p>
    <w:p>
      <w:pPr>
        <w:adjustRightInd w:val="0"/>
        <w:snapToGrid w:val="0"/>
        <w:spacing w:line="312" w:lineRule="auto"/>
        <w:ind w:firstLine="480" w:firstLineChars="200"/>
        <w:jc w:val="center"/>
        <w:rPr>
          <w:rFonts w:ascii="Times New Roman" w:hAnsi="Times New Roman"/>
          <w:color w:val="auto"/>
          <w:sz w:val="24"/>
          <w:highlight w:val="none"/>
        </w:rPr>
      </w:pPr>
    </w:p>
    <w:p>
      <w:pPr>
        <w:adjustRightInd w:val="0"/>
        <w:snapToGrid w:val="0"/>
        <w:spacing w:line="312" w:lineRule="auto"/>
        <w:ind w:firstLine="480" w:firstLineChars="200"/>
        <w:jc w:val="center"/>
        <w:rPr>
          <w:rFonts w:ascii="Times New Roman" w:hAnsi="Times New Roman"/>
          <w:color w:val="auto"/>
          <w:sz w:val="24"/>
          <w:highlight w:val="none"/>
        </w:rPr>
      </w:pPr>
    </w:p>
    <w:p>
      <w:pPr>
        <w:adjustRightInd w:val="0"/>
        <w:snapToGrid w:val="0"/>
        <w:spacing w:line="312" w:lineRule="auto"/>
        <w:ind w:firstLine="480" w:firstLineChars="200"/>
        <w:jc w:val="center"/>
        <w:rPr>
          <w:rFonts w:ascii="Times New Roman" w:hAnsi="Times New Roman"/>
          <w:color w:val="auto"/>
          <w:sz w:val="24"/>
          <w:highlight w:val="none"/>
        </w:rPr>
      </w:pPr>
    </w:p>
    <w:p>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pPr>
        <w:widowControl/>
        <w:snapToGrid w:val="0"/>
        <w:spacing w:line="312" w:lineRule="auto"/>
        <w:ind w:firstLine="480" w:firstLineChars="200"/>
        <w:rPr>
          <w:rFonts w:ascii="Times New Roman" w:hAnsi="Times New Roman"/>
          <w:color w:val="auto"/>
          <w:sz w:val="24"/>
          <w:highlight w:val="none"/>
        </w:rPr>
      </w:pPr>
    </w:p>
    <w:p>
      <w:pPr>
        <w:widowControl/>
        <w:snapToGrid w:val="0"/>
        <w:spacing w:line="312" w:lineRule="auto"/>
        <w:ind w:firstLine="480" w:firstLineChars="200"/>
        <w:rPr>
          <w:rFonts w:ascii="Times New Roman" w:hAnsi="Times New Roman"/>
          <w:color w:val="auto"/>
          <w:sz w:val="24"/>
          <w:highlight w:val="none"/>
        </w:rPr>
      </w:pPr>
    </w:p>
    <w:p>
      <w:pPr>
        <w:pStyle w:val="11"/>
        <w:ind w:firstLine="210"/>
        <w:rPr>
          <w:rFonts w:ascii="Times New Roman" w:hAnsi="Times New Roman"/>
          <w:color w:val="auto"/>
          <w:highlight w:val="none"/>
        </w:rPr>
      </w:pPr>
    </w:p>
    <w:p>
      <w:pPr>
        <w:widowControl/>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供应商为监狱企业的提供此函。</w:t>
      </w:r>
    </w:p>
    <w:p>
      <w:pPr>
        <w:widowControl/>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textAlignment w:val="baseline"/>
        <w:rPr>
          <w:rFonts w:ascii="Times New Roman" w:hAnsi="Times New Roman"/>
          <w:bCs/>
          <w:color w:val="auto"/>
          <w:sz w:val="24"/>
          <w:highlight w:val="none"/>
        </w:rPr>
      </w:pPr>
    </w:p>
    <w:p>
      <w:pPr>
        <w:adjustRightInd w:val="0"/>
        <w:snapToGrid w:val="0"/>
        <w:spacing w:line="360" w:lineRule="auto"/>
        <w:textAlignment w:val="baseline"/>
        <w:rPr>
          <w:rFonts w:ascii="Times New Roman" w:hAnsi="Times New Roman"/>
          <w:b/>
          <w:color w:val="auto"/>
          <w:sz w:val="28"/>
          <w:szCs w:val="28"/>
          <w:highlight w:val="none"/>
        </w:rPr>
      </w:pPr>
      <w:r>
        <w:rPr>
          <w:rFonts w:ascii="Times New Roman" w:hAnsi="Times New Roman"/>
          <w:bCs/>
          <w:color w:val="auto"/>
          <w:sz w:val="24"/>
          <w:highlight w:val="none"/>
        </w:rPr>
        <w:br w:type="page"/>
      </w:r>
    </w:p>
    <w:p>
      <w:pPr>
        <w:autoSpaceDE w:val="0"/>
        <w:autoSpaceDN w:val="0"/>
        <w:adjustRightInd w:val="0"/>
        <w:spacing w:line="400" w:lineRule="exact"/>
        <w:jc w:val="center"/>
        <w:rPr>
          <w:rFonts w:ascii="Times New Roman" w:hAnsi="Times New Roman"/>
          <w:b/>
          <w:color w:val="auto"/>
          <w:sz w:val="28"/>
          <w:szCs w:val="28"/>
          <w:highlight w:val="none"/>
          <w:lang w:val="zh-CN"/>
        </w:rPr>
      </w:pPr>
    </w:p>
    <w:p>
      <w:pPr>
        <w:autoSpaceDE w:val="0"/>
        <w:autoSpaceDN w:val="0"/>
        <w:adjustRightInd w:val="0"/>
        <w:spacing w:line="400" w:lineRule="exact"/>
        <w:jc w:val="center"/>
        <w:rPr>
          <w:rFonts w:ascii="Times New Roman" w:hAnsi="Times New Roman"/>
          <w:b/>
          <w:color w:val="auto"/>
          <w:sz w:val="28"/>
          <w:szCs w:val="28"/>
          <w:highlight w:val="none"/>
          <w:lang w:val="zh-CN"/>
        </w:rPr>
      </w:pPr>
      <w:r>
        <w:rPr>
          <w:rFonts w:ascii="Times New Roman" w:hAnsi="Times New Roman"/>
          <w:b/>
          <w:color w:val="auto"/>
          <w:sz w:val="28"/>
          <w:szCs w:val="28"/>
          <w:highlight w:val="none"/>
          <w:lang w:val="zh-CN"/>
        </w:rPr>
        <w:t>残疾人福利性单位声明函</w:t>
      </w:r>
    </w:p>
    <w:p>
      <w:pPr>
        <w:autoSpaceDE w:val="0"/>
        <w:autoSpaceDN w:val="0"/>
        <w:adjustRightInd w:val="0"/>
        <w:snapToGrid w:val="0"/>
        <w:spacing w:after="240" w:afterLines="100"/>
        <w:jc w:val="center"/>
        <w:rPr>
          <w:rFonts w:ascii="Times New Roman" w:hAnsi="Times New Roman"/>
          <w:bCs/>
          <w:color w:val="auto"/>
          <w:szCs w:val="21"/>
          <w:highlight w:val="none"/>
          <w:lang w:val="zh-CN"/>
        </w:rPr>
      </w:pPr>
    </w:p>
    <w:p>
      <w:pPr>
        <w:autoSpaceDE w:val="0"/>
        <w:autoSpaceDN w:val="0"/>
        <w:adjustRightInd w:val="0"/>
        <w:snapToGrid w:val="0"/>
        <w:spacing w:after="240" w:afterLines="100"/>
        <w:jc w:val="center"/>
        <w:rPr>
          <w:rFonts w:ascii="Times New Roman" w:hAnsi="Times New Roman"/>
          <w:bCs/>
          <w:color w:val="auto"/>
          <w:sz w:val="24"/>
          <w:highlight w:val="none"/>
          <w:lang w:val="zh-CN"/>
        </w:rPr>
      </w:pPr>
      <w:r>
        <w:rPr>
          <w:rFonts w:ascii="Times New Roman" w:hAnsi="Times New Roman"/>
          <w:bCs/>
          <w:color w:val="auto"/>
          <w:sz w:val="24"/>
          <w:highlight w:val="none"/>
          <w:lang w:val="zh-CN"/>
        </w:rPr>
        <w:t>【非残疾人福利性单位不需提供】</w:t>
      </w:r>
    </w:p>
    <w:p>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color w:val="auto"/>
          <w:sz w:val="24"/>
          <w:highlight w:val="none"/>
          <w:u w:val="single"/>
        </w:rPr>
        <w:t>（采购人名称）</w:t>
      </w:r>
      <w:r>
        <w:rPr>
          <w:rFonts w:ascii="Times New Roman" w:hAnsi="Times New Roman"/>
          <w:color w:val="auto"/>
          <w:sz w:val="24"/>
          <w:highlight w:val="none"/>
        </w:rPr>
        <w:t>单位的</w:t>
      </w:r>
      <w:r>
        <w:rPr>
          <w:rFonts w:ascii="Times New Roman" w:hAnsi="Times New Roman"/>
          <w:color w:val="auto"/>
          <w:sz w:val="24"/>
          <w:highlight w:val="none"/>
          <w:u w:val="single"/>
        </w:rPr>
        <w:t>（项目名称）</w:t>
      </w:r>
      <w:r>
        <w:rPr>
          <w:rFonts w:ascii="Times New Roman" w:hAnsi="Times New Roman"/>
          <w:color w:val="auto"/>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本单位对上述声明的真实性负责。如有虚假，将依法承担相应责任。</w:t>
      </w:r>
    </w:p>
    <w:p>
      <w:pPr>
        <w:snapToGrid w:val="0"/>
        <w:spacing w:line="312" w:lineRule="auto"/>
        <w:ind w:firstLine="480" w:firstLineChars="200"/>
        <w:rPr>
          <w:rFonts w:ascii="Times New Roman" w:hAnsi="Times New Roman"/>
          <w:color w:val="auto"/>
          <w:sz w:val="24"/>
          <w:highlight w:val="none"/>
        </w:rPr>
      </w:pPr>
    </w:p>
    <w:p>
      <w:pPr>
        <w:adjustRightInd w:val="0"/>
        <w:snapToGrid w:val="0"/>
        <w:spacing w:line="312" w:lineRule="auto"/>
        <w:rPr>
          <w:rFonts w:ascii="Times New Roman" w:hAnsi="Times New Roman"/>
          <w:color w:val="auto"/>
          <w:sz w:val="24"/>
          <w:highlight w:val="none"/>
        </w:rPr>
      </w:pPr>
    </w:p>
    <w:p>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pPr>
        <w:adjustRightInd w:val="0"/>
        <w:snapToGrid w:val="0"/>
        <w:spacing w:line="312" w:lineRule="auto"/>
        <w:ind w:firstLine="480" w:firstLineChars="200"/>
        <w:rPr>
          <w:rFonts w:ascii="Times New Roman" w:hAnsi="Times New Roman"/>
          <w:color w:val="auto"/>
          <w:sz w:val="24"/>
          <w:highlight w:val="none"/>
        </w:rPr>
      </w:pPr>
    </w:p>
    <w:p>
      <w:pPr>
        <w:adjustRightInd w:val="0"/>
        <w:snapToGrid w:val="0"/>
        <w:spacing w:line="312" w:lineRule="auto"/>
        <w:ind w:firstLine="480" w:firstLineChars="200"/>
        <w:rPr>
          <w:rFonts w:ascii="Times New Roman" w:hAnsi="Times New Roman"/>
          <w:color w:val="auto"/>
          <w:sz w:val="24"/>
          <w:highlight w:val="none"/>
        </w:rPr>
      </w:pPr>
    </w:p>
    <w:p>
      <w:pPr>
        <w:adjustRightInd w:val="0"/>
        <w:snapToGrid w:val="0"/>
        <w:spacing w:line="312" w:lineRule="auto"/>
        <w:ind w:firstLine="480" w:firstLineChars="200"/>
        <w:rPr>
          <w:rFonts w:ascii="Times New Roman" w:hAnsi="Times New Roman"/>
          <w:color w:val="auto"/>
          <w:sz w:val="24"/>
          <w:highlight w:val="none"/>
        </w:rPr>
      </w:pPr>
    </w:p>
    <w:p>
      <w:pPr>
        <w:adjustRightInd w:val="0"/>
        <w:snapToGrid w:val="0"/>
        <w:spacing w:line="312" w:lineRule="auto"/>
        <w:ind w:firstLine="480" w:firstLineChars="200"/>
        <w:rPr>
          <w:rFonts w:ascii="Times New Roman" w:hAnsi="Times New Roman"/>
          <w:color w:val="auto"/>
          <w:sz w:val="24"/>
          <w:highlight w:val="none"/>
        </w:rPr>
      </w:pPr>
    </w:p>
    <w:p>
      <w:pPr>
        <w:adjustRightInd w:val="0"/>
        <w:snapToGrid w:val="0"/>
        <w:spacing w:line="312" w:lineRule="auto"/>
        <w:ind w:firstLine="480" w:firstLineChars="200"/>
        <w:rPr>
          <w:rFonts w:ascii="Times New Roman" w:hAnsi="Times New Roman"/>
          <w:color w:val="auto"/>
          <w:sz w:val="24"/>
          <w:highlight w:val="none"/>
        </w:rPr>
      </w:pPr>
    </w:p>
    <w:p>
      <w:pPr>
        <w:pStyle w:val="13"/>
        <w:tabs>
          <w:tab w:val="left" w:pos="420"/>
        </w:tabs>
        <w:snapToGrid w:val="0"/>
        <w:spacing w:line="312"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供应商为残疾人福利性单位的提供此函。</w:t>
      </w:r>
    </w:p>
    <w:p>
      <w:pPr>
        <w:pStyle w:val="10"/>
        <w:rPr>
          <w:rFonts w:ascii="Times New Roman" w:hAnsi="Times New Roman" w:eastAsia="宋体"/>
          <w:color w:val="auto"/>
          <w:szCs w:val="24"/>
          <w:highlight w:val="none"/>
          <w:lang w:val="en-GB"/>
        </w:rPr>
      </w:pPr>
    </w:p>
    <w:p>
      <w:pPr>
        <w:snapToGrid w:val="0"/>
        <w:spacing w:line="500" w:lineRule="exact"/>
        <w:jc w:val="left"/>
        <w:rPr>
          <w:rFonts w:ascii="Times New Roman" w:hAnsi="Times New Roman"/>
          <w:b/>
          <w:color w:val="auto"/>
          <w:sz w:val="24"/>
          <w:highlight w:val="none"/>
          <w:lang w:val="en-GB"/>
        </w:rPr>
      </w:pPr>
      <w:r>
        <w:rPr>
          <w:rFonts w:ascii="Times New Roman" w:hAnsi="Times New Roman"/>
          <w:color w:val="auto"/>
          <w:sz w:val="24"/>
          <w:highlight w:val="none"/>
          <w:lang w:val="en-GB"/>
        </w:rPr>
        <w:t>备注：</w:t>
      </w:r>
      <w:r>
        <w:rPr>
          <w:rFonts w:ascii="Times New Roman" w:hAnsi="Times New Roman"/>
          <w:color w:val="auto"/>
          <w:sz w:val="24"/>
          <w:highlight w:val="none"/>
        </w:rPr>
        <w:t>中标供应商为残疾人福利性单位的，应当随中标结果同时公告其《残疾人福利性单位声明函》，接受社会监督。</w:t>
      </w:r>
    </w:p>
    <w:p>
      <w:pPr>
        <w:pStyle w:val="37"/>
        <w:spacing w:line="400" w:lineRule="exact"/>
        <w:ind w:firstLine="0" w:firstLineChars="0"/>
        <w:jc w:val="center"/>
        <w:rPr>
          <w:rFonts w:ascii="Times New Roman" w:hAnsi="Times New Roman" w:eastAsia="宋体"/>
          <w:b/>
          <w:color w:val="auto"/>
          <w:sz w:val="24"/>
          <w:szCs w:val="24"/>
          <w:highlight w:val="none"/>
          <w:lang w:val="en-GB"/>
        </w:rPr>
      </w:pPr>
    </w:p>
    <w:p>
      <w:pPr>
        <w:pStyle w:val="37"/>
        <w:spacing w:line="400" w:lineRule="exact"/>
        <w:ind w:firstLine="0" w:firstLineChars="0"/>
        <w:jc w:val="center"/>
        <w:rPr>
          <w:rFonts w:ascii="Times New Roman" w:hAnsi="Times New Roman" w:eastAsia="宋体"/>
          <w:b/>
          <w:color w:val="auto"/>
          <w:sz w:val="24"/>
          <w:szCs w:val="24"/>
          <w:highlight w:val="none"/>
          <w:lang w:val="en-GB"/>
        </w:rPr>
      </w:pPr>
    </w:p>
    <w:p>
      <w:pPr>
        <w:pStyle w:val="37"/>
        <w:spacing w:line="400" w:lineRule="exact"/>
        <w:ind w:firstLine="0" w:firstLineChars="0"/>
        <w:jc w:val="center"/>
        <w:rPr>
          <w:rFonts w:ascii="Times New Roman" w:hAnsi="Times New Roman" w:eastAsia="宋体"/>
          <w:b/>
          <w:color w:val="auto"/>
          <w:sz w:val="24"/>
          <w:szCs w:val="24"/>
          <w:highlight w:val="none"/>
          <w:lang w:val="en-GB"/>
        </w:rPr>
      </w:pPr>
    </w:p>
    <w:p>
      <w:pPr>
        <w:pStyle w:val="37"/>
        <w:spacing w:line="400" w:lineRule="exact"/>
        <w:ind w:firstLine="0" w:firstLineChars="0"/>
        <w:jc w:val="center"/>
        <w:rPr>
          <w:rFonts w:ascii="Times New Roman" w:hAnsi="Times New Roman" w:eastAsia="宋体"/>
          <w:b/>
          <w:color w:val="auto"/>
          <w:sz w:val="24"/>
          <w:szCs w:val="24"/>
          <w:highlight w:val="none"/>
          <w:lang w:val="en-GB"/>
        </w:rPr>
      </w:pPr>
    </w:p>
    <w:p>
      <w:pPr>
        <w:rPr>
          <w:rFonts w:ascii="Times New Roman" w:hAnsi="Times New Roman"/>
          <w:b/>
          <w:bCs/>
          <w:color w:val="auto"/>
          <w:kern w:val="44"/>
          <w:sz w:val="36"/>
          <w:szCs w:val="36"/>
          <w:highlight w:val="none"/>
        </w:rPr>
      </w:pPr>
      <w:r>
        <w:rPr>
          <w:rFonts w:ascii="Times New Roman" w:hAnsi="Times New Roman"/>
          <w:b/>
          <w:bCs/>
          <w:color w:val="auto"/>
          <w:kern w:val="44"/>
          <w:sz w:val="36"/>
          <w:szCs w:val="36"/>
          <w:highlight w:val="none"/>
        </w:rPr>
        <w:br w:type="page"/>
      </w:r>
    </w:p>
    <w:p>
      <w:pPr>
        <w:spacing w:after="240" w:afterLines="10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三、商务技术文件</w:t>
      </w:r>
    </w:p>
    <w:p>
      <w:pPr>
        <w:rPr>
          <w:rFonts w:hint="eastAsia"/>
          <w:color w:val="auto"/>
        </w:rPr>
      </w:pPr>
      <w:bookmarkStart w:id="110" w:name="_Toc15630533"/>
    </w:p>
    <w:p>
      <w:pPr>
        <w:snapToGri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投标</w:t>
      </w:r>
      <w:r>
        <w:rPr>
          <w:rFonts w:hint="eastAsia" w:ascii="宋体" w:hAnsi="宋体" w:eastAsia="宋体" w:cs="宋体"/>
          <w:b/>
          <w:color w:val="auto"/>
          <w:sz w:val="21"/>
          <w:szCs w:val="21"/>
          <w:highlight w:val="none"/>
        </w:rPr>
        <w:t>函</w:t>
      </w:r>
    </w:p>
    <w:p>
      <w:pPr>
        <w:pStyle w:val="46"/>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根据贵方招标文件（</w:t>
      </w:r>
      <w:r>
        <w:rPr>
          <w:rFonts w:hint="eastAsia" w:ascii="宋体" w:hAnsi="宋体" w:eastAsia="宋体" w:cs="宋体"/>
          <w:b/>
          <w:color w:val="auto"/>
          <w:sz w:val="21"/>
          <w:szCs w:val="21"/>
          <w:highlight w:val="none"/>
          <w:u w:val="single"/>
        </w:rPr>
        <w:t>填写</w:t>
      </w:r>
      <w:r>
        <w:rPr>
          <w:rFonts w:hint="eastAsia" w:ascii="宋体" w:hAnsi="宋体" w:eastAsia="宋体" w:cs="宋体"/>
          <w:b/>
          <w:color w:val="auto"/>
          <w:sz w:val="21"/>
          <w:szCs w:val="21"/>
          <w:highlight w:val="none"/>
          <w:u w:val="single"/>
          <w:lang w:eastAsia="zh-CN"/>
        </w:rPr>
        <w:t>项目编号</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）的要求，正式授权</w:t>
      </w:r>
      <w:r>
        <w:rPr>
          <w:rFonts w:hint="eastAsia" w:ascii="宋体" w:hAnsi="宋体" w:eastAsia="宋体" w:cs="宋体"/>
          <w:b/>
          <w:color w:val="auto"/>
          <w:sz w:val="21"/>
          <w:szCs w:val="21"/>
          <w:highlight w:val="none"/>
          <w:u w:val="single"/>
        </w:rPr>
        <w:t>（全权代表姓名    、单位    、职务   ）</w:t>
      </w:r>
      <w:r>
        <w:rPr>
          <w:rFonts w:hint="eastAsia" w:ascii="宋体" w:hAnsi="宋体" w:eastAsia="宋体" w:cs="宋体"/>
          <w:color w:val="auto"/>
          <w:sz w:val="21"/>
          <w:szCs w:val="21"/>
          <w:highlight w:val="none"/>
        </w:rPr>
        <w:t>代表投标人</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 xml:space="preserve">填写单位    、地址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提交投标文件。</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我方已完全明白招标文件的所有条款要求，兹声明同意如下：</w:t>
      </w:r>
    </w:p>
    <w:p>
      <w:pPr>
        <w:pStyle w:val="4"/>
        <w:keepNext w:val="0"/>
        <w:keepLines w:val="0"/>
        <w:pageBreakBefore w:val="0"/>
        <w:numPr>
          <w:ilvl w:val="-1"/>
          <w:numId w:val="0"/>
        </w:numPr>
        <w:kinsoku/>
        <w:wordWrap/>
        <w:overflowPunct/>
        <w:topLinePunct w:val="0"/>
        <w:autoSpaceDE/>
        <w:autoSpaceDN/>
        <w:bidi w:val="0"/>
        <w:spacing w:after="0" w:line="336"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1.我方同意在投标人</w:t>
      </w:r>
      <w:r>
        <w:rPr>
          <w:rFonts w:hint="eastAsia" w:ascii="宋体" w:hAnsi="宋体" w:eastAsia="宋体" w:cs="宋体"/>
          <w:color w:val="auto"/>
          <w:kern w:val="44"/>
          <w:sz w:val="21"/>
          <w:szCs w:val="21"/>
          <w:highlight w:val="none"/>
        </w:rPr>
        <w:t>须知</w:t>
      </w:r>
      <w:r>
        <w:rPr>
          <w:rFonts w:hint="eastAsia" w:ascii="宋体" w:hAnsi="宋体" w:eastAsia="宋体" w:cs="宋体"/>
          <w:color w:val="auto"/>
          <w:sz w:val="21"/>
          <w:szCs w:val="21"/>
          <w:highlight w:val="none"/>
        </w:rPr>
        <w:t>规定的开标日期起遵守本投标文件中的承诺且在投标有效期满之前均具有约束力。</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2.我方承诺已经具备《中华人民共和国政府采购法》中规定的参加政府采购活动的供应商应当具备的条件。</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提供可能另外要求的与投标有关的任何数据或资料。</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4.我方理解贵方将不受你们所收到的最低报价的约束。</w:t>
      </w:r>
    </w:p>
    <w:p>
      <w:pPr>
        <w:pStyle w:val="4"/>
        <w:keepNext w:val="0"/>
        <w:keepLines w:val="0"/>
        <w:pageBreakBefore w:val="0"/>
        <w:numPr>
          <w:ilvl w:val="-1"/>
          <w:numId w:val="0"/>
        </w:numPr>
        <w:kinsoku/>
        <w:wordWrap/>
        <w:overflowPunct/>
        <w:topLinePunct w:val="0"/>
        <w:autoSpaceDE/>
        <w:autoSpaceDN/>
        <w:bidi w:val="0"/>
        <w:spacing w:after="0" w:line="336"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5.本投标自开标之日（投标截止之日）起90天内有效。</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c)与采购人、其它供应商或者采购代理机构恶意串通的；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d)向采购人、采购代理机构行贿或者提供其他不正当利益的；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e)在招标采购过程中与采购人进行协商谈判的；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f)拒绝有关部门监督检查或提供虚假情况的。</w:t>
      </w:r>
    </w:p>
    <w:p>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供应商有前款第a)至e)项情形之一的，中标、成交无效。</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邮政编码：</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传真：</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w:t>
      </w:r>
    </w:p>
    <w:p>
      <w:pPr>
        <w:pStyle w:val="46"/>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 xml:space="preserve">投标人(电子签章)：　　　　　　　　　日期：  </w:t>
      </w:r>
    </w:p>
    <w:p>
      <w:pPr>
        <w:spacing w:after="240" w:afterLines="100"/>
        <w:jc w:val="center"/>
        <w:rPr>
          <w:rFonts w:hint="eastAsia" w:ascii="宋体" w:hAnsi="宋体" w:eastAsia="宋体" w:cs="宋体"/>
          <w:b/>
          <w:bCs w:val="0"/>
          <w:color w:val="auto"/>
          <w:sz w:val="21"/>
          <w:szCs w:val="21"/>
          <w:highlight w:val="none"/>
          <w:lang w:eastAsia="zh-CN"/>
        </w:rPr>
      </w:pPr>
    </w:p>
    <w:p>
      <w:pPr>
        <w:spacing w:before="240" w:beforeLines="100" w:after="120" w:afterLines="50"/>
        <w:jc w:val="center"/>
        <w:rPr>
          <w:rFonts w:ascii="宋体" w:hAnsi="宋体" w:eastAsia="宋体" w:cs="等线"/>
          <w:color w:val="auto"/>
          <w:sz w:val="36"/>
          <w:szCs w:val="36"/>
        </w:rPr>
      </w:pPr>
      <w:r>
        <w:rPr>
          <w:rFonts w:hint="eastAsia" w:ascii="宋体" w:hAnsi="宋体" w:eastAsia="宋体" w:cs="等线"/>
          <w:color w:val="auto"/>
          <w:sz w:val="36"/>
          <w:szCs w:val="36"/>
        </w:rPr>
        <w:t>项目服务人员汇总表</w:t>
      </w:r>
    </w:p>
    <w:p>
      <w:pPr>
        <w:rPr>
          <w:rFonts w:ascii="宋体" w:hAnsi="宋体" w:eastAsia="宋体" w:cs="等线"/>
          <w:color w:val="auto"/>
          <w:sz w:val="24"/>
        </w:rPr>
      </w:pPr>
      <w:r>
        <w:rPr>
          <w:rFonts w:hint="eastAsia" w:ascii="宋体" w:hAnsi="宋体" w:eastAsia="宋体" w:cs="等线"/>
          <w:color w:val="auto"/>
          <w:sz w:val="24"/>
          <w:szCs w:val="24"/>
        </w:rPr>
        <w:t xml:space="preserve">项目编号：                                                                  </w:t>
      </w:r>
    </w:p>
    <w:tbl>
      <w:tblPr>
        <w:tblStyle w:val="27"/>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88"/>
        <w:gridCol w:w="759"/>
        <w:gridCol w:w="759"/>
        <w:gridCol w:w="759"/>
        <w:gridCol w:w="1138"/>
        <w:gridCol w:w="153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73"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姓名</w:t>
            </w:r>
          </w:p>
        </w:tc>
        <w:tc>
          <w:tcPr>
            <w:tcW w:w="2088"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本项目主要工作</w:t>
            </w:r>
          </w:p>
        </w:tc>
        <w:tc>
          <w:tcPr>
            <w:tcW w:w="759"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年龄</w:t>
            </w:r>
          </w:p>
        </w:tc>
        <w:tc>
          <w:tcPr>
            <w:tcW w:w="759"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性别</w:t>
            </w:r>
          </w:p>
        </w:tc>
        <w:tc>
          <w:tcPr>
            <w:tcW w:w="759"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专业</w:t>
            </w:r>
          </w:p>
        </w:tc>
        <w:tc>
          <w:tcPr>
            <w:tcW w:w="1138"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专业</w:t>
            </w:r>
          </w:p>
          <w:p>
            <w:pPr>
              <w:jc w:val="center"/>
              <w:rPr>
                <w:rFonts w:ascii="宋体" w:hAnsi="宋体" w:eastAsia="宋体" w:cs="等线"/>
                <w:color w:val="auto"/>
                <w:sz w:val="24"/>
              </w:rPr>
            </w:pPr>
            <w:r>
              <w:rPr>
                <w:rFonts w:hint="eastAsia" w:ascii="宋体" w:hAnsi="宋体" w:eastAsia="宋体" w:cs="等线"/>
                <w:color w:val="auto"/>
                <w:sz w:val="24"/>
                <w:szCs w:val="24"/>
              </w:rPr>
              <w:t>年限</w:t>
            </w:r>
          </w:p>
        </w:tc>
        <w:tc>
          <w:tcPr>
            <w:tcW w:w="1537"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职务</w:t>
            </w:r>
          </w:p>
          <w:p>
            <w:pPr>
              <w:jc w:val="center"/>
              <w:rPr>
                <w:rFonts w:ascii="宋体" w:hAnsi="宋体" w:eastAsia="宋体" w:cs="等线"/>
                <w:color w:val="auto"/>
                <w:sz w:val="24"/>
              </w:rPr>
            </w:pPr>
            <w:r>
              <w:rPr>
                <w:rFonts w:hint="eastAsia" w:ascii="宋体" w:hAnsi="宋体" w:eastAsia="宋体" w:cs="等线"/>
                <w:color w:val="auto"/>
                <w:sz w:val="24"/>
                <w:szCs w:val="24"/>
              </w:rPr>
              <w:t>和职称/认证</w:t>
            </w:r>
          </w:p>
        </w:tc>
        <w:tc>
          <w:tcPr>
            <w:tcW w:w="1499" w:type="dxa"/>
            <w:noWrap w:val="0"/>
            <w:vAlign w:val="center"/>
          </w:tcPr>
          <w:p>
            <w:pPr>
              <w:jc w:val="center"/>
              <w:rPr>
                <w:rFonts w:ascii="宋体" w:hAnsi="宋体" w:eastAsia="宋体" w:cs="等线"/>
                <w:color w:val="auto"/>
                <w:sz w:val="24"/>
              </w:rPr>
            </w:pPr>
            <w:r>
              <w:rPr>
                <w:rFonts w:hint="eastAsia" w:ascii="宋体" w:hAnsi="宋体" w:eastAsia="宋体" w:cs="等线"/>
                <w:color w:val="auto"/>
                <w:sz w:val="24"/>
                <w:szCs w:val="24"/>
              </w:rPr>
              <w:t>到现场服务</w:t>
            </w:r>
          </w:p>
          <w:p>
            <w:pPr>
              <w:jc w:val="center"/>
              <w:rPr>
                <w:rFonts w:ascii="宋体" w:hAnsi="宋体" w:eastAsia="宋体" w:cs="等线"/>
                <w:color w:val="auto"/>
                <w:sz w:val="24"/>
              </w:rPr>
            </w:pPr>
            <w:r>
              <w:rPr>
                <w:rFonts w:hint="eastAsia" w:ascii="宋体" w:hAnsi="宋体" w:eastAsia="宋体" w:cs="等线"/>
                <w:color w:val="auto"/>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ind w:left="5250"/>
              <w:rPr>
                <w:rFonts w:ascii="宋体" w:hAnsi="宋体" w:eastAsia="宋体" w:cs="等线"/>
                <w:color w:val="auto"/>
                <w:spacing w:val="12"/>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ind w:left="5250"/>
              <w:rPr>
                <w:rFonts w:ascii="宋体" w:hAnsi="宋体" w:eastAsia="宋体" w:cs="等线"/>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3" w:type="dxa"/>
            <w:noWrap w:val="0"/>
            <w:vAlign w:val="center"/>
          </w:tcPr>
          <w:p>
            <w:pPr>
              <w:rPr>
                <w:rFonts w:ascii="宋体" w:hAnsi="宋体" w:eastAsia="宋体" w:cs="等线"/>
                <w:color w:val="auto"/>
                <w:sz w:val="24"/>
              </w:rPr>
            </w:pPr>
          </w:p>
        </w:tc>
        <w:tc>
          <w:tcPr>
            <w:tcW w:w="2088"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759" w:type="dxa"/>
            <w:noWrap w:val="0"/>
            <w:vAlign w:val="center"/>
          </w:tcPr>
          <w:p>
            <w:pPr>
              <w:rPr>
                <w:rFonts w:ascii="宋体" w:hAnsi="宋体" w:eastAsia="宋体" w:cs="等线"/>
                <w:color w:val="auto"/>
                <w:sz w:val="24"/>
              </w:rPr>
            </w:pPr>
          </w:p>
        </w:tc>
        <w:tc>
          <w:tcPr>
            <w:tcW w:w="1138" w:type="dxa"/>
            <w:noWrap w:val="0"/>
            <w:vAlign w:val="center"/>
          </w:tcPr>
          <w:p>
            <w:pPr>
              <w:rPr>
                <w:rFonts w:ascii="宋体" w:hAnsi="宋体" w:eastAsia="宋体" w:cs="等线"/>
                <w:color w:val="auto"/>
                <w:sz w:val="24"/>
              </w:rPr>
            </w:pPr>
          </w:p>
        </w:tc>
        <w:tc>
          <w:tcPr>
            <w:tcW w:w="1537" w:type="dxa"/>
            <w:noWrap w:val="0"/>
            <w:vAlign w:val="center"/>
          </w:tcPr>
          <w:p>
            <w:pPr>
              <w:rPr>
                <w:rFonts w:ascii="宋体" w:hAnsi="宋体" w:eastAsia="宋体" w:cs="等线"/>
                <w:color w:val="auto"/>
                <w:sz w:val="24"/>
              </w:rPr>
            </w:pPr>
          </w:p>
        </w:tc>
        <w:tc>
          <w:tcPr>
            <w:tcW w:w="1499" w:type="dxa"/>
            <w:noWrap w:val="0"/>
            <w:vAlign w:val="center"/>
          </w:tcPr>
          <w:p>
            <w:pPr>
              <w:rPr>
                <w:rFonts w:ascii="宋体" w:hAnsi="宋体" w:eastAsia="宋体" w:cs="等线"/>
                <w:color w:val="auto"/>
                <w:sz w:val="24"/>
              </w:rPr>
            </w:pPr>
          </w:p>
        </w:tc>
      </w:tr>
    </w:tbl>
    <w:p>
      <w:pPr>
        <w:rPr>
          <w:rFonts w:ascii="宋体" w:hAnsi="宋体" w:eastAsia="宋体" w:cs="等线"/>
          <w:color w:val="auto"/>
          <w:sz w:val="24"/>
        </w:rPr>
      </w:pPr>
      <w:r>
        <w:rPr>
          <w:rFonts w:hint="eastAsia" w:ascii="宋体" w:hAnsi="宋体" w:eastAsia="宋体" w:cs="等线"/>
          <w:color w:val="auto"/>
          <w:sz w:val="24"/>
          <w:szCs w:val="24"/>
        </w:rPr>
        <w:t>附注： 列入本表人员如要更换，需经采购人同意，擅自更换或不到位属违约行为；</w:t>
      </w:r>
    </w:p>
    <w:p>
      <w:pPr>
        <w:jc w:val="left"/>
        <w:rPr>
          <w:rFonts w:ascii="宋体" w:hAnsi="宋体" w:eastAsia="宋体" w:cs="等线"/>
          <w:color w:val="auto"/>
          <w:sz w:val="24"/>
        </w:rPr>
      </w:pPr>
      <w:r>
        <w:rPr>
          <w:rFonts w:hint="eastAsia" w:ascii="宋体" w:hAnsi="宋体" w:eastAsia="宋体" w:cs="等线"/>
          <w:color w:val="auto"/>
          <w:sz w:val="24"/>
        </w:rPr>
        <w:t>投标人全称（盖章）：</w:t>
      </w:r>
    </w:p>
    <w:p>
      <w:pPr>
        <w:jc w:val="left"/>
        <w:rPr>
          <w:rFonts w:ascii="宋体" w:hAnsi="宋体" w:eastAsia="宋体" w:cs="等线"/>
          <w:color w:val="auto"/>
          <w:sz w:val="24"/>
        </w:rPr>
      </w:pPr>
      <w:r>
        <w:rPr>
          <w:rFonts w:hint="eastAsia" w:ascii="宋体" w:hAnsi="宋体" w:eastAsia="宋体" w:cs="等线"/>
          <w:color w:val="auto"/>
          <w:sz w:val="24"/>
        </w:rPr>
        <w:t>法定代表人或其授权代表（签字或盖章）：</w:t>
      </w: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napToGrid w:val="0"/>
        <w:jc w:val="center"/>
        <w:rPr>
          <w:rFonts w:hint="eastAsia" w:ascii="宋体" w:hAnsi="宋体" w:eastAsia="宋体" w:cs="宋体"/>
          <w:b/>
          <w:color w:val="auto"/>
          <w:kern w:val="0"/>
          <w:sz w:val="24"/>
          <w:szCs w:val="24"/>
        </w:rPr>
      </w:pPr>
    </w:p>
    <w:p>
      <w:pPr>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项目案例业绩一览表</w:t>
      </w:r>
    </w:p>
    <w:p>
      <w:pPr>
        <w:snapToGrid w:val="0"/>
        <w:jc w:val="center"/>
        <w:rPr>
          <w:rFonts w:hint="eastAsia" w:ascii="宋体" w:hAnsi="宋体" w:eastAsia="宋体" w:cs="宋体"/>
          <w:b/>
          <w:color w:val="auto"/>
          <w:kern w:val="0"/>
          <w:sz w:val="24"/>
          <w:szCs w:val="24"/>
        </w:rPr>
      </w:pPr>
    </w:p>
    <w:tbl>
      <w:tblPr>
        <w:tblStyle w:val="27"/>
        <w:tblW w:w="7874"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698"/>
        <w:gridCol w:w="2123"/>
        <w:gridCol w:w="1272"/>
        <w:gridCol w:w="1272"/>
        <w:gridCol w:w="1272"/>
        <w:gridCol w:w="123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67" w:hRule="atLeast"/>
          <w:jc w:val="center"/>
        </w:trPr>
        <w:tc>
          <w:tcPr>
            <w:tcW w:w="698" w:type="dxa"/>
            <w:noWrap w:val="0"/>
            <w:vAlign w:val="center"/>
          </w:tcPr>
          <w:p>
            <w:pPr>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序号</w:t>
            </w:r>
          </w:p>
        </w:tc>
        <w:tc>
          <w:tcPr>
            <w:tcW w:w="2123" w:type="dxa"/>
            <w:noWrap w:val="0"/>
            <w:vAlign w:val="center"/>
          </w:tcPr>
          <w:p>
            <w:pPr>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项目名称</w:t>
            </w:r>
          </w:p>
        </w:tc>
        <w:tc>
          <w:tcPr>
            <w:tcW w:w="1272" w:type="dxa"/>
            <w:noWrap w:val="0"/>
            <w:vAlign w:val="center"/>
          </w:tcPr>
          <w:p>
            <w:pPr>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委托单位</w:t>
            </w:r>
          </w:p>
        </w:tc>
        <w:tc>
          <w:tcPr>
            <w:tcW w:w="1272" w:type="dxa"/>
            <w:noWrap w:val="0"/>
            <w:vAlign w:val="center"/>
          </w:tcPr>
          <w:p>
            <w:pPr>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合同金额（万元）</w:t>
            </w:r>
          </w:p>
        </w:tc>
        <w:tc>
          <w:tcPr>
            <w:tcW w:w="1272" w:type="dxa"/>
            <w:noWrap w:val="0"/>
            <w:vAlign w:val="center"/>
          </w:tcPr>
          <w:p>
            <w:pPr>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rPr>
              <w:t>合同签订时间</w:t>
            </w:r>
          </w:p>
        </w:tc>
        <w:tc>
          <w:tcPr>
            <w:tcW w:w="1237" w:type="dxa"/>
            <w:noWrap w:val="0"/>
            <w:vAlign w:val="center"/>
          </w:tcPr>
          <w:p>
            <w:pPr>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1</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2</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3</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4</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73" w:hRule="atLeast"/>
          <w:jc w:val="center"/>
        </w:trPr>
        <w:tc>
          <w:tcPr>
            <w:tcW w:w="698"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w:t>
            </w:r>
          </w:p>
        </w:tc>
        <w:tc>
          <w:tcPr>
            <w:tcW w:w="2123"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72"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c>
          <w:tcPr>
            <w:tcW w:w="1237" w:type="dxa"/>
            <w:noWrap w:val="0"/>
            <w:vAlign w:val="center"/>
          </w:tcPr>
          <w:p>
            <w:pPr>
              <w:autoSpaceDE w:val="0"/>
              <w:autoSpaceDN w:val="0"/>
              <w:adjustRightInd w:val="0"/>
              <w:snapToGrid w:val="0"/>
              <w:jc w:val="center"/>
              <w:rPr>
                <w:rFonts w:hint="eastAsia" w:ascii="宋体" w:hAnsi="宋体" w:eastAsia="宋体" w:cs="宋体"/>
                <w:snapToGrid w:val="0"/>
                <w:color w:val="auto"/>
                <w:kern w:val="0"/>
                <w:sz w:val="24"/>
                <w:szCs w:val="24"/>
                <w:lang w:val="zh-CN"/>
              </w:rPr>
            </w:pPr>
          </w:p>
        </w:tc>
      </w:tr>
    </w:tbl>
    <w:p>
      <w:pPr>
        <w:adjustRightInd w:val="0"/>
        <w:snapToGrid w:val="0"/>
        <w:spacing w:before="120" w:beforeLines="5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zh-CN"/>
        </w:rPr>
        <w:t>注：</w:t>
      </w:r>
      <w:r>
        <w:rPr>
          <w:rFonts w:hint="eastAsia" w:ascii="宋体" w:hAnsi="宋体" w:eastAsia="宋体" w:cs="宋体"/>
          <w:snapToGrid w:val="0"/>
          <w:color w:val="auto"/>
          <w:kern w:val="0"/>
          <w:sz w:val="24"/>
          <w:szCs w:val="24"/>
        </w:rPr>
        <w:t>1.</w:t>
      </w:r>
      <w:r>
        <w:rPr>
          <w:rFonts w:hint="eastAsia" w:ascii="宋体" w:hAnsi="宋体" w:eastAsia="宋体" w:cs="宋体"/>
          <w:snapToGrid w:val="0"/>
          <w:color w:val="auto"/>
          <w:kern w:val="0"/>
          <w:sz w:val="24"/>
          <w:szCs w:val="24"/>
          <w:lang w:val="zh-CN"/>
        </w:rPr>
        <w:t>后附</w:t>
      </w:r>
      <w:r>
        <w:rPr>
          <w:rFonts w:hint="eastAsia" w:ascii="宋体" w:hAnsi="宋体" w:eastAsia="宋体" w:cs="宋体"/>
          <w:snapToGrid w:val="0"/>
          <w:color w:val="auto"/>
          <w:kern w:val="0"/>
          <w:sz w:val="24"/>
          <w:szCs w:val="24"/>
        </w:rPr>
        <w:t>委托合同复印件；</w:t>
      </w:r>
    </w:p>
    <w:p>
      <w:pPr>
        <w:adjustRightInd w:val="0"/>
        <w:snapToGrid w:val="0"/>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r>
        <w:rPr>
          <w:rFonts w:hint="eastAsia" w:ascii="宋体" w:hAnsi="宋体" w:eastAsia="宋体" w:cs="宋体"/>
          <w:snapToGrid w:val="0"/>
          <w:color w:val="auto"/>
          <w:kern w:val="0"/>
          <w:sz w:val="24"/>
          <w:szCs w:val="24"/>
          <w:lang w:val="zh-CN"/>
        </w:rPr>
        <w:t>此表不够可自行添加。</w:t>
      </w:r>
    </w:p>
    <w:p>
      <w:pPr>
        <w:adjustRightInd w:val="0"/>
        <w:snapToGrid w:val="0"/>
        <w:spacing w:line="360" w:lineRule="auto"/>
        <w:rPr>
          <w:rFonts w:hint="eastAsia" w:ascii="宋体" w:hAnsi="宋体" w:eastAsia="宋体" w:cs="宋体"/>
          <w:snapToGrid w:val="0"/>
          <w:color w:val="auto"/>
          <w:kern w:val="0"/>
          <w:sz w:val="24"/>
          <w:szCs w:val="24"/>
          <w:lang w:val="zh-CN"/>
        </w:rPr>
      </w:pPr>
    </w:p>
    <w:p>
      <w:pPr>
        <w:tabs>
          <w:tab w:val="left" w:pos="4739"/>
        </w:tabs>
        <w:adjustRightInd w:val="0"/>
        <w:snapToGrid w:val="0"/>
        <w:spacing w:line="360" w:lineRule="auto"/>
        <w:rPr>
          <w:rFonts w:hint="eastAsia" w:ascii="宋体" w:hAnsi="宋体" w:eastAsia="宋体" w:cs="宋体"/>
          <w:snapToGrid w:val="0"/>
          <w:color w:val="auto"/>
          <w:kern w:val="0"/>
          <w:sz w:val="24"/>
          <w:szCs w:val="24"/>
          <w:lang w:val="zh-CN"/>
        </w:rPr>
      </w:pPr>
      <w:r>
        <w:rPr>
          <w:rFonts w:hint="eastAsia" w:ascii="宋体" w:hAnsi="宋体" w:eastAsia="宋体" w:cs="宋体"/>
          <w:snapToGrid w:val="0"/>
          <w:color w:val="auto"/>
          <w:kern w:val="0"/>
          <w:sz w:val="24"/>
          <w:szCs w:val="24"/>
          <w:lang w:val="zh-CN"/>
        </w:rPr>
        <w:tab/>
      </w:r>
    </w:p>
    <w:p>
      <w:pPr>
        <w:spacing w:line="440" w:lineRule="exact"/>
        <w:ind w:left="-171" w:firstLine="4089" w:firstLineChars="1704"/>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widowControl/>
        <w:adjustRightInd w:val="0"/>
        <w:snapToGrid w:val="0"/>
        <w:spacing w:line="500" w:lineRule="exact"/>
        <w:ind w:firstLine="3919" w:firstLineChars="1633"/>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r>
        <w:rPr>
          <w:rFonts w:hint="eastAsia" w:ascii="宋体" w:hAnsi="宋体" w:eastAsia="宋体" w:cs="宋体"/>
          <w:color w:val="auto"/>
          <w:kern w:val="0"/>
          <w:sz w:val="24"/>
          <w:szCs w:val="24"/>
          <w:u w:val="single"/>
        </w:rPr>
        <w:t xml:space="preserve">            </w:t>
      </w:r>
    </w:p>
    <w:p>
      <w:pPr>
        <w:spacing w:line="500" w:lineRule="exact"/>
        <w:ind w:left="-359" w:leftChars="-171" w:firstLine="360" w:firstLineChars="15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日期：2024年  月   日</w:t>
      </w: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spacing w:after="240" w:afterLines="100"/>
        <w:jc w:val="center"/>
        <w:rPr>
          <w:rFonts w:hint="eastAsia" w:ascii="宋体" w:hAnsi="宋体" w:eastAsia="宋体" w:cs="宋体"/>
          <w:b/>
          <w:bCs w:val="0"/>
          <w:color w:val="auto"/>
          <w:sz w:val="21"/>
          <w:szCs w:val="21"/>
          <w:highlight w:val="none"/>
          <w:lang w:eastAsia="zh-CN"/>
        </w:rPr>
      </w:pPr>
    </w:p>
    <w:p>
      <w:pPr>
        <w:pStyle w:val="37"/>
        <w:keepNext w:val="0"/>
        <w:keepLines w:val="0"/>
        <w:pageBreakBefore w:val="0"/>
        <w:kinsoku/>
        <w:wordWrap w:val="0"/>
        <w:overflowPunct/>
        <w:topLinePunct w:val="0"/>
        <w:bidi w:val="0"/>
        <w:spacing w:line="312" w:lineRule="auto"/>
        <w:ind w:firstLine="0" w:firstLineChars="0"/>
        <w:jc w:val="right"/>
        <w:textAlignment w:val="auto"/>
        <w:rPr>
          <w:rFonts w:hint="eastAsia" w:ascii="宋体" w:eastAsia="宋体" w:cs="宋体"/>
          <w:color w:val="auto"/>
          <w:sz w:val="21"/>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r>
        <w:rPr>
          <w:rFonts w:hint="eastAsia" w:asci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四、报价文件</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 开标一览表</w:t>
      </w:r>
    </w:p>
    <w:p>
      <w:pPr>
        <w:pStyle w:val="13"/>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pStyle w:val="13"/>
        <w:keepNext w:val="0"/>
        <w:keepLines w:val="0"/>
        <w:pageBreakBefore w:val="0"/>
        <w:kinsoku/>
        <w:overflowPunct/>
        <w:topLinePunct w:val="0"/>
        <w:bidi w:val="0"/>
        <w:spacing w:line="312" w:lineRule="auto"/>
        <w:ind w:firstLine="420" w:firstLineChars="200"/>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项目名称：</w:t>
      </w:r>
    </w:p>
    <w:p>
      <w:pPr>
        <w:pStyle w:val="13"/>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ascii="黑体" w:hAnsi="黑体" w:eastAsia="黑体" w:cs="黑体"/>
          <w:b w:val="0"/>
          <w:bCs/>
          <w:color w:val="auto"/>
          <w:szCs w:val="21"/>
          <w:highlight w:val="none"/>
        </w:rPr>
        <w:t>招标编号：</w:t>
      </w:r>
      <w:r>
        <w:rPr>
          <w:rFonts w:hint="eastAsia" w:hAnsi="宋体" w:cs="宋体"/>
          <w:b w:val="0"/>
          <w:bCs/>
          <w:color w:val="auto"/>
          <w:szCs w:val="21"/>
          <w:highlight w:val="none"/>
        </w:rPr>
        <w:t xml:space="preserve">                                                            单位：元</w:t>
      </w:r>
    </w:p>
    <w:p>
      <w:pPr>
        <w:rPr>
          <w:rFonts w:hint="eastAsia"/>
          <w:color w:val="auto"/>
        </w:rPr>
      </w:pPr>
    </w:p>
    <w:tbl>
      <w:tblPr>
        <w:tblStyle w:val="2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520"/>
        <w:gridCol w:w="36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名称</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内容</w:t>
            </w:r>
          </w:p>
        </w:tc>
        <w:tc>
          <w:tcPr>
            <w:tcW w:w="144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080"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2520"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投标总价（元）</w:t>
            </w: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大写：</w:t>
            </w:r>
          </w:p>
        </w:tc>
        <w:tc>
          <w:tcPr>
            <w:tcW w:w="1440" w:type="dxa"/>
            <w:vMerge w:val="restart"/>
            <w:tcBorders>
              <w:top w:val="single" w:color="auto" w:sz="4" w:space="0"/>
              <w:left w:val="single" w:color="auto" w:sz="8" w:space="0"/>
              <w:right w:val="single" w:color="auto" w:sz="4" w:space="0"/>
            </w:tcBorders>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108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olor w:val="auto"/>
                <w:sz w:val="21"/>
                <w:szCs w:val="21"/>
                <w:highlight w:val="none"/>
              </w:rPr>
            </w:pPr>
          </w:p>
        </w:tc>
        <w:tc>
          <w:tcPr>
            <w:tcW w:w="252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olor w:val="auto"/>
                <w:sz w:val="21"/>
                <w:szCs w:val="21"/>
                <w:highlight w:val="none"/>
              </w:rPr>
            </w:pPr>
          </w:p>
        </w:tc>
        <w:tc>
          <w:tcPr>
            <w:tcW w:w="3600" w:type="dxa"/>
            <w:tcBorders>
              <w:top w:val="single" w:color="auto" w:sz="4" w:space="0"/>
              <w:left w:val="single" w:color="auto" w:sz="4" w:space="0"/>
              <w:bottom w:val="single" w:color="auto" w:sz="4" w:space="0"/>
              <w:right w:val="single" w:color="auto" w:sz="8" w:space="0"/>
            </w:tcBorders>
            <w:noWrap w:val="0"/>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小写：</w:t>
            </w:r>
          </w:p>
        </w:tc>
        <w:tc>
          <w:tcPr>
            <w:tcW w:w="1440" w:type="dxa"/>
            <w:vMerge w:val="continue"/>
            <w:tcBorders>
              <w:left w:val="single" w:color="auto" w:sz="8" w:space="0"/>
              <w:bottom w:val="single" w:color="auto" w:sz="4" w:space="0"/>
              <w:right w:val="single" w:color="auto" w:sz="4" w:space="0"/>
            </w:tcBorders>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600" w:type="dxa"/>
            <w:gridSpan w:val="2"/>
            <w:tcBorders>
              <w:top w:val="single" w:color="auto" w:sz="4" w:space="0"/>
              <w:left w:val="single" w:color="auto" w:sz="4" w:space="0"/>
              <w:right w:val="single" w:color="auto" w:sz="4" w:space="0"/>
            </w:tcBorders>
            <w:noWrap w:val="0"/>
            <w:vAlign w:val="center"/>
          </w:tcPr>
          <w:p>
            <w:pPr>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备注</w:t>
            </w:r>
          </w:p>
        </w:tc>
        <w:tc>
          <w:tcPr>
            <w:tcW w:w="3600" w:type="dxa"/>
            <w:tcBorders>
              <w:top w:val="single" w:color="auto" w:sz="4" w:space="0"/>
              <w:left w:val="single" w:color="auto" w:sz="4" w:space="0"/>
              <w:right w:val="single" w:color="auto" w:sz="8" w:space="0"/>
            </w:tcBorders>
            <w:noWrap w:val="0"/>
            <w:vAlign w:val="center"/>
          </w:tcPr>
          <w:p>
            <w:pPr>
              <w:rPr>
                <w:rFonts w:hint="eastAsia" w:ascii="宋体" w:hAnsi="宋体"/>
                <w:color w:val="auto"/>
                <w:sz w:val="21"/>
                <w:szCs w:val="21"/>
                <w:highlight w:val="none"/>
              </w:rPr>
            </w:pPr>
          </w:p>
        </w:tc>
        <w:tc>
          <w:tcPr>
            <w:tcW w:w="1440" w:type="dxa"/>
            <w:tcBorders>
              <w:top w:val="single" w:color="auto" w:sz="4" w:space="0"/>
              <w:left w:val="single" w:color="auto" w:sz="8" w:space="0"/>
              <w:right w:val="single" w:color="auto" w:sz="4" w:space="0"/>
            </w:tcBorders>
            <w:noWrap w:val="0"/>
            <w:vAlign w:val="center"/>
          </w:tcPr>
          <w:p>
            <w:pPr>
              <w:rPr>
                <w:rFonts w:hint="eastAsia"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pPr>
        <w:spacing w:line="360" w:lineRule="exact"/>
        <w:ind w:left="620" w:hanging="620" w:hangingChars="294"/>
        <w:rPr>
          <w:rFonts w:ascii="宋体" w:cs="宋体"/>
          <w:b/>
          <w:color w:val="auto"/>
          <w:szCs w:val="21"/>
          <w:highlight w:val="none"/>
          <w:u w:val="single"/>
        </w:rPr>
      </w:pPr>
      <w:r>
        <w:rPr>
          <w:rFonts w:hint="eastAsia" w:ascii="宋体" w:hAnsi="宋体" w:cs="宋体"/>
          <w:b/>
          <w:color w:val="auto"/>
          <w:szCs w:val="21"/>
          <w:highlight w:val="none"/>
        </w:rPr>
        <w:t>注：</w:t>
      </w:r>
      <w:r>
        <w:rPr>
          <w:rFonts w:ascii="宋体" w:hAnsi="宋体" w:cs="宋体"/>
          <w:b/>
          <w:color w:val="auto"/>
          <w:szCs w:val="21"/>
          <w:highlight w:val="none"/>
          <w:u w:val="single"/>
        </w:rPr>
        <w:t>1.</w:t>
      </w:r>
      <w:r>
        <w:rPr>
          <w:rFonts w:hint="eastAsia" w:ascii="宋体" w:hAnsi="宋体" w:cs="宋体"/>
          <w:b/>
          <w:color w:val="auto"/>
          <w:szCs w:val="21"/>
          <w:highlight w:val="none"/>
          <w:u w:val="single"/>
        </w:rPr>
        <w:t>报价应包括项目涉及的一切相关费用。</w:t>
      </w:r>
    </w:p>
    <w:p>
      <w:pPr>
        <w:spacing w:line="360" w:lineRule="exact"/>
        <w:ind w:left="210" w:leftChars="100" w:firstLine="211" w:firstLineChars="100"/>
        <w:rPr>
          <w:rFonts w:ascii="宋体" w:cs="宋体"/>
          <w:b/>
          <w:color w:val="auto"/>
          <w:szCs w:val="21"/>
          <w:highlight w:val="none"/>
          <w:u w:val="single"/>
        </w:rPr>
      </w:pPr>
      <w:r>
        <w:rPr>
          <w:rFonts w:ascii="宋体" w:hAnsi="宋体" w:cs="宋体"/>
          <w:b/>
          <w:color w:val="auto"/>
          <w:szCs w:val="21"/>
          <w:highlight w:val="none"/>
          <w:u w:val="single"/>
        </w:rPr>
        <w:t>2.</w:t>
      </w:r>
      <w:r>
        <w:rPr>
          <w:rFonts w:hint="eastAsia" w:ascii="宋体" w:hAnsi="宋体" w:cs="宋体"/>
          <w:b/>
          <w:color w:val="auto"/>
          <w:szCs w:val="21"/>
          <w:highlight w:val="none"/>
          <w:u w:val="single"/>
        </w:rPr>
        <w:t>如果投标人提出优惠条款，请在备注栏内注明。</w:t>
      </w:r>
    </w:p>
    <w:p>
      <w:pPr>
        <w:spacing w:line="360" w:lineRule="exact"/>
        <w:ind w:left="210" w:leftChars="100" w:firstLine="211" w:firstLineChars="100"/>
        <w:rPr>
          <w:rFonts w:ascii="宋体" w:cs="宋体"/>
          <w:b/>
          <w:color w:val="auto"/>
          <w:szCs w:val="21"/>
          <w:highlight w:val="none"/>
          <w:u w:val="single"/>
        </w:rPr>
      </w:pPr>
      <w:r>
        <w:rPr>
          <w:rFonts w:ascii="宋体" w:hAnsi="宋体" w:cs="宋体"/>
          <w:b/>
          <w:color w:val="auto"/>
          <w:szCs w:val="21"/>
          <w:highlight w:val="none"/>
          <w:u w:val="single"/>
        </w:rPr>
        <w:t>3.</w:t>
      </w:r>
      <w:r>
        <w:rPr>
          <w:rFonts w:hint="eastAsia" w:ascii="宋体" w:hAnsi="宋体" w:cs="宋体"/>
          <w:b/>
          <w:color w:val="auto"/>
          <w:szCs w:val="21"/>
          <w:highlight w:val="none"/>
          <w:u w:val="single"/>
        </w:rPr>
        <w:t>此报价一览表中投标报价应与“</w:t>
      </w:r>
      <w:r>
        <w:rPr>
          <w:rFonts w:hint="eastAsia" w:ascii="宋体" w:hAnsi="宋体" w:cs="宋体"/>
          <w:b/>
          <w:color w:val="auto"/>
          <w:szCs w:val="21"/>
          <w:highlight w:val="none"/>
          <w:u w:val="single"/>
          <w:lang w:val="en-US" w:eastAsia="zh-CN"/>
        </w:rPr>
        <w:t>明细</w:t>
      </w:r>
      <w:r>
        <w:rPr>
          <w:rFonts w:hint="eastAsia" w:ascii="宋体" w:hAnsi="宋体" w:cs="宋体"/>
          <w:b/>
          <w:color w:val="auto"/>
          <w:szCs w:val="21"/>
          <w:highlight w:val="none"/>
          <w:u w:val="single"/>
        </w:rPr>
        <w:t>报价表”中“总计价”相一致。</w:t>
      </w:r>
    </w:p>
    <w:p>
      <w:pPr>
        <w:spacing w:line="360" w:lineRule="exact"/>
        <w:ind w:left="210" w:leftChars="100" w:firstLine="211" w:firstLineChars="100"/>
        <w:rPr>
          <w:rFonts w:ascii="宋体" w:cs="宋体"/>
          <w:b/>
          <w:color w:val="auto"/>
          <w:szCs w:val="21"/>
          <w:highlight w:val="none"/>
          <w:u w:val="single"/>
        </w:rPr>
      </w:pPr>
      <w:r>
        <w:rPr>
          <w:rFonts w:ascii="宋体" w:hAnsi="宋体" w:cs="宋体"/>
          <w:b/>
          <w:color w:val="auto"/>
          <w:szCs w:val="21"/>
          <w:highlight w:val="none"/>
          <w:u w:val="single"/>
        </w:rPr>
        <w:t>4.</w:t>
      </w:r>
      <w:r>
        <w:rPr>
          <w:rFonts w:hint="eastAsia" w:ascii="宋体" w:hAnsi="宋体" w:cs="宋体"/>
          <w:b/>
          <w:color w:val="auto"/>
          <w:szCs w:val="21"/>
          <w:highlight w:val="none"/>
          <w:u w:val="single"/>
        </w:rPr>
        <w:t>此表不得自行增减内容，不提供此表格将被视为没有实质性响应采购文件</w:t>
      </w:r>
      <w:r>
        <w:rPr>
          <w:rFonts w:ascii="宋体" w:cs="宋体"/>
          <w:b/>
          <w:color w:val="auto"/>
          <w:szCs w:val="21"/>
          <w:highlight w:val="none"/>
          <w:u w:val="single"/>
        </w:rPr>
        <w:t>,</w:t>
      </w:r>
      <w:r>
        <w:rPr>
          <w:rFonts w:hint="eastAsia" w:ascii="宋体" w:hAnsi="宋体" w:cs="宋体"/>
          <w:b/>
          <w:color w:val="auto"/>
          <w:szCs w:val="21"/>
          <w:highlight w:val="none"/>
          <w:u w:val="single"/>
        </w:rPr>
        <w:t>其投标文件将被拒绝。</w:t>
      </w:r>
    </w:p>
    <w:p>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pPr>
        <w:pStyle w:val="13"/>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pStyle w:val="13"/>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cs="宋体"/>
          <w:color w:val="auto"/>
          <w:szCs w:val="21"/>
          <w:highlight w:val="none"/>
        </w:rPr>
        <w:t xml:space="preserve">）：                      </w:t>
      </w:r>
    </w:p>
    <w:p>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 投标报价明细表</w:t>
      </w:r>
    </w:p>
    <w:p>
      <w:pPr>
        <w:rPr>
          <w:rFonts w:ascii="宋体" w:cs="宋体"/>
          <w:color w:val="auto"/>
          <w:szCs w:val="21"/>
          <w:highlight w:val="none"/>
        </w:rPr>
      </w:pPr>
      <w:r>
        <w:rPr>
          <w:rFonts w:hint="eastAsia" w:ascii="宋体" w:hAnsi="宋体" w:cs="宋体"/>
          <w:color w:val="auto"/>
          <w:highlight w:val="none"/>
        </w:rPr>
        <w:t>项</w:t>
      </w:r>
      <w:r>
        <w:rPr>
          <w:rFonts w:hint="eastAsia" w:ascii="宋体" w:hAnsi="宋体" w:cs="宋体"/>
          <w:color w:val="auto"/>
          <w:szCs w:val="21"/>
          <w:highlight w:val="none"/>
        </w:rPr>
        <w:t>目编号：（价格单位：元人民币）</w:t>
      </w:r>
    </w:p>
    <w:tbl>
      <w:tblPr>
        <w:tblStyle w:val="27"/>
        <w:tblpPr w:leftFromText="180" w:rightFromText="180" w:vertAnchor="text" w:horzAnchor="page" w:tblpX="1291" w:tblpY="254"/>
        <w:tblOverlap w:val="never"/>
        <w:tblW w:w="9378" w:type="dxa"/>
        <w:tblInd w:w="0" w:type="dxa"/>
        <w:tblLayout w:type="fixed"/>
        <w:tblCellMar>
          <w:top w:w="15" w:type="dxa"/>
          <w:left w:w="15" w:type="dxa"/>
          <w:bottom w:w="15" w:type="dxa"/>
          <w:right w:w="15" w:type="dxa"/>
        </w:tblCellMar>
      </w:tblPr>
      <w:tblGrid>
        <w:gridCol w:w="687"/>
        <w:gridCol w:w="6193"/>
        <w:gridCol w:w="2498"/>
      </w:tblGrid>
      <w:tr>
        <w:tblPrEx>
          <w:tblCellMar>
            <w:top w:w="15" w:type="dxa"/>
            <w:left w:w="15" w:type="dxa"/>
            <w:bottom w:w="15" w:type="dxa"/>
            <w:right w:w="15" w:type="dxa"/>
          </w:tblCellMar>
        </w:tblPrEx>
        <w:trPr>
          <w:trHeight w:val="680"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hint="eastAsia" w:ascii="宋体" w:hAnsi="宋体" w:cs="宋体"/>
                <w:color w:val="auto"/>
                <w:szCs w:val="21"/>
                <w:highlight w:val="none"/>
              </w:rPr>
              <w:t>序号</w:t>
            </w:r>
          </w:p>
        </w:tc>
        <w:tc>
          <w:tcPr>
            <w:tcW w:w="61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auto"/>
                <w:szCs w:val="21"/>
                <w:highlight w:val="none"/>
              </w:rPr>
            </w:pPr>
            <w:r>
              <w:rPr>
                <w:rFonts w:hint="eastAsia" w:ascii="宋体" w:hAnsi="宋体" w:cs="宋体"/>
                <w:color w:val="auto"/>
                <w:kern w:val="0"/>
                <w:szCs w:val="21"/>
                <w:highlight w:val="none"/>
              </w:rPr>
              <w:t>采购内容</w:t>
            </w:r>
          </w:p>
        </w:tc>
        <w:tc>
          <w:tcPr>
            <w:tcW w:w="2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auto"/>
                <w:szCs w:val="21"/>
                <w:highlight w:val="none"/>
              </w:rPr>
            </w:pPr>
            <w:r>
              <w:rPr>
                <w:rFonts w:hint="eastAsia" w:ascii="宋体" w:hAnsi="宋体" w:cs="宋体"/>
                <w:color w:val="auto"/>
                <w:szCs w:val="21"/>
                <w:highlight w:val="none"/>
              </w:rPr>
              <w:t>投标报价</w:t>
            </w: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1</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2</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3</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4</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5</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6</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7</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Cs w:val="21"/>
                <w:highlight w:val="none"/>
              </w:rPr>
            </w:pPr>
            <w:r>
              <w:rPr>
                <w:rFonts w:ascii="宋体" w:hAnsi="宋体" w:cs="宋体"/>
                <w:color w:val="auto"/>
                <w:kern w:val="0"/>
                <w:szCs w:val="21"/>
                <w:highlight w:val="none"/>
              </w:rPr>
              <w:t>8</w:t>
            </w:r>
          </w:p>
        </w:tc>
        <w:tc>
          <w:tcPr>
            <w:tcW w:w="61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kern w:val="0"/>
                <w:szCs w:val="21"/>
                <w:highlight w:val="none"/>
              </w:rPr>
            </w:pPr>
            <w:r>
              <w:rPr>
                <w:rFonts w:ascii="宋体" w:hAnsi="宋体" w:cs="宋体"/>
                <w:color w:val="auto"/>
                <w:kern w:val="0"/>
                <w:szCs w:val="21"/>
                <w:highlight w:val="none"/>
              </w:rPr>
              <w:t>10</w:t>
            </w:r>
          </w:p>
        </w:tc>
        <w:tc>
          <w:tcPr>
            <w:tcW w:w="6193" w:type="dxa"/>
            <w:tcBorders>
              <w:top w:val="single" w:color="000000" w:sz="4" w:space="0"/>
              <w:left w:val="single" w:color="000000" w:sz="4" w:space="0"/>
              <w:bottom w:val="single" w:color="000000" w:sz="4" w:space="0"/>
              <w:right w:val="single" w:color="000000" w:sz="4" w:space="0"/>
            </w:tcBorders>
            <w:vAlign w:val="center"/>
          </w:tcPr>
          <w:p>
            <w:pPr>
              <w:ind w:right="-11"/>
              <w:rPr>
                <w:rFonts w:ascii="宋体" w:cs="宋体"/>
                <w:color w:val="auto"/>
                <w:kern w:val="0"/>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kern w:val="0"/>
                <w:szCs w:val="21"/>
                <w:highlight w:val="none"/>
              </w:rPr>
            </w:pPr>
            <w:r>
              <w:rPr>
                <w:rFonts w:ascii="宋体" w:cs="宋体"/>
                <w:color w:val="auto"/>
                <w:kern w:val="0"/>
                <w:szCs w:val="21"/>
                <w:highlight w:val="none"/>
              </w:rPr>
              <w:t>...</w:t>
            </w:r>
          </w:p>
        </w:tc>
        <w:tc>
          <w:tcPr>
            <w:tcW w:w="6193" w:type="dxa"/>
            <w:tcBorders>
              <w:top w:val="single" w:color="000000" w:sz="4" w:space="0"/>
              <w:left w:val="single" w:color="000000" w:sz="4" w:space="0"/>
              <w:bottom w:val="single" w:color="000000" w:sz="4" w:space="0"/>
              <w:right w:val="single" w:color="000000" w:sz="4" w:space="0"/>
            </w:tcBorders>
            <w:vAlign w:val="center"/>
          </w:tcPr>
          <w:p>
            <w:pPr>
              <w:ind w:right="-11"/>
              <w:rPr>
                <w:rFonts w:ascii="宋体" w:cs="宋体"/>
                <w:color w:val="auto"/>
                <w:kern w:val="0"/>
                <w:szCs w:val="21"/>
                <w:highlight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Cs w:val="21"/>
                <w:highlight w:val="none"/>
              </w:rPr>
            </w:pPr>
          </w:p>
        </w:tc>
      </w:tr>
      <w:tr>
        <w:tblPrEx>
          <w:tblCellMar>
            <w:top w:w="15" w:type="dxa"/>
            <w:left w:w="15" w:type="dxa"/>
            <w:bottom w:w="15" w:type="dxa"/>
            <w:right w:w="15" w:type="dxa"/>
          </w:tblCellMar>
        </w:tblPrEx>
        <w:trPr>
          <w:trHeight w:val="544" w:hRule="atLeast"/>
        </w:trPr>
        <w:tc>
          <w:tcPr>
            <w:tcW w:w="687" w:type="dxa"/>
            <w:tcBorders>
              <w:top w:val="single" w:color="000000" w:sz="4" w:space="0"/>
              <w:left w:val="single" w:color="000000" w:sz="4" w:space="0"/>
              <w:bottom w:val="single" w:color="000000" w:sz="4" w:space="0"/>
              <w:right w:val="single" w:color="auto" w:sz="4" w:space="0"/>
            </w:tcBorders>
            <w:vAlign w:val="bottom"/>
          </w:tcPr>
          <w:p>
            <w:pPr>
              <w:widowControl/>
              <w:textAlignment w:val="center"/>
              <w:rPr>
                <w:rFonts w:ascii="宋体" w:cs="宋体"/>
                <w:b/>
                <w:bCs/>
                <w:color w:val="auto"/>
                <w:szCs w:val="21"/>
                <w:highlight w:val="none"/>
              </w:rPr>
            </w:pPr>
            <w:r>
              <w:rPr>
                <w:rFonts w:hint="eastAsia" w:ascii="宋体" w:hAnsi="宋体" w:cs="宋体"/>
                <w:b/>
                <w:bCs/>
                <w:color w:val="auto"/>
                <w:szCs w:val="21"/>
                <w:highlight w:val="none"/>
              </w:rPr>
              <w:t>合计</w:t>
            </w:r>
          </w:p>
          <w:p>
            <w:pPr>
              <w:widowControl/>
              <w:textAlignment w:val="center"/>
              <w:rPr>
                <w:rFonts w:ascii="宋体" w:cs="宋体"/>
                <w:b/>
                <w:bCs/>
                <w:color w:val="auto"/>
                <w:szCs w:val="21"/>
                <w:highlight w:val="none"/>
              </w:rPr>
            </w:pPr>
            <w:r>
              <w:rPr>
                <w:rFonts w:hint="eastAsia" w:ascii="宋体" w:hAnsi="宋体" w:cs="宋体"/>
                <w:b/>
                <w:bCs/>
                <w:color w:val="auto"/>
                <w:szCs w:val="21"/>
                <w:highlight w:val="none"/>
              </w:rPr>
              <w:t>总价</w:t>
            </w:r>
          </w:p>
        </w:tc>
        <w:tc>
          <w:tcPr>
            <w:tcW w:w="8691" w:type="dxa"/>
            <w:gridSpan w:val="2"/>
            <w:tcBorders>
              <w:top w:val="single" w:color="000000" w:sz="4" w:space="0"/>
              <w:left w:val="single" w:color="auto" w:sz="4" w:space="0"/>
              <w:bottom w:val="single" w:color="000000" w:sz="4" w:space="0"/>
              <w:right w:val="single" w:color="000000" w:sz="4" w:space="0"/>
            </w:tcBorders>
            <w:vAlign w:val="bottom"/>
          </w:tcPr>
          <w:p>
            <w:pPr>
              <w:widowControl/>
              <w:ind w:firstLine="1054" w:firstLineChars="500"/>
              <w:textAlignment w:val="center"/>
              <w:rPr>
                <w:rFonts w:ascii="宋体" w:cs="宋体"/>
                <w:b/>
                <w:bCs/>
                <w:color w:val="auto"/>
                <w:szCs w:val="21"/>
                <w:highlight w:val="none"/>
              </w:rPr>
            </w:pPr>
            <w:r>
              <w:rPr>
                <w:rFonts w:hint="eastAsia" w:ascii="宋体" w:hAnsi="宋体" w:cs="宋体"/>
                <w:b/>
                <w:bCs/>
                <w:color w:val="auto"/>
                <w:szCs w:val="21"/>
                <w:highlight w:val="none"/>
              </w:rPr>
              <w:t>大写：</w:t>
            </w:r>
          </w:p>
          <w:p>
            <w:pPr>
              <w:widowControl/>
              <w:textAlignment w:val="center"/>
              <w:rPr>
                <w:rFonts w:ascii="宋体" w:cs="宋体"/>
                <w:b/>
                <w:bCs/>
                <w:color w:val="auto"/>
                <w:szCs w:val="21"/>
                <w:highlight w:val="none"/>
              </w:rPr>
            </w:pPr>
            <w:r>
              <w:rPr>
                <w:rFonts w:hint="eastAsia" w:ascii="宋体" w:hAnsi="宋体" w:cs="宋体"/>
                <w:b/>
                <w:bCs/>
                <w:color w:val="auto"/>
                <w:szCs w:val="21"/>
                <w:highlight w:val="none"/>
              </w:rPr>
              <w:t>小写：</w:t>
            </w:r>
          </w:p>
        </w:tc>
      </w:tr>
    </w:tbl>
    <w:p>
      <w:pPr>
        <w:spacing w:line="500" w:lineRule="exac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说明：</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分项报价表中合计总价应与开标一览表中的相应报价相一致。</w:t>
      </w:r>
    </w:p>
    <w:p>
      <w:pPr>
        <w:spacing w:line="50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 xml:space="preserve">此表在不改变格式内容时，可自行制作。 </w:t>
      </w:r>
    </w:p>
    <w:p>
      <w:pPr>
        <w:snapToGrid w:val="0"/>
        <w:spacing w:line="480" w:lineRule="exact"/>
        <w:rPr>
          <w:rFonts w:hint="eastAsia" w:ascii="宋体" w:hAnsi="宋体"/>
          <w:color w:val="auto"/>
          <w:sz w:val="21"/>
          <w:szCs w:val="21"/>
          <w:highlight w:val="none"/>
        </w:rPr>
      </w:pPr>
    </w:p>
    <w:p>
      <w:pPr>
        <w:snapToGrid w:val="0"/>
        <w:spacing w:line="480" w:lineRule="exact"/>
        <w:rPr>
          <w:rFonts w:hint="eastAsia" w:ascii="宋体" w:hAnsi="宋体"/>
          <w:color w:val="auto"/>
          <w:sz w:val="21"/>
          <w:szCs w:val="21"/>
          <w:highlight w:val="none"/>
        </w:rPr>
      </w:pPr>
      <w:r>
        <w:rPr>
          <w:rFonts w:hint="eastAsia" w:ascii="宋体" w:hAnsi="宋体"/>
          <w:color w:val="auto"/>
          <w:sz w:val="21"/>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olor w:val="auto"/>
          <w:sz w:val="21"/>
          <w:szCs w:val="21"/>
          <w:highlight w:val="none"/>
        </w:rPr>
        <w:t>）：</w:t>
      </w:r>
    </w:p>
    <w:p>
      <w:pPr>
        <w:snapToGrid w:val="0"/>
        <w:spacing w:line="48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法定代表人或其授权代表人（签字或盖章）：                                  </w:t>
      </w:r>
    </w:p>
    <w:p>
      <w:pPr>
        <w:snapToGrid w:val="0"/>
        <w:spacing w:line="480" w:lineRule="exact"/>
        <w:rPr>
          <w:rFonts w:hint="eastAsia" w:eastAsia="宋体"/>
          <w:color w:val="auto"/>
          <w:highlight w:val="none"/>
          <w:lang w:eastAsia="zh-CN"/>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olor w:val="auto"/>
          <w:sz w:val="21"/>
          <w:szCs w:val="21"/>
          <w:highlight w:val="none"/>
        </w:rPr>
        <w:t>日期</w:t>
      </w:r>
      <w:r>
        <w:rPr>
          <w:rFonts w:hint="eastAsia" w:ascii="宋体" w:hAns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投标廉洁承诺书</w:t>
      </w:r>
      <w:bookmarkEnd w:id="110"/>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2.向评标专家行贿，以不正当手段谋取中标。</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36"/>
        <w:rPr>
          <w:rFonts w:hint="eastAsia" w:ascii="宋体" w:hAnsi="宋体" w:eastAsia="宋体" w:cs="宋体"/>
          <w:color w:val="auto"/>
          <w:szCs w:val="21"/>
          <w:highlight w:val="none"/>
        </w:rPr>
      </w:pPr>
    </w:p>
    <w:p>
      <w:pPr>
        <w:pStyle w:val="36"/>
        <w:rPr>
          <w:rFonts w:hint="eastAsia" w:ascii="宋体" w:hAnsi="宋体" w:eastAsia="宋体" w:cs="宋体"/>
          <w:color w:val="auto"/>
          <w:szCs w:val="21"/>
          <w:highlight w:val="none"/>
        </w:rPr>
      </w:pPr>
    </w:p>
    <w:p>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eastAsia="宋体" w:cs="宋体"/>
          <w:color w:val="auto"/>
          <w:szCs w:val="21"/>
          <w:highlight w:val="none"/>
        </w:rPr>
        <w:t xml:space="preserve">）：                  </w:t>
      </w:r>
    </w:p>
    <w:p>
      <w:pPr>
        <w:wordWrap w:val="0"/>
        <w:adjustRightInd w:val="0"/>
        <w:snapToGrid w:val="0"/>
        <w:spacing w:line="700" w:lineRule="exact"/>
        <w:ind w:firstLine="3780" w:firstLineChars="18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eastAsia="宋体" w:cs="宋体"/>
          <w:color w:val="auto"/>
          <w:szCs w:val="21"/>
          <w:highlight w:val="none"/>
        </w:rPr>
        <w:t xml:space="preserve">）：                  </w:t>
      </w:r>
    </w:p>
    <w:p>
      <w:pPr>
        <w:wordWrap w:val="0"/>
        <w:adjustRightInd w:val="0"/>
        <w:snapToGrid w:val="0"/>
        <w:spacing w:line="700" w:lineRule="exact"/>
        <w:ind w:left="481" w:leftChars="229" w:firstLine="3517" w:firstLineChars="167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本次投标项目：                  </w:t>
      </w:r>
    </w:p>
    <w:p>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p>
    <w:p>
      <w:pPr>
        <w:adjustRightInd w:val="0"/>
        <w:snapToGrid w:val="0"/>
        <w:spacing w:line="312" w:lineRule="auto"/>
        <w:ind w:firstLine="420" w:firstLineChars="200"/>
        <w:rPr>
          <w:rFonts w:hint="eastAsia" w:ascii="宋体" w:hAnsi="宋体" w:eastAsia="宋体" w:cs="宋体"/>
          <w:color w:val="auto"/>
          <w:szCs w:val="21"/>
          <w:highlight w:val="none"/>
        </w:rPr>
      </w:pPr>
    </w:p>
    <w:p>
      <w:pPr>
        <w:snapToGrid w:val="0"/>
        <w:spacing w:line="312" w:lineRule="auto"/>
        <w:jc w:val="center"/>
        <w:outlineLvl w:val="0"/>
        <w:rPr>
          <w:rFonts w:hint="eastAsia" w:ascii="宋体" w:hAnsi="宋体" w:eastAsia="宋体" w:cs="宋体"/>
          <w:bCs/>
          <w:color w:val="auto"/>
          <w:szCs w:val="21"/>
          <w:highlight w:val="none"/>
          <w:lang w:val="zh-CN"/>
        </w:rPr>
      </w:pPr>
      <w:bookmarkStart w:id="111" w:name="_Toc23244"/>
      <w:bookmarkStart w:id="112" w:name="_Toc350256317"/>
      <w:bookmarkStart w:id="113" w:name="_Toc8789"/>
      <w:bookmarkStart w:id="114" w:name="_Toc354401539"/>
      <w:bookmarkStart w:id="115" w:name="_Toc316887628"/>
      <w:bookmarkStart w:id="116" w:name="_Toc322352986"/>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snapToGrid w:val="0"/>
        <w:spacing w:after="120" w:afterLines="50" w:line="312" w:lineRule="auto"/>
        <w:jc w:val="center"/>
        <w:outlineLvl w:val="0"/>
        <w:rPr>
          <w:rFonts w:hint="eastAsia" w:ascii="宋体" w:hAnsi="宋体" w:eastAsia="宋体" w:cs="宋体"/>
          <w:b/>
          <w:bCs w:val="0"/>
          <w:color w:val="auto"/>
          <w:szCs w:val="21"/>
          <w:highlight w:val="none"/>
          <w:lang w:val="zh-CN"/>
        </w:rPr>
      </w:pPr>
    </w:p>
    <w:p>
      <w:pPr>
        <w:snapToGrid w:val="0"/>
        <w:spacing w:after="120" w:afterLines="50"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val="zh-CN"/>
        </w:rPr>
        <w:t>第六章</w:t>
      </w:r>
      <w:r>
        <w:rPr>
          <w:rFonts w:hint="eastAsia" w:ascii="宋体" w:hAnsi="宋体" w:eastAsia="宋体" w:cs="宋体"/>
          <w:b/>
          <w:bCs w:val="0"/>
          <w:color w:val="auto"/>
          <w:szCs w:val="21"/>
          <w:highlight w:val="none"/>
        </w:rPr>
        <w:t xml:space="preserve">  </w:t>
      </w:r>
      <w:r>
        <w:rPr>
          <w:rFonts w:hint="eastAsia" w:ascii="宋体" w:hAnsi="宋体" w:eastAsia="宋体" w:cs="宋体"/>
          <w:b/>
          <w:bCs w:val="0"/>
          <w:color w:val="auto"/>
          <w:szCs w:val="21"/>
          <w:highlight w:val="none"/>
          <w:lang w:val="zh-CN"/>
        </w:rPr>
        <w:t>评标办法及开标程序</w:t>
      </w:r>
      <w:bookmarkEnd w:id="111"/>
      <w:bookmarkEnd w:id="112"/>
      <w:bookmarkEnd w:id="113"/>
      <w:bookmarkEnd w:id="114"/>
      <w:bookmarkEnd w:id="115"/>
      <w:bookmarkEnd w:id="116"/>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17" w:name="_Toc28916"/>
      <w:bookmarkStart w:id="118" w:name="_Toc27253"/>
      <w:r>
        <w:rPr>
          <w:rFonts w:hint="eastAsia" w:ascii="宋体" w:hAnsi="宋体" w:eastAsia="宋体" w:cs="宋体"/>
          <w:color w:val="auto"/>
          <w:szCs w:val="21"/>
          <w:highlight w:val="none"/>
          <w:lang w:val="zh-CN"/>
        </w:rPr>
        <w:t>一、评标委员会的组成</w:t>
      </w:r>
      <w:bookmarkEnd w:id="117"/>
      <w:bookmarkEnd w:id="118"/>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1.评标委员会由5人</w:t>
      </w:r>
      <w:r>
        <w:rPr>
          <w:rFonts w:hint="eastAsia" w:ascii="宋体" w:hAnsi="宋体" w:cs="宋体"/>
          <w:color w:val="auto"/>
          <w:szCs w:val="21"/>
          <w:highlight w:val="none"/>
          <w:lang w:val="en-US" w:eastAsia="zh-CN"/>
        </w:rPr>
        <w:t>及以上单数</w:t>
      </w:r>
      <w:r>
        <w:rPr>
          <w:rFonts w:hint="eastAsia" w:ascii="宋体" w:hAnsi="宋体" w:eastAsia="宋体" w:cs="宋体"/>
          <w:color w:val="auto"/>
          <w:szCs w:val="21"/>
          <w:highlight w:val="none"/>
        </w:rPr>
        <w:t>组成，由采购人依法组建。</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19" w:name="_Toc3720"/>
      <w:bookmarkStart w:id="120" w:name="_Toc7455"/>
      <w:r>
        <w:rPr>
          <w:rFonts w:hint="eastAsia" w:ascii="宋体" w:hAnsi="宋体" w:eastAsia="宋体" w:cs="宋体"/>
          <w:color w:val="auto"/>
          <w:szCs w:val="21"/>
          <w:highlight w:val="none"/>
          <w:lang w:val="zh-CN"/>
        </w:rPr>
        <w:t>二、评标原则</w:t>
      </w:r>
      <w:bookmarkEnd w:id="119"/>
      <w:bookmarkEnd w:id="120"/>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1.投标人得分由技术商务分和报价分合计组成，满分为100分。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2.技术商务分与报价分合计得分最高者为第一中标候选人，总分相同时，价格低者优先，</w:t>
      </w:r>
      <w:r>
        <w:rPr>
          <w:rFonts w:hint="eastAsia" w:ascii="宋体" w:hAnsi="宋体" w:eastAsia="宋体" w:cs="宋体"/>
          <w:color w:val="auto"/>
          <w:szCs w:val="21"/>
          <w:highlight w:val="none"/>
          <w:lang w:val="zh-CN"/>
        </w:rPr>
        <w:t>若最高总得分与报价均相同时，由采购人当场随机抽签选定第一中标候选人</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4.中标结果经采购人确认并经公示1个工作日无异议，采购代理机构发出《中标通知书》。</w:t>
      </w:r>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21" w:name="_Toc4702"/>
      <w:bookmarkStart w:id="122" w:name="_Toc6886"/>
      <w:r>
        <w:rPr>
          <w:rFonts w:hint="eastAsia" w:ascii="宋体" w:hAnsi="宋体" w:eastAsia="宋体" w:cs="宋体"/>
          <w:color w:val="auto"/>
          <w:szCs w:val="21"/>
          <w:highlight w:val="none"/>
          <w:lang w:val="zh-CN"/>
        </w:rPr>
        <w:t>三、注意事项</w:t>
      </w:r>
      <w:bookmarkEnd w:id="121"/>
      <w:bookmarkEnd w:id="122"/>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keepNext w:val="0"/>
        <w:keepLines w:val="0"/>
        <w:pageBreakBefore w:val="0"/>
        <w:kinsoku/>
        <w:wordWrap/>
        <w:overflowPunct/>
        <w:topLinePunct w:val="0"/>
        <w:autoSpaceDE w:val="0"/>
        <w:autoSpaceDN w:val="0"/>
        <w:bidi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23" w:name="_Toc554"/>
      <w:bookmarkStart w:id="124" w:name="_Toc13406"/>
      <w:r>
        <w:rPr>
          <w:rFonts w:hint="eastAsia" w:ascii="宋体" w:hAnsi="宋体" w:eastAsia="宋体" w:cs="宋体"/>
          <w:color w:val="auto"/>
          <w:szCs w:val="21"/>
          <w:highlight w:val="none"/>
          <w:lang w:val="zh-CN"/>
        </w:rPr>
        <w:t>四、评分标准</w:t>
      </w:r>
      <w:bookmarkEnd w:id="123"/>
      <w:bookmarkEnd w:id="124"/>
    </w:p>
    <w:p>
      <w:pPr>
        <w:keepNext w:val="0"/>
        <w:keepLines w:val="0"/>
        <w:pageBreakBefore w:val="0"/>
        <w:kinsoku/>
        <w:wordWrap/>
        <w:overflowPunct/>
        <w:topLinePunct w:val="0"/>
        <w:bidi w:val="0"/>
        <w:spacing w:line="360" w:lineRule="auto"/>
        <w:outlineLvl w:val="0"/>
        <w:rPr>
          <w:rFonts w:hint="eastAsia" w:ascii="宋体" w:hAnsi="宋体" w:eastAsia="宋体" w:cs="宋体"/>
          <w:b/>
          <w:bCs/>
          <w:color w:val="auto"/>
          <w:sz w:val="21"/>
          <w:szCs w:val="21"/>
        </w:rPr>
      </w:pPr>
      <w:bookmarkStart w:id="125" w:name="_Toc356371476"/>
      <w:bookmarkStart w:id="126" w:name="_Toc3287"/>
      <w:bookmarkStart w:id="127" w:name="_Toc13363"/>
      <w:r>
        <w:rPr>
          <w:rFonts w:hint="eastAsia" w:ascii="宋体" w:hAnsi="宋体" w:eastAsia="宋体" w:cs="宋体"/>
          <w:b/>
          <w:bCs/>
          <w:color w:val="auto"/>
          <w:sz w:val="21"/>
          <w:szCs w:val="21"/>
        </w:rPr>
        <w:t>1、商务技术分（</w:t>
      </w:r>
      <w:r>
        <w:rPr>
          <w:rFonts w:hint="eastAsia" w:ascii="宋体" w:hAnsi="宋体" w:cs="宋体"/>
          <w:b/>
          <w:bCs/>
          <w:color w:val="auto"/>
          <w:sz w:val="21"/>
          <w:szCs w:val="21"/>
          <w:lang w:val="en-US" w:eastAsia="zh-CN"/>
        </w:rPr>
        <w:t>9</w:t>
      </w:r>
      <w:r>
        <w:rPr>
          <w:rFonts w:hint="eastAsia" w:ascii="宋体" w:hAnsi="宋体" w:eastAsia="宋体" w:cs="宋体"/>
          <w:b/>
          <w:bCs/>
          <w:color w:val="auto"/>
          <w:sz w:val="21"/>
          <w:szCs w:val="21"/>
        </w:rPr>
        <w:t>0分）</w:t>
      </w:r>
    </w:p>
    <w:tbl>
      <w:tblPr>
        <w:tblStyle w:val="27"/>
        <w:tblW w:w="8891" w:type="dxa"/>
        <w:jc w:val="center"/>
        <w:tblLayout w:type="fixed"/>
        <w:tblCellMar>
          <w:top w:w="0" w:type="dxa"/>
          <w:left w:w="108" w:type="dxa"/>
          <w:bottom w:w="0" w:type="dxa"/>
          <w:right w:w="108" w:type="dxa"/>
        </w:tblCellMar>
      </w:tblPr>
      <w:tblGrid>
        <w:gridCol w:w="728"/>
        <w:gridCol w:w="1275"/>
        <w:gridCol w:w="6151"/>
        <w:gridCol w:w="737"/>
      </w:tblGrid>
      <w:tr>
        <w:tblPrEx>
          <w:tblCellMar>
            <w:top w:w="0" w:type="dxa"/>
            <w:left w:w="108" w:type="dxa"/>
            <w:bottom w:w="0" w:type="dxa"/>
            <w:right w:w="108" w:type="dxa"/>
          </w:tblCellMar>
        </w:tblPrEx>
        <w:trPr>
          <w:trHeight w:val="132"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评审内容及评分标准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r>
      <w:tr>
        <w:tblPrEx>
          <w:tblCellMar>
            <w:top w:w="0" w:type="dxa"/>
            <w:left w:w="108" w:type="dxa"/>
            <w:bottom w:w="0" w:type="dxa"/>
            <w:right w:w="108" w:type="dxa"/>
          </w:tblCellMar>
        </w:tblPrEx>
        <w:trPr>
          <w:trHeight w:val="1201" w:hRule="atLeast"/>
          <w:jc w:val="center"/>
        </w:trPr>
        <w:tc>
          <w:tcPr>
            <w:tcW w:w="728" w:type="dxa"/>
            <w:tcBorders>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75" w:type="dxa"/>
            <w:tcBorders>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投标人</w:t>
            </w:r>
            <w:r>
              <w:rPr>
                <w:rFonts w:hint="eastAsia" w:ascii="宋体" w:hAnsi="宋体" w:eastAsia="宋体" w:cs="宋体"/>
                <w:color w:val="auto"/>
                <w:sz w:val="24"/>
                <w:szCs w:val="24"/>
                <w:lang w:val="zh-CN"/>
              </w:rPr>
              <w:t>管理体系</w:t>
            </w:r>
            <w:r>
              <w:rPr>
                <w:rFonts w:hint="eastAsia" w:ascii="宋体" w:hAnsi="宋体" w:eastAsia="宋体" w:cs="宋体"/>
                <w:color w:val="auto"/>
                <w:sz w:val="24"/>
                <w:szCs w:val="24"/>
                <w:lang w:bidi="ar"/>
              </w:rPr>
              <w:t>（</w:t>
            </w:r>
            <w:r>
              <w:rPr>
                <w:rFonts w:hint="eastAsia" w:ascii="宋体" w:hAnsi="宋体" w:eastAsia="宋体" w:cs="宋体"/>
                <w:color w:val="auto"/>
                <w:sz w:val="24"/>
                <w:szCs w:val="24"/>
              </w:rPr>
              <w:t>9</w:t>
            </w:r>
            <w:r>
              <w:rPr>
                <w:rFonts w:hint="eastAsia" w:ascii="宋体" w:hAnsi="宋体" w:eastAsia="宋体" w:cs="宋体"/>
                <w:color w:val="auto"/>
                <w:sz w:val="24"/>
                <w:szCs w:val="24"/>
                <w:lang w:bidi="ar"/>
              </w:rPr>
              <w:t>分）</w:t>
            </w: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投标人具有质量管理体系认证证书、环境管理体系认证证书、职业健康安全管理体系认证证书、每项得3分，最高得 9分。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注：须提供相关证书原件扫描件加盖公章编入商务技术文件中，否则不得分。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9分</w:t>
            </w:r>
          </w:p>
        </w:tc>
      </w:tr>
      <w:tr>
        <w:tblPrEx>
          <w:tblCellMar>
            <w:top w:w="0" w:type="dxa"/>
            <w:left w:w="108" w:type="dxa"/>
            <w:bottom w:w="0" w:type="dxa"/>
            <w:right w:w="108" w:type="dxa"/>
          </w:tblCellMar>
        </w:tblPrEx>
        <w:trPr>
          <w:trHeight w:val="912" w:hRule="atLeast"/>
          <w:jc w:val="center"/>
        </w:trPr>
        <w:tc>
          <w:tcPr>
            <w:tcW w:w="728" w:type="dxa"/>
            <w:tcBorders>
              <w:top w:val="single" w:color="000000" w:sz="4" w:space="0"/>
              <w:left w:val="single" w:color="000000" w:sz="4" w:space="0"/>
              <w:bottom w:val="single" w:color="auto"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75" w:type="dxa"/>
            <w:tcBorders>
              <w:top w:val="single" w:color="000000" w:sz="4" w:space="0"/>
              <w:left w:val="single" w:color="000000" w:sz="4" w:space="0"/>
              <w:bottom w:val="single" w:color="auto"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投标人资质（</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分）</w:t>
            </w:r>
          </w:p>
        </w:tc>
        <w:tc>
          <w:tcPr>
            <w:tcW w:w="6151" w:type="dxa"/>
            <w:tcBorders>
              <w:top w:val="single" w:color="000000" w:sz="4" w:space="0"/>
              <w:left w:val="single" w:color="000000" w:sz="4" w:space="0"/>
              <w:bottom w:val="single" w:color="auto"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投标人具有</w:t>
            </w:r>
            <w:r>
              <w:rPr>
                <w:rFonts w:hint="eastAsia" w:ascii="宋体" w:hAnsi="宋体" w:eastAsia="宋体" w:cs="宋体"/>
                <w:color w:val="auto"/>
                <w:sz w:val="24"/>
                <w:szCs w:val="24"/>
                <w:lang w:val="en-US" w:eastAsia="zh-CN"/>
              </w:rPr>
              <w:t>国家高兴技术企业证书</w:t>
            </w:r>
            <w:r>
              <w:rPr>
                <w:rFonts w:hint="eastAsia" w:ascii="宋体" w:hAnsi="宋体" w:cs="宋体"/>
                <w:color w:val="auto"/>
                <w:sz w:val="24"/>
                <w:szCs w:val="24"/>
                <w:lang w:val="en-US" w:eastAsia="zh-CN"/>
              </w:rPr>
              <w:t>、CMA或CNAS认证、省级以上国家土壤第三次普查（检测、采样）入围单位资质</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分，最高得 </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注：须提供相关证书原件扫描件加盖公章编入商务技术文件中，否则不得分。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393" w:hRule="atLeast"/>
          <w:jc w:val="center"/>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75" w:type="dxa"/>
            <w:tcBorders>
              <w:top w:val="single" w:color="auto" w:sz="4" w:space="0"/>
              <w:left w:val="single" w:color="auto" w:sz="4" w:space="0"/>
              <w:bottom w:val="single" w:color="auto" w:sz="4" w:space="0"/>
              <w:right w:val="single" w:color="auto"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投标人</w:t>
            </w:r>
          </w:p>
          <w:p>
            <w:pPr>
              <w:spacing w:line="3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业绩</w:t>
            </w:r>
          </w:p>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分）</w:t>
            </w:r>
          </w:p>
        </w:tc>
        <w:tc>
          <w:tcPr>
            <w:tcW w:w="6151" w:type="dxa"/>
            <w:tcBorders>
              <w:top w:val="single" w:color="auto" w:sz="4" w:space="0"/>
              <w:left w:val="single" w:color="auto" w:sz="4" w:space="0"/>
              <w:bottom w:val="single" w:color="auto" w:sz="4" w:space="0"/>
              <w:right w:val="single" w:color="auto"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2020年1月1日以来（以合同签订时间为准），投标人承担过单个土壤污染状况调查</w:t>
            </w:r>
            <w:r>
              <w:rPr>
                <w:rFonts w:hint="eastAsia" w:ascii="宋体" w:hAnsi="宋体" w:eastAsia="宋体" w:cs="宋体"/>
                <w:color w:val="auto"/>
                <w:sz w:val="24"/>
                <w:szCs w:val="24"/>
                <w:lang w:val="en-US" w:eastAsia="zh-CN" w:bidi="ar"/>
              </w:rPr>
              <w:t>或检测</w:t>
            </w:r>
            <w:r>
              <w:rPr>
                <w:rFonts w:hint="eastAsia" w:ascii="宋体" w:hAnsi="宋体" w:eastAsia="宋体" w:cs="宋体"/>
                <w:color w:val="auto"/>
                <w:sz w:val="24"/>
                <w:szCs w:val="24"/>
                <w:lang w:bidi="ar"/>
              </w:rPr>
              <w:t>项目业绩的，每个得</w:t>
            </w:r>
            <w:r>
              <w:rPr>
                <w:rFonts w:hint="eastAsia" w:ascii="宋体" w:hAnsi="宋体" w:cs="宋体"/>
                <w:color w:val="auto"/>
                <w:sz w:val="24"/>
                <w:szCs w:val="24"/>
                <w:lang w:val="en-US" w:eastAsia="zh-CN" w:bidi="ar"/>
              </w:rPr>
              <w:t>0.5</w:t>
            </w:r>
            <w:r>
              <w:rPr>
                <w:rFonts w:hint="eastAsia" w:ascii="宋体" w:hAnsi="宋体" w:eastAsia="宋体" w:cs="宋体"/>
                <w:color w:val="auto"/>
                <w:sz w:val="24"/>
                <w:szCs w:val="24"/>
                <w:lang w:bidi="ar"/>
              </w:rPr>
              <w:t>分，最高分</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注：须提供</w:t>
            </w:r>
            <w:r>
              <w:rPr>
                <w:rFonts w:hint="eastAsia" w:ascii="宋体" w:hAnsi="宋体" w:eastAsia="宋体" w:cs="宋体"/>
                <w:color w:val="auto"/>
                <w:sz w:val="24"/>
                <w:szCs w:val="24"/>
                <w:lang w:val="zh-CN" w:bidi="ar"/>
              </w:rPr>
              <w:t>合同原件扫描件</w:t>
            </w:r>
            <w:r>
              <w:rPr>
                <w:rFonts w:hint="eastAsia" w:ascii="宋体" w:hAnsi="宋体" w:eastAsia="宋体" w:cs="宋体"/>
                <w:color w:val="auto"/>
                <w:sz w:val="24"/>
                <w:szCs w:val="24"/>
                <w:lang w:bidi="ar"/>
              </w:rPr>
              <w:t>加盖公章编入商务技术文件中，否则不得分。</w:t>
            </w:r>
          </w:p>
        </w:tc>
        <w:tc>
          <w:tcPr>
            <w:tcW w:w="737"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1650" w:hRule="atLeast"/>
          <w:jc w:val="center"/>
        </w:trPr>
        <w:tc>
          <w:tcPr>
            <w:tcW w:w="728" w:type="dxa"/>
            <w:vMerge w:val="restart"/>
            <w:tcBorders>
              <w:top w:val="single" w:color="auto" w:sz="4" w:space="0"/>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75" w:type="dxa"/>
            <w:vMerge w:val="restart"/>
            <w:tcBorders>
              <w:top w:val="single" w:color="auto"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项目团队实力</w:t>
            </w:r>
          </w:p>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w:t>
            </w:r>
          </w:p>
        </w:tc>
        <w:tc>
          <w:tcPr>
            <w:tcW w:w="6151" w:type="dxa"/>
            <w:tcBorders>
              <w:top w:val="single" w:color="auto"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项目负责人：</w:t>
            </w:r>
          </w:p>
          <w:p>
            <w:pPr>
              <w:spacing w:line="3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1、具有环境类</w:t>
            </w:r>
            <w:r>
              <w:rPr>
                <w:rFonts w:hint="eastAsia" w:ascii="宋体" w:hAnsi="宋体" w:eastAsia="宋体" w:cs="宋体"/>
                <w:color w:val="auto"/>
                <w:sz w:val="24"/>
                <w:szCs w:val="24"/>
              </w:rPr>
              <w:t>中级职称的得2分，高级及以上职称的得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pStyle w:val="19"/>
              <w:spacing w:line="3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bidi="ar"/>
              </w:rPr>
              <w:t>本项目小计最高分</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注：须提供相关证书原件扫描件及投标截止时间向前追溯近三个月投标人为其缴纳的社保证明材料扫描件，未按要求提供的不得分。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3600" w:hRule="atLeast"/>
          <w:jc w:val="center"/>
        </w:trPr>
        <w:tc>
          <w:tcPr>
            <w:tcW w:w="728" w:type="dxa"/>
            <w:vMerge w:val="continue"/>
            <w:tcBorders>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top w:val="single" w:color="auto"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auto"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项目团队成员（除项目负责人外）：</w:t>
            </w:r>
            <w:r>
              <w:rPr>
                <w:rFonts w:hint="eastAsia" w:ascii="宋体" w:hAnsi="宋体" w:eastAsia="宋体" w:cs="宋体"/>
                <w:color w:val="auto"/>
                <w:sz w:val="24"/>
                <w:szCs w:val="24"/>
                <w:lang w:bidi="ar"/>
              </w:rPr>
              <w:br w:type="textWrapping"/>
            </w:r>
            <w:r>
              <w:rPr>
                <w:rFonts w:hint="eastAsia" w:ascii="宋体" w:hAnsi="宋体" w:eastAsia="宋体" w:cs="宋体"/>
                <w:color w:val="auto"/>
                <w:sz w:val="24"/>
                <w:szCs w:val="24"/>
                <w:lang w:bidi="ar"/>
              </w:rPr>
              <w:t>1、具有环</w:t>
            </w:r>
            <w:bookmarkStart w:id="129" w:name="_GoBack"/>
            <w:bookmarkEnd w:id="129"/>
            <w:r>
              <w:rPr>
                <w:rFonts w:hint="eastAsia" w:ascii="宋体" w:hAnsi="宋体" w:eastAsia="宋体" w:cs="宋体"/>
                <w:color w:val="auto"/>
                <w:sz w:val="24"/>
                <w:szCs w:val="24"/>
                <w:lang w:bidi="ar"/>
              </w:rPr>
              <w:t>境类中级职称的，每人得</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分，高级及以上职称的，每人得</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分，最高分4分；</w:t>
            </w:r>
          </w:p>
          <w:p>
            <w:pPr>
              <w:numPr>
                <w:ilvl w:val="0"/>
                <w:numId w:val="5"/>
              </w:numPr>
              <w:adjustRightInd w:val="0"/>
              <w:snapToGrid w:val="0"/>
              <w:spacing w:line="340" w:lineRule="exact"/>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项目组成员获得</w:t>
            </w:r>
            <w:r>
              <w:rPr>
                <w:rFonts w:hint="eastAsia" w:ascii="宋体" w:hAnsi="宋体" w:cs="宋体"/>
                <w:color w:val="auto"/>
                <w:sz w:val="24"/>
                <w:szCs w:val="24"/>
                <w:lang w:val="en-US" w:eastAsia="zh-CN" w:bidi="ar"/>
              </w:rPr>
              <w:t>省级以上</w:t>
            </w:r>
            <w:r>
              <w:rPr>
                <w:rFonts w:hint="eastAsia" w:ascii="宋体" w:hAnsi="宋体" w:eastAsia="宋体" w:cs="宋体"/>
                <w:color w:val="auto"/>
                <w:sz w:val="24"/>
                <w:szCs w:val="24"/>
                <w:lang w:val="en-US" w:eastAsia="zh-CN" w:bidi="ar"/>
              </w:rPr>
              <w:t>环保、分析方面科学技术奖励的每个得1分，共2分</w:t>
            </w:r>
          </w:p>
          <w:p>
            <w:pPr>
              <w:numPr>
                <w:ilvl w:val="0"/>
                <w:numId w:val="5"/>
              </w:numPr>
              <w:adjustRightInd w:val="0"/>
              <w:snapToGrid w:val="0"/>
              <w:spacing w:line="340" w:lineRule="exact"/>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项目组成员参与制定环境、检测分析类标准的每个得1分，最高得6分</w:t>
            </w:r>
          </w:p>
          <w:p>
            <w:pPr>
              <w:pStyle w:val="19"/>
              <w:spacing w:line="3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lang w:bidi="ar"/>
              </w:rPr>
              <w:t>本项目小计最高分1</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注：</w:t>
            </w:r>
            <w:r>
              <w:rPr>
                <w:rFonts w:hint="eastAsia" w:ascii="宋体" w:hAnsi="宋体" w:eastAsia="宋体" w:cs="宋体"/>
                <w:color w:val="auto"/>
                <w:sz w:val="24"/>
                <w:szCs w:val="24"/>
              </w:rPr>
              <w:t>以上人员证书同一人员可重复得分，均须</w:t>
            </w:r>
            <w:r>
              <w:rPr>
                <w:rFonts w:hint="eastAsia" w:ascii="宋体" w:hAnsi="宋体" w:eastAsia="宋体" w:cs="宋体"/>
                <w:color w:val="auto"/>
                <w:sz w:val="24"/>
                <w:szCs w:val="24"/>
                <w:lang w:bidi="ar"/>
              </w:rPr>
              <w:t>提供相关证书原件扫描件及投标截止时间向前追溯近三个月投标人为其缴纳的社保证明材料扫描件，未按要求提供的不得分。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3251" w:hRule="atLeast"/>
          <w:jc w:val="center"/>
        </w:trPr>
        <w:tc>
          <w:tcPr>
            <w:tcW w:w="728" w:type="dxa"/>
            <w:vMerge w:val="restart"/>
            <w:tcBorders>
              <w:top w:val="single" w:color="000000" w:sz="4" w:space="0"/>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服务</w:t>
            </w:r>
          </w:p>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方案</w:t>
            </w:r>
          </w:p>
          <w:p>
            <w:pPr>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
              </w:rPr>
              <w:t>（</w:t>
            </w:r>
            <w:r>
              <w:rPr>
                <w:rFonts w:hint="eastAsia" w:ascii="宋体" w:hAnsi="宋体" w:eastAsia="宋体" w:cs="宋体"/>
                <w:color w:val="auto"/>
                <w:sz w:val="24"/>
                <w:szCs w:val="24"/>
                <w:lang w:val="en-US" w:eastAsia="zh-CN" w:bidi="ar"/>
              </w:rPr>
              <w:t>60</w:t>
            </w:r>
            <w:r>
              <w:rPr>
                <w:rFonts w:hint="eastAsia" w:ascii="宋体" w:hAnsi="宋体" w:eastAsia="宋体" w:cs="宋体"/>
                <w:color w:val="auto"/>
                <w:sz w:val="24"/>
                <w:szCs w:val="24"/>
                <w:lang w:bidi="ar"/>
              </w:rPr>
              <w:t>分）</w:t>
            </w: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djustRightInd w:val="0"/>
              <w:snapToGrid w:val="0"/>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对本项目了解的深度</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、根据投标人对本项目场地现状的分析合理性、了解程度等进行综合评审（5分）：对本项目场地现状分析完善、了解详细的得4.1-5分；项目场地现状分析了解稍欠缺的得2.1-4分；项目场地现状分析一般的</w:t>
            </w:r>
            <w:r>
              <w:rPr>
                <w:rFonts w:hint="eastAsia" w:ascii="宋体" w:hAnsi="宋体" w:eastAsia="宋体" w:cs="宋体"/>
                <w:color w:val="auto"/>
                <w:kern w:val="0"/>
                <w:sz w:val="24"/>
                <w:szCs w:val="24"/>
                <w:lang w:bidi="ar"/>
              </w:rPr>
              <w:t>得0-2分；未提供</w:t>
            </w:r>
            <w:r>
              <w:rPr>
                <w:rFonts w:hint="eastAsia" w:ascii="宋体" w:hAnsi="宋体" w:eastAsia="宋体" w:cs="宋体"/>
                <w:color w:val="auto"/>
                <w:sz w:val="24"/>
                <w:szCs w:val="24"/>
                <w:lang w:bidi="ar"/>
              </w:rPr>
              <w:t>不得分。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根据投标人对项目基础资料调查方案理解正确、思路清晰的进行综合评审（5分）：基础资料调查方案内容完整且思路清晰的得4.1-5分；基础资料调查方案内容完整但思路欠清晰的得2.1-4分；基础资料调查方案内容基本满足本项目需求的</w:t>
            </w:r>
            <w:r>
              <w:rPr>
                <w:rFonts w:hint="eastAsia" w:ascii="宋体" w:hAnsi="宋体" w:eastAsia="宋体" w:cs="宋体"/>
                <w:color w:val="auto"/>
                <w:kern w:val="0"/>
                <w:sz w:val="24"/>
                <w:szCs w:val="24"/>
                <w:lang w:bidi="ar"/>
              </w:rPr>
              <w:t>得0-2分；未提供</w:t>
            </w:r>
            <w:r>
              <w:rPr>
                <w:rFonts w:hint="eastAsia" w:ascii="宋体" w:hAnsi="宋体" w:eastAsia="宋体" w:cs="宋体"/>
                <w:color w:val="auto"/>
                <w:sz w:val="24"/>
                <w:szCs w:val="24"/>
                <w:lang w:bidi="ar"/>
              </w:rPr>
              <w:t>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r>
        <w:tblPrEx>
          <w:tblCellMar>
            <w:top w:w="0" w:type="dxa"/>
            <w:left w:w="108" w:type="dxa"/>
            <w:bottom w:w="0" w:type="dxa"/>
            <w:right w:w="108" w:type="dxa"/>
          </w:tblCellMar>
        </w:tblPrEx>
        <w:trPr>
          <w:trHeight w:val="4518" w:hRule="atLeast"/>
          <w:jc w:val="center"/>
        </w:trPr>
        <w:tc>
          <w:tcPr>
            <w:tcW w:w="72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top w:val="single" w:color="000000" w:sz="4" w:space="0"/>
              <w:left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djustRightInd w:val="0"/>
              <w:snapToGrid w:val="0"/>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项目重点难点分析</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根据投标人提出的项目调查重点及难点问题的理解和把握进行综合评审（5分）；项目调查重点及难点问题的理解和把握满足项目或优于项目需求的得4.1-5分；项目环境调查重点及难点问题的理解和把握基本能符合项目需求的得 2.1-4分；提出的重点及难点问题相对简单的得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；未提供的不得分。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根据投标人提供的解决重点难点问题的具体措施的针对性、可行性等进行综合评审（5分）；具体措施优于本项目需求且具有针对性、可行性的得4.1-5分；基本满足本项目需求的得2.1-4分；部分满足本项目需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r>
        <w:tblPrEx>
          <w:tblCellMar>
            <w:top w:w="0" w:type="dxa"/>
            <w:left w:w="108" w:type="dxa"/>
            <w:bottom w:w="0" w:type="dxa"/>
            <w:right w:w="108" w:type="dxa"/>
          </w:tblCellMar>
        </w:tblPrEx>
        <w:trPr>
          <w:trHeight w:val="558" w:hRule="atLeast"/>
          <w:jc w:val="center"/>
        </w:trPr>
        <w:tc>
          <w:tcPr>
            <w:tcW w:w="72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技术方案</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、根据投标人提供的总体方案编制工作思路、工作流程等进行综合评审（</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分）；总体方案编制工作思路、工作流程清晰、完善且满足或优于本项目需求的得4.1-</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分；总体方案编制工作思路、工作流程基本满足本项目需求的得2.1-4分；总体方案编制工作思路、工作流程部分满足本项目需求的得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；未提供的不得分。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、根据投标人编制的工作方案和主要依据阐述的科学合理性等进行综合评审（</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分）。工作方案全面、主要依据充分且满足或优于本项目需求的得4.1-</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分；工作方案全面、主要依据能基本满足本项目需求的得2.1-4分；工作方案一般、依据合理且满足本项目需求的得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；未提供的不得分。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、根据投标人提供的样品采集、流转、测试分析方案是否合理、准确、规范等方面进行综合评审（</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分）。样品采集、流转、测试分析方案合理、准确、规范满足或优于本项目需求的得4.1-</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分；基本满足本项目需求的得2.1-4分；部分满足本项目需求的得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882" w:hRule="atLeast"/>
          <w:jc w:val="center"/>
        </w:trPr>
        <w:tc>
          <w:tcPr>
            <w:tcW w:w="72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项目质量保证措施</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根据投标人提供的针对本服务项目的工作内容和特点提供的质量保证措施的合理科学性进行综合评审（6分）；项目质量保证措施合理科学充分且满足或优于本项目需求的得4.1-6分；基本满足本项目需求的得2.1-4分；部分满足本项目需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CellMar>
            <w:top w:w="0" w:type="dxa"/>
            <w:left w:w="108" w:type="dxa"/>
            <w:bottom w:w="0" w:type="dxa"/>
            <w:right w:w="108" w:type="dxa"/>
          </w:tblCellMar>
        </w:tblPrEx>
        <w:trPr>
          <w:trHeight w:val="3370" w:hRule="atLeast"/>
          <w:jc w:val="center"/>
        </w:trPr>
        <w:tc>
          <w:tcPr>
            <w:tcW w:w="72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项目进度安排</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根据投标人提供的针对本服务项目的项目进度安排及进度保障措施是否得当进行综合评审（</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分）。项目进度安排及进度保障措施完善且完全满足或优于本项目进度要求的得4.1-</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分；项目进度安排及进度保障措施可行且基本满足本项目进度要求的得2.1-</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分；项目进度安排及进度保障措施简单且部分满足本项目进度要求的得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；未提供进度安排或不符合项目进度要求的不得分。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41" w:hRule="atLeast"/>
          <w:jc w:val="center"/>
        </w:trPr>
        <w:tc>
          <w:tcPr>
            <w:tcW w:w="728" w:type="dxa"/>
            <w:vMerge w:val="continue"/>
            <w:tcBorders>
              <w:left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服务承诺及合理化建议</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lang w:bidi="ar"/>
              </w:rPr>
              <w:t>根据投标人针对本项目服务承诺方案及后期配合的合理化建议等进行综合评审（</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分）。服务承诺及后期配合的合理化建议完全满足或优于本项目需求的得4.1-</w:t>
            </w: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分；基本满足本项目需求的得2.1-4分；部分满足本项目需求的得</w:t>
            </w:r>
            <w:r>
              <w:rPr>
                <w:rFonts w:hint="eastAsia" w:ascii="宋体" w:hAnsi="宋体" w:eastAsia="宋体" w:cs="宋体"/>
                <w:color w:val="auto"/>
                <w:kern w:val="0"/>
                <w:sz w:val="24"/>
                <w:szCs w:val="24"/>
                <w:lang w:bidi="ar"/>
              </w:rPr>
              <w:t>0-2分</w:t>
            </w:r>
            <w:r>
              <w:rPr>
                <w:rFonts w:hint="eastAsia" w:ascii="宋体" w:hAnsi="宋体" w:eastAsia="宋体" w:cs="宋体"/>
                <w:color w:val="auto"/>
                <w:sz w:val="24"/>
                <w:szCs w:val="24"/>
                <w:lang w:bidi="ar"/>
              </w:rPr>
              <w:t>；未提供服务承诺及合理化建议或者承诺及合理化建议不符合项目需求的不得分。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CellMar>
            <w:top w:w="0" w:type="dxa"/>
            <w:left w:w="108" w:type="dxa"/>
            <w:bottom w:w="0" w:type="dxa"/>
            <w:right w:w="108" w:type="dxa"/>
          </w:tblCellMar>
        </w:tblPrEx>
        <w:trPr>
          <w:trHeight w:val="90" w:hRule="atLeast"/>
          <w:jc w:val="center"/>
        </w:trPr>
        <w:tc>
          <w:tcPr>
            <w:tcW w:w="728" w:type="dxa"/>
            <w:vMerge w:val="continue"/>
            <w:tcBorders>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hint="eastAsia" w:ascii="宋体" w:hAnsi="宋体" w:eastAsia="宋体" w:cs="宋体"/>
                <w:color w:val="auto"/>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jc w:val="center"/>
              <w:rPr>
                <w:rFonts w:hint="eastAsia" w:ascii="宋体" w:hAnsi="宋体" w:eastAsia="宋体" w:cs="宋体"/>
                <w:color w:val="auto"/>
                <w:sz w:val="24"/>
                <w:szCs w:val="24"/>
              </w:rPr>
            </w:pPr>
          </w:p>
        </w:tc>
        <w:tc>
          <w:tcPr>
            <w:tcW w:w="615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售后服务响应时间</w:t>
            </w:r>
          </w:p>
          <w:p>
            <w:pPr>
              <w:tabs>
                <w:tab w:val="left" w:pos="2061"/>
              </w:tabs>
              <w:spacing w:line="3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根据投标人售后服务响应时间进行打分：</w:t>
            </w:r>
          </w:p>
          <w:p>
            <w:pPr>
              <w:tabs>
                <w:tab w:val="left" w:pos="2061"/>
              </w:tabs>
              <w:spacing w:line="3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响应时间在</w:t>
            </w:r>
            <w:r>
              <w:rPr>
                <w:rFonts w:hint="eastAsia" w:ascii="宋体" w:hAnsi="宋体" w:eastAsia="宋体" w:cs="宋体"/>
                <w:color w:val="auto"/>
                <w:sz w:val="24"/>
                <w:szCs w:val="24"/>
                <w:lang w:val="en-US" w:eastAsia="zh-CN"/>
              </w:rPr>
              <w:t>2小时</w:t>
            </w:r>
            <w:r>
              <w:rPr>
                <w:rFonts w:hint="eastAsia" w:ascii="宋体" w:hAnsi="宋体" w:eastAsia="宋体" w:cs="宋体"/>
                <w:color w:val="auto"/>
                <w:sz w:val="24"/>
                <w:szCs w:val="24"/>
                <w:lang w:val="zh-CN"/>
              </w:rPr>
              <w:t>以内</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p>
            <w:pPr>
              <w:tabs>
                <w:tab w:val="left" w:pos="2061"/>
              </w:tabs>
              <w:spacing w:line="3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响应时间在</w:t>
            </w:r>
            <w:r>
              <w:rPr>
                <w:rFonts w:hint="eastAsia" w:ascii="宋体" w:hAnsi="宋体" w:eastAsia="宋体" w:cs="宋体"/>
                <w:color w:val="auto"/>
                <w:sz w:val="24"/>
                <w:szCs w:val="24"/>
                <w:lang w:val="en-US" w:eastAsia="zh-CN"/>
              </w:rPr>
              <w:t>2.5小时以内</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w:t>
            </w:r>
          </w:p>
          <w:p>
            <w:pPr>
              <w:tabs>
                <w:tab w:val="left" w:pos="2061"/>
              </w:tabs>
              <w:spacing w:line="3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响应时间在</w:t>
            </w:r>
            <w:r>
              <w:rPr>
                <w:rFonts w:hint="eastAsia" w:ascii="宋体" w:hAnsi="宋体" w:eastAsia="宋体" w:cs="宋体"/>
                <w:color w:val="auto"/>
                <w:sz w:val="24"/>
                <w:szCs w:val="24"/>
                <w:lang w:val="en-US" w:eastAsia="zh-CN"/>
              </w:rPr>
              <w:t>3小时以内的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w:t>
            </w:r>
          </w:p>
          <w:p>
            <w:pPr>
              <w:tabs>
                <w:tab w:val="left" w:pos="2061"/>
              </w:tabs>
              <w:spacing w:line="3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响应时间在</w:t>
            </w:r>
            <w:r>
              <w:rPr>
                <w:rFonts w:hint="eastAsia" w:ascii="宋体" w:hAnsi="宋体" w:eastAsia="宋体" w:cs="宋体"/>
                <w:color w:val="auto"/>
                <w:sz w:val="24"/>
                <w:szCs w:val="24"/>
                <w:lang w:val="en-US" w:eastAsia="zh-CN"/>
              </w:rPr>
              <w:t>3小时以上不得分</w:t>
            </w:r>
            <w:r>
              <w:rPr>
                <w:rFonts w:hint="eastAsia" w:ascii="宋体" w:hAnsi="宋体" w:eastAsia="宋体" w:cs="宋体"/>
                <w:color w:val="auto"/>
                <w:sz w:val="24"/>
                <w:szCs w:val="24"/>
                <w:lang w:val="zh-CN"/>
              </w:rPr>
              <w:t>；</w:t>
            </w:r>
          </w:p>
          <w:p>
            <w:pPr>
              <w:autoSpaceDE w:val="0"/>
              <w:autoSpaceDN w:val="0"/>
              <w:adjustRightInd w:val="0"/>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响应时间超过120分钟或未提及此项的不得分。</w:t>
            </w:r>
          </w:p>
          <w:p>
            <w:pPr>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b/>
                <w:bCs/>
                <w:color w:val="auto"/>
                <w:sz w:val="24"/>
                <w:szCs w:val="24"/>
              </w:rPr>
              <w:t>要求提供承诺函，格式自拟，未提供的不得分</w:t>
            </w:r>
          </w:p>
        </w:tc>
        <w:tc>
          <w:tcPr>
            <w:tcW w:w="73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autoSpaceDE w:val="0"/>
              <w:autoSpaceDN w:val="0"/>
              <w:adjustRightInd w:val="0"/>
              <w:spacing w:line="340" w:lineRule="exact"/>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bl>
    <w:p>
      <w:pPr>
        <w:keepNext w:val="0"/>
        <w:keepLines w:val="0"/>
        <w:pageBreakBefore w:val="0"/>
        <w:widowControl/>
        <w:kinsoku/>
        <w:wordWrap/>
        <w:overflowPunct/>
        <w:topLinePunct w:val="0"/>
        <w:bidi w:val="0"/>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注：1）若采购人对供应商提供的证明资料要求为原件的，另行提出。</w:t>
      </w:r>
    </w:p>
    <w:p>
      <w:pPr>
        <w:keepNext w:val="0"/>
        <w:keepLines w:val="0"/>
        <w:pageBreakBefore w:val="0"/>
        <w:widowControl/>
        <w:kinsoku/>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2）供应商编制响应文件（商务技术文件部分）时，建议按此目录（序号和内容）提供评标标准相应的商务技术资料。 </w:t>
      </w:r>
    </w:p>
    <w:p>
      <w:pPr>
        <w:keepNext w:val="0"/>
        <w:keepLines w:val="0"/>
        <w:pageBreakBefore w:val="0"/>
        <w:widowControl/>
        <w:kinsoku/>
        <w:wordWrap/>
        <w:overflowPunct/>
        <w:topLinePunct w:val="0"/>
        <w:bidi w:val="0"/>
        <w:spacing w:line="360" w:lineRule="auto"/>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2、价格分（</w:t>
      </w: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价格权值</w:t>
            </w:r>
          </w:p>
        </w:tc>
        <w:tc>
          <w:tcPr>
            <w:tcW w:w="64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1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价格权值=0.</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p>
        </w:tc>
        <w:tc>
          <w:tcPr>
            <w:tcW w:w="64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最低有效响应价格为评审基准价</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响应报价得分=(评审基准价／响应报价)×价格权值×100 </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（计算得分保留小数点后2位）</w:t>
            </w:r>
          </w:p>
        </w:tc>
      </w:tr>
    </w:tbl>
    <w:p>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1、凡涉及到评分条款中各类证明材料的，如交易文件中要求提供原件的，则提供原件，若不明确要求可提供复印件，但需要原件备查。因响应人提供的相关证明材料的复印件清晰度、真实性等原因造成评标委员会无法辨认或判定，而响应人又不能提供原件进行备查的，可能被扣分或不得分，由此造成的后果，由响应人自行承担。一旦发现弄虚作假的做无效标处理或取消中标资格。</w:t>
      </w:r>
    </w:p>
    <w:p>
      <w:pPr>
        <w:keepNext w:val="0"/>
        <w:keepLines w:val="0"/>
        <w:pageBreakBefore w:val="0"/>
        <w:kinsoku/>
        <w:wordWrap/>
        <w:overflowPunct/>
        <w:topLinePunct w:val="0"/>
        <w:bidi w:val="0"/>
        <w:adjustRightInd/>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2、编制响应文件时，必须编制打分索引，便于评委在交易评审过程中能准确查找到相关评审内容资料。</w:t>
      </w:r>
    </w:p>
    <w:p>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五、开评标程序</w:t>
      </w:r>
      <w:bookmarkEnd w:id="125"/>
      <w:bookmarkEnd w:id="126"/>
      <w:bookmarkEnd w:id="127"/>
    </w:p>
    <w:p>
      <w:pPr>
        <w:snapToGrid w:val="0"/>
        <w:spacing w:line="360" w:lineRule="auto"/>
        <w:ind w:firstLine="420" w:firstLineChars="200"/>
        <w:rPr>
          <w:rFonts w:hint="eastAsia" w:ascii="宋体" w:hAnsi="宋体" w:eastAsia="宋体" w:cs="宋体"/>
          <w:color w:val="auto"/>
          <w:szCs w:val="21"/>
          <w:highlight w:val="none"/>
        </w:rPr>
      </w:pPr>
      <w:bookmarkStart w:id="128" w:name="_Toc31486"/>
      <w:r>
        <w:rPr>
          <w:rFonts w:hint="eastAsia" w:ascii="宋体" w:hAnsi="宋体" w:eastAsia="宋体" w:cs="宋体"/>
          <w:color w:val="auto"/>
          <w:szCs w:val="21"/>
          <w:highlight w:val="none"/>
        </w:rPr>
        <w:t>1.开标第一阶段</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开启投标文件，进入资格审查；</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开启资格审查通过的投标供应商的商务技术文件进入符合性审查、商务技术评审；</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第一阶段开标结束。</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2.开标第二阶段</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pPr>
        <w:autoSpaceDE w:val="0"/>
        <w:autoSpaceDN w:val="0"/>
        <w:adjustRightInd w:val="0"/>
        <w:snapToGrid w:val="0"/>
        <w:spacing w:line="312" w:lineRule="auto"/>
        <w:jc w:val="center"/>
        <w:outlineLvl w:val="0"/>
        <w:rPr>
          <w:rFonts w:hint="eastAsia" w:ascii="宋体" w:hAnsi="宋体" w:eastAsia="宋体" w:cs="宋体"/>
          <w:b/>
          <w:bCs/>
          <w:color w:val="auto"/>
          <w:szCs w:val="21"/>
          <w:highlight w:val="none"/>
          <w:lang w:val="zh-CN"/>
        </w:rPr>
      </w:pPr>
    </w:p>
    <w:bookmarkEnd w:id="128"/>
    <w:p>
      <w:pPr>
        <w:keepNext w:val="0"/>
        <w:keepLines w:val="0"/>
        <w:pageBreakBefore w:val="0"/>
        <w:widowControl w:val="0"/>
        <w:kinsoku/>
        <w:wordWrap/>
        <w:overflowPunct/>
        <w:topLinePunct w:val="0"/>
        <w:autoSpaceDE/>
        <w:autoSpaceDN/>
        <w:bidi w:val="0"/>
        <w:adjustRightInd/>
        <w:snapToGrid w:val="0"/>
        <w:spacing w:before="313" w:beforeLines="100" w:after="157" w:afterLines="50" w:line="312" w:lineRule="auto"/>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312" w:lineRule="auto"/>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Cs w:val="21"/>
          <w:highlight w:val="none"/>
          <w:lang w:val="zh-CN"/>
        </w:rPr>
      </w:pPr>
    </w:p>
    <w:p>
      <w:pPr>
        <w:rPr>
          <w:rFonts w:hint="eastAsia" w:ascii="宋体" w:hAnsi="宋体" w:eastAsia="宋体" w:cs="宋体"/>
          <w:color w:val="auto"/>
          <w:highlight w:val="none"/>
        </w:rPr>
      </w:pPr>
    </w:p>
    <w:sectPr>
      <w:headerReference r:id="rId11" w:type="default"/>
      <w:footerReference r:id="rId12" w:type="default"/>
      <w:pgSz w:w="11906" w:h="16838"/>
      <w:pgMar w:top="1389" w:right="1417" w:bottom="1389" w:left="1134" w:header="851" w:footer="992" w:gutter="283"/>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ヒラギノ角ゴ Pro W3">
    <w:altName w:val="MS Gothic"/>
    <w:panose1 w:val="00000000000000000000"/>
    <w:charset w:val="80"/>
    <w:family w:val="auto"/>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tabs>
        <w:tab w:val="left" w:pos="3776"/>
        <w:tab w:val="center" w:pos="4624"/>
      </w:tabs>
    </w:pPr>
  </w:p>
  <w:p>
    <w:pPr>
      <w:pStyle w:val="15"/>
      <w:tabs>
        <w:tab w:val="left" w:pos="3776"/>
        <w:tab w:val="center" w:pos="4624"/>
      </w:tabs>
    </w:pPr>
    <w:r>
      <mc:AlternateContent>
        <mc:Choice Requires="wps">
          <w:drawing>
            <wp:anchor distT="0" distB="0" distL="114300" distR="114300" simplePos="0" relativeHeight="251660288"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0288;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single" w:color="auto" w:sz="4" w:space="1"/>
        <w:right w:val="none" w:color="auto" w:sz="0" w:space="0"/>
      </w:pBdr>
      <w:ind w:firstLine="360" w:firstLineChars="200"/>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single" w:color="auto" w:sz="4" w:space="1"/>
        <w:right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4"/>
      <w:lvlText w:val="%1."/>
      <w:lvlJc w:val="left"/>
      <w:pPr>
        <w:tabs>
          <w:tab w:val="left" w:pos="780"/>
        </w:tabs>
        <w:ind w:left="780" w:hanging="360"/>
      </w:pPr>
    </w:lvl>
  </w:abstractNum>
  <w:abstractNum w:abstractNumId="1">
    <w:nsid w:val="EEC43B4C"/>
    <w:multiLevelType w:val="singleLevel"/>
    <w:tmpl w:val="EEC43B4C"/>
    <w:lvl w:ilvl="0" w:tentative="0">
      <w:start w:val="1"/>
      <w:numFmt w:val="ideographTraditional"/>
      <w:suff w:val="nothing"/>
      <w:lvlText w:val="%1、"/>
      <w:lvlJc w:val="left"/>
      <w:rPr>
        <w:rFonts w:hint="eastAsia"/>
      </w:rPr>
    </w:lvl>
  </w:abstractNum>
  <w:abstractNum w:abstractNumId="2">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54E1739"/>
    <w:multiLevelType w:val="singleLevel"/>
    <w:tmpl w:val="254E1739"/>
    <w:lvl w:ilvl="0" w:tentative="0">
      <w:start w:val="2"/>
      <w:numFmt w:val="decimal"/>
      <w:suff w:val="nothing"/>
      <w:lvlText w:val="%1、"/>
      <w:lvlJc w:val="left"/>
    </w:lvl>
  </w:abstractNum>
  <w:abstractNum w:abstractNumId="4">
    <w:nsid w:val="62E47282"/>
    <w:multiLevelType w:val="singleLevel"/>
    <w:tmpl w:val="62E47282"/>
    <w:lvl w:ilvl="0" w:tentative="0">
      <w:start w:val="1"/>
      <w:numFmt w:val="decimal"/>
      <w:pStyle w:val="5"/>
      <w:lvlText w:val="%1."/>
      <w:lvlJc w:val="left"/>
      <w:pPr>
        <w:tabs>
          <w:tab w:val="left" w:pos="360"/>
        </w:tabs>
        <w:ind w:left="36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hjZjIzY2I4ZmFkNjZiMjBjNjk0NGNiYmE4YWQifQ=="/>
  </w:docVars>
  <w:rsids>
    <w:rsidRoot w:val="40354AB8"/>
    <w:rsid w:val="0028638D"/>
    <w:rsid w:val="00D5376F"/>
    <w:rsid w:val="02CC19AE"/>
    <w:rsid w:val="03A8567C"/>
    <w:rsid w:val="05B538ED"/>
    <w:rsid w:val="07D47F05"/>
    <w:rsid w:val="092871EB"/>
    <w:rsid w:val="09EC1385"/>
    <w:rsid w:val="0BDE2DBD"/>
    <w:rsid w:val="0DE756B7"/>
    <w:rsid w:val="0F5D7DBE"/>
    <w:rsid w:val="0FF81382"/>
    <w:rsid w:val="10F6166E"/>
    <w:rsid w:val="11792E4C"/>
    <w:rsid w:val="11C851A1"/>
    <w:rsid w:val="11CC653F"/>
    <w:rsid w:val="13077301"/>
    <w:rsid w:val="14526374"/>
    <w:rsid w:val="151F30B3"/>
    <w:rsid w:val="182A45A2"/>
    <w:rsid w:val="184E02A5"/>
    <w:rsid w:val="18617C31"/>
    <w:rsid w:val="193C1FC3"/>
    <w:rsid w:val="19F723CB"/>
    <w:rsid w:val="1B20408F"/>
    <w:rsid w:val="1B9A34FD"/>
    <w:rsid w:val="1CE331AB"/>
    <w:rsid w:val="1E7730EB"/>
    <w:rsid w:val="1EFC582C"/>
    <w:rsid w:val="209F5CD9"/>
    <w:rsid w:val="218454E6"/>
    <w:rsid w:val="224A57B5"/>
    <w:rsid w:val="234F458B"/>
    <w:rsid w:val="23B256DB"/>
    <w:rsid w:val="243D5C2A"/>
    <w:rsid w:val="27885637"/>
    <w:rsid w:val="29956EC1"/>
    <w:rsid w:val="2AB76751"/>
    <w:rsid w:val="2B436AB5"/>
    <w:rsid w:val="2C0B5533"/>
    <w:rsid w:val="2D33663A"/>
    <w:rsid w:val="2F4A4377"/>
    <w:rsid w:val="3FFE55E8"/>
    <w:rsid w:val="40354AB8"/>
    <w:rsid w:val="406944C9"/>
    <w:rsid w:val="407650F9"/>
    <w:rsid w:val="40A25E10"/>
    <w:rsid w:val="42424A17"/>
    <w:rsid w:val="425F0BD9"/>
    <w:rsid w:val="42C9733A"/>
    <w:rsid w:val="44CD14F9"/>
    <w:rsid w:val="46CC1167"/>
    <w:rsid w:val="48350567"/>
    <w:rsid w:val="489C1377"/>
    <w:rsid w:val="4B8B6BE4"/>
    <w:rsid w:val="4BEE092B"/>
    <w:rsid w:val="4CE43B55"/>
    <w:rsid w:val="4DA067A2"/>
    <w:rsid w:val="4F473A3B"/>
    <w:rsid w:val="50B5608A"/>
    <w:rsid w:val="5163240B"/>
    <w:rsid w:val="52255122"/>
    <w:rsid w:val="530C2B59"/>
    <w:rsid w:val="53AD0B38"/>
    <w:rsid w:val="547C67AB"/>
    <w:rsid w:val="552F56E3"/>
    <w:rsid w:val="56FB3506"/>
    <w:rsid w:val="570F646A"/>
    <w:rsid w:val="584F1434"/>
    <w:rsid w:val="5A08392A"/>
    <w:rsid w:val="5D2647D2"/>
    <w:rsid w:val="5EFD0600"/>
    <w:rsid w:val="5F2B24A8"/>
    <w:rsid w:val="601147A8"/>
    <w:rsid w:val="61E305D9"/>
    <w:rsid w:val="62DA2043"/>
    <w:rsid w:val="642A5BE2"/>
    <w:rsid w:val="67126B0B"/>
    <w:rsid w:val="687F3886"/>
    <w:rsid w:val="69E7499B"/>
    <w:rsid w:val="6AE52674"/>
    <w:rsid w:val="6CA6670F"/>
    <w:rsid w:val="6D0F6349"/>
    <w:rsid w:val="6F4B02E0"/>
    <w:rsid w:val="6FA523FE"/>
    <w:rsid w:val="6FAA34AB"/>
    <w:rsid w:val="6FD5111E"/>
    <w:rsid w:val="709918EF"/>
    <w:rsid w:val="72D8301C"/>
    <w:rsid w:val="74223B5E"/>
    <w:rsid w:val="74AA3770"/>
    <w:rsid w:val="753400CD"/>
    <w:rsid w:val="756A0858"/>
    <w:rsid w:val="788E517B"/>
    <w:rsid w:val="7BF460B1"/>
    <w:rsid w:val="7C233D9A"/>
    <w:rsid w:val="7C7F0DD9"/>
    <w:rsid w:val="7D12523E"/>
    <w:rsid w:val="7F2C6B67"/>
    <w:rsid w:val="7FAA1634"/>
    <w:rsid w:val="CE2F7742"/>
    <w:rsid w:val="F77F04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23"/>
      <w:ind w:right="539"/>
      <w:jc w:val="center"/>
      <w:outlineLvl w:val="0"/>
    </w:pPr>
    <w:rPr>
      <w:b/>
      <w:bCs/>
      <w:sz w:val="36"/>
      <w:szCs w:val="36"/>
    </w:rPr>
  </w:style>
  <w:style w:type="paragraph" w:styleId="2">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List Number"/>
    <w:basedOn w:val="1"/>
    <w:next w:val="6"/>
    <w:qFormat/>
    <w:uiPriority w:val="0"/>
    <w:pPr>
      <w:numPr>
        <w:ilvl w:val="0"/>
        <w:numId w:val="2"/>
      </w:numPr>
    </w:pPr>
  </w:style>
  <w:style w:type="paragraph" w:styleId="6">
    <w:name w:val="Balloon Text"/>
    <w:basedOn w:val="1"/>
    <w:qFormat/>
    <w:uiPriority w:val="0"/>
    <w:rPr>
      <w:sz w:val="18"/>
      <w:szCs w:val="18"/>
    </w:rPr>
  </w:style>
  <w:style w:type="paragraph" w:styleId="7">
    <w:name w:val="Normal Indent"/>
    <w:basedOn w:val="1"/>
    <w:next w:val="8"/>
    <w:qFormat/>
    <w:uiPriority w:val="0"/>
    <w:pPr>
      <w:ind w:firstLine="420" w:firstLineChars="200"/>
    </w:pPr>
  </w:style>
  <w:style w:type="paragraph" w:styleId="8">
    <w:name w:val="Body Text Indent"/>
    <w:basedOn w:val="1"/>
    <w:next w:val="1"/>
    <w:qFormat/>
    <w:uiPriority w:val="0"/>
    <w:pPr>
      <w:spacing w:line="480" w:lineRule="atLeast"/>
      <w:ind w:firstLine="570"/>
    </w:pPr>
    <w:rPr>
      <w:rFonts w:ascii="黑体" w:eastAsia="黑体"/>
    </w:rPr>
  </w:style>
  <w:style w:type="paragraph" w:styleId="9">
    <w:name w:val="annotation text"/>
    <w:basedOn w:val="1"/>
    <w:unhideWhenUsed/>
    <w:qFormat/>
    <w:uiPriority w:val="0"/>
    <w:pPr>
      <w:jc w:val="left"/>
    </w:pPr>
    <w:rPr>
      <w:rFonts w:ascii="仿宋_GB2312" w:eastAsia="仿宋_GB2312"/>
      <w:sz w:val="28"/>
      <w:szCs w:val="28"/>
    </w:rPr>
  </w:style>
  <w:style w:type="paragraph" w:styleId="10">
    <w:name w:val="Body Text"/>
    <w:basedOn w:val="1"/>
    <w:next w:val="11"/>
    <w:qFormat/>
    <w:uiPriority w:val="0"/>
    <w:rPr>
      <w:rFonts w:eastAsia="黑体"/>
      <w:b/>
      <w:bCs/>
      <w:spacing w:val="20"/>
      <w:kern w:val="52"/>
      <w:sz w:val="56"/>
      <w:szCs w:val="24"/>
    </w:rPr>
  </w:style>
  <w:style w:type="paragraph" w:styleId="11">
    <w:name w:val="Body Text First Indent"/>
    <w:basedOn w:val="10"/>
    <w:next w:val="1"/>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4"/>
    <w:qFormat/>
    <w:uiPriority w:val="0"/>
    <w:rPr>
      <w:rFonts w:ascii="宋体" w:hAnsi="Courier New"/>
    </w:rPr>
  </w:style>
  <w:style w:type="paragraph" w:styleId="14">
    <w:name w:val="Date"/>
    <w:basedOn w:val="1"/>
    <w:next w:val="1"/>
    <w:qFormat/>
    <w:uiPriority w:val="0"/>
    <w:pPr>
      <w:ind w:left="100" w:leftChars="2500"/>
    </w:pPr>
    <w:rPr>
      <w:sz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pPr>
    <w:rPr>
      <w:rFonts w:eastAsia="FangSong_GB2312"/>
      <w:sz w:val="32"/>
    </w:rPr>
  </w:style>
  <w:style w:type="paragraph" w:styleId="18">
    <w:name w:val="toc 4"/>
    <w:basedOn w:val="1"/>
    <w:next w:val="1"/>
    <w:unhideWhenUsed/>
    <w:qFormat/>
    <w:uiPriority w:val="39"/>
    <w:pPr>
      <w:ind w:left="1260" w:leftChars="600"/>
    </w:pPr>
  </w:style>
  <w:style w:type="paragraph" w:styleId="19">
    <w:name w:val="footnote text"/>
    <w:basedOn w:val="1"/>
    <w:qFormat/>
    <w:uiPriority w:val="0"/>
    <w:pPr>
      <w:snapToGrid w:val="0"/>
      <w:jc w:val="left"/>
    </w:pPr>
    <w:rPr>
      <w:sz w:val="18"/>
      <w:szCs w:val="18"/>
    </w:rPr>
  </w:style>
  <w:style w:type="paragraph" w:styleId="20">
    <w:name w:val="toc 6"/>
    <w:basedOn w:val="1"/>
    <w:next w:val="1"/>
    <w:qFormat/>
    <w:uiPriority w:val="0"/>
    <w:pPr>
      <w:ind w:left="2100" w:leftChars="1000"/>
    </w:pPr>
  </w:style>
  <w:style w:type="paragraph" w:styleId="21">
    <w:name w:val="toc 2"/>
    <w:basedOn w:val="1"/>
    <w:next w:val="1"/>
    <w:qFormat/>
    <w:uiPriority w:val="39"/>
    <w:pPr>
      <w:ind w:left="210"/>
      <w:jc w:val="left"/>
    </w:pPr>
    <w:rPr>
      <w:rFonts w:ascii="FangSong_GB2312" w:eastAsia="FangSong_GB2312"/>
      <w:smallCaps/>
      <w:sz w:val="20"/>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24">
    <w:name w:val="Body Text First Indent 2"/>
    <w:basedOn w:val="8"/>
    <w:next w:val="25"/>
    <w:qFormat/>
    <w:uiPriority w:val="0"/>
    <w:pPr>
      <w:spacing w:after="120" w:line="240" w:lineRule="auto"/>
      <w:ind w:left="420" w:leftChars="200" w:firstLine="420" w:firstLineChars="200"/>
    </w:pPr>
    <w:rPr>
      <w:rFonts w:ascii="Times New Roman"/>
      <w:sz w:val="21"/>
    </w:rPr>
  </w:style>
  <w:style w:type="paragraph" w:customStyle="1" w:styleId="25">
    <w:name w:val="文章正文"/>
    <w:basedOn w:val="1"/>
    <w:next w:val="26"/>
    <w:qFormat/>
    <w:uiPriority w:val="0"/>
    <w:pPr>
      <w:spacing w:line="360" w:lineRule="auto"/>
      <w:ind w:firstLine="200" w:firstLineChars="200"/>
    </w:pPr>
    <w:rPr>
      <w:rFonts w:ascii="Times New Roman" w:hAnsi="Times New Roman" w:eastAsia="宋体" w:cs="Times New Roman"/>
      <w:snapToGrid/>
      <w:sz w:val="24"/>
      <w:szCs w:val="24"/>
    </w:rPr>
  </w:style>
  <w:style w:type="paragraph" w:customStyle="1" w:styleId="26">
    <w:name w:val="公式样式 变量"/>
    <w:qFormat/>
    <w:uiPriority w:val="0"/>
    <w:rPr>
      <w:rFonts w:ascii="Times New Roman" w:hAnsi="Times New Roman" w:eastAsia="宋体" w:cs="Times New Roman"/>
      <w:i/>
      <w:lang w:val="en-US" w:eastAsia="zh-CN" w:bidi="ar-SA"/>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customStyle="1" w:styleId="32">
    <w:name w:val="标题 2 Char"/>
    <w:basedOn w:val="29"/>
    <w:link w:val="2"/>
    <w:qFormat/>
    <w:locked/>
    <w:uiPriority w:val="0"/>
    <w:rPr>
      <w:rFonts w:ascii="Arial" w:hAnsi="Arial" w:eastAsia="黑体"/>
      <w:b/>
      <w:bCs/>
      <w:sz w:val="32"/>
      <w:szCs w:val="32"/>
    </w:rPr>
  </w:style>
  <w:style w:type="paragraph" w:styleId="33">
    <w:name w:val="List Paragraph"/>
    <w:basedOn w:val="1"/>
    <w:qFormat/>
    <w:uiPriority w:val="99"/>
    <w:pPr>
      <w:ind w:firstLine="420" w:firstLineChars="200"/>
    </w:pPr>
    <w:rPr>
      <w:rFonts w:ascii="Calibri" w:hAnsi="Calibri" w:eastAsia="仿宋_GB2312"/>
      <w:sz w:val="28"/>
      <w:szCs w:val="22"/>
    </w:rPr>
  </w:style>
  <w:style w:type="paragraph" w:customStyle="1" w:styleId="34">
    <w:name w:val="Default"/>
    <w:next w:val="1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5">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6">
    <w:name w:val="[Normal]"/>
    <w:qFormat/>
    <w:locked/>
    <w:uiPriority w:val="0"/>
    <w:rPr>
      <w:rFonts w:ascii="宋体" w:hAnsi="宋体" w:eastAsia="宋体" w:cs="Times New Roman"/>
      <w:sz w:val="24"/>
      <w:szCs w:val="22"/>
      <w:lang w:val="zh-CN" w:eastAsia="zh-CN" w:bidi="ar-SA"/>
    </w:rPr>
  </w:style>
  <w:style w:type="paragraph" w:customStyle="1" w:styleId="37">
    <w:name w:val="正文缩进2格"/>
    <w:basedOn w:val="1"/>
    <w:qFormat/>
    <w:locked/>
    <w:uiPriority w:val="0"/>
    <w:pPr>
      <w:spacing w:line="600" w:lineRule="exact"/>
      <w:ind w:firstLine="639" w:firstLineChars="206"/>
    </w:pPr>
    <w:rPr>
      <w:rFonts w:ascii="FangSong_GB2312" w:hAnsi="宋体" w:eastAsia="FangSong_GB2312"/>
      <w:sz w:val="31"/>
      <w:szCs w:val="28"/>
    </w:rPr>
  </w:style>
  <w:style w:type="paragraph" w:customStyle="1" w:styleId="38">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1"/>
    <w:basedOn w:val="2"/>
    <w:qFormat/>
    <w:locked/>
    <w:uiPriority w:val="0"/>
    <w:pPr>
      <w:spacing w:line="415" w:lineRule="auto"/>
      <w:jc w:val="center"/>
    </w:pPr>
    <w:rPr>
      <w:rFonts w:ascii="宋体" w:hAnsi="宋体"/>
      <w:sz w:val="36"/>
      <w:szCs w:val="36"/>
    </w:rPr>
  </w:style>
  <w:style w:type="paragraph" w:customStyle="1" w:styleId="40">
    <w:name w:val="Style1"/>
    <w:basedOn w:val="1"/>
    <w:qFormat/>
    <w:locked/>
    <w:uiPriority w:val="0"/>
    <w:pPr>
      <w:widowControl/>
    </w:pPr>
    <w:rPr>
      <w:spacing w:val="-3"/>
      <w:kern w:val="0"/>
      <w:sz w:val="24"/>
      <w:lang w:val="en-AU" w:eastAsia="en-US"/>
    </w:rPr>
  </w:style>
  <w:style w:type="character" w:customStyle="1" w:styleId="41">
    <w:name w:val="font71"/>
    <w:basedOn w:val="29"/>
    <w:qFormat/>
    <w:uiPriority w:val="0"/>
    <w:rPr>
      <w:rFonts w:ascii="微软雅黑" w:hAnsi="微软雅黑" w:eastAsia="微软雅黑" w:cs="微软雅黑"/>
      <w:color w:val="auto"/>
      <w:sz w:val="22"/>
      <w:szCs w:val="22"/>
      <w:u w:val="none"/>
    </w:rPr>
  </w:style>
  <w:style w:type="paragraph" w:customStyle="1" w:styleId="42">
    <w:name w:val="列出段落1"/>
    <w:basedOn w:val="1"/>
    <w:qFormat/>
    <w:uiPriority w:val="34"/>
    <w:pPr>
      <w:spacing w:line="360" w:lineRule="auto"/>
      <w:ind w:firstLine="420" w:firstLineChars="200"/>
      <w:jc w:val="left"/>
    </w:pPr>
    <w:rPr>
      <w:rFonts w:eastAsia="微软雅黑"/>
      <w:sz w:val="24"/>
      <w:szCs w:val="21"/>
    </w:rPr>
  </w:style>
  <w:style w:type="paragraph" w:customStyle="1" w:styleId="43">
    <w:name w:val="BodyText1I"/>
    <w:basedOn w:val="1"/>
    <w:qFormat/>
    <w:uiPriority w:val="0"/>
    <w:pPr>
      <w:ind w:firstLine="420" w:firstLineChars="100"/>
      <w:textAlignment w:val="baseline"/>
    </w:pPr>
    <w:rPr>
      <w:rFonts w:ascii="宋体" w:hAnsi="宋体"/>
      <w:szCs w:val="21"/>
      <w:lang w:val="zh-CN" w:bidi="zh-CN"/>
    </w:rPr>
  </w:style>
  <w:style w:type="paragraph" w:customStyle="1" w:styleId="44">
    <w:name w:val="表格文字"/>
    <w:basedOn w:val="45"/>
    <w:next w:val="10"/>
    <w:qFormat/>
    <w:uiPriority w:val="0"/>
    <w:pPr>
      <w:adjustRightInd/>
      <w:ind w:firstLine="200" w:firstLineChars="200"/>
    </w:pPr>
    <w:rPr>
      <w:rFonts w:ascii="Arial" w:hAnsi="Arial"/>
      <w:spacing w:val="-5"/>
      <w:kern w:val="0"/>
      <w:sz w:val="24"/>
      <w:szCs w:val="20"/>
    </w:rPr>
  </w:style>
  <w:style w:type="paragraph" w:customStyle="1" w:styleId="45">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46">
    <w:name w:val="正文段"/>
    <w:basedOn w:val="1"/>
    <w:qFormat/>
    <w:uiPriority w:val="0"/>
    <w:pPr>
      <w:widowControl/>
      <w:snapToGrid w:val="0"/>
      <w:spacing w:after="156" w:afterLines="50"/>
      <w:ind w:firstLine="200" w:firstLineChars="200"/>
    </w:pPr>
    <w:rPr>
      <w:kern w:val="0"/>
      <w:sz w:val="24"/>
      <w:szCs w:val="20"/>
    </w:rPr>
  </w:style>
  <w:style w:type="paragraph" w:customStyle="1" w:styleId="4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8">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rPr>
  </w:style>
  <w:style w:type="paragraph" w:customStyle="1" w:styleId="49">
    <w:name w:val="正文 A"/>
    <w:qFormat/>
    <w:uiPriority w:val="99"/>
    <w:pPr>
      <w:spacing w:after="160" w:line="259" w:lineRule="auto"/>
    </w:pPr>
    <w:rPr>
      <w:rFonts w:ascii="Times New Roman" w:hAnsi="Times New Roman" w:eastAsia="ヒラギノ角ゴ Pro W3" w:cs="Times New Roman"/>
      <w:color w:val="000000"/>
      <w:sz w:val="24"/>
      <w:lang w:val="en-US" w:eastAsia="zh-CN" w:bidi="ar-SA"/>
    </w:rPr>
  </w:style>
  <w:style w:type="paragraph" w:styleId="50">
    <w:name w:val="No Spacing"/>
    <w:basedOn w:val="1"/>
    <w:qFormat/>
    <w:uiPriority w:val="1"/>
    <w:rPr>
      <w:szCs w:val="22"/>
    </w:rPr>
  </w:style>
  <w:style w:type="paragraph" w:customStyle="1" w:styleId="51">
    <w:name w:val="List Paragraph1"/>
    <w:basedOn w:val="1"/>
    <w:qFormat/>
    <w:uiPriority w:val="99"/>
    <w:pPr>
      <w:ind w:firstLine="420" w:firstLineChars="200"/>
    </w:pPr>
    <w:rPr>
      <w:rFonts w:ascii="Calibri" w:hAnsi="Calibri"/>
      <w:szCs w:val="22"/>
    </w:rPr>
  </w:style>
  <w:style w:type="paragraph" w:customStyle="1" w:styleId="52">
    <w:name w:val="Body Text First Indent 21"/>
    <w:basedOn w:val="53"/>
    <w:qFormat/>
    <w:uiPriority w:val="0"/>
    <w:pPr>
      <w:spacing w:after="120" w:line="240" w:lineRule="auto"/>
      <w:ind w:left="420" w:leftChars="200" w:firstLine="420" w:firstLineChars="200"/>
    </w:pPr>
    <w:rPr>
      <w:rFonts w:ascii="等线" w:hAnsi="等线" w:eastAsia="等线"/>
      <w:sz w:val="21"/>
    </w:rPr>
  </w:style>
  <w:style w:type="paragraph" w:customStyle="1" w:styleId="53">
    <w:name w:val="Body Text Indent1"/>
    <w:basedOn w:val="1"/>
    <w:qFormat/>
    <w:uiPriority w:val="0"/>
    <w:pPr>
      <w:spacing w:line="360" w:lineRule="auto"/>
      <w:ind w:firstLine="435"/>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24154</Words>
  <Characters>25415</Characters>
  <Lines>0</Lines>
  <Paragraphs>0</Paragraphs>
  <TotalTime>22</TotalTime>
  <ScaleCrop>false</ScaleCrop>
  <LinksUpToDate>false</LinksUpToDate>
  <CharactersWithSpaces>27189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2022-04-04T16:45:00Z</dcterms:created>
  <dc:creator>DELL</dc:creator>
  <cp:lastModifiedBy>Administrator</cp:lastModifiedBy>
  <cp:lastPrinted>2024-05-14T01:46:00Z</cp:lastPrinted>
  <dcterms:modified xsi:type="dcterms:W3CDTF">2024-07-17T16:05:15Z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4E11D29DDB104BC59C6F8B9C8029DAC5</vt:lpwstr>
  </property>
</Properties>
</file>