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2D009">
      <w:pPr>
        <w:pStyle w:val="53"/>
        <w:ind w:firstLine="0" w:firstLineChars="0"/>
        <w:rPr>
          <w:rFonts w:cs="宋体"/>
          <w:b/>
          <w:bCs/>
          <w:spacing w:val="-20"/>
          <w:sz w:val="44"/>
          <w:szCs w:val="44"/>
        </w:rPr>
      </w:pPr>
    </w:p>
    <w:p w14:paraId="0DFB5586">
      <w:pPr>
        <w:jc w:val="center"/>
        <w:rPr>
          <w:rFonts w:hint="eastAsia" w:ascii="宋体" w:hAnsi="宋体" w:eastAsia="宋体" w:cs="宋体"/>
          <w:b/>
          <w:bCs/>
          <w:spacing w:val="40"/>
          <w:sz w:val="36"/>
          <w:szCs w:val="36"/>
        </w:rPr>
      </w:pPr>
      <w:r>
        <w:rPr>
          <w:rFonts w:hint="eastAsia" w:ascii="宋体" w:hAnsi="宋体" w:eastAsia="宋体" w:cs="宋体"/>
          <w:b/>
          <w:bCs/>
          <w:spacing w:val="40"/>
          <w:sz w:val="36"/>
          <w:szCs w:val="36"/>
        </w:rPr>
        <w:t>长兴技师学院2025年保安服务采购项目</w:t>
      </w:r>
    </w:p>
    <w:p w14:paraId="08DDB3BB">
      <w:pPr>
        <w:pStyle w:val="15"/>
      </w:pPr>
    </w:p>
    <w:p w14:paraId="3D5B179F">
      <w:pPr>
        <w:pStyle w:val="53"/>
        <w:ind w:firstLine="210"/>
        <w:rPr>
          <w:rFonts w:cs="宋体"/>
        </w:rPr>
      </w:pPr>
    </w:p>
    <w:p w14:paraId="64E18029">
      <w:pPr>
        <w:rPr>
          <w:rFonts w:cs="宋体"/>
        </w:rPr>
      </w:pPr>
    </w:p>
    <w:p w14:paraId="043E6DE7">
      <w:pPr>
        <w:pStyle w:val="53"/>
        <w:ind w:firstLine="210"/>
        <w:rPr>
          <w:rFonts w:cs="宋体"/>
        </w:rPr>
      </w:pPr>
    </w:p>
    <w:p w14:paraId="3967C736"/>
    <w:p w14:paraId="3E8D43C4">
      <w:pPr>
        <w:pStyle w:val="53"/>
        <w:ind w:firstLine="210"/>
        <w:rPr>
          <w:rFonts w:cs="宋体"/>
        </w:rPr>
      </w:pPr>
    </w:p>
    <w:p w14:paraId="78A42B8B">
      <w:pPr>
        <w:pStyle w:val="53"/>
        <w:ind w:firstLine="210"/>
        <w:rPr>
          <w:rFonts w:cs="宋体"/>
        </w:rPr>
      </w:pPr>
    </w:p>
    <w:p w14:paraId="63D0C1C2">
      <w:pPr>
        <w:spacing w:before="120" w:after="120" w:line="460" w:lineRule="exact"/>
        <w:jc w:val="center"/>
        <w:rPr>
          <w:rFonts w:ascii="宋体" w:hAnsi="宋体" w:eastAsia="宋体" w:cs="宋体"/>
          <w:b/>
          <w:bCs/>
          <w:sz w:val="24"/>
        </w:rPr>
      </w:pPr>
    </w:p>
    <w:p w14:paraId="3A012B30">
      <w:pPr>
        <w:pStyle w:val="53"/>
      </w:pPr>
    </w:p>
    <w:p w14:paraId="2FAF3839">
      <w:pPr>
        <w:pStyle w:val="21"/>
        <w:jc w:val="center"/>
        <w:rPr>
          <w:rFonts w:cs="宋体"/>
          <w:b/>
          <w:bCs/>
          <w:sz w:val="96"/>
          <w:szCs w:val="96"/>
          <w:lang w:val="zh-CN"/>
        </w:rPr>
      </w:pPr>
      <w:r>
        <w:rPr>
          <w:rFonts w:hint="eastAsia" w:ascii="黑体" w:hAnsi="黑体" w:eastAsia="黑体" w:cs="黑体"/>
          <w:b/>
          <w:bCs/>
          <w:sz w:val="96"/>
          <w:szCs w:val="96"/>
        </w:rPr>
        <w:t>竞争性磋商文件</w:t>
      </w:r>
      <w:r>
        <w:rPr>
          <w:rFonts w:hint="eastAsia" w:cs="宋体"/>
          <w:b/>
          <w:bCs/>
          <w:sz w:val="96"/>
          <w:szCs w:val="96"/>
          <w:lang w:val="zh-CN"/>
        </w:rPr>
        <w:cr/>
      </w:r>
    </w:p>
    <w:p w14:paraId="6588AB13">
      <w:pPr>
        <w:rPr>
          <w:lang w:val="zh-CN"/>
        </w:rPr>
      </w:pPr>
    </w:p>
    <w:p w14:paraId="3051700D">
      <w:pPr>
        <w:autoSpaceDE w:val="0"/>
        <w:autoSpaceDN w:val="0"/>
        <w:spacing w:before="120" w:after="120"/>
        <w:rPr>
          <w:rFonts w:ascii="宋体" w:hAnsi="宋体" w:eastAsia="宋体" w:cs="宋体"/>
          <w:sz w:val="30"/>
          <w:lang w:val="zh-CN"/>
        </w:rPr>
      </w:pPr>
    </w:p>
    <w:p w14:paraId="3D19B8BB">
      <w:pPr>
        <w:pStyle w:val="53"/>
        <w:ind w:firstLine="210"/>
        <w:rPr>
          <w:lang w:val="zh-CN"/>
        </w:rPr>
      </w:pPr>
    </w:p>
    <w:p w14:paraId="78D5B29F">
      <w:pPr>
        <w:pStyle w:val="3"/>
        <w:rPr>
          <w:lang w:val="zh-CN"/>
        </w:rPr>
      </w:pPr>
    </w:p>
    <w:p w14:paraId="7F150E17">
      <w:pPr>
        <w:rPr>
          <w:lang w:val="zh-CN"/>
        </w:rPr>
      </w:pPr>
    </w:p>
    <w:p w14:paraId="6D1B1D8D">
      <w:pPr>
        <w:widowControl/>
        <w:autoSpaceDE w:val="0"/>
        <w:autoSpaceDN w:val="0"/>
        <w:spacing w:before="120" w:after="120"/>
        <w:rPr>
          <w:rFonts w:hint="default" w:ascii="宋体" w:hAnsi="宋体" w:eastAsia="宋体" w:cs="宋体"/>
          <w:b/>
          <w:bCs/>
          <w:sz w:val="30"/>
          <w:szCs w:val="30"/>
          <w:lang w:val="en-US" w:eastAsia="zh-CN"/>
        </w:rPr>
      </w:pPr>
      <w:r>
        <w:rPr>
          <w:rFonts w:hint="eastAsia" w:ascii="宋体" w:hAnsi="宋体" w:eastAsia="宋体" w:cs="宋体"/>
          <w:b/>
          <w:bCs/>
          <w:sz w:val="30"/>
          <w:szCs w:val="30"/>
          <w:lang w:val="zh-CN"/>
        </w:rPr>
        <w:t>项目编号：ZJXWCX-2024-</w:t>
      </w:r>
      <w:r>
        <w:rPr>
          <w:rFonts w:hint="eastAsia" w:ascii="宋体" w:hAnsi="宋体" w:eastAsia="宋体" w:cs="宋体"/>
          <w:b/>
          <w:bCs/>
          <w:sz w:val="30"/>
          <w:szCs w:val="30"/>
          <w:lang w:val="en-US" w:eastAsia="zh-CN"/>
        </w:rPr>
        <w:t>063</w:t>
      </w:r>
    </w:p>
    <w:p w14:paraId="590B896E">
      <w:pPr>
        <w:spacing w:line="360" w:lineRule="auto"/>
        <w:ind w:right="246" w:rightChars="117"/>
        <w:rPr>
          <w:rFonts w:ascii="宋体" w:hAnsi="宋体" w:eastAsia="宋体" w:cs="宋体"/>
          <w:b/>
          <w:bCs/>
          <w:spacing w:val="0"/>
          <w:sz w:val="28"/>
          <w:szCs w:val="28"/>
          <w:lang w:val="zh-CN"/>
        </w:rPr>
      </w:pPr>
      <w:r>
        <w:rPr>
          <w:rFonts w:hint="eastAsia" w:ascii="宋体" w:hAnsi="宋体" w:eastAsia="宋体" w:cs="宋体"/>
          <w:b/>
          <w:bCs/>
          <w:sz w:val="30"/>
          <w:szCs w:val="30"/>
          <w:lang w:val="zh-CN"/>
        </w:rPr>
        <w:t>项目名称：</w:t>
      </w:r>
      <w:r>
        <w:rPr>
          <w:rFonts w:hint="eastAsia" w:ascii="宋体" w:hAnsi="宋体" w:eastAsia="宋体" w:cs="宋体"/>
          <w:b/>
          <w:bCs/>
          <w:spacing w:val="0"/>
          <w:sz w:val="28"/>
          <w:szCs w:val="28"/>
          <w:lang w:val="zh-CN"/>
        </w:rPr>
        <w:t>长兴技师学院2025年保安服务采购项目</w:t>
      </w:r>
    </w:p>
    <w:p w14:paraId="260776D2">
      <w:pPr>
        <w:spacing w:line="360" w:lineRule="auto"/>
        <w:ind w:right="246" w:rightChars="117"/>
        <w:rPr>
          <w:rFonts w:ascii="宋体" w:hAnsi="宋体" w:eastAsia="宋体" w:cs="宋体"/>
          <w:b/>
          <w:bCs/>
          <w:sz w:val="30"/>
          <w:szCs w:val="30"/>
          <w:lang w:val="zh-CN"/>
        </w:rPr>
      </w:pP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：长兴技师学院</w:t>
      </w:r>
    </w:p>
    <w:p w14:paraId="7FF632B8">
      <w:pPr>
        <w:spacing w:line="360" w:lineRule="auto"/>
        <w:ind w:right="246" w:rightChars="117"/>
        <w:rPr>
          <w:rFonts w:eastAsia="宋体" w:cs="宋体"/>
          <w:b/>
          <w:bCs/>
          <w:snapToGrid w:val="0"/>
          <w:kern w:val="0"/>
          <w:sz w:val="30"/>
          <w:szCs w:val="30"/>
        </w:rPr>
      </w:pPr>
      <w:r>
        <w:rPr>
          <w:rFonts w:hint="eastAsia" w:ascii="宋体" w:hAnsi="宋体" w:eastAsia="宋体" w:cs="宋体"/>
          <w:b/>
          <w:bCs/>
          <w:snapToGrid w:val="0"/>
          <w:kern w:val="0"/>
          <w:sz w:val="30"/>
          <w:szCs w:val="30"/>
        </w:rPr>
        <w:t xml:space="preserve">采购代理机构：浙江信望工程咨询有限公司  </w:t>
      </w:r>
    </w:p>
    <w:p w14:paraId="3C697ED1">
      <w:pPr>
        <w:autoSpaceDE w:val="0"/>
        <w:autoSpaceDN w:val="0"/>
        <w:spacing w:before="120"/>
        <w:rPr>
          <w:rFonts w:ascii="宋体" w:hAnsi="宋体" w:eastAsia="宋体" w:cs="宋体"/>
          <w:b/>
          <w:snapToGrid w:val="0"/>
          <w:kern w:val="0"/>
          <w:sz w:val="30"/>
          <w:szCs w:val="30"/>
        </w:rPr>
      </w:pPr>
      <w:r>
        <w:rPr>
          <w:rFonts w:hint="eastAsia" w:ascii="宋体" w:hAnsi="宋体" w:eastAsia="宋体" w:cs="宋体"/>
          <w:b/>
          <w:snapToGrid w:val="0"/>
          <w:kern w:val="0"/>
          <w:sz w:val="30"/>
          <w:szCs w:val="30"/>
        </w:rPr>
        <w:t>日   期：二○二四年十二月</w:t>
      </w:r>
    </w:p>
    <w:p w14:paraId="1A748D06">
      <w:pPr>
        <w:autoSpaceDE w:val="0"/>
        <w:autoSpaceDN w:val="0"/>
        <w:spacing w:before="120"/>
        <w:jc w:val="center"/>
        <w:rPr>
          <w:rFonts w:ascii="宋体" w:hAnsi="宋体" w:eastAsia="宋体" w:cs="宋体"/>
          <w:b/>
          <w:snapToGrid w:val="0"/>
          <w:spacing w:val="20"/>
          <w:kern w:val="0"/>
          <w:sz w:val="30"/>
          <w:szCs w:val="30"/>
        </w:rPr>
      </w:pPr>
    </w:p>
    <w:p w14:paraId="0D1893E4">
      <w:pPr>
        <w:autoSpaceDE w:val="0"/>
        <w:autoSpaceDN w:val="0"/>
        <w:spacing w:before="120" w:after="120" w:line="400" w:lineRule="exact"/>
        <w:jc w:val="center"/>
        <w:rPr>
          <w:rFonts w:ascii="宋体" w:hAnsi="宋体" w:eastAsia="宋体" w:cs="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14:paraId="38E6EE46">
      <w:pPr>
        <w:autoSpaceDE w:val="0"/>
        <w:autoSpaceDN w:val="0"/>
        <w:spacing w:before="120" w:after="120" w:line="400" w:lineRule="exact"/>
        <w:jc w:val="center"/>
        <w:rPr>
          <w:rFonts w:ascii="宋体" w:hAnsi="宋体" w:eastAsia="宋体" w:cs="宋体"/>
          <w:b/>
          <w:bCs/>
          <w:sz w:val="36"/>
          <w:szCs w:val="36"/>
        </w:rPr>
      </w:pPr>
    </w:p>
    <w:p w14:paraId="3630ABB7">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14:paraId="3FCDC2BE">
      <w:pPr>
        <w:autoSpaceDE w:val="0"/>
        <w:autoSpaceDN w:val="0"/>
        <w:spacing w:before="120" w:after="120" w:line="400" w:lineRule="exact"/>
        <w:jc w:val="center"/>
        <w:rPr>
          <w:rFonts w:ascii="宋体" w:hAnsi="宋体" w:eastAsia="宋体" w:cs="宋体"/>
          <w:sz w:val="32"/>
          <w:szCs w:val="32"/>
          <w:lang w:val="zh-CN"/>
        </w:rPr>
      </w:pPr>
    </w:p>
    <w:sdt>
      <w:sdtPr>
        <w:rPr>
          <w:rFonts w:ascii="宋体" w:hAnsi="宋体" w:eastAsia="宋体"/>
        </w:rPr>
        <w:id w:val="147476200"/>
        <w:docPartObj>
          <w:docPartGallery w:val="Table of Contents"/>
          <w:docPartUnique/>
        </w:docPartObj>
      </w:sdtPr>
      <w:sdtEndPr>
        <w:rPr>
          <w:rFonts w:ascii="宋体" w:hAnsi="宋体" w:eastAsia="宋体" w:cs="宋体"/>
          <w:b/>
          <w:bCs/>
          <w:sz w:val="24"/>
        </w:rPr>
      </w:sdtEndPr>
      <w:sdtContent>
        <w:p w14:paraId="652EC744">
          <w:pPr>
            <w:jc w:val="center"/>
          </w:pPr>
        </w:p>
        <w:p w14:paraId="75E39460">
          <w:pPr>
            <w:pStyle w:val="190"/>
            <w:tabs>
              <w:tab w:val="right" w:leader="dot" w:pos="9746"/>
            </w:tabs>
            <w:spacing w:line="480" w:lineRule="auto"/>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"_Toc15113" </w:instrText>
          </w:r>
          <w:r>
            <w:fldChar w:fldCharType="separate"/>
          </w:r>
          <w:r>
            <w:rPr>
              <w:rFonts w:hint="eastAsia" w:ascii="宋体" w:hAnsi="宋体" w:cs="宋体"/>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_Toc15113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14:paraId="084DCDA8">
          <w:pPr>
            <w:pStyle w:val="190"/>
            <w:tabs>
              <w:tab w:val="right" w:leader="dot" w:pos="9746"/>
            </w:tabs>
            <w:spacing w:line="480" w:lineRule="auto"/>
            <w:rPr>
              <w:b/>
              <w:bCs/>
              <w:sz w:val="24"/>
              <w:szCs w:val="24"/>
            </w:rPr>
          </w:pPr>
          <w:r>
            <w:fldChar w:fldCharType="begin"/>
          </w:r>
          <w:r>
            <w:instrText xml:space="preserve"> HYPERLINK \l "_Toc24788" </w:instrText>
          </w:r>
          <w:r>
            <w:fldChar w:fldCharType="separate"/>
          </w:r>
          <w:r>
            <w:rPr>
              <w:rFonts w:hint="eastAsia" w:ascii="宋体" w:hAnsi="宋体" w:cs="宋体"/>
              <w:b/>
              <w:bCs/>
              <w:sz w:val="24"/>
              <w:szCs w:val="24"/>
            </w:rPr>
            <w:t>第二章  磋商需求</w:t>
          </w:r>
          <w:r>
            <w:rPr>
              <w:b/>
              <w:bCs/>
              <w:sz w:val="24"/>
              <w:szCs w:val="24"/>
            </w:rPr>
            <w:tab/>
          </w:r>
          <w:r>
            <w:rPr>
              <w:b/>
              <w:bCs/>
              <w:sz w:val="24"/>
              <w:szCs w:val="24"/>
            </w:rPr>
            <w:fldChar w:fldCharType="begin"/>
          </w:r>
          <w:r>
            <w:rPr>
              <w:b/>
              <w:bCs/>
              <w:sz w:val="24"/>
              <w:szCs w:val="24"/>
            </w:rPr>
            <w:instrText xml:space="preserve"> PAGEREF _Toc24788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14:paraId="4236B53C">
          <w:pPr>
            <w:pStyle w:val="190"/>
            <w:tabs>
              <w:tab w:val="right" w:leader="dot" w:pos="9746"/>
            </w:tabs>
            <w:spacing w:line="480" w:lineRule="auto"/>
            <w:rPr>
              <w:rFonts w:hint="eastAsia" w:eastAsia="宋体"/>
              <w:b/>
              <w:bCs/>
              <w:sz w:val="24"/>
              <w:szCs w:val="24"/>
              <w:lang w:eastAsia="zh-CN"/>
            </w:rPr>
          </w:pPr>
          <w:r>
            <w:fldChar w:fldCharType="begin"/>
          </w:r>
          <w:r>
            <w:instrText xml:space="preserve"> HYPERLINK \l "_Toc29022" </w:instrText>
          </w:r>
          <w:r>
            <w:fldChar w:fldCharType="separate"/>
          </w:r>
          <w:r>
            <w:rPr>
              <w:rFonts w:hint="eastAsia" w:ascii="宋体" w:hAnsi="宋体" w:cs="宋体"/>
              <w:b/>
              <w:bCs/>
              <w:sz w:val="24"/>
              <w:szCs w:val="24"/>
            </w:rPr>
            <w:t>第三章  磋商须知</w:t>
          </w:r>
          <w:r>
            <w:rPr>
              <w:b/>
              <w:bCs/>
              <w:sz w:val="24"/>
              <w:szCs w:val="24"/>
            </w:rPr>
            <w:tab/>
          </w:r>
          <w:r>
            <w:rPr>
              <w:b/>
              <w:bCs/>
              <w:sz w:val="24"/>
              <w:szCs w:val="24"/>
            </w:rPr>
            <w:fldChar w:fldCharType="end"/>
          </w:r>
          <w:r>
            <w:rPr>
              <w:rFonts w:hint="eastAsia"/>
              <w:b/>
              <w:bCs/>
              <w:sz w:val="24"/>
              <w:szCs w:val="24"/>
              <w:lang w:val="en-US" w:eastAsia="zh-CN"/>
            </w:rPr>
            <w:t>8</w:t>
          </w:r>
        </w:p>
        <w:p w14:paraId="4BDB035A">
          <w:pPr>
            <w:pStyle w:val="190"/>
            <w:tabs>
              <w:tab w:val="right" w:leader="dot" w:pos="9746"/>
            </w:tabs>
            <w:spacing w:line="480" w:lineRule="auto"/>
            <w:rPr>
              <w:rFonts w:hint="default" w:eastAsia="宋体"/>
              <w:b/>
              <w:bCs/>
              <w:sz w:val="24"/>
              <w:szCs w:val="24"/>
              <w:lang w:val="en-US" w:eastAsia="zh-CN"/>
            </w:rPr>
          </w:pPr>
          <w:r>
            <w:fldChar w:fldCharType="begin"/>
          </w:r>
          <w:r>
            <w:instrText xml:space="preserve"> HYPERLINK \l "_Toc31147" </w:instrText>
          </w:r>
          <w:r>
            <w:fldChar w:fldCharType="separate"/>
          </w:r>
          <w:r>
            <w:rPr>
              <w:rFonts w:hint="eastAsia" w:ascii="宋体" w:hAnsi="宋体" w:cs="宋体"/>
              <w:b/>
              <w:bCs/>
              <w:sz w:val="24"/>
              <w:szCs w:val="24"/>
            </w:rPr>
            <w:t>第四章  磋商办法及评分标准</w:t>
          </w:r>
          <w:r>
            <w:rPr>
              <w:b/>
              <w:bCs/>
              <w:sz w:val="24"/>
              <w:szCs w:val="24"/>
            </w:rPr>
            <w:tab/>
          </w:r>
          <w:r>
            <w:rPr>
              <w:b/>
              <w:bCs/>
              <w:sz w:val="24"/>
              <w:szCs w:val="24"/>
            </w:rPr>
            <w:fldChar w:fldCharType="end"/>
          </w:r>
          <w:r>
            <w:rPr>
              <w:rFonts w:hint="eastAsia"/>
              <w:b/>
              <w:bCs/>
              <w:sz w:val="24"/>
              <w:szCs w:val="24"/>
              <w:lang w:val="en-US" w:eastAsia="zh-CN"/>
            </w:rPr>
            <w:t>19</w:t>
          </w:r>
        </w:p>
        <w:p w14:paraId="72BA8038">
          <w:pPr>
            <w:pStyle w:val="190"/>
            <w:tabs>
              <w:tab w:val="right" w:leader="dot" w:pos="9746"/>
            </w:tabs>
            <w:spacing w:line="480" w:lineRule="auto"/>
            <w:rPr>
              <w:rFonts w:hint="eastAsia" w:eastAsia="宋体"/>
              <w:b/>
              <w:bCs/>
              <w:sz w:val="24"/>
              <w:szCs w:val="24"/>
              <w:lang w:eastAsia="zh-CN"/>
            </w:rPr>
          </w:pPr>
          <w:r>
            <w:fldChar w:fldCharType="begin"/>
          </w:r>
          <w:r>
            <w:instrText xml:space="preserve"> HYPERLINK \l "_Toc18629" </w:instrText>
          </w:r>
          <w:r>
            <w:fldChar w:fldCharType="separate"/>
          </w:r>
          <w:r>
            <w:rPr>
              <w:rFonts w:hint="eastAsia" w:ascii="宋体" w:hAnsi="宋体" w:cs="宋体"/>
              <w:b/>
              <w:bCs/>
              <w:sz w:val="24"/>
              <w:szCs w:val="24"/>
            </w:rPr>
            <w:t>第五章  合同协议书</w:t>
          </w:r>
          <w:r>
            <w:rPr>
              <w:b/>
              <w:bCs/>
              <w:sz w:val="24"/>
              <w:szCs w:val="24"/>
            </w:rPr>
            <w:tab/>
          </w:r>
          <w:r>
            <w:rPr>
              <w:b/>
              <w:bCs/>
              <w:sz w:val="24"/>
              <w:szCs w:val="24"/>
            </w:rPr>
            <w:fldChar w:fldCharType="end"/>
          </w:r>
          <w:r>
            <w:rPr>
              <w:rFonts w:hint="eastAsia"/>
              <w:b/>
              <w:bCs/>
              <w:sz w:val="24"/>
              <w:szCs w:val="24"/>
            </w:rPr>
            <w:t>2</w:t>
          </w:r>
          <w:r>
            <w:rPr>
              <w:rFonts w:hint="eastAsia"/>
              <w:b/>
              <w:bCs/>
              <w:sz w:val="24"/>
              <w:szCs w:val="24"/>
              <w:lang w:val="en-US" w:eastAsia="zh-CN"/>
            </w:rPr>
            <w:t>2</w:t>
          </w:r>
        </w:p>
        <w:p w14:paraId="73F3CFF4">
          <w:pPr>
            <w:pStyle w:val="190"/>
            <w:tabs>
              <w:tab w:val="right" w:leader="dot" w:pos="9746"/>
            </w:tabs>
            <w:spacing w:line="480" w:lineRule="auto"/>
            <w:rPr>
              <w:rFonts w:hint="default" w:eastAsia="宋体"/>
              <w:b/>
              <w:bCs/>
              <w:sz w:val="24"/>
              <w:szCs w:val="24"/>
              <w:lang w:val="en-US" w:eastAsia="zh-CN"/>
            </w:rPr>
          </w:pPr>
          <w:r>
            <w:fldChar w:fldCharType="begin"/>
          </w:r>
          <w:r>
            <w:instrText xml:space="preserve"> HYPERLINK \l "_Toc14600" </w:instrText>
          </w:r>
          <w:r>
            <w:fldChar w:fldCharType="separate"/>
          </w:r>
          <w:r>
            <w:rPr>
              <w:rFonts w:hint="eastAsia" w:ascii="宋体" w:hAnsi="宋体" w:cs="宋体"/>
              <w:b/>
              <w:bCs/>
              <w:sz w:val="24"/>
              <w:szCs w:val="24"/>
            </w:rPr>
            <w:t xml:space="preserve">第六章 </w:t>
          </w:r>
          <w:r>
            <w:rPr>
              <w:rFonts w:hint="eastAsia" w:ascii="宋体" w:hAnsi="宋体" w:cs="宋体"/>
              <w:b/>
              <w:bCs/>
              <w:sz w:val="24"/>
              <w:szCs w:val="24"/>
              <w:lang w:val="zh-CN"/>
            </w:rPr>
            <w:t>磋商响应文件</w:t>
          </w:r>
          <w:r>
            <w:rPr>
              <w:rFonts w:hint="eastAsia" w:ascii="宋体" w:hAnsi="宋体" w:cs="宋体"/>
              <w:b/>
              <w:bCs/>
              <w:sz w:val="24"/>
              <w:szCs w:val="24"/>
            </w:rPr>
            <w:t>格式</w:t>
          </w:r>
          <w:r>
            <w:rPr>
              <w:b/>
              <w:bCs/>
              <w:sz w:val="24"/>
              <w:szCs w:val="24"/>
            </w:rPr>
            <w:tab/>
          </w:r>
          <w:r>
            <w:rPr>
              <w:b/>
              <w:bCs/>
              <w:sz w:val="24"/>
              <w:szCs w:val="24"/>
            </w:rPr>
            <w:fldChar w:fldCharType="end"/>
          </w:r>
          <w:r>
            <w:rPr>
              <w:rFonts w:hint="eastAsia"/>
              <w:b/>
              <w:bCs/>
              <w:sz w:val="24"/>
              <w:szCs w:val="24"/>
              <w:lang w:val="en-US" w:eastAsia="zh-CN"/>
            </w:rPr>
            <w:t>30</w:t>
          </w:r>
        </w:p>
        <w:p w14:paraId="00A338FB">
          <w:pPr>
            <w:spacing w:line="480" w:lineRule="auto"/>
            <w:rPr>
              <w:rFonts w:ascii="宋体" w:hAnsi="宋体" w:eastAsia="宋体" w:cs="宋体"/>
              <w:b/>
              <w:bCs/>
              <w:sz w:val="24"/>
            </w:rPr>
          </w:pPr>
          <w:r>
            <w:rPr>
              <w:rFonts w:ascii="宋体" w:hAnsi="宋体" w:eastAsia="宋体" w:cs="宋体"/>
              <w:b/>
              <w:bCs/>
              <w:sz w:val="24"/>
            </w:rPr>
            <w:fldChar w:fldCharType="end"/>
          </w:r>
        </w:p>
      </w:sdtContent>
    </w:sdt>
    <w:p w14:paraId="3F3A0EC8">
      <w:pPr>
        <w:spacing w:line="180" w:lineRule="exact"/>
        <w:jc w:val="center"/>
        <w:rPr>
          <w:rFonts w:ascii="宋体" w:hAnsi="宋体" w:eastAsia="宋体" w:cs="宋体"/>
          <w:sz w:val="32"/>
          <w:szCs w:val="32"/>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14:paraId="331183C6">
      <w:pPr>
        <w:pStyle w:val="53"/>
        <w:ind w:firstLine="210"/>
      </w:pPr>
    </w:p>
    <w:p w14:paraId="759118EB">
      <w:pPr>
        <w:spacing w:line="360" w:lineRule="auto"/>
        <w:jc w:val="center"/>
        <w:outlineLvl w:val="0"/>
        <w:rPr>
          <w:rFonts w:ascii="宋体" w:hAnsi="宋体" w:eastAsia="宋体" w:cs="宋体"/>
          <w:b/>
          <w:sz w:val="30"/>
          <w:szCs w:val="30"/>
        </w:rPr>
      </w:pPr>
      <w:bookmarkStart w:id="0" w:name="_Toc15113"/>
      <w:r>
        <w:rPr>
          <w:rFonts w:hint="eastAsia" w:ascii="宋体" w:hAnsi="宋体" w:eastAsia="宋体" w:cs="宋体"/>
          <w:b/>
          <w:sz w:val="30"/>
          <w:szCs w:val="30"/>
        </w:rPr>
        <w:t>第一章  竞争性磋商公告</w:t>
      </w:r>
      <w:bookmarkEnd w:id="0"/>
    </w:p>
    <w:p w14:paraId="5B3C82C5">
      <w:pPr>
        <w:autoSpaceDE w:val="0"/>
        <w:autoSpaceDN w:val="0"/>
        <w:adjustRightInd w:val="0"/>
        <w:snapToGrid w:val="0"/>
        <w:spacing w:line="380" w:lineRule="exact"/>
        <w:ind w:firstLine="420" w:firstLineChars="200"/>
        <w:rPr>
          <w:rFonts w:ascii="宋体" w:hAnsi="宋体" w:eastAsia="宋体" w:cs="宋体"/>
          <w:szCs w:val="21"/>
        </w:rPr>
      </w:pPr>
      <w: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3998663">
                            <w:pPr>
                              <w:ind w:firstLine="420" w:firstLineChars="200"/>
                              <w:rPr>
                                <w:rFonts w:ascii="宋体" w:hAnsi="宋体" w:eastAsia="宋体" w:cs="宋体"/>
                              </w:rPr>
                            </w:pPr>
                            <w:r>
                              <w:rPr>
                                <w:rFonts w:hint="eastAsia" w:ascii="宋体" w:hAnsi="宋体" w:eastAsia="宋体" w:cs="宋体"/>
                              </w:rPr>
                              <w:t>项目概况</w:t>
                            </w:r>
                          </w:p>
                          <w:p w14:paraId="47EC0525">
                            <w:pPr>
                              <w:widowControl/>
                              <w:spacing w:line="360" w:lineRule="exact"/>
                              <w:ind w:firstLine="420" w:firstLineChars="200"/>
                              <w:jc w:val="left"/>
                              <w:rPr>
                                <w:rFonts w:ascii="宋体" w:hAnsi="宋体" w:eastAsia="宋体" w:cs="宋体"/>
                              </w:rPr>
                            </w:pPr>
                            <w:r>
                              <w:rPr>
                                <w:rFonts w:hint="eastAsia" w:ascii="宋体" w:hAnsi="宋体" w:eastAsia="宋体" w:cs="宋体"/>
                                <w:kern w:val="0"/>
                                <w:szCs w:val="21"/>
                              </w:rPr>
                              <w:t>长兴技师学院2025年保安服务采购项目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rPr>
                              <w:t>2024年12月</w:t>
                            </w:r>
                            <w:r>
                              <w:rPr>
                                <w:rFonts w:hint="eastAsia" w:ascii="宋体" w:hAnsi="宋体" w:eastAsia="宋体" w:cs="宋体"/>
                                <w:kern w:val="0"/>
                                <w:szCs w:val="21"/>
                                <w:lang w:val="en-US" w:eastAsia="zh-CN"/>
                              </w:rPr>
                              <w:t>17</w:t>
                            </w:r>
                            <w:r>
                              <w:rPr>
                                <w:rFonts w:hint="eastAsia" w:ascii="宋体" w:hAnsi="宋体" w:eastAsia="宋体" w:cs="宋体"/>
                                <w:kern w:val="0"/>
                                <w:szCs w:val="21"/>
                              </w:rPr>
                              <w:t>日09:00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3360;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9WtUAAAAHAQAADwAAAAAAAAABACAA&#10;AAAiAAAAZHJzL2Rvd25yZXYueG1sUEsBAhQAFAAAAAgAh07iQOZMEogQAgAARAQAAA4AAAAAAAAA&#10;AQAgAAAAJAEAAGRycy9lMm9Eb2MueG1sUEsFBgAAAAAGAAYAWQEAAKYFAAAAAA==&#10;">
                <v:fill on="t" focussize="0,0"/>
                <v:stroke color="#000000" joinstyle="miter"/>
                <v:imagedata o:title=""/>
                <o:lock v:ext="edit" aspectratio="f"/>
                <v:textbox>
                  <w:txbxContent>
                    <w:p w14:paraId="33998663">
                      <w:pPr>
                        <w:ind w:firstLine="420" w:firstLineChars="200"/>
                        <w:rPr>
                          <w:rFonts w:ascii="宋体" w:hAnsi="宋体" w:eastAsia="宋体" w:cs="宋体"/>
                        </w:rPr>
                      </w:pPr>
                      <w:r>
                        <w:rPr>
                          <w:rFonts w:hint="eastAsia" w:ascii="宋体" w:hAnsi="宋体" w:eastAsia="宋体" w:cs="宋体"/>
                        </w:rPr>
                        <w:t>项目概况</w:t>
                      </w:r>
                    </w:p>
                    <w:p w14:paraId="47EC0525">
                      <w:pPr>
                        <w:widowControl/>
                        <w:spacing w:line="360" w:lineRule="exact"/>
                        <w:ind w:firstLine="420" w:firstLineChars="200"/>
                        <w:jc w:val="left"/>
                        <w:rPr>
                          <w:rFonts w:ascii="宋体" w:hAnsi="宋体" w:eastAsia="宋体" w:cs="宋体"/>
                        </w:rPr>
                      </w:pPr>
                      <w:r>
                        <w:rPr>
                          <w:rFonts w:hint="eastAsia" w:ascii="宋体" w:hAnsi="宋体" w:eastAsia="宋体" w:cs="宋体"/>
                          <w:kern w:val="0"/>
                          <w:szCs w:val="21"/>
                        </w:rPr>
                        <w:t>长兴技师学院2025年保安服务采购项目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rPr>
                        <w:t>2024年12月</w:t>
                      </w:r>
                      <w:r>
                        <w:rPr>
                          <w:rFonts w:hint="eastAsia" w:ascii="宋体" w:hAnsi="宋体" w:eastAsia="宋体" w:cs="宋体"/>
                          <w:kern w:val="0"/>
                          <w:szCs w:val="21"/>
                          <w:lang w:val="en-US" w:eastAsia="zh-CN"/>
                        </w:rPr>
                        <w:t>17</w:t>
                      </w:r>
                      <w:r>
                        <w:rPr>
                          <w:rFonts w:hint="eastAsia" w:ascii="宋体" w:hAnsi="宋体" w:eastAsia="宋体" w:cs="宋体"/>
                          <w:kern w:val="0"/>
                          <w:szCs w:val="21"/>
                        </w:rPr>
                        <w:t>日09:00</w:t>
                      </w:r>
                      <w:r>
                        <w:rPr>
                          <w:rFonts w:hint="eastAsia" w:ascii="宋体" w:hAnsi="宋体" w:eastAsia="宋体" w:cs="宋体"/>
                        </w:rPr>
                        <w:t>（北京时间）前提交（上传）响应文件。</w:t>
                      </w:r>
                    </w:p>
                  </w:txbxContent>
                </v:textbox>
              </v:shape>
            </w:pict>
          </mc:Fallback>
        </mc:AlternateContent>
      </w:r>
    </w:p>
    <w:p w14:paraId="6AB4A2A2">
      <w:pPr>
        <w:autoSpaceDE w:val="0"/>
        <w:autoSpaceDN w:val="0"/>
        <w:adjustRightInd w:val="0"/>
        <w:snapToGrid w:val="0"/>
        <w:spacing w:line="380" w:lineRule="exact"/>
        <w:ind w:firstLine="420" w:firstLineChars="200"/>
        <w:rPr>
          <w:rFonts w:ascii="宋体" w:hAnsi="宋体" w:eastAsia="宋体" w:cs="宋体"/>
          <w:szCs w:val="21"/>
        </w:rPr>
      </w:pPr>
    </w:p>
    <w:p w14:paraId="2BDA5904">
      <w:pPr>
        <w:autoSpaceDE w:val="0"/>
        <w:autoSpaceDN w:val="0"/>
        <w:adjustRightInd w:val="0"/>
        <w:snapToGrid w:val="0"/>
        <w:spacing w:line="380" w:lineRule="exact"/>
        <w:ind w:firstLine="420" w:firstLineChars="200"/>
        <w:rPr>
          <w:rFonts w:ascii="宋体" w:hAnsi="宋体" w:eastAsia="宋体" w:cs="宋体"/>
          <w:szCs w:val="21"/>
        </w:rPr>
      </w:pPr>
    </w:p>
    <w:p w14:paraId="09EA4F4A">
      <w:pPr>
        <w:autoSpaceDE w:val="0"/>
        <w:autoSpaceDN w:val="0"/>
        <w:adjustRightInd w:val="0"/>
        <w:snapToGrid w:val="0"/>
        <w:spacing w:line="380" w:lineRule="exact"/>
        <w:ind w:firstLine="420" w:firstLineChars="200"/>
        <w:rPr>
          <w:rFonts w:ascii="宋体" w:hAnsi="宋体" w:eastAsia="宋体" w:cs="宋体"/>
          <w:szCs w:val="21"/>
        </w:rPr>
      </w:pPr>
    </w:p>
    <w:p w14:paraId="3A45E2F2">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一、项目基本情况</w:t>
      </w:r>
    </w:p>
    <w:p w14:paraId="3539C426">
      <w:pPr>
        <w:widowControl/>
        <w:spacing w:line="36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rPr>
        <w:t>项目编号：ZJXWCX-2024-</w:t>
      </w:r>
      <w:r>
        <w:rPr>
          <w:rFonts w:hint="eastAsia" w:ascii="宋体" w:hAnsi="宋体" w:eastAsia="宋体" w:cs="宋体"/>
          <w:kern w:val="0"/>
          <w:szCs w:val="21"/>
          <w:lang w:val="en-US" w:eastAsia="zh-CN"/>
        </w:rPr>
        <w:t>063</w:t>
      </w:r>
    </w:p>
    <w:p w14:paraId="7836FC67">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项目名称：长兴技师学院2025年保安服务采购项目</w:t>
      </w:r>
    </w:p>
    <w:p w14:paraId="7EC13A98">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14:paraId="755F4281">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预算金额（元）：520000</w:t>
      </w:r>
    </w:p>
    <w:p w14:paraId="18C85F57">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最高限价（元）：520000</w:t>
      </w:r>
    </w:p>
    <w:p w14:paraId="1ECE1B33">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磋商需求：</w:t>
      </w:r>
    </w:p>
    <w:p w14:paraId="06F570C6">
      <w:pPr>
        <w:widowControl/>
        <w:spacing w:line="360" w:lineRule="exact"/>
        <w:ind w:firstLine="420" w:firstLineChars="200"/>
        <w:rPr>
          <w:rFonts w:ascii="宋体" w:hAnsi="宋体" w:eastAsia="宋体" w:cs="宋体"/>
          <w:szCs w:val="21"/>
        </w:rPr>
      </w:pPr>
      <w:r>
        <w:rPr>
          <w:rFonts w:hint="eastAsia" w:ascii="宋体" w:hAnsi="宋体" w:eastAsia="宋体" w:cs="宋体"/>
          <w:szCs w:val="21"/>
        </w:rPr>
        <w:t>标项一</w:t>
      </w:r>
    </w:p>
    <w:p w14:paraId="26068966">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预算金额（元）：520000</w:t>
      </w:r>
    </w:p>
    <w:p w14:paraId="7AB37892">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数量：1 </w:t>
      </w:r>
    </w:p>
    <w:p w14:paraId="00101CB1">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单位：项</w:t>
      </w:r>
    </w:p>
    <w:p w14:paraId="52107F3B">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简要规格描述：主要包括巡查、交通秩序维护等服务内容，具体详见竞争性磋商需求。</w:t>
      </w:r>
    </w:p>
    <w:p w14:paraId="770C3D73">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备注：</w:t>
      </w:r>
    </w:p>
    <w:p w14:paraId="1C34EB45">
      <w:pPr>
        <w:widowControl/>
        <w:spacing w:line="340" w:lineRule="exact"/>
        <w:ind w:firstLine="420" w:firstLineChars="200"/>
        <w:rPr>
          <w:rFonts w:ascii="宋体" w:hAnsi="宋体" w:eastAsia="宋体" w:cs="宋体"/>
          <w:kern w:val="0"/>
          <w:szCs w:val="21"/>
        </w:rPr>
      </w:pPr>
      <w:r>
        <w:rPr>
          <w:rFonts w:hint="eastAsia" w:ascii="宋体" w:hAnsi="宋体" w:eastAsia="宋体" w:cs="宋体"/>
          <w:kern w:val="0"/>
          <w:szCs w:val="21"/>
        </w:rPr>
        <w:t>合同履约期限：</w:t>
      </w:r>
      <w:bookmarkStart w:id="1" w:name="_Toc28359003"/>
      <w:bookmarkStart w:id="2" w:name="_Toc35393622"/>
      <w:bookmarkStart w:id="3" w:name="_Toc28359080"/>
      <w:bookmarkStart w:id="4" w:name="_Toc35393791"/>
      <w:r>
        <w:rPr>
          <w:rFonts w:hint="eastAsia" w:ascii="宋体" w:hAnsi="宋体" w:eastAsia="宋体" w:cs="宋体"/>
          <w:kern w:val="0"/>
          <w:szCs w:val="21"/>
        </w:rPr>
        <w:t>一年，合同签订之日起计算。</w:t>
      </w:r>
    </w:p>
    <w:p w14:paraId="40472C1B">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本项目（否）接受联合体</w:t>
      </w:r>
      <w:r>
        <w:rPr>
          <w:rFonts w:hint="eastAsia" w:ascii="宋体" w:hAnsi="宋体" w:eastAsia="宋体" w:cs="宋体"/>
          <w:szCs w:val="21"/>
        </w:rPr>
        <w:t>磋商响应</w:t>
      </w:r>
      <w:r>
        <w:rPr>
          <w:rFonts w:hint="eastAsia" w:ascii="宋体" w:hAnsi="宋体" w:eastAsia="宋体" w:cs="宋体"/>
          <w:kern w:val="0"/>
          <w:szCs w:val="21"/>
        </w:rPr>
        <w:t>。</w:t>
      </w:r>
    </w:p>
    <w:p w14:paraId="5D9EF925">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二、申请人的资格要求：</w:t>
      </w:r>
      <w:bookmarkEnd w:id="1"/>
      <w:bookmarkEnd w:id="2"/>
      <w:bookmarkEnd w:id="3"/>
      <w:bookmarkEnd w:id="4"/>
    </w:p>
    <w:p w14:paraId="67D97348">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1.</w:t>
      </w:r>
      <w:bookmarkStart w:id="5" w:name="_Toc28359081"/>
      <w:bookmarkStart w:id="6" w:name="_Toc28359004"/>
      <w:r>
        <w:rPr>
          <w:rFonts w:hint="eastAsia" w:ascii="宋体" w:hAnsi="宋体" w:eastAsia="宋体" w:cs="宋体"/>
          <w:kern w:val="0"/>
          <w:szCs w:val="21"/>
        </w:rPr>
        <w:t>满足《中华人民共和国政府采购法》第二十二条规定；未被“信用中国”（www.creditchina.gov.cn）、中国政府采购网（www.ccgp.gov.cn）列入失信被执行人、重大税收违法失信主体、政府采购严重违法失信行为记录名单。</w:t>
      </w:r>
    </w:p>
    <w:p w14:paraId="4154E87D">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2.落实政府采购政策需满足的资格要求：本项目属于专门面向中小企业采购的项目。</w:t>
      </w:r>
    </w:p>
    <w:p w14:paraId="0E5CF8A2">
      <w:pPr>
        <w:adjustRightInd w:val="0"/>
        <w:snapToGrid w:val="0"/>
        <w:spacing w:line="38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3.本项目的特定资格要求：标项1：具有公安部门颁发的有效的保安服务许可证。</w:t>
      </w:r>
    </w:p>
    <w:p w14:paraId="35CF9C02">
      <w:pPr>
        <w:widowControl/>
        <w:spacing w:line="360" w:lineRule="exact"/>
        <w:ind w:firstLine="422" w:firstLineChars="200"/>
        <w:rPr>
          <w:rFonts w:ascii="宋体" w:hAnsi="宋体" w:eastAsia="宋体" w:cs="宋体"/>
          <w:b/>
          <w:bCs/>
          <w:kern w:val="0"/>
          <w:szCs w:val="21"/>
        </w:rPr>
      </w:pPr>
      <w:bookmarkStart w:id="7" w:name="_Toc35393792"/>
      <w:bookmarkStart w:id="8" w:name="_Toc35393623"/>
      <w:r>
        <w:rPr>
          <w:rFonts w:hint="eastAsia" w:ascii="宋体" w:hAnsi="宋体" w:eastAsia="宋体" w:cs="宋体"/>
          <w:b/>
          <w:bCs/>
          <w:kern w:val="0"/>
          <w:szCs w:val="21"/>
        </w:rPr>
        <w:t>三、获取</w:t>
      </w:r>
      <w:bookmarkEnd w:id="5"/>
      <w:bookmarkEnd w:id="6"/>
      <w:bookmarkEnd w:id="7"/>
      <w:bookmarkEnd w:id="8"/>
      <w:r>
        <w:rPr>
          <w:rFonts w:hint="eastAsia" w:ascii="宋体" w:hAnsi="宋体" w:eastAsia="宋体" w:cs="宋体"/>
          <w:b/>
          <w:bCs/>
          <w:kern w:val="0"/>
          <w:szCs w:val="21"/>
        </w:rPr>
        <w:t>（下载）采购文件</w:t>
      </w:r>
    </w:p>
    <w:p w14:paraId="6EBBEB92">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1.时间：</w:t>
      </w:r>
      <w:r>
        <w:rPr>
          <w:rFonts w:hint="eastAsia" w:ascii="宋体" w:hAnsi="宋体" w:eastAsia="宋体" w:cs="宋体"/>
          <w:szCs w:val="21"/>
        </w:rPr>
        <w:t>至2024年12月</w:t>
      </w:r>
      <w:r>
        <w:rPr>
          <w:rFonts w:hint="eastAsia" w:ascii="宋体" w:hAnsi="宋体" w:eastAsia="宋体" w:cs="宋体"/>
          <w:szCs w:val="21"/>
          <w:lang w:val="en-US" w:eastAsia="zh-CN"/>
        </w:rPr>
        <w:t>17</w:t>
      </w:r>
      <w:r>
        <w:rPr>
          <w:rFonts w:hint="eastAsia" w:ascii="宋体" w:hAnsi="宋体" w:eastAsia="宋体" w:cs="宋体"/>
          <w:szCs w:val="21"/>
        </w:rPr>
        <w:t xml:space="preserve"> 日，每天上午00:00至12:00，下午12:00至23:59（北京时间，线上获取法定节假日均可，线下获取文件法定节假日除外）。</w:t>
      </w:r>
    </w:p>
    <w:p w14:paraId="0E380413">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Style w:val="202"/>
          <w:rFonts w:hint="eastAsia" w:ascii="宋体" w:hAnsi="宋体" w:cs="宋体"/>
          <w:szCs w:val="21"/>
        </w:rPr>
        <w:t>政府采购云平台（www.zcygov.cn）。</w:t>
      </w:r>
    </w:p>
    <w:p w14:paraId="406A99C1">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方式：在线获取（潜在供应商登录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10D0FDD6">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4.售价（元）：0 。</w:t>
      </w:r>
    </w:p>
    <w:p w14:paraId="0D7C9CD6">
      <w:pPr>
        <w:widowControl/>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磋商小组根据供应商提交的磋商响应文件认定</w:t>
      </w:r>
      <w:r>
        <w:rPr>
          <w:rFonts w:hint="eastAsia" w:ascii="宋体" w:hAnsi="宋体" w:eastAsia="宋体" w:cs="宋体"/>
          <w:szCs w:val="21"/>
        </w:rPr>
        <w:t>。</w:t>
      </w:r>
    </w:p>
    <w:p w14:paraId="041E5C6C">
      <w:pPr>
        <w:widowControl/>
        <w:spacing w:line="360" w:lineRule="exact"/>
        <w:ind w:firstLine="420" w:firstLineChars="200"/>
        <w:rPr>
          <w:rFonts w:ascii="宋体" w:hAnsi="宋体" w:eastAsia="宋体" w:cs="宋体"/>
          <w:kern w:val="0"/>
          <w:szCs w:val="21"/>
        </w:rPr>
      </w:pPr>
      <w:bookmarkStart w:id="9" w:name="_Toc35393793"/>
      <w:bookmarkStart w:id="10" w:name="_Toc28359005"/>
      <w:bookmarkStart w:id="11" w:name="_Toc28359082"/>
      <w:bookmarkStart w:id="12" w:name="_Toc35393624"/>
      <w:r>
        <w:rPr>
          <w:rFonts w:hint="eastAsia" w:ascii="宋体" w:hAnsi="宋体" w:eastAsia="宋体" w:cs="宋体"/>
          <w:kern w:val="0"/>
          <w:szCs w:val="21"/>
        </w:rPr>
        <w:t>6.采购项目信息发布网址：“浙江省政府采购网”（http://zfcg.czt.zj.gov.cn/）、“长兴县公共资源交易中心网 ”（http://www.zjcx.gov.cn/col/col1229713478/index.html）</w:t>
      </w:r>
    </w:p>
    <w:p w14:paraId="41FF78F6">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四、</w:t>
      </w:r>
      <w:bookmarkEnd w:id="9"/>
      <w:bookmarkEnd w:id="10"/>
      <w:bookmarkEnd w:id="11"/>
      <w:bookmarkEnd w:id="12"/>
      <w:r>
        <w:rPr>
          <w:rFonts w:hint="eastAsia" w:ascii="宋体" w:hAnsi="宋体" w:eastAsia="宋体" w:cs="宋体"/>
          <w:b/>
          <w:bCs/>
          <w:kern w:val="0"/>
          <w:szCs w:val="21"/>
        </w:rPr>
        <w:t>响应文件提交（上传）</w:t>
      </w:r>
    </w:p>
    <w:p w14:paraId="0F9BA2C2">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1.截止时间：2024年12月</w:t>
      </w:r>
      <w:r>
        <w:rPr>
          <w:rFonts w:hint="eastAsia" w:ascii="宋体" w:hAnsi="宋体" w:eastAsia="宋体" w:cs="宋体"/>
          <w:kern w:val="0"/>
          <w:szCs w:val="21"/>
          <w:lang w:val="en-US" w:eastAsia="zh-CN"/>
        </w:rPr>
        <w:t>17</w:t>
      </w:r>
      <w:r>
        <w:rPr>
          <w:rFonts w:hint="eastAsia" w:ascii="宋体" w:hAnsi="宋体" w:eastAsia="宋体" w:cs="宋体"/>
          <w:kern w:val="0"/>
          <w:szCs w:val="21"/>
        </w:rPr>
        <w:t>日09:00（北京时间）。</w:t>
      </w:r>
    </w:p>
    <w:p w14:paraId="709F75D0">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kern w:val="0"/>
          <w:szCs w:val="21"/>
        </w:rPr>
        <w:t>。</w:t>
      </w:r>
      <w:r>
        <w:rPr>
          <w:rFonts w:hint="eastAsia" w:ascii="宋体" w:hAnsi="宋体" w:eastAsia="宋体" w:cs="宋体"/>
          <w:szCs w:val="21"/>
          <w:lang w:val="zh-CN"/>
        </w:rPr>
        <w:t>（</w:t>
      </w:r>
      <w:r>
        <w:rPr>
          <w:rFonts w:hint="eastAsia" w:ascii="宋体" w:hAnsi="宋体" w:eastAsia="宋体" w:cs="宋体"/>
          <w:szCs w:val="21"/>
        </w:rPr>
        <w:t>网址：通过“政府采购云平台（www.zcygov.cn）”实行在线磋商响应。 ）</w:t>
      </w:r>
    </w:p>
    <w:p w14:paraId="5B91982D">
      <w:pPr>
        <w:widowControl/>
        <w:spacing w:line="360" w:lineRule="exact"/>
        <w:ind w:firstLine="422" w:firstLineChars="200"/>
        <w:rPr>
          <w:rFonts w:ascii="宋体" w:hAnsi="宋体" w:eastAsia="宋体" w:cs="宋体"/>
          <w:b/>
          <w:bCs/>
          <w:kern w:val="0"/>
          <w:szCs w:val="21"/>
        </w:rPr>
      </w:pPr>
      <w:bookmarkStart w:id="13" w:name="_Toc28359084"/>
      <w:bookmarkStart w:id="14" w:name="_Toc35393794"/>
      <w:bookmarkStart w:id="15" w:name="_Toc28359007"/>
      <w:bookmarkStart w:id="16" w:name="_Toc35393625"/>
      <w:r>
        <w:rPr>
          <w:rFonts w:hint="eastAsia" w:ascii="宋体" w:hAnsi="宋体" w:eastAsia="宋体" w:cs="宋体"/>
          <w:b/>
          <w:bCs/>
          <w:kern w:val="0"/>
          <w:szCs w:val="21"/>
        </w:rPr>
        <w:t>五、响应文件开启</w:t>
      </w:r>
    </w:p>
    <w:p w14:paraId="0F2F0912">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1.开启时间：2024年12月</w:t>
      </w:r>
      <w:r>
        <w:rPr>
          <w:rFonts w:hint="eastAsia" w:ascii="宋体" w:hAnsi="宋体" w:eastAsia="宋体" w:cs="宋体"/>
          <w:kern w:val="0"/>
          <w:szCs w:val="21"/>
          <w:lang w:val="en-US" w:eastAsia="zh-CN"/>
        </w:rPr>
        <w:t>17</w:t>
      </w:r>
      <w:r>
        <w:rPr>
          <w:rFonts w:hint="eastAsia" w:ascii="宋体" w:hAnsi="宋体" w:eastAsia="宋体" w:cs="宋体"/>
          <w:kern w:val="0"/>
          <w:szCs w:val="21"/>
        </w:rPr>
        <w:t>日09:00（北京时间）。</w:t>
      </w:r>
    </w:p>
    <w:p w14:paraId="0D7F87CD">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szCs w:val="21"/>
        </w:rPr>
        <w:t>网址：通过“政府采购云平台（www.zcygov.cn）”实行在线磋商响应。 ）</w:t>
      </w:r>
    </w:p>
    <w:p w14:paraId="635A6D9D">
      <w:pPr>
        <w:widowControl/>
        <w:spacing w:line="36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六、公告期限</w:t>
      </w:r>
      <w:bookmarkEnd w:id="13"/>
      <w:bookmarkEnd w:id="14"/>
      <w:bookmarkEnd w:id="15"/>
      <w:bookmarkEnd w:id="16"/>
    </w:p>
    <w:p w14:paraId="67401F86">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14:paraId="61F840F8">
      <w:pPr>
        <w:widowControl/>
        <w:spacing w:line="360" w:lineRule="exact"/>
        <w:ind w:firstLine="422" w:firstLineChars="200"/>
        <w:rPr>
          <w:rFonts w:ascii="宋体" w:hAnsi="宋体" w:eastAsia="宋体" w:cs="宋体"/>
          <w:b/>
          <w:bCs/>
          <w:kern w:val="0"/>
          <w:szCs w:val="21"/>
        </w:rPr>
      </w:pPr>
      <w:bookmarkStart w:id="17" w:name="_Toc35393795"/>
      <w:bookmarkStart w:id="18" w:name="_Toc35393626"/>
      <w:r>
        <w:rPr>
          <w:rFonts w:hint="eastAsia" w:ascii="宋体" w:hAnsi="宋体" w:eastAsia="宋体" w:cs="宋体"/>
          <w:b/>
          <w:bCs/>
          <w:kern w:val="0"/>
          <w:szCs w:val="21"/>
        </w:rPr>
        <w:t>七、其他补充事宜</w:t>
      </w:r>
      <w:bookmarkEnd w:id="17"/>
      <w:bookmarkEnd w:id="18"/>
    </w:p>
    <w:p w14:paraId="333444CD">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64DB50B">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14:paraId="59FA9CEF">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2.2供应商应在磋商前完成CA数字证书办理（办理流程详见http://www.zjzfcg.gov.cn/bidClientTemplate/2019-05-27/12945.html）。完成CA数字证书办理预计一周左右，建议各供应商抓紧时间办理。</w:t>
      </w:r>
    </w:p>
    <w:p w14:paraId="7B3D7AF6">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电子招投标操作指南”（请供应商点击链接https://help.zcygov.cn/web/site_2/2018/12-28/2573.html）以获取最新操作指南。</w:t>
      </w:r>
    </w:p>
    <w:p w14:paraId="2892022E">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15D6C222">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14:paraId="4C4E882E">
      <w:pPr>
        <w:pStyle w:val="53"/>
        <w:spacing w:after="0" w:line="360" w:lineRule="exact"/>
        <w:ind w:firstLineChars="200"/>
        <w:rPr>
          <w:rFonts w:cs="宋体"/>
          <w:kern w:val="0"/>
          <w:szCs w:val="21"/>
        </w:rPr>
      </w:pPr>
      <w:r>
        <w:rPr>
          <w:rFonts w:hint="eastAsia" w:cs="宋体"/>
          <w:kern w:val="0"/>
          <w:szCs w:val="21"/>
        </w:rPr>
        <w:t>2.6供</w:t>
      </w:r>
      <w:r>
        <w:rPr>
          <w:rFonts w:hint="eastAsia" w:cs="宋体"/>
          <w:b/>
          <w:bCs/>
          <w:kern w:val="0"/>
          <w:szCs w:val="21"/>
        </w:rPr>
        <w:t>应商应当在磋商响应截止时间前，如认为需要，供应商可以选择递交以介质存储的数据电文形式的U盘或光盘备份文件一份和制作纸质备份磋商响应文件一份。</w:t>
      </w:r>
      <w:r>
        <w:rPr>
          <w:rFonts w:hint="eastAsia" w:cs="宋体"/>
          <w:kern w:val="0"/>
          <w:szCs w:val="21"/>
        </w:rPr>
        <w:t>U盘或光盘备份文件和纸质备份磋商响应将通过邮寄快递方式送达，邮寄地址为：浙江信望工程咨询有限公司（长兴县明珠商务大厦7层708室），联系电话： 0572-6032988 ，由采购代理机构统一负责接收，邮寄接收截止时间：2024年12月</w:t>
      </w:r>
      <w:r>
        <w:rPr>
          <w:rFonts w:hint="eastAsia" w:cs="宋体"/>
          <w:kern w:val="0"/>
          <w:szCs w:val="21"/>
          <w:lang w:val="en-US" w:eastAsia="zh-CN"/>
        </w:rPr>
        <w:t>16</w:t>
      </w:r>
      <w:r>
        <w:rPr>
          <w:rFonts w:hint="eastAsia" w:cs="宋体"/>
          <w:kern w:val="0"/>
          <w:szCs w:val="21"/>
        </w:rPr>
        <w:t>日11∶00时。</w:t>
      </w:r>
    </w:p>
    <w:p w14:paraId="25045DA8">
      <w:pPr>
        <w:widowControl/>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2.7供应商应留足响应文件邮寄时间，确保备份磋商响应文件于接收截止时间前送达指定地点，逾期送达或未密封将被拒收。供应商自行承担所有风险和由此带来的后果。</w:t>
      </w:r>
    </w:p>
    <w:p w14:paraId="3B0E9F37">
      <w:pPr>
        <w:pStyle w:val="53"/>
        <w:spacing w:after="0" w:line="360" w:lineRule="exact"/>
        <w:ind w:firstLineChars="200"/>
        <w:rPr>
          <w:rFonts w:cs="宋体"/>
          <w:kern w:val="0"/>
          <w:szCs w:val="21"/>
        </w:rPr>
      </w:pPr>
      <w:r>
        <w:rPr>
          <w:rFonts w:hint="eastAsia" w:cs="宋体"/>
          <w:kern w:val="0"/>
          <w:szCs w:val="21"/>
        </w:rPr>
        <w:t>2.8为有效破解当前中小企业面临的“融资难、融资贵”困局，充分发挥好政府采购扶持中小企业发展的政策功能，本项目中标供应商可凭政府采购合同或中标通知书等材料至政采云平台申请相关融资产品。</w:t>
      </w:r>
    </w:p>
    <w:p w14:paraId="3310D922">
      <w:pPr>
        <w:pStyle w:val="53"/>
        <w:spacing w:after="0" w:line="360" w:lineRule="exact"/>
        <w:ind w:firstLineChars="200"/>
        <w:rPr>
          <w:rFonts w:cs="宋体"/>
          <w:kern w:val="0"/>
          <w:szCs w:val="21"/>
        </w:rPr>
      </w:pPr>
      <w:r>
        <w:rPr>
          <w:rFonts w:hint="eastAsia" w:cs="宋体"/>
          <w:kern w:val="0"/>
          <w:szCs w:val="21"/>
        </w:rPr>
        <w:t>办理流程：政采云平台线上发起申请——银行审批给出额度利率——贷款发放。</w:t>
      </w:r>
    </w:p>
    <w:p w14:paraId="5B779B27">
      <w:pPr>
        <w:pStyle w:val="53"/>
        <w:spacing w:after="0" w:line="360" w:lineRule="exact"/>
        <w:ind w:firstLineChars="200"/>
        <w:rPr>
          <w:rFonts w:cs="宋体"/>
          <w:szCs w:val="21"/>
        </w:rPr>
      </w:pPr>
      <w:r>
        <w:rPr>
          <w:rFonts w:hint="eastAsia" w:cs="宋体"/>
          <w:kern w:val="0"/>
          <w:szCs w:val="21"/>
        </w:rPr>
        <w:t>操作方式：登录政采云平台（</w:t>
      </w:r>
      <w:r>
        <w:rPr>
          <w:rFonts w:hint="eastAsia" w:cs="宋体"/>
          <w:kern w:val="0"/>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https://www.zcygov.cn/）——点击右上角金融服务（</w:t>
      </w:r>
      <w:r>
        <w:rPr>
          <w:rFonts w:hint="eastAsia" w:cs="宋体"/>
          <w:kern w:val="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https://jinrong.zcygov.cn/）——选择融资服务——选择银行及产品——线上直接申请。</w:t>
      </w:r>
    </w:p>
    <w:p w14:paraId="22597036">
      <w:pPr>
        <w:widowControl/>
        <w:spacing w:line="360" w:lineRule="exact"/>
        <w:ind w:firstLine="422" w:firstLineChars="200"/>
        <w:rPr>
          <w:rFonts w:ascii="宋体" w:hAnsi="宋体" w:eastAsia="宋体" w:cs="宋体"/>
          <w:kern w:val="0"/>
          <w:szCs w:val="21"/>
        </w:rPr>
      </w:pPr>
      <w:bookmarkStart w:id="19" w:name="_Toc35393627"/>
      <w:bookmarkStart w:id="20" w:name="_Toc28359008"/>
      <w:bookmarkStart w:id="21" w:name="_Toc28359085"/>
      <w:bookmarkStart w:id="22" w:name="_Toc35393796"/>
      <w:r>
        <w:rPr>
          <w:rFonts w:hint="eastAsia" w:ascii="宋体" w:hAnsi="宋体" w:eastAsia="宋体" w:cs="宋体"/>
          <w:b/>
          <w:bCs/>
          <w:kern w:val="0"/>
          <w:szCs w:val="21"/>
        </w:rPr>
        <w:t>八、</w:t>
      </w:r>
      <w:bookmarkEnd w:id="19"/>
      <w:bookmarkEnd w:id="20"/>
      <w:bookmarkEnd w:id="21"/>
      <w:bookmarkEnd w:id="22"/>
      <w:r>
        <w:rPr>
          <w:rFonts w:hint="eastAsia" w:ascii="宋体" w:hAnsi="宋体" w:eastAsia="宋体" w:cs="宋体"/>
          <w:b/>
          <w:bCs/>
          <w:kern w:val="0"/>
          <w:szCs w:val="21"/>
        </w:rPr>
        <w:t>对本次招标提出询问、质疑、投诉，请按以下方式联系</w:t>
      </w:r>
      <w:bookmarkStart w:id="23" w:name="_Toc30974"/>
      <w:bookmarkStart w:id="24" w:name="_Toc11212"/>
      <w:bookmarkStart w:id="25" w:name="_Toc24708"/>
      <w:bookmarkStart w:id="26" w:name="_Toc11970"/>
      <w:bookmarkStart w:id="27" w:name="_Toc9637"/>
      <w:bookmarkStart w:id="28" w:name="_Toc28515"/>
      <w:bookmarkStart w:id="29" w:name="_Toc24861"/>
      <w:bookmarkStart w:id="30" w:name="_Toc1764"/>
      <w:bookmarkStart w:id="31" w:name="_Toc9404"/>
      <w:bookmarkStart w:id="32" w:name="_Toc12917"/>
      <w:bookmarkStart w:id="33" w:name="_Toc11186"/>
      <w:r>
        <w:rPr>
          <w:rFonts w:hint="eastAsia" w:ascii="宋体" w:hAnsi="宋体" w:eastAsia="宋体" w:cs="宋体"/>
          <w:kern w:val="0"/>
          <w:szCs w:val="21"/>
        </w:rPr>
        <w:t>　　　　　　　　　</w:t>
      </w:r>
    </w:p>
    <w:p w14:paraId="66F2042D">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1、采购人信息</w:t>
      </w:r>
    </w:p>
    <w:p w14:paraId="35EACA13">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名 称：长兴技师学院      </w:t>
      </w:r>
    </w:p>
    <w:p w14:paraId="7EF13313">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 长兴县回龙山大道2009号</w:t>
      </w:r>
    </w:p>
    <w:p w14:paraId="655A12F7">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14:paraId="157CF103">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项目联系人（询问）：杨老师 </w:t>
      </w:r>
    </w:p>
    <w:p w14:paraId="67879FC5">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项目联系方式（询问）：0572-6218569</w:t>
      </w:r>
    </w:p>
    <w:p w14:paraId="232DFD21">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 翟老师</w:t>
      </w:r>
    </w:p>
    <w:p w14:paraId="3FC8FFDD">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质疑联系方式：0572-6235930</w:t>
      </w:r>
    </w:p>
    <w:p w14:paraId="559FBDA1">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2、采购代理机构信息</w:t>
      </w:r>
    </w:p>
    <w:p w14:paraId="6C08D6A2">
      <w:pPr>
        <w:widowControl/>
        <w:spacing w:line="360" w:lineRule="exact"/>
        <w:ind w:firstLine="420" w:firstLineChars="200"/>
        <w:rPr>
          <w:rFonts w:ascii="宋体" w:hAnsi="宋体" w:eastAsia="宋体" w:cs="宋体"/>
          <w:spacing w:val="11"/>
          <w:kern w:val="0"/>
          <w:szCs w:val="21"/>
        </w:rPr>
      </w:pPr>
      <w:r>
        <w:rPr>
          <w:rFonts w:hint="eastAsia" w:ascii="宋体" w:hAnsi="宋体" w:eastAsia="宋体" w:cs="宋体"/>
          <w:kern w:val="0"/>
          <w:szCs w:val="21"/>
        </w:rPr>
        <w:t>名 称：</w:t>
      </w:r>
      <w:r>
        <w:rPr>
          <w:rFonts w:hint="eastAsia" w:ascii="宋体" w:hAnsi="宋体" w:eastAsia="宋体" w:cs="宋体"/>
          <w:spacing w:val="11"/>
          <w:kern w:val="0"/>
          <w:szCs w:val="21"/>
        </w:rPr>
        <w:t>浙江信望工程咨询有限公司</w:t>
      </w:r>
    </w:p>
    <w:p w14:paraId="41942031">
      <w:pPr>
        <w:widowControl/>
        <w:spacing w:line="360" w:lineRule="exact"/>
        <w:ind w:firstLine="420" w:firstLineChars="200"/>
        <w:jc w:val="left"/>
        <w:rPr>
          <w:rFonts w:ascii="宋体" w:hAnsi="宋体" w:eastAsia="宋体" w:cs="宋体"/>
          <w:szCs w:val="21"/>
        </w:rPr>
      </w:pPr>
      <w:r>
        <w:rPr>
          <w:rFonts w:hint="eastAsia" w:ascii="宋体" w:hAnsi="宋体" w:eastAsia="宋体" w:cs="宋体"/>
          <w:kern w:val="0"/>
          <w:szCs w:val="21"/>
        </w:rPr>
        <w:t>地 址：</w:t>
      </w:r>
      <w:r>
        <w:rPr>
          <w:rFonts w:hint="eastAsia" w:ascii="宋体" w:hAnsi="宋体" w:eastAsia="宋体" w:cs="宋体"/>
          <w:szCs w:val="21"/>
          <w:lang w:val="zh-CN"/>
        </w:rPr>
        <w:t>长兴县明珠商务大厦</w:t>
      </w:r>
      <w:r>
        <w:rPr>
          <w:rFonts w:hint="eastAsia" w:ascii="宋体" w:hAnsi="宋体" w:eastAsia="宋体" w:cs="宋体"/>
          <w:szCs w:val="21"/>
        </w:rPr>
        <w:t>7层708室</w:t>
      </w:r>
    </w:p>
    <w:p w14:paraId="7BF12CA0">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14:paraId="1A857C9E">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项目联系人（询问）：陈工  项目联系方式（询问）：0572-6032988</w:t>
      </w:r>
    </w:p>
    <w:p w14:paraId="1488B8BE">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质疑联系人：徐工    质疑联系方式：0572-6032988</w:t>
      </w:r>
    </w:p>
    <w:p w14:paraId="79D0DB72">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3.同级政府采购监督管理部门</w:t>
      </w:r>
    </w:p>
    <w:p w14:paraId="3636D522">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称：长兴县财政局政府采购监管科</w:t>
      </w:r>
    </w:p>
    <w:p w14:paraId="49753327">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址：长兴县龙山街道锦绣路6号兴国商务楼1号楼1305室</w:t>
      </w:r>
    </w:p>
    <w:p w14:paraId="7241DC27">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联系人 ：佘科    监督投诉电话：0572-6027789</w:t>
      </w:r>
    </w:p>
    <w:p w14:paraId="0363B7E3">
      <w:pPr>
        <w:widowControl/>
        <w:spacing w:line="360" w:lineRule="exact"/>
        <w:ind w:firstLine="420" w:firstLineChars="200"/>
        <w:jc w:val="left"/>
        <w:rPr>
          <w:rFonts w:ascii="宋体" w:hAnsi="宋体" w:eastAsia="宋体" w:cs="宋体"/>
          <w:kern w:val="0"/>
          <w:szCs w:val="21"/>
        </w:rPr>
      </w:pPr>
    </w:p>
    <w:p w14:paraId="1B426069">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bookmarkEnd w:id="23"/>
    <w:bookmarkEnd w:id="24"/>
    <w:bookmarkEnd w:id="25"/>
    <w:bookmarkEnd w:id="26"/>
    <w:bookmarkEnd w:id="27"/>
    <w:bookmarkEnd w:id="28"/>
    <w:bookmarkEnd w:id="29"/>
    <w:bookmarkEnd w:id="30"/>
    <w:bookmarkEnd w:id="31"/>
    <w:bookmarkEnd w:id="32"/>
    <w:bookmarkEnd w:id="33"/>
    <w:p w14:paraId="44286854">
      <w:pPr>
        <w:widowControl/>
        <w:rPr>
          <w:rFonts w:ascii="宋体" w:hAnsi="宋体" w:cs="宋体"/>
          <w:b/>
          <w:sz w:val="32"/>
          <w:szCs w:val="32"/>
        </w:rPr>
      </w:pPr>
    </w:p>
    <w:p w14:paraId="5D97752A">
      <w:pPr>
        <w:spacing w:line="360" w:lineRule="auto"/>
        <w:jc w:val="center"/>
        <w:outlineLvl w:val="0"/>
        <w:rPr>
          <w:rFonts w:ascii="宋体" w:hAnsi="宋体" w:eastAsia="宋体" w:cs="宋体"/>
          <w:b/>
          <w:sz w:val="30"/>
          <w:szCs w:val="30"/>
        </w:rPr>
      </w:pPr>
      <w:bookmarkStart w:id="34" w:name="_Toc24788"/>
    </w:p>
    <w:p w14:paraId="1704EA3D">
      <w:pPr>
        <w:spacing w:line="360" w:lineRule="auto"/>
        <w:jc w:val="center"/>
        <w:outlineLvl w:val="0"/>
        <w:rPr>
          <w:rFonts w:hint="eastAsia" w:ascii="宋体" w:hAnsi="宋体" w:eastAsia="宋体" w:cs="宋体"/>
          <w:b/>
          <w:sz w:val="30"/>
          <w:szCs w:val="30"/>
        </w:rPr>
      </w:pPr>
      <w:r>
        <w:rPr>
          <w:rFonts w:hint="eastAsia" w:ascii="宋体" w:hAnsi="宋体" w:eastAsia="宋体" w:cs="宋体"/>
          <w:b/>
          <w:sz w:val="30"/>
          <w:szCs w:val="30"/>
        </w:rPr>
        <w:t>第二章  磋商需求</w:t>
      </w:r>
      <w:bookmarkEnd w:id="34"/>
    </w:p>
    <w:p w14:paraId="61FA1454">
      <w:pPr>
        <w:pStyle w:val="15"/>
        <w:rPr>
          <w:b/>
          <w:bCs/>
          <w:color w:val="auto"/>
        </w:rPr>
      </w:pPr>
      <w:r>
        <w:rPr>
          <w:rFonts w:hint="eastAsia"/>
          <w:b/>
          <w:bCs/>
          <w:color w:val="auto"/>
        </w:rPr>
        <w:t>一、项目概况：</w:t>
      </w:r>
    </w:p>
    <w:tbl>
      <w:tblPr>
        <w:tblStyle w:val="55"/>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2"/>
        <w:gridCol w:w="963"/>
        <w:gridCol w:w="2631"/>
        <w:gridCol w:w="1797"/>
      </w:tblGrid>
      <w:tr w14:paraId="5259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97" w:type="dxa"/>
            <w:vAlign w:val="center"/>
          </w:tcPr>
          <w:p w14:paraId="5FFA4A25">
            <w:pPr>
              <w:snapToGrid w:val="0"/>
              <w:spacing w:line="360" w:lineRule="auto"/>
              <w:jc w:val="left"/>
              <w:rPr>
                <w:rFonts w:hint="eastAsia" w:ascii="宋体" w:hAnsi="宋体" w:eastAsia="宋体" w:cs="宋体"/>
                <w:color w:val="auto"/>
                <w:sz w:val="21"/>
                <w:szCs w:val="21"/>
              </w:rPr>
            </w:pPr>
            <w:bookmarkStart w:id="35" w:name="_Toc157410886"/>
            <w:bookmarkStart w:id="36" w:name="_Toc3127"/>
            <w:bookmarkStart w:id="37" w:name="_Toc15377558"/>
            <w:bookmarkStart w:id="38" w:name="_Toc12148"/>
            <w:bookmarkStart w:id="39" w:name="_Toc535421303"/>
            <w:bookmarkStart w:id="40" w:name="_Toc172836894"/>
            <w:bookmarkStart w:id="41" w:name="_Toc4767"/>
            <w:bookmarkStart w:id="42" w:name="_Toc520894397"/>
            <w:r>
              <w:rPr>
                <w:rFonts w:hint="eastAsia" w:ascii="宋体" w:hAnsi="宋体" w:eastAsia="宋体" w:cs="宋体"/>
                <w:color w:val="auto"/>
                <w:sz w:val="21"/>
                <w:szCs w:val="21"/>
              </w:rPr>
              <w:t>序号</w:t>
            </w:r>
          </w:p>
        </w:tc>
        <w:tc>
          <w:tcPr>
            <w:tcW w:w="2822" w:type="dxa"/>
            <w:vAlign w:val="center"/>
          </w:tcPr>
          <w:p w14:paraId="472A21E8">
            <w:pPr>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963" w:type="dxa"/>
            <w:vAlign w:val="center"/>
          </w:tcPr>
          <w:p w14:paraId="24D9FFE8">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人数</w:t>
            </w:r>
          </w:p>
        </w:tc>
        <w:tc>
          <w:tcPr>
            <w:tcW w:w="2631" w:type="dxa"/>
            <w:vAlign w:val="center"/>
          </w:tcPr>
          <w:p w14:paraId="44186F6D">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预算</w:t>
            </w:r>
          </w:p>
        </w:tc>
        <w:tc>
          <w:tcPr>
            <w:tcW w:w="1797" w:type="dxa"/>
            <w:vAlign w:val="center"/>
          </w:tcPr>
          <w:p w14:paraId="166A545E">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服务期限</w:t>
            </w:r>
          </w:p>
        </w:tc>
      </w:tr>
      <w:tr w14:paraId="5922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97" w:type="dxa"/>
            <w:vAlign w:val="center"/>
          </w:tcPr>
          <w:p w14:paraId="539E9919">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rPr>
              <w:t>1</w:t>
            </w:r>
          </w:p>
        </w:tc>
        <w:tc>
          <w:tcPr>
            <w:tcW w:w="2822" w:type="dxa"/>
            <w:vAlign w:val="center"/>
          </w:tcPr>
          <w:p w14:paraId="0C02B2F3">
            <w:pPr>
              <w:widowControl/>
              <w:spacing w:line="36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长兴技师学院2025年保安服务采购项目</w:t>
            </w:r>
          </w:p>
        </w:tc>
        <w:tc>
          <w:tcPr>
            <w:tcW w:w="963" w:type="dxa"/>
            <w:vAlign w:val="center"/>
          </w:tcPr>
          <w:p w14:paraId="6CCFA4B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10人</w:t>
            </w:r>
          </w:p>
        </w:tc>
        <w:tc>
          <w:tcPr>
            <w:tcW w:w="2631" w:type="dxa"/>
            <w:vAlign w:val="center"/>
          </w:tcPr>
          <w:p w14:paraId="29B38526">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520000元 /年</w:t>
            </w:r>
          </w:p>
        </w:tc>
        <w:tc>
          <w:tcPr>
            <w:tcW w:w="1797" w:type="dxa"/>
            <w:vAlign w:val="center"/>
          </w:tcPr>
          <w:p w14:paraId="1A5C9C28">
            <w:pPr>
              <w:snapToGrid w:val="0"/>
              <w:spacing w:line="360" w:lineRule="auto"/>
              <w:ind w:left="735" w:leftChars="100" w:hanging="525" w:hangingChars="250"/>
              <w:jc w:val="center"/>
              <w:rPr>
                <w:rFonts w:hint="eastAsia" w:ascii="宋体" w:hAnsi="宋体" w:eastAsia="宋体" w:cs="宋体"/>
                <w:color w:val="auto"/>
                <w:sz w:val="21"/>
                <w:szCs w:val="21"/>
              </w:rPr>
            </w:pPr>
            <w:r>
              <w:rPr>
                <w:rFonts w:hint="eastAsia" w:ascii="宋体" w:hAnsi="宋体" w:eastAsia="宋体" w:cs="宋体"/>
                <w:color w:val="auto"/>
                <w:sz w:val="21"/>
                <w:szCs w:val="21"/>
              </w:rPr>
              <w:t>1年</w:t>
            </w:r>
          </w:p>
        </w:tc>
      </w:tr>
    </w:tbl>
    <w:p w14:paraId="12EBB4C9">
      <w:pPr>
        <w:spacing w:line="360" w:lineRule="auto"/>
        <w:rPr>
          <w:rFonts w:hint="eastAsia" w:ascii="宋体" w:hAnsi="宋体" w:eastAsia="宋体"/>
          <w:b/>
          <w:bCs/>
          <w:color w:val="auto"/>
          <w:szCs w:val="21"/>
        </w:rPr>
      </w:pPr>
      <w:r>
        <w:rPr>
          <w:rFonts w:hint="eastAsia" w:ascii="宋体" w:hAnsi="宋体" w:eastAsia="宋体"/>
          <w:b/>
          <w:bCs/>
          <w:color w:val="auto"/>
          <w:szCs w:val="21"/>
        </w:rPr>
        <w:t xml:space="preserve"> </w:t>
      </w:r>
      <w:r>
        <w:rPr>
          <w:rFonts w:hint="eastAsia" w:asciiTheme="minorEastAsia" w:hAnsiTheme="minorEastAsia" w:eastAsiaTheme="minorEastAsia"/>
          <w:b/>
          <w:bCs/>
          <w:color w:val="auto"/>
          <w:szCs w:val="21"/>
        </w:rPr>
        <w:t>二</w:t>
      </w:r>
      <w:r>
        <w:rPr>
          <w:rFonts w:hint="eastAsia" w:ascii="宋体" w:hAnsi="宋体" w:eastAsia="宋体"/>
          <w:b/>
          <w:bCs/>
          <w:color w:val="auto"/>
          <w:szCs w:val="21"/>
        </w:rPr>
        <w:t>、基本概况：</w:t>
      </w:r>
    </w:p>
    <w:p w14:paraId="482F1FD2">
      <w:pPr>
        <w:spacing w:line="360" w:lineRule="auto"/>
        <w:rPr>
          <w:rFonts w:hint="eastAsia" w:ascii="宋体" w:hAnsi="宋体" w:eastAsia="宋体" w:cs="宋体"/>
          <w:color w:val="auto"/>
          <w:szCs w:val="21"/>
        </w:rPr>
      </w:pPr>
      <w:r>
        <w:rPr>
          <w:rFonts w:hint="eastAsia" w:ascii="宋体" w:hAnsi="宋体" w:eastAsia="宋体"/>
          <w:color w:val="auto"/>
          <w:szCs w:val="21"/>
        </w:rPr>
        <w:t xml:space="preserve">   </w:t>
      </w:r>
      <w:r>
        <w:rPr>
          <w:rFonts w:hint="eastAsia" w:ascii="宋体" w:hAnsi="宋体" w:eastAsia="宋体" w:cs="宋体"/>
          <w:color w:val="auto"/>
          <w:szCs w:val="21"/>
        </w:rPr>
        <w:t>为加强安全防范能力，防止外来侵扰，保障学生在校期间人身、财产安全，保证学校正常的教育教学、办公秩序</w:t>
      </w:r>
      <w:r>
        <w:rPr>
          <w:rFonts w:hint="eastAsia" w:ascii="宋体" w:hAnsi="宋体" w:eastAsia="宋体" w:cs="宋体"/>
          <w:b w:val="0"/>
          <w:bCs w:val="0"/>
          <w:color w:val="auto"/>
          <w:szCs w:val="21"/>
        </w:rPr>
        <w:t>，需对采购方加强校园保安服务。安保服务费中主要包含</w:t>
      </w:r>
      <w:r>
        <w:rPr>
          <w:rFonts w:hint="eastAsia" w:cs="宋体" w:asciiTheme="minorEastAsia" w:hAnsiTheme="minorEastAsia" w:eastAsiaTheme="minorEastAsia"/>
          <w:color w:val="auto"/>
          <w:szCs w:val="21"/>
        </w:rPr>
        <w:t>劳务支出、劳保福利、住宿、</w:t>
      </w:r>
      <w:r>
        <w:rPr>
          <w:rFonts w:hint="eastAsia" w:cs="宋体" w:asciiTheme="minorEastAsia" w:hAnsiTheme="minorEastAsia" w:eastAsiaTheme="minorEastAsia"/>
          <w:color w:val="auto"/>
          <w:szCs w:val="21"/>
          <w:lang w:val="en-US" w:eastAsia="zh-CN"/>
        </w:rPr>
        <w:t>办公用品及耗材</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人员着装及配套用品、必备装备或用具、</w:t>
      </w:r>
      <w:r>
        <w:rPr>
          <w:rFonts w:hint="eastAsia" w:cs="宋体" w:asciiTheme="minorEastAsia" w:hAnsiTheme="minorEastAsia" w:eastAsiaTheme="minorEastAsia"/>
          <w:color w:val="auto"/>
          <w:szCs w:val="21"/>
        </w:rPr>
        <w:t>管理费、社会保险、就餐、医疗、工伤、意外保险、养老保险、加班及夜餐费、高温费、福利费、税</w:t>
      </w:r>
      <w:r>
        <w:rPr>
          <w:rFonts w:hint="eastAsia" w:cs="宋体" w:asciiTheme="minorEastAsia" w:hAnsiTheme="minorEastAsia" w:eastAsiaTheme="minorEastAsia"/>
          <w:color w:val="auto"/>
          <w:szCs w:val="21"/>
          <w:lang w:val="en-US" w:eastAsia="zh-CN"/>
        </w:rPr>
        <w:t>金</w:t>
      </w:r>
      <w:r>
        <w:rPr>
          <w:rFonts w:hint="eastAsia" w:cs="宋体" w:asciiTheme="minorEastAsia" w:hAnsiTheme="minorEastAsia" w:eastAsiaTheme="minorEastAsia"/>
          <w:color w:val="auto"/>
          <w:szCs w:val="21"/>
        </w:rPr>
        <w:t>、治安以及</w:t>
      </w:r>
      <w:r>
        <w:rPr>
          <w:rFonts w:hint="eastAsia" w:cs="宋体" w:asciiTheme="minorEastAsia" w:hAnsiTheme="minorEastAsia" w:eastAsiaTheme="minorEastAsia"/>
          <w:color w:val="auto"/>
          <w:kern w:val="28"/>
          <w:szCs w:val="21"/>
          <w:lang w:val="zh-CN"/>
        </w:rPr>
        <w:t>政策性文件规定及合同明示或暗示的所有风险、责任、义务等各项应有的费用</w:t>
      </w:r>
      <w:r>
        <w:rPr>
          <w:rFonts w:hint="eastAsia" w:ascii="宋体" w:hAnsi="宋体" w:eastAsia="宋体" w:cs="宋体"/>
          <w:b/>
          <w:bCs/>
          <w:color w:val="auto"/>
          <w:szCs w:val="21"/>
        </w:rPr>
        <w:t>。</w:t>
      </w:r>
    </w:p>
    <w:p w14:paraId="5D8C988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（一）服务单位向采购方派驻的保安人员需具有保安资质</w:t>
      </w:r>
      <w:r>
        <w:rPr>
          <w:rFonts w:hint="eastAsia" w:ascii="宋体" w:hAnsi="宋体" w:eastAsia="宋体" w:cs="宋体"/>
          <w:b/>
          <w:bCs/>
          <w:color w:val="auto"/>
          <w:szCs w:val="21"/>
        </w:rPr>
        <w:t>（</w:t>
      </w:r>
      <w:r>
        <w:rPr>
          <w:rFonts w:hint="eastAsia" w:ascii="宋体" w:hAnsi="宋体" w:eastAsia="宋体"/>
          <w:b/>
          <w:bCs/>
          <w:color w:val="auto"/>
          <w:szCs w:val="21"/>
        </w:rPr>
        <w:t>保安员须持有公安机关核发的《保安员证》</w:t>
      </w:r>
      <w:r>
        <w:rPr>
          <w:rFonts w:hint="eastAsia" w:ascii="宋体" w:hAnsi="宋体" w:eastAsia="宋体" w:cs="宋体"/>
          <w:b/>
          <w:bCs/>
          <w:color w:val="auto"/>
          <w:szCs w:val="21"/>
        </w:rPr>
        <w:t>）</w:t>
      </w:r>
      <w:r>
        <w:rPr>
          <w:rFonts w:hint="eastAsia" w:ascii="宋体" w:hAnsi="宋体" w:eastAsia="宋体" w:cs="宋体"/>
          <w:color w:val="auto"/>
          <w:szCs w:val="21"/>
        </w:rPr>
        <w:t>，按照国家和地方有关法律、法规与保安人员签订合法的劳动合同，支付相应的工资、福利等，并为保安人员办理社会保险。</w:t>
      </w:r>
    </w:p>
    <w:p w14:paraId="66E843FC">
      <w:pPr>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（二）服务单位须按照本</w:t>
      </w:r>
      <w:r>
        <w:rPr>
          <w:rFonts w:hint="eastAsia" w:cs="宋体" w:asciiTheme="minorEastAsia" w:hAnsiTheme="minorEastAsia" w:eastAsiaTheme="minorEastAsia"/>
          <w:color w:val="auto"/>
          <w:szCs w:val="21"/>
        </w:rPr>
        <w:t>磋商</w:t>
      </w:r>
      <w:r>
        <w:rPr>
          <w:rFonts w:hint="eastAsia" w:ascii="宋体" w:hAnsi="宋体" w:eastAsia="宋体" w:cs="宋体"/>
          <w:color w:val="auto"/>
          <w:szCs w:val="21"/>
        </w:rPr>
        <w:t>文件的要求对该项目进行保安服务工作。保安人员进驻采购单位值勤后，必须服从采购单位的安排和管理，严格遵守采购单位的有关规章制度，接受监督。对违反采购方管理规定、不能尽职尽责完成工作任务的保安人员，采购方有权要求调换，服务单位应在十五个工作日内满足</w:t>
      </w:r>
      <w:r>
        <w:rPr>
          <w:rFonts w:hint="eastAsia" w:cs="宋体" w:asciiTheme="minorEastAsia" w:hAnsiTheme="minorEastAsia" w:eastAsiaTheme="minorEastAsia"/>
          <w:color w:val="auto"/>
          <w:szCs w:val="21"/>
        </w:rPr>
        <w:t>采购人</w:t>
      </w:r>
      <w:r>
        <w:rPr>
          <w:rFonts w:hint="eastAsia" w:ascii="宋体" w:hAnsi="宋体" w:eastAsia="宋体" w:cs="宋体"/>
          <w:color w:val="auto"/>
          <w:szCs w:val="21"/>
        </w:rPr>
        <w:t>要求。</w:t>
      </w:r>
      <w:r>
        <w:rPr>
          <w:rFonts w:hint="eastAsia" w:ascii="宋体" w:hAnsi="宋体" w:eastAsia="宋体" w:cs="宋体"/>
          <w:b/>
          <w:color w:val="auto"/>
          <w:szCs w:val="21"/>
        </w:rPr>
        <w:t>派驻学校的保安人员不得轻易变动，如需变动必须报请采购方同意。</w:t>
      </w:r>
    </w:p>
    <w:p w14:paraId="3C2AC673">
      <w:pPr>
        <w:pStyle w:val="150"/>
        <w:adjustRightInd w:val="0"/>
        <w:snapToGrid w:val="0"/>
        <w:spacing w:before="0"/>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（三）服务单位向采购方派驻的保安人员具体工作要求：一是保安人员值勤期间，应遵纪守法、着装整洁、礼貌待人、认真负责、文明规范，注意维护</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的社会形象，不得给采购方造成不良影响。二是维护采购单位指定区域内的治安秩序和财产及人身安全，负责治安、消防等突发事件的预期处置和报警。配合</w:t>
      </w:r>
      <w:r>
        <w:rPr>
          <w:rFonts w:hint="eastAsia" w:cs="宋体" w:asciiTheme="minorEastAsia" w:hAnsiTheme="minorEastAsia" w:eastAsiaTheme="minorEastAsia"/>
          <w:color w:val="auto"/>
          <w:sz w:val="21"/>
          <w:szCs w:val="21"/>
        </w:rPr>
        <w:t>采购人</w:t>
      </w:r>
      <w:r>
        <w:rPr>
          <w:rFonts w:hint="eastAsia" w:ascii="宋体" w:hAnsi="宋体" w:eastAsia="宋体" w:cs="宋体"/>
          <w:color w:val="auto"/>
          <w:sz w:val="21"/>
          <w:szCs w:val="21"/>
        </w:rPr>
        <w:t>定期对指定区域内的消防、安防设施进行一般性检查。发生治安、消防事件的，第一时间内向</w:t>
      </w:r>
      <w:r>
        <w:rPr>
          <w:rFonts w:hint="eastAsia" w:cs="宋体" w:asciiTheme="minorEastAsia" w:hAnsiTheme="minorEastAsia" w:eastAsiaTheme="minorEastAsia"/>
          <w:color w:val="auto"/>
          <w:sz w:val="21"/>
          <w:szCs w:val="21"/>
        </w:rPr>
        <w:t>采购方</w:t>
      </w:r>
      <w:r>
        <w:rPr>
          <w:rFonts w:hint="eastAsia" w:ascii="宋体" w:hAnsi="宋体" w:eastAsia="宋体" w:cs="宋体"/>
          <w:color w:val="auto"/>
          <w:sz w:val="21"/>
          <w:szCs w:val="21"/>
        </w:rPr>
        <w:t>联系人员报告。三是负责对外来人员、车辆、物资进出登记、管理和引导，讲究礼仪，文明礼貌，不与来访人员发生冲突，执行夜间巡视制度或临时性任务。四是停车场的车辆要排列整齐，随时指导车辆停放位置，督促车辆锁闭情况，严防偷盗和交通事故的发生。五是严防刑事案件和治安事件的发生，随时处理紧急情况和制止突发事件，维护工作秩序，确保正常办公。六是不得干涉派驻单位内部事务，不得擅自挪用派驻单位的公共财物和派驻单位员工的私人物品，进入办公室、会议室等要事先征得派驻单位同意。</w:t>
      </w:r>
    </w:p>
    <w:p w14:paraId="29D0DDA5">
      <w:pPr>
        <w:pStyle w:val="150"/>
        <w:adjustRightInd w:val="0"/>
        <w:snapToGrid w:val="0"/>
        <w:spacing w:before="0"/>
        <w:ind w:firstLine="422"/>
        <w:rPr>
          <w:rFonts w:hint="eastAsia" w:ascii="宋体" w:hAnsi="宋体" w:eastAsia="宋体"/>
          <w:b/>
          <w:bCs/>
          <w:color w:val="auto"/>
          <w:sz w:val="21"/>
          <w:szCs w:val="21"/>
        </w:rPr>
      </w:pPr>
      <w:r>
        <w:rPr>
          <w:rFonts w:hint="eastAsia" w:ascii="宋体" w:hAnsi="宋体" w:eastAsia="宋体"/>
          <w:b/>
          <w:bCs/>
          <w:color w:val="auto"/>
          <w:sz w:val="21"/>
          <w:szCs w:val="21"/>
        </w:rPr>
        <w:t>（1）门卫值班：</w:t>
      </w:r>
    </w:p>
    <w:p w14:paraId="0F7AC276">
      <w:pPr>
        <w:pStyle w:val="150"/>
        <w:adjustRightInd w:val="0"/>
        <w:snapToGrid w:val="0"/>
        <w:spacing w:before="0"/>
        <w:ind w:firstLine="420"/>
        <w:rPr>
          <w:rFonts w:hint="eastAsia" w:ascii="宋体" w:hAnsi="宋体" w:eastAsia="宋体"/>
          <w:b/>
          <w:bCs/>
          <w:color w:val="auto"/>
          <w:sz w:val="21"/>
          <w:szCs w:val="21"/>
        </w:rPr>
      </w:pPr>
      <w:r>
        <w:rPr>
          <w:rFonts w:hint="eastAsia" w:ascii="宋体" w:hAnsi="宋体" w:eastAsia="宋体"/>
          <w:color w:val="auto"/>
          <w:sz w:val="21"/>
          <w:szCs w:val="21"/>
        </w:rPr>
        <w:t>上岗时佩戴统一标志，按要求穿着2011式保安制服，装备佩戴符合《保安员装备配备与管理要求》的规定，仪容仪表规范整齐，当值时坐姿挺直，站岗时不倚不靠。文明执勤，训练有素，言语规范，认真负责，出入口安排24小时值勤，建立传达、保安、车辆、服务区内的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w:t>
      </w:r>
    </w:p>
    <w:p w14:paraId="607D67AB">
      <w:pPr>
        <w:pStyle w:val="150"/>
        <w:adjustRightInd w:val="0"/>
        <w:snapToGrid w:val="0"/>
        <w:spacing w:before="0"/>
        <w:ind w:firstLine="422"/>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（2）校园及周边巡查：</w:t>
      </w:r>
    </w:p>
    <w:p w14:paraId="1B3B7130">
      <w:pPr>
        <w:pStyle w:val="150"/>
        <w:adjustRightInd w:val="0"/>
        <w:snapToGrid w:val="0"/>
        <w:spacing w:before="0"/>
        <w:ind w:firstLine="422"/>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安排一名保安专职负责校园内及校园周边区域巡查。当值保安每班次巡查校园重要区域不少于5次，“三空”时段重点巡视周边区域，其他时间巡视校园重要区域（具体时间和区域按照学校需要设置）。</w:t>
      </w:r>
    </w:p>
    <w:p w14:paraId="277EF6F3">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w:t>
      </w:r>
      <w:r>
        <w:rPr>
          <w:rFonts w:hint="eastAsia" w:ascii="宋体" w:hAnsi="宋体" w:eastAsia="宋体"/>
          <w:color w:val="auto"/>
          <w:sz w:val="21"/>
          <w:szCs w:val="21"/>
          <w:lang w:val="en-US" w:eastAsia="zh-CN"/>
        </w:rPr>
        <w:t>发</w:t>
      </w:r>
      <w:r>
        <w:rPr>
          <w:rFonts w:hint="eastAsia" w:ascii="宋体" w:hAnsi="宋体" w:eastAsia="宋体"/>
          <w:color w:val="auto"/>
          <w:sz w:val="21"/>
          <w:szCs w:val="21"/>
        </w:rPr>
        <w:t>现异常情况，应立即通知有关部门并在现场采取必要措施，随时准备启动并执行相应的应急预案。</w:t>
      </w:r>
    </w:p>
    <w:p w14:paraId="02CFA67C">
      <w:pPr>
        <w:pStyle w:val="150"/>
        <w:adjustRightInd w:val="0"/>
        <w:snapToGrid w:val="0"/>
        <w:spacing w:before="0"/>
        <w:ind w:firstLine="422"/>
        <w:rPr>
          <w:rFonts w:hint="eastAsia" w:ascii="宋体" w:hAnsi="宋体" w:eastAsia="宋体"/>
          <w:b/>
          <w:bCs/>
          <w:color w:val="auto"/>
          <w:sz w:val="21"/>
          <w:szCs w:val="21"/>
        </w:rPr>
      </w:pPr>
      <w:r>
        <w:rPr>
          <w:rFonts w:hint="eastAsia" w:ascii="宋体" w:hAnsi="宋体" w:eastAsia="宋体"/>
          <w:b/>
          <w:bCs/>
          <w:color w:val="auto"/>
          <w:sz w:val="21"/>
          <w:szCs w:val="21"/>
        </w:rPr>
        <w:t>（3）交通秩序维护：</w:t>
      </w:r>
    </w:p>
    <w:p w14:paraId="6B89A52A">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管辖区域设置行车指示标志，规定车辆行驶路线，指定车辆停放区域，非机动车应实行定点停放。对进出管辖区域的各类车辆进行管理，维护交通秩序，保证车辆有序通行、有序停放。</w:t>
      </w:r>
    </w:p>
    <w:p w14:paraId="6CEDD662">
      <w:pPr>
        <w:spacing w:line="360" w:lineRule="auto"/>
        <w:ind w:firstLine="422" w:firstLineChars="200"/>
        <w:rPr>
          <w:rFonts w:hint="eastAsia" w:ascii="宋体" w:hAnsi="宋体" w:eastAsia="宋体" w:cs="Times New Roman"/>
          <w:b/>
          <w:bCs/>
          <w:color w:val="auto"/>
          <w:szCs w:val="21"/>
        </w:rPr>
      </w:pPr>
      <w:r>
        <w:rPr>
          <w:rFonts w:hint="eastAsia" w:ascii="宋体" w:hAnsi="宋体" w:eastAsia="宋体" w:cs="Times New Roman"/>
          <w:b/>
          <w:bCs/>
          <w:color w:val="auto"/>
          <w:szCs w:val="21"/>
        </w:rPr>
        <w:t>（4）突发事件处理：</w:t>
      </w:r>
    </w:p>
    <w:p w14:paraId="5FCF3BFC">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按照要求制订各类突发事件应急预案，并将预案内容在保安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0CB2232E">
      <w:pPr>
        <w:pStyle w:val="150"/>
        <w:adjustRightInd w:val="0"/>
        <w:snapToGrid w:val="0"/>
        <w:spacing w:before="0"/>
        <w:ind w:firstLine="0" w:firstLineChars="0"/>
        <w:rPr>
          <w:rFonts w:hint="eastAsia" w:ascii="宋体" w:hAnsi="宋体" w:eastAsia="宋体"/>
          <w:b/>
          <w:bCs/>
          <w:color w:val="auto"/>
          <w:sz w:val="21"/>
          <w:szCs w:val="21"/>
        </w:rPr>
      </w:pPr>
      <w:r>
        <w:rPr>
          <w:rFonts w:hint="eastAsia" w:ascii="宋体" w:hAnsi="宋体" w:eastAsia="宋体"/>
          <w:b/>
          <w:bCs/>
          <w:color w:val="auto"/>
          <w:sz w:val="21"/>
          <w:szCs w:val="21"/>
        </w:rPr>
        <w:t xml:space="preserve"> </w:t>
      </w:r>
      <w:r>
        <w:rPr>
          <w:rFonts w:hint="eastAsia" w:asciiTheme="minorEastAsia" w:hAnsiTheme="minorEastAsia" w:eastAsiaTheme="minorEastAsia"/>
          <w:b/>
          <w:bCs/>
          <w:color w:val="auto"/>
          <w:sz w:val="21"/>
          <w:szCs w:val="21"/>
        </w:rPr>
        <w:t>三</w:t>
      </w:r>
      <w:r>
        <w:rPr>
          <w:rFonts w:hint="eastAsia" w:ascii="宋体" w:hAnsi="宋体" w:eastAsia="宋体"/>
          <w:b/>
          <w:bCs/>
          <w:color w:val="auto"/>
          <w:sz w:val="21"/>
          <w:szCs w:val="21"/>
        </w:rPr>
        <w:t>、其他</w:t>
      </w:r>
    </w:p>
    <w:p w14:paraId="2851B28F">
      <w:pPr>
        <w:pStyle w:val="150"/>
        <w:adjustRightInd w:val="0"/>
        <w:snapToGrid w:val="0"/>
        <w:spacing w:before="0"/>
        <w:ind w:firstLine="0" w:firstLineChars="0"/>
        <w:rPr>
          <w:rFonts w:hint="eastAsia" w:ascii="宋体" w:hAnsi="宋体" w:eastAsia="宋体"/>
          <w:b/>
          <w:bCs/>
          <w:color w:val="auto"/>
          <w:sz w:val="21"/>
          <w:szCs w:val="21"/>
        </w:rPr>
      </w:pPr>
      <w:r>
        <w:rPr>
          <w:rFonts w:hint="eastAsia" w:ascii="宋体" w:hAnsi="宋体" w:eastAsia="宋体"/>
          <w:color w:val="auto"/>
          <w:sz w:val="21"/>
          <w:szCs w:val="21"/>
        </w:rPr>
        <w:t>（1）</w:t>
      </w:r>
      <w:r>
        <w:rPr>
          <w:rFonts w:hint="eastAsia" w:asciiTheme="minorEastAsia" w:hAnsiTheme="minorEastAsia" w:eastAsiaTheme="minorEastAsia"/>
          <w:color w:val="auto"/>
          <w:sz w:val="21"/>
          <w:szCs w:val="21"/>
        </w:rPr>
        <w:t>供应商</w:t>
      </w:r>
      <w:r>
        <w:rPr>
          <w:rFonts w:hint="eastAsia" w:ascii="宋体" w:hAnsi="宋体" w:eastAsia="宋体"/>
          <w:color w:val="auto"/>
          <w:sz w:val="21"/>
          <w:szCs w:val="21"/>
        </w:rPr>
        <w:t>应根据采购单位服务岗位的要求提供服务人员，一般服务人员年龄男同志18－55周岁（含）、女同志18－50周岁（含）。服务人员良好沟通能力、心理承受能力，身体健康、仪表端庄、品德端正、遵章守纪，无违法违纪行为，工作细致、有耐心，服务态度亲切，服务意识强，有责任心，善于沟通，服从管理，具有良好的团队合作精神。服务人员基本培训由</w:t>
      </w:r>
      <w:r>
        <w:rPr>
          <w:rFonts w:hint="eastAsia" w:asciiTheme="minorEastAsia" w:hAnsiTheme="minorEastAsia" w:eastAsiaTheme="minorEastAsia"/>
          <w:color w:val="auto"/>
          <w:sz w:val="21"/>
          <w:szCs w:val="21"/>
        </w:rPr>
        <w:t>供应商</w:t>
      </w:r>
      <w:r>
        <w:rPr>
          <w:rFonts w:hint="eastAsia" w:ascii="宋体" w:hAnsi="宋体" w:eastAsia="宋体"/>
          <w:color w:val="auto"/>
          <w:sz w:val="21"/>
          <w:szCs w:val="21"/>
        </w:rPr>
        <w:t>负责实施，业务培训由采购单位统一实施。</w:t>
      </w:r>
    </w:p>
    <w:p w14:paraId="45AF31A6">
      <w:pPr>
        <w:pStyle w:val="150"/>
        <w:adjustRightInd w:val="0"/>
        <w:snapToGrid w:val="0"/>
        <w:spacing w:before="0"/>
        <w:ind w:firstLine="0" w:firstLineChars="0"/>
        <w:rPr>
          <w:rFonts w:hint="eastAsia" w:ascii="宋体" w:hAnsi="宋体" w:eastAsia="宋体" w:cs="Times New Roman"/>
          <w:b/>
          <w:bCs/>
          <w:color w:val="auto"/>
          <w:kern w:val="2"/>
          <w:sz w:val="21"/>
          <w:szCs w:val="21"/>
          <w:lang w:val="en-US" w:eastAsia="zh-CN"/>
        </w:rPr>
      </w:pPr>
      <w:r>
        <w:rPr>
          <w:rFonts w:hint="eastAsia" w:ascii="宋体" w:hAnsi="宋体" w:eastAsia="宋体"/>
          <w:b/>
          <w:bCs/>
          <w:color w:val="auto"/>
          <w:sz w:val="21"/>
          <w:szCs w:val="21"/>
        </w:rPr>
        <w:t xml:space="preserve">   ▲（2）服务人员</w:t>
      </w:r>
      <w:r>
        <w:rPr>
          <w:rFonts w:hint="eastAsia" w:ascii="宋体" w:hAnsi="宋体" w:eastAsia="宋体"/>
          <w:b/>
          <w:bCs/>
          <w:color w:val="auto"/>
          <w:sz w:val="21"/>
          <w:szCs w:val="21"/>
          <w:lang w:val="en-US" w:eastAsia="zh-CN"/>
        </w:rPr>
        <w:t>中至少配备一名持有</w:t>
      </w:r>
      <w:r>
        <w:rPr>
          <w:rFonts w:hint="eastAsia" w:ascii="宋体" w:hAnsi="宋体" w:eastAsia="宋体" w:cs="Times New Roman"/>
          <w:b/>
          <w:bCs/>
          <w:color w:val="auto"/>
          <w:kern w:val="2"/>
          <w:sz w:val="21"/>
          <w:szCs w:val="21"/>
        </w:rPr>
        <w:t>《建(构)筑物消防员职业资格》证书</w:t>
      </w:r>
      <w:r>
        <w:rPr>
          <w:rFonts w:hint="eastAsia" w:ascii="宋体" w:hAnsi="宋体" w:eastAsia="宋体" w:cs="Times New Roman"/>
          <w:b/>
          <w:bCs/>
          <w:color w:val="auto"/>
          <w:kern w:val="2"/>
          <w:sz w:val="21"/>
          <w:szCs w:val="21"/>
          <w:lang w:eastAsia="zh-CN"/>
        </w:rPr>
        <w:t>的</w:t>
      </w:r>
      <w:r>
        <w:rPr>
          <w:rFonts w:hint="eastAsia" w:ascii="宋体" w:hAnsi="宋体" w:eastAsia="宋体" w:cs="Times New Roman"/>
          <w:b/>
          <w:bCs/>
          <w:color w:val="auto"/>
          <w:kern w:val="2"/>
          <w:sz w:val="21"/>
          <w:szCs w:val="21"/>
          <w:lang w:val="en-US" w:eastAsia="zh-CN"/>
        </w:rPr>
        <w:t>保安人员，</w:t>
      </w:r>
      <w:r>
        <w:rPr>
          <w:rFonts w:hint="eastAsia" w:ascii="宋体" w:hAnsi="宋体" w:eastAsia="宋体"/>
          <w:b/>
          <w:bCs/>
          <w:color w:val="auto"/>
          <w:sz w:val="21"/>
          <w:szCs w:val="21"/>
        </w:rPr>
        <w:t>年龄男同志18－55周岁（含）、女同志18－50周岁（含）</w:t>
      </w:r>
      <w:r>
        <w:rPr>
          <w:rFonts w:hint="eastAsia" w:ascii="宋体" w:hAnsi="宋体" w:eastAsia="宋体" w:cs="Times New Roman"/>
          <w:b/>
          <w:bCs/>
          <w:color w:val="auto"/>
          <w:kern w:val="2"/>
          <w:sz w:val="21"/>
          <w:szCs w:val="21"/>
          <w:lang w:val="en-US" w:eastAsia="zh-CN"/>
        </w:rPr>
        <w:t>。</w:t>
      </w:r>
    </w:p>
    <w:p w14:paraId="73EF99D7">
      <w:pPr>
        <w:pStyle w:val="150"/>
        <w:adjustRightInd w:val="0"/>
        <w:snapToGrid w:val="0"/>
        <w:spacing w:before="0"/>
        <w:ind w:firstLine="211" w:firstLineChars="100"/>
        <w:rPr>
          <w:rFonts w:hint="eastAsia" w:ascii="宋体" w:hAnsi="宋体" w:eastAsia="宋体"/>
          <w:b/>
          <w:bCs/>
          <w:color w:val="auto"/>
          <w:sz w:val="21"/>
          <w:szCs w:val="21"/>
        </w:rPr>
      </w:pPr>
      <w:r>
        <w:rPr>
          <w:rFonts w:hint="eastAsia" w:ascii="宋体" w:hAnsi="宋体" w:eastAsia="宋体"/>
          <w:b/>
          <w:bCs/>
          <w:color w:val="auto"/>
          <w:sz w:val="21"/>
          <w:szCs w:val="21"/>
        </w:rPr>
        <w:t>▲</w:t>
      </w:r>
      <w:r>
        <w:rPr>
          <w:rFonts w:hint="eastAsia" w:ascii="宋体" w:hAnsi="宋体" w:eastAsia="宋体" w:cs="Times New Roman"/>
          <w:b/>
          <w:bCs/>
          <w:color w:val="auto"/>
          <w:kern w:val="2"/>
          <w:sz w:val="21"/>
          <w:szCs w:val="21"/>
          <w:lang w:val="en-US" w:eastAsia="zh-CN"/>
        </w:rPr>
        <w:t>（3）</w:t>
      </w:r>
      <w:r>
        <w:rPr>
          <w:rFonts w:hint="eastAsia" w:ascii="宋体" w:hAnsi="宋体" w:eastAsia="宋体"/>
          <w:b/>
          <w:bCs/>
          <w:color w:val="auto"/>
          <w:sz w:val="21"/>
          <w:szCs w:val="21"/>
        </w:rPr>
        <w:t>服务人员待遇，保安人员年收入应达4.8万元/人.年，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14:paraId="0B84A32E">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w:t>
      </w:r>
      <w:r>
        <w:rPr>
          <w:rFonts w:hint="eastAsia" w:asciiTheme="minorEastAsia" w:hAnsiTheme="minorEastAsia" w:eastAsiaTheme="minorEastAsia"/>
          <w:color w:val="auto"/>
          <w:sz w:val="21"/>
          <w:szCs w:val="21"/>
        </w:rPr>
        <w:t>供应商</w:t>
      </w:r>
      <w:r>
        <w:rPr>
          <w:rFonts w:hint="eastAsia" w:ascii="宋体" w:hAnsi="宋体" w:eastAsia="宋体"/>
          <w:color w:val="auto"/>
          <w:sz w:val="21"/>
          <w:szCs w:val="21"/>
        </w:rPr>
        <w:t>应制订具体的质量保证措施及质量保证及相关服务的承诺。</w:t>
      </w:r>
      <w:r>
        <w:rPr>
          <w:rFonts w:hint="eastAsia" w:asciiTheme="minorEastAsia" w:hAnsiTheme="minorEastAsia" w:eastAsiaTheme="minorEastAsia"/>
          <w:color w:val="auto"/>
          <w:sz w:val="21"/>
          <w:szCs w:val="21"/>
        </w:rPr>
        <w:t>供应商</w:t>
      </w:r>
      <w:r>
        <w:rPr>
          <w:rFonts w:hint="eastAsia" w:ascii="宋体" w:hAnsi="宋体" w:eastAsia="宋体"/>
          <w:color w:val="auto"/>
          <w:sz w:val="21"/>
          <w:szCs w:val="21"/>
        </w:rPr>
        <w:t>所有的工作除应按</w:t>
      </w:r>
      <w:r>
        <w:rPr>
          <w:rFonts w:hint="eastAsia" w:asciiTheme="minorEastAsia" w:hAnsiTheme="minorEastAsia" w:eastAsiaTheme="minorEastAsia"/>
          <w:color w:val="auto"/>
          <w:sz w:val="21"/>
          <w:szCs w:val="21"/>
        </w:rPr>
        <w:t>供应商</w:t>
      </w:r>
      <w:r>
        <w:rPr>
          <w:rFonts w:hint="eastAsia" w:ascii="宋体" w:hAnsi="宋体" w:eastAsia="宋体"/>
          <w:color w:val="auto"/>
          <w:sz w:val="21"/>
          <w:szCs w:val="21"/>
        </w:rPr>
        <w:t>的内部流程实施外还应接受采购单位或第三方的检查。服务方达不到采购单位要求及各项服务承诺，采购单位有权要求其整改，</w:t>
      </w:r>
      <w:r>
        <w:rPr>
          <w:rFonts w:hint="eastAsia" w:ascii="宋体" w:hAnsi="宋体" w:eastAsia="宋体"/>
          <w:color w:val="auto"/>
          <w:sz w:val="21"/>
          <w:szCs w:val="21"/>
          <w:lang w:val="en-US" w:eastAsia="zh-CN"/>
        </w:rPr>
        <w:t>整改不到位的采购单位有权</w:t>
      </w:r>
      <w:r>
        <w:rPr>
          <w:rFonts w:hint="eastAsia" w:ascii="宋体" w:hAnsi="宋体" w:eastAsia="宋体"/>
          <w:color w:val="auto"/>
          <w:sz w:val="21"/>
          <w:szCs w:val="21"/>
        </w:rPr>
        <w:t>扣款或终止合同。</w:t>
      </w:r>
    </w:p>
    <w:p w14:paraId="61225F26">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w:t>
      </w:r>
      <w:r>
        <w:rPr>
          <w:rFonts w:hint="eastAsia" w:asciiTheme="minorEastAsia" w:hAnsiTheme="minorEastAsia" w:eastAsiaTheme="minorEastAsia"/>
          <w:color w:val="auto"/>
          <w:sz w:val="21"/>
          <w:szCs w:val="21"/>
        </w:rPr>
        <w:t>成交人</w:t>
      </w:r>
      <w:r>
        <w:rPr>
          <w:rFonts w:hint="eastAsia" w:ascii="宋体" w:hAnsi="宋体" w:eastAsia="宋体"/>
          <w:color w:val="auto"/>
          <w:sz w:val="21"/>
          <w:szCs w:val="21"/>
        </w:rPr>
        <w:t>在合同签订前须提供管理主管、保安等重要岗位人员的相关有效证件和信息，如果</w:t>
      </w:r>
      <w:r>
        <w:rPr>
          <w:rFonts w:hint="eastAsia" w:asciiTheme="minorEastAsia" w:hAnsiTheme="minorEastAsia" w:eastAsiaTheme="minorEastAsia"/>
          <w:color w:val="auto"/>
          <w:sz w:val="21"/>
          <w:szCs w:val="21"/>
        </w:rPr>
        <w:t>成交人</w:t>
      </w:r>
      <w:r>
        <w:rPr>
          <w:rFonts w:hint="eastAsia" w:ascii="宋体" w:hAnsi="宋体" w:eastAsia="宋体"/>
          <w:color w:val="auto"/>
          <w:sz w:val="21"/>
          <w:szCs w:val="21"/>
        </w:rPr>
        <w:t>不能提供，则采购单位有权终止合同签订。其他人员聘用须将人员信息向采购人备案。</w:t>
      </w:r>
    </w:p>
    <w:p w14:paraId="437A3301">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）按要求和事项发生量及时配备足够和</w:t>
      </w:r>
      <w:r>
        <w:rPr>
          <w:rFonts w:hint="eastAsia" w:ascii="宋体" w:hAnsi="宋体" w:eastAsia="宋体"/>
          <w:color w:val="auto"/>
          <w:sz w:val="21"/>
          <w:szCs w:val="21"/>
          <w:lang w:val="en-US" w:eastAsia="zh-CN"/>
        </w:rPr>
        <w:t>能够</w:t>
      </w:r>
      <w:r>
        <w:rPr>
          <w:rFonts w:hint="eastAsia" w:ascii="宋体" w:hAnsi="宋体" w:eastAsia="宋体"/>
          <w:color w:val="auto"/>
          <w:sz w:val="21"/>
          <w:szCs w:val="21"/>
        </w:rPr>
        <w:t>胜任的相关管理和服务人员，并保持人员的稳定。遇调动或辞职时，</w:t>
      </w:r>
      <w:r>
        <w:rPr>
          <w:rFonts w:hint="eastAsia" w:asciiTheme="minorEastAsia" w:hAnsiTheme="minorEastAsia" w:eastAsiaTheme="minorEastAsia"/>
          <w:color w:val="auto"/>
          <w:sz w:val="21"/>
          <w:szCs w:val="21"/>
        </w:rPr>
        <w:t>成交人应</w:t>
      </w:r>
      <w:r>
        <w:rPr>
          <w:rFonts w:hint="eastAsia" w:ascii="宋体" w:hAnsi="宋体" w:eastAsia="宋体"/>
          <w:color w:val="auto"/>
          <w:sz w:val="21"/>
          <w:szCs w:val="21"/>
        </w:rPr>
        <w:t>提前10天告知</w:t>
      </w:r>
      <w:r>
        <w:rPr>
          <w:rFonts w:hint="eastAsia" w:asciiTheme="minorEastAsia" w:hAnsiTheme="minorEastAsia" w:eastAsiaTheme="minorEastAsia"/>
          <w:color w:val="auto"/>
          <w:sz w:val="21"/>
          <w:szCs w:val="21"/>
        </w:rPr>
        <w:t>采购人</w:t>
      </w:r>
      <w:r>
        <w:rPr>
          <w:rFonts w:hint="eastAsia" w:ascii="宋体" w:hAnsi="宋体" w:eastAsia="宋体"/>
          <w:color w:val="auto"/>
          <w:sz w:val="21"/>
          <w:szCs w:val="21"/>
        </w:rPr>
        <w:t>并得到同意后才能更换，按要求及时补充相应人员，提前做好交接班。对</w:t>
      </w:r>
      <w:r>
        <w:rPr>
          <w:rFonts w:hint="eastAsia" w:asciiTheme="minorEastAsia" w:hAnsiTheme="minorEastAsia" w:eastAsiaTheme="minorEastAsia"/>
          <w:color w:val="auto"/>
          <w:sz w:val="21"/>
          <w:szCs w:val="21"/>
        </w:rPr>
        <w:t>采购人</w:t>
      </w:r>
      <w:r>
        <w:rPr>
          <w:rFonts w:hint="eastAsia" w:ascii="宋体" w:hAnsi="宋体" w:eastAsia="宋体"/>
          <w:color w:val="auto"/>
          <w:sz w:val="21"/>
          <w:szCs w:val="21"/>
        </w:rPr>
        <w:t>认为无能力、工作失职或不合适人员，应立即更换。岗位人数不足时，按相应岗位成本扣除服务费。</w:t>
      </w:r>
    </w:p>
    <w:p w14:paraId="3207EEAE">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）按国家和当地政府有关劳动法规、条例，向管理服务人员提供相应工种的劳动工资、加班工资、劳动保护等待遇。</w:t>
      </w:r>
    </w:p>
    <w:p w14:paraId="46E417E0">
      <w:pPr>
        <w:pStyle w:val="150"/>
        <w:adjustRightInd w:val="0"/>
        <w:snapToGrid w:val="0"/>
        <w:spacing w:before="0"/>
        <w:ind w:firstLine="420"/>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）各</w:t>
      </w:r>
      <w:r>
        <w:rPr>
          <w:rFonts w:hint="eastAsia" w:asciiTheme="minorEastAsia" w:hAnsiTheme="minorEastAsia" w:eastAsiaTheme="minorEastAsia"/>
          <w:color w:val="auto"/>
          <w:sz w:val="21"/>
          <w:szCs w:val="21"/>
        </w:rPr>
        <w:t>供应商</w:t>
      </w:r>
      <w:r>
        <w:rPr>
          <w:rFonts w:hint="eastAsia" w:ascii="宋体" w:hAnsi="宋体" w:eastAsia="宋体"/>
          <w:color w:val="auto"/>
          <w:sz w:val="21"/>
          <w:szCs w:val="21"/>
        </w:rPr>
        <w:t>须按《保安服务管理条例》等国家有关法律法规、标准和规范完成采购文件要求的物业管理或保安服务。</w:t>
      </w:r>
    </w:p>
    <w:p w14:paraId="04CA3835">
      <w:pPr>
        <w:widowControl/>
        <w:autoSpaceDE w:val="0"/>
        <w:autoSpaceDN w:val="0"/>
        <w:adjustRightInd w:val="0"/>
        <w:spacing w:line="360" w:lineRule="auto"/>
        <w:ind w:firstLine="0" w:firstLineChars="0"/>
        <w:rPr>
          <w:rFonts w:hint="eastAsia" w:ascii="宋体" w:hAnsi="宋体" w:eastAsia="宋体"/>
          <w:b/>
          <w:bCs/>
          <w:color w:val="auto"/>
          <w:szCs w:val="21"/>
        </w:rPr>
      </w:pPr>
      <w:r>
        <w:rPr>
          <w:rFonts w:hint="eastAsia" w:ascii="宋体" w:hAnsi="宋体" w:eastAsia="宋体"/>
          <w:b/>
          <w:bCs/>
          <w:color w:val="auto"/>
          <w:szCs w:val="21"/>
          <w:lang w:val="en-US" w:eastAsia="zh-CN"/>
        </w:rPr>
        <w:t>四</w:t>
      </w:r>
      <w:r>
        <w:rPr>
          <w:rFonts w:hint="eastAsia" w:ascii="宋体" w:hAnsi="宋体" w:eastAsia="宋体"/>
          <w:b/>
          <w:bCs/>
          <w:color w:val="auto"/>
          <w:szCs w:val="21"/>
        </w:rPr>
        <w:t>、管理服务应达到的各项指标</w:t>
      </w:r>
    </w:p>
    <w:p w14:paraId="2FF8360F">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（1）基本杜绝火灾责任事故和刑事案件。</w:t>
      </w:r>
    </w:p>
    <w:p w14:paraId="5EF32140">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（2）服务有效投诉少于1%，处理率100%。</w:t>
      </w:r>
    </w:p>
    <w:p w14:paraId="53F9865B">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（3）满意率95%以上。</w:t>
      </w:r>
    </w:p>
    <w:p w14:paraId="686EF52E">
      <w:pPr>
        <w:widowControl/>
        <w:autoSpaceDE w:val="0"/>
        <w:autoSpaceDN w:val="0"/>
        <w:adjustRightInd w:val="0"/>
        <w:spacing w:line="360" w:lineRule="auto"/>
        <w:rPr>
          <w:rFonts w:hint="eastAsia" w:ascii="宋体" w:hAnsi="宋体" w:eastAsia="宋体"/>
          <w:b/>
          <w:bCs/>
          <w:color w:val="auto"/>
          <w:szCs w:val="21"/>
        </w:rPr>
      </w:pPr>
      <w:r>
        <w:rPr>
          <w:rFonts w:hint="eastAsia" w:ascii="宋体" w:hAnsi="宋体" w:eastAsia="宋体"/>
          <w:b/>
          <w:bCs/>
          <w:color w:val="auto"/>
          <w:szCs w:val="21"/>
        </w:rPr>
        <w:t xml:space="preserve"> </w:t>
      </w:r>
      <w:r>
        <w:rPr>
          <w:rFonts w:hint="eastAsia" w:ascii="宋体" w:hAnsi="宋体" w:eastAsia="宋体"/>
          <w:b/>
          <w:bCs/>
          <w:color w:val="auto"/>
          <w:szCs w:val="21"/>
          <w:lang w:val="en-US" w:eastAsia="zh-CN"/>
        </w:rPr>
        <w:t>五</w:t>
      </w:r>
      <w:r>
        <w:rPr>
          <w:rFonts w:hint="eastAsia" w:ascii="宋体" w:hAnsi="宋体" w:eastAsia="宋体"/>
          <w:b/>
          <w:bCs/>
          <w:color w:val="auto"/>
          <w:szCs w:val="21"/>
        </w:rPr>
        <w:t>、管理服务费用及财务管理要求</w:t>
      </w:r>
    </w:p>
    <w:p w14:paraId="5149F3CB">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（一）管理服务费用以签订的合同价为准。</w:t>
      </w:r>
    </w:p>
    <w:p w14:paraId="592AF721">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（二）</w:t>
      </w:r>
      <w:r>
        <w:rPr>
          <w:rFonts w:hint="eastAsia" w:asciiTheme="minorEastAsia" w:hAnsiTheme="minorEastAsia" w:eastAsiaTheme="minorEastAsia"/>
          <w:color w:val="auto"/>
          <w:szCs w:val="21"/>
        </w:rPr>
        <w:t>供应商</w:t>
      </w:r>
      <w:r>
        <w:rPr>
          <w:rFonts w:hint="eastAsia" w:ascii="宋体" w:hAnsi="宋体" w:eastAsia="宋体"/>
          <w:color w:val="auto"/>
          <w:szCs w:val="21"/>
        </w:rPr>
        <w:t>需承担相关保安所需的设备、工具及所有消耗品。</w:t>
      </w:r>
      <w:r>
        <w:rPr>
          <w:rFonts w:hint="eastAsia" w:asciiTheme="minorEastAsia" w:hAnsiTheme="minorEastAsia" w:eastAsiaTheme="minorEastAsia"/>
          <w:color w:val="auto"/>
          <w:szCs w:val="21"/>
        </w:rPr>
        <w:t>供应商</w:t>
      </w:r>
      <w:r>
        <w:rPr>
          <w:rFonts w:hint="eastAsia" w:ascii="宋体" w:hAnsi="宋体" w:eastAsia="宋体"/>
          <w:color w:val="auto"/>
          <w:szCs w:val="21"/>
        </w:rPr>
        <w:t>必须配置办公设备独立放置于采购单位提供的办公区域内，且不能与服务区域外单位、部门或团体共用，其办公用品所需耗材应由</w:t>
      </w:r>
      <w:r>
        <w:rPr>
          <w:rFonts w:hint="eastAsia" w:asciiTheme="minorEastAsia" w:hAnsiTheme="minorEastAsia" w:eastAsiaTheme="minorEastAsia"/>
          <w:color w:val="auto"/>
          <w:szCs w:val="21"/>
        </w:rPr>
        <w:t>供应商</w:t>
      </w:r>
      <w:r>
        <w:rPr>
          <w:rFonts w:hint="eastAsia" w:ascii="宋体" w:hAnsi="宋体" w:eastAsia="宋体"/>
          <w:color w:val="auto"/>
          <w:szCs w:val="21"/>
        </w:rPr>
        <w:t>自行承担。（办公设备包括电脑、打印机、复印机、扫描仪、对讲机、电话、传真机、照相机、录像机等等物品）。</w:t>
      </w:r>
    </w:p>
    <w:p w14:paraId="69B43529">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（三）保安员按照《保安员装备配备与管理要求》配置的器材和装备由</w:t>
      </w:r>
      <w:r>
        <w:rPr>
          <w:rFonts w:hint="eastAsia" w:ascii="宋体" w:hAnsi="宋体" w:eastAsia="宋体"/>
          <w:color w:val="auto"/>
          <w:szCs w:val="21"/>
          <w:lang w:val="en-US" w:eastAsia="zh-CN"/>
        </w:rPr>
        <w:t>成交人</w:t>
      </w:r>
      <w:r>
        <w:rPr>
          <w:rFonts w:hint="eastAsia" w:ascii="宋体" w:hAnsi="宋体" w:eastAsia="宋体"/>
          <w:color w:val="auto"/>
          <w:szCs w:val="21"/>
        </w:rPr>
        <w:t>提供，并按规定佩戴或放置。如有人为损毁或遗失</w:t>
      </w:r>
      <w:r>
        <w:rPr>
          <w:rFonts w:hint="eastAsia" w:ascii="宋体" w:hAnsi="宋体" w:eastAsia="宋体"/>
          <w:color w:val="auto"/>
          <w:szCs w:val="21"/>
          <w:lang w:val="en-US" w:eastAsia="zh-CN"/>
        </w:rPr>
        <w:t>或缺失</w:t>
      </w:r>
      <w:r>
        <w:rPr>
          <w:rFonts w:hint="eastAsia" w:ascii="宋体" w:hAnsi="宋体" w:eastAsia="宋体"/>
          <w:color w:val="auto"/>
          <w:szCs w:val="21"/>
        </w:rPr>
        <w:t>，由供应商</w:t>
      </w:r>
      <w:r>
        <w:rPr>
          <w:rFonts w:hint="eastAsia" w:ascii="宋体" w:hAnsi="宋体" w:eastAsia="宋体"/>
          <w:color w:val="auto"/>
          <w:szCs w:val="21"/>
          <w:lang w:val="en-US" w:eastAsia="zh-CN"/>
        </w:rPr>
        <w:t>自行承担</w:t>
      </w:r>
      <w:r>
        <w:rPr>
          <w:rFonts w:hint="eastAsia" w:ascii="宋体" w:hAnsi="宋体" w:eastAsia="宋体"/>
          <w:color w:val="auto"/>
          <w:szCs w:val="21"/>
        </w:rPr>
        <w:t>。</w:t>
      </w:r>
    </w:p>
    <w:p w14:paraId="7F30DC31">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（四）人员缺岗的，按其岗位平均每月人员开支的标准扣除服务费。扣除的费用采购单位可用于其他顶岗人员的加班或奖励费用（不得违反劳动法的有关规定）。</w:t>
      </w:r>
    </w:p>
    <w:p w14:paraId="742C3AB3">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（五）每月须以书面形式向采购单位报告当月服务各项费用收支情况的财务报表，供采购单位审核。</w:t>
      </w:r>
    </w:p>
    <w:p w14:paraId="53D783BD">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六</w:t>
      </w:r>
      <w:r>
        <w:rPr>
          <w:rFonts w:hint="eastAsia" w:ascii="宋体" w:hAnsi="宋体" w:eastAsia="宋体"/>
          <w:color w:val="auto"/>
          <w:szCs w:val="21"/>
        </w:rPr>
        <w:t>）供应商要制定财务预算，年终要进行财务专项决算并进行财务审计，审计结果报采购单位。</w:t>
      </w:r>
    </w:p>
    <w:p w14:paraId="5BC1204F">
      <w:pPr>
        <w:widowControl/>
        <w:autoSpaceDE w:val="0"/>
        <w:autoSpaceDN w:val="0"/>
        <w:adjustRightInd w:val="0"/>
        <w:spacing w:line="360" w:lineRule="auto"/>
        <w:ind w:firstLine="0" w:firstLineChars="0"/>
        <w:rPr>
          <w:rFonts w:hint="eastAsia" w:ascii="宋体" w:hAnsi="宋体" w:eastAsia="宋体"/>
          <w:b/>
          <w:bCs/>
          <w:color w:val="auto"/>
          <w:szCs w:val="21"/>
        </w:rPr>
      </w:pPr>
      <w:r>
        <w:rPr>
          <w:rFonts w:hint="eastAsia" w:ascii="宋体" w:hAnsi="宋体" w:eastAsia="宋体"/>
          <w:b/>
          <w:bCs/>
          <w:color w:val="auto"/>
          <w:szCs w:val="21"/>
          <w:lang w:val="en-US" w:eastAsia="zh-CN"/>
        </w:rPr>
        <w:t>六</w:t>
      </w:r>
      <w:r>
        <w:rPr>
          <w:rFonts w:hint="eastAsia" w:ascii="宋体" w:hAnsi="宋体" w:eastAsia="宋体"/>
          <w:b/>
          <w:bCs/>
          <w:color w:val="auto"/>
          <w:szCs w:val="21"/>
        </w:rPr>
        <w:t>、相关场地提供</w:t>
      </w:r>
    </w:p>
    <w:p w14:paraId="32BE6BF8">
      <w:pPr>
        <w:adjustRightInd w:val="0"/>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采购单位免费提供保安服务部门的办公场地，办公用品由供应商自行解决。</w:t>
      </w:r>
    </w:p>
    <w:p w14:paraId="628F2035">
      <w:pPr>
        <w:pStyle w:val="28"/>
        <w:spacing w:before="120" w:after="120" w:line="360" w:lineRule="auto"/>
        <w:outlineLvl w:val="0"/>
        <w:rPr>
          <w:rFonts w:hAnsi="宋体"/>
          <w:b/>
          <w:color w:val="auto"/>
          <w:sz w:val="21"/>
          <w:szCs w:val="21"/>
        </w:rPr>
      </w:pPr>
      <w:bookmarkStart w:id="43" w:name="_Toc14134"/>
      <w:r>
        <w:rPr>
          <w:rFonts w:hint="eastAsia" w:hAnsi="宋体"/>
          <w:color w:val="auto"/>
          <w:sz w:val="21"/>
          <w:szCs w:val="21"/>
        </w:rPr>
        <w:t>▲</w:t>
      </w:r>
      <w:r>
        <w:rPr>
          <w:rFonts w:hint="eastAsia" w:hAnsi="宋体"/>
          <w:b/>
          <w:color w:val="auto"/>
          <w:sz w:val="21"/>
          <w:szCs w:val="21"/>
          <w:lang w:val="en-US" w:eastAsia="zh-CN"/>
        </w:rPr>
        <w:t>七</w:t>
      </w:r>
      <w:r>
        <w:rPr>
          <w:rFonts w:hint="eastAsia" w:hAnsi="宋体"/>
          <w:b/>
          <w:color w:val="auto"/>
          <w:sz w:val="21"/>
          <w:szCs w:val="21"/>
        </w:rPr>
        <w:t>、商务要求</w:t>
      </w:r>
      <w:bookmarkEnd w:id="43"/>
    </w:p>
    <w:tbl>
      <w:tblPr>
        <w:tblStyle w:val="55"/>
        <w:tblW w:w="9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982"/>
      </w:tblGrid>
      <w:tr w14:paraId="3957E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14:paraId="620306C4">
            <w:pPr>
              <w:snapToGrid w:val="0"/>
              <w:spacing w:line="360" w:lineRule="auto"/>
              <w:rPr>
                <w:rFonts w:ascii="宋体" w:hAnsi="宋体" w:eastAsia="宋体"/>
                <w:color w:val="auto"/>
                <w:szCs w:val="21"/>
              </w:rPr>
            </w:pPr>
            <w:r>
              <w:rPr>
                <w:rFonts w:hint="eastAsia" w:ascii="宋体" w:hAnsi="宋体" w:eastAsia="宋体" w:cs="仿宋_GB2312"/>
                <w:color w:val="auto"/>
                <w:kern w:val="0"/>
                <w:szCs w:val="21"/>
                <w:lang w:val="zh-CN"/>
              </w:rPr>
              <w:t>服务期</w:t>
            </w:r>
          </w:p>
        </w:tc>
        <w:tc>
          <w:tcPr>
            <w:tcW w:w="7982" w:type="dxa"/>
            <w:tcBorders>
              <w:top w:val="single" w:color="auto" w:sz="4" w:space="0"/>
              <w:left w:val="single" w:color="auto" w:sz="4" w:space="0"/>
              <w:bottom w:val="single" w:color="auto" w:sz="4" w:space="0"/>
            </w:tcBorders>
            <w:vAlign w:val="center"/>
          </w:tcPr>
          <w:p w14:paraId="3785F852">
            <w:pPr>
              <w:widowControl/>
              <w:snapToGrid/>
              <w:spacing w:line="340" w:lineRule="exact"/>
              <w:rPr>
                <w:rFonts w:ascii="宋体" w:hAnsi="宋体" w:eastAsia="宋体"/>
                <w:color w:val="auto"/>
                <w:szCs w:val="21"/>
              </w:rPr>
            </w:pPr>
            <w:r>
              <w:rPr>
                <w:rFonts w:hint="eastAsia" w:ascii="宋体" w:hAnsi="宋体" w:eastAsia="宋体" w:cs="宋体"/>
                <w:kern w:val="0"/>
                <w:szCs w:val="21"/>
              </w:rPr>
              <w:t>一年，合同签订之日起计算。</w:t>
            </w:r>
          </w:p>
        </w:tc>
      </w:tr>
      <w:tr w14:paraId="1905E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6" w:type="dxa"/>
            <w:tcBorders>
              <w:top w:val="single" w:color="auto" w:sz="4" w:space="0"/>
              <w:bottom w:val="single" w:color="auto" w:sz="4" w:space="0"/>
              <w:right w:val="single" w:color="auto" w:sz="4" w:space="0"/>
            </w:tcBorders>
            <w:vAlign w:val="center"/>
          </w:tcPr>
          <w:p w14:paraId="7E90F6EF">
            <w:pPr>
              <w:snapToGrid w:val="0"/>
              <w:spacing w:line="360" w:lineRule="auto"/>
              <w:rPr>
                <w:rFonts w:ascii="宋体" w:hAnsi="宋体" w:eastAsia="宋体"/>
                <w:color w:val="auto"/>
                <w:szCs w:val="21"/>
              </w:rPr>
            </w:pPr>
            <w:r>
              <w:rPr>
                <w:rFonts w:hint="eastAsia" w:ascii="宋体" w:hAnsi="宋体" w:eastAsia="宋体" w:cs="仿宋_GB2312"/>
                <w:color w:val="auto"/>
                <w:kern w:val="0"/>
                <w:szCs w:val="21"/>
                <w:lang w:val="zh-CN"/>
              </w:rPr>
              <w:t>售后服务要求</w:t>
            </w:r>
          </w:p>
        </w:tc>
        <w:tc>
          <w:tcPr>
            <w:tcW w:w="7982" w:type="dxa"/>
            <w:tcBorders>
              <w:top w:val="single" w:color="auto" w:sz="4" w:space="0"/>
              <w:left w:val="single" w:color="auto" w:sz="4" w:space="0"/>
              <w:bottom w:val="single" w:color="auto" w:sz="4" w:space="0"/>
            </w:tcBorders>
            <w:vAlign w:val="center"/>
          </w:tcPr>
          <w:p w14:paraId="0AA7DC19">
            <w:pPr>
              <w:spacing w:line="360" w:lineRule="auto"/>
              <w:rPr>
                <w:rFonts w:ascii="宋体" w:hAnsi="宋体" w:eastAsia="宋体" w:cs="宋体"/>
                <w:color w:val="auto"/>
                <w:szCs w:val="21"/>
              </w:rPr>
            </w:pP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人须严格按照国家和长兴县政府规定给所有的员工缴纳各种社会保险。</w:t>
            </w:r>
            <w:r>
              <w:rPr>
                <w:rFonts w:hint="eastAsia" w:ascii="宋体" w:hAnsi="宋体" w:eastAsia="宋体" w:cs="宋体"/>
                <w:color w:val="auto"/>
                <w:kern w:val="28"/>
                <w:szCs w:val="21"/>
                <w:lang w:val="zh-CN"/>
              </w:rPr>
              <w:t>除非合同中另有规定，</w:t>
            </w:r>
            <w:r>
              <w:rPr>
                <w:rFonts w:hint="eastAsia" w:ascii="宋体" w:hAnsi="宋体" w:eastAsia="宋体" w:cs="宋体"/>
                <w:color w:val="auto"/>
                <w:kern w:val="28"/>
                <w:szCs w:val="21"/>
                <w:lang w:val="en-US" w:eastAsia="zh-CN"/>
              </w:rPr>
              <w:t>报价</w:t>
            </w:r>
            <w:r>
              <w:rPr>
                <w:rFonts w:hint="eastAsia" w:ascii="宋体" w:hAnsi="宋体" w:eastAsia="宋体" w:cs="宋体"/>
                <w:color w:val="auto"/>
                <w:kern w:val="28"/>
                <w:szCs w:val="21"/>
                <w:lang w:val="zh-CN"/>
              </w:rPr>
              <w:t>应包括</w:t>
            </w:r>
            <w:r>
              <w:rPr>
                <w:rFonts w:hint="eastAsia" w:cs="宋体" w:asciiTheme="minorEastAsia" w:hAnsiTheme="minorEastAsia" w:eastAsiaTheme="minorEastAsia"/>
                <w:color w:val="auto"/>
                <w:szCs w:val="21"/>
              </w:rPr>
              <w:t>劳务支出、劳保福利、住宿、</w:t>
            </w:r>
            <w:r>
              <w:rPr>
                <w:rFonts w:hint="eastAsia" w:cs="宋体" w:asciiTheme="minorEastAsia" w:hAnsiTheme="minorEastAsia" w:eastAsiaTheme="minorEastAsia"/>
                <w:color w:val="auto"/>
                <w:szCs w:val="21"/>
                <w:lang w:val="en-US" w:eastAsia="zh-CN"/>
              </w:rPr>
              <w:t>办公用品及耗材</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人员着装及配套用品、必备装备或用具、</w:t>
            </w:r>
            <w:r>
              <w:rPr>
                <w:rFonts w:hint="eastAsia" w:cs="宋体" w:asciiTheme="minorEastAsia" w:hAnsiTheme="minorEastAsia" w:eastAsiaTheme="minorEastAsia"/>
                <w:color w:val="auto"/>
                <w:szCs w:val="21"/>
              </w:rPr>
              <w:t>管理费、社会保险、就餐、医疗、工伤、意外保险、养老保险、加班及夜餐费、高温费、福利费、税</w:t>
            </w:r>
            <w:r>
              <w:rPr>
                <w:rFonts w:hint="eastAsia" w:cs="宋体" w:asciiTheme="minorEastAsia" w:hAnsiTheme="minorEastAsia" w:eastAsiaTheme="minorEastAsia"/>
                <w:color w:val="auto"/>
                <w:szCs w:val="21"/>
                <w:lang w:val="en-US" w:eastAsia="zh-CN"/>
              </w:rPr>
              <w:t>金</w:t>
            </w:r>
            <w:r>
              <w:rPr>
                <w:rFonts w:hint="eastAsia" w:cs="宋体" w:asciiTheme="minorEastAsia" w:hAnsiTheme="minorEastAsia" w:eastAsiaTheme="minorEastAsia"/>
                <w:color w:val="auto"/>
                <w:szCs w:val="21"/>
              </w:rPr>
              <w:t>、治安以及</w:t>
            </w:r>
            <w:r>
              <w:rPr>
                <w:rFonts w:hint="eastAsia" w:cs="宋体" w:asciiTheme="minorEastAsia" w:hAnsiTheme="minorEastAsia" w:eastAsiaTheme="minorEastAsia"/>
                <w:color w:val="auto"/>
                <w:kern w:val="28"/>
                <w:szCs w:val="21"/>
                <w:lang w:val="zh-CN"/>
              </w:rPr>
              <w:t>政策性文件规定及合同明示或暗示的所有风险、责任、义务等各项应有的费用</w:t>
            </w:r>
            <w:r>
              <w:rPr>
                <w:rFonts w:hint="eastAsia" w:ascii="宋体" w:hAnsi="宋体" w:eastAsia="宋体" w:cs="宋体"/>
                <w:b/>
                <w:bCs/>
                <w:color w:val="auto"/>
                <w:szCs w:val="21"/>
              </w:rPr>
              <w:t>。</w:t>
            </w:r>
            <w:r>
              <w:rPr>
                <w:rFonts w:hint="eastAsia" w:ascii="宋体" w:hAnsi="宋体" w:eastAsia="宋体" w:cs="宋体"/>
                <w:color w:val="auto"/>
                <w:szCs w:val="21"/>
                <w:lang w:val="en-US" w:eastAsia="zh-CN"/>
              </w:rPr>
              <w:t>成交</w:t>
            </w:r>
            <w:r>
              <w:rPr>
                <w:rFonts w:hint="eastAsia" w:ascii="宋体" w:hAnsi="宋体" w:eastAsia="宋体" w:cs="宋体"/>
                <w:color w:val="auto"/>
                <w:szCs w:val="21"/>
              </w:rPr>
              <w:t>人薪资发放清单和人员考勤情况每月按时递交给采购人核对，如有低于规定薪资或人员有缺岗情况，在采购人发放整改通知书后半月内未及时整改到位的，采购人有权终止合同。</w:t>
            </w:r>
            <w:r>
              <w:rPr>
                <w:rFonts w:hint="eastAsia" w:ascii="宋体" w:hAnsi="宋体" w:eastAsia="宋体" w:cs="宋体"/>
                <w:b/>
                <w:bCs/>
                <w:color w:val="auto"/>
                <w:kern w:val="28"/>
                <w:szCs w:val="21"/>
                <w:lang w:val="zh-CN"/>
              </w:rPr>
              <w:t>（注：</w:t>
            </w:r>
            <w:r>
              <w:rPr>
                <w:rFonts w:hint="eastAsia" w:ascii="宋体" w:hAnsi="宋体" w:eastAsia="宋体" w:cs="宋体"/>
                <w:b/>
                <w:bCs/>
                <w:color w:val="auto"/>
                <w:szCs w:val="21"/>
                <w:lang w:val="en-US" w:eastAsia="zh-CN"/>
              </w:rPr>
              <w:t>成交</w:t>
            </w:r>
            <w:r>
              <w:rPr>
                <w:rFonts w:hint="eastAsia" w:ascii="宋体" w:hAnsi="宋体" w:eastAsia="宋体" w:cs="宋体"/>
                <w:b/>
                <w:bCs/>
                <w:color w:val="auto"/>
                <w:kern w:val="28"/>
                <w:szCs w:val="21"/>
                <w:lang w:val="zh-CN"/>
              </w:rPr>
              <w:t>单位应该按实际报价时工人应得的工资发放，而不能单纯追求利润的最大化，查实者多余部份</w:t>
            </w:r>
            <w:r>
              <w:rPr>
                <w:rFonts w:hint="eastAsia" w:ascii="宋体" w:hAnsi="宋体" w:eastAsia="宋体" w:cs="宋体"/>
                <w:b/>
                <w:bCs/>
                <w:color w:val="auto"/>
                <w:szCs w:val="21"/>
              </w:rPr>
              <w:t>采购人</w:t>
            </w:r>
            <w:r>
              <w:rPr>
                <w:rFonts w:hint="eastAsia" w:ascii="宋体" w:hAnsi="宋体" w:eastAsia="宋体" w:cs="宋体"/>
                <w:b/>
                <w:bCs/>
                <w:color w:val="auto"/>
                <w:kern w:val="28"/>
                <w:szCs w:val="21"/>
                <w:lang w:val="zh-CN"/>
              </w:rPr>
              <w:t>将予以扣回，</w:t>
            </w:r>
            <w:r>
              <w:rPr>
                <w:rFonts w:hint="eastAsia" w:ascii="宋体" w:hAnsi="宋体" w:eastAsia="宋体" w:cs="宋体"/>
                <w:b/>
                <w:bCs/>
                <w:color w:val="auto"/>
                <w:szCs w:val="21"/>
                <w:lang w:val="en-US" w:eastAsia="zh-CN"/>
              </w:rPr>
              <w:t>成交</w:t>
            </w:r>
            <w:r>
              <w:rPr>
                <w:rFonts w:hint="eastAsia" w:ascii="宋体" w:hAnsi="宋体" w:eastAsia="宋体" w:cs="宋体"/>
                <w:b/>
                <w:bCs/>
                <w:color w:val="auto"/>
                <w:kern w:val="28"/>
                <w:szCs w:val="21"/>
                <w:lang w:val="zh-CN"/>
              </w:rPr>
              <w:t>公司对所购买保险的员工名单须到采购单位备案。对未购买保险员工引发的员工纠纷、工伤及意外死亡等应由中标单位负责并全权处理，与</w:t>
            </w:r>
            <w:r>
              <w:rPr>
                <w:rFonts w:hint="eastAsia" w:ascii="宋体" w:hAnsi="宋体" w:eastAsia="宋体" w:cs="宋体"/>
                <w:b/>
                <w:bCs/>
                <w:color w:val="auto"/>
                <w:szCs w:val="21"/>
              </w:rPr>
              <w:t>采购人</w:t>
            </w:r>
            <w:r>
              <w:rPr>
                <w:rFonts w:hint="eastAsia" w:ascii="宋体" w:hAnsi="宋体" w:eastAsia="宋体" w:cs="宋体"/>
                <w:b/>
                <w:bCs/>
                <w:color w:val="auto"/>
                <w:kern w:val="28"/>
                <w:szCs w:val="21"/>
                <w:lang w:val="zh-CN"/>
              </w:rPr>
              <w:t>无关，且</w:t>
            </w:r>
            <w:r>
              <w:rPr>
                <w:rFonts w:hint="eastAsia" w:ascii="宋体" w:hAnsi="宋体" w:eastAsia="宋体" w:cs="宋体"/>
                <w:b/>
                <w:bCs/>
                <w:color w:val="auto"/>
                <w:szCs w:val="21"/>
              </w:rPr>
              <w:t>采购人</w:t>
            </w:r>
            <w:r>
              <w:rPr>
                <w:rFonts w:hint="eastAsia" w:ascii="宋体" w:hAnsi="宋体" w:eastAsia="宋体" w:cs="宋体"/>
                <w:b/>
                <w:bCs/>
                <w:color w:val="auto"/>
                <w:kern w:val="28"/>
                <w:szCs w:val="21"/>
                <w:lang w:val="zh-CN"/>
              </w:rPr>
              <w:t>保留终止与</w:t>
            </w:r>
            <w:r>
              <w:rPr>
                <w:rFonts w:hint="eastAsia" w:ascii="宋体" w:hAnsi="宋体" w:eastAsia="宋体" w:cs="宋体"/>
                <w:b/>
                <w:bCs/>
                <w:color w:val="auto"/>
                <w:szCs w:val="21"/>
                <w:lang w:val="en-US" w:eastAsia="zh-CN"/>
              </w:rPr>
              <w:t>成交</w:t>
            </w:r>
            <w:r>
              <w:rPr>
                <w:rFonts w:hint="eastAsia" w:ascii="宋体" w:hAnsi="宋体" w:eastAsia="宋体" w:cs="宋体"/>
                <w:b/>
                <w:bCs/>
                <w:color w:val="auto"/>
                <w:kern w:val="28"/>
                <w:szCs w:val="21"/>
                <w:lang w:val="zh-CN"/>
              </w:rPr>
              <w:t>单位合同的权力）。</w:t>
            </w:r>
          </w:p>
        </w:tc>
      </w:tr>
      <w:tr w14:paraId="39832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546" w:type="dxa"/>
            <w:tcBorders>
              <w:top w:val="single" w:color="auto" w:sz="4" w:space="0"/>
              <w:bottom w:val="single" w:color="auto" w:sz="4" w:space="0"/>
              <w:right w:val="single" w:color="auto" w:sz="4" w:space="0"/>
            </w:tcBorders>
            <w:vAlign w:val="center"/>
          </w:tcPr>
          <w:p w14:paraId="36F041B7">
            <w:pPr>
              <w:spacing w:line="360" w:lineRule="auto"/>
              <w:rPr>
                <w:rFonts w:ascii="宋体" w:hAnsi="宋体" w:eastAsia="宋体"/>
                <w:color w:val="auto"/>
                <w:szCs w:val="21"/>
              </w:rPr>
            </w:pPr>
            <w:r>
              <w:rPr>
                <w:rFonts w:hint="eastAsia" w:ascii="宋体" w:hAnsi="宋体" w:eastAsia="宋体"/>
                <w:color w:val="auto"/>
                <w:szCs w:val="21"/>
              </w:rPr>
              <w:t>服务地点</w:t>
            </w:r>
          </w:p>
        </w:tc>
        <w:tc>
          <w:tcPr>
            <w:tcW w:w="7982" w:type="dxa"/>
            <w:tcBorders>
              <w:top w:val="single" w:color="auto" w:sz="4" w:space="0"/>
              <w:left w:val="single" w:color="auto" w:sz="4" w:space="0"/>
              <w:bottom w:val="single" w:color="auto" w:sz="4" w:space="0"/>
            </w:tcBorders>
            <w:vAlign w:val="center"/>
          </w:tcPr>
          <w:p w14:paraId="3168A7AC">
            <w:pPr>
              <w:spacing w:line="360" w:lineRule="auto"/>
              <w:rPr>
                <w:rFonts w:hint="eastAsia" w:ascii="宋体" w:hAnsi="宋体" w:eastAsia="宋体"/>
                <w:color w:val="auto"/>
                <w:szCs w:val="21"/>
              </w:rPr>
            </w:pPr>
            <w:r>
              <w:rPr>
                <w:rFonts w:hint="eastAsia" w:ascii="宋体" w:hAnsi="宋体" w:eastAsia="宋体"/>
                <w:bCs/>
                <w:color w:val="auto"/>
                <w:kern w:val="0"/>
                <w:szCs w:val="21"/>
              </w:rPr>
              <w:t>长兴县技师学院</w:t>
            </w:r>
          </w:p>
        </w:tc>
      </w:tr>
      <w:tr w14:paraId="3645D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14:paraId="6BF3B4BC">
            <w:pPr>
              <w:spacing w:line="360" w:lineRule="auto"/>
              <w:rPr>
                <w:rFonts w:ascii="宋体" w:hAnsi="宋体" w:eastAsia="宋体"/>
                <w:color w:val="auto"/>
                <w:szCs w:val="21"/>
              </w:rPr>
            </w:pPr>
            <w:r>
              <w:rPr>
                <w:rFonts w:hint="eastAsia" w:ascii="宋体" w:hAnsi="宋体" w:eastAsia="宋体"/>
                <w:color w:val="auto"/>
                <w:szCs w:val="21"/>
              </w:rPr>
              <w:t>付款条件</w:t>
            </w:r>
          </w:p>
        </w:tc>
        <w:tc>
          <w:tcPr>
            <w:tcW w:w="7982" w:type="dxa"/>
            <w:tcBorders>
              <w:top w:val="single" w:color="auto" w:sz="4" w:space="0"/>
              <w:left w:val="single" w:color="auto" w:sz="4" w:space="0"/>
              <w:bottom w:val="single" w:color="auto" w:sz="4" w:space="0"/>
            </w:tcBorders>
            <w:vAlign w:val="center"/>
          </w:tcPr>
          <w:p w14:paraId="48DEE1AC">
            <w:pPr>
              <w:pStyle w:val="28"/>
              <w:snapToGrid w:val="0"/>
              <w:spacing w:before="120" w:after="120" w:line="360" w:lineRule="auto"/>
              <w:rPr>
                <w:rFonts w:hint="eastAsia" w:hAnsi="宋体" w:eastAsia="宋体"/>
                <w:color w:val="auto"/>
                <w:sz w:val="21"/>
                <w:szCs w:val="21"/>
                <w:lang w:eastAsia="zh-CN"/>
              </w:rPr>
            </w:pPr>
            <w:r>
              <w:rPr>
                <w:rFonts w:hint="eastAsia" w:ascii="宋体" w:hAnsi="宋体" w:eastAsia="宋体" w:cs="Times New Roman"/>
                <w:b w:val="0"/>
                <w:bCs w:val="0"/>
                <w:color w:val="auto"/>
                <w:sz w:val="21"/>
                <w:szCs w:val="21"/>
              </w:rPr>
              <w:t>采购人每半年向成交供应商支付当年总费用的50%（根据采购人考核情况支付）</w:t>
            </w:r>
            <w:r>
              <w:rPr>
                <w:rFonts w:hint="eastAsia" w:ascii="宋体" w:hAnsi="宋体" w:eastAsia="宋体" w:cs="Times New Roman"/>
                <w:b w:val="0"/>
                <w:bCs w:val="0"/>
                <w:color w:val="auto"/>
                <w:sz w:val="21"/>
                <w:szCs w:val="21"/>
                <w:lang w:eastAsia="zh-CN"/>
              </w:rPr>
              <w:t>。</w:t>
            </w:r>
          </w:p>
        </w:tc>
      </w:tr>
      <w:tr w14:paraId="47A01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6" w:type="dxa"/>
            <w:tcBorders>
              <w:top w:val="single" w:color="auto" w:sz="4" w:space="0"/>
              <w:bottom w:val="single" w:color="auto" w:sz="4" w:space="0"/>
              <w:right w:val="single" w:color="auto" w:sz="4" w:space="0"/>
            </w:tcBorders>
            <w:vAlign w:val="center"/>
          </w:tcPr>
          <w:p w14:paraId="7AE8EA9A">
            <w:pPr>
              <w:spacing w:line="360" w:lineRule="auto"/>
              <w:rPr>
                <w:rFonts w:ascii="宋体" w:hAnsi="宋体" w:eastAsia="宋体"/>
                <w:color w:val="auto"/>
                <w:szCs w:val="21"/>
              </w:rPr>
            </w:pPr>
            <w:r>
              <w:rPr>
                <w:rFonts w:hint="eastAsia" w:ascii="宋体" w:hAnsi="宋体" w:eastAsia="宋体"/>
                <w:color w:val="auto"/>
                <w:szCs w:val="21"/>
              </w:rPr>
              <w:t>考核</w:t>
            </w:r>
          </w:p>
        </w:tc>
        <w:tc>
          <w:tcPr>
            <w:tcW w:w="7982" w:type="dxa"/>
            <w:tcBorders>
              <w:top w:val="single" w:color="auto" w:sz="4" w:space="0"/>
              <w:left w:val="single" w:color="auto" w:sz="4" w:space="0"/>
              <w:bottom w:val="single" w:color="auto" w:sz="4" w:space="0"/>
            </w:tcBorders>
            <w:vAlign w:val="center"/>
          </w:tcPr>
          <w:p w14:paraId="47406D6A">
            <w:pPr>
              <w:pStyle w:val="28"/>
              <w:snapToGrid w:val="0"/>
              <w:spacing w:before="120" w:after="120" w:line="360" w:lineRule="auto"/>
              <w:rPr>
                <w:rFonts w:hAnsi="宋体"/>
                <w:color w:val="auto"/>
                <w:sz w:val="21"/>
                <w:szCs w:val="21"/>
              </w:rPr>
            </w:pPr>
            <w:r>
              <w:rPr>
                <w:rFonts w:hint="eastAsia" w:hAnsi="宋体"/>
                <w:color w:val="auto"/>
                <w:sz w:val="21"/>
                <w:szCs w:val="21"/>
                <w:lang w:val="en-US" w:eastAsia="zh-CN"/>
              </w:rPr>
              <w:t>采购人</w:t>
            </w:r>
            <w:r>
              <w:rPr>
                <w:rFonts w:hint="eastAsia" w:hAnsi="宋体"/>
                <w:color w:val="auto"/>
                <w:sz w:val="21"/>
                <w:szCs w:val="21"/>
              </w:rPr>
              <w:t>每月底对</w:t>
            </w:r>
            <w:r>
              <w:rPr>
                <w:rFonts w:hint="eastAsia" w:hAnsi="宋体"/>
                <w:color w:val="auto"/>
                <w:sz w:val="21"/>
                <w:szCs w:val="21"/>
                <w:lang w:val="en-US" w:eastAsia="zh-CN"/>
              </w:rPr>
              <w:t>成交人</w:t>
            </w:r>
            <w:r>
              <w:rPr>
                <w:rFonts w:hint="eastAsia" w:hAnsi="宋体"/>
                <w:color w:val="auto"/>
                <w:sz w:val="21"/>
                <w:szCs w:val="21"/>
              </w:rPr>
              <w:t>派驻的保安员工作中存在的问题进行汇总，根据《长兴县学校保安人员考核细则》</w:t>
            </w:r>
            <w:r>
              <w:rPr>
                <w:rFonts w:hint="eastAsia" w:hAnsi="宋体"/>
                <w:color w:val="auto"/>
                <w:sz w:val="21"/>
                <w:szCs w:val="21"/>
                <w:lang w:eastAsia="zh-CN"/>
              </w:rPr>
              <w:t>，</w:t>
            </w:r>
            <w:r>
              <w:rPr>
                <w:rFonts w:hint="eastAsia" w:hAnsi="宋体"/>
                <w:color w:val="auto"/>
                <w:sz w:val="21"/>
                <w:szCs w:val="21"/>
                <w:lang w:val="en-US" w:eastAsia="zh-CN"/>
              </w:rPr>
              <w:t>详见合同附件</w:t>
            </w:r>
            <w:r>
              <w:rPr>
                <w:rFonts w:hint="eastAsia" w:hAnsi="宋体"/>
                <w:color w:val="auto"/>
                <w:sz w:val="21"/>
                <w:szCs w:val="21"/>
              </w:rPr>
              <w:t>，由</w:t>
            </w:r>
            <w:r>
              <w:rPr>
                <w:rFonts w:hint="eastAsia" w:hAnsi="宋体"/>
                <w:color w:val="auto"/>
                <w:sz w:val="21"/>
                <w:szCs w:val="21"/>
                <w:lang w:val="en-US" w:eastAsia="zh-CN"/>
              </w:rPr>
              <w:t>采购人</w:t>
            </w:r>
            <w:r>
              <w:rPr>
                <w:rFonts w:hint="eastAsia" w:hAnsi="宋体"/>
                <w:color w:val="auto"/>
                <w:sz w:val="21"/>
                <w:szCs w:val="21"/>
              </w:rPr>
              <w:t>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w:t>
            </w:r>
            <w:r>
              <w:rPr>
                <w:rFonts w:hint="eastAsia" w:hAnsi="宋体"/>
                <w:color w:val="auto"/>
                <w:sz w:val="21"/>
                <w:szCs w:val="21"/>
                <w:lang w:val="en-US" w:eastAsia="zh-CN"/>
              </w:rPr>
              <w:t>采购人</w:t>
            </w:r>
            <w:r>
              <w:rPr>
                <w:rFonts w:hint="eastAsia" w:hAnsi="宋体"/>
                <w:color w:val="auto"/>
                <w:sz w:val="21"/>
                <w:szCs w:val="21"/>
              </w:rPr>
              <w:t>有权终止合同，</w:t>
            </w:r>
            <w:r>
              <w:rPr>
                <w:rFonts w:hint="eastAsia" w:hAnsi="宋体"/>
                <w:color w:val="auto"/>
                <w:sz w:val="21"/>
                <w:szCs w:val="21"/>
                <w:lang w:val="en-US" w:eastAsia="zh-CN"/>
              </w:rPr>
              <w:t>成交人</w:t>
            </w:r>
            <w:r>
              <w:rPr>
                <w:rFonts w:hint="eastAsia" w:hAnsi="宋体"/>
                <w:color w:val="auto"/>
                <w:sz w:val="21"/>
                <w:szCs w:val="21"/>
              </w:rPr>
              <w:t>仍应承担相应责任。</w:t>
            </w:r>
          </w:p>
        </w:tc>
      </w:tr>
      <w:tr w14:paraId="768FE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46" w:type="dxa"/>
            <w:tcBorders>
              <w:top w:val="single" w:color="auto" w:sz="4" w:space="0"/>
              <w:bottom w:val="single" w:color="auto" w:sz="4" w:space="0"/>
              <w:right w:val="single" w:color="auto" w:sz="4" w:space="0"/>
            </w:tcBorders>
            <w:vAlign w:val="center"/>
          </w:tcPr>
          <w:p w14:paraId="4C6B4C84">
            <w:pPr>
              <w:spacing w:line="360" w:lineRule="auto"/>
              <w:rPr>
                <w:rFonts w:ascii="宋体" w:hAnsi="宋体" w:eastAsia="宋体"/>
                <w:color w:val="auto"/>
                <w:szCs w:val="21"/>
              </w:rPr>
            </w:pPr>
            <w:r>
              <w:rPr>
                <w:rFonts w:hint="eastAsia" w:ascii="宋体" w:hAnsi="宋体" w:eastAsia="宋体"/>
                <w:color w:val="auto"/>
                <w:szCs w:val="21"/>
              </w:rPr>
              <w:t>人员调动</w:t>
            </w:r>
          </w:p>
        </w:tc>
        <w:tc>
          <w:tcPr>
            <w:tcW w:w="7982" w:type="dxa"/>
            <w:tcBorders>
              <w:top w:val="single" w:color="auto" w:sz="4" w:space="0"/>
              <w:left w:val="single" w:color="auto" w:sz="4" w:space="0"/>
              <w:bottom w:val="single" w:color="auto" w:sz="4" w:space="0"/>
            </w:tcBorders>
            <w:vAlign w:val="center"/>
          </w:tcPr>
          <w:p w14:paraId="4D3C53E9">
            <w:pPr>
              <w:pStyle w:val="28"/>
              <w:snapToGrid w:val="0"/>
              <w:spacing w:before="120" w:after="120" w:line="360" w:lineRule="auto"/>
              <w:rPr>
                <w:rFonts w:hAnsi="宋体"/>
                <w:color w:val="auto"/>
                <w:sz w:val="21"/>
                <w:szCs w:val="21"/>
              </w:rPr>
            </w:pPr>
            <w:r>
              <w:rPr>
                <w:rFonts w:hint="eastAsia" w:hAnsi="宋体"/>
                <w:color w:val="auto"/>
                <w:sz w:val="21"/>
                <w:szCs w:val="21"/>
              </w:rPr>
              <w:t>人员调整调动，必须通过用人单位面试通过。</w:t>
            </w:r>
          </w:p>
        </w:tc>
      </w:tr>
    </w:tbl>
    <w:p w14:paraId="098824CF">
      <w:pPr>
        <w:pStyle w:val="15"/>
        <w:spacing w:line="340" w:lineRule="exact"/>
        <w:rPr>
          <w:rFonts w:ascii="宋体" w:hAnsi="宋体" w:cs="宋体"/>
          <w:color w:val="auto"/>
          <w:szCs w:val="21"/>
        </w:rPr>
      </w:pPr>
    </w:p>
    <w:p w14:paraId="1D96CD59">
      <w:pPr>
        <w:pStyle w:val="15"/>
        <w:spacing w:line="340" w:lineRule="exact"/>
        <w:rPr>
          <w:rFonts w:ascii="宋体" w:hAnsi="宋体" w:cs="宋体"/>
          <w:color w:val="auto"/>
          <w:szCs w:val="21"/>
        </w:rPr>
      </w:pPr>
    </w:p>
    <w:p w14:paraId="5EFCE364">
      <w:pPr>
        <w:pStyle w:val="15"/>
        <w:spacing w:line="340" w:lineRule="exact"/>
        <w:rPr>
          <w:rFonts w:ascii="宋体" w:hAnsi="宋体" w:cs="宋体"/>
          <w:color w:val="auto"/>
          <w:szCs w:val="21"/>
        </w:rPr>
      </w:pPr>
    </w:p>
    <w:p w14:paraId="4795BFE0">
      <w:pPr>
        <w:pStyle w:val="15"/>
        <w:spacing w:line="340" w:lineRule="exact"/>
        <w:rPr>
          <w:rFonts w:ascii="宋体" w:hAnsi="宋体" w:cs="宋体"/>
          <w:color w:val="auto"/>
          <w:szCs w:val="21"/>
        </w:rPr>
      </w:pPr>
    </w:p>
    <w:p w14:paraId="7ACDA05A">
      <w:pPr>
        <w:pStyle w:val="15"/>
        <w:spacing w:line="340" w:lineRule="exact"/>
        <w:rPr>
          <w:rFonts w:ascii="宋体" w:hAnsi="宋体" w:cs="宋体"/>
          <w:color w:val="auto"/>
          <w:szCs w:val="21"/>
        </w:rPr>
      </w:pPr>
    </w:p>
    <w:p w14:paraId="27B1701D">
      <w:pPr>
        <w:pStyle w:val="15"/>
        <w:spacing w:line="340" w:lineRule="exact"/>
        <w:rPr>
          <w:rFonts w:ascii="宋体" w:hAnsi="宋体" w:cs="宋体"/>
          <w:color w:val="auto"/>
          <w:szCs w:val="21"/>
        </w:rPr>
      </w:pPr>
    </w:p>
    <w:p w14:paraId="661D7CBC">
      <w:pPr>
        <w:pStyle w:val="15"/>
        <w:spacing w:line="340" w:lineRule="exact"/>
        <w:rPr>
          <w:rFonts w:ascii="宋体" w:hAnsi="宋体" w:cs="宋体"/>
          <w:color w:val="auto"/>
          <w:szCs w:val="21"/>
        </w:rPr>
      </w:pPr>
    </w:p>
    <w:p w14:paraId="77F29024">
      <w:pPr>
        <w:pStyle w:val="15"/>
        <w:spacing w:line="340" w:lineRule="exact"/>
        <w:rPr>
          <w:rFonts w:ascii="宋体" w:hAnsi="宋体" w:cs="宋体"/>
          <w:szCs w:val="21"/>
        </w:rPr>
      </w:pPr>
    </w:p>
    <w:p w14:paraId="19582D2C">
      <w:pPr>
        <w:pStyle w:val="15"/>
        <w:spacing w:line="340" w:lineRule="exact"/>
        <w:rPr>
          <w:rFonts w:ascii="宋体" w:hAnsi="宋体" w:cs="宋体"/>
          <w:szCs w:val="21"/>
        </w:rPr>
      </w:pPr>
    </w:p>
    <w:p w14:paraId="1A71E8E6">
      <w:pPr>
        <w:pStyle w:val="15"/>
        <w:spacing w:line="340" w:lineRule="exact"/>
        <w:rPr>
          <w:rFonts w:ascii="宋体" w:hAnsi="宋体" w:cs="宋体"/>
          <w:szCs w:val="21"/>
        </w:rPr>
      </w:pPr>
    </w:p>
    <w:p w14:paraId="18FD83F4">
      <w:pPr>
        <w:pStyle w:val="15"/>
        <w:spacing w:line="340" w:lineRule="exact"/>
        <w:rPr>
          <w:rFonts w:ascii="宋体" w:hAnsi="宋体" w:cs="宋体"/>
          <w:szCs w:val="21"/>
        </w:rPr>
      </w:pPr>
    </w:p>
    <w:bookmarkEnd w:id="35"/>
    <w:bookmarkEnd w:id="36"/>
    <w:bookmarkEnd w:id="37"/>
    <w:bookmarkEnd w:id="38"/>
    <w:bookmarkEnd w:id="39"/>
    <w:bookmarkEnd w:id="40"/>
    <w:bookmarkEnd w:id="41"/>
    <w:bookmarkEnd w:id="42"/>
    <w:p w14:paraId="5224404D">
      <w:pPr>
        <w:numPr>
          <w:ilvl w:val="255"/>
          <w:numId w:val="0"/>
        </w:numPr>
        <w:spacing w:line="400" w:lineRule="exact"/>
        <w:rPr>
          <w:rFonts w:ascii="宋体" w:hAnsi="宋体" w:eastAsia="宋体" w:cs="宋体"/>
          <w:kern w:val="0"/>
          <w:szCs w:val="21"/>
        </w:rPr>
      </w:pPr>
    </w:p>
    <w:p w14:paraId="75316976">
      <w:pPr>
        <w:pStyle w:val="64"/>
        <w:rPr>
          <w:rFonts w:ascii="宋体" w:hAnsi="宋体" w:eastAsia="宋体" w:cs="宋体"/>
          <w:kern w:val="0"/>
          <w:szCs w:val="21"/>
        </w:rPr>
      </w:pPr>
    </w:p>
    <w:p w14:paraId="368A9AE0">
      <w:pPr>
        <w:pStyle w:val="64"/>
        <w:rPr>
          <w:rFonts w:ascii="宋体" w:hAnsi="宋体" w:eastAsia="宋体" w:cs="宋体"/>
          <w:kern w:val="0"/>
          <w:szCs w:val="21"/>
        </w:rPr>
      </w:pPr>
    </w:p>
    <w:p w14:paraId="2A5ACCE4">
      <w:pPr>
        <w:pStyle w:val="64"/>
        <w:rPr>
          <w:rFonts w:ascii="宋体" w:hAnsi="宋体" w:eastAsia="宋体" w:cs="宋体"/>
          <w:kern w:val="0"/>
          <w:szCs w:val="21"/>
        </w:rPr>
      </w:pPr>
    </w:p>
    <w:p w14:paraId="62349171">
      <w:pPr>
        <w:pStyle w:val="64"/>
        <w:rPr>
          <w:rFonts w:ascii="宋体" w:hAnsi="宋体" w:eastAsia="宋体" w:cs="宋体"/>
          <w:kern w:val="0"/>
          <w:szCs w:val="21"/>
        </w:rPr>
      </w:pPr>
    </w:p>
    <w:p w14:paraId="66935BB6">
      <w:pPr>
        <w:pStyle w:val="64"/>
        <w:rPr>
          <w:rFonts w:ascii="宋体" w:hAnsi="宋体" w:eastAsia="宋体" w:cs="宋体"/>
          <w:kern w:val="0"/>
          <w:szCs w:val="21"/>
        </w:rPr>
      </w:pPr>
    </w:p>
    <w:p w14:paraId="779EB04E">
      <w:pPr>
        <w:pStyle w:val="64"/>
        <w:rPr>
          <w:rFonts w:ascii="宋体" w:hAnsi="宋体" w:eastAsia="宋体" w:cs="宋体"/>
          <w:kern w:val="0"/>
          <w:szCs w:val="21"/>
        </w:rPr>
      </w:pPr>
    </w:p>
    <w:p w14:paraId="138BF346">
      <w:pPr>
        <w:pStyle w:val="64"/>
        <w:rPr>
          <w:rFonts w:ascii="宋体" w:hAnsi="宋体" w:eastAsia="宋体" w:cs="宋体"/>
          <w:kern w:val="0"/>
          <w:szCs w:val="21"/>
        </w:rPr>
      </w:pPr>
    </w:p>
    <w:p w14:paraId="475C31C9">
      <w:pPr>
        <w:pStyle w:val="64"/>
        <w:rPr>
          <w:rFonts w:ascii="宋体" w:hAnsi="宋体" w:eastAsia="宋体" w:cs="宋体"/>
          <w:kern w:val="0"/>
          <w:szCs w:val="21"/>
        </w:rPr>
      </w:pPr>
    </w:p>
    <w:p w14:paraId="2DEEDA79">
      <w:pPr>
        <w:pStyle w:val="15"/>
      </w:pPr>
    </w:p>
    <w:p w14:paraId="521A9306">
      <w:pPr>
        <w:spacing w:line="360" w:lineRule="auto"/>
        <w:jc w:val="center"/>
        <w:outlineLvl w:val="0"/>
        <w:rPr>
          <w:rFonts w:ascii="宋体" w:hAnsi="宋体" w:eastAsia="宋体" w:cs="宋体"/>
          <w:b/>
          <w:sz w:val="30"/>
          <w:szCs w:val="30"/>
        </w:rPr>
      </w:pPr>
      <w:bookmarkStart w:id="44" w:name="_Toc29022"/>
      <w:r>
        <w:rPr>
          <w:rFonts w:hint="eastAsia" w:ascii="宋体" w:hAnsi="宋体" w:eastAsia="宋体" w:cs="宋体"/>
          <w:b/>
          <w:sz w:val="30"/>
          <w:szCs w:val="30"/>
        </w:rPr>
        <w:t>第三章  磋商须知</w:t>
      </w:r>
      <w:bookmarkEnd w:id="44"/>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14:paraId="11421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14:paraId="403DEBD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序号</w:t>
            </w:r>
          </w:p>
        </w:tc>
        <w:tc>
          <w:tcPr>
            <w:tcW w:w="9063" w:type="dxa"/>
            <w:tcBorders>
              <w:top w:val="single" w:color="auto" w:sz="4" w:space="0"/>
              <w:left w:val="single" w:color="auto" w:sz="4" w:space="0"/>
              <w:bottom w:val="single" w:color="auto" w:sz="4" w:space="0"/>
              <w:right w:val="single" w:color="auto" w:sz="4" w:space="0"/>
            </w:tcBorders>
            <w:vAlign w:val="center"/>
          </w:tcPr>
          <w:p w14:paraId="1BB44D9C">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内容、要求</w:t>
            </w:r>
          </w:p>
        </w:tc>
      </w:tr>
      <w:tr w14:paraId="34B5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14:paraId="4E8C755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w:t>
            </w:r>
          </w:p>
        </w:tc>
        <w:tc>
          <w:tcPr>
            <w:tcW w:w="9063" w:type="dxa"/>
            <w:tcBorders>
              <w:top w:val="single" w:color="auto" w:sz="4" w:space="0"/>
              <w:left w:val="single" w:color="auto" w:sz="4" w:space="0"/>
              <w:bottom w:val="single" w:color="auto" w:sz="4" w:space="0"/>
              <w:right w:val="single" w:color="auto" w:sz="4" w:space="0"/>
            </w:tcBorders>
            <w:vAlign w:val="center"/>
          </w:tcPr>
          <w:p w14:paraId="780EBE3C">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项目名称：长兴技师学院2025年保安服务采购项目</w:t>
            </w:r>
          </w:p>
        </w:tc>
      </w:tr>
      <w:tr w14:paraId="17483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14:paraId="7F5D9710">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w:t>
            </w:r>
          </w:p>
        </w:tc>
        <w:tc>
          <w:tcPr>
            <w:tcW w:w="9063" w:type="dxa"/>
            <w:tcBorders>
              <w:top w:val="single" w:color="auto" w:sz="4" w:space="0"/>
              <w:left w:val="single" w:color="auto" w:sz="4" w:space="0"/>
              <w:bottom w:val="single" w:color="auto" w:sz="4" w:space="0"/>
              <w:right w:val="single" w:color="auto" w:sz="4" w:space="0"/>
            </w:tcBorders>
            <w:vAlign w:val="center"/>
          </w:tcPr>
          <w:p w14:paraId="6A3952B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采购内容及数量：详见磋商需求</w:t>
            </w:r>
          </w:p>
        </w:tc>
      </w:tr>
      <w:tr w14:paraId="7737E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14:paraId="1CA5C5D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3</w:t>
            </w:r>
          </w:p>
        </w:tc>
        <w:tc>
          <w:tcPr>
            <w:tcW w:w="9063" w:type="dxa"/>
            <w:tcBorders>
              <w:top w:val="single" w:color="auto" w:sz="4" w:space="0"/>
              <w:left w:val="single" w:color="auto" w:sz="4" w:space="0"/>
              <w:bottom w:val="single" w:color="auto" w:sz="4" w:space="0"/>
              <w:right w:val="single" w:color="auto" w:sz="4" w:space="0"/>
            </w:tcBorders>
            <w:vAlign w:val="center"/>
          </w:tcPr>
          <w:p w14:paraId="428FCE7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磋商报价及费用：1.本项目磋商应以人民币报价；2.不论磋商结果如何，供应商均应自行承担所有与磋商有关的全部费用。</w:t>
            </w:r>
          </w:p>
        </w:tc>
      </w:tr>
      <w:tr w14:paraId="5D70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14:paraId="5E12C53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4</w:t>
            </w:r>
          </w:p>
        </w:tc>
        <w:tc>
          <w:tcPr>
            <w:tcW w:w="9063" w:type="dxa"/>
            <w:tcBorders>
              <w:top w:val="single" w:color="auto" w:sz="4" w:space="0"/>
              <w:left w:val="single" w:color="auto" w:sz="4" w:space="0"/>
              <w:bottom w:val="single" w:color="auto" w:sz="4" w:space="0"/>
              <w:right w:val="single" w:color="auto" w:sz="4" w:space="0"/>
            </w:tcBorders>
            <w:vAlign w:val="center"/>
          </w:tcPr>
          <w:p w14:paraId="2C3CDBA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14:paraId="452D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99" w:type="dxa"/>
            <w:tcBorders>
              <w:top w:val="single" w:color="auto" w:sz="4" w:space="0"/>
              <w:left w:val="single" w:color="auto" w:sz="4" w:space="0"/>
              <w:bottom w:val="single" w:color="auto" w:sz="4" w:space="0"/>
              <w:right w:val="single" w:color="auto" w:sz="4" w:space="0"/>
            </w:tcBorders>
            <w:vAlign w:val="center"/>
          </w:tcPr>
          <w:p w14:paraId="562E463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5</w:t>
            </w:r>
          </w:p>
        </w:tc>
        <w:tc>
          <w:tcPr>
            <w:tcW w:w="9063" w:type="dxa"/>
            <w:tcBorders>
              <w:top w:val="single" w:color="auto" w:sz="4" w:space="0"/>
              <w:left w:val="single" w:color="auto" w:sz="4" w:space="0"/>
              <w:bottom w:val="single" w:color="auto" w:sz="4" w:space="0"/>
              <w:right w:val="single" w:color="auto" w:sz="4" w:space="0"/>
            </w:tcBorders>
            <w:vAlign w:val="center"/>
          </w:tcPr>
          <w:p w14:paraId="2F9A2845">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答疑与澄清：供应商应认真阅读本磋商文件，如认为竞争性磋商文件表述不清晰、存在歧视性、排他性或者其他违法内容的，应当在2024年12月</w:t>
            </w:r>
            <w:r>
              <w:rPr>
                <w:rFonts w:hint="eastAsia" w:ascii="宋体" w:hAnsi="宋体" w:eastAsia="宋体" w:cs="宋体"/>
                <w:spacing w:val="11"/>
                <w:szCs w:val="21"/>
                <w:lang w:val="en-US" w:eastAsia="zh-CN"/>
              </w:rPr>
              <w:t>10</w:t>
            </w:r>
            <w:r>
              <w:rPr>
                <w:rFonts w:hint="eastAsia" w:ascii="宋体" w:hAnsi="宋体" w:eastAsia="宋体" w:cs="宋体"/>
                <w:spacing w:val="11"/>
                <w:szCs w:val="21"/>
              </w:rPr>
              <w:t xml:space="preserve"> 日上午11：00时前以书面（含传真）形式向采购人一次性提出（供应商应把握所提疑问是否确需澄清或质疑，相关非实质性问题可以沟通解决的请及时电话联系，以免答疑后影响用户的正常采购进程）；采购人将在2024年12月</w:t>
            </w:r>
            <w:r>
              <w:rPr>
                <w:rFonts w:hint="eastAsia" w:ascii="宋体" w:hAnsi="宋体" w:eastAsia="宋体" w:cs="宋体"/>
                <w:spacing w:val="11"/>
                <w:szCs w:val="21"/>
                <w:lang w:val="en-US" w:eastAsia="zh-CN"/>
              </w:rPr>
              <w:t>11</w:t>
            </w:r>
            <w:r>
              <w:rPr>
                <w:rFonts w:hint="eastAsia" w:ascii="宋体" w:hAnsi="宋体" w:eastAsia="宋体" w:cs="宋体"/>
                <w:spacing w:val="11"/>
                <w:szCs w:val="21"/>
              </w:rPr>
              <w:t>日17：00前内统一进行澄清和修改，</w:t>
            </w:r>
            <w:r>
              <w:rPr>
                <w:rFonts w:hint="eastAsia" w:ascii="宋体" w:hAnsi="宋体" w:eastAsia="宋体" w:cs="宋体"/>
                <w:szCs w:val="21"/>
              </w:rPr>
              <w:t>在财政部门指定的政府采购信息发布媒体上发布更正公告，</w:t>
            </w:r>
            <w:r>
              <w:rPr>
                <w:rFonts w:hint="eastAsia" w:ascii="宋体" w:hAnsi="宋体" w:eastAsia="宋体" w:cs="宋体"/>
                <w:spacing w:val="11"/>
                <w:szCs w:val="21"/>
              </w:rPr>
              <w:t>并书面（含传真）通知所有认购竞争性磋商文件的供应商。供应商未按规定要求提出的，则视同认可竞争性磋商文件，但法律法规及规范性文件有明确规定的除外。</w:t>
            </w:r>
          </w:p>
        </w:tc>
      </w:tr>
      <w:tr w14:paraId="36FB5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14:paraId="55BCFE89">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6</w:t>
            </w:r>
          </w:p>
        </w:tc>
        <w:tc>
          <w:tcPr>
            <w:tcW w:w="9063" w:type="dxa"/>
            <w:tcBorders>
              <w:top w:val="single" w:color="auto" w:sz="4" w:space="0"/>
              <w:left w:val="single" w:color="auto" w:sz="4" w:space="0"/>
              <w:bottom w:val="single" w:color="auto" w:sz="4" w:space="0"/>
              <w:right w:val="single" w:color="auto" w:sz="4" w:space="0"/>
            </w:tcBorders>
            <w:vAlign w:val="center"/>
          </w:tcPr>
          <w:p w14:paraId="24C4FE17">
            <w:pPr>
              <w:snapToGrid w:val="0"/>
              <w:spacing w:line="300" w:lineRule="exact"/>
              <w:rPr>
                <w:rFonts w:ascii="宋体" w:hAnsi="宋体" w:eastAsia="宋体" w:cs="宋体"/>
                <w:spacing w:val="11"/>
                <w:szCs w:val="21"/>
              </w:rPr>
            </w:pPr>
            <w:r>
              <w:rPr>
                <w:rFonts w:hint="eastAsia" w:ascii="宋体" w:hAnsi="宋体" w:eastAsia="宋体" w:cs="宋体"/>
                <w:b/>
                <w:spacing w:val="14"/>
                <w:kern w:val="24"/>
                <w:szCs w:val="21"/>
              </w:rPr>
              <w:t>▲本项目设定最高限价：52</w:t>
            </w:r>
            <w:r>
              <w:rPr>
                <w:rFonts w:hint="eastAsia" w:ascii="宋体" w:hAnsi="宋体" w:eastAsia="宋体" w:cs="宋体"/>
                <w:b/>
                <w:bCs/>
                <w:spacing w:val="11"/>
                <w:szCs w:val="21"/>
              </w:rPr>
              <w:t>万元，高于最高限价的磋商响应都将被否决。</w:t>
            </w:r>
          </w:p>
        </w:tc>
      </w:tr>
      <w:tr w14:paraId="74FA8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2CBBBBB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7</w:t>
            </w:r>
          </w:p>
        </w:tc>
        <w:tc>
          <w:tcPr>
            <w:tcW w:w="9063" w:type="dxa"/>
            <w:tcBorders>
              <w:top w:val="single" w:color="auto" w:sz="4" w:space="0"/>
              <w:left w:val="single" w:color="auto" w:sz="4" w:space="0"/>
              <w:bottom w:val="single" w:color="auto" w:sz="4" w:space="0"/>
              <w:right w:val="single" w:color="auto" w:sz="4" w:space="0"/>
            </w:tcBorders>
            <w:vAlign w:val="center"/>
          </w:tcPr>
          <w:p w14:paraId="6FB722F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磋商响应文件构成和份数：</w:t>
            </w:r>
          </w:p>
          <w:p w14:paraId="6C4BB9B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1.形式：本项目实行全流程网上电子投标。</w:t>
            </w:r>
          </w:p>
          <w:p w14:paraId="63738E3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2.组成：供应商应准备</w:t>
            </w:r>
            <w:r>
              <w:rPr>
                <w:rFonts w:hint="eastAsia" w:ascii="宋体" w:hAnsi="宋体" w:eastAsia="宋体" w:cs="宋体"/>
                <w:szCs w:val="21"/>
                <w:lang w:val="zh-CN"/>
              </w:rPr>
              <w:t>上传的</w:t>
            </w:r>
            <w:r>
              <w:rPr>
                <w:rFonts w:hint="eastAsia" w:ascii="宋体" w:hAnsi="宋体" w:eastAsia="宋体" w:cs="宋体"/>
                <w:spacing w:val="11"/>
                <w:szCs w:val="21"/>
              </w:rPr>
              <w:t>电子磋商响应文件1份、以介质存储的数据电文形式的备份磋商响应文件（U盘或光盘）1份、纸质备份磋商响应文件1份，共三类。</w:t>
            </w:r>
          </w:p>
          <w:p w14:paraId="13F7DF1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b/>
                <w:bCs/>
                <w:szCs w:val="21"/>
              </w:rPr>
              <w:t>成交供应商在领取成交通知书之前再递交4份纸质版磋商响应文件。</w:t>
            </w:r>
          </w:p>
        </w:tc>
      </w:tr>
      <w:tr w14:paraId="40BF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14:paraId="733C433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8</w:t>
            </w:r>
          </w:p>
        </w:tc>
        <w:tc>
          <w:tcPr>
            <w:tcW w:w="9063" w:type="dxa"/>
            <w:tcBorders>
              <w:top w:val="single" w:color="auto" w:sz="4" w:space="0"/>
              <w:left w:val="single" w:color="auto" w:sz="4" w:space="0"/>
              <w:bottom w:val="single" w:color="auto" w:sz="4" w:space="0"/>
              <w:right w:val="single" w:color="auto" w:sz="4" w:space="0"/>
            </w:tcBorders>
            <w:vAlign w:val="center"/>
          </w:tcPr>
          <w:p w14:paraId="60C82B24">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磋商响应文件的形式和效力：</w:t>
            </w:r>
          </w:p>
          <w:p w14:paraId="0D06F674">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磋商响应文件分为电子磋商响应文件以及备份磋商响应文件，备份文件分为以介质存储的数据电文形式的备份磋商响应文件（U盘或光盘）和纸质备份磋商响应文件。</w:t>
            </w:r>
          </w:p>
          <w:p w14:paraId="024BA29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1.电子磋商响应文件部分：供应商应根据“政采云供应商项目采购－电子招投标操作指南”及本磋商文件规定的格式和顺序编制，按电子磋商响应文件要求制作、加密并递交，进行关联定位。</w:t>
            </w:r>
          </w:p>
          <w:p w14:paraId="6CFDFA8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2.以介质存储的数据电文形式的备份磋商响应文件部分：即电子磋商响应文件的备份文件，按“政采云供应商项目采购－电子招投标操作指南”制作的备份文件。以U盘或光盘形式存储，并单独密封递交。</w:t>
            </w:r>
          </w:p>
          <w:p w14:paraId="18078322">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3.纸质备份磋商响应文件部分：电子磋商响应文件的备份文件按须知“磋商响应文件的组成”编制，制作成纸质文件，并单独密封递交。</w:t>
            </w:r>
          </w:p>
          <w:p w14:paraId="05E070A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3E99DBB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备注：以供应商解密成功的上传电子磋商响应文件为准，除非供应商原因导致的电子磋商响应文件上传不全、无法打开、显示缺陷等才进行第二、第三效力文件的启用。</w:t>
            </w:r>
          </w:p>
        </w:tc>
      </w:tr>
      <w:tr w14:paraId="187B1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14:paraId="75D0FCE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9</w:t>
            </w:r>
          </w:p>
        </w:tc>
        <w:tc>
          <w:tcPr>
            <w:tcW w:w="9063" w:type="dxa"/>
            <w:tcBorders>
              <w:top w:val="single" w:color="auto" w:sz="4" w:space="0"/>
              <w:left w:val="single" w:color="auto" w:sz="4" w:space="0"/>
              <w:bottom w:val="single" w:color="auto" w:sz="4" w:space="0"/>
              <w:right w:val="single" w:color="auto" w:sz="4" w:space="0"/>
            </w:tcBorders>
            <w:vAlign w:val="center"/>
          </w:tcPr>
          <w:p w14:paraId="376A9908">
            <w:pPr>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w:t>
            </w:r>
            <w:r>
              <w:rPr>
                <w:rFonts w:hint="eastAsia" w:ascii="宋体" w:hAnsi="宋体" w:eastAsia="宋体" w:cs="宋体"/>
                <w:spacing w:val="11"/>
                <w:szCs w:val="21"/>
              </w:rPr>
              <w:t>应按以下要求装订：</w:t>
            </w:r>
          </w:p>
          <w:p w14:paraId="2CAD0188">
            <w:pPr>
              <w:spacing w:line="300" w:lineRule="exact"/>
              <w:rPr>
                <w:rFonts w:ascii="宋体" w:hAnsi="宋体" w:eastAsia="宋体" w:cs="宋体"/>
                <w:b/>
                <w:spacing w:val="11"/>
                <w:szCs w:val="21"/>
                <w:u w:val="single"/>
              </w:rPr>
            </w:pPr>
            <w:r>
              <w:rPr>
                <w:rFonts w:hint="eastAsia" w:ascii="宋体" w:hAnsi="宋体" w:eastAsia="宋体" w:cs="宋体"/>
                <w:spacing w:val="11"/>
                <w:szCs w:val="21"/>
              </w:rPr>
              <w:t>分册装订，</w:t>
            </w:r>
            <w:r>
              <w:rPr>
                <w:rFonts w:hint="eastAsia" w:ascii="宋体" w:hAnsi="宋体" w:eastAsia="宋体" w:cs="宋体"/>
                <w:b/>
                <w:spacing w:val="11"/>
                <w:szCs w:val="21"/>
              </w:rPr>
              <w:t>共分</w:t>
            </w:r>
            <w:r>
              <w:rPr>
                <w:rFonts w:hint="eastAsia" w:ascii="宋体" w:hAnsi="宋体" w:eastAsia="宋体" w:cs="宋体"/>
                <w:b/>
                <w:spacing w:val="11"/>
                <w:szCs w:val="21"/>
                <w:u w:val="single"/>
              </w:rPr>
              <w:t>2</w:t>
            </w:r>
            <w:r>
              <w:rPr>
                <w:rFonts w:hint="eastAsia" w:ascii="宋体" w:hAnsi="宋体" w:eastAsia="宋体" w:cs="宋体"/>
                <w:b/>
                <w:spacing w:val="11"/>
                <w:szCs w:val="21"/>
              </w:rPr>
              <w:t>册，分别为：“</w:t>
            </w:r>
            <w:r>
              <w:rPr>
                <w:rFonts w:hint="eastAsia" w:ascii="宋体" w:hAnsi="宋体" w:eastAsia="宋体" w:cs="宋体"/>
                <w:b/>
                <w:bCs/>
                <w:spacing w:val="11"/>
                <w:szCs w:val="21"/>
                <w:u w:val="single"/>
              </w:rPr>
              <w:t>商务及资信技术文件”“报价文件”。</w:t>
            </w:r>
          </w:p>
          <w:p w14:paraId="3F003941">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纸质备份磋商响应文件每册装订应牢固、不易拆散和换页，不得采用活页装订（提倡双面编制）。</w:t>
            </w:r>
          </w:p>
        </w:tc>
      </w:tr>
      <w:tr w14:paraId="3EDF8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46D48EE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10</w:t>
            </w:r>
          </w:p>
        </w:tc>
        <w:tc>
          <w:tcPr>
            <w:tcW w:w="9063" w:type="dxa"/>
            <w:tcBorders>
              <w:top w:val="single" w:color="auto" w:sz="4" w:space="0"/>
              <w:left w:val="single" w:color="auto" w:sz="4" w:space="0"/>
              <w:bottom w:val="single" w:color="auto" w:sz="4" w:space="0"/>
              <w:right w:val="single" w:color="auto" w:sz="4" w:space="0"/>
            </w:tcBorders>
            <w:vAlign w:val="center"/>
          </w:tcPr>
          <w:p w14:paraId="40FF1F84">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签字、盖章要求：上传的电子磋商响应文件的盖章可采用CA锁电子签章进行，如办理了法人电子锁，法定代表人签字也可以进行电子签章；以介质存储的数据电文形式的备份磋商响应文件（U盘或光盘）、纸质备份磋商响应文件应按磋商文件要求进行签字盖章。</w:t>
            </w:r>
          </w:p>
        </w:tc>
      </w:tr>
      <w:tr w14:paraId="6C2D8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14:paraId="6C0FCA97">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11</w:t>
            </w:r>
          </w:p>
        </w:tc>
        <w:tc>
          <w:tcPr>
            <w:tcW w:w="9063" w:type="dxa"/>
            <w:tcBorders>
              <w:top w:val="single" w:color="auto" w:sz="4" w:space="0"/>
              <w:left w:val="single" w:color="auto" w:sz="4" w:space="0"/>
              <w:bottom w:val="single" w:color="auto" w:sz="4" w:space="0"/>
              <w:right w:val="single" w:color="auto" w:sz="4" w:space="0"/>
            </w:tcBorders>
            <w:vAlign w:val="center"/>
          </w:tcPr>
          <w:p w14:paraId="37D956C6">
            <w:pPr>
              <w:snapToGrid w:val="0"/>
              <w:spacing w:line="300" w:lineRule="exact"/>
              <w:rPr>
                <w:rFonts w:ascii="宋体" w:hAnsi="宋体" w:eastAsia="宋体" w:cs="宋体"/>
                <w:szCs w:val="21"/>
              </w:rPr>
            </w:pPr>
            <w:r>
              <w:rPr>
                <w:rFonts w:hint="eastAsia" w:ascii="宋体" w:hAnsi="宋体" w:eastAsia="宋体" w:cs="宋体"/>
                <w:b/>
                <w:bCs/>
                <w:spacing w:val="11"/>
                <w:szCs w:val="21"/>
              </w:rPr>
              <w:t>磋商响应文件的递交要求：</w:t>
            </w:r>
          </w:p>
          <w:p w14:paraId="5E8940CF">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1.电子磋商响应文件，按政采云平台项目采购－电子招投标操作指南及本磋商文件要求上传。</w:t>
            </w:r>
          </w:p>
          <w:p w14:paraId="3E7399C5">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2.以介质存储的数据电文形式的备份磋商响应文件，按政采云平台项目采购－电子招投标操作指南中上传的电子磋商响应文件的组成和格式，以密封的U盘或光盘形式提供。</w:t>
            </w:r>
          </w:p>
          <w:p w14:paraId="6C73EE5B">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3.纸质备份磋商响应文件将以密封的纸质文件的形式递交。</w:t>
            </w:r>
          </w:p>
        </w:tc>
      </w:tr>
      <w:tr w14:paraId="122F3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14:paraId="2F7889E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12</w:t>
            </w:r>
          </w:p>
        </w:tc>
        <w:tc>
          <w:tcPr>
            <w:tcW w:w="9063" w:type="dxa"/>
            <w:tcBorders>
              <w:top w:val="single" w:color="auto" w:sz="4" w:space="0"/>
              <w:left w:val="single" w:color="auto" w:sz="4" w:space="0"/>
              <w:bottom w:val="single" w:color="auto" w:sz="4" w:space="0"/>
              <w:right w:val="single" w:color="auto" w:sz="4" w:space="0"/>
            </w:tcBorders>
            <w:vAlign w:val="center"/>
          </w:tcPr>
          <w:p w14:paraId="458C514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w:t>
            </w:r>
            <w:r>
              <w:rPr>
                <w:rFonts w:hint="eastAsia" w:ascii="宋体" w:hAnsi="宋体" w:eastAsia="宋体" w:cs="宋体"/>
                <w:szCs w:val="21"/>
                <w:lang w:val="zh-CN"/>
              </w:rPr>
              <w:t>响应</w:t>
            </w:r>
            <w:r>
              <w:rPr>
                <w:rFonts w:hint="eastAsia" w:ascii="宋体" w:hAnsi="宋体" w:eastAsia="宋体" w:cs="宋体"/>
                <w:spacing w:val="11"/>
                <w:szCs w:val="21"/>
              </w:rPr>
              <w:t>截止时间：</w:t>
            </w:r>
            <w:r>
              <w:rPr>
                <w:rFonts w:hint="eastAsia" w:ascii="宋体" w:hAnsi="宋体" w:eastAsia="宋体" w:cs="宋体"/>
                <w:b/>
                <w:spacing w:val="11"/>
                <w:kern w:val="0"/>
                <w:szCs w:val="21"/>
              </w:rPr>
              <w:t>2024年12月</w:t>
            </w:r>
            <w:r>
              <w:rPr>
                <w:rFonts w:hint="eastAsia" w:ascii="宋体" w:hAnsi="宋体" w:eastAsia="宋体" w:cs="宋体"/>
                <w:b/>
                <w:spacing w:val="11"/>
                <w:kern w:val="0"/>
                <w:szCs w:val="21"/>
                <w:lang w:val="en-US" w:eastAsia="zh-CN"/>
              </w:rPr>
              <w:t>17</w:t>
            </w:r>
            <w:r>
              <w:rPr>
                <w:rFonts w:hint="eastAsia" w:ascii="宋体" w:hAnsi="宋体" w:eastAsia="宋体" w:cs="宋体"/>
                <w:b/>
                <w:spacing w:val="11"/>
                <w:kern w:val="0"/>
                <w:szCs w:val="21"/>
              </w:rPr>
              <w:t>日09:00时</w:t>
            </w:r>
          </w:p>
        </w:tc>
      </w:tr>
      <w:tr w14:paraId="49E32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772C1C7E">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13</w:t>
            </w:r>
          </w:p>
        </w:tc>
        <w:tc>
          <w:tcPr>
            <w:tcW w:w="9063" w:type="dxa"/>
            <w:tcBorders>
              <w:top w:val="single" w:color="auto" w:sz="4" w:space="0"/>
              <w:left w:val="single" w:color="auto" w:sz="4" w:space="0"/>
              <w:bottom w:val="single" w:color="auto" w:sz="4" w:space="0"/>
              <w:right w:val="single" w:color="auto" w:sz="4" w:space="0"/>
            </w:tcBorders>
            <w:vAlign w:val="center"/>
          </w:tcPr>
          <w:p w14:paraId="653C4BB0">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磋商时间：</w:t>
            </w:r>
            <w:r>
              <w:rPr>
                <w:rFonts w:hint="eastAsia" w:ascii="宋体" w:hAnsi="宋体" w:eastAsia="宋体" w:cs="宋体"/>
                <w:b/>
                <w:spacing w:val="11"/>
                <w:kern w:val="0"/>
                <w:szCs w:val="21"/>
              </w:rPr>
              <w:t>2024年12月</w:t>
            </w:r>
            <w:r>
              <w:rPr>
                <w:rFonts w:hint="eastAsia" w:ascii="宋体" w:hAnsi="宋体" w:eastAsia="宋体" w:cs="宋体"/>
                <w:b/>
                <w:spacing w:val="11"/>
                <w:kern w:val="0"/>
                <w:szCs w:val="21"/>
                <w:lang w:val="en-US" w:eastAsia="zh-CN"/>
              </w:rPr>
              <w:t>17</w:t>
            </w:r>
            <w:r>
              <w:rPr>
                <w:rFonts w:hint="eastAsia" w:ascii="宋体" w:hAnsi="宋体" w:eastAsia="宋体" w:cs="宋体"/>
                <w:b/>
                <w:spacing w:val="11"/>
                <w:kern w:val="0"/>
                <w:szCs w:val="21"/>
              </w:rPr>
              <w:t>日09:00时。</w:t>
            </w:r>
          </w:p>
          <w:p w14:paraId="6DC857B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磋商地点：长兴县公共资源交易中心（龙山街道锦绣路8号市民服务中心4楼）本项目开标室</w:t>
            </w:r>
          </w:p>
        </w:tc>
      </w:tr>
      <w:tr w14:paraId="04C9E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2F51973">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14</w:t>
            </w:r>
          </w:p>
        </w:tc>
        <w:tc>
          <w:tcPr>
            <w:tcW w:w="9063" w:type="dxa"/>
            <w:tcBorders>
              <w:top w:val="single" w:color="auto" w:sz="4" w:space="0"/>
              <w:left w:val="single" w:color="auto" w:sz="4" w:space="0"/>
              <w:bottom w:val="single" w:color="auto" w:sz="4" w:space="0"/>
              <w:right w:val="single" w:color="auto" w:sz="4" w:space="0"/>
            </w:tcBorders>
            <w:vAlign w:val="center"/>
          </w:tcPr>
          <w:p w14:paraId="341BA667">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磋商响应文件出现下列情形之一的，采购人不予受理或</w:t>
            </w:r>
            <w:r>
              <w:rPr>
                <w:rFonts w:hint="eastAsia" w:ascii="宋体" w:hAnsi="宋体" w:eastAsia="宋体" w:cs="宋体"/>
                <w:b/>
                <w:bCs/>
                <w:spacing w:val="11"/>
                <w:kern w:val="0"/>
                <w:szCs w:val="21"/>
              </w:rPr>
              <w:t>被政采云平台拒收：</w:t>
            </w:r>
          </w:p>
          <w:p w14:paraId="305FC45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（1）备份磋商响应文件未按照磋商文件的要求予以密封的； </w:t>
            </w:r>
          </w:p>
          <w:p w14:paraId="15E40AA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（2）电子磋商响应文件未按磋商文件要求上传或备份磋商响应文件逾期送达或未送达指定地点的； </w:t>
            </w:r>
          </w:p>
          <w:p w14:paraId="06AEE57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（3）供应商未按照须知前附表规定的时间解密电子磋商响应文件的； </w:t>
            </w:r>
          </w:p>
          <w:p w14:paraId="7116C96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（4）仅提供备份磋商响应文件的磋商无效。仅提供其中一种形式的备份磋商响应文件，造成项目磋商活动无法进行下去的，磋商无效，相关风险由供应商自行承担。</w:t>
            </w:r>
          </w:p>
        </w:tc>
      </w:tr>
      <w:tr w14:paraId="4B8FA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5582A0B0">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15</w:t>
            </w:r>
          </w:p>
        </w:tc>
        <w:tc>
          <w:tcPr>
            <w:tcW w:w="9063" w:type="dxa"/>
            <w:tcBorders>
              <w:top w:val="single" w:color="auto" w:sz="4" w:space="0"/>
              <w:left w:val="single" w:color="auto" w:sz="4" w:space="0"/>
              <w:bottom w:val="single" w:color="auto" w:sz="4" w:space="0"/>
              <w:right w:val="single" w:color="auto" w:sz="4" w:space="0"/>
            </w:tcBorders>
            <w:vAlign w:val="center"/>
          </w:tcPr>
          <w:p w14:paraId="0A40B740">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本项目采取“不见面”形式进行开评标活动，法定代表人或其授权委托人无须到场，通过政采云平台在线响应，并保持电话畅通。</w:t>
            </w:r>
          </w:p>
        </w:tc>
      </w:tr>
      <w:tr w14:paraId="55C7F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14:paraId="0F934026">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16</w:t>
            </w:r>
          </w:p>
        </w:tc>
        <w:tc>
          <w:tcPr>
            <w:tcW w:w="9063" w:type="dxa"/>
            <w:tcBorders>
              <w:top w:val="single" w:color="auto" w:sz="4" w:space="0"/>
              <w:left w:val="single" w:color="auto" w:sz="4" w:space="0"/>
              <w:bottom w:val="single" w:color="auto" w:sz="4" w:space="0"/>
              <w:right w:val="single" w:color="auto" w:sz="4" w:space="0"/>
            </w:tcBorders>
            <w:vAlign w:val="center"/>
          </w:tcPr>
          <w:p w14:paraId="595BF26A">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14:paraId="5F54E14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电子开标、评标如出现下列原因，导致系统无法正常运行或无法正常评标时，应采取应急措施： </w:t>
            </w:r>
          </w:p>
          <w:p w14:paraId="621CFFB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（1）系统服务器发生故障，无法访问或无法使用系统； </w:t>
            </w:r>
          </w:p>
          <w:p w14:paraId="2E4F8556">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（2）系统的软件或数据库出现错误，不能进行正常操作；</w:t>
            </w:r>
          </w:p>
          <w:p w14:paraId="6C03AA5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（3）系统发现有安全漏洞，有潜在的泄密危险； </w:t>
            </w:r>
          </w:p>
          <w:p w14:paraId="56C1920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（4）病毒发作或受到外来病毒的攻击。</w:t>
            </w:r>
          </w:p>
          <w:p w14:paraId="2476515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做出妥善保密处理。</w:t>
            </w:r>
          </w:p>
        </w:tc>
      </w:tr>
      <w:tr w14:paraId="2583E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103600E1">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17</w:t>
            </w:r>
          </w:p>
        </w:tc>
        <w:tc>
          <w:tcPr>
            <w:tcW w:w="9063" w:type="dxa"/>
            <w:tcBorders>
              <w:top w:val="single" w:color="auto" w:sz="4" w:space="0"/>
              <w:left w:val="single" w:color="auto" w:sz="4" w:space="0"/>
              <w:bottom w:val="single" w:color="auto" w:sz="4" w:space="0"/>
              <w:right w:val="single" w:color="auto" w:sz="4" w:space="0"/>
            </w:tcBorders>
            <w:vAlign w:val="center"/>
          </w:tcPr>
          <w:p w14:paraId="13B01D0D">
            <w:pPr>
              <w:pageBreakBefore w:val="0"/>
              <w:widowControl/>
              <w:kinsoku/>
              <w:overflowPunct/>
              <w:topLinePunct w:val="0"/>
              <w:bidi w:val="0"/>
              <w:snapToGrid w:val="0"/>
              <w:spacing w:afterAutospacing="0" w:line="300" w:lineRule="exact"/>
              <w:jc w:val="left"/>
              <w:rPr>
                <w:rFonts w:hint="eastAsia" w:ascii="宋体" w:hAnsi="宋体" w:eastAsia="宋体" w:cs="宋体"/>
                <w:b w:val="0"/>
                <w:spacing w:val="11"/>
                <w:kern w:val="2"/>
                <w:sz w:val="21"/>
                <w:szCs w:val="21"/>
              </w:rPr>
            </w:pPr>
            <w:r>
              <w:rPr>
                <w:rFonts w:hint="eastAsia" w:ascii="宋体" w:hAnsi="宋体" w:eastAsia="宋体" w:cs="宋体"/>
                <w:spacing w:val="11"/>
                <w:szCs w:val="21"/>
              </w:rPr>
              <w:t>本项目中小企业声明函（</w:t>
            </w:r>
            <w:r>
              <w:rPr>
                <w:rFonts w:hint="eastAsia" w:ascii="宋体" w:hAnsi="宋体" w:eastAsia="宋体" w:cs="宋体"/>
                <w:spacing w:val="11"/>
                <w:szCs w:val="21"/>
                <w:lang w:val="en-US" w:eastAsia="zh-CN"/>
              </w:rPr>
              <w:t>服务</w:t>
            </w:r>
            <w:r>
              <w:rPr>
                <w:rFonts w:hint="eastAsia" w:ascii="宋体" w:hAnsi="宋体" w:eastAsia="宋体" w:cs="宋体"/>
                <w:spacing w:val="11"/>
                <w:szCs w:val="21"/>
              </w:rPr>
              <w:t>）</w:t>
            </w:r>
            <w:r>
              <w:rPr>
                <w:rFonts w:hint="eastAsia" w:ascii="宋体" w:hAnsi="宋体" w:eastAsia="宋体" w:cs="宋体"/>
                <w:b/>
                <w:bCs/>
                <w:spacing w:val="11"/>
                <w:szCs w:val="21"/>
              </w:rPr>
              <w:t>中所属行业租赁和商务服务业</w:t>
            </w:r>
            <w:r>
              <w:rPr>
                <w:rFonts w:hint="eastAsia" w:ascii="宋体" w:hAnsi="宋体" w:eastAsia="宋体" w:cs="宋体"/>
                <w:spacing w:val="11"/>
                <w:szCs w:val="21"/>
              </w:rPr>
              <w:t>。（根据《关于印发中小企业划型标准规定的通知》（工信部联企业〔2011〕300号）规定 ：</w:t>
            </w:r>
            <w:r>
              <w:rPr>
                <w:rFonts w:hint="eastAsia" w:ascii="宋体" w:hAnsi="宋体" w:eastAsia="宋体" w:cs="宋体"/>
                <w:b w:val="0"/>
                <w:spacing w:val="11"/>
                <w:kern w:val="2"/>
                <w:sz w:val="21"/>
                <w:szCs w:val="21"/>
              </w:rPr>
              <w:t>租赁和商务服务业</w:t>
            </w:r>
          </w:p>
          <w:p w14:paraId="1C052E01">
            <w:pPr>
              <w:snapToGrid w:val="0"/>
              <w:spacing w:line="300" w:lineRule="exact"/>
              <w:rPr>
                <w:rFonts w:hint="eastAsia" w:ascii="宋体" w:hAnsi="宋体" w:eastAsia="宋体" w:cs="宋体"/>
                <w:spacing w:val="11"/>
                <w:szCs w:val="21"/>
              </w:rPr>
            </w:pPr>
            <w:r>
              <w:rPr>
                <w:rFonts w:hint="eastAsia" w:ascii="宋体" w:hAnsi="宋体" w:eastAsia="宋体" w:cs="宋体"/>
                <w:spacing w:val="11"/>
                <w:szCs w:val="21"/>
              </w:rPr>
              <w:t xml:space="preserve"> </w:t>
            </w:r>
            <w:r>
              <w:rPr>
                <w:rFonts w:hint="eastAsia" w:ascii="宋体" w:hAnsi="宋体" w:eastAsia="宋体" w:cs="宋体"/>
                <w:b w:val="0"/>
                <w:spacing w:val="11"/>
                <w:kern w:val="2"/>
                <w:sz w:val="21"/>
                <w:szCs w:val="21"/>
              </w:rPr>
              <w:t>从业人员300人以下或资产总额120000万元以下的为中小微型企业。其中，从业人员100人及以上，且资产总额8000万元及以上的为中型企业</w:t>
            </w:r>
            <w:r>
              <w:rPr>
                <w:rFonts w:hint="eastAsia" w:ascii="宋体" w:hAnsi="宋体" w:eastAsia="宋体" w:cs="宋体"/>
                <w:b w:val="0"/>
                <w:spacing w:val="11"/>
                <w:kern w:val="2"/>
                <w:sz w:val="21"/>
                <w:szCs w:val="21"/>
                <w:lang w:eastAsia="zh-CN"/>
              </w:rPr>
              <w:t>；</w:t>
            </w:r>
            <w:r>
              <w:rPr>
                <w:rFonts w:hint="eastAsia" w:ascii="宋体" w:hAnsi="宋体" w:eastAsia="宋体" w:cs="宋体"/>
                <w:b w:val="0"/>
                <w:spacing w:val="11"/>
                <w:kern w:val="2"/>
                <w:sz w:val="21"/>
                <w:szCs w:val="21"/>
              </w:rPr>
              <w:t>从业人员10人及以上，且资产总额100万元及以上的为小型企业</w:t>
            </w:r>
            <w:r>
              <w:rPr>
                <w:rFonts w:hint="eastAsia" w:ascii="宋体" w:hAnsi="宋体" w:eastAsia="宋体" w:cs="宋体"/>
                <w:b w:val="0"/>
                <w:spacing w:val="11"/>
                <w:kern w:val="2"/>
                <w:sz w:val="21"/>
                <w:szCs w:val="21"/>
                <w:lang w:eastAsia="zh-CN"/>
              </w:rPr>
              <w:t>；</w:t>
            </w:r>
            <w:r>
              <w:rPr>
                <w:rFonts w:hint="eastAsia" w:ascii="宋体" w:hAnsi="宋体" w:eastAsia="宋体" w:cs="宋体"/>
                <w:b w:val="0"/>
                <w:spacing w:val="11"/>
                <w:kern w:val="2"/>
                <w:sz w:val="21"/>
                <w:szCs w:val="21"/>
              </w:rPr>
              <w:t>从业人员10人以下或资产总额100万元以下的为微型企业。</w:t>
            </w:r>
            <w:r>
              <w:rPr>
                <w:rFonts w:hint="eastAsia" w:ascii="宋体" w:hAnsi="宋体" w:eastAsia="宋体" w:cs="宋体"/>
                <w:spacing w:val="11"/>
                <w:szCs w:val="21"/>
              </w:rPr>
              <w:t>）</w:t>
            </w:r>
          </w:p>
          <w:p w14:paraId="620529CD">
            <w:pPr>
              <w:snapToGrid w:val="0"/>
              <w:spacing w:line="300" w:lineRule="exact"/>
              <w:rPr>
                <w:rFonts w:hint="eastAsia" w:ascii="宋体" w:hAnsi="宋体" w:eastAsia="宋体" w:cs="宋体"/>
                <w:spacing w:val="11"/>
                <w:szCs w:val="21"/>
              </w:rPr>
            </w:pPr>
            <w:r>
              <w:rPr>
                <w:rFonts w:hint="eastAsia" w:ascii="宋体" w:hAnsi="宋体" w:eastAsia="宋体" w:cs="宋体"/>
                <w:spacing w:val="11"/>
                <w:szCs w:val="21"/>
              </w:rPr>
              <w:t>监狱企业、残疾人福利性单位视同小型、微型企业；符合中小企业划分标准的个体工商户，在政府采购活动中视同中小企业。</w:t>
            </w:r>
          </w:p>
          <w:p w14:paraId="470C32E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1BFBB8EA">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本项目中小企业声明函（</w:t>
            </w:r>
            <w:r>
              <w:rPr>
                <w:rFonts w:hint="eastAsia" w:ascii="宋体" w:hAnsi="宋体" w:eastAsia="宋体" w:cs="宋体"/>
                <w:spacing w:val="11"/>
                <w:szCs w:val="21"/>
                <w:lang w:val="en-US" w:eastAsia="zh-CN"/>
              </w:rPr>
              <w:t>服务</w:t>
            </w:r>
            <w:r>
              <w:rPr>
                <w:rFonts w:hint="eastAsia" w:ascii="宋体" w:hAnsi="宋体" w:eastAsia="宋体" w:cs="宋体"/>
                <w:szCs w:val="21"/>
              </w:rPr>
              <w:t>）中标的名称：</w:t>
            </w:r>
            <w:r>
              <w:rPr>
                <w:rFonts w:hint="eastAsia" w:ascii="宋体" w:hAnsi="宋体" w:eastAsia="宋体" w:cs="宋体"/>
                <w:b/>
                <w:bCs/>
                <w:color w:val="000000"/>
                <w:kern w:val="0"/>
                <w:szCs w:val="21"/>
              </w:rPr>
              <w:t>长兴技师学院2025年保安服务采购项目</w:t>
            </w:r>
            <w:r>
              <w:rPr>
                <w:rFonts w:hint="eastAsia" w:ascii="宋体" w:hAnsi="宋体" w:eastAsia="宋体" w:cs="宋体"/>
                <w:b/>
                <w:bCs/>
                <w:spacing w:val="11"/>
                <w:szCs w:val="21"/>
              </w:rPr>
              <w:t xml:space="preserve">。 </w:t>
            </w:r>
          </w:p>
        </w:tc>
      </w:tr>
      <w:tr w14:paraId="5A3F9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14:paraId="168DF12C">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18</w:t>
            </w:r>
          </w:p>
        </w:tc>
        <w:tc>
          <w:tcPr>
            <w:tcW w:w="9063" w:type="dxa"/>
            <w:tcBorders>
              <w:top w:val="single" w:color="auto" w:sz="4" w:space="0"/>
              <w:left w:val="single" w:color="auto" w:sz="4" w:space="0"/>
              <w:bottom w:val="single" w:color="auto" w:sz="4" w:space="0"/>
              <w:right w:val="single" w:color="auto" w:sz="4" w:space="0"/>
            </w:tcBorders>
            <w:vAlign w:val="center"/>
          </w:tcPr>
          <w:p w14:paraId="1FB56701">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成交办法：本次竞争性磋商采用符合要求和服务，综合得分最高的确定成交供应商。</w:t>
            </w:r>
          </w:p>
        </w:tc>
      </w:tr>
      <w:tr w14:paraId="39AF6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14:paraId="76E1A894">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9063" w:type="dxa"/>
            <w:tcBorders>
              <w:top w:val="single" w:color="auto" w:sz="4" w:space="0"/>
              <w:left w:val="single" w:color="auto" w:sz="4" w:space="0"/>
              <w:bottom w:val="single" w:color="auto" w:sz="4" w:space="0"/>
              <w:right w:val="single" w:color="auto" w:sz="4" w:space="0"/>
            </w:tcBorders>
            <w:vAlign w:val="center"/>
          </w:tcPr>
          <w:p w14:paraId="20B84CE2">
            <w:pPr>
              <w:snapToGrid w:val="0"/>
              <w:spacing w:line="300" w:lineRule="exact"/>
              <w:jc w:val="left"/>
              <w:rPr>
                <w:rFonts w:ascii="宋体" w:hAnsi="宋体" w:eastAsia="宋体" w:cs="宋体"/>
                <w:spacing w:val="11"/>
                <w:szCs w:val="21"/>
              </w:rPr>
            </w:pPr>
            <w:r>
              <w:rPr>
                <w:rFonts w:hint="eastAsia" w:ascii="宋体" w:hAnsi="宋体" w:eastAsia="宋体" w:cs="宋体"/>
                <w:spacing w:val="11"/>
                <w:szCs w:val="21"/>
              </w:rPr>
              <w:t>成交结果公告：成交供应商确定后2个工作日内，成交结果公告发布于“浙江省政府采购网”（http://www.zjzfcg.gov.cn/）、“长兴县公共资源交易中心网 ”（http://www.zjcx.gov.cn/col/col1229713478/index.html）。</w:t>
            </w:r>
          </w:p>
        </w:tc>
      </w:tr>
      <w:tr w14:paraId="1D234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14:paraId="2E7DCF1B">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20</w:t>
            </w:r>
          </w:p>
        </w:tc>
        <w:tc>
          <w:tcPr>
            <w:tcW w:w="9063" w:type="dxa"/>
            <w:tcBorders>
              <w:top w:val="single" w:color="auto" w:sz="4" w:space="0"/>
              <w:left w:val="single" w:color="auto" w:sz="4" w:space="0"/>
              <w:bottom w:val="single" w:color="auto" w:sz="4" w:space="0"/>
              <w:right w:val="single" w:color="auto" w:sz="4" w:space="0"/>
            </w:tcBorders>
            <w:vAlign w:val="center"/>
          </w:tcPr>
          <w:p w14:paraId="4E398CF0">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签订合同时间：成交通知书发出后30日内。</w:t>
            </w:r>
          </w:p>
        </w:tc>
      </w:tr>
      <w:tr w14:paraId="60661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14:paraId="5723B6C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21</w:t>
            </w:r>
          </w:p>
        </w:tc>
        <w:tc>
          <w:tcPr>
            <w:tcW w:w="9063" w:type="dxa"/>
            <w:tcBorders>
              <w:top w:val="single" w:color="auto" w:sz="4" w:space="0"/>
              <w:left w:val="single" w:color="auto" w:sz="4" w:space="0"/>
              <w:bottom w:val="single" w:color="auto" w:sz="4" w:space="0"/>
              <w:right w:val="single" w:color="auto" w:sz="4" w:space="0"/>
            </w:tcBorders>
            <w:vAlign w:val="center"/>
          </w:tcPr>
          <w:p w14:paraId="24C6DC9D">
            <w:pPr>
              <w:snapToGrid w:val="0"/>
              <w:spacing w:line="300" w:lineRule="exact"/>
              <w:rPr>
                <w:rFonts w:ascii="宋体" w:hAnsi="宋体" w:eastAsia="宋体" w:cs="宋体"/>
                <w:spacing w:val="11"/>
                <w:szCs w:val="21"/>
              </w:rPr>
            </w:pPr>
            <w:r>
              <w:rPr>
                <w:rFonts w:hint="eastAsia" w:ascii="宋体" w:hAnsi="宋体" w:eastAsia="宋体" w:cs="宋体"/>
                <w:spacing w:val="11"/>
                <w:szCs w:val="21"/>
              </w:rPr>
              <w:t>付款方式：详见合同条款。</w:t>
            </w:r>
          </w:p>
        </w:tc>
      </w:tr>
      <w:tr w14:paraId="2B314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36873F08">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22</w:t>
            </w:r>
          </w:p>
        </w:tc>
        <w:tc>
          <w:tcPr>
            <w:tcW w:w="9063" w:type="dxa"/>
            <w:tcBorders>
              <w:top w:val="single" w:color="auto" w:sz="4" w:space="0"/>
              <w:left w:val="single" w:color="auto" w:sz="4" w:space="0"/>
              <w:bottom w:val="single" w:color="auto" w:sz="4" w:space="0"/>
              <w:right w:val="single" w:color="auto" w:sz="4" w:space="0"/>
            </w:tcBorders>
            <w:vAlign w:val="center"/>
          </w:tcPr>
          <w:p w14:paraId="7092933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磋商响应文件有效期：</w:t>
            </w:r>
            <w:r>
              <w:rPr>
                <w:rFonts w:hint="eastAsia" w:ascii="宋体" w:hAnsi="宋体" w:eastAsia="宋体" w:cs="宋体"/>
                <w:spacing w:val="11"/>
                <w:szCs w:val="21"/>
                <w:u w:val="single"/>
              </w:rPr>
              <w:t>60</w:t>
            </w:r>
            <w:r>
              <w:rPr>
                <w:rFonts w:hint="eastAsia" w:ascii="宋体" w:hAnsi="宋体" w:eastAsia="宋体" w:cs="宋体"/>
                <w:spacing w:val="11"/>
                <w:szCs w:val="21"/>
              </w:rPr>
              <w:t>天。</w:t>
            </w:r>
          </w:p>
        </w:tc>
      </w:tr>
      <w:tr w14:paraId="158C8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14:paraId="4E3B37FF">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9063" w:type="dxa"/>
            <w:tcBorders>
              <w:top w:val="single" w:color="auto" w:sz="4" w:space="0"/>
              <w:left w:val="single" w:color="auto" w:sz="4" w:space="0"/>
              <w:bottom w:val="single" w:color="auto" w:sz="4" w:space="0"/>
              <w:right w:val="single" w:color="auto" w:sz="4" w:space="0"/>
            </w:tcBorders>
            <w:vAlign w:val="center"/>
          </w:tcPr>
          <w:p w14:paraId="33F2925B">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根据《关于在政府采购活动中查询及使用信用记录有关问题的通知》财库[2016]125号的规定：</w:t>
            </w:r>
          </w:p>
          <w:p w14:paraId="3FED645E">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1.采购代理机构将对本项目磋商供应商的信用信息进行查询和甄别。</w:t>
            </w:r>
          </w:p>
          <w:p w14:paraId="7BC0AE73">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2.查询渠道为信用中国网站（www.creditchina.gov.cn）、中国政府采购网（www.ccgp.gov.cn）。</w:t>
            </w:r>
          </w:p>
          <w:p w14:paraId="74650478">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3.信用信息查询记录和证据以网页截图方式留存加盖单位公章。</w:t>
            </w:r>
          </w:p>
          <w:p w14:paraId="097CA9E5">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4.不良信用记录指：1.被列入信用中国网站“失信被执行人”、“ 重大税收违法失信主体” 名单； 2.被列入中国政府采购网“政府采购严重违法失信行为记录”名单。</w:t>
            </w:r>
          </w:p>
          <w:p w14:paraId="0615858F">
            <w:pPr>
              <w:snapToGrid w:val="0"/>
              <w:spacing w:line="300" w:lineRule="exact"/>
              <w:rPr>
                <w:rFonts w:ascii="宋体" w:hAnsi="宋体" w:eastAsia="宋体" w:cs="宋体"/>
                <w:spacing w:val="11"/>
                <w:szCs w:val="21"/>
              </w:rPr>
            </w:pPr>
            <w:r>
              <w:rPr>
                <w:rFonts w:hint="eastAsia" w:ascii="宋体" w:hAnsi="宋体" w:eastAsia="宋体" w:cs="宋体"/>
                <w:spacing w:val="11"/>
                <w:szCs w:val="21"/>
              </w:rPr>
              <w:t>5.信用信息的使用规则：供应商存在不良信用记录的，其磋商响应文件将被拒绝。</w:t>
            </w:r>
          </w:p>
          <w:p w14:paraId="2D112A07">
            <w:pPr>
              <w:snapToGrid w:val="0"/>
              <w:spacing w:line="300" w:lineRule="exact"/>
              <w:rPr>
                <w:rFonts w:ascii="宋体" w:hAnsi="宋体" w:eastAsia="宋体" w:cs="宋体"/>
                <w:spacing w:val="11"/>
                <w:szCs w:val="21"/>
              </w:rPr>
            </w:pPr>
            <w:r>
              <w:rPr>
                <w:rFonts w:hint="eastAsia" w:ascii="宋体" w:hAnsi="宋体" w:eastAsia="宋体" w:cs="宋体"/>
                <w:spacing w:val="11"/>
                <w:szCs w:val="21"/>
              </w:rPr>
              <w:t>6.如允许联合体磋商的，联合体成员存在不良信用记录视同联合体存在不良信用记录。</w:t>
            </w:r>
          </w:p>
        </w:tc>
      </w:tr>
      <w:tr w14:paraId="4ABE3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99" w:type="dxa"/>
            <w:tcBorders>
              <w:top w:val="single" w:color="auto" w:sz="4" w:space="0"/>
              <w:left w:val="single" w:color="auto" w:sz="4" w:space="0"/>
              <w:bottom w:val="single" w:color="auto" w:sz="4" w:space="0"/>
              <w:right w:val="single" w:color="auto" w:sz="4" w:space="0"/>
            </w:tcBorders>
            <w:vAlign w:val="center"/>
          </w:tcPr>
          <w:p w14:paraId="5A145CE2">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24</w:t>
            </w:r>
          </w:p>
        </w:tc>
        <w:tc>
          <w:tcPr>
            <w:tcW w:w="9063" w:type="dxa"/>
            <w:tcBorders>
              <w:top w:val="single" w:color="auto" w:sz="4" w:space="0"/>
              <w:left w:val="single" w:color="auto" w:sz="4" w:space="0"/>
              <w:bottom w:val="single" w:color="auto" w:sz="4" w:space="0"/>
              <w:right w:val="single" w:color="auto" w:sz="4" w:space="0"/>
            </w:tcBorders>
            <w:vAlign w:val="center"/>
          </w:tcPr>
          <w:p w14:paraId="10A8D439">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解释：本竞争性磋商文件的解释权属于采购人。 </w:t>
            </w:r>
          </w:p>
        </w:tc>
      </w:tr>
    </w:tbl>
    <w:p w14:paraId="256B6BDD">
      <w:pPr>
        <w:spacing w:line="340" w:lineRule="exact"/>
        <w:rPr>
          <w:rFonts w:ascii="宋体" w:hAnsi="宋体" w:eastAsia="宋体" w:cs="宋体"/>
          <w:b/>
          <w:bCs/>
          <w:spacing w:val="11"/>
          <w:szCs w:val="21"/>
        </w:rPr>
      </w:pPr>
      <w:r>
        <w:rPr>
          <w:rFonts w:hint="eastAsia" w:ascii="宋体" w:hAnsi="宋体" w:eastAsia="宋体" w:cs="宋体"/>
          <w:b/>
          <w:bCs/>
          <w:spacing w:val="11"/>
          <w:szCs w:val="21"/>
        </w:rPr>
        <w:t>一、总  则</w:t>
      </w:r>
    </w:p>
    <w:p w14:paraId="6226F90E">
      <w:pPr>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（一）适用范围</w:t>
      </w:r>
    </w:p>
    <w:p w14:paraId="10A4DCB5">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本竞争性磋商文件适用于长兴技师学院2025年保安服务采购项目。</w:t>
      </w:r>
    </w:p>
    <w:p w14:paraId="7E8A5F15">
      <w:pPr>
        <w:snapToGrid w:val="0"/>
        <w:spacing w:line="34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（二）定义</w:t>
      </w:r>
    </w:p>
    <w:p w14:paraId="393CA37D">
      <w:pPr>
        <w:pStyle w:val="28"/>
        <w:snapToGrid w:val="0"/>
        <w:spacing w:before="120" w:after="120" w:line="340" w:lineRule="exact"/>
        <w:ind w:firstLine="464" w:firstLineChars="200"/>
        <w:outlineLvl w:val="0"/>
        <w:rPr>
          <w:rFonts w:hAnsi="宋体" w:cs="宋体"/>
          <w:color w:val="0000FF"/>
          <w:spacing w:val="11"/>
          <w:sz w:val="21"/>
          <w:szCs w:val="21"/>
        </w:rPr>
      </w:pPr>
      <w:r>
        <w:rPr>
          <w:rFonts w:hint="eastAsia" w:hAnsi="宋体" w:cs="宋体"/>
          <w:spacing w:val="11"/>
          <w:sz w:val="21"/>
          <w:szCs w:val="21"/>
        </w:rPr>
        <w:t>1.“采购单位（采购人）”系指长兴技师学院。</w:t>
      </w:r>
    </w:p>
    <w:p w14:paraId="68CEE5F7">
      <w:pPr>
        <w:pStyle w:val="28"/>
        <w:snapToGrid w:val="0"/>
        <w:spacing w:before="120" w:after="120" w:line="340" w:lineRule="exact"/>
        <w:ind w:firstLine="464" w:firstLineChars="200"/>
        <w:outlineLvl w:val="0"/>
        <w:rPr>
          <w:rFonts w:hAnsi="宋体" w:cs="宋体"/>
          <w:spacing w:val="11"/>
          <w:sz w:val="21"/>
          <w:szCs w:val="21"/>
        </w:rPr>
      </w:pPr>
      <w:r>
        <w:rPr>
          <w:rFonts w:hint="eastAsia" w:hAnsi="宋体" w:cs="宋体"/>
          <w:spacing w:val="11"/>
          <w:sz w:val="21"/>
          <w:szCs w:val="21"/>
        </w:rPr>
        <w:t>2.“采购代理机构”系指受采购单位委托组织磋商的浙江信望工程咨询有限公司 。</w:t>
      </w:r>
    </w:p>
    <w:p w14:paraId="7C561F9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3.“供应商”系指向采购单位提交磋商响应文件的磋商单位。</w:t>
      </w:r>
    </w:p>
    <w:p w14:paraId="1E8294F8">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4.“产品”系指供应商按竞争性磋商文件规定，须向采购单位提供的一切设备、保险、税金、备品备件、工具、手册及其它有关技术资料和材料。</w:t>
      </w:r>
    </w:p>
    <w:p w14:paraId="3C3E1456">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5.“服务”系指竞争性磋商文件规定供应商须承担的相关的安装、调试、技术协助、校准、培训、技术指导以及其他类似的义务。</w:t>
      </w:r>
    </w:p>
    <w:p w14:paraId="576258B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6.“项目”系指供应商按竞争性磋商文件规定向采购单位提供的产品和服务。</w:t>
      </w:r>
    </w:p>
    <w:p w14:paraId="5ABAE763">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7.“书面形式”包括信函、传真、电报等。</w:t>
      </w:r>
    </w:p>
    <w:p w14:paraId="7098581A">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8.“▲”系指实质性要求条款，供应商必须做出实质性响应，否则将作无效标处理。</w:t>
      </w:r>
    </w:p>
    <w:p w14:paraId="1C6E6D31">
      <w:pPr>
        <w:snapToGrid w:val="0"/>
        <w:spacing w:line="34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（三）现场踏勘</w:t>
      </w:r>
    </w:p>
    <w:p w14:paraId="3FAA36A0">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不集中组织现场踏勘。潜在供应商可自行进行现场踏勘，如因未踏勘现场造成报价失误，是供应商的责任且成交后不予调整。</w:t>
      </w:r>
    </w:p>
    <w:p w14:paraId="219FF175">
      <w:pPr>
        <w:snapToGrid w:val="0"/>
        <w:spacing w:line="34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（四）转包与分包</w:t>
      </w:r>
    </w:p>
    <w:p w14:paraId="3F5C08F1">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本项目不允许转包，也不可以分包，否则采购单位有权解除合同。</w:t>
      </w:r>
    </w:p>
    <w:p w14:paraId="19239075">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▲（五）特别说明</w:t>
      </w:r>
    </w:p>
    <w:p w14:paraId="74B4F69B">
      <w:pPr>
        <w:pStyle w:val="28"/>
        <w:numPr>
          <w:ilvl w:val="0"/>
          <w:numId w:val="4"/>
        </w:numPr>
        <w:spacing w:before="120" w:after="120" w:line="340" w:lineRule="exact"/>
        <w:ind w:firstLine="464" w:firstLineChars="200"/>
        <w:rPr>
          <w:rFonts w:hAnsi="宋体" w:cs="宋体"/>
          <w:spacing w:val="11"/>
          <w:sz w:val="21"/>
          <w:szCs w:val="21"/>
        </w:rPr>
      </w:pPr>
      <w:r>
        <w:rPr>
          <w:rFonts w:hint="eastAsia" w:hAnsi="宋体" w:cs="宋体"/>
          <w:spacing w:val="11"/>
          <w:sz w:val="21"/>
          <w:szCs w:val="21"/>
        </w:rPr>
        <w:t>本次磋商工作是按照《中华人民共和国政府采购法》等相关规定组织和实施。</w:t>
      </w:r>
    </w:p>
    <w:p w14:paraId="015D4B33">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2.供应商磋商所使用的资格、信誉、荣誉、业绩与企业认证必须为本法人所拥有。供应商磋商所使用的实施人员必须为本法人员工。</w:t>
      </w:r>
    </w:p>
    <w:p w14:paraId="2F99F9BC">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5E044286">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供应商应仔细阅读竞争性磋商文件的所有内容，按照竞争性磋商文件的要求提交磋商响应文件。磋商响应文件应对竞争性磋商文件的要求作出实质性响应，并对所提供的全部资料的真实性、完整性承担法律责任。</w:t>
      </w:r>
    </w:p>
    <w:p w14:paraId="38EFA8A6">
      <w:pPr>
        <w:pStyle w:val="28"/>
        <w:spacing w:before="120" w:after="120" w:line="340" w:lineRule="exact"/>
        <w:ind w:firstLine="466" w:firstLineChars="200"/>
        <w:outlineLvl w:val="1"/>
        <w:rPr>
          <w:rFonts w:hAnsi="宋体" w:cs="宋体"/>
          <w:b/>
          <w:bCs/>
          <w:spacing w:val="11"/>
          <w:sz w:val="21"/>
          <w:szCs w:val="21"/>
        </w:rPr>
      </w:pPr>
      <w:r>
        <w:rPr>
          <w:rFonts w:hint="eastAsia" w:hAnsi="宋体" w:cs="宋体"/>
          <w:b/>
          <w:bCs/>
          <w:spacing w:val="11"/>
          <w:sz w:val="21"/>
          <w:szCs w:val="21"/>
        </w:rPr>
        <w:t>（六）质疑和投诉</w:t>
      </w:r>
    </w:p>
    <w:p w14:paraId="0F6B152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0B9302D9">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3EA9E8F8">
      <w:pPr>
        <w:spacing w:line="34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二、竞争性磋商文件</w:t>
      </w:r>
    </w:p>
    <w:p w14:paraId="6E2FD082">
      <w:pPr>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（一）竞争性磋商文件的组成</w:t>
      </w:r>
    </w:p>
    <w:p w14:paraId="05D230C7">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1.竞争性磋商公告</w:t>
      </w:r>
    </w:p>
    <w:p w14:paraId="2ED76E76">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2.磋商需求</w:t>
      </w:r>
    </w:p>
    <w:p w14:paraId="34436674">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3.磋商须知</w:t>
      </w:r>
    </w:p>
    <w:p w14:paraId="130E7DE3">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4.磋商办法及评分标准</w:t>
      </w:r>
    </w:p>
    <w:p w14:paraId="652DFE4B">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5.合同主要条款</w:t>
      </w:r>
    </w:p>
    <w:p w14:paraId="3D037D11">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6.磋商响应文件格式</w:t>
      </w:r>
    </w:p>
    <w:p w14:paraId="1BCF3526">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7.本项目竞争性磋商文件的澄清、答复、修改、补充的内容</w:t>
      </w:r>
    </w:p>
    <w:p w14:paraId="394CB22D">
      <w:pPr>
        <w:snapToGrid w:val="0"/>
        <w:spacing w:line="34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（二）供应商的风险</w:t>
      </w:r>
    </w:p>
    <w:p w14:paraId="463C10F5">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供应商没有按照竞争性磋商文件要求提供全部资料，或者供应商没有对竞争性磋商文件在各方面作出实质性响应是供应商的风险，并可能导致其磋商被拒绝。</w:t>
      </w:r>
    </w:p>
    <w:p w14:paraId="51F32904">
      <w:pPr>
        <w:pStyle w:val="14"/>
        <w:widowControl w:val="0"/>
        <w:numPr>
          <w:ilvl w:val="0"/>
          <w:numId w:val="0"/>
        </w:numPr>
        <w:tabs>
          <w:tab w:val="left" w:pos="420"/>
          <w:tab w:val="left" w:pos="900"/>
          <w:tab w:val="clear" w:pos="454"/>
          <w:tab w:val="clear" w:pos="1440"/>
        </w:tabs>
        <w:snapToGrid w:val="0"/>
        <w:spacing w:afterLines="0" w:line="340" w:lineRule="exact"/>
        <w:ind w:left="420" w:leftChars="200"/>
        <w:rPr>
          <w:rFonts w:ascii="宋体" w:hAnsi="宋体" w:eastAsia="宋体" w:cs="宋体"/>
          <w:b/>
          <w:bCs/>
          <w:spacing w:val="11"/>
          <w:kern w:val="2"/>
          <w:sz w:val="21"/>
          <w:szCs w:val="21"/>
        </w:rPr>
      </w:pPr>
      <w:r>
        <w:rPr>
          <w:rFonts w:hint="eastAsia" w:ascii="宋体" w:hAnsi="宋体" w:eastAsia="宋体" w:cs="宋体"/>
          <w:b/>
          <w:bCs/>
          <w:spacing w:val="11"/>
          <w:kern w:val="2"/>
          <w:sz w:val="21"/>
          <w:szCs w:val="21"/>
        </w:rPr>
        <w:t>（三）竞争性磋商文件的澄清、修改与补充</w:t>
      </w:r>
    </w:p>
    <w:p w14:paraId="49AE4733">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6D084C0E">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2EF44D7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3.为使供应商有足够的时间按修改文件要求修正磋商响应文件，采购单位可以视采购具体情况推迟磋商响应文件提交截止时间和磋商时间，并将此变更通知各供应商。</w:t>
      </w:r>
    </w:p>
    <w:p w14:paraId="4EE891E5">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4.竞争性磋商文件的澄清、修改、补充等内容均以书面明确的内容为准。当竞争性磋商文件与竞争性磋商文件的澄清、修改、补充等在同一内容的表述上不一致时，以最后发出的书面文件为准。</w:t>
      </w:r>
    </w:p>
    <w:p w14:paraId="5D337F22">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w:t>
      </w:r>
      <w:r>
        <w:rPr>
          <w:rFonts w:hint="eastAsia" w:hAnsi="宋体" w:cs="宋体"/>
          <w:b/>
          <w:bCs/>
          <w:spacing w:val="11"/>
          <w:sz w:val="21"/>
          <w:szCs w:val="21"/>
        </w:rPr>
        <w:t>因供应商提供联系资料错误或遗漏等原因导致采购代理机构未能将有关澄清、答复、修改或补充通知送达供应商的，责任由供应商自负。</w:t>
      </w:r>
    </w:p>
    <w:p w14:paraId="0C51921A">
      <w:pPr>
        <w:spacing w:line="34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三、磋商响应文件的编制要求</w:t>
      </w:r>
    </w:p>
    <w:p w14:paraId="31C3607A">
      <w:pPr>
        <w:snapToGrid w:val="0"/>
        <w:spacing w:line="34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（一）磋商响应文件的组成</w:t>
      </w:r>
    </w:p>
    <w:p w14:paraId="3DCB30F1">
      <w:pPr>
        <w:snapToGrid w:val="0"/>
        <w:spacing w:line="340" w:lineRule="exact"/>
        <w:ind w:firstLine="466" w:firstLineChars="200"/>
        <w:jc w:val="left"/>
        <w:outlineLvl w:val="0"/>
        <w:rPr>
          <w:rFonts w:ascii="宋体" w:hAnsi="宋体" w:eastAsia="宋体" w:cs="宋体"/>
          <w:b/>
          <w:spacing w:val="11"/>
          <w:szCs w:val="21"/>
          <w:u w:val="single"/>
        </w:rPr>
      </w:pPr>
      <w:r>
        <w:rPr>
          <w:rFonts w:hint="eastAsia" w:ascii="宋体" w:hAnsi="宋体" w:eastAsia="宋体" w:cs="宋体"/>
          <w:b/>
          <w:bCs/>
          <w:spacing w:val="11"/>
          <w:szCs w:val="21"/>
          <w:u w:val="single"/>
        </w:rPr>
        <w:t>磋商响应文件由“商务及资信技术文件”“报价文件”组成。</w:t>
      </w:r>
    </w:p>
    <w:p w14:paraId="040D2F28">
      <w:pPr>
        <w:snapToGrid w:val="0"/>
        <w:spacing w:line="34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1.商务及资信文件：</w:t>
      </w:r>
    </w:p>
    <w:p w14:paraId="4DAE60DC">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1）磋商声明书（见格式）；</w:t>
      </w:r>
    </w:p>
    <w:p w14:paraId="79227BD3">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2）法定代表人身份证明书或授权委托书（见格式）；</w:t>
      </w:r>
    </w:p>
    <w:p w14:paraId="00350AD1">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3）资格审查资料（缺项或未提供的视为资格审查不通过，按无效标处理）；</w:t>
      </w:r>
    </w:p>
    <w:p w14:paraId="44215A34">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a.符合参加政府采购活动应当具备条件的承诺函（见格式）；</w:t>
      </w:r>
    </w:p>
    <w:p w14:paraId="427D599F">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b.有效期内的企业营业执照</w:t>
      </w:r>
      <w:r>
        <w:rPr>
          <w:rFonts w:hint="eastAsia" w:ascii="宋体" w:hAnsi="宋体" w:eastAsia="宋体" w:cs="宋体"/>
          <w:spacing w:val="11"/>
          <w:szCs w:val="21"/>
          <w:lang w:eastAsia="zh-CN"/>
        </w:rPr>
        <w:t>、</w:t>
      </w:r>
      <w:r>
        <w:rPr>
          <w:rFonts w:hint="eastAsia" w:ascii="宋体" w:hAnsi="宋体" w:eastAsia="宋体" w:cs="宋体"/>
          <w:spacing w:val="11"/>
          <w:szCs w:val="21"/>
          <w:lang w:val="en-US" w:eastAsia="zh-CN"/>
        </w:rPr>
        <w:t>有效的</w:t>
      </w:r>
      <w:r>
        <w:rPr>
          <w:rFonts w:hint="eastAsia" w:ascii="宋体" w:hAnsi="宋体" w:eastAsia="宋体" w:cs="宋体"/>
          <w:kern w:val="0"/>
          <w:szCs w:val="21"/>
        </w:rPr>
        <w:t>保安服务许可证</w:t>
      </w:r>
      <w:r>
        <w:rPr>
          <w:rFonts w:hint="eastAsia" w:ascii="宋体" w:hAnsi="宋体" w:eastAsia="宋体" w:cs="宋体"/>
          <w:spacing w:val="11"/>
          <w:szCs w:val="21"/>
        </w:rPr>
        <w:t>；</w:t>
      </w:r>
    </w:p>
    <w:p w14:paraId="2424D95D">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c.自公告发布之日起至磋商截止日内在“信用中国网”、“中国政府采购网”关于被列入失信被执行人、重大税收违法失信主体、严重违法失信行为记录名单的信用查询网页截图（网页截图加盖供应商公章）；</w:t>
      </w:r>
    </w:p>
    <w:p w14:paraId="2E0EF603">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d.享受政府采购支持政策相关证明：</w:t>
      </w:r>
    </w:p>
    <w:p w14:paraId="4CC6A8A1">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①《中小企业声明函》；（见格式）</w:t>
      </w:r>
    </w:p>
    <w:p w14:paraId="6A33EA07">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②《残疾人福利性单位声明函》；（见格式，若不符合可不提供）</w:t>
      </w:r>
    </w:p>
    <w:p w14:paraId="57AD2914">
      <w:pPr>
        <w:snapToGrid w:val="0"/>
        <w:spacing w:line="340" w:lineRule="exact"/>
        <w:ind w:firstLine="464" w:firstLineChars="200"/>
        <w:jc w:val="left"/>
        <w:rPr>
          <w:rFonts w:ascii="宋体" w:hAnsi="宋体" w:eastAsia="宋体" w:cs="宋体"/>
          <w:b/>
          <w:bCs/>
          <w:spacing w:val="11"/>
          <w:szCs w:val="21"/>
        </w:rPr>
      </w:pPr>
      <w:r>
        <w:rPr>
          <w:rFonts w:hint="eastAsia" w:ascii="宋体" w:hAnsi="宋体" w:eastAsia="宋体" w:cs="宋体"/>
          <w:spacing w:val="11"/>
          <w:szCs w:val="21"/>
        </w:rPr>
        <w:t>③属于监狱企业的证明文件；（格式自拟，若不符合可不提供）</w:t>
      </w:r>
    </w:p>
    <w:p w14:paraId="51AB05B0">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4）供应商基本情况表（见格式）；</w:t>
      </w:r>
    </w:p>
    <w:p w14:paraId="434D31A0">
      <w:pPr>
        <w:snapToGrid w:val="0"/>
        <w:spacing w:line="340" w:lineRule="exact"/>
        <w:ind w:firstLine="464" w:firstLineChars="200"/>
        <w:jc w:val="left"/>
        <w:rPr>
          <w:rFonts w:ascii="宋体" w:hAnsi="宋体" w:eastAsia="宋体" w:cs="宋体"/>
          <w:bCs/>
          <w:spacing w:val="11"/>
          <w:szCs w:val="21"/>
        </w:rPr>
      </w:pPr>
      <w:r>
        <w:rPr>
          <w:rFonts w:hint="eastAsia" w:ascii="宋体" w:hAnsi="宋体" w:eastAsia="宋体" w:cs="宋体"/>
          <w:bCs/>
          <w:spacing w:val="11"/>
          <w:szCs w:val="21"/>
        </w:rPr>
        <w:t>5）供应商廉洁守信承诺书（见格式）；</w:t>
      </w:r>
    </w:p>
    <w:p w14:paraId="405670BA">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6）商务响应表（见格式）；</w:t>
      </w:r>
    </w:p>
    <w:p w14:paraId="4BE1CAC2">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7）供应商类似业绩一览表（见格式）；</w:t>
      </w:r>
    </w:p>
    <w:p w14:paraId="2BA8F67A">
      <w:pPr>
        <w:snapToGrid w:val="0"/>
        <w:spacing w:line="340" w:lineRule="exact"/>
        <w:ind w:firstLine="420" w:firstLineChars="200"/>
        <w:jc w:val="left"/>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val="en-US" w:eastAsia="zh-CN"/>
        </w:rPr>
        <w:t>体系认证</w:t>
      </w:r>
      <w:r>
        <w:rPr>
          <w:rFonts w:hint="eastAsia" w:ascii="宋体" w:hAnsi="宋体" w:eastAsia="宋体" w:cs="宋体"/>
          <w:spacing w:val="11"/>
          <w:szCs w:val="21"/>
        </w:rPr>
        <w:t>（参考对应评分项）；</w:t>
      </w:r>
    </w:p>
    <w:p w14:paraId="430A96CD">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9）评分规则中涉及的所需提交的材料（参考对应评分项）；</w:t>
      </w:r>
    </w:p>
    <w:p w14:paraId="6075584B">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10）供应商需要说明的其他文件和说明。</w:t>
      </w:r>
    </w:p>
    <w:p w14:paraId="2A13B694">
      <w:pPr>
        <w:snapToGrid w:val="0"/>
        <w:spacing w:line="34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2.技术文件：</w:t>
      </w:r>
    </w:p>
    <w:p w14:paraId="6FD778D5">
      <w:pPr>
        <w:pStyle w:val="15"/>
        <w:spacing w:line="340" w:lineRule="exact"/>
        <w:ind w:firstLine="464" w:firstLineChars="200"/>
        <w:rPr>
          <w:rFonts w:ascii="宋体" w:hAnsi="宋体" w:cs="宋体"/>
          <w:spacing w:val="11"/>
          <w:szCs w:val="21"/>
        </w:rPr>
      </w:pPr>
      <w:r>
        <w:rPr>
          <w:rFonts w:hint="eastAsia" w:ascii="宋体" w:hAnsi="宋体" w:cs="宋体"/>
          <w:spacing w:val="11"/>
          <w:szCs w:val="21"/>
        </w:rPr>
        <w:t>1）技术响应表；（见格式）</w:t>
      </w:r>
    </w:p>
    <w:p w14:paraId="4F1ADF0B">
      <w:pPr>
        <w:pStyle w:val="15"/>
        <w:spacing w:line="340" w:lineRule="exact"/>
        <w:ind w:firstLine="464" w:firstLineChars="200"/>
        <w:rPr>
          <w:rFonts w:ascii="宋体" w:hAnsi="宋体" w:cs="宋体"/>
          <w:spacing w:val="11"/>
          <w:szCs w:val="21"/>
        </w:rPr>
      </w:pPr>
      <w:r>
        <w:rPr>
          <w:rFonts w:hint="eastAsia" w:ascii="宋体" w:hAnsi="宋体" w:cs="宋体"/>
          <w:spacing w:val="11"/>
          <w:szCs w:val="21"/>
        </w:rPr>
        <w:t>2）</w:t>
      </w:r>
      <w:r>
        <w:rPr>
          <w:rFonts w:hint="eastAsia" w:ascii="宋体" w:hAnsi="宋体" w:cs="宋体"/>
          <w:szCs w:val="21"/>
        </w:rPr>
        <w:t>项目服务方案</w:t>
      </w:r>
      <w:r>
        <w:rPr>
          <w:rFonts w:hint="eastAsia" w:ascii="宋体" w:hAnsi="宋体" w:cs="宋体"/>
          <w:spacing w:val="11"/>
          <w:szCs w:val="21"/>
        </w:rPr>
        <w:t>；（参考对应评分项）</w:t>
      </w:r>
    </w:p>
    <w:p w14:paraId="7E792E89">
      <w:pPr>
        <w:pStyle w:val="15"/>
        <w:spacing w:line="340" w:lineRule="exact"/>
        <w:ind w:firstLine="464" w:firstLineChars="200"/>
        <w:rPr>
          <w:rFonts w:ascii="宋体" w:hAnsi="宋体" w:cs="宋体"/>
          <w:spacing w:val="11"/>
          <w:szCs w:val="21"/>
        </w:rPr>
      </w:pPr>
      <w:r>
        <w:rPr>
          <w:rFonts w:hint="eastAsia" w:ascii="宋体" w:hAnsi="宋体" w:cs="宋体"/>
          <w:spacing w:val="11"/>
          <w:szCs w:val="21"/>
        </w:rPr>
        <w:t>3）</w:t>
      </w:r>
      <w:r>
        <w:rPr>
          <w:rFonts w:hint="eastAsia" w:ascii="宋体" w:hAnsi="宋体" w:cs="宋体"/>
          <w:bCs/>
          <w:szCs w:val="21"/>
        </w:rPr>
        <w:t>服务质量保证措施</w:t>
      </w:r>
      <w:r>
        <w:rPr>
          <w:rFonts w:hint="eastAsia" w:ascii="宋体" w:hAnsi="宋体" w:cs="宋体"/>
          <w:spacing w:val="11"/>
          <w:szCs w:val="21"/>
        </w:rPr>
        <w:t>；（参考对应评分项）</w:t>
      </w:r>
    </w:p>
    <w:p w14:paraId="4503F427">
      <w:pPr>
        <w:pStyle w:val="15"/>
        <w:spacing w:line="340" w:lineRule="exact"/>
        <w:ind w:firstLine="464" w:firstLineChars="200"/>
        <w:rPr>
          <w:rFonts w:ascii="宋体" w:hAnsi="宋体" w:cs="宋体"/>
          <w:spacing w:val="11"/>
          <w:szCs w:val="21"/>
        </w:rPr>
      </w:pPr>
      <w:r>
        <w:rPr>
          <w:rFonts w:hint="eastAsia" w:ascii="宋体" w:hAnsi="宋体" w:cs="宋体"/>
          <w:spacing w:val="11"/>
          <w:szCs w:val="21"/>
        </w:rPr>
        <w:t>4）</w:t>
      </w:r>
      <w:r>
        <w:rPr>
          <w:rFonts w:hint="eastAsia" w:ascii="宋体" w:hAnsi="宋体" w:cs="宋体"/>
          <w:bCs/>
          <w:spacing w:val="11"/>
          <w:szCs w:val="21"/>
        </w:rPr>
        <w:t>管理制度</w:t>
      </w:r>
      <w:r>
        <w:rPr>
          <w:rFonts w:hint="eastAsia" w:ascii="宋体" w:hAnsi="宋体" w:cs="宋体"/>
          <w:spacing w:val="11"/>
          <w:szCs w:val="21"/>
        </w:rPr>
        <w:t>；（参考对应评分项）</w:t>
      </w:r>
    </w:p>
    <w:p w14:paraId="047D24A2">
      <w:pPr>
        <w:pStyle w:val="15"/>
        <w:spacing w:line="340" w:lineRule="exact"/>
        <w:ind w:firstLine="464" w:firstLineChars="200"/>
        <w:rPr>
          <w:rFonts w:hint="eastAsia" w:ascii="宋体" w:hAnsi="宋体" w:cs="宋体"/>
          <w:bCs/>
          <w:szCs w:val="21"/>
        </w:rPr>
      </w:pPr>
      <w:r>
        <w:rPr>
          <w:rFonts w:hint="eastAsia" w:ascii="宋体" w:hAnsi="宋体" w:cs="宋体"/>
          <w:spacing w:val="11"/>
          <w:szCs w:val="21"/>
        </w:rPr>
        <w:t>5）</w:t>
      </w:r>
      <w:r>
        <w:rPr>
          <w:rFonts w:hint="eastAsia" w:ascii="宋体" w:hAnsi="宋体" w:cs="宋体"/>
          <w:bCs/>
          <w:szCs w:val="21"/>
        </w:rPr>
        <w:t>应急预案</w:t>
      </w:r>
      <w:r>
        <w:rPr>
          <w:rFonts w:hint="eastAsia" w:ascii="宋体" w:hAnsi="宋体" w:cs="宋体"/>
          <w:spacing w:val="11"/>
          <w:szCs w:val="21"/>
        </w:rPr>
        <w:t>；（参考对应评分项）</w:t>
      </w:r>
    </w:p>
    <w:p w14:paraId="148EBE55">
      <w:pPr>
        <w:pStyle w:val="15"/>
        <w:spacing w:line="340" w:lineRule="exact"/>
        <w:ind w:firstLine="420" w:firstLineChars="200"/>
        <w:rPr>
          <w:rFonts w:hint="eastAsia" w:ascii="宋体" w:hAnsi="宋体" w:eastAsia="宋体" w:cs="宋体"/>
          <w:snapToGrid w:val="0"/>
          <w:szCs w:val="21"/>
        </w:rPr>
      </w:pPr>
      <w:r>
        <w:rPr>
          <w:rFonts w:hint="eastAsia" w:ascii="宋体" w:hAnsi="宋体" w:eastAsia="宋体" w:cs="宋体"/>
          <w:snapToGrid w:val="0"/>
          <w:szCs w:val="21"/>
          <w:lang w:val="en-US" w:eastAsia="zh-CN"/>
        </w:rPr>
        <w:t>6</w:t>
      </w:r>
      <w:r>
        <w:rPr>
          <w:rFonts w:hint="eastAsia" w:ascii="宋体" w:hAnsi="宋体" w:eastAsia="宋体" w:cs="宋体"/>
          <w:snapToGrid w:val="0"/>
          <w:szCs w:val="21"/>
          <w:lang w:eastAsia="zh-CN"/>
        </w:rPr>
        <w:t>）</w:t>
      </w:r>
      <w:r>
        <w:rPr>
          <w:rFonts w:hint="eastAsia" w:ascii="宋体" w:hAnsi="宋体" w:eastAsia="宋体" w:cs="宋体"/>
          <w:snapToGrid w:val="0"/>
          <w:szCs w:val="21"/>
        </w:rPr>
        <w:t>针对本项目的特点和难点分析及解决措施</w:t>
      </w:r>
      <w:r>
        <w:rPr>
          <w:rFonts w:hint="eastAsia" w:ascii="宋体" w:hAnsi="宋体" w:cs="宋体"/>
          <w:spacing w:val="11"/>
          <w:szCs w:val="21"/>
        </w:rPr>
        <w:t>；（参考对应评分项）</w:t>
      </w:r>
    </w:p>
    <w:p w14:paraId="7A167736">
      <w:pPr>
        <w:pStyle w:val="15"/>
        <w:spacing w:line="340" w:lineRule="exact"/>
        <w:ind w:firstLine="464" w:firstLineChars="200"/>
        <w:rPr>
          <w:rFonts w:hint="eastAsia" w:ascii="宋体" w:hAnsi="宋体" w:cs="宋体"/>
          <w:spacing w:val="11"/>
          <w:szCs w:val="21"/>
        </w:rPr>
      </w:pPr>
      <w:r>
        <w:rPr>
          <w:rFonts w:hint="eastAsia" w:ascii="宋体" w:hAnsi="宋体" w:cs="宋体"/>
          <w:spacing w:val="11"/>
          <w:szCs w:val="21"/>
          <w:lang w:val="en-US" w:eastAsia="zh-CN"/>
        </w:rPr>
        <w:t>7</w:t>
      </w:r>
      <w:r>
        <w:rPr>
          <w:rFonts w:hint="eastAsia" w:ascii="宋体" w:hAnsi="宋体" w:cs="宋体"/>
          <w:spacing w:val="11"/>
          <w:szCs w:val="21"/>
          <w:lang w:eastAsia="zh-CN"/>
        </w:rPr>
        <w:t>）</w:t>
      </w:r>
      <w:r>
        <w:rPr>
          <w:rFonts w:hint="eastAsia" w:ascii="宋体" w:hAnsi="宋体" w:cs="宋体"/>
          <w:spacing w:val="11"/>
          <w:szCs w:val="21"/>
        </w:rPr>
        <w:t>服务承诺；（参考对应评分项）</w:t>
      </w:r>
    </w:p>
    <w:p w14:paraId="4727547D">
      <w:pPr>
        <w:pStyle w:val="15"/>
        <w:spacing w:line="340" w:lineRule="exact"/>
        <w:ind w:firstLine="464" w:firstLineChars="200"/>
        <w:rPr>
          <w:rFonts w:hint="eastAsia" w:ascii="宋体" w:hAnsi="宋体" w:cs="宋体"/>
          <w:spacing w:val="11"/>
          <w:szCs w:val="21"/>
        </w:rPr>
      </w:pPr>
      <w:r>
        <w:rPr>
          <w:rFonts w:hint="eastAsia" w:ascii="宋体" w:hAnsi="宋体" w:cs="宋体"/>
          <w:spacing w:val="11"/>
          <w:szCs w:val="21"/>
          <w:lang w:val="en-US" w:eastAsia="zh-CN"/>
        </w:rPr>
        <w:t>8</w:t>
      </w:r>
      <w:r>
        <w:rPr>
          <w:rFonts w:hint="eastAsia" w:ascii="宋体" w:hAnsi="宋体" w:cs="宋体"/>
          <w:spacing w:val="11"/>
          <w:szCs w:val="21"/>
          <w:lang w:eastAsia="zh-CN"/>
        </w:rPr>
        <w:t>）</w:t>
      </w:r>
      <w:r>
        <w:rPr>
          <w:rFonts w:hint="eastAsia" w:hAnsi="宋体"/>
          <w:b w:val="0"/>
          <w:bCs/>
          <w:spacing w:val="11"/>
          <w:sz w:val="21"/>
          <w:szCs w:val="21"/>
          <w:u w:val="none"/>
        </w:rPr>
        <w:t>拟投入的</w:t>
      </w:r>
      <w:r>
        <w:rPr>
          <w:rFonts w:hint="eastAsia" w:ascii="宋体" w:hAnsi="宋体" w:eastAsia="宋体" w:cs="宋体"/>
          <w:snapToGrid w:val="0"/>
          <w:spacing w:val="0"/>
          <w:kern w:val="2"/>
          <w:sz w:val="21"/>
          <w:szCs w:val="21"/>
        </w:rPr>
        <w:t>设备配备</w:t>
      </w:r>
      <w:r>
        <w:rPr>
          <w:rFonts w:hint="eastAsia" w:ascii="宋体" w:hAnsi="宋体" w:cs="宋体"/>
          <w:spacing w:val="11"/>
          <w:szCs w:val="21"/>
        </w:rPr>
        <w:t>；（参考对应评分项）</w:t>
      </w:r>
    </w:p>
    <w:p w14:paraId="200C23EC">
      <w:pPr>
        <w:pStyle w:val="15"/>
        <w:spacing w:line="340" w:lineRule="exact"/>
        <w:ind w:firstLine="464" w:firstLineChars="200"/>
        <w:rPr>
          <w:rFonts w:hint="eastAsia" w:ascii="宋体" w:hAnsi="宋体" w:cs="宋体"/>
          <w:spacing w:val="11"/>
          <w:szCs w:val="21"/>
        </w:rPr>
      </w:pPr>
      <w:r>
        <w:rPr>
          <w:rFonts w:hint="eastAsia" w:ascii="宋体" w:hAnsi="宋体" w:cs="宋体"/>
          <w:spacing w:val="11"/>
          <w:szCs w:val="21"/>
          <w:lang w:val="en-US" w:eastAsia="zh-CN"/>
        </w:rPr>
        <w:t>9</w:t>
      </w:r>
      <w:r>
        <w:rPr>
          <w:rFonts w:hint="eastAsia" w:ascii="宋体" w:hAnsi="宋体" w:cs="宋体"/>
          <w:spacing w:val="11"/>
          <w:szCs w:val="21"/>
          <w:lang w:eastAsia="zh-CN"/>
        </w:rPr>
        <w:t>）</w:t>
      </w:r>
      <w:r>
        <w:rPr>
          <w:rFonts w:hint="eastAsia" w:hAnsi="宋体"/>
          <w:b w:val="0"/>
          <w:bCs/>
          <w:spacing w:val="11"/>
          <w:sz w:val="21"/>
          <w:szCs w:val="21"/>
          <w:u w:val="none"/>
        </w:rPr>
        <w:t>拟投入的项目</w:t>
      </w:r>
      <w:r>
        <w:rPr>
          <w:rFonts w:hint="eastAsia" w:hAnsi="宋体"/>
          <w:b w:val="0"/>
          <w:bCs/>
          <w:spacing w:val="11"/>
          <w:sz w:val="21"/>
          <w:szCs w:val="21"/>
          <w:u w:val="none"/>
          <w:lang w:val="en-US" w:eastAsia="zh-CN"/>
        </w:rPr>
        <w:t>组成人员</w:t>
      </w:r>
      <w:r>
        <w:rPr>
          <w:rFonts w:hint="eastAsia" w:ascii="宋体" w:hAnsi="宋体" w:cs="宋体"/>
          <w:spacing w:val="11"/>
          <w:szCs w:val="21"/>
        </w:rPr>
        <w:t>；（见格式）</w:t>
      </w:r>
    </w:p>
    <w:p w14:paraId="5E86A3B7">
      <w:pPr>
        <w:pStyle w:val="15"/>
        <w:spacing w:line="340" w:lineRule="exact"/>
        <w:ind w:firstLine="464" w:firstLineChars="200"/>
        <w:rPr>
          <w:rFonts w:ascii="宋体" w:hAnsi="宋体" w:cs="宋体"/>
          <w:spacing w:val="11"/>
          <w:szCs w:val="21"/>
        </w:rPr>
      </w:pPr>
      <w:r>
        <w:rPr>
          <w:rFonts w:hint="eastAsia" w:ascii="宋体" w:hAnsi="宋体" w:cs="宋体"/>
          <w:spacing w:val="11"/>
          <w:szCs w:val="21"/>
          <w:lang w:val="en-US" w:eastAsia="zh-CN"/>
        </w:rPr>
        <w:t>10</w:t>
      </w:r>
      <w:r>
        <w:rPr>
          <w:rFonts w:hint="eastAsia" w:ascii="宋体" w:hAnsi="宋体" w:cs="宋体"/>
          <w:spacing w:val="11"/>
          <w:szCs w:val="21"/>
        </w:rPr>
        <w:t>）供应商需要说明的其他文件和说明。</w:t>
      </w:r>
    </w:p>
    <w:p w14:paraId="4CC5D50B">
      <w:pPr>
        <w:pStyle w:val="15"/>
        <w:spacing w:line="340" w:lineRule="exact"/>
        <w:ind w:firstLine="422" w:firstLineChars="200"/>
        <w:rPr>
          <w:rFonts w:ascii="宋体" w:hAnsi="宋体" w:cs="宋体"/>
          <w:b/>
          <w:bCs/>
          <w:szCs w:val="21"/>
        </w:rPr>
      </w:pPr>
      <w:r>
        <w:rPr>
          <w:rFonts w:ascii="宋体" w:hAnsi="宋体" w:cs="宋体"/>
          <w:b/>
          <w:bCs/>
          <w:szCs w:val="21"/>
        </w:rPr>
        <w:t>建议各</w:t>
      </w:r>
      <w:r>
        <w:rPr>
          <w:rFonts w:hint="eastAsia" w:ascii="宋体" w:hAnsi="宋体" w:cs="宋体"/>
          <w:b/>
          <w:bCs/>
          <w:szCs w:val="21"/>
        </w:rPr>
        <w:t>供应商</w:t>
      </w:r>
      <w:r>
        <w:rPr>
          <w:rFonts w:ascii="宋体" w:hAnsi="宋体" w:cs="宋体"/>
          <w:b/>
          <w:bCs/>
          <w:szCs w:val="21"/>
        </w:rPr>
        <w:t>在“</w:t>
      </w:r>
      <w:r>
        <w:rPr>
          <w:rFonts w:hint="eastAsia" w:ascii="宋体" w:hAnsi="宋体" w:cs="宋体"/>
          <w:b/>
          <w:szCs w:val="21"/>
        </w:rPr>
        <w:t>商务及资信文件</w:t>
      </w:r>
      <w:r>
        <w:rPr>
          <w:rFonts w:ascii="宋体" w:hAnsi="宋体" w:cs="宋体"/>
          <w:b/>
          <w:bCs/>
          <w:szCs w:val="21"/>
        </w:rPr>
        <w:t>”的首页添加自评分表，格式自拟。</w:t>
      </w:r>
    </w:p>
    <w:p w14:paraId="22F1CC82">
      <w:pPr>
        <w:snapToGrid w:val="0"/>
        <w:spacing w:line="34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3.报价文件：</w:t>
      </w:r>
    </w:p>
    <w:p w14:paraId="6BDC9976">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1）磋商函（见格式）；</w:t>
      </w:r>
    </w:p>
    <w:p w14:paraId="66739895">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2）磋商报价一览表（见格式）；</w:t>
      </w:r>
    </w:p>
    <w:p w14:paraId="59F8CF7E">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spacing w:val="11"/>
          <w:kern w:val="0"/>
          <w:szCs w:val="21"/>
        </w:rPr>
        <w:t>磋商报价明细表</w:t>
      </w:r>
      <w:r>
        <w:rPr>
          <w:rFonts w:hint="eastAsia" w:ascii="宋体" w:hAnsi="宋体" w:eastAsia="宋体" w:cs="宋体"/>
          <w:spacing w:val="11"/>
          <w:szCs w:val="21"/>
        </w:rPr>
        <w:t>（见格式）；</w:t>
      </w:r>
    </w:p>
    <w:p w14:paraId="58EC0492">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4）供应商针对报价需要说明的其他文件和说明：如供应商磋商响应报价低于项目预算金额 50%的，应当提交报价情况说明，详细阐述不影响产品质量或者诚信履约的具体原因。</w:t>
      </w:r>
    </w:p>
    <w:p w14:paraId="16C1D35F">
      <w:pPr>
        <w:spacing w:line="340" w:lineRule="exact"/>
        <w:ind w:firstLine="466" w:firstLineChars="200"/>
        <w:rPr>
          <w:rFonts w:ascii="宋体" w:hAnsi="宋体" w:eastAsia="宋体" w:cs="宋体"/>
          <w:b/>
          <w:spacing w:val="11"/>
          <w:szCs w:val="21"/>
        </w:rPr>
      </w:pPr>
      <w:r>
        <w:rPr>
          <w:rFonts w:hint="eastAsia" w:ascii="宋体" w:hAnsi="宋体" w:eastAsia="宋体" w:cs="宋体"/>
          <w:b/>
          <w:bCs/>
          <w:spacing w:val="11"/>
          <w:szCs w:val="21"/>
        </w:rPr>
        <w:t>注：供应商应根据竞争性磋商文件中所提供的格式编制磋商响应文件，对于未提供格式的可自行确定，复印件均须加盖供应商公章。</w:t>
      </w:r>
    </w:p>
    <w:p w14:paraId="44582FA2">
      <w:pPr>
        <w:snapToGrid w:val="0"/>
        <w:spacing w:line="34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（二）磋商响应文件的语言及计量</w:t>
      </w:r>
    </w:p>
    <w:p w14:paraId="7020D5D8">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1.磋商响应文件以及供应商与采购人就有关磋商事宜的所有来往函电，均应以中文汉语书写。除签名、盖章、专用名称等特殊情形外，以中文汉语以外的文字表述的磋商响应文件视同未提供。</w:t>
      </w:r>
    </w:p>
    <w:p w14:paraId="75F1B38C">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2.磋商响应文件使用的度量衡单位，均采用中华人民共和国法定计量单位（除规范另有规定外）。</w:t>
      </w:r>
    </w:p>
    <w:p w14:paraId="28C94B7B">
      <w:pPr>
        <w:snapToGrid w:val="0"/>
        <w:spacing w:line="34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（三）磋商报价</w:t>
      </w:r>
    </w:p>
    <w:p w14:paraId="09C546D6">
      <w:pPr>
        <w:snapToGrid w:val="0"/>
        <w:spacing w:line="34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1.磋商报价应按竞争性磋商文件中相关附表格式填写。</w:t>
      </w:r>
    </w:p>
    <w:p w14:paraId="2F4CBB93">
      <w:pPr>
        <w:snapToGrid w:val="0"/>
        <w:spacing w:line="340" w:lineRule="exact"/>
        <w:ind w:firstLine="464" w:firstLineChars="200"/>
        <w:jc w:val="left"/>
        <w:outlineLvl w:val="0"/>
        <w:rPr>
          <w:rFonts w:ascii="宋体" w:hAnsi="宋体" w:eastAsia="宋体" w:cs="宋体"/>
          <w:bCs/>
          <w:spacing w:val="11"/>
          <w:szCs w:val="21"/>
        </w:rPr>
      </w:pPr>
      <w:r>
        <w:rPr>
          <w:rFonts w:hint="eastAsia" w:ascii="宋体" w:hAnsi="宋体" w:eastAsia="宋体" w:cs="宋体"/>
          <w:spacing w:val="11"/>
          <w:szCs w:val="21"/>
        </w:rPr>
        <w:t>▲</w:t>
      </w:r>
      <w:r>
        <w:rPr>
          <w:rFonts w:hint="eastAsia" w:ascii="宋体" w:hAnsi="宋体" w:eastAsia="宋体" w:cs="宋体"/>
          <w:bCs/>
          <w:spacing w:val="11"/>
          <w:szCs w:val="21"/>
        </w:rPr>
        <w:t>2.磋商响应文件只允许有一个报价，有选择的或有条件的报价将不予接受。</w:t>
      </w:r>
    </w:p>
    <w:p w14:paraId="4F5D9E11">
      <w:pPr>
        <w:snapToGrid w:val="0"/>
        <w:spacing w:line="34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0572-6022348，指定邮箱号：3067326673@qq.com）。因本项目采用竞争性磋商方式，成交价是在初次磋商报价的基础上整体下浮，单价按最终报价与初次报价同比例下浮。</w:t>
      </w:r>
    </w:p>
    <w:p w14:paraId="4750D6F0">
      <w:pPr>
        <w:snapToGrid w:val="0"/>
        <w:spacing w:line="34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4.供应商的最终报价由供应商自担全部风险责任。</w:t>
      </w:r>
    </w:p>
    <w:p w14:paraId="4F752157">
      <w:pPr>
        <w:snapToGrid w:val="0"/>
        <w:spacing w:line="34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5.供应商对竞争性磋商文件里有关磋商报价的全部内容应仔细确认，若有个别异议，应在磋商前提出修改意见，否则视同全部确认。</w:t>
      </w:r>
    </w:p>
    <w:p w14:paraId="7459FE8F">
      <w:pPr>
        <w:snapToGrid w:val="0"/>
        <w:spacing w:line="34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6.其他报价相关要求见第二章内容。</w:t>
      </w:r>
    </w:p>
    <w:p w14:paraId="0672BA8C">
      <w:pPr>
        <w:snapToGrid w:val="0"/>
        <w:spacing w:line="34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7.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14:paraId="4277D9D1">
      <w:pPr>
        <w:snapToGrid w:val="0"/>
        <w:spacing w:line="34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8.本项目的采购代理费</w:t>
      </w:r>
      <w:r>
        <w:rPr>
          <w:rFonts w:hint="eastAsia" w:ascii="宋体" w:hAnsi="宋体" w:eastAsia="宋体" w:cs="宋体"/>
          <w:spacing w:val="11"/>
          <w:szCs w:val="21"/>
          <w:lang w:val="en-US" w:eastAsia="zh-CN"/>
        </w:rPr>
        <w:t xml:space="preserve"> 柒仟捌佰</w:t>
      </w:r>
      <w:r>
        <w:rPr>
          <w:rFonts w:hint="eastAsia" w:ascii="宋体" w:hAnsi="宋体" w:eastAsia="宋体" w:cs="宋体"/>
          <w:spacing w:val="11"/>
          <w:szCs w:val="21"/>
        </w:rPr>
        <w:t>元整，由成交供应商领取成交通知书时向采购代理机构一次性付清，请在总价中考虑该费用.</w:t>
      </w:r>
    </w:p>
    <w:p w14:paraId="216AF82A">
      <w:pPr>
        <w:pStyle w:val="14"/>
        <w:widowControl w:val="0"/>
        <w:numPr>
          <w:ilvl w:val="0"/>
          <w:numId w:val="0"/>
        </w:numPr>
        <w:tabs>
          <w:tab w:val="clear" w:pos="454"/>
          <w:tab w:val="clear" w:pos="1440"/>
        </w:tabs>
        <w:snapToGrid w:val="0"/>
        <w:spacing w:afterLines="0" w:line="340" w:lineRule="exact"/>
        <w:ind w:left="420" w:leftChars="200"/>
        <w:rPr>
          <w:rFonts w:ascii="宋体" w:hAnsi="宋体" w:eastAsia="宋体" w:cs="宋体"/>
          <w:b/>
          <w:spacing w:val="11"/>
          <w:sz w:val="21"/>
          <w:szCs w:val="21"/>
        </w:rPr>
      </w:pPr>
      <w:r>
        <w:rPr>
          <w:rFonts w:hint="eastAsia" w:ascii="宋体" w:hAnsi="宋体" w:eastAsia="宋体" w:cs="宋体"/>
          <w:b/>
          <w:spacing w:val="11"/>
          <w:sz w:val="21"/>
          <w:szCs w:val="21"/>
        </w:rPr>
        <w:t>（四）磋商响应文件的有效期</w:t>
      </w:r>
    </w:p>
    <w:p w14:paraId="0EABDA0F">
      <w:pPr>
        <w:pStyle w:val="14"/>
        <w:widowControl w:val="0"/>
        <w:numPr>
          <w:ilvl w:val="0"/>
          <w:numId w:val="0"/>
        </w:numPr>
        <w:tabs>
          <w:tab w:val="clear" w:pos="454"/>
          <w:tab w:val="clear" w:pos="1440"/>
        </w:tabs>
        <w:snapToGrid w:val="0"/>
        <w:spacing w:afterLines="0" w:line="340" w:lineRule="exact"/>
        <w:ind w:left="420" w:leftChars="200"/>
        <w:rPr>
          <w:rFonts w:ascii="宋体" w:hAnsi="宋体" w:eastAsia="宋体" w:cs="宋体"/>
          <w:spacing w:val="11"/>
          <w:sz w:val="21"/>
          <w:szCs w:val="21"/>
        </w:rPr>
      </w:pPr>
      <w:r>
        <w:rPr>
          <w:rFonts w:hint="eastAsia" w:ascii="宋体" w:hAnsi="宋体" w:eastAsia="宋体" w:cs="宋体"/>
          <w:spacing w:val="11"/>
          <w:sz w:val="21"/>
          <w:szCs w:val="21"/>
        </w:rPr>
        <w:t>▲1.磋商响应文件的有效期为磋商截止之日后的60日历天。有效期不足的磋商响应文件将被拒绝。</w:t>
      </w:r>
    </w:p>
    <w:p w14:paraId="7F30CB29">
      <w:pPr>
        <w:snapToGrid w:val="0"/>
        <w:spacing w:line="34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3406FE97">
      <w:pPr>
        <w:snapToGrid w:val="0"/>
        <w:spacing w:line="34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3.成交供应商的磋商响应文件自磋商之日起至合同履行完毕止均应保持有效。</w:t>
      </w:r>
    </w:p>
    <w:p w14:paraId="30A41FC4">
      <w:pPr>
        <w:snapToGrid w:val="0"/>
        <w:spacing w:line="34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（五）磋商保证金</w:t>
      </w:r>
    </w:p>
    <w:p w14:paraId="52CAE954">
      <w:pPr>
        <w:snapToGrid w:val="0"/>
        <w:spacing w:line="34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无</w:t>
      </w:r>
    </w:p>
    <w:p w14:paraId="27E6B654">
      <w:pPr>
        <w:snapToGrid w:val="0"/>
        <w:spacing w:line="34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（六）磋商响应文件的构成和份数</w:t>
      </w:r>
    </w:p>
    <w:p w14:paraId="12EE84C1">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 磋商响应文件的构成和份数见磋商须知前附表。</w:t>
      </w:r>
    </w:p>
    <w:p w14:paraId="2D161215">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纸质备份</w:t>
      </w:r>
      <w:r>
        <w:rPr>
          <w:rFonts w:hint="eastAsia" w:ascii="宋体" w:hAnsi="宋体" w:eastAsia="宋体" w:cs="宋体"/>
          <w:spacing w:val="11"/>
          <w:szCs w:val="21"/>
        </w:rPr>
        <w:t>磋商响应文件签署、标记和盖章。</w:t>
      </w:r>
    </w:p>
    <w:p w14:paraId="31046081">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2.1</w:t>
      </w:r>
      <w:r>
        <w:rPr>
          <w:rFonts w:hint="eastAsia" w:ascii="宋体" w:hAnsi="宋体" w:eastAsia="宋体" w:cs="宋体"/>
          <w:szCs w:val="21"/>
        </w:rPr>
        <w:t>纸质备份</w:t>
      </w:r>
      <w:r>
        <w:rPr>
          <w:rFonts w:hint="eastAsia" w:ascii="宋体" w:hAnsi="宋体" w:eastAsia="宋体" w:cs="宋体"/>
          <w:spacing w:val="11"/>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4F5375F5">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2.2供应商应按本磋商文件规定的格式和顺序编制、装订磋商响应文件并标注页码，磋商响应文件内容不完整、编排混乱导致磋商响应文件被误读、漏读或者查找不到相关内容的，是供应商的责任。</w:t>
      </w:r>
    </w:p>
    <w:p w14:paraId="109FB061">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2.3磋商响应文件不得涂改，若有修改错漏处，须加盖单位公章或者法定代表人或授权委托人签字确认。磋商响应文件因字迹潦草或表达不清所引起的后果由供应商负责。</w:t>
      </w:r>
    </w:p>
    <w:p w14:paraId="00CE0E81">
      <w:pPr>
        <w:snapToGrid w:val="0"/>
        <w:spacing w:line="34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（七）纸质备份磋商响应文件的外包装和密封要求、</w:t>
      </w:r>
      <w:r>
        <w:rPr>
          <w:rFonts w:hint="eastAsia" w:ascii="宋体" w:hAnsi="宋体" w:eastAsia="宋体" w:cs="宋体"/>
          <w:b/>
          <w:szCs w:val="21"/>
        </w:rPr>
        <w:t>修改和撤回</w:t>
      </w:r>
    </w:p>
    <w:p w14:paraId="68536628">
      <w:pPr>
        <w:snapToGrid w:val="0"/>
        <w:spacing w:line="34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w:t>
      </w:r>
      <w:r>
        <w:rPr>
          <w:rFonts w:hint="eastAsia" w:ascii="宋体" w:hAnsi="宋体" w:eastAsia="宋体" w:cs="宋体"/>
          <w:spacing w:val="11"/>
          <w:szCs w:val="21"/>
          <w:u w:val="single"/>
        </w:rPr>
        <w:t>“商务及资信技术文件”“报价文件”分别包装密封，装订成册。</w:t>
      </w:r>
      <w:r>
        <w:rPr>
          <w:rFonts w:hint="eastAsia" w:ascii="宋体" w:hAnsi="宋体" w:eastAsia="宋体" w:cs="宋体"/>
          <w:spacing w:val="11"/>
          <w:szCs w:val="21"/>
        </w:rPr>
        <w:t>磋商响应文件的包装封面上应注明供应商名称、供应商地址、磋商响应文件名称（“商务及资信技术文件”或“报价文件”）、项目名称、项目编号及“在  年  月  日  时  分之前不得启封”字样，并加盖供应商公章。</w:t>
      </w:r>
    </w:p>
    <w:p w14:paraId="3605F561">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2.未按规定密封或标记的磋商响应文件将被拒绝，由此造成磋商响应文件被误投或提前拆封的风险由供应商承担。</w:t>
      </w:r>
    </w:p>
    <w:p w14:paraId="72FCBEE2">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3B7E72B5">
      <w:pPr>
        <w:spacing w:line="340" w:lineRule="exact"/>
        <w:ind w:firstLine="464" w:firstLineChars="200"/>
        <w:rPr>
          <w:rFonts w:ascii="宋体" w:hAnsi="宋体" w:eastAsia="宋体" w:cs="宋体"/>
          <w:b/>
          <w:spacing w:val="11"/>
          <w:szCs w:val="21"/>
        </w:rPr>
      </w:pPr>
      <w:r>
        <w:rPr>
          <w:rFonts w:hint="eastAsia" w:ascii="宋体" w:hAnsi="宋体" w:eastAsia="宋体" w:cs="宋体"/>
          <w:spacing w:val="11"/>
          <w:szCs w:val="21"/>
        </w:rPr>
        <w:t>4.采购代理机构对磋商响应文件送达过程中的遗失或损坏不负责任。</w:t>
      </w:r>
    </w:p>
    <w:p w14:paraId="1F6F1D49">
      <w:pPr>
        <w:snapToGrid w:val="0"/>
        <w:spacing w:line="340" w:lineRule="exact"/>
        <w:ind w:firstLine="466" w:firstLineChars="200"/>
        <w:outlineLvl w:val="2"/>
        <w:rPr>
          <w:rFonts w:ascii="宋体" w:hAnsi="宋体" w:eastAsia="宋体" w:cs="宋体"/>
          <w:b/>
          <w:spacing w:val="11"/>
          <w:szCs w:val="21"/>
        </w:rPr>
      </w:pPr>
      <w:r>
        <w:rPr>
          <w:rFonts w:hint="eastAsia" w:ascii="宋体" w:hAnsi="宋体" w:eastAsia="宋体" w:cs="宋体"/>
          <w:b/>
          <w:spacing w:val="11"/>
          <w:szCs w:val="21"/>
        </w:rPr>
        <w:t>（八）迟交的磋商响应文件</w:t>
      </w:r>
    </w:p>
    <w:p w14:paraId="5A0AE018">
      <w:pPr>
        <w:snapToGrid w:val="0"/>
        <w:spacing w:line="340" w:lineRule="exact"/>
        <w:ind w:firstLine="466" w:firstLineChars="200"/>
        <w:outlineLvl w:val="2"/>
        <w:rPr>
          <w:rFonts w:ascii="宋体" w:hAnsi="宋体" w:eastAsia="宋体" w:cs="宋体"/>
          <w:b/>
          <w:bCs/>
          <w:spacing w:val="11"/>
          <w:szCs w:val="21"/>
        </w:rPr>
      </w:pPr>
      <w:r>
        <w:rPr>
          <w:rFonts w:hint="eastAsia" w:ascii="宋体" w:hAnsi="宋体" w:eastAsia="宋体" w:cs="宋体"/>
          <w:b/>
          <w:spacing w:val="11"/>
          <w:szCs w:val="21"/>
        </w:rPr>
        <w:t>采购代理机构将拒绝接收在磋商响应截止日期后送达的磋商响应文件。</w:t>
      </w:r>
    </w:p>
    <w:p w14:paraId="55BF9D7E">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四、磋商规则、程序</w:t>
      </w:r>
    </w:p>
    <w:p w14:paraId="086F7A5E">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（一）磋商规则</w:t>
      </w:r>
    </w:p>
    <w:p w14:paraId="24875DA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1.采购代理机构将于本须知前附表规定的时间和地点召开磋商会。</w:t>
      </w:r>
    </w:p>
    <w:p w14:paraId="560CCA5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2.磋商会由采购代理机构主持。</w:t>
      </w:r>
    </w:p>
    <w:p w14:paraId="5C914B29">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3.对供应商的磋商响应文件出现下列情况之一的，作无效处理：</w:t>
      </w:r>
    </w:p>
    <w:p w14:paraId="2C524978">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1、在磋商开始前，磋商小组对供应商的资格进行审查，如发现下列情形之一的，磋商响应文件将被视为无效，不再进行下一步评审：</w:t>
      </w:r>
    </w:p>
    <w:p w14:paraId="3917F592">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（1）资格证明文件不全的，或者不符合磋商文件标明的资格要求的（见资格审查资料要求）；</w:t>
      </w:r>
    </w:p>
    <w:p w14:paraId="58B88600">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（2）自公告发布之日起至磋商截止日内在“信用中国网” (www.creditchina.gov.cn）被列入失信被执行人、重大税收违法失信主体的供应商，资格审查时不予以通过；</w:t>
      </w:r>
    </w:p>
    <w:p w14:paraId="07666EC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（3）自公告发布之日起至磋商截止日内在“中国政府采购网”（www.ccgp.gov.cn）被列入政府采购严重违法失信行为记录名单的，资格审查时不予以通过。</w:t>
      </w:r>
    </w:p>
    <w:p w14:paraId="429E0E8C">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2.在商务资信评审时，如发现下列情形之一的，磋商响应文件将被视为无效：</w:t>
      </w:r>
    </w:p>
    <w:p w14:paraId="5565355E">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（1）磋商响应文件的密封、签署、盖章不符合磋商文件要求的；</w:t>
      </w:r>
    </w:p>
    <w:p w14:paraId="43220AA3">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（2）不响应磋商文件实质性条款的；</w:t>
      </w:r>
    </w:p>
    <w:p w14:paraId="5530197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（3）磋商响应文件载明的磋商有效期、付款方式、</w:t>
      </w:r>
      <w:r>
        <w:rPr>
          <w:rFonts w:hint="eastAsia" w:hAnsi="宋体" w:cs="宋体"/>
          <w:spacing w:val="11"/>
          <w:sz w:val="21"/>
          <w:szCs w:val="21"/>
          <w:lang w:val="en-US" w:eastAsia="zh-CN"/>
        </w:rPr>
        <w:t>服务</w:t>
      </w:r>
      <w:r>
        <w:rPr>
          <w:rFonts w:hint="eastAsia" w:hAnsi="宋体" w:cs="宋体"/>
          <w:spacing w:val="11"/>
          <w:sz w:val="21"/>
          <w:szCs w:val="21"/>
        </w:rPr>
        <w:t>期等商务条款不能满足磋商文件要求的；</w:t>
      </w:r>
    </w:p>
    <w:p w14:paraId="07CE0055">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（4）磋商响应文件关键字迹模糊辨认不清的（磋商小组一致认为难以确认）；</w:t>
      </w:r>
    </w:p>
    <w:p w14:paraId="13D7A21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（5）超出经营范围响应承诺的或磋商响应文件附有采购人不能接受的条件的；</w:t>
      </w:r>
    </w:p>
    <w:p w14:paraId="149C63A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（6）提供虚假资料的；</w:t>
      </w:r>
    </w:p>
    <w:p w14:paraId="2608BC0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（7）电子磋商响应文件解密失败的，且未在规定时间内提交备份磋商响应文件的；</w:t>
      </w:r>
    </w:p>
    <w:p w14:paraId="2C74A61C">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（8）磋商文件规定的其他实质性要求（磋商小组一致认定）的；</w:t>
      </w:r>
    </w:p>
    <w:p w14:paraId="7F609CC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（9）不同供应商的响应文件 IP 地址、MAC 地址、硬件号(硬盘号)一致的；</w:t>
      </w:r>
    </w:p>
    <w:p w14:paraId="545FE146">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 xml:space="preserve">（10）法律、法规、规章及省级以上规范性文件等规定的其他情形。 </w:t>
      </w:r>
    </w:p>
    <w:p w14:paraId="2038F8BC">
      <w:pPr>
        <w:pStyle w:val="28"/>
        <w:spacing w:before="120" w:after="120" w:line="340" w:lineRule="exact"/>
        <w:ind w:firstLine="524"/>
        <w:rPr>
          <w:rFonts w:hAnsi="宋体" w:cs="宋体"/>
          <w:b/>
          <w:bCs/>
          <w:spacing w:val="11"/>
          <w:sz w:val="21"/>
          <w:szCs w:val="21"/>
        </w:rPr>
      </w:pPr>
      <w:r>
        <w:rPr>
          <w:rFonts w:hint="eastAsia" w:hAnsi="宋体" w:cs="宋体"/>
          <w:b/>
          <w:bCs/>
          <w:spacing w:val="11"/>
          <w:sz w:val="21"/>
          <w:szCs w:val="21"/>
        </w:rPr>
        <w:t>3.在技术评审时，如发现下列情形之一的，磋商响应文件将被视为无效：</w:t>
      </w:r>
    </w:p>
    <w:p w14:paraId="3F2F50D9">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（1）磋商响应文件标明的响应或偏离与事实不符或虚假磋商响应的；</w:t>
      </w:r>
    </w:p>
    <w:p w14:paraId="64235183">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（2）明显不符合磋商文件要求的技术标准、质量标准或者与磋商文件中标有“▲”的技术指标、主要功能项目发生实质性偏离的；</w:t>
      </w:r>
    </w:p>
    <w:p w14:paraId="0479C14A">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（3）磋商响应技术方案不明确，存在一个或一个以上备选（替代）磋商响应方案的；</w:t>
      </w:r>
    </w:p>
    <w:p w14:paraId="133169CB">
      <w:pPr>
        <w:snapToGrid w:val="0"/>
        <w:spacing w:line="34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（4）与其他参加本次磋商的磋商响应人的磋商响应文件（技术文件）的文字表述内容相同连续20行以上或者差错相同2处以上的；</w:t>
      </w:r>
    </w:p>
    <w:p w14:paraId="6E2C377F">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4.在报价评审时，如发现下列情形之一的，磋商响应文件将被视为无效：</w:t>
      </w:r>
    </w:p>
    <w:p w14:paraId="6576F95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（1）未按磋商文件标明的要求报价的；</w:t>
      </w:r>
    </w:p>
    <w:p w14:paraId="3D3DF9D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（2）报价超出本项目最高限价的；</w:t>
      </w:r>
    </w:p>
    <w:p w14:paraId="492BA275">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（3）供应商提交两份或两份以上内容不同的报价文件，或在一份报价文件中对同一采购项目有两个或两个以上报价的；</w:t>
      </w:r>
    </w:p>
    <w:p w14:paraId="33529B29">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（4）擅自改变采购人提供的清单，或未提供竞争性磋商文件要求的采购清单，影响磋商正常进行的；</w:t>
      </w:r>
    </w:p>
    <w:p w14:paraId="356061F5">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（5）供应商拒绝修正不平衡报价，或拒绝提供报价分析说明和证明资料的；</w:t>
      </w:r>
    </w:p>
    <w:p w14:paraId="231A17DD">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6）供应商的报价低于本项目预算价50%的，应当在报价文件中详细阐述不影响产品质量或者诚信约的具体原因，若未提供或提供的原因不能证明其合理性，磋商小组应当要求其在现场合理的时间内提供书面说明。供应商不能证明其合理性，磋商小组按照少数服从多数的原则判定其为无效标的。</w:t>
      </w:r>
    </w:p>
    <w:p w14:paraId="27C16B7A">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（二）磋商小组与磋商原则</w:t>
      </w:r>
    </w:p>
    <w:p w14:paraId="265C0B5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1.磋商小组由采购人代表和评审专家共3人及以上单数组成，其中评审专家人数不得少于磋商小组成员总数的2/3。</w:t>
      </w:r>
    </w:p>
    <w:p w14:paraId="4F05359C">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2.磋商小组负责磋商活动，遵循公开、公平、公正、科学合理，竞争择优的原则。</w:t>
      </w:r>
    </w:p>
    <w:p w14:paraId="66EC95E9">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（三）磋商过程的保密</w:t>
      </w:r>
    </w:p>
    <w:p w14:paraId="4C27266E">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68593938">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2.在磋商响应文件的评判和比较、成交候选供应商推荐以及授予合同的过程中，供应商向采购人、采购代理机构和磋商小组施加影响的任何行为，都将会导致其磋商被拒绝。</w:t>
      </w:r>
    </w:p>
    <w:p w14:paraId="6DAD5FD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3.磋商小组分别与各供应商进行商务、技术及价格磋商，在磋商过程中，磋商小组成员不得透露其他供应商的磋商信息，严守商业秘密。</w:t>
      </w:r>
    </w:p>
    <w:p w14:paraId="407CB2C9">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（四）磋商响应文件的澄清</w:t>
      </w:r>
    </w:p>
    <w:p w14:paraId="5FD8383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4A495676">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（五）磋商程序与方法</w:t>
      </w:r>
    </w:p>
    <w:p w14:paraId="269B8B69">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1.资格审查</w:t>
      </w:r>
    </w:p>
    <w:p w14:paraId="6E0FC26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（1）磋商小组依据法律、法规和磋商文件规定，对磋商响应文件中的资格证明等进行审查，以确定供应商是否具备磋商资格。资格审查未通过的供应商，不进入后续评审。</w:t>
      </w:r>
    </w:p>
    <w:p w14:paraId="0B430AE0">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（2）磋商小组在进行资格审查时，不得改变磋商文件中已载明的资格条件、标准和办法。</w:t>
      </w:r>
    </w:p>
    <w:p w14:paraId="5CA9E35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2.符合性审查（包括商务资信、技术及报价审查）</w:t>
      </w:r>
    </w:p>
    <w:p w14:paraId="70A93EB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3D0F358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7A36A0D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▲4.经澄清后，若偏差仍存在，且不可接受，磋商供应商则被认为是“没有实质性响应竞争性磋商文件要求”，其磋商不进入下一步评审。</w:t>
      </w:r>
    </w:p>
    <w:p w14:paraId="3C3D381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5.磋商响应文件计算错误的修正</w:t>
      </w:r>
    </w:p>
    <w:p w14:paraId="0AEB325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（1）磋商报价一览表总价金额与磋商报价明细表总价金额不一致的，以磋商报价一览表为准；</w:t>
      </w:r>
    </w:p>
    <w:p w14:paraId="0B259B8D">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（2）磋商响应文件的大写金额和小写金额不一致的，以大写金额为准；</w:t>
      </w:r>
    </w:p>
    <w:p w14:paraId="36DDD3C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（3）总价金额与按单价汇总金额不一致的，以单价金额计算结果为准；</w:t>
      </w:r>
    </w:p>
    <w:p w14:paraId="4CA0F322">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（4）单价金额小数点有明显错位的，应以总价为准，并修改单价；</w:t>
      </w:r>
    </w:p>
    <w:p w14:paraId="533DCB86">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（5）对不同文字文本磋商响应文件的解释发生异议的，以中文文本为准。</w:t>
      </w:r>
    </w:p>
    <w:p w14:paraId="7DB338CB">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7837F2E7">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7.完成最终报价后采购代理机构对评审分数、各供应商最终报价进行公布，如有异议应当场提出，否则视为默许同意。</w:t>
      </w:r>
    </w:p>
    <w:p w14:paraId="6C112FB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8.在磋商过程中，磋商供应商不得向磋商小组成员询问磋商情况，不得进行旨在影响磋商结果的活动，否则将取消其磋商资格。</w:t>
      </w:r>
    </w:p>
    <w:p w14:paraId="28686B3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24A92EC">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10.在磋商中，出现下列情形之一的，磋商小组可以宣布磋商失败：</w:t>
      </w:r>
    </w:p>
    <w:p w14:paraId="397B5E3D">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（1）符合专业条件的供应商或者对磋商文件作实质响应的供应商不足三家的（特殊情况经审批同意的除外）；</w:t>
      </w:r>
    </w:p>
    <w:p w14:paraId="2998D9E2">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（2）出现影响采购公正的违法、违规行为的；</w:t>
      </w:r>
    </w:p>
    <w:p w14:paraId="14B7F49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（3）因重大变故，采购任务取消的；</w:t>
      </w:r>
    </w:p>
    <w:p w14:paraId="3D841F64">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（4）供应商的报价均超过最高限价的，采购人不能支付的；</w:t>
      </w:r>
    </w:p>
    <w:p w14:paraId="6AB27DA9">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（5）法律、法规、规章等规定的其他情形。</w:t>
      </w:r>
    </w:p>
    <w:p w14:paraId="57A69141">
      <w:pPr>
        <w:pStyle w:val="28"/>
        <w:spacing w:before="120" w:after="120" w:line="340" w:lineRule="exact"/>
        <w:ind w:firstLine="464" w:firstLineChars="200"/>
        <w:outlineLvl w:val="1"/>
        <w:rPr>
          <w:rFonts w:hAnsi="宋体" w:cs="宋体"/>
          <w:b/>
          <w:spacing w:val="11"/>
          <w:sz w:val="21"/>
          <w:szCs w:val="21"/>
        </w:rPr>
      </w:pPr>
      <w:r>
        <w:rPr>
          <w:rFonts w:hint="eastAsia" w:hAnsi="宋体" w:cs="宋体"/>
          <w:spacing w:val="11"/>
          <w:sz w:val="21"/>
          <w:szCs w:val="21"/>
        </w:rPr>
        <w:t>废标后，采购人将废标理由通知所有供应商。</w:t>
      </w:r>
    </w:p>
    <w:p w14:paraId="51EA69F2">
      <w:pPr>
        <w:pStyle w:val="28"/>
        <w:spacing w:before="120" w:after="120" w:line="340" w:lineRule="exact"/>
        <w:ind w:firstLine="466" w:firstLineChars="200"/>
        <w:outlineLvl w:val="1"/>
        <w:rPr>
          <w:rFonts w:hAnsi="宋体" w:cs="宋体"/>
          <w:b/>
          <w:spacing w:val="11"/>
          <w:sz w:val="21"/>
          <w:szCs w:val="21"/>
        </w:rPr>
      </w:pPr>
      <w:r>
        <w:rPr>
          <w:rFonts w:hint="eastAsia" w:hAnsi="宋体" w:cs="宋体"/>
          <w:b/>
          <w:spacing w:val="11"/>
          <w:sz w:val="21"/>
          <w:szCs w:val="21"/>
        </w:rPr>
        <w:t>五、定标</w:t>
      </w:r>
    </w:p>
    <w:p w14:paraId="6A282BE0">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（一）确定成交供应商</w:t>
      </w:r>
    </w:p>
    <w:p w14:paraId="2769489C">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1.在全部满足竞争性磋商文件实质性要求的前提下，按综合得分高低确定成交供应商。</w:t>
      </w:r>
    </w:p>
    <w:p w14:paraId="08DD4EFF">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2.采购代理机构在磋商结束后2个工作日内将磋商评审报告交采购人确认。</w:t>
      </w:r>
    </w:p>
    <w:p w14:paraId="1AE368E1">
      <w:pPr>
        <w:pStyle w:val="28"/>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3.采购人应当在收到磋商评审报告之日起5个工作日内，按照磋商评审报告中推荐的排列顺序依法确定成交供应商。</w:t>
      </w:r>
    </w:p>
    <w:p w14:paraId="7A61ED01">
      <w:pPr>
        <w:pStyle w:val="28"/>
        <w:spacing w:before="120" w:after="120" w:line="340" w:lineRule="exact"/>
        <w:ind w:firstLine="464" w:firstLineChars="200"/>
        <w:rPr>
          <w:rFonts w:hAnsi="宋体" w:cs="宋体"/>
          <w:b/>
          <w:bCs/>
          <w:spacing w:val="11"/>
          <w:sz w:val="21"/>
          <w:szCs w:val="21"/>
        </w:rPr>
      </w:pPr>
      <w:r>
        <w:rPr>
          <w:rFonts w:hint="eastAsia" w:hAnsi="宋体" w:cs="宋体"/>
          <w:spacing w:val="11"/>
          <w:sz w:val="21"/>
          <w:szCs w:val="21"/>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55237DDA">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5.采购代理机构应当在收到采购人书面确定的成交供应商通知后将成交结果在原发布磋商公告的媒体上予以公告。公告期按有关规定执行。</w:t>
      </w:r>
    </w:p>
    <w:p w14:paraId="718EBFB5">
      <w:pPr>
        <w:pStyle w:val="28"/>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（二）成交通知书</w:t>
      </w:r>
    </w:p>
    <w:p w14:paraId="5A2B865B">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1.采购单位将以书面形式发出成交通知书并同时通知落标人。</w:t>
      </w:r>
    </w:p>
    <w:p w14:paraId="7471CE44">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67DD6FBF">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3.成交通知书为双方签订合同的依据。</w:t>
      </w:r>
    </w:p>
    <w:p w14:paraId="489F6035">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4.成交供应商根据成交通知书中规定的时间内，由法定代表人或其授权代理人与采购单位签订书面合同。</w:t>
      </w:r>
    </w:p>
    <w:p w14:paraId="2E4BF737">
      <w:pPr>
        <w:pStyle w:val="28"/>
        <w:spacing w:before="120" w:after="120" w:line="340" w:lineRule="exact"/>
        <w:ind w:firstLine="466" w:firstLineChars="200"/>
        <w:jc w:val="left"/>
        <w:outlineLvl w:val="1"/>
        <w:rPr>
          <w:rFonts w:hAnsi="宋体" w:cs="宋体"/>
          <w:b/>
          <w:spacing w:val="11"/>
          <w:sz w:val="21"/>
          <w:szCs w:val="21"/>
        </w:rPr>
      </w:pPr>
      <w:r>
        <w:rPr>
          <w:rFonts w:hint="eastAsia" w:hAnsi="宋体" w:cs="宋体"/>
          <w:b/>
          <w:spacing w:val="11"/>
          <w:sz w:val="21"/>
          <w:szCs w:val="21"/>
        </w:rPr>
        <w:t>六、合同授予</w:t>
      </w:r>
    </w:p>
    <w:p w14:paraId="0CBD1B57">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（一）授予合同的依据</w:t>
      </w:r>
    </w:p>
    <w:p w14:paraId="6A0CD815">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1.采购单位签发的成交通知书。</w:t>
      </w:r>
    </w:p>
    <w:p w14:paraId="4C9A5E80">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2.磋商文件、磋商文件的修改及补充通知（函）。</w:t>
      </w:r>
    </w:p>
    <w:p w14:paraId="55C6F9BA">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3.磋商响应文件和磋商时供应商作出的书面澄清、说明、纠正、承诺等。</w:t>
      </w:r>
    </w:p>
    <w:p w14:paraId="18B39C69">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（二）签订合同</w:t>
      </w:r>
    </w:p>
    <w:p w14:paraId="7C408EA4">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1.采购单位与成交供应商应当在成交通知书发出之日起</w:t>
      </w:r>
      <w:r>
        <w:rPr>
          <w:rFonts w:hint="eastAsia" w:ascii="宋体" w:hAnsi="宋体" w:eastAsia="宋体" w:cs="宋体"/>
          <w:spacing w:val="11"/>
          <w:szCs w:val="21"/>
          <w:u w:val="single"/>
        </w:rPr>
        <w:t>30</w:t>
      </w:r>
      <w:r>
        <w:rPr>
          <w:rFonts w:hint="eastAsia" w:ascii="宋体" w:hAnsi="宋体" w:eastAsia="宋体" w:cs="宋体"/>
          <w:spacing w:val="11"/>
          <w:szCs w:val="21"/>
        </w:rPr>
        <w:t>日内签订合同。同时，采购代理机构对合同内容进行审查，如发现成交结果和磋商承诺内容不一致的，应予以纠正。</w:t>
      </w:r>
    </w:p>
    <w:p w14:paraId="7E439A8B">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2.成交供应商有拖延、拒签合同的或有弄虚作假情况的，将被取消成交资格，给采购单位造成的损失应予以赔偿，同时采购单位可以与排位在成交供应商之后下一成交候选供应商签订合同，以此类推。</w:t>
      </w:r>
    </w:p>
    <w:p w14:paraId="1B703D8E">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3.采购单位如不与成交供应商订立合同，或者采购单位、成交供应商订立背离合同实质性内容的协议，由政府有关部门责令改正，同时依法承担相应法律责任。</w:t>
      </w:r>
    </w:p>
    <w:p w14:paraId="54DF7ADA">
      <w:pPr>
        <w:snapToGrid w:val="0"/>
        <w:spacing w:line="340" w:lineRule="exact"/>
        <w:ind w:firstLine="464" w:firstLineChars="200"/>
      </w:pPr>
      <w:r>
        <w:rPr>
          <w:rFonts w:hint="eastAsia" w:ascii="宋体" w:hAnsi="宋体" w:eastAsia="宋体" w:cs="宋体"/>
          <w:spacing w:val="11"/>
          <w:szCs w:val="21"/>
        </w:rPr>
        <w:t>4.签订合同后7个工作日内，采购人或采购代理机构应及时在政采云平台进行合同备案。</w:t>
      </w:r>
      <w:bookmarkStart w:id="45" w:name="_Toc31147"/>
    </w:p>
    <w:p w14:paraId="7668F982"/>
    <w:p w14:paraId="6B587BF1"/>
    <w:p w14:paraId="229986AD"/>
    <w:p w14:paraId="7D3DCC2D">
      <w:pPr>
        <w:pStyle w:val="15"/>
      </w:pPr>
    </w:p>
    <w:p w14:paraId="2E973D2E"/>
    <w:p w14:paraId="32B908AC">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第四章  磋商办法及评分标准</w:t>
      </w:r>
      <w:bookmarkEnd w:id="45"/>
    </w:p>
    <w:p w14:paraId="578CB9F1">
      <w:pPr>
        <w:spacing w:line="320" w:lineRule="exact"/>
        <w:ind w:firstLine="464" w:firstLineChars="200"/>
        <w:rPr>
          <w:rFonts w:ascii="宋体" w:hAnsi="宋体" w:eastAsia="宋体" w:cs="宋体"/>
          <w:spacing w:val="11"/>
          <w:szCs w:val="21"/>
        </w:rPr>
      </w:pPr>
      <w:r>
        <w:rPr>
          <w:rFonts w:hint="eastAsia" w:ascii="宋体" w:hAnsi="宋体" w:eastAsia="宋体" w:cs="宋体"/>
          <w:spacing w:val="11"/>
          <w:szCs w:val="21"/>
        </w:rPr>
        <w:t>为公正、公平、科学地选择成交供应商，根据《中华人民共和国政府采购法》、《政府采购货物和服务招投标管理办法》等有关法律法规的规定，并结合本项目的实际，制定本办法。</w:t>
      </w:r>
    </w:p>
    <w:p w14:paraId="75FD0E21">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一、总则</w:t>
      </w:r>
    </w:p>
    <w:p w14:paraId="56623A80">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1.本项目原则上采用政采云电子招投标开标及评审程序，但有下情形之一的，按以下情况处理：</w:t>
      </w:r>
    </w:p>
    <w:p w14:paraId="2B18848A">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7963AE86">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19E001C7">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2.在磋商过程中，磋商小组可以根据磋商文件和磋商情况实质性变动采购需求中的技术、服务要求以及合同草案条款，但不得变动磋商文件中的其他内容。实质性变动的内容，须经采购人代表确认。</w:t>
      </w:r>
    </w:p>
    <w:p w14:paraId="65645A0B">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3.电子招投标评审过程：</w:t>
      </w:r>
    </w:p>
    <w:p w14:paraId="1D7CB3A5">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①磋商小组对商务资信、技术进行评审；</w:t>
      </w:r>
    </w:p>
    <w:p w14:paraId="60E20F94">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②在系统上公开资格和商务资信、技术评审结果；</w:t>
      </w:r>
    </w:p>
    <w:p w14:paraId="64EF872B">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③在系统上公开报价情况；</w:t>
      </w:r>
    </w:p>
    <w:p w14:paraId="0AC176CA">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④磋商小组对报价情况进行评审；</w:t>
      </w:r>
    </w:p>
    <w:p w14:paraId="58D472F3">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⑤在系统上公布评审结果。</w:t>
      </w:r>
    </w:p>
    <w:p w14:paraId="3DCFAB16">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特别说明：政采云公司如对电子化开标及评审程序有调整的，按调整后的程序操作。</w:t>
      </w:r>
    </w:p>
    <w:p w14:paraId="7210AE44">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二、评标办法</w:t>
      </w:r>
    </w:p>
    <w:p w14:paraId="6A0448C5">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1.本次评标采用综合评估法</w:t>
      </w:r>
      <w:r>
        <w:rPr>
          <w:rFonts w:hint="eastAsia" w:ascii="宋体" w:hAnsi="宋体" w:eastAsia="宋体" w:cs="宋体"/>
          <w:b/>
          <w:spacing w:val="11"/>
          <w:szCs w:val="21"/>
        </w:rPr>
        <w:t>，总分为100分，其中价格分</w:t>
      </w:r>
      <w:r>
        <w:rPr>
          <w:rFonts w:hint="eastAsia" w:ascii="宋体" w:hAnsi="宋体" w:eastAsia="宋体" w:cs="宋体"/>
          <w:b/>
          <w:spacing w:val="11"/>
          <w:szCs w:val="21"/>
          <w:lang w:val="en-US" w:eastAsia="zh-CN"/>
        </w:rPr>
        <w:t>1</w:t>
      </w:r>
      <w:r>
        <w:rPr>
          <w:rFonts w:hint="eastAsia" w:ascii="宋体" w:hAnsi="宋体" w:eastAsia="宋体" w:cs="宋体"/>
          <w:b/>
          <w:spacing w:val="11"/>
          <w:szCs w:val="21"/>
        </w:rPr>
        <w:t>0分，资信技术</w:t>
      </w:r>
      <w:r>
        <w:rPr>
          <w:rFonts w:hint="eastAsia" w:ascii="宋体" w:hAnsi="宋体" w:eastAsia="宋体" w:cs="宋体"/>
          <w:b/>
          <w:spacing w:val="11"/>
          <w:szCs w:val="21"/>
          <w:lang w:val="en-US" w:eastAsia="zh-CN"/>
        </w:rPr>
        <w:t>9</w:t>
      </w:r>
      <w:r>
        <w:rPr>
          <w:rFonts w:hint="eastAsia" w:ascii="宋体" w:hAnsi="宋体" w:eastAsia="宋体" w:cs="宋体"/>
          <w:b/>
          <w:spacing w:val="11"/>
          <w:szCs w:val="21"/>
        </w:rPr>
        <w:t>0分。</w:t>
      </w:r>
      <w:r>
        <w:rPr>
          <w:rFonts w:hint="eastAsia" w:ascii="宋体" w:hAnsi="宋体" w:eastAsia="宋体" w:cs="宋体"/>
          <w:bCs/>
          <w:spacing w:val="11"/>
          <w:szCs w:val="21"/>
        </w:rPr>
        <w:t>合格供应商的评审得分为各项目汇总得分。磋商小组根据综合评分对进入评分范围的磋商响应文件由高到低顺序推荐</w:t>
      </w:r>
      <w:r>
        <w:rPr>
          <w:rFonts w:hint="eastAsia" w:ascii="宋体" w:hAnsi="宋体" w:eastAsia="宋体" w:cs="宋体"/>
          <w:b/>
          <w:spacing w:val="11"/>
          <w:szCs w:val="21"/>
        </w:rPr>
        <w:t>3名</w:t>
      </w:r>
      <w:r>
        <w:rPr>
          <w:rFonts w:hint="eastAsia" w:ascii="宋体" w:hAnsi="宋体" w:eastAsia="宋体" w:cs="宋体"/>
          <w:bCs/>
          <w:spacing w:val="11"/>
          <w:szCs w:val="21"/>
        </w:rPr>
        <w:t>成交候选供应商，综合评分相同的，按报价由低到高顺序排列；得分且报价相同的，按技术得分由高到低顺序排列。评分过程中采用四舍五入法，并保留小数2位。</w:t>
      </w:r>
    </w:p>
    <w:p w14:paraId="4FC61237">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各供应商综合评分=价格分得分+</w:t>
      </w:r>
      <w:r>
        <w:rPr>
          <w:rFonts w:hint="eastAsia" w:ascii="宋体" w:hAnsi="宋体" w:eastAsia="宋体" w:cs="宋体"/>
          <w:bCs/>
          <w:szCs w:val="21"/>
        </w:rPr>
        <w:t>资信技术</w:t>
      </w:r>
      <w:r>
        <w:rPr>
          <w:rFonts w:hint="eastAsia" w:ascii="宋体" w:hAnsi="宋体" w:eastAsia="宋体" w:cs="宋体"/>
          <w:bCs/>
          <w:spacing w:val="11"/>
          <w:szCs w:val="21"/>
        </w:rPr>
        <w:t>分得分。</w:t>
      </w:r>
    </w:p>
    <w:p w14:paraId="4C4D3BB6">
      <w:pPr>
        <w:spacing w:line="32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三、评分细则及标准</w:t>
      </w:r>
    </w:p>
    <w:p w14:paraId="2FC179CA">
      <w:pPr>
        <w:spacing w:line="32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1.价格分（</w:t>
      </w:r>
      <w:r>
        <w:rPr>
          <w:rFonts w:hint="eastAsia" w:ascii="宋体" w:hAnsi="宋体" w:eastAsia="宋体" w:cs="宋体"/>
          <w:b/>
          <w:spacing w:val="11"/>
          <w:szCs w:val="21"/>
          <w:lang w:val="en-US" w:eastAsia="zh-CN"/>
        </w:rPr>
        <w:t>1</w:t>
      </w:r>
      <w:r>
        <w:rPr>
          <w:rFonts w:hint="eastAsia" w:ascii="宋体" w:hAnsi="宋体" w:eastAsia="宋体" w:cs="宋体"/>
          <w:b/>
          <w:spacing w:val="11"/>
          <w:szCs w:val="21"/>
        </w:rPr>
        <w:t>0分）</w:t>
      </w:r>
    </w:p>
    <w:p w14:paraId="220565A7">
      <w:pPr>
        <w:spacing w:line="32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价格分采用低价优先法计算，取所有有效供应商中满足磋商响应文件要求且最终报价最低的供应商的价格为评标基准价，其他供应商的价格分按照下列公式计算：</w:t>
      </w:r>
    </w:p>
    <w:p w14:paraId="5824E239">
      <w:pPr>
        <w:spacing w:line="32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价格分得分=（评标基准价/最终报价）×</w:t>
      </w:r>
      <w:r>
        <w:rPr>
          <w:rFonts w:hint="eastAsia" w:ascii="宋体" w:hAnsi="宋体" w:eastAsia="宋体" w:cs="宋体"/>
          <w:spacing w:val="11"/>
          <w:szCs w:val="21"/>
          <w:lang w:val="en-US" w:eastAsia="zh-CN"/>
        </w:rPr>
        <w:t>1</w:t>
      </w:r>
      <w:r>
        <w:rPr>
          <w:rFonts w:hint="eastAsia" w:ascii="宋体" w:hAnsi="宋体" w:eastAsia="宋体" w:cs="宋体"/>
          <w:spacing w:val="11"/>
          <w:szCs w:val="21"/>
        </w:rPr>
        <w:t>0 %×100</w:t>
      </w:r>
    </w:p>
    <w:p w14:paraId="1952FA29">
      <w:pPr>
        <w:spacing w:line="32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2.资信技术分（</w:t>
      </w:r>
      <w:r>
        <w:rPr>
          <w:rFonts w:hint="eastAsia" w:ascii="宋体" w:hAnsi="宋体" w:eastAsia="宋体" w:cs="宋体"/>
          <w:b/>
          <w:spacing w:val="11"/>
          <w:szCs w:val="21"/>
          <w:lang w:val="en-US" w:eastAsia="zh-CN"/>
        </w:rPr>
        <w:t>9</w:t>
      </w:r>
      <w:r>
        <w:rPr>
          <w:rFonts w:hint="eastAsia" w:ascii="宋体" w:hAnsi="宋体" w:eastAsia="宋体" w:cs="宋体"/>
          <w:b/>
          <w:spacing w:val="11"/>
          <w:szCs w:val="21"/>
        </w:rPr>
        <w:t>0分）</w:t>
      </w:r>
    </w:p>
    <w:p w14:paraId="6A9CCA3F">
      <w:pPr>
        <w:spacing w:line="320" w:lineRule="exact"/>
        <w:ind w:firstLine="464" w:firstLineChars="200"/>
        <w:rPr>
          <w:rFonts w:ascii="宋体" w:hAnsi="宋体" w:eastAsia="宋体" w:cs="宋体"/>
          <w:spacing w:val="11"/>
          <w:szCs w:val="21"/>
        </w:rPr>
      </w:pPr>
      <w:r>
        <w:rPr>
          <w:rFonts w:hint="eastAsia" w:ascii="宋体" w:hAnsi="宋体" w:eastAsia="宋体" w:cs="宋体"/>
          <w:spacing w:val="11"/>
          <w:szCs w:val="21"/>
        </w:rPr>
        <w:t xml:space="preserve">磋商小组成员按下列评分项目进行独立评审，每人一张评分表，并记名。按照磋商委员会成员的独立评分结果汇总数的算术平均分计算，计算公式为：         </w:t>
      </w:r>
    </w:p>
    <w:p w14:paraId="7D1D8350">
      <w:pPr>
        <w:spacing w:line="320" w:lineRule="exact"/>
        <w:ind w:firstLine="464" w:firstLineChars="200"/>
        <w:rPr>
          <w:rFonts w:hint="eastAsia"/>
        </w:rPr>
      </w:pPr>
      <w:r>
        <w:rPr>
          <w:rFonts w:hint="eastAsia" w:ascii="宋体" w:hAnsi="宋体" w:eastAsia="宋体" w:cs="宋体"/>
          <w:spacing w:val="11"/>
          <w:szCs w:val="21"/>
        </w:rPr>
        <w:t>技术商务资信部分=磋商委员会所有成员评分合计数/磋商委员会组成人员数</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985"/>
        <w:gridCol w:w="5953"/>
        <w:gridCol w:w="1207"/>
      </w:tblGrid>
      <w:tr w14:paraId="233F6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2080CB6">
            <w:pPr>
              <w:pStyle w:val="15"/>
              <w:ind w:firstLine="0"/>
              <w:rPr>
                <w:rFonts w:hint="eastAsia"/>
                <w:color w:val="auto"/>
              </w:rPr>
            </w:pPr>
            <w:r>
              <w:rPr>
                <w:rFonts w:hint="eastAsia" w:ascii="宋体" w:hAnsi="宋体" w:cs="宋体"/>
                <w:b/>
                <w:bCs/>
                <w:snapToGrid w:val="0"/>
                <w:color w:val="auto"/>
                <w:kern w:val="0"/>
                <w:szCs w:val="21"/>
              </w:rPr>
              <w:t>序号</w:t>
            </w:r>
          </w:p>
        </w:tc>
        <w:tc>
          <w:tcPr>
            <w:tcW w:w="1985" w:type="dxa"/>
            <w:vAlign w:val="center"/>
          </w:tcPr>
          <w:p w14:paraId="5DF5C43E">
            <w:pPr>
              <w:pStyle w:val="15"/>
              <w:ind w:firstLine="0"/>
              <w:rPr>
                <w:rFonts w:hint="eastAsia"/>
                <w:color w:val="auto"/>
              </w:rPr>
            </w:pPr>
            <w:r>
              <w:rPr>
                <w:rFonts w:hint="eastAsia" w:ascii="宋体" w:hAnsi="宋体" w:cs="宋体"/>
                <w:b/>
                <w:bCs/>
                <w:snapToGrid w:val="0"/>
                <w:color w:val="auto"/>
                <w:kern w:val="0"/>
                <w:szCs w:val="21"/>
              </w:rPr>
              <w:t>评分内容</w:t>
            </w:r>
          </w:p>
        </w:tc>
        <w:tc>
          <w:tcPr>
            <w:tcW w:w="5953" w:type="dxa"/>
            <w:vAlign w:val="center"/>
          </w:tcPr>
          <w:p w14:paraId="3CEFCCE7">
            <w:pPr>
              <w:pStyle w:val="15"/>
              <w:ind w:firstLine="0"/>
              <w:rPr>
                <w:rFonts w:hint="eastAsia"/>
                <w:color w:val="auto"/>
              </w:rPr>
            </w:pPr>
            <w:r>
              <w:rPr>
                <w:rFonts w:hint="eastAsia" w:ascii="宋体" w:hAnsi="宋体" w:cs="宋体"/>
                <w:b/>
                <w:bCs/>
                <w:snapToGrid w:val="0"/>
                <w:color w:val="auto"/>
                <w:kern w:val="0"/>
                <w:szCs w:val="21"/>
              </w:rPr>
              <w:t>评分细则</w:t>
            </w:r>
          </w:p>
        </w:tc>
        <w:tc>
          <w:tcPr>
            <w:tcW w:w="1207" w:type="dxa"/>
            <w:vAlign w:val="center"/>
          </w:tcPr>
          <w:p w14:paraId="2EDE97E6">
            <w:pPr>
              <w:pStyle w:val="15"/>
              <w:ind w:firstLine="0"/>
              <w:rPr>
                <w:rFonts w:hint="eastAsia"/>
                <w:color w:val="auto"/>
              </w:rPr>
            </w:pPr>
            <w:r>
              <w:rPr>
                <w:rFonts w:hint="eastAsia" w:ascii="宋体" w:hAnsi="宋体" w:cs="宋体"/>
                <w:b/>
                <w:bCs/>
                <w:snapToGrid w:val="0"/>
                <w:color w:val="auto"/>
                <w:kern w:val="0"/>
                <w:szCs w:val="21"/>
              </w:rPr>
              <w:t>分值</w:t>
            </w:r>
          </w:p>
        </w:tc>
      </w:tr>
      <w:tr w14:paraId="6CC70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817" w:type="dxa"/>
            <w:vMerge w:val="restart"/>
            <w:vAlign w:val="center"/>
          </w:tcPr>
          <w:p w14:paraId="71D4AD88">
            <w:pPr>
              <w:pStyle w:val="15"/>
              <w:ind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985" w:type="dxa"/>
            <w:vMerge w:val="restart"/>
            <w:vAlign w:val="center"/>
          </w:tcPr>
          <w:p w14:paraId="74370331">
            <w:pPr>
              <w:pStyle w:val="15"/>
              <w:ind w:firstLine="0"/>
              <w:jc w:val="center"/>
              <w:rPr>
                <w:rFonts w:hint="eastAsia"/>
                <w:color w:val="auto"/>
              </w:rPr>
            </w:pPr>
            <w:r>
              <w:rPr>
                <w:rFonts w:hint="eastAsia" w:ascii="宋体" w:hAnsi="宋体" w:cs="宋体"/>
                <w:color w:val="auto"/>
                <w:szCs w:val="21"/>
              </w:rPr>
              <w:t>项目服务方案</w:t>
            </w:r>
          </w:p>
        </w:tc>
        <w:tc>
          <w:tcPr>
            <w:tcW w:w="5953" w:type="dxa"/>
            <w:tcBorders>
              <w:bottom w:val="single" w:color="auto" w:sz="4" w:space="0"/>
            </w:tcBorders>
            <w:vAlign w:val="center"/>
          </w:tcPr>
          <w:p w14:paraId="0B41262B">
            <w:pPr>
              <w:pStyle w:val="15"/>
              <w:jc w:val="left"/>
              <w:rPr>
                <w:rFonts w:hint="eastAsia"/>
                <w:color w:val="auto"/>
              </w:rPr>
            </w:pPr>
            <w:r>
              <w:rPr>
                <w:rFonts w:hint="eastAsia" w:ascii="宋体" w:hAnsi="宋体" w:cs="宋体"/>
                <w:color w:val="auto"/>
                <w:szCs w:val="21"/>
              </w:rPr>
              <w:t>（1）对本项目的整体认识及理解：认识理解全面、详细，得</w:t>
            </w:r>
            <w:r>
              <w:rPr>
                <w:rFonts w:hint="eastAsia" w:ascii="宋体" w:hAnsi="宋体" w:cs="宋体"/>
                <w:color w:val="auto"/>
                <w:szCs w:val="21"/>
                <w:lang w:val="en-US" w:eastAsia="zh-CN"/>
              </w:rPr>
              <w:t>2-3</w:t>
            </w:r>
            <w:r>
              <w:rPr>
                <w:rFonts w:hint="eastAsia" w:ascii="宋体" w:hAnsi="宋体" w:cs="宋体"/>
                <w:color w:val="auto"/>
                <w:szCs w:val="21"/>
              </w:rPr>
              <w:t>分；认识理解较全面、详细，得</w:t>
            </w:r>
            <w:r>
              <w:rPr>
                <w:rFonts w:hint="eastAsia" w:ascii="宋体" w:hAnsi="宋体" w:cs="宋体"/>
                <w:color w:val="auto"/>
                <w:szCs w:val="21"/>
                <w:lang w:val="en-US" w:eastAsia="zh-CN"/>
              </w:rPr>
              <w:t>1-2</w:t>
            </w:r>
            <w:r>
              <w:rPr>
                <w:rFonts w:hint="eastAsia" w:ascii="宋体" w:hAnsi="宋体" w:cs="宋体"/>
                <w:color w:val="auto"/>
                <w:szCs w:val="21"/>
              </w:rPr>
              <w:t>分；认识理解欠缺，得0-</w:t>
            </w:r>
            <w:r>
              <w:rPr>
                <w:rFonts w:hint="eastAsia" w:ascii="宋体" w:hAnsi="宋体" w:cs="宋体"/>
                <w:color w:val="auto"/>
                <w:szCs w:val="21"/>
                <w:lang w:val="en-US" w:eastAsia="zh-CN"/>
              </w:rPr>
              <w:t>1</w:t>
            </w:r>
            <w:r>
              <w:rPr>
                <w:rFonts w:hint="eastAsia" w:ascii="宋体" w:hAnsi="宋体" w:cs="宋体"/>
                <w:color w:val="auto"/>
                <w:szCs w:val="21"/>
              </w:rPr>
              <w:t>分。</w:t>
            </w:r>
          </w:p>
        </w:tc>
        <w:tc>
          <w:tcPr>
            <w:tcW w:w="1207" w:type="dxa"/>
            <w:tcBorders>
              <w:bottom w:val="single" w:color="auto" w:sz="4" w:space="0"/>
            </w:tcBorders>
            <w:vAlign w:val="center"/>
          </w:tcPr>
          <w:p w14:paraId="79720A78">
            <w:pPr>
              <w:pStyle w:val="15"/>
              <w:ind w:firstLine="0"/>
              <w:jc w:val="center"/>
              <w:rPr>
                <w:rFonts w:hint="eastAsia" w:ascii="宋体" w:hAnsi="宋体" w:cs="宋体"/>
                <w:color w:val="auto"/>
                <w:szCs w:val="21"/>
              </w:rPr>
            </w:pPr>
            <w:r>
              <w:rPr>
                <w:rFonts w:hint="eastAsia" w:ascii="宋体" w:hAnsi="宋体" w:cs="宋体"/>
                <w:color w:val="auto"/>
                <w:szCs w:val="21"/>
              </w:rPr>
              <w:t>0-</w:t>
            </w:r>
            <w:r>
              <w:rPr>
                <w:rFonts w:hint="eastAsia" w:ascii="宋体" w:hAnsi="宋体" w:cs="宋体"/>
                <w:color w:val="auto"/>
                <w:szCs w:val="21"/>
                <w:lang w:val="en-US" w:eastAsia="zh-CN"/>
              </w:rPr>
              <w:t>3</w:t>
            </w:r>
            <w:r>
              <w:rPr>
                <w:rFonts w:hint="eastAsia" w:ascii="宋体" w:hAnsi="宋体" w:cs="宋体"/>
                <w:color w:val="auto"/>
                <w:szCs w:val="21"/>
              </w:rPr>
              <w:t>分</w:t>
            </w:r>
          </w:p>
        </w:tc>
      </w:tr>
      <w:tr w14:paraId="3DFC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817" w:type="dxa"/>
            <w:vMerge w:val="continue"/>
            <w:vAlign w:val="center"/>
          </w:tcPr>
          <w:p w14:paraId="1311A5C0">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677E48BD">
            <w:pPr>
              <w:pStyle w:val="15"/>
              <w:ind w:firstLine="0"/>
              <w:jc w:val="center"/>
              <w:rPr>
                <w:rFonts w:hint="eastAsia" w:ascii="宋体" w:hAnsi="宋体" w:cs="宋体"/>
                <w:color w:val="auto"/>
                <w:szCs w:val="21"/>
              </w:rPr>
            </w:pPr>
          </w:p>
        </w:tc>
        <w:tc>
          <w:tcPr>
            <w:tcW w:w="5953" w:type="dxa"/>
            <w:tcBorders>
              <w:top w:val="single" w:color="auto" w:sz="4" w:space="0"/>
              <w:bottom w:val="single" w:color="auto" w:sz="4" w:space="0"/>
            </w:tcBorders>
            <w:vAlign w:val="center"/>
          </w:tcPr>
          <w:p w14:paraId="4703401F">
            <w:pPr>
              <w:pStyle w:val="15"/>
              <w:jc w:val="left"/>
              <w:rPr>
                <w:rFonts w:hint="eastAsia" w:ascii="宋体" w:hAnsi="宋体" w:cs="宋体"/>
                <w:color w:val="auto"/>
                <w:szCs w:val="21"/>
              </w:rPr>
            </w:pPr>
            <w:r>
              <w:rPr>
                <w:rFonts w:hint="eastAsia" w:ascii="宋体" w:hAnsi="宋体" w:cs="宋体"/>
                <w:bCs/>
                <w:color w:val="auto"/>
                <w:szCs w:val="21"/>
              </w:rPr>
              <w:t>（2）对本项目的服务定位、目标：服务定位清晰、目标明确的，得2-3分；服务定位较清晰、目标较明确的，得1-2分；服务定位模糊、目标不太明确的，得0-1分。</w:t>
            </w:r>
          </w:p>
        </w:tc>
        <w:tc>
          <w:tcPr>
            <w:tcW w:w="1207" w:type="dxa"/>
            <w:tcBorders>
              <w:top w:val="single" w:color="auto" w:sz="4" w:space="0"/>
              <w:bottom w:val="single" w:color="auto" w:sz="4" w:space="0"/>
            </w:tcBorders>
            <w:vAlign w:val="center"/>
          </w:tcPr>
          <w:p w14:paraId="026EEC83">
            <w:pPr>
              <w:pStyle w:val="15"/>
              <w:ind w:firstLine="0"/>
              <w:jc w:val="center"/>
              <w:rPr>
                <w:rFonts w:hint="eastAsia" w:ascii="宋体" w:hAnsi="宋体" w:cs="宋体"/>
                <w:color w:val="auto"/>
                <w:szCs w:val="21"/>
              </w:rPr>
            </w:pPr>
            <w:r>
              <w:rPr>
                <w:rFonts w:hint="eastAsia" w:ascii="宋体" w:hAnsi="宋体" w:cs="宋体"/>
                <w:color w:val="auto"/>
                <w:szCs w:val="21"/>
              </w:rPr>
              <w:t>0-3分</w:t>
            </w:r>
          </w:p>
        </w:tc>
      </w:tr>
      <w:tr w14:paraId="66917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817" w:type="dxa"/>
            <w:vMerge w:val="continue"/>
            <w:vAlign w:val="center"/>
          </w:tcPr>
          <w:p w14:paraId="6D18B330">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3E795BD9">
            <w:pPr>
              <w:pStyle w:val="15"/>
              <w:ind w:firstLine="0"/>
              <w:jc w:val="center"/>
              <w:rPr>
                <w:rFonts w:hint="eastAsia" w:ascii="宋体" w:hAnsi="宋体" w:cs="宋体"/>
                <w:color w:val="auto"/>
                <w:szCs w:val="21"/>
              </w:rPr>
            </w:pPr>
          </w:p>
        </w:tc>
        <w:tc>
          <w:tcPr>
            <w:tcW w:w="5953" w:type="dxa"/>
            <w:tcBorders>
              <w:top w:val="single" w:color="auto" w:sz="4" w:space="0"/>
              <w:bottom w:val="single" w:color="auto" w:sz="4" w:space="0"/>
            </w:tcBorders>
            <w:vAlign w:val="center"/>
          </w:tcPr>
          <w:p w14:paraId="48297634">
            <w:pPr>
              <w:pStyle w:val="15"/>
              <w:jc w:val="left"/>
              <w:rPr>
                <w:rFonts w:hint="eastAsia" w:ascii="宋体" w:hAnsi="宋体" w:cs="宋体"/>
                <w:bCs/>
                <w:color w:val="auto"/>
                <w:szCs w:val="21"/>
              </w:rPr>
            </w:pPr>
            <w:r>
              <w:rPr>
                <w:rFonts w:hint="eastAsia" w:ascii="宋体" w:hAnsi="宋体" w:cs="宋体"/>
                <w:bCs/>
                <w:color w:val="auto"/>
                <w:szCs w:val="21"/>
              </w:rPr>
              <w:t>（3）对本项目的总体运作流程的合理性、可操作性进行评分：运作流程合理、可操作的，得4-6分；运作流程较合理、较可操作的，</w:t>
            </w:r>
            <w:r>
              <w:rPr>
                <w:rFonts w:hint="eastAsia" w:ascii="宋体" w:hAnsi="宋体" w:cs="宋体"/>
                <w:color w:val="auto"/>
                <w:szCs w:val="21"/>
              </w:rPr>
              <w:t>得2-4分；</w:t>
            </w:r>
            <w:r>
              <w:rPr>
                <w:rFonts w:hint="eastAsia" w:ascii="宋体" w:hAnsi="宋体" w:cs="宋体"/>
                <w:bCs/>
                <w:color w:val="auto"/>
                <w:szCs w:val="21"/>
              </w:rPr>
              <w:t>运作流程欠缺合理、可操作较差的</w:t>
            </w:r>
            <w:r>
              <w:rPr>
                <w:rFonts w:hint="eastAsia" w:ascii="宋体" w:hAnsi="宋体" w:cs="宋体"/>
                <w:color w:val="auto"/>
                <w:szCs w:val="21"/>
              </w:rPr>
              <w:t>，得0-2分。</w:t>
            </w:r>
          </w:p>
        </w:tc>
        <w:tc>
          <w:tcPr>
            <w:tcW w:w="1207" w:type="dxa"/>
            <w:tcBorders>
              <w:top w:val="single" w:color="auto" w:sz="4" w:space="0"/>
              <w:bottom w:val="single" w:color="auto" w:sz="4" w:space="0"/>
            </w:tcBorders>
            <w:vAlign w:val="center"/>
          </w:tcPr>
          <w:p w14:paraId="106C283A">
            <w:pPr>
              <w:pStyle w:val="15"/>
              <w:ind w:firstLine="0"/>
              <w:jc w:val="center"/>
              <w:rPr>
                <w:rFonts w:hint="eastAsia" w:ascii="宋体" w:hAnsi="宋体" w:cs="宋体"/>
                <w:color w:val="auto"/>
                <w:szCs w:val="21"/>
              </w:rPr>
            </w:pPr>
            <w:r>
              <w:rPr>
                <w:rFonts w:hint="eastAsia" w:ascii="宋体" w:hAnsi="宋体" w:cs="宋体"/>
                <w:color w:val="auto"/>
                <w:szCs w:val="21"/>
              </w:rPr>
              <w:t>0-6分</w:t>
            </w:r>
          </w:p>
        </w:tc>
      </w:tr>
      <w:tr w14:paraId="7E63A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817" w:type="dxa"/>
            <w:vMerge w:val="continue"/>
            <w:vAlign w:val="center"/>
          </w:tcPr>
          <w:p w14:paraId="102B8E22">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5689B7C8">
            <w:pPr>
              <w:pStyle w:val="15"/>
              <w:ind w:firstLine="0"/>
              <w:jc w:val="center"/>
              <w:rPr>
                <w:rFonts w:hint="eastAsia" w:ascii="宋体" w:hAnsi="宋体" w:cs="宋体"/>
                <w:color w:val="auto"/>
                <w:szCs w:val="21"/>
              </w:rPr>
            </w:pPr>
          </w:p>
        </w:tc>
        <w:tc>
          <w:tcPr>
            <w:tcW w:w="5953" w:type="dxa"/>
            <w:tcBorders>
              <w:top w:val="single" w:color="auto" w:sz="4" w:space="0"/>
              <w:bottom w:val="single" w:color="auto" w:sz="4" w:space="0"/>
            </w:tcBorders>
            <w:vAlign w:val="center"/>
          </w:tcPr>
          <w:p w14:paraId="6F2A8F01">
            <w:pPr>
              <w:pStyle w:val="15"/>
              <w:ind w:firstLine="0"/>
              <w:jc w:val="left"/>
              <w:rPr>
                <w:rFonts w:hint="eastAsia" w:ascii="宋体" w:hAnsi="宋体" w:cs="宋体"/>
                <w:bCs/>
                <w:color w:val="auto"/>
                <w:szCs w:val="21"/>
              </w:rPr>
            </w:pPr>
            <w:r>
              <w:rPr>
                <w:rFonts w:hint="eastAsia" w:ascii="宋体" w:hAnsi="宋体" w:cs="宋体"/>
                <w:bCs/>
                <w:color w:val="auto"/>
                <w:szCs w:val="21"/>
              </w:rPr>
              <w:t>（4）门卫值班工作方案的合理性、完善性、可行性进行评分：方案内容全面、合理、完善、可行的，得4-6分；方案内容基本全面、较合理、较完善、较可行的，得2-4分；方案内容、合理性、完善性、可行性均欠缺，得0-2分。</w:t>
            </w:r>
          </w:p>
        </w:tc>
        <w:tc>
          <w:tcPr>
            <w:tcW w:w="1207" w:type="dxa"/>
            <w:tcBorders>
              <w:top w:val="single" w:color="auto" w:sz="4" w:space="0"/>
              <w:bottom w:val="single" w:color="auto" w:sz="4" w:space="0"/>
            </w:tcBorders>
            <w:vAlign w:val="center"/>
          </w:tcPr>
          <w:p w14:paraId="3A92F896">
            <w:pPr>
              <w:pStyle w:val="15"/>
              <w:ind w:firstLine="0"/>
              <w:jc w:val="center"/>
              <w:rPr>
                <w:rFonts w:hint="eastAsia" w:ascii="宋体" w:hAnsi="宋体" w:cs="宋体"/>
                <w:color w:val="auto"/>
                <w:szCs w:val="21"/>
              </w:rPr>
            </w:pPr>
            <w:r>
              <w:rPr>
                <w:rFonts w:hint="eastAsia" w:ascii="宋体" w:hAnsi="宋体" w:cs="宋体"/>
                <w:color w:val="auto"/>
                <w:szCs w:val="21"/>
              </w:rPr>
              <w:t>0-6分</w:t>
            </w:r>
          </w:p>
        </w:tc>
      </w:tr>
      <w:tr w14:paraId="08920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817" w:type="dxa"/>
            <w:vMerge w:val="continue"/>
            <w:vAlign w:val="center"/>
          </w:tcPr>
          <w:p w14:paraId="794608D1">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7DDB1278">
            <w:pPr>
              <w:pStyle w:val="15"/>
              <w:ind w:firstLine="0"/>
              <w:jc w:val="center"/>
              <w:rPr>
                <w:rFonts w:hint="eastAsia" w:ascii="宋体" w:hAnsi="宋体" w:cs="宋体"/>
                <w:color w:val="auto"/>
                <w:szCs w:val="21"/>
              </w:rPr>
            </w:pPr>
          </w:p>
        </w:tc>
        <w:tc>
          <w:tcPr>
            <w:tcW w:w="5953" w:type="dxa"/>
            <w:tcBorders>
              <w:top w:val="single" w:color="auto" w:sz="4" w:space="0"/>
              <w:bottom w:val="single" w:color="auto" w:sz="4" w:space="0"/>
            </w:tcBorders>
            <w:vAlign w:val="center"/>
          </w:tcPr>
          <w:p w14:paraId="47080C00">
            <w:pPr>
              <w:pStyle w:val="15"/>
              <w:jc w:val="left"/>
              <w:rPr>
                <w:rFonts w:hint="eastAsia" w:ascii="宋体" w:hAnsi="宋体" w:cs="宋体"/>
                <w:bCs/>
                <w:color w:val="auto"/>
                <w:szCs w:val="21"/>
              </w:rPr>
            </w:pPr>
            <w:r>
              <w:rPr>
                <w:rFonts w:hint="eastAsia" w:ascii="宋体" w:hAnsi="宋体" w:cs="宋体"/>
                <w:bCs/>
                <w:color w:val="auto"/>
                <w:szCs w:val="21"/>
              </w:rPr>
              <w:t>（5）日常巡查服务，包括安全及防火、防盗、防破坏、防事故等方案的完善性、可行性进行评分：方案内容全面、合理、完善、可行的，得4-6分；方案内容基本全面、较合理、较完善、较可行的，得2-4分；方案内容、合理性、完善性、可行性均欠缺，得0-2分。</w:t>
            </w:r>
          </w:p>
        </w:tc>
        <w:tc>
          <w:tcPr>
            <w:tcW w:w="1207" w:type="dxa"/>
            <w:tcBorders>
              <w:top w:val="single" w:color="auto" w:sz="4" w:space="0"/>
              <w:bottom w:val="single" w:color="auto" w:sz="4" w:space="0"/>
            </w:tcBorders>
            <w:vAlign w:val="center"/>
          </w:tcPr>
          <w:p w14:paraId="39F18DC2">
            <w:pPr>
              <w:pStyle w:val="15"/>
              <w:ind w:firstLine="0"/>
              <w:jc w:val="center"/>
              <w:rPr>
                <w:rFonts w:hint="eastAsia" w:ascii="宋体" w:hAnsi="宋体" w:cs="宋体"/>
                <w:color w:val="auto"/>
                <w:szCs w:val="21"/>
              </w:rPr>
            </w:pPr>
            <w:r>
              <w:rPr>
                <w:rFonts w:hint="eastAsia" w:ascii="宋体" w:hAnsi="宋体" w:cs="宋体"/>
                <w:color w:val="auto"/>
                <w:szCs w:val="21"/>
              </w:rPr>
              <w:t>0-6分</w:t>
            </w:r>
          </w:p>
        </w:tc>
      </w:tr>
      <w:tr w14:paraId="329D7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17" w:type="dxa"/>
            <w:vMerge w:val="continue"/>
            <w:vAlign w:val="center"/>
          </w:tcPr>
          <w:p w14:paraId="03A5E579">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317C0529">
            <w:pPr>
              <w:pStyle w:val="15"/>
              <w:ind w:firstLine="0"/>
              <w:jc w:val="center"/>
              <w:rPr>
                <w:rFonts w:hint="eastAsia" w:ascii="宋体" w:hAnsi="宋体" w:cs="宋体"/>
                <w:color w:val="auto"/>
                <w:szCs w:val="21"/>
              </w:rPr>
            </w:pPr>
          </w:p>
        </w:tc>
        <w:tc>
          <w:tcPr>
            <w:tcW w:w="5953" w:type="dxa"/>
            <w:tcBorders>
              <w:top w:val="single" w:color="auto" w:sz="4" w:space="0"/>
              <w:bottom w:val="single" w:color="auto" w:sz="4" w:space="0"/>
            </w:tcBorders>
            <w:vAlign w:val="center"/>
          </w:tcPr>
          <w:p w14:paraId="7F6DAFBB">
            <w:pPr>
              <w:pStyle w:val="15"/>
              <w:jc w:val="left"/>
              <w:rPr>
                <w:rFonts w:hint="eastAsia" w:ascii="宋体" w:hAnsi="宋体" w:cs="宋体"/>
                <w:bCs/>
                <w:color w:val="auto"/>
                <w:szCs w:val="21"/>
              </w:rPr>
            </w:pPr>
            <w:r>
              <w:rPr>
                <w:rFonts w:hint="eastAsia" w:ascii="宋体" w:hAnsi="宋体" w:cs="宋体"/>
                <w:bCs/>
                <w:color w:val="auto"/>
                <w:szCs w:val="21"/>
              </w:rPr>
              <w:t>（6）</w:t>
            </w:r>
            <w:r>
              <w:rPr>
                <w:rFonts w:hint="eastAsia" w:ascii="宋体" w:hAnsi="宋体" w:eastAsia="宋体" w:cs="宋体"/>
                <w:b w:val="0"/>
                <w:bCs/>
                <w:color w:val="auto"/>
                <w:sz w:val="21"/>
                <w:szCs w:val="21"/>
              </w:rPr>
              <w:t>交通秩序维护</w:t>
            </w:r>
            <w:r>
              <w:rPr>
                <w:rFonts w:hint="eastAsia" w:ascii="宋体" w:hAnsi="宋体" w:eastAsia="宋体" w:cs="宋体"/>
                <w:bCs/>
                <w:color w:val="auto"/>
                <w:szCs w:val="21"/>
              </w:rPr>
              <w:t>工作方案</w:t>
            </w:r>
            <w:r>
              <w:rPr>
                <w:rFonts w:hint="eastAsia" w:ascii="宋体" w:hAnsi="宋体" w:cs="宋体"/>
                <w:bCs/>
                <w:color w:val="auto"/>
                <w:szCs w:val="21"/>
              </w:rPr>
              <w:t>的合理性、完善性、可行性进行评分：方案内容全面、合理、完善、可行的，得4-6分；方案内容基本全面、较合理、较完善、较可行的，得2-4分；方案内容、合理性、完善性、可行性均欠缺，得0-2分。</w:t>
            </w:r>
          </w:p>
        </w:tc>
        <w:tc>
          <w:tcPr>
            <w:tcW w:w="1207" w:type="dxa"/>
            <w:tcBorders>
              <w:top w:val="single" w:color="auto" w:sz="4" w:space="0"/>
              <w:bottom w:val="single" w:color="auto" w:sz="4" w:space="0"/>
            </w:tcBorders>
            <w:vAlign w:val="center"/>
          </w:tcPr>
          <w:p w14:paraId="2E602111">
            <w:pPr>
              <w:pStyle w:val="15"/>
              <w:ind w:firstLine="0"/>
              <w:jc w:val="center"/>
              <w:rPr>
                <w:rFonts w:hint="eastAsia" w:ascii="宋体" w:hAnsi="宋体" w:cs="宋体"/>
                <w:color w:val="auto"/>
                <w:szCs w:val="21"/>
              </w:rPr>
            </w:pPr>
            <w:r>
              <w:rPr>
                <w:rFonts w:hint="eastAsia" w:ascii="宋体" w:hAnsi="宋体" w:cs="宋体"/>
                <w:color w:val="auto"/>
                <w:szCs w:val="21"/>
              </w:rPr>
              <w:t>0-6分</w:t>
            </w:r>
          </w:p>
        </w:tc>
      </w:tr>
      <w:tr w14:paraId="6708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17" w:type="dxa"/>
            <w:vMerge w:val="continue"/>
            <w:vAlign w:val="center"/>
          </w:tcPr>
          <w:p w14:paraId="2F891AD3">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1E8118A8">
            <w:pPr>
              <w:pStyle w:val="15"/>
              <w:ind w:firstLine="0"/>
              <w:jc w:val="center"/>
              <w:rPr>
                <w:rFonts w:hint="eastAsia" w:ascii="宋体" w:hAnsi="宋体" w:cs="宋体"/>
                <w:color w:val="auto"/>
                <w:szCs w:val="21"/>
              </w:rPr>
            </w:pPr>
          </w:p>
        </w:tc>
        <w:tc>
          <w:tcPr>
            <w:tcW w:w="5953" w:type="dxa"/>
            <w:tcBorders>
              <w:top w:val="single" w:color="auto" w:sz="4" w:space="0"/>
              <w:bottom w:val="single" w:color="auto" w:sz="4" w:space="0"/>
            </w:tcBorders>
            <w:vAlign w:val="center"/>
          </w:tcPr>
          <w:p w14:paraId="03569417">
            <w:pPr>
              <w:pStyle w:val="15"/>
              <w:jc w:val="left"/>
              <w:rPr>
                <w:rFonts w:hint="eastAsia" w:ascii="宋体" w:hAnsi="宋体" w:cs="宋体"/>
                <w:bCs/>
                <w:color w:val="auto"/>
                <w:szCs w:val="21"/>
              </w:rPr>
            </w:pPr>
            <w:r>
              <w:rPr>
                <w:rFonts w:hint="eastAsia" w:ascii="宋体" w:hAnsi="宋体" w:cs="宋体"/>
                <w:bCs/>
                <w:color w:val="auto"/>
                <w:szCs w:val="21"/>
              </w:rPr>
              <w:t>（7）消防安全防范工作方案的合理性、完善性、可行性进行评分：方案内容全面、合理、完善、可行的，得4-6分；方案内容基本全面、较合理、较完善、较可行的，得2-4分；方案内容、合理性、完善性、可行性均欠缺，得0-2分。</w:t>
            </w:r>
          </w:p>
        </w:tc>
        <w:tc>
          <w:tcPr>
            <w:tcW w:w="1207" w:type="dxa"/>
            <w:tcBorders>
              <w:top w:val="single" w:color="auto" w:sz="4" w:space="0"/>
              <w:bottom w:val="single" w:color="auto" w:sz="4" w:space="0"/>
            </w:tcBorders>
            <w:vAlign w:val="center"/>
          </w:tcPr>
          <w:p w14:paraId="3CEA2D1F">
            <w:pPr>
              <w:pStyle w:val="15"/>
              <w:ind w:firstLine="0"/>
              <w:jc w:val="center"/>
              <w:rPr>
                <w:rFonts w:hint="eastAsia" w:ascii="宋体" w:hAnsi="宋体" w:cs="宋体"/>
                <w:color w:val="auto"/>
                <w:szCs w:val="21"/>
              </w:rPr>
            </w:pPr>
            <w:r>
              <w:rPr>
                <w:rFonts w:hint="eastAsia" w:ascii="宋体" w:hAnsi="宋体" w:cs="宋体"/>
                <w:color w:val="auto"/>
                <w:szCs w:val="21"/>
              </w:rPr>
              <w:t>0-6分</w:t>
            </w:r>
          </w:p>
        </w:tc>
      </w:tr>
      <w:tr w14:paraId="3AE5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817" w:type="dxa"/>
            <w:vMerge w:val="continue"/>
            <w:vAlign w:val="center"/>
          </w:tcPr>
          <w:p w14:paraId="5C3399B6">
            <w:pPr>
              <w:pStyle w:val="15"/>
              <w:ind w:firstLine="0"/>
              <w:jc w:val="center"/>
              <w:rPr>
                <w:rFonts w:hint="eastAsia" w:asciiTheme="minorEastAsia" w:hAnsiTheme="minorEastAsia" w:eastAsiaTheme="minorEastAsia" w:cstheme="minorEastAsia"/>
                <w:color w:val="auto"/>
              </w:rPr>
            </w:pPr>
          </w:p>
        </w:tc>
        <w:tc>
          <w:tcPr>
            <w:tcW w:w="1985" w:type="dxa"/>
            <w:vMerge w:val="continue"/>
            <w:vAlign w:val="center"/>
          </w:tcPr>
          <w:p w14:paraId="1AB04C43">
            <w:pPr>
              <w:pStyle w:val="15"/>
              <w:ind w:firstLine="0"/>
              <w:jc w:val="center"/>
              <w:rPr>
                <w:rFonts w:hint="eastAsia" w:ascii="宋体" w:hAnsi="宋体" w:cs="宋体"/>
                <w:color w:val="auto"/>
                <w:szCs w:val="21"/>
              </w:rPr>
            </w:pPr>
          </w:p>
        </w:tc>
        <w:tc>
          <w:tcPr>
            <w:tcW w:w="5953" w:type="dxa"/>
            <w:tcBorders>
              <w:top w:val="single" w:color="auto" w:sz="4" w:space="0"/>
            </w:tcBorders>
            <w:vAlign w:val="center"/>
          </w:tcPr>
          <w:p w14:paraId="427D481F">
            <w:pPr>
              <w:pStyle w:val="15"/>
              <w:ind w:firstLine="210" w:firstLineChars="100"/>
              <w:jc w:val="left"/>
              <w:rPr>
                <w:rFonts w:hint="eastAsia" w:ascii="宋体" w:hAnsi="宋体" w:cs="宋体"/>
                <w:bCs/>
                <w:color w:val="auto"/>
                <w:szCs w:val="21"/>
              </w:rPr>
            </w:pPr>
            <w:r>
              <w:rPr>
                <w:rFonts w:hint="eastAsia" w:ascii="宋体" w:hAnsi="宋体" w:cs="宋体"/>
                <w:bCs/>
                <w:color w:val="auto"/>
                <w:szCs w:val="21"/>
              </w:rPr>
              <w:t>（8）治安安全实施方案，根据方案的合理性、完善性、可行性进行评分：方案内容全面、合理、完善、可行的，得4-6分；方案内容基本全面、较合理、较完善、较可行的，得2-4分；方案内容、合理性、完善性、可行性均欠缺，得0-2分。</w:t>
            </w:r>
          </w:p>
        </w:tc>
        <w:tc>
          <w:tcPr>
            <w:tcW w:w="1207" w:type="dxa"/>
            <w:tcBorders>
              <w:top w:val="single" w:color="auto" w:sz="4" w:space="0"/>
            </w:tcBorders>
            <w:vAlign w:val="center"/>
          </w:tcPr>
          <w:p w14:paraId="1B4A5CDF">
            <w:pPr>
              <w:pStyle w:val="15"/>
              <w:ind w:firstLine="0"/>
              <w:jc w:val="center"/>
              <w:rPr>
                <w:rFonts w:hint="eastAsia" w:ascii="宋体" w:hAnsi="宋体" w:cs="宋体"/>
                <w:color w:val="auto"/>
                <w:szCs w:val="21"/>
              </w:rPr>
            </w:pPr>
            <w:r>
              <w:rPr>
                <w:rFonts w:hint="eastAsia" w:ascii="宋体" w:hAnsi="宋体" w:cs="宋体"/>
                <w:color w:val="auto"/>
                <w:szCs w:val="21"/>
              </w:rPr>
              <w:t>0-6分</w:t>
            </w:r>
          </w:p>
        </w:tc>
      </w:tr>
      <w:tr w14:paraId="701C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E96DB37">
            <w:pPr>
              <w:pStyle w:val="15"/>
              <w:ind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985" w:type="dxa"/>
            <w:vAlign w:val="center"/>
          </w:tcPr>
          <w:p w14:paraId="5412BD95">
            <w:pPr>
              <w:pStyle w:val="15"/>
              <w:ind w:firstLine="0"/>
              <w:jc w:val="center"/>
              <w:rPr>
                <w:rFonts w:hint="eastAsia"/>
                <w:color w:val="auto"/>
              </w:rPr>
            </w:pPr>
            <w:r>
              <w:rPr>
                <w:rFonts w:hint="eastAsia" w:ascii="宋体" w:hAnsi="宋体" w:cs="宋体"/>
                <w:bCs/>
                <w:color w:val="auto"/>
                <w:szCs w:val="21"/>
              </w:rPr>
              <w:t>服务质量保证措施</w:t>
            </w:r>
          </w:p>
        </w:tc>
        <w:tc>
          <w:tcPr>
            <w:tcW w:w="5953" w:type="dxa"/>
            <w:vAlign w:val="center"/>
          </w:tcPr>
          <w:p w14:paraId="20FD0FED">
            <w:pPr>
              <w:pStyle w:val="15"/>
              <w:ind w:firstLine="0"/>
              <w:rPr>
                <w:rFonts w:hint="eastAsia"/>
                <w:color w:val="auto"/>
              </w:rPr>
            </w:pPr>
            <w:r>
              <w:rPr>
                <w:rFonts w:hint="eastAsia" w:ascii="宋体" w:hAnsi="宋体" w:cs="宋体"/>
                <w:bCs/>
                <w:color w:val="auto"/>
                <w:szCs w:val="21"/>
              </w:rPr>
              <w:t>根据</w:t>
            </w:r>
            <w:r>
              <w:rPr>
                <w:rFonts w:hint="eastAsia" w:ascii="宋体" w:hAnsi="宋体" w:eastAsia="宋体" w:cs="宋体"/>
                <w:color w:val="auto"/>
                <w:szCs w:val="21"/>
                <w:lang w:val="en-US" w:eastAsia="zh-CN"/>
              </w:rPr>
              <w:t>磋商响应人</w:t>
            </w:r>
            <w:r>
              <w:rPr>
                <w:rFonts w:hint="eastAsia" w:ascii="宋体" w:hAnsi="宋体" w:cs="宋体"/>
                <w:bCs/>
                <w:color w:val="auto"/>
                <w:szCs w:val="21"/>
              </w:rPr>
              <w:t>提供的针对本项目的质量保证措施进行评分，措施合理、可行的，得4-6分，措施较合理，较可行的，得2-4分，措施欠缺，可行性较差的，得0-2分。</w:t>
            </w:r>
          </w:p>
        </w:tc>
        <w:tc>
          <w:tcPr>
            <w:tcW w:w="1207" w:type="dxa"/>
            <w:vAlign w:val="center"/>
          </w:tcPr>
          <w:p w14:paraId="2995B2F2">
            <w:pPr>
              <w:pStyle w:val="15"/>
              <w:ind w:firstLine="0"/>
              <w:jc w:val="center"/>
              <w:rPr>
                <w:rFonts w:hint="eastAsia" w:ascii="宋体" w:hAnsi="宋体" w:cs="宋体"/>
                <w:color w:val="auto"/>
                <w:szCs w:val="21"/>
              </w:rPr>
            </w:pPr>
            <w:r>
              <w:rPr>
                <w:rFonts w:hint="eastAsia" w:ascii="宋体" w:hAnsi="宋体" w:cs="宋体"/>
                <w:bCs/>
                <w:color w:val="auto"/>
                <w:szCs w:val="21"/>
              </w:rPr>
              <w:t>0-6分</w:t>
            </w:r>
          </w:p>
        </w:tc>
      </w:tr>
      <w:tr w14:paraId="05A47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CD344F4">
            <w:pPr>
              <w:pStyle w:val="15"/>
              <w:ind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985" w:type="dxa"/>
            <w:shd w:val="clear" w:color="auto" w:fill="auto"/>
            <w:vAlign w:val="center"/>
          </w:tcPr>
          <w:p w14:paraId="50422C3F">
            <w:pPr>
              <w:pStyle w:val="15"/>
              <w:ind w:firstLine="0" w:firstLineChars="0"/>
              <w:jc w:val="center"/>
              <w:rPr>
                <w:rFonts w:hint="eastAsia" w:ascii="Calibri" w:hAnsi="Calibri" w:eastAsia="宋体" w:cs="Times New Roman"/>
                <w:color w:val="auto"/>
                <w:kern w:val="2"/>
                <w:sz w:val="21"/>
                <w:szCs w:val="20"/>
                <w:lang w:val="en-US" w:eastAsia="zh-CN" w:bidi="ar-SA"/>
              </w:rPr>
            </w:pPr>
            <w:r>
              <w:rPr>
                <w:rFonts w:hint="eastAsia" w:ascii="宋体" w:hAnsi="宋体" w:cs="宋体"/>
                <w:bCs/>
                <w:color w:val="auto"/>
                <w:spacing w:val="11"/>
                <w:szCs w:val="21"/>
              </w:rPr>
              <w:t>管理制度</w:t>
            </w:r>
          </w:p>
        </w:tc>
        <w:tc>
          <w:tcPr>
            <w:tcW w:w="5953" w:type="dxa"/>
            <w:shd w:val="clear" w:color="auto" w:fill="auto"/>
            <w:vAlign w:val="center"/>
          </w:tcPr>
          <w:p w14:paraId="6D8340F5">
            <w:pPr>
              <w:pStyle w:val="15"/>
              <w:rPr>
                <w:rFonts w:hint="eastAsia" w:ascii="宋体" w:hAnsi="宋体" w:eastAsia="宋体" w:cs="宋体"/>
                <w:bCs/>
                <w:color w:val="auto"/>
                <w:szCs w:val="21"/>
              </w:rPr>
            </w:pPr>
            <w:r>
              <w:rPr>
                <w:rFonts w:hint="eastAsia" w:ascii="宋体" w:hAnsi="宋体" w:eastAsia="宋体" w:cs="宋体"/>
                <w:color w:val="auto"/>
                <w:szCs w:val="21"/>
                <w:lang w:val="en-US" w:eastAsia="zh-CN"/>
              </w:rPr>
              <w:t>磋商响应人</w:t>
            </w:r>
            <w:r>
              <w:rPr>
                <w:rFonts w:hint="eastAsia" w:ascii="宋体" w:hAnsi="宋体" w:eastAsia="宋体" w:cs="宋体"/>
                <w:bCs/>
                <w:color w:val="auto"/>
                <w:szCs w:val="21"/>
              </w:rPr>
              <w:t>针对本项目提供的各项制度进行评分：</w:t>
            </w:r>
          </w:p>
          <w:p w14:paraId="01CE6B76">
            <w:pPr>
              <w:pStyle w:val="15"/>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（1）内部岗位责任制度，根据制度的完善性、合理性、可行性进行评分，0-</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w:t>
            </w:r>
          </w:p>
          <w:p w14:paraId="3C06C996">
            <w:pPr>
              <w:pStyle w:val="15"/>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（2）管理运作制度，根据制度的完善性、合理性、可行性进行评分，0-</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w:t>
            </w:r>
          </w:p>
          <w:p w14:paraId="34F574CF">
            <w:pPr>
              <w:pStyle w:val="15"/>
              <w:rPr>
                <w:rFonts w:hint="eastAsia" w:ascii="宋体" w:hAnsi="宋体" w:eastAsia="宋体" w:cs="宋体"/>
                <w:bCs/>
                <w:color w:val="auto"/>
                <w:szCs w:val="21"/>
              </w:rPr>
            </w:pPr>
            <w:r>
              <w:rPr>
                <w:rFonts w:hint="eastAsia" w:ascii="宋体" w:hAnsi="宋体" w:eastAsia="宋体" w:cs="宋体"/>
                <w:bCs/>
                <w:color w:val="auto"/>
                <w:szCs w:val="21"/>
              </w:rPr>
              <w:t>（3）内部考核制度及标准，根据制度的完善性、合理性、可行性进行评分，0-</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分；</w:t>
            </w:r>
          </w:p>
          <w:p w14:paraId="338C1400">
            <w:pPr>
              <w:pStyle w:val="15"/>
              <w:ind w:firstLine="420" w:firstLineChars="200"/>
              <w:rPr>
                <w:rFonts w:hint="eastAsia" w:ascii="宋体" w:hAnsi="宋体" w:cs="宋体"/>
                <w:bCs/>
                <w:color w:val="auto"/>
                <w:szCs w:val="21"/>
              </w:rPr>
            </w:pPr>
            <w:r>
              <w:rPr>
                <w:rFonts w:hint="eastAsia" w:ascii="宋体" w:hAnsi="宋体" w:cs="宋体"/>
                <w:bCs/>
                <w:color w:val="auto"/>
                <w:szCs w:val="21"/>
              </w:rPr>
              <w:t>（4）培训制度，根据制度的完善性、合理性、可行性进行评分，0-</w:t>
            </w:r>
            <w:r>
              <w:rPr>
                <w:rFonts w:hint="eastAsia" w:ascii="宋体" w:hAnsi="宋体" w:cs="宋体"/>
                <w:bCs/>
                <w:color w:val="auto"/>
                <w:szCs w:val="21"/>
                <w:lang w:val="en-US" w:eastAsia="zh-CN"/>
              </w:rPr>
              <w:t>2</w:t>
            </w:r>
            <w:r>
              <w:rPr>
                <w:rFonts w:hint="eastAsia" w:ascii="宋体" w:hAnsi="宋体" w:cs="宋体"/>
                <w:bCs/>
                <w:color w:val="auto"/>
                <w:szCs w:val="21"/>
              </w:rPr>
              <w:t>分；</w:t>
            </w:r>
          </w:p>
          <w:p w14:paraId="64BA2418">
            <w:pPr>
              <w:pStyle w:val="15"/>
              <w:ind w:firstLine="420" w:firstLineChars="200"/>
              <w:rPr>
                <w:rFonts w:hint="eastAsia" w:ascii="宋体" w:hAnsi="宋体" w:cs="宋体"/>
                <w:bCs/>
                <w:color w:val="auto"/>
                <w:szCs w:val="21"/>
              </w:rPr>
            </w:pPr>
            <w:r>
              <w:rPr>
                <w:rFonts w:hint="eastAsia" w:ascii="宋体" w:hAnsi="宋体" w:cs="宋体"/>
                <w:bCs/>
                <w:color w:val="auto"/>
                <w:szCs w:val="21"/>
              </w:rPr>
              <w:t>（5）财务制度：根据制度的完善性、合理性、可行性进行评分，0-</w:t>
            </w:r>
            <w:r>
              <w:rPr>
                <w:rFonts w:hint="eastAsia" w:ascii="宋体" w:hAnsi="宋体" w:cs="宋体"/>
                <w:bCs/>
                <w:color w:val="auto"/>
                <w:szCs w:val="21"/>
                <w:lang w:val="en-US" w:eastAsia="zh-CN"/>
              </w:rPr>
              <w:t>2</w:t>
            </w:r>
            <w:r>
              <w:rPr>
                <w:rFonts w:hint="eastAsia" w:ascii="宋体" w:hAnsi="宋体" w:cs="宋体"/>
                <w:bCs/>
                <w:color w:val="auto"/>
                <w:szCs w:val="21"/>
              </w:rPr>
              <w:t>分；</w:t>
            </w:r>
          </w:p>
          <w:p w14:paraId="7DF56866">
            <w:pPr>
              <w:pStyle w:val="15"/>
              <w:ind w:firstLine="420" w:firstLineChars="200"/>
              <w:rPr>
                <w:rFonts w:hint="eastAsia" w:ascii="Calibri" w:hAnsi="Calibri" w:eastAsia="宋体" w:cs="Times New Roman"/>
                <w:color w:val="auto"/>
                <w:kern w:val="2"/>
                <w:sz w:val="21"/>
                <w:szCs w:val="20"/>
                <w:lang w:val="en-US" w:eastAsia="zh-CN" w:bidi="ar-SA"/>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6</w:t>
            </w:r>
            <w:r>
              <w:rPr>
                <w:rFonts w:hint="eastAsia" w:ascii="宋体" w:hAnsi="宋体" w:cs="宋体"/>
                <w:bCs/>
                <w:color w:val="auto"/>
                <w:szCs w:val="21"/>
                <w:lang w:eastAsia="zh-CN"/>
              </w:rPr>
              <w:t>）</w:t>
            </w:r>
            <w:r>
              <w:rPr>
                <w:rFonts w:hint="eastAsia" w:ascii="宋体" w:hAnsi="宋体" w:cs="宋体"/>
                <w:bCs/>
                <w:color w:val="auto"/>
                <w:szCs w:val="21"/>
                <w:lang w:val="en-US" w:eastAsia="zh-CN"/>
              </w:rPr>
              <w:t>各类台账流程管理制度：包括进出口登记台账、监控室巡查台账、消控室台账</w:t>
            </w:r>
            <w:r>
              <w:rPr>
                <w:rFonts w:hint="eastAsia" w:ascii="宋体" w:hAnsi="宋体" w:eastAsia="宋体" w:cs="宋体"/>
                <w:bCs/>
                <w:color w:val="auto"/>
                <w:szCs w:val="21"/>
                <w:lang w:val="en-US" w:eastAsia="zh-CN"/>
              </w:rPr>
              <w:t>、</w:t>
            </w:r>
            <w:r>
              <w:rPr>
                <w:rFonts w:hint="eastAsia" w:ascii="宋体" w:hAnsi="宋体" w:eastAsia="宋体" w:cs="宋体"/>
                <w:bCs/>
                <w:color w:val="auto"/>
                <w:sz w:val="21"/>
                <w:szCs w:val="21"/>
              </w:rPr>
              <w:t>工作日志</w:t>
            </w:r>
            <w:r>
              <w:rPr>
                <w:rFonts w:hint="eastAsia" w:ascii="宋体" w:hAnsi="宋体" w:cs="宋体"/>
                <w:bCs/>
                <w:color w:val="auto"/>
                <w:szCs w:val="21"/>
                <w:lang w:val="en-US" w:eastAsia="zh-CN"/>
              </w:rPr>
              <w:t>等流程管理制度的</w:t>
            </w:r>
            <w:r>
              <w:rPr>
                <w:rFonts w:hint="eastAsia" w:ascii="宋体" w:hAnsi="宋体" w:cs="宋体"/>
                <w:bCs/>
                <w:color w:val="auto"/>
                <w:szCs w:val="21"/>
              </w:rPr>
              <w:t>合理性、可行性进行评分，0-</w:t>
            </w:r>
            <w:r>
              <w:rPr>
                <w:rFonts w:hint="eastAsia" w:ascii="宋体" w:hAnsi="宋体" w:cs="宋体"/>
                <w:bCs/>
                <w:color w:val="auto"/>
                <w:szCs w:val="21"/>
                <w:lang w:val="en-US" w:eastAsia="zh-CN"/>
              </w:rPr>
              <w:t>2</w:t>
            </w:r>
            <w:r>
              <w:rPr>
                <w:rFonts w:hint="eastAsia" w:ascii="宋体" w:hAnsi="宋体" w:cs="宋体"/>
                <w:bCs/>
                <w:color w:val="auto"/>
                <w:szCs w:val="21"/>
              </w:rPr>
              <w:t>分</w:t>
            </w:r>
            <w:r>
              <w:rPr>
                <w:rFonts w:hint="eastAsia" w:ascii="宋体" w:hAnsi="宋体" w:cs="宋体"/>
                <w:bCs/>
                <w:color w:val="auto"/>
                <w:szCs w:val="21"/>
                <w:lang w:eastAsia="zh-CN"/>
              </w:rPr>
              <w:t>。</w:t>
            </w:r>
          </w:p>
        </w:tc>
        <w:tc>
          <w:tcPr>
            <w:tcW w:w="1207" w:type="dxa"/>
            <w:shd w:val="clear" w:color="auto" w:fill="auto"/>
            <w:vAlign w:val="center"/>
          </w:tcPr>
          <w:p w14:paraId="46755B12">
            <w:pPr>
              <w:pStyle w:val="15"/>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Cs w:val="21"/>
              </w:rPr>
              <w:t>0-1</w:t>
            </w:r>
            <w:r>
              <w:rPr>
                <w:rFonts w:hint="eastAsia" w:ascii="宋体" w:hAnsi="宋体" w:cs="宋体"/>
                <w:bCs/>
                <w:color w:val="auto"/>
                <w:szCs w:val="21"/>
                <w:lang w:val="en-US" w:eastAsia="zh-CN"/>
              </w:rPr>
              <w:t>2</w:t>
            </w:r>
            <w:r>
              <w:rPr>
                <w:rFonts w:hint="eastAsia" w:ascii="宋体" w:hAnsi="宋体" w:cs="宋体"/>
                <w:bCs/>
                <w:color w:val="auto"/>
                <w:szCs w:val="21"/>
              </w:rPr>
              <w:t>分</w:t>
            </w:r>
          </w:p>
        </w:tc>
      </w:tr>
      <w:tr w14:paraId="5B06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099A337">
            <w:pPr>
              <w:pStyle w:val="15"/>
              <w:ind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985" w:type="dxa"/>
            <w:shd w:val="clear" w:color="auto" w:fill="auto"/>
            <w:vAlign w:val="center"/>
          </w:tcPr>
          <w:p w14:paraId="4874E464">
            <w:pPr>
              <w:pStyle w:val="15"/>
              <w:ind w:firstLine="0" w:firstLineChars="0"/>
              <w:jc w:val="center"/>
              <w:rPr>
                <w:rFonts w:hint="eastAsia" w:ascii="Calibri" w:hAnsi="Calibri" w:eastAsia="宋体" w:cs="Times New Roman"/>
                <w:color w:val="auto"/>
                <w:kern w:val="2"/>
                <w:sz w:val="21"/>
                <w:szCs w:val="20"/>
                <w:lang w:val="en-US" w:eastAsia="zh-CN" w:bidi="ar-SA"/>
              </w:rPr>
            </w:pPr>
            <w:r>
              <w:rPr>
                <w:rFonts w:hint="eastAsia" w:ascii="宋体" w:hAnsi="宋体" w:cs="宋体"/>
                <w:bCs/>
                <w:color w:val="auto"/>
                <w:szCs w:val="21"/>
              </w:rPr>
              <w:t>应急预案</w:t>
            </w:r>
          </w:p>
        </w:tc>
        <w:tc>
          <w:tcPr>
            <w:tcW w:w="5953" w:type="dxa"/>
            <w:shd w:val="clear" w:color="auto" w:fill="auto"/>
            <w:vAlign w:val="top"/>
          </w:tcPr>
          <w:p w14:paraId="4C00C394">
            <w:pPr>
              <w:pStyle w:val="15"/>
              <w:ind w:firstLine="0"/>
              <w:rPr>
                <w:rFonts w:hint="eastAsia" w:ascii="宋体" w:hAnsi="宋体" w:eastAsia="宋体" w:cs="宋体"/>
                <w:bCs/>
                <w:color w:val="auto"/>
                <w:szCs w:val="21"/>
              </w:rPr>
            </w:pPr>
            <w:r>
              <w:rPr>
                <w:rFonts w:hint="eastAsia" w:ascii="宋体" w:hAnsi="宋体" w:eastAsia="宋体" w:cs="宋体"/>
                <w:color w:val="auto"/>
                <w:szCs w:val="21"/>
                <w:lang w:val="en-US" w:eastAsia="zh-CN"/>
              </w:rPr>
              <w:t>磋商响应人</w:t>
            </w:r>
            <w:r>
              <w:rPr>
                <w:rFonts w:hint="eastAsia" w:ascii="宋体" w:hAnsi="宋体" w:eastAsia="宋体" w:cs="宋体"/>
                <w:bCs/>
                <w:color w:val="auto"/>
                <w:szCs w:val="21"/>
              </w:rPr>
              <w:t>针对应急情况发生的各项预案进行评分：</w:t>
            </w:r>
          </w:p>
          <w:p w14:paraId="3EF2F2FA">
            <w:pPr>
              <w:pStyle w:val="15"/>
              <w:rPr>
                <w:rFonts w:hint="eastAsia" w:ascii="宋体" w:cs="宋体"/>
                <w:b w:val="0"/>
                <w:color w:val="auto"/>
                <w:sz w:val="21"/>
                <w:szCs w:val="21"/>
                <w:lang w:val="zh-CN"/>
              </w:rPr>
            </w:pPr>
            <w:r>
              <w:rPr>
                <w:rFonts w:hint="eastAsia" w:ascii="宋体" w:cs="宋体"/>
                <w:b w:val="0"/>
                <w:color w:val="auto"/>
                <w:sz w:val="21"/>
                <w:szCs w:val="21"/>
                <w:lang w:eastAsia="zh-CN"/>
              </w:rPr>
              <w:t>（</w:t>
            </w:r>
            <w:r>
              <w:rPr>
                <w:rFonts w:hint="eastAsia" w:ascii="宋体" w:cs="宋体"/>
                <w:b w:val="0"/>
                <w:color w:val="auto"/>
                <w:sz w:val="21"/>
                <w:szCs w:val="21"/>
                <w:lang w:val="en-US" w:eastAsia="zh-CN"/>
              </w:rPr>
              <w:t>1</w:t>
            </w:r>
            <w:r>
              <w:rPr>
                <w:rFonts w:hint="eastAsia" w:ascii="宋体" w:cs="宋体"/>
                <w:b w:val="0"/>
                <w:color w:val="auto"/>
                <w:sz w:val="21"/>
                <w:szCs w:val="21"/>
                <w:lang w:eastAsia="zh-CN"/>
              </w:rPr>
              <w:t>）</w:t>
            </w:r>
            <w:r>
              <w:rPr>
                <w:rFonts w:hint="eastAsia" w:ascii="宋体" w:cs="宋体"/>
                <w:b w:val="0"/>
                <w:color w:val="auto"/>
                <w:sz w:val="21"/>
                <w:szCs w:val="21"/>
              </w:rPr>
              <w:t>发生各类事故的应急预案，预案措施合理性、有效性进行评分，0-</w:t>
            </w:r>
            <w:r>
              <w:rPr>
                <w:rFonts w:hint="eastAsia" w:ascii="宋体" w:cs="宋体"/>
                <w:b w:val="0"/>
                <w:color w:val="auto"/>
                <w:sz w:val="21"/>
                <w:szCs w:val="21"/>
                <w:lang w:val="en-US" w:eastAsia="zh-CN"/>
              </w:rPr>
              <w:t>3</w:t>
            </w:r>
            <w:r>
              <w:rPr>
                <w:rFonts w:hint="eastAsia" w:ascii="宋体" w:cs="宋体"/>
                <w:b w:val="0"/>
                <w:color w:val="auto"/>
                <w:sz w:val="21"/>
                <w:szCs w:val="21"/>
              </w:rPr>
              <w:t>分；</w:t>
            </w:r>
          </w:p>
          <w:p w14:paraId="2531CAFB">
            <w:pPr>
              <w:pStyle w:val="15"/>
              <w:ind w:firstLine="0" w:firstLineChars="0"/>
              <w:rPr>
                <w:rFonts w:hint="eastAsia" w:ascii="Calibri" w:hAnsi="Calibri" w:eastAsia="宋体" w:cs="Times New Roman"/>
                <w:color w:val="auto"/>
                <w:kern w:val="2"/>
                <w:sz w:val="21"/>
                <w:szCs w:val="20"/>
                <w:lang w:val="en-US" w:eastAsia="zh-CN" w:bidi="ar-SA"/>
              </w:rPr>
            </w:pPr>
            <w:r>
              <w:rPr>
                <w:rFonts w:hint="eastAsia" w:ascii="宋体" w:hAnsi="宋体" w:cs="宋体"/>
                <w:bCs/>
                <w:color w:val="auto"/>
                <w:szCs w:val="21"/>
              </w:rPr>
              <w:t>（2）保安人员辞职或休假的应急预案，预案措施合理性、有效性进行评分，0-</w:t>
            </w:r>
            <w:r>
              <w:rPr>
                <w:rFonts w:hint="eastAsia" w:ascii="宋体" w:hAnsi="宋体" w:cs="宋体"/>
                <w:bCs/>
                <w:color w:val="auto"/>
                <w:szCs w:val="21"/>
                <w:lang w:val="en-US" w:eastAsia="zh-CN"/>
              </w:rPr>
              <w:t>2</w:t>
            </w:r>
            <w:r>
              <w:rPr>
                <w:rFonts w:hint="eastAsia" w:ascii="宋体" w:hAnsi="宋体" w:cs="宋体"/>
                <w:bCs/>
                <w:color w:val="auto"/>
                <w:szCs w:val="21"/>
              </w:rPr>
              <w:t>分。</w:t>
            </w:r>
          </w:p>
        </w:tc>
        <w:tc>
          <w:tcPr>
            <w:tcW w:w="1207" w:type="dxa"/>
            <w:shd w:val="clear" w:color="auto" w:fill="auto"/>
            <w:vAlign w:val="center"/>
          </w:tcPr>
          <w:p w14:paraId="697CA267">
            <w:pPr>
              <w:pStyle w:val="15"/>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lang w:val="zh-CN"/>
              </w:rPr>
              <w:t>0-</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分</w:t>
            </w:r>
          </w:p>
        </w:tc>
      </w:tr>
      <w:tr w14:paraId="5850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E289B35">
            <w:pPr>
              <w:pStyle w:val="15"/>
              <w:ind w:firstLine="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1985" w:type="dxa"/>
            <w:shd w:val="clear" w:color="auto" w:fill="auto"/>
            <w:vAlign w:val="center"/>
          </w:tcPr>
          <w:p w14:paraId="146F791D">
            <w:pPr>
              <w:spacing w:line="320" w:lineRule="exact"/>
              <w:jc w:val="center"/>
              <w:rPr>
                <w:rFonts w:hint="eastAsia" w:ascii="宋体" w:hAnsi="宋体" w:eastAsia="微软雅黑" w:cs="宋体"/>
                <w:bCs/>
                <w:color w:val="auto"/>
                <w:kern w:val="2"/>
                <w:sz w:val="21"/>
                <w:szCs w:val="21"/>
                <w:lang w:val="en-US" w:eastAsia="zh-CN" w:bidi="ar-SA"/>
              </w:rPr>
            </w:pPr>
            <w:r>
              <w:rPr>
                <w:rFonts w:hint="eastAsia" w:ascii="宋体" w:hAnsi="宋体" w:eastAsia="宋体" w:cs="宋体"/>
                <w:snapToGrid w:val="0"/>
                <w:color w:val="auto"/>
                <w:szCs w:val="21"/>
              </w:rPr>
              <w:t>针对本项目的特点和难点分析及解决措施</w:t>
            </w:r>
          </w:p>
        </w:tc>
        <w:tc>
          <w:tcPr>
            <w:tcW w:w="5953" w:type="dxa"/>
            <w:shd w:val="clear" w:color="auto" w:fill="auto"/>
            <w:vAlign w:val="center"/>
          </w:tcPr>
          <w:p w14:paraId="546176E4">
            <w:pPr>
              <w:spacing w:line="320" w:lineRule="exact"/>
              <w:rPr>
                <w:rFonts w:hint="eastAsia" w:ascii="Calibri" w:hAnsi="Calibri" w:eastAsia="微软雅黑" w:cs="Times New Roman"/>
                <w:color w:val="auto"/>
                <w:kern w:val="2"/>
                <w:sz w:val="21"/>
                <w:szCs w:val="24"/>
                <w:lang w:val="en-US" w:eastAsia="zh-CN" w:bidi="ar-SA"/>
              </w:rPr>
            </w:pPr>
            <w:r>
              <w:rPr>
                <w:rFonts w:hint="eastAsia" w:ascii="宋体" w:hAnsi="宋体" w:eastAsia="宋体" w:cs="宋体"/>
                <w:color w:val="auto"/>
                <w:szCs w:val="21"/>
              </w:rPr>
              <w:t>根据</w:t>
            </w: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对项目服务的难点、要点等问题进行调查剖析，并针对性的提出克服难点和要点技术措施进行评分：剖析内容全面，针对性措施可行性好的，得4-6分；剖析内容基本全面，针对性措施可行性较好的，得2-4分；剖析内容欠缺，针对性措施可行性较差的，得0-2分。</w:t>
            </w:r>
          </w:p>
        </w:tc>
        <w:tc>
          <w:tcPr>
            <w:tcW w:w="1207" w:type="dxa"/>
            <w:shd w:val="clear" w:color="auto" w:fill="auto"/>
            <w:vAlign w:val="center"/>
          </w:tcPr>
          <w:p w14:paraId="7F26BD22">
            <w:pPr>
              <w:spacing w:line="320" w:lineRule="exact"/>
              <w:jc w:val="center"/>
              <w:rPr>
                <w:rFonts w:hint="eastAsia" w:ascii="宋体" w:hAnsi="宋体" w:eastAsia="宋体" w:cs="宋体"/>
                <w:bCs/>
                <w:color w:val="auto"/>
                <w:kern w:val="2"/>
                <w:sz w:val="21"/>
                <w:szCs w:val="21"/>
                <w:lang w:val="zh-CN" w:eastAsia="zh-CN" w:bidi="ar-SA"/>
              </w:rPr>
            </w:pPr>
            <w:r>
              <w:rPr>
                <w:rFonts w:hint="eastAsia" w:ascii="宋体" w:hAnsi="宋体" w:eastAsia="宋体" w:cs="宋体"/>
                <w:color w:val="auto"/>
                <w:szCs w:val="21"/>
              </w:rPr>
              <w:t>0-6分</w:t>
            </w:r>
          </w:p>
        </w:tc>
      </w:tr>
      <w:tr w14:paraId="2BEC2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1AC2AC3">
            <w:pPr>
              <w:pStyle w:val="15"/>
              <w:ind w:firstLine="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w:t>
            </w:r>
          </w:p>
        </w:tc>
        <w:tc>
          <w:tcPr>
            <w:tcW w:w="1985" w:type="dxa"/>
            <w:shd w:val="clear" w:color="auto" w:fill="auto"/>
            <w:vAlign w:val="center"/>
          </w:tcPr>
          <w:p w14:paraId="554274F8">
            <w:pPr>
              <w:pStyle w:val="21"/>
              <w:spacing w:after="0" w:line="320" w:lineRule="exact"/>
              <w:jc w:val="center"/>
              <w:rPr>
                <w:rFonts w:hint="eastAsia" w:ascii="宋体" w:hAnsi="宋体" w:eastAsia="宋体" w:cs="宋体"/>
                <w:snapToGrid w:val="0"/>
                <w:color w:val="auto"/>
                <w:kern w:val="2"/>
                <w:sz w:val="28"/>
                <w:szCs w:val="21"/>
                <w:lang w:val="en-US" w:eastAsia="zh-CN" w:bidi="ar-SA"/>
              </w:rPr>
            </w:pPr>
            <w:r>
              <w:rPr>
                <w:rFonts w:hint="eastAsia" w:cs="宋体"/>
                <w:snapToGrid w:val="0"/>
                <w:color w:val="auto"/>
                <w:sz w:val="21"/>
                <w:szCs w:val="21"/>
              </w:rPr>
              <w:t>服务承诺</w:t>
            </w:r>
          </w:p>
        </w:tc>
        <w:tc>
          <w:tcPr>
            <w:tcW w:w="5953" w:type="dxa"/>
            <w:shd w:val="clear" w:color="auto" w:fill="auto"/>
            <w:vAlign w:val="center"/>
          </w:tcPr>
          <w:p w14:paraId="0B64C859">
            <w:pPr>
              <w:numPr>
                <w:ilvl w:val="0"/>
                <w:numId w:val="5"/>
              </w:numPr>
              <w:spacing w:line="320" w:lineRule="exact"/>
              <w:rPr>
                <w:rFonts w:ascii="宋体" w:hAnsi="宋体" w:eastAsia="宋体" w:cs="宋体"/>
                <w:color w:val="auto"/>
                <w:szCs w:val="21"/>
              </w:rPr>
            </w:pP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rPr>
              <w:t>在接到采购人通知后0.5小时（含）现场响应的，得2分；1小时（含）现场响应的，得1分；超过1小时现场响应的，不得分。</w:t>
            </w:r>
          </w:p>
          <w:p w14:paraId="47E65B58">
            <w:pPr>
              <w:numPr>
                <w:ilvl w:val="0"/>
                <w:numId w:val="5"/>
              </w:numPr>
              <w:spacing w:line="3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磋商响应人</w:t>
            </w:r>
            <w:r>
              <w:rPr>
                <w:rFonts w:hint="eastAsia" w:ascii="宋体" w:hAnsi="宋体" w:eastAsia="宋体" w:cs="宋体"/>
                <w:color w:val="auto"/>
                <w:szCs w:val="21"/>
                <w:lang w:bidi="zh-CN"/>
              </w:rPr>
              <w:t>每提供一个可取有效的建议得1分，本项最高得</w:t>
            </w:r>
            <w:r>
              <w:rPr>
                <w:rFonts w:hint="eastAsia" w:ascii="宋体" w:hAnsi="宋体" w:eastAsia="宋体" w:cs="宋体"/>
                <w:color w:val="auto"/>
                <w:szCs w:val="21"/>
                <w:lang w:val="en-US" w:bidi="zh-CN"/>
              </w:rPr>
              <w:t>2</w:t>
            </w:r>
            <w:r>
              <w:rPr>
                <w:rFonts w:hint="eastAsia" w:ascii="宋体" w:hAnsi="宋体" w:eastAsia="宋体" w:cs="宋体"/>
                <w:color w:val="auto"/>
                <w:szCs w:val="21"/>
                <w:lang w:bidi="zh-CN"/>
              </w:rPr>
              <w:t>分，不提供的不得分。</w:t>
            </w:r>
          </w:p>
        </w:tc>
        <w:tc>
          <w:tcPr>
            <w:tcW w:w="1207" w:type="dxa"/>
            <w:shd w:val="clear" w:color="auto" w:fill="auto"/>
            <w:vAlign w:val="center"/>
          </w:tcPr>
          <w:p w14:paraId="1A3FE9FE">
            <w:pPr>
              <w:pStyle w:val="21"/>
              <w:spacing w:after="0" w:line="320" w:lineRule="exact"/>
              <w:jc w:val="center"/>
              <w:rPr>
                <w:rFonts w:hint="eastAsia" w:ascii="宋体" w:hAnsi="宋体" w:eastAsia="宋体" w:cs="宋体"/>
                <w:color w:val="auto"/>
                <w:kern w:val="2"/>
                <w:sz w:val="21"/>
                <w:szCs w:val="21"/>
                <w:lang w:val="zh-CN" w:eastAsia="zh-CN" w:bidi="ar-SA"/>
              </w:rPr>
            </w:pPr>
            <w:r>
              <w:rPr>
                <w:rFonts w:hint="eastAsia" w:cs="宋体"/>
                <w:color w:val="auto"/>
                <w:sz w:val="21"/>
                <w:szCs w:val="21"/>
              </w:rPr>
              <w:t>0-</w:t>
            </w:r>
            <w:r>
              <w:rPr>
                <w:rFonts w:hint="eastAsia" w:cs="宋体"/>
                <w:color w:val="auto"/>
                <w:sz w:val="21"/>
                <w:szCs w:val="21"/>
                <w:lang w:val="en-US" w:eastAsia="zh-CN"/>
              </w:rPr>
              <w:t>4</w:t>
            </w:r>
            <w:r>
              <w:rPr>
                <w:rFonts w:hint="eastAsia" w:cs="宋体"/>
                <w:color w:val="auto"/>
                <w:sz w:val="21"/>
                <w:szCs w:val="21"/>
              </w:rPr>
              <w:t>分</w:t>
            </w:r>
          </w:p>
        </w:tc>
      </w:tr>
      <w:tr w14:paraId="1D43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043982B">
            <w:pPr>
              <w:pStyle w:val="15"/>
              <w:ind w:firstLine="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7</w:t>
            </w:r>
          </w:p>
        </w:tc>
        <w:tc>
          <w:tcPr>
            <w:tcW w:w="1985" w:type="dxa"/>
            <w:shd w:val="clear" w:color="auto" w:fill="auto"/>
            <w:vAlign w:val="center"/>
          </w:tcPr>
          <w:p w14:paraId="3B307E63">
            <w:pPr>
              <w:pStyle w:val="21"/>
              <w:spacing w:line="320" w:lineRule="exact"/>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spacing w:val="0"/>
                <w:kern w:val="2"/>
                <w:sz w:val="21"/>
                <w:szCs w:val="21"/>
                <w:lang w:val="en-US" w:eastAsia="zh-CN"/>
              </w:rPr>
              <w:t>拟投入</w:t>
            </w:r>
            <w:r>
              <w:rPr>
                <w:rFonts w:hint="eastAsia" w:ascii="宋体" w:hAnsi="宋体" w:eastAsia="宋体" w:cs="宋体"/>
                <w:snapToGrid w:val="0"/>
                <w:color w:val="auto"/>
                <w:spacing w:val="0"/>
                <w:kern w:val="2"/>
                <w:sz w:val="21"/>
                <w:szCs w:val="21"/>
              </w:rPr>
              <w:t>设备配备</w:t>
            </w:r>
          </w:p>
        </w:tc>
        <w:tc>
          <w:tcPr>
            <w:tcW w:w="5953" w:type="dxa"/>
            <w:shd w:val="clear" w:color="auto" w:fill="auto"/>
            <w:vAlign w:val="center"/>
          </w:tcPr>
          <w:p w14:paraId="735106ED">
            <w:pPr>
              <w:pStyle w:val="21"/>
              <w:spacing w:line="320" w:lineRule="exact"/>
              <w:jc w:val="left"/>
              <w:rPr>
                <w:rFonts w:hint="eastAsia" w:ascii="宋体" w:hAnsi="宋体" w:eastAsia="宋体" w:cs="宋体"/>
                <w:snapToGrid w:val="0"/>
                <w:color w:val="auto"/>
                <w:kern w:val="2"/>
                <w:sz w:val="21"/>
                <w:szCs w:val="21"/>
                <w:lang w:val="en-US" w:eastAsia="zh-CN" w:bidi="zh-CN"/>
              </w:rPr>
            </w:pPr>
            <w:r>
              <w:rPr>
                <w:rFonts w:hint="eastAsia" w:ascii="宋体" w:hAnsi="宋体" w:eastAsia="宋体" w:cs="宋体"/>
                <w:snapToGrid w:val="0"/>
                <w:color w:val="auto"/>
                <w:sz w:val="21"/>
                <w:szCs w:val="21"/>
                <w:lang w:val="en-US" w:eastAsia="zh-CN"/>
              </w:rPr>
              <w:t>磋商响应人</w:t>
            </w:r>
            <w:r>
              <w:rPr>
                <w:rFonts w:hint="eastAsia" w:ascii="宋体" w:hAnsi="宋体" w:eastAsia="宋体" w:cs="宋体"/>
                <w:snapToGrid w:val="0"/>
                <w:color w:val="auto"/>
                <w:spacing w:val="0"/>
                <w:kern w:val="2"/>
                <w:sz w:val="21"/>
                <w:szCs w:val="21"/>
              </w:rPr>
              <w:t>按岗位、人员数量等各项要求配备保安人员所使用警械、对讲机等装备数量合理充裕得</w:t>
            </w:r>
            <w:r>
              <w:rPr>
                <w:rFonts w:hint="eastAsia" w:ascii="宋体" w:hAnsi="宋体" w:eastAsia="宋体" w:cs="宋体"/>
                <w:snapToGrid w:val="0"/>
                <w:color w:val="auto"/>
                <w:spacing w:val="0"/>
                <w:kern w:val="2"/>
                <w:sz w:val="21"/>
                <w:szCs w:val="21"/>
                <w:lang w:val="en-US" w:eastAsia="zh-CN"/>
              </w:rPr>
              <w:t>4-6</w:t>
            </w:r>
            <w:r>
              <w:rPr>
                <w:rFonts w:hint="eastAsia" w:ascii="宋体" w:hAnsi="宋体" w:eastAsia="宋体" w:cs="宋体"/>
                <w:snapToGrid w:val="0"/>
                <w:color w:val="auto"/>
                <w:spacing w:val="0"/>
                <w:kern w:val="2"/>
                <w:sz w:val="21"/>
                <w:szCs w:val="21"/>
              </w:rPr>
              <w:t>分；</w:t>
            </w:r>
            <w:r>
              <w:rPr>
                <w:rFonts w:hint="eastAsia" w:ascii="宋体" w:hAnsi="宋体" w:eastAsia="宋体" w:cs="宋体"/>
                <w:snapToGrid w:val="0"/>
                <w:color w:val="auto"/>
                <w:sz w:val="21"/>
                <w:szCs w:val="21"/>
                <w:lang w:val="en-US" w:eastAsia="zh-CN"/>
              </w:rPr>
              <w:t>磋商响应人</w:t>
            </w:r>
            <w:r>
              <w:rPr>
                <w:rFonts w:hint="eastAsia" w:ascii="宋体" w:hAnsi="宋体" w:eastAsia="宋体" w:cs="宋体"/>
                <w:snapToGrid w:val="0"/>
                <w:color w:val="auto"/>
                <w:spacing w:val="0"/>
                <w:kern w:val="2"/>
                <w:sz w:val="21"/>
                <w:szCs w:val="21"/>
              </w:rPr>
              <w:t>按岗位、人员数量等各项要求配备保安人员所使用警械、对讲机等装备数量较为合理充裕得</w:t>
            </w:r>
            <w:r>
              <w:rPr>
                <w:rFonts w:hint="eastAsia" w:ascii="宋体" w:hAnsi="宋体" w:eastAsia="宋体" w:cs="宋体"/>
                <w:snapToGrid w:val="0"/>
                <w:color w:val="auto"/>
                <w:spacing w:val="0"/>
                <w:kern w:val="2"/>
                <w:sz w:val="21"/>
                <w:szCs w:val="21"/>
                <w:lang w:val="en-US" w:eastAsia="zh-CN"/>
              </w:rPr>
              <w:t>2-4</w:t>
            </w:r>
            <w:r>
              <w:rPr>
                <w:rFonts w:hint="eastAsia" w:ascii="宋体" w:hAnsi="宋体" w:eastAsia="宋体" w:cs="宋体"/>
                <w:snapToGrid w:val="0"/>
                <w:color w:val="auto"/>
                <w:spacing w:val="0"/>
                <w:kern w:val="2"/>
                <w:sz w:val="21"/>
                <w:szCs w:val="21"/>
              </w:rPr>
              <w:t>分；</w:t>
            </w:r>
            <w:r>
              <w:rPr>
                <w:rFonts w:hint="eastAsia" w:ascii="宋体" w:hAnsi="宋体" w:eastAsia="宋体" w:cs="宋体"/>
                <w:snapToGrid w:val="0"/>
                <w:color w:val="auto"/>
                <w:sz w:val="21"/>
                <w:szCs w:val="21"/>
                <w:lang w:val="en-US" w:eastAsia="zh-CN"/>
              </w:rPr>
              <w:t>磋商响应人</w:t>
            </w:r>
            <w:r>
              <w:rPr>
                <w:rFonts w:hint="eastAsia" w:ascii="宋体" w:hAnsi="宋体" w:eastAsia="宋体" w:cs="宋体"/>
                <w:snapToGrid w:val="0"/>
                <w:color w:val="auto"/>
                <w:spacing w:val="0"/>
                <w:kern w:val="2"/>
                <w:sz w:val="21"/>
                <w:szCs w:val="21"/>
              </w:rPr>
              <w:t>按岗位、人员数量等各项要求配备保安人员所使用警械、对讲机等装备数量较少、不</w:t>
            </w:r>
            <w:r>
              <w:rPr>
                <w:rFonts w:hint="eastAsia" w:ascii="宋体" w:hAnsi="宋体" w:eastAsia="宋体" w:cs="宋体"/>
                <w:snapToGrid w:val="0"/>
                <w:color w:val="auto"/>
                <w:spacing w:val="0"/>
                <w:kern w:val="2"/>
                <w:sz w:val="21"/>
                <w:szCs w:val="21"/>
                <w:lang w:val="en-US" w:eastAsia="zh-CN"/>
              </w:rPr>
              <w:t>太</w:t>
            </w:r>
            <w:r>
              <w:rPr>
                <w:rFonts w:hint="eastAsia" w:ascii="宋体" w:hAnsi="宋体" w:eastAsia="宋体" w:cs="宋体"/>
                <w:snapToGrid w:val="0"/>
                <w:color w:val="auto"/>
                <w:spacing w:val="0"/>
                <w:kern w:val="2"/>
                <w:sz w:val="21"/>
                <w:szCs w:val="21"/>
              </w:rPr>
              <w:t>充裕得</w:t>
            </w:r>
            <w:r>
              <w:rPr>
                <w:rFonts w:hint="eastAsia" w:ascii="宋体" w:hAnsi="宋体" w:eastAsia="宋体" w:cs="宋体"/>
                <w:snapToGrid w:val="0"/>
                <w:color w:val="auto"/>
                <w:spacing w:val="0"/>
                <w:kern w:val="2"/>
                <w:sz w:val="21"/>
                <w:szCs w:val="21"/>
                <w:lang w:val="en-US" w:eastAsia="zh-CN"/>
              </w:rPr>
              <w:t>0-2</w:t>
            </w:r>
            <w:r>
              <w:rPr>
                <w:rFonts w:hint="eastAsia" w:ascii="宋体" w:hAnsi="宋体" w:eastAsia="宋体" w:cs="宋体"/>
                <w:snapToGrid w:val="0"/>
                <w:color w:val="auto"/>
                <w:spacing w:val="0"/>
                <w:kern w:val="2"/>
                <w:sz w:val="21"/>
                <w:szCs w:val="21"/>
              </w:rPr>
              <w:t>分；未提供此项内容的不得分。</w:t>
            </w:r>
          </w:p>
        </w:tc>
        <w:tc>
          <w:tcPr>
            <w:tcW w:w="1207" w:type="dxa"/>
            <w:shd w:val="clear" w:color="auto" w:fill="auto"/>
            <w:vAlign w:val="center"/>
          </w:tcPr>
          <w:p w14:paraId="49731999">
            <w:pPr>
              <w:pStyle w:val="21"/>
              <w:spacing w:line="320" w:lineRule="exact"/>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spacing w:val="0"/>
                <w:kern w:val="2"/>
                <w:sz w:val="21"/>
                <w:szCs w:val="21"/>
              </w:rPr>
              <w:t>0-</w:t>
            </w:r>
            <w:r>
              <w:rPr>
                <w:rFonts w:hint="eastAsia" w:ascii="宋体" w:hAnsi="宋体" w:eastAsia="宋体" w:cs="宋体"/>
                <w:snapToGrid w:val="0"/>
                <w:color w:val="auto"/>
                <w:sz w:val="21"/>
                <w:szCs w:val="21"/>
              </w:rPr>
              <w:t>6分</w:t>
            </w:r>
          </w:p>
        </w:tc>
      </w:tr>
      <w:tr w14:paraId="7368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CDC84D">
            <w:pPr>
              <w:pStyle w:val="15"/>
              <w:ind w:firstLine="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8</w:t>
            </w:r>
          </w:p>
        </w:tc>
        <w:tc>
          <w:tcPr>
            <w:tcW w:w="1985" w:type="dxa"/>
            <w:shd w:val="clear" w:color="auto" w:fill="auto"/>
            <w:vAlign w:val="center"/>
          </w:tcPr>
          <w:p w14:paraId="75743ACC">
            <w:pPr>
              <w:pStyle w:val="4"/>
              <w:jc w:val="center"/>
              <w:rPr>
                <w:rFonts w:hint="eastAsia" w:hAnsi="宋体" w:eastAsia="宋体"/>
                <w:b w:val="0"/>
                <w:bCs/>
                <w:color w:val="auto"/>
                <w:spacing w:val="11"/>
                <w:sz w:val="21"/>
                <w:szCs w:val="21"/>
                <w:u w:val="none"/>
                <w:lang w:val="en-US" w:eastAsia="zh-CN"/>
              </w:rPr>
            </w:pPr>
            <w:r>
              <w:rPr>
                <w:rFonts w:hint="eastAsia" w:hAnsi="宋体"/>
                <w:b w:val="0"/>
                <w:bCs/>
                <w:color w:val="auto"/>
                <w:spacing w:val="11"/>
                <w:sz w:val="21"/>
                <w:szCs w:val="21"/>
                <w:u w:val="none"/>
              </w:rPr>
              <w:t>拟投入的项目</w:t>
            </w:r>
            <w:r>
              <w:rPr>
                <w:rFonts w:hint="eastAsia" w:hAnsi="宋体"/>
                <w:b w:val="0"/>
                <w:bCs/>
                <w:color w:val="auto"/>
                <w:spacing w:val="11"/>
                <w:sz w:val="21"/>
                <w:szCs w:val="21"/>
                <w:u w:val="none"/>
                <w:lang w:val="en-US" w:eastAsia="zh-CN"/>
              </w:rPr>
              <w:t>组成人员</w:t>
            </w:r>
          </w:p>
          <w:p w14:paraId="404D4A89">
            <w:pPr>
              <w:widowControl/>
              <w:spacing w:line="320" w:lineRule="exact"/>
              <w:jc w:val="center"/>
              <w:rPr>
                <w:rFonts w:hint="eastAsia" w:ascii="宋体" w:hAnsi="宋体" w:eastAsia="宋体" w:cs="宋体"/>
                <w:color w:val="auto"/>
                <w:kern w:val="2"/>
                <w:sz w:val="21"/>
                <w:szCs w:val="21"/>
                <w:lang w:val="en-US" w:eastAsia="zh-CN" w:bidi="ar-SA"/>
              </w:rPr>
            </w:pPr>
          </w:p>
        </w:tc>
        <w:tc>
          <w:tcPr>
            <w:tcW w:w="5953" w:type="dxa"/>
            <w:shd w:val="clear" w:color="auto" w:fill="auto"/>
            <w:vAlign w:val="center"/>
          </w:tcPr>
          <w:p w14:paraId="210A7D23">
            <w:pPr>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lang w:val="en-US" w:eastAsia="zh-CN"/>
              </w:rPr>
              <w:t>磋商响应人拟派的保安人员中，</w:t>
            </w:r>
            <w:r>
              <w:rPr>
                <w:rFonts w:hint="default" w:ascii="宋体" w:hAnsi="宋体" w:eastAsia="宋体" w:cs="宋体"/>
                <w:color w:val="auto"/>
                <w:szCs w:val="21"/>
                <w:highlight w:val="none"/>
                <w:lang w:val="en-US" w:eastAsia="zh-CN"/>
              </w:rPr>
              <w:t>持有上岗证的并经过岗前培训的保安中持有中级以上保安职业资格证的每</w:t>
            </w:r>
            <w:r>
              <w:rPr>
                <w:rFonts w:hint="eastAsia" w:ascii="宋体" w:hAnsi="宋体" w:eastAsia="宋体" w:cs="宋体"/>
                <w:color w:val="auto"/>
                <w:szCs w:val="21"/>
                <w:highlight w:val="none"/>
                <w:lang w:val="en-US" w:eastAsia="zh-CN"/>
              </w:rPr>
              <w:t>有</w:t>
            </w:r>
            <w:r>
              <w:rPr>
                <w:rFonts w:hint="default" w:ascii="宋体" w:hAnsi="宋体" w:eastAsia="宋体" w:cs="宋体"/>
                <w:color w:val="auto"/>
                <w:szCs w:val="21"/>
                <w:highlight w:val="none"/>
                <w:lang w:val="en-US" w:eastAsia="zh-CN"/>
              </w:rPr>
              <w:t>1人得0.5分，持有建（构）筑物消防员证每</w:t>
            </w:r>
            <w:r>
              <w:rPr>
                <w:rFonts w:hint="eastAsia" w:ascii="宋体" w:hAnsi="宋体" w:eastAsia="宋体" w:cs="宋体"/>
                <w:color w:val="auto"/>
                <w:szCs w:val="21"/>
                <w:highlight w:val="none"/>
                <w:lang w:val="en-US" w:eastAsia="zh-CN"/>
              </w:rPr>
              <w:t>有</w:t>
            </w:r>
            <w:r>
              <w:rPr>
                <w:rFonts w:hint="default" w:ascii="宋体" w:hAnsi="宋体" w:eastAsia="宋体" w:cs="宋体"/>
                <w:color w:val="auto"/>
                <w:szCs w:val="21"/>
                <w:highlight w:val="none"/>
                <w:lang w:val="en-US" w:eastAsia="zh-CN"/>
              </w:rPr>
              <w:t>1人得1分，最高不超过3分；</w:t>
            </w:r>
            <w:bookmarkStart w:id="74" w:name="_GoBack"/>
            <w:bookmarkEnd w:id="74"/>
          </w:p>
          <w:p w14:paraId="697E2E47">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lang w:val="en-US" w:eastAsia="zh-CN"/>
              </w:rPr>
              <w:t>磋商响应人拟派的保安人员中</w:t>
            </w:r>
            <w:r>
              <w:rPr>
                <w:rFonts w:hint="eastAsia" w:ascii="宋体" w:hAnsi="宋体" w:eastAsia="宋体" w:cs="宋体"/>
                <w:color w:val="auto"/>
                <w:szCs w:val="21"/>
                <w:highlight w:val="none"/>
                <w:lang w:val="en-US" w:eastAsia="zh-CN"/>
              </w:rPr>
              <w:t>获得过“市级优秀保安员”称号的得1分，“省级优秀保安员”称号的得2分，不累计得分，以最高荣誉计，最高得分不超过2分。</w:t>
            </w:r>
          </w:p>
          <w:p w14:paraId="4A9C44FF">
            <w:pPr>
              <w:numPr>
                <w:ilvl w:val="-1"/>
                <w:numId w:val="0"/>
              </w:numPr>
              <w:spacing w:line="24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lang w:val="en-US" w:eastAsia="zh-CN"/>
              </w:rPr>
              <w:t>注：提供人员证书及磋商响应截止日期前三个月任一其中一个月的社保缴纳证明材料，不提供或提供不齐全的均不得分。</w:t>
            </w:r>
          </w:p>
        </w:tc>
        <w:tc>
          <w:tcPr>
            <w:tcW w:w="1207" w:type="dxa"/>
            <w:shd w:val="clear" w:color="auto" w:fill="auto"/>
            <w:vAlign w:val="center"/>
          </w:tcPr>
          <w:p w14:paraId="3FFED608">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14:paraId="2A7B6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EE4C52F">
            <w:pPr>
              <w:pStyle w:val="15"/>
              <w:ind w:firstLine="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9</w:t>
            </w:r>
          </w:p>
        </w:tc>
        <w:tc>
          <w:tcPr>
            <w:tcW w:w="1985" w:type="dxa"/>
            <w:shd w:val="clear" w:color="auto" w:fill="auto"/>
            <w:vAlign w:val="center"/>
          </w:tcPr>
          <w:p w14:paraId="34008D39">
            <w:pPr>
              <w:widowControl/>
              <w:spacing w:line="240" w:lineRule="auto"/>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体系认证</w:t>
            </w:r>
          </w:p>
        </w:tc>
        <w:tc>
          <w:tcPr>
            <w:tcW w:w="5953" w:type="dxa"/>
            <w:shd w:val="clear" w:color="auto" w:fill="auto"/>
            <w:vAlign w:val="center"/>
          </w:tcPr>
          <w:p w14:paraId="4C4BCF1E">
            <w:pPr>
              <w:spacing w:line="24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磋商响应人</w:t>
            </w:r>
            <w:r>
              <w:rPr>
                <w:rFonts w:hint="default"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有效的</w:t>
            </w:r>
            <w:r>
              <w:rPr>
                <w:rFonts w:hint="default" w:ascii="宋体" w:hAnsi="宋体" w:eastAsia="宋体" w:cs="宋体"/>
                <w:color w:val="auto"/>
                <w:szCs w:val="21"/>
                <w:highlight w:val="none"/>
                <w:shd w:val="clear"/>
              </w:rPr>
              <w:t>质量管理体系认证证书、</w:t>
            </w:r>
            <w:r>
              <w:rPr>
                <w:rFonts w:hint="eastAsia" w:ascii="宋体" w:hAnsi="宋体" w:eastAsia="宋体" w:cs="宋体"/>
                <w:color w:val="auto"/>
                <w:szCs w:val="21"/>
                <w:highlight w:val="none"/>
                <w:lang w:val="en-US" w:eastAsia="zh-CN"/>
              </w:rPr>
              <w:t>有效的</w:t>
            </w:r>
            <w:r>
              <w:rPr>
                <w:rFonts w:hint="default" w:ascii="宋体" w:hAnsi="宋体" w:eastAsia="宋体" w:cs="宋体"/>
                <w:color w:val="auto"/>
                <w:szCs w:val="21"/>
                <w:highlight w:val="none"/>
                <w:shd w:val="clear"/>
              </w:rPr>
              <w:t>环境管理体系认证证书，</w:t>
            </w:r>
            <w:r>
              <w:rPr>
                <w:rFonts w:hint="eastAsia" w:ascii="宋体" w:hAnsi="宋体" w:eastAsia="宋体" w:cs="宋体"/>
                <w:color w:val="auto"/>
                <w:szCs w:val="21"/>
                <w:highlight w:val="none"/>
                <w:lang w:val="en-US" w:eastAsia="zh-CN"/>
              </w:rPr>
              <w:t>有效的</w:t>
            </w:r>
            <w:r>
              <w:rPr>
                <w:rFonts w:hint="default" w:ascii="宋体" w:hAnsi="宋体" w:eastAsia="宋体" w:cs="宋体"/>
                <w:color w:val="auto"/>
                <w:szCs w:val="21"/>
                <w:highlight w:val="none"/>
                <w:shd w:val="clear"/>
              </w:rPr>
              <w:t>职业健康安全管理体系认证证书</w:t>
            </w:r>
            <w:r>
              <w:rPr>
                <w:rFonts w:hint="default" w:ascii="宋体" w:hAnsi="宋体" w:eastAsia="宋体" w:cs="宋体"/>
                <w:color w:val="auto"/>
                <w:szCs w:val="21"/>
                <w:highlight w:val="none"/>
                <w:shd w:val="clear"/>
                <w:lang w:eastAsia="zh-CN"/>
              </w:rPr>
              <w:t>，</w:t>
            </w:r>
            <w:r>
              <w:rPr>
                <w:rFonts w:hint="default" w:ascii="宋体" w:hAnsi="宋体" w:eastAsia="宋体" w:cs="宋体"/>
                <w:color w:val="auto"/>
                <w:kern w:val="2"/>
                <w:sz w:val="21"/>
                <w:szCs w:val="21"/>
                <w:highlight w:val="none"/>
                <w:lang w:val="en-US" w:eastAsia="zh-CN" w:bidi="ar-SA"/>
              </w:rPr>
              <w:t>每个得1分，最多得3分。</w:t>
            </w:r>
          </w:p>
          <w:p w14:paraId="618B74F9">
            <w:pPr>
              <w:spacing w:line="240" w:lineRule="auto"/>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注：①认证证书须在国家市场监督管理总局全国认证认可信息公共服务平台（www.cnca.gov.cn）可查询，且证书状态须为有效，否则不得分。</w:t>
            </w:r>
          </w:p>
          <w:p w14:paraId="17E9A49B">
            <w:pPr>
              <w:numPr>
                <w:ilvl w:val="-1"/>
                <w:numId w:val="0"/>
              </w:numPr>
              <w:spacing w:line="240" w:lineRule="auto"/>
              <w:ind w:left="0" w:leftChars="0" w:firstLine="0" w:firstLineChars="0"/>
              <w:jc w:val="left"/>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②提供相关证书及认证证书查询截图复印件加盖供应商公章，未提供的不得分。</w:t>
            </w:r>
          </w:p>
        </w:tc>
        <w:tc>
          <w:tcPr>
            <w:tcW w:w="1207" w:type="dxa"/>
            <w:shd w:val="clear" w:color="auto" w:fill="auto"/>
            <w:vAlign w:val="center"/>
          </w:tcPr>
          <w:p w14:paraId="75D0A896">
            <w:pPr>
              <w:spacing w:line="3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0-3分</w:t>
            </w:r>
          </w:p>
        </w:tc>
      </w:tr>
      <w:tr w14:paraId="303C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2B98BA8">
            <w:pPr>
              <w:pStyle w:val="15"/>
              <w:ind w:firstLine="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10</w:t>
            </w:r>
          </w:p>
        </w:tc>
        <w:tc>
          <w:tcPr>
            <w:tcW w:w="1985" w:type="dxa"/>
            <w:shd w:val="clear" w:color="auto" w:fill="auto"/>
            <w:vAlign w:val="center"/>
          </w:tcPr>
          <w:p w14:paraId="5561CF88">
            <w:pPr>
              <w:widowControl/>
              <w:spacing w:line="240" w:lineRule="auto"/>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Cs w:val="21"/>
                <w:highlight w:val="none"/>
              </w:rPr>
              <w:t>业绩经验</w:t>
            </w:r>
          </w:p>
        </w:tc>
        <w:tc>
          <w:tcPr>
            <w:tcW w:w="5953" w:type="dxa"/>
            <w:shd w:val="clear" w:color="auto" w:fill="auto"/>
            <w:vAlign w:val="center"/>
          </w:tcPr>
          <w:p w14:paraId="3858903D">
            <w:pPr>
              <w:spacing w:line="240" w:lineRule="auto"/>
              <w:jc w:val="left"/>
              <w:rPr>
                <w:rFonts w:ascii="宋体" w:hAnsi="宋体" w:eastAsia="宋体" w:cs="宋体"/>
                <w:color w:val="auto"/>
                <w:szCs w:val="21"/>
                <w:highlight w:val="none"/>
              </w:rPr>
            </w:pPr>
            <w:r>
              <w:rPr>
                <w:rFonts w:hint="default" w:ascii="宋体" w:hAnsi="宋体" w:eastAsia="宋体" w:cs="宋体"/>
                <w:color w:val="auto"/>
                <w:szCs w:val="21"/>
                <w:highlight w:val="none"/>
              </w:rPr>
              <w:t>2022年1月1日至今</w:t>
            </w:r>
            <w:r>
              <w:rPr>
                <w:rFonts w:hint="default" w:ascii="宋体" w:hAnsi="宋体" w:eastAsia="宋体" w:cs="宋体"/>
                <w:color w:val="auto"/>
                <w:kern w:val="2"/>
                <w:szCs w:val="21"/>
                <w:highlight w:val="none"/>
              </w:rPr>
              <w:t>（以合同签订时间为准）</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磋商响应人</w:t>
            </w:r>
            <w:r>
              <w:rPr>
                <w:rFonts w:hint="default" w:ascii="宋体" w:hAnsi="宋体" w:eastAsia="宋体" w:cs="宋体"/>
                <w:color w:val="auto"/>
                <w:szCs w:val="21"/>
                <w:highlight w:val="none"/>
              </w:rPr>
              <w:t>具有类似项目合同业绩的，1个得</w:t>
            </w:r>
            <w:r>
              <w:rPr>
                <w:rFonts w:hint="eastAsia" w:ascii="宋体" w:hAnsi="宋体" w:eastAsia="宋体" w:cs="宋体"/>
                <w:color w:val="auto"/>
                <w:szCs w:val="21"/>
                <w:highlight w:val="none"/>
                <w:lang w:val="en-US" w:eastAsia="zh-CN"/>
              </w:rPr>
              <w:t>0.5</w:t>
            </w:r>
            <w:r>
              <w:rPr>
                <w:rFonts w:hint="default" w:ascii="宋体" w:hAnsi="宋体" w:eastAsia="宋体" w:cs="宋体"/>
                <w:color w:val="auto"/>
                <w:szCs w:val="21"/>
                <w:highlight w:val="none"/>
              </w:rPr>
              <w:t>分，此项最多得</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rPr>
              <w:t>分。</w:t>
            </w:r>
          </w:p>
          <w:p w14:paraId="10AE0AA6">
            <w:pPr>
              <w:numPr>
                <w:ilvl w:val="-1"/>
                <w:numId w:val="0"/>
              </w:numPr>
              <w:spacing w:line="240" w:lineRule="auto"/>
              <w:ind w:left="0" w:leftChars="0" w:firstLine="0" w:firstLineChars="0"/>
              <w:jc w:val="left"/>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color w:val="auto"/>
                <w:szCs w:val="21"/>
                <w:highlight w:val="none"/>
              </w:rPr>
              <w:t>注：须提供合同复印件加盖</w:t>
            </w:r>
            <w:r>
              <w:rPr>
                <w:rFonts w:hint="eastAsia" w:ascii="宋体" w:hAnsi="宋体" w:eastAsia="宋体" w:cs="宋体"/>
                <w:color w:val="auto"/>
                <w:szCs w:val="21"/>
                <w:highlight w:val="none"/>
                <w:lang w:val="en-US" w:eastAsia="zh-CN"/>
              </w:rPr>
              <w:t>磋商响应人</w:t>
            </w:r>
            <w:r>
              <w:rPr>
                <w:rFonts w:hint="default" w:ascii="宋体" w:hAnsi="宋体" w:eastAsia="宋体" w:cs="宋体"/>
                <w:color w:val="auto"/>
                <w:szCs w:val="21"/>
                <w:highlight w:val="none"/>
              </w:rPr>
              <w:t>公章编入磋商响应文件，不提供不得分。</w:t>
            </w:r>
          </w:p>
        </w:tc>
        <w:tc>
          <w:tcPr>
            <w:tcW w:w="1207" w:type="dxa"/>
            <w:shd w:val="clear" w:color="auto" w:fill="auto"/>
            <w:vAlign w:val="center"/>
          </w:tcPr>
          <w:p w14:paraId="78EED31B">
            <w:pPr>
              <w:spacing w:line="32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tc>
      </w:tr>
    </w:tbl>
    <w:p w14:paraId="384D17B5">
      <w:pPr>
        <w:pStyle w:val="15"/>
        <w:ind w:firstLine="0"/>
        <w:rPr>
          <w:rFonts w:hint="eastAsia"/>
          <w:highlight w:val="none"/>
        </w:rPr>
      </w:pPr>
    </w:p>
    <w:p w14:paraId="0AB79ED2">
      <w:pPr>
        <w:adjustRightInd w:val="0"/>
        <w:snapToGrid w:val="0"/>
        <w:spacing w:line="320" w:lineRule="exact"/>
        <w:jc w:val="left"/>
        <w:rPr>
          <w:rFonts w:ascii="宋体" w:hAnsi="宋体" w:eastAsia="宋体" w:cs="宋体"/>
          <w:b/>
          <w:bCs/>
          <w:szCs w:val="21"/>
          <w:highlight w:val="none"/>
        </w:rPr>
      </w:pPr>
      <w:r>
        <w:rPr>
          <w:rFonts w:hint="eastAsia" w:ascii="宋体" w:hAnsi="宋体" w:eastAsia="宋体" w:cs="宋体"/>
          <w:b/>
          <w:bCs/>
          <w:szCs w:val="21"/>
          <w:highlight w:val="none"/>
        </w:rPr>
        <w:t>备注：以上评分项要求的证明材料原则上以磋商响应文件中的复印件为准，若复印件不明确，评审小组以备查的原件为准（自通知起30分钟内未提供原件的相应评分内容按不得分处理）。</w:t>
      </w:r>
      <w:bookmarkStart w:id="46" w:name="_Toc18629"/>
    </w:p>
    <w:p w14:paraId="22C99A88">
      <w:pPr>
        <w:pStyle w:val="22"/>
        <w:spacing w:line="400" w:lineRule="exact"/>
        <w:rPr>
          <w:highlight w:val="none"/>
        </w:rPr>
      </w:pPr>
    </w:p>
    <w:p w14:paraId="11467F87">
      <w:pPr>
        <w:rPr>
          <w:highlight w:val="none"/>
        </w:rPr>
      </w:pPr>
    </w:p>
    <w:p w14:paraId="5141EA80">
      <w:pPr>
        <w:pStyle w:val="22"/>
        <w:rPr>
          <w:highlight w:val="none"/>
        </w:rPr>
      </w:pPr>
    </w:p>
    <w:p w14:paraId="7D5897E3">
      <w:pPr>
        <w:pStyle w:val="53"/>
        <w:ind w:firstLine="210"/>
      </w:pPr>
    </w:p>
    <w:p w14:paraId="4B17D900">
      <w:pPr>
        <w:pStyle w:val="53"/>
        <w:ind w:firstLine="210"/>
      </w:pPr>
    </w:p>
    <w:p w14:paraId="037815F3">
      <w:pPr>
        <w:pStyle w:val="53"/>
        <w:ind w:firstLine="210"/>
      </w:pPr>
    </w:p>
    <w:p w14:paraId="736821C3">
      <w:pPr>
        <w:pStyle w:val="53"/>
        <w:ind w:firstLine="210"/>
      </w:pPr>
    </w:p>
    <w:p w14:paraId="35EC1CF1">
      <w:pPr>
        <w:pStyle w:val="53"/>
        <w:ind w:firstLine="210"/>
      </w:pPr>
    </w:p>
    <w:p w14:paraId="4B94E726">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第五章  合同协议书</w:t>
      </w:r>
      <w:bookmarkEnd w:id="46"/>
    </w:p>
    <w:p w14:paraId="4CD6DF28">
      <w:pPr>
        <w:pStyle w:val="2"/>
        <w:spacing w:before="0" w:after="0" w:line="320" w:lineRule="exact"/>
        <w:jc w:val="center"/>
        <w:rPr>
          <w:rFonts w:ascii="宋体" w:hAnsi="宋体" w:cs="宋体"/>
          <w:sz w:val="21"/>
          <w:szCs w:val="21"/>
        </w:rPr>
      </w:pPr>
      <w:bookmarkStart w:id="47" w:name="_Toc18373"/>
      <w:r>
        <w:rPr>
          <w:rFonts w:hint="eastAsia" w:ascii="宋体" w:hAnsi="宋体" w:cs="宋体"/>
          <w:bCs w:val="0"/>
          <w:sz w:val="21"/>
          <w:szCs w:val="21"/>
        </w:rPr>
        <w:t>（</w:t>
      </w:r>
      <w:r>
        <w:rPr>
          <w:rFonts w:hint="eastAsia" w:ascii="宋体" w:hAnsi="宋体" w:cs="宋体"/>
          <w:sz w:val="21"/>
          <w:szCs w:val="21"/>
        </w:rPr>
        <w:t>供参考）</w:t>
      </w:r>
      <w:bookmarkEnd w:id="47"/>
    </w:p>
    <w:p w14:paraId="2453E85F">
      <w:pPr>
        <w:pStyle w:val="28"/>
        <w:spacing w:beforeLines="0" w:afterLines="0" w:line="360" w:lineRule="exact"/>
        <w:ind w:firstLine="420" w:firstLineChars="200"/>
        <w:jc w:val="left"/>
        <w:rPr>
          <w:rFonts w:hAnsi="宋体" w:cs="宋体"/>
          <w:sz w:val="21"/>
          <w:szCs w:val="21"/>
          <w:lang w:val="zh-CN"/>
        </w:rPr>
      </w:pPr>
    </w:p>
    <w:p w14:paraId="28E949FE">
      <w:pPr>
        <w:spacing w:line="360" w:lineRule="auto"/>
        <w:rPr>
          <w:rFonts w:ascii="宋体" w:hAnsi="宋体" w:eastAsia="宋体" w:cs="宋体"/>
          <w:color w:val="000000"/>
          <w:szCs w:val="21"/>
        </w:rPr>
      </w:pPr>
      <w:r>
        <w:rPr>
          <w:rFonts w:hint="eastAsia" w:ascii="宋体" w:hAnsi="宋体" w:eastAsia="宋体" w:cs="宋体"/>
          <w:color w:val="000000"/>
          <w:szCs w:val="21"/>
        </w:rPr>
        <w:t>项目编号：</w:t>
      </w:r>
    </w:p>
    <w:p w14:paraId="3273E655">
      <w:pPr>
        <w:spacing w:line="360" w:lineRule="auto"/>
        <w:rPr>
          <w:rFonts w:ascii="宋体" w:hAnsi="宋体" w:eastAsia="宋体" w:cs="宋体"/>
          <w:color w:val="000000"/>
          <w:szCs w:val="21"/>
        </w:rPr>
      </w:pPr>
    </w:p>
    <w:p w14:paraId="29A39639">
      <w:pPr>
        <w:spacing w:line="360" w:lineRule="auto"/>
        <w:rPr>
          <w:rFonts w:ascii="宋体" w:hAnsi="宋体" w:eastAsia="宋体" w:cs="宋体"/>
          <w:color w:val="000000"/>
          <w:szCs w:val="21"/>
        </w:rPr>
      </w:pPr>
    </w:p>
    <w:p w14:paraId="1A8D399B">
      <w:pPr>
        <w:spacing w:line="360" w:lineRule="auto"/>
        <w:rPr>
          <w:rFonts w:ascii="宋体" w:hAnsi="宋体" w:eastAsia="宋体" w:cs="宋体"/>
          <w:color w:val="000000"/>
          <w:szCs w:val="21"/>
        </w:rPr>
      </w:pPr>
    </w:p>
    <w:p w14:paraId="087B5741">
      <w:pPr>
        <w:spacing w:line="360" w:lineRule="auto"/>
        <w:rPr>
          <w:rFonts w:ascii="宋体" w:hAnsi="宋体" w:eastAsia="宋体" w:cs="宋体"/>
          <w:color w:val="000000"/>
          <w:szCs w:val="21"/>
        </w:rPr>
      </w:pPr>
    </w:p>
    <w:p w14:paraId="148A9E80">
      <w:pPr>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合  同  书</w:t>
      </w:r>
    </w:p>
    <w:p w14:paraId="248423A2">
      <w:pPr>
        <w:spacing w:line="360" w:lineRule="auto"/>
        <w:rPr>
          <w:rFonts w:ascii="宋体" w:hAnsi="宋体" w:eastAsia="宋体" w:cs="宋体"/>
          <w:color w:val="000000"/>
          <w:szCs w:val="21"/>
        </w:rPr>
      </w:pPr>
    </w:p>
    <w:p w14:paraId="1E70F640">
      <w:pPr>
        <w:spacing w:line="360" w:lineRule="auto"/>
        <w:rPr>
          <w:rFonts w:ascii="宋体" w:hAnsi="宋体" w:eastAsia="宋体" w:cs="宋体"/>
          <w:color w:val="000000"/>
          <w:szCs w:val="21"/>
        </w:rPr>
      </w:pPr>
    </w:p>
    <w:p w14:paraId="649E2983">
      <w:pPr>
        <w:spacing w:line="360" w:lineRule="auto"/>
        <w:rPr>
          <w:rFonts w:ascii="宋体" w:hAnsi="宋体" w:eastAsia="宋体" w:cs="宋体"/>
          <w:color w:val="000000"/>
          <w:szCs w:val="21"/>
        </w:rPr>
      </w:pPr>
    </w:p>
    <w:p w14:paraId="51329EAD">
      <w:pPr>
        <w:spacing w:line="360" w:lineRule="auto"/>
        <w:rPr>
          <w:rFonts w:ascii="宋体" w:hAnsi="宋体" w:eastAsia="宋体" w:cs="宋体"/>
          <w:color w:val="000000"/>
          <w:szCs w:val="21"/>
        </w:rPr>
      </w:pPr>
    </w:p>
    <w:p w14:paraId="2110A1BB">
      <w:pPr>
        <w:spacing w:line="360" w:lineRule="auto"/>
        <w:rPr>
          <w:rFonts w:ascii="宋体" w:hAnsi="宋体" w:eastAsia="宋体" w:cs="宋体"/>
          <w:color w:val="000000"/>
          <w:szCs w:val="21"/>
        </w:rPr>
      </w:pPr>
    </w:p>
    <w:p w14:paraId="2ACF6483">
      <w:pPr>
        <w:spacing w:line="360" w:lineRule="auto"/>
        <w:rPr>
          <w:rFonts w:ascii="宋体" w:hAnsi="宋体" w:eastAsia="宋体" w:cs="宋体"/>
          <w:color w:val="000000"/>
          <w:szCs w:val="21"/>
        </w:rPr>
      </w:pPr>
    </w:p>
    <w:p w14:paraId="129D0B9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项目名称：</w:t>
      </w:r>
    </w:p>
    <w:p w14:paraId="7B568CE0">
      <w:pPr>
        <w:spacing w:line="360" w:lineRule="auto"/>
        <w:rPr>
          <w:rFonts w:ascii="宋体" w:hAnsi="宋体" w:eastAsia="宋体" w:cs="宋体"/>
          <w:color w:val="000000"/>
          <w:szCs w:val="21"/>
        </w:rPr>
      </w:pPr>
    </w:p>
    <w:p w14:paraId="7C03002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甲    方：</w:t>
      </w:r>
    </w:p>
    <w:p w14:paraId="1DA8D254">
      <w:pPr>
        <w:spacing w:line="360" w:lineRule="auto"/>
        <w:rPr>
          <w:rFonts w:ascii="宋体" w:hAnsi="宋体" w:eastAsia="宋体" w:cs="宋体"/>
          <w:color w:val="000000"/>
          <w:szCs w:val="21"/>
        </w:rPr>
      </w:pPr>
    </w:p>
    <w:p w14:paraId="72ED1F6D">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乙    方：</w:t>
      </w:r>
    </w:p>
    <w:p w14:paraId="09C1E0EB">
      <w:pPr>
        <w:spacing w:line="360" w:lineRule="auto"/>
        <w:rPr>
          <w:rFonts w:ascii="宋体" w:hAnsi="宋体" w:eastAsia="宋体" w:cs="宋体"/>
          <w:color w:val="000000"/>
          <w:szCs w:val="21"/>
        </w:rPr>
      </w:pPr>
    </w:p>
    <w:p w14:paraId="26CF1768">
      <w:pPr>
        <w:spacing w:line="360" w:lineRule="auto"/>
        <w:rPr>
          <w:rFonts w:ascii="宋体" w:hAnsi="宋体" w:eastAsia="宋体" w:cs="宋体"/>
          <w:color w:val="000000"/>
          <w:szCs w:val="21"/>
        </w:rPr>
      </w:pPr>
    </w:p>
    <w:p w14:paraId="0C4AE317">
      <w:pPr>
        <w:spacing w:line="360" w:lineRule="auto"/>
        <w:rPr>
          <w:rFonts w:ascii="宋体" w:hAnsi="宋体" w:eastAsia="宋体" w:cs="宋体"/>
          <w:color w:val="000000"/>
          <w:szCs w:val="21"/>
        </w:rPr>
      </w:pPr>
    </w:p>
    <w:p w14:paraId="039BC466">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签订地点：浙江省湖州市长兴县</w:t>
      </w:r>
    </w:p>
    <w:p w14:paraId="07F43A44">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签订日期：    年    月   日</w:t>
      </w:r>
    </w:p>
    <w:p w14:paraId="1D9F05A4">
      <w:pPr>
        <w:spacing w:line="360" w:lineRule="auto"/>
        <w:rPr>
          <w:rFonts w:ascii="宋体" w:hAnsi="宋体" w:eastAsia="宋体" w:cs="宋体"/>
          <w:color w:val="000000"/>
          <w:szCs w:val="21"/>
        </w:rPr>
      </w:pPr>
    </w:p>
    <w:p w14:paraId="015F8B7A">
      <w:pPr>
        <w:spacing w:line="360" w:lineRule="auto"/>
        <w:rPr>
          <w:rFonts w:ascii="宋体" w:hAnsi="宋体" w:eastAsia="宋体" w:cs="宋体"/>
          <w:color w:val="000000"/>
          <w:szCs w:val="21"/>
        </w:rPr>
      </w:pPr>
    </w:p>
    <w:p w14:paraId="3F07F9C4">
      <w:pPr>
        <w:spacing w:line="360" w:lineRule="auto"/>
        <w:rPr>
          <w:rFonts w:ascii="宋体" w:hAnsi="宋体" w:eastAsia="宋体" w:cs="宋体"/>
          <w:color w:val="000000"/>
          <w:szCs w:val="21"/>
        </w:rPr>
      </w:pPr>
    </w:p>
    <w:p w14:paraId="7A6CFD06">
      <w:pPr>
        <w:pStyle w:val="53"/>
        <w:ind w:firstLine="210"/>
        <w:rPr>
          <w:rFonts w:cs="宋体"/>
          <w:color w:val="000000"/>
          <w:szCs w:val="21"/>
        </w:rPr>
      </w:pPr>
    </w:p>
    <w:p w14:paraId="0ABDBD77">
      <w:pPr>
        <w:rPr>
          <w:rFonts w:cs="宋体"/>
          <w:color w:val="000000"/>
          <w:szCs w:val="21"/>
        </w:rPr>
      </w:pPr>
    </w:p>
    <w:p w14:paraId="49F1E973">
      <w:pPr>
        <w:rPr>
          <w:rFonts w:cs="宋体"/>
          <w:color w:val="000000"/>
          <w:szCs w:val="21"/>
        </w:rPr>
      </w:pPr>
    </w:p>
    <w:p w14:paraId="6536EE5C">
      <w:pPr>
        <w:rPr>
          <w:rFonts w:cs="宋体"/>
          <w:color w:val="000000"/>
          <w:szCs w:val="21"/>
        </w:rPr>
      </w:pPr>
    </w:p>
    <w:p w14:paraId="3CE7AC6C">
      <w:pPr>
        <w:rPr>
          <w:rFonts w:cs="宋体"/>
          <w:color w:val="000000"/>
          <w:szCs w:val="21"/>
        </w:rPr>
      </w:pPr>
    </w:p>
    <w:p w14:paraId="7EA95BE9">
      <w:pPr>
        <w:pStyle w:val="15"/>
      </w:pPr>
    </w:p>
    <w:p w14:paraId="6C9C4838">
      <w:pPr>
        <w:rPr>
          <w:rFonts w:cs="宋体"/>
          <w:color w:val="000000"/>
          <w:szCs w:val="21"/>
        </w:rPr>
      </w:pPr>
    </w:p>
    <w:p w14:paraId="3A29FAB7">
      <w:pPr>
        <w:pStyle w:val="22"/>
      </w:pPr>
    </w:p>
    <w:p w14:paraId="7C1F1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采购人（以下称甲方）：</w:t>
      </w:r>
    </w:p>
    <w:p w14:paraId="2C7E08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供应商（以下称乙方）：</w:t>
      </w:r>
    </w:p>
    <w:p w14:paraId="407B51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30" w:firstLineChars="3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根据《中华人民共和国政府采购法》、《中华人民共和国民法典》等法律法规的规定，甲乙双方按照 </w:t>
      </w:r>
      <w:r>
        <w:rPr>
          <w:rFonts w:hint="eastAsia" w:ascii="宋体" w:hAnsi="宋体" w:eastAsia="宋体" w:cs="宋体"/>
          <w:color w:val="000000"/>
          <w:kern w:val="0"/>
          <w:szCs w:val="21"/>
          <w:u w:val="single"/>
        </w:rPr>
        <w:t xml:space="preserve">                          采</w:t>
      </w:r>
      <w:r>
        <w:rPr>
          <w:rFonts w:hint="eastAsia" w:ascii="宋体" w:hAnsi="宋体" w:eastAsia="宋体" w:cs="宋体"/>
          <w:color w:val="000000"/>
          <w:kern w:val="0"/>
          <w:szCs w:val="21"/>
        </w:rPr>
        <w:t>购结果签订本合同。</w:t>
      </w:r>
    </w:p>
    <w:p w14:paraId="6354629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default" w:ascii="宋体" w:hAnsi="宋体" w:eastAsia="宋体" w:cs="宋体"/>
          <w:b/>
          <w:bCs w:val="0"/>
          <w:sz w:val="21"/>
          <w:szCs w:val="21"/>
        </w:rPr>
      </w:pPr>
      <w:r>
        <w:rPr>
          <w:rFonts w:hint="eastAsia" w:ascii="宋体" w:hAnsi="宋体" w:eastAsia="宋体" w:cs="宋体"/>
          <w:b/>
          <w:bCs w:val="0"/>
          <w:sz w:val="21"/>
          <w:szCs w:val="21"/>
        </w:rPr>
        <w:t>一、</w:t>
      </w:r>
      <w:r>
        <w:rPr>
          <w:rFonts w:hint="eastAsia" w:ascii="宋体" w:hAnsi="宋体" w:eastAsia="宋体" w:cs="宋体"/>
          <w:b/>
          <w:bCs w:val="0"/>
          <w:sz w:val="21"/>
          <w:szCs w:val="21"/>
          <w:lang w:val="en-US" w:eastAsia="zh-CN"/>
        </w:rPr>
        <w:t>服务内容</w:t>
      </w:r>
    </w:p>
    <w:p w14:paraId="259826A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1.乙方同意按甲方需要，为甲方提供安保服务，完成该岗位所承</w:t>
      </w:r>
      <w:r>
        <w:rPr>
          <w:rFonts w:hint="eastAsia" w:ascii="宋体" w:hAnsi="宋体" w:eastAsia="宋体" w:cs="宋体"/>
          <w:b w:val="0"/>
          <w:bCs/>
          <w:sz w:val="21"/>
          <w:szCs w:val="21"/>
          <w:highlight w:val="none"/>
        </w:rPr>
        <w:t>担的各项工作内容。乙方派遣的保安由甲方统一调配执行保安任务，服从甲方的指导，遵守甲方的规章制度,并接受当地</w:t>
      </w:r>
      <w:r>
        <w:rPr>
          <w:rFonts w:hint="eastAsia" w:ascii="宋体" w:hAnsi="宋体" w:eastAsia="宋体" w:cs="宋体"/>
          <w:b w:val="0"/>
          <w:bCs/>
          <w:sz w:val="21"/>
          <w:szCs w:val="21"/>
          <w:highlight w:val="none"/>
          <w:lang w:val="en-US" w:eastAsia="zh-CN"/>
        </w:rPr>
        <w:t>有关部门</w:t>
      </w:r>
      <w:r>
        <w:rPr>
          <w:rFonts w:hint="eastAsia" w:ascii="宋体" w:hAnsi="宋体" w:eastAsia="宋体" w:cs="宋体"/>
          <w:b w:val="0"/>
          <w:bCs/>
          <w:sz w:val="21"/>
          <w:szCs w:val="21"/>
          <w:highlight w:val="none"/>
        </w:rPr>
        <w:t>的监督和管理。在执勤中要严格遵守国家法律、法规和政策，涉及法律问题应提交司法部门处理，严禁越权执勤。</w:t>
      </w:r>
    </w:p>
    <w:p w14:paraId="79CA8FE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2.乙方提供保安服务的工作范围（包括但不仅限于以下所列）：</w:t>
      </w:r>
    </w:p>
    <w:p w14:paraId="7BE34C5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（1）站岗</w:t>
      </w:r>
    </w:p>
    <w:p w14:paraId="3FA9D38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a.固定岗的责任区为：校门，站立值班时间为：学生上下学进出校门期间。</w:t>
      </w:r>
    </w:p>
    <w:p w14:paraId="639ADFE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b.按规范着装（装备）站岗，衣领、扣子、徽章、腰带、帽子、领带等均需整齐；还要人手配备一套防割手套、橡胶警棍、自卫喷雾剂、武装带、警哨等设备，为随身携带设备。</w:t>
      </w:r>
    </w:p>
    <w:p w14:paraId="0CB901E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c.站岗时不得用餐、抽烟、不与人闲聊，不随意接听电话，不做与工作无关的事情，保持良好的形象。</w:t>
      </w:r>
    </w:p>
    <w:p w14:paraId="7696E27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（2）进出人员管理</w:t>
      </w:r>
    </w:p>
    <w:p w14:paraId="6AD5056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a.凡来访人员、学生家长，须问清情况，征得有关人员同意后方可放行，同时做好访客系统登记（或填写好来访登记表）。</w:t>
      </w:r>
    </w:p>
    <w:p w14:paraId="23E357E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学校保卫人员应认真查验进入学校的外来不明人员的相关证件，严禁闲杂人员、推销商品人员、不明身份人员进入学校，确保校园平安。对拒不出示证件或不能证明其身份的外来人员，学校保卫人员有权拒绝其进入学校并做好解释工作。</w:t>
      </w:r>
    </w:p>
    <w:p w14:paraId="4A78115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 根据学校规定时间开放学校大门，不要让学生在校门口逗留。在校时间不允许学生外出，学生确因特殊情况需要出校门时，须有班主任签字的请假条，或有班主任及家长陪同方可离校。学校保卫人员查验后方可放行并将请假条存档备查。</w:t>
      </w:r>
    </w:p>
    <w:p w14:paraId="2811EF9F">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d.教师中途临时进出，应办理临时外出登记手续，如有特殊情况应及时向值周领导反映。</w:t>
      </w:r>
    </w:p>
    <w:p w14:paraId="30BEEE1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（3）车辆准入放行</w:t>
      </w:r>
    </w:p>
    <w:p w14:paraId="00BE5C9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a.学校在正常教育教学工作期间，应关闭好校门。禁止学生在校期间，家长接送学生的自行车、三轮车和机动车辆进入校园。</w:t>
      </w:r>
    </w:p>
    <w:p w14:paraId="0588228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b.确因工作需要进入学校的车辆，需经学校领导同意后，在保卫人员的引导下停放到指定地点，禁止鸣笛，限速行驶，确保师生安全。（特殊车辆可先放行再马上汇报）</w:t>
      </w:r>
    </w:p>
    <w:p w14:paraId="0141245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（4）物品出入查验</w:t>
      </w:r>
    </w:p>
    <w:p w14:paraId="599157C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a.学校保卫人员对进出学校的外来人员携带的物品进行登记，对可疑物品要进行查验，严禁易燃易爆、剧毒、管制刀具等危险物品进入校园。</w:t>
      </w:r>
    </w:p>
    <w:p w14:paraId="54F3C09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b.学校保卫人员对带出学校的大宗物品要请示学校领导同意并查验登记后方可放行。</w:t>
      </w:r>
    </w:p>
    <w:p w14:paraId="08F384F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（5）巡逻</w:t>
      </w:r>
    </w:p>
    <w:p w14:paraId="2475E4C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每天早上开门、放学后关门两个时间点做到定时全校巡逻一遍。另外，条件允许的学校要求在学生在校期间每隔3小时左右对校园内和校门附近开展治安巡逻、安全检查，尤其是学校的校门口、学生宿舍楼、电脑房、财务室、配电房等重点部位，发现可疑情况、安全隐患等应及时向学校报告，必要时应及时报警。每次巡逻后及时、准确填写巡逻信息记录表或使用巡更器巡逻，24小时内巡逻不少于5次。</w:t>
      </w:r>
    </w:p>
    <w:p w14:paraId="5863572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b.如发现可疑、异常情况或恶劣天气，要及时巡逻，重点部位要仔细巡逻，发现问题要及时汇报或报警。</w:t>
      </w:r>
    </w:p>
    <w:p w14:paraId="10F33DE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c.巡逻时，为保持学校宁静和正常的教育教学秩序，应规劝教育有关不良行为的学生，杜绝喧哗、吵闹、打架和不安全的情况发生，杜绝浪费、损坏公物、破坏花草树木的情况发生。</w:t>
      </w:r>
    </w:p>
    <w:p w14:paraId="0E344E3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d.放学后巡逻时，应协助学校做好清校工作，规劝个别学生离校回家，不得在校逗留。</w:t>
      </w:r>
    </w:p>
    <w:p w14:paraId="4483CAA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（6）其他工作</w:t>
      </w:r>
    </w:p>
    <w:p w14:paraId="11A9F12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a.学校保安人员肩负着学校安全保卫重任，要有高度的责任感，严格遵守保安职业道德，要按照工作时间要求在岗轮流值班，不得擅自离岗。</w:t>
      </w:r>
    </w:p>
    <w:p w14:paraId="2BCF99DF">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b.做好电源、教室门的开关工作。每天放学后巡逻时，检查学校、办公室内电灯、电扇、门窗是否关好，发现未关，应及时妥善处理，做好详细记录，要向学校政教处或后勤处领导汇报。</w:t>
      </w:r>
    </w:p>
    <w:p w14:paraId="4D7DBD6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c.上学放学时间内，要及时排除校门外(离校门50米内)的摊点、车辆堵塞障碍物，有效疏通学生拥挤现象。按时做好大门的开关工作，做到门开人在。</w:t>
      </w:r>
    </w:p>
    <w:p w14:paraId="0E8F4A7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d.态度和蔼、语言谦虚，不急不躁，认真细致；不得冷淡、刁难、取笑，不得与学生打闹。对方态度不好，一定要耐心解释。</w:t>
      </w:r>
    </w:p>
    <w:p w14:paraId="2C88A4B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e.与教师，学生或来访者交谈要使用普通话，说话要清楚，用词准确、言简易懂，不讲与工作无关的话，不讲有损学校形象的话。</w:t>
      </w:r>
    </w:p>
    <w:p w14:paraId="37E8A29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f.教师及领导到来，应主动迎接，认真听取老师和领导的意见，遇需要帮助的事情在保证安全的前提下提供力所能及的帮助，因影响安全不能帮助的，应主动解释力求得到谅解。</w:t>
      </w:r>
    </w:p>
    <w:p w14:paraId="0906C41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g.各种意见或投诉、要认真听取，弄清情况，做好笔录，即时处理，如非本职工作范围，即时通知责任人或向领导汇报。</w:t>
      </w:r>
    </w:p>
    <w:p w14:paraId="2BB3D69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h.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14:paraId="2EC0C5C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i.妥善保管并用好保安工作的八件套装备（防暴头盔（1顶/人）、防护盾牌（1副/人）、防刺背心（1套/人）、防割手套（1副/人）、橡胶警棍（1支/人）、强光电筒（1支/人）、自卫喷雾剂（1支/人）、安全钢叉2套），定期检查安保器械，确保“八件套”、</w:t>
      </w:r>
      <w:r>
        <w:rPr>
          <w:rFonts w:hint="eastAsia" w:ascii="宋体" w:hAnsi="宋体" w:eastAsia="宋体" w:cs="宋体"/>
          <w:b w:val="0"/>
          <w:bCs/>
          <w:sz w:val="21"/>
          <w:szCs w:val="21"/>
          <w:lang w:eastAsia="zh-CN"/>
        </w:rPr>
        <w:t>对讲机、</w:t>
      </w:r>
      <w:r>
        <w:rPr>
          <w:rFonts w:hint="eastAsia" w:ascii="宋体" w:hAnsi="宋体" w:eastAsia="宋体" w:cs="宋体"/>
          <w:b w:val="0"/>
          <w:bCs/>
          <w:sz w:val="21"/>
          <w:szCs w:val="21"/>
        </w:rPr>
        <w:t>110紧急报警按钮、所有报警设备和校内视频处于正常、完好状态，发现问题及时上报学校，并作好记录。</w:t>
      </w:r>
    </w:p>
    <w:p w14:paraId="550D679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j.所有保安员必须熟悉学校所有物防、技防设备、报警设备分布，正确并熟练使用学校物防、技防器材和设施设备。督促、指导学校做好每月一次、幼儿园每季一次的应急演练工作(如消防、防暴、防震、防空等)。</w:t>
      </w:r>
    </w:p>
    <w:p w14:paraId="36742C3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k.</w:t>
      </w:r>
      <w:r>
        <w:rPr>
          <w:rFonts w:hint="eastAsia" w:ascii="宋体" w:hAnsi="宋体" w:eastAsia="宋体" w:cs="宋体"/>
          <w:b w:val="0"/>
          <w:bCs/>
          <w:sz w:val="21"/>
          <w:szCs w:val="21"/>
          <w:lang w:val="en-US" w:eastAsia="zh-CN"/>
        </w:rPr>
        <w:t>保安员负责保安室、校门口周边卫生保洁，每天早、中、晚三个时间段做到定时检查打扫，确保环境卫生整洁。</w:t>
      </w:r>
    </w:p>
    <w:p w14:paraId="5C03E37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l.完成领导交办的其它工作，既要明确责任分工，又要加强合作。</w:t>
      </w:r>
    </w:p>
    <w:p w14:paraId="1AF2991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m.配合公安机关，打击各类违法犯罪活动。</w:t>
      </w:r>
    </w:p>
    <w:p w14:paraId="2AB1D10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n.</w:t>
      </w:r>
      <w:r>
        <w:rPr>
          <w:rFonts w:hint="eastAsia" w:ascii="宋体" w:hAnsi="宋体" w:eastAsia="宋体" w:cs="宋体"/>
          <w:b w:val="0"/>
          <w:bCs/>
          <w:sz w:val="21"/>
          <w:szCs w:val="21"/>
        </w:rPr>
        <w:t>乙方派驻的保安如因工作失职，造成学校财产损失或人员伤亡，乙方承担全部责任。</w:t>
      </w:r>
    </w:p>
    <w:p w14:paraId="0756E6E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二、派遣人数、</w:t>
      </w:r>
      <w:r>
        <w:rPr>
          <w:rFonts w:hint="eastAsia" w:ascii="宋体" w:hAnsi="宋体" w:eastAsia="宋体" w:cs="宋体"/>
          <w:b/>
          <w:bCs w:val="0"/>
          <w:sz w:val="21"/>
          <w:szCs w:val="21"/>
          <w:lang w:val="en-US" w:eastAsia="zh-CN"/>
        </w:rPr>
        <w:t>服务期、</w:t>
      </w:r>
      <w:r>
        <w:rPr>
          <w:rFonts w:hint="eastAsia" w:ascii="宋体" w:hAnsi="宋体" w:eastAsia="宋体" w:cs="宋体"/>
          <w:b/>
          <w:bCs w:val="0"/>
          <w:sz w:val="21"/>
          <w:szCs w:val="21"/>
        </w:rPr>
        <w:t>合同金额和支付方式：</w:t>
      </w:r>
    </w:p>
    <w:p w14:paraId="221C2E2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1.根据甲方要求，乙方向甲方派驻保安员共</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single"/>
        </w:rPr>
        <w:t xml:space="preserve"> </w:t>
      </w:r>
      <w:r>
        <w:rPr>
          <w:rFonts w:hint="eastAsia" w:ascii="宋体" w:hAnsi="宋体" w:eastAsia="宋体" w:cs="宋体"/>
          <w:b w:val="0"/>
          <w:bCs/>
          <w:sz w:val="21"/>
          <w:szCs w:val="21"/>
        </w:rPr>
        <w:t>名。</w:t>
      </w:r>
    </w:p>
    <w:p w14:paraId="6314295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合同金额共计人民币</w:t>
      </w:r>
      <w:r>
        <w:rPr>
          <w:rFonts w:hint="eastAsia" w:ascii="宋体" w:hAnsi="宋体" w:eastAsia="宋体" w:cs="宋体"/>
          <w:b w:val="0"/>
          <w:bCs/>
          <w:color w:val="auto"/>
          <w:sz w:val="21"/>
          <w:szCs w:val="21"/>
          <w:u w:val="single"/>
          <w:lang w:val="en-US" w:eastAsia="zh-CN"/>
        </w:rPr>
        <w:t xml:space="preserve">           </w:t>
      </w:r>
      <w:r>
        <w:rPr>
          <w:rFonts w:hint="eastAsia" w:ascii="宋体" w:hAnsi="宋体" w:eastAsia="宋体" w:cs="宋体"/>
          <w:b w:val="0"/>
          <w:bCs/>
          <w:color w:val="auto"/>
          <w:sz w:val="21"/>
          <w:szCs w:val="21"/>
        </w:rPr>
        <w:t>整（ ¥：</w:t>
      </w:r>
      <w:r>
        <w:rPr>
          <w:rFonts w:hint="eastAsia" w:ascii="宋体" w:hAnsi="宋体" w:eastAsia="宋体" w:cs="宋体"/>
          <w:b w:val="0"/>
          <w:bCs/>
          <w:color w:val="auto"/>
          <w:sz w:val="21"/>
          <w:szCs w:val="21"/>
          <w:u w:val="single"/>
          <w:lang w:val="en-US" w:eastAsia="zh-CN"/>
        </w:rPr>
        <w:t xml:space="preserve">      </w:t>
      </w:r>
      <w:r>
        <w:rPr>
          <w:rFonts w:hint="eastAsia" w:ascii="宋体" w:hAnsi="宋体" w:eastAsia="宋体" w:cs="宋体"/>
          <w:b w:val="0"/>
          <w:bCs/>
          <w:color w:val="auto"/>
          <w:sz w:val="21"/>
          <w:szCs w:val="21"/>
        </w:rPr>
        <w:t>元）。</w:t>
      </w:r>
    </w:p>
    <w:p w14:paraId="4A2A506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1.1乙方应承诺保安人员年收入达</w:t>
      </w: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.8万元/人.年，其中每月实发工资不低于</w:t>
      </w:r>
      <w:r>
        <w:rPr>
          <w:rFonts w:hint="eastAsia" w:ascii="宋体" w:hAnsi="宋体" w:eastAsia="宋体" w:cs="宋体"/>
          <w:b w:val="0"/>
          <w:bCs/>
          <w:color w:val="auto"/>
          <w:sz w:val="21"/>
          <w:szCs w:val="21"/>
          <w:lang w:val="en-US" w:eastAsia="zh-CN"/>
        </w:rPr>
        <w:t>2450</w:t>
      </w:r>
      <w:r>
        <w:rPr>
          <w:rFonts w:hint="eastAsia" w:ascii="宋体" w:hAnsi="宋体" w:eastAsia="宋体" w:cs="宋体"/>
          <w:b w:val="0"/>
          <w:bCs/>
          <w:color w:val="auto"/>
          <w:sz w:val="21"/>
          <w:szCs w:val="21"/>
        </w:rPr>
        <w:t>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14:paraId="1C5AF2EF">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甲方按县财政预算每年支付乙方管理服务费略低于4000元/人.年，管理服务费用于包括管理费、保安服装费、培训费、利润、税金、工会费、残保金等政策性文件规定及合同包含的所有风险、责任等服务期内一切所涉及的各项费用。</w:t>
      </w:r>
    </w:p>
    <w:p w14:paraId="4D33924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2.支付方式：</w:t>
      </w:r>
    </w:p>
    <w:p w14:paraId="5944BB4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color w:val="auto"/>
          <w:sz w:val="21"/>
          <w:szCs w:val="21"/>
        </w:rPr>
        <w:t>2.1甲方每半年向乙方支付当年总费用的50%（根据甲方考核情况</w:t>
      </w:r>
      <w:r>
        <w:rPr>
          <w:rFonts w:hint="eastAsia" w:ascii="宋体" w:hAnsi="宋体" w:eastAsia="宋体" w:cs="宋体"/>
          <w:b w:val="0"/>
          <w:bCs/>
          <w:sz w:val="21"/>
          <w:szCs w:val="21"/>
        </w:rPr>
        <w:t>支付）。</w:t>
      </w:r>
    </w:p>
    <w:p w14:paraId="6F9BAB3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2.2如因甲方需要使保安人数发生增减的，则按实际人数出勤率及合同单价结算服务费。</w:t>
      </w:r>
    </w:p>
    <w:p w14:paraId="6797C03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2.3甲方如需保安员加班的，由甲方另行支付加班费。</w:t>
      </w:r>
    </w:p>
    <w:p w14:paraId="2614011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3.</w:t>
      </w:r>
      <w:r>
        <w:rPr>
          <w:rFonts w:hint="eastAsia" w:ascii="宋体" w:hAnsi="宋体" w:eastAsia="宋体" w:cs="宋体"/>
          <w:b w:val="0"/>
          <w:bCs/>
          <w:sz w:val="21"/>
          <w:szCs w:val="21"/>
          <w:lang w:val="en-US" w:eastAsia="zh-CN"/>
        </w:rPr>
        <w:t>服务期：一年，合同签订之日起计算。</w:t>
      </w:r>
    </w:p>
    <w:p w14:paraId="2329063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考核</w:t>
      </w:r>
    </w:p>
    <w:p w14:paraId="0687D6E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4</w:t>
      </w:r>
      <w:r>
        <w:rPr>
          <w:rFonts w:hint="eastAsia" w:ascii="宋体" w:hAnsi="宋体" w:eastAsia="宋体" w:cs="宋体"/>
          <w:b w:val="0"/>
          <w:bCs/>
          <w:sz w:val="21"/>
          <w:szCs w:val="21"/>
        </w:rPr>
        <w:t>.1乙方应按照约定的工作职责及服务质量标准开展安保工作，甲方每月底对乙方派驻的保安员工作中存在的问题进行汇总，根据《长兴县学校保安人员考核细则》，由甲方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甲方有权终止合同，乙方仍应承担相应责任。</w:t>
      </w:r>
    </w:p>
    <w:p w14:paraId="1E8C846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三、双方主要权利义务</w:t>
      </w:r>
    </w:p>
    <w:p w14:paraId="58034873">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1.甲方的权利义务 </w:t>
      </w:r>
    </w:p>
    <w:p w14:paraId="60E1AB8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甲方有权对乙方所派驻保安人员的工作进行监督检查，对乙方及其人员提供的保安服务的质量提出异议。对经试用不合格的或不能胜任工作的或不履行职责的或违反甲方有关规章制度及工作要求的保安人员，甲方有权提出退换调整的意见，乙方应在五个工作日内做出调整。</w:t>
      </w:r>
    </w:p>
    <w:p w14:paraId="4ADC9F2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1.2甲方应告知乙方需遵守的有关规章制度及安全守则。</w:t>
      </w:r>
    </w:p>
    <w:p w14:paraId="617A2E9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如因乙方原因导致其派往甲方的保安人员不能提供优质服务，影响到甲方工作的，甲方有权向乙方询问、调查原因，也有权了解向乙方支付的服务费的使用情况，必要时甲方可以视情况暂停支付服务费。如经甲方催告，乙方限期仍不能改正的，甲方有权终止本合同。</w:t>
      </w:r>
    </w:p>
    <w:p w14:paraId="3BA2B29F">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2.乙方的权利义务</w:t>
      </w:r>
    </w:p>
    <w:p w14:paraId="61B86DB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2.1乙方派出的人员为乙方员工，归乙方管理，与甲方无任何直接或间接的雇佣、人事委托代理、劳动关系，其工资、奖金、五险、服装、福利及其他任何费用均由乙方承担，甲方仅按本合同约定向乙方支付管理服务费。</w:t>
      </w:r>
    </w:p>
    <w:p w14:paraId="408A9F7F">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2.2乙方须维护正常的保安队伍建设，队员原则上不得随意变更或离岗，且应持有上岗资格证。如遇保安员辞职的，乙方应及时补充人员。</w:t>
      </w:r>
    </w:p>
    <w:p w14:paraId="5A7EAF7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2.3乙方负责其派往甲方的保安人员的教育培训与业务训练以及不定期组织对服务工作的检查和督促。</w:t>
      </w:r>
    </w:p>
    <w:p w14:paraId="18D25A8E">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2.4乙方须按照规定为保安人员办理五险，并负责为所有员工免费提供工作服、武装带等必要的装备。</w:t>
      </w:r>
    </w:p>
    <w:p w14:paraId="03AC1C1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2.5乙方派出的保安人员应严格执行国家和地方有关法律法规及甲方有关的规章制度，履约过程中应采取必要的安全防范措施，提供合同约定的保安服务。</w:t>
      </w:r>
    </w:p>
    <w:p w14:paraId="00814135">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2.6乙方人员发生安全事故、伤亡事故的，与甲方无关，乙方应及时报告或在24小时内向有关部门报案，并按国家有关规定由乙方承担一切责任和后果。</w:t>
      </w:r>
    </w:p>
    <w:p w14:paraId="4165C5F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2.7乙方认为甲方的安全防范设施、措施和制度中存在问题的，有权提出合理化建议，甲方应给予支持。</w:t>
      </w:r>
    </w:p>
    <w:p w14:paraId="2073CF4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四</w:t>
      </w:r>
      <w:r>
        <w:rPr>
          <w:rFonts w:hint="eastAsia" w:ascii="宋体" w:hAnsi="宋体" w:eastAsia="宋体" w:cs="宋体"/>
          <w:b/>
          <w:bCs w:val="0"/>
          <w:sz w:val="21"/>
          <w:szCs w:val="21"/>
        </w:rPr>
        <w:t>、违约责任</w:t>
      </w:r>
    </w:p>
    <w:p w14:paraId="4175B2B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甲乙任何一方违反本合同给对方造成经济损失的或造成本合同不能履行或者不能完全履行的，违约方须承担法律责任，并根据后果和责任大小，向对方支付赔偿金；如属双方过错，根据实际情况，由双方各自承担法律责任。</w:t>
      </w:r>
    </w:p>
    <w:p w14:paraId="3525467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合同履行过程中，保安人员配备数量必须达到承诺的配备标准，如实际保安人员配备数量未达到配备标准的或人员未完全到位的或甲方要求更换的人员未到位的，除扣除相应保安费外，考核时按每天每人扣1分，如同样情况发生三次的，甲方有权解除合同。</w:t>
      </w:r>
    </w:p>
    <w:p w14:paraId="1F025000">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3.在未取得对方书面同意的情况下，任一方均不能将本合同有关权利义务转让给第三方，否则视为违约，另一方可以立即解除合同，并要求违约方承担因此造成的损失。</w:t>
      </w:r>
    </w:p>
    <w:p w14:paraId="7182C11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因乙方未完全履行义务，导致甲方发生安全事故（包括但不限于人身财产损失、单位秘密泄露）的，乙方应承担赔偿责任；或者由于乙方未完全履行义务致使事故损失扩大的，乙方应就扩大的损失承担赔偿责任。在发生前述两种情况时，乙方还需按本合同总金额的3%向甲方支付违约金，且甲方有权单方解除合同。</w:t>
      </w:r>
    </w:p>
    <w:p w14:paraId="251CA7D4">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5.本合同中乙方应承担的赔偿金、违约金，甲方有权从未支付的服务费中予以扣除。</w:t>
      </w:r>
    </w:p>
    <w:p w14:paraId="7EE8E53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6.发现保安人员上班时间喝酒、赌博、玩游戏、擅离岗位的，除对相关人员进行处罚外，甲方在支付保安费时每次扣罚200元。</w:t>
      </w:r>
    </w:p>
    <w:p w14:paraId="0B712788">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五</w:t>
      </w:r>
      <w:r>
        <w:rPr>
          <w:rFonts w:hint="eastAsia" w:ascii="宋体" w:hAnsi="宋体" w:eastAsia="宋体" w:cs="宋体"/>
          <w:b/>
          <w:bCs w:val="0"/>
          <w:sz w:val="21"/>
          <w:szCs w:val="21"/>
        </w:rPr>
        <w:t>、合同终止与解除：</w:t>
      </w:r>
    </w:p>
    <w:p w14:paraId="5F9C4F1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乙方因队员管理不善和由于待遇及拖欠保安工资等问题，引发队员思想情绪不稳定及消极怠工，影响对安保的正常工作，导致甲方保安工作不能正常运行，甲方有权临时终止合同。如引起员工纠纷，应由乙方负责全权处理并承担相关责任，与甲方无关。</w:t>
      </w:r>
    </w:p>
    <w:p w14:paraId="221B4B1A">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2..甲乙双方因不可抗力、公司改制、公司破产等原因导致不能继续履行本合同时，在双方协商的基础上可以决定终止本合同，有关费用及劳务以实际履行部分进行清算。</w:t>
      </w:r>
    </w:p>
    <w:p w14:paraId="155CD92F">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六</w:t>
      </w:r>
      <w:r>
        <w:rPr>
          <w:rFonts w:hint="eastAsia" w:ascii="宋体" w:hAnsi="宋体" w:eastAsia="宋体" w:cs="宋体"/>
          <w:b/>
          <w:bCs w:val="0"/>
          <w:sz w:val="21"/>
          <w:szCs w:val="21"/>
        </w:rPr>
        <w:t>、争议处理</w:t>
      </w:r>
    </w:p>
    <w:p w14:paraId="64A3371B">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1.在本合同执行中所发生的一切争议，合同当事人双方应通过友好协商的办法加以解决。</w:t>
      </w:r>
    </w:p>
    <w:p w14:paraId="12674C11">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2.如从协商开始的30天内仍得不到解决，任何一方均有权采取下列2种方式解决：</w:t>
      </w:r>
    </w:p>
    <w:p w14:paraId="2CF467B2">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（1）向甲方所在地仲裁机构申请仲裁；</w:t>
      </w:r>
    </w:p>
    <w:p w14:paraId="0A47AEE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（2）向甲方所在地人民法院提起诉讼。</w:t>
      </w:r>
    </w:p>
    <w:p w14:paraId="5072CCE6">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七</w:t>
      </w:r>
      <w:r>
        <w:rPr>
          <w:rFonts w:hint="eastAsia" w:ascii="宋体" w:hAnsi="宋体" w:eastAsia="宋体" w:cs="宋体"/>
          <w:b/>
          <w:bCs w:val="0"/>
          <w:sz w:val="21"/>
          <w:szCs w:val="21"/>
        </w:rPr>
        <w:t>、其它约定</w:t>
      </w:r>
    </w:p>
    <w:p w14:paraId="6F12CB09">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1.乙方保安人员的具体岗位、事务安排，由甲乙双方在法律法规允许的范围内协商确定，作为本合同的附件。</w:t>
      </w:r>
    </w:p>
    <w:p w14:paraId="49634A6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2.合同到期时，如甲方不决定续签合同，乙方必须支持甲方此项工作，并协助甲方做好相关工作的平稳过渡和交接。</w:t>
      </w:r>
    </w:p>
    <w:p w14:paraId="088A493C">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3.本合同未尽事宜，依照有关法律、法规执行，法律、法规未作规定的，双方可以达成书面补充协议。</w:t>
      </w:r>
    </w:p>
    <w:p w14:paraId="61A8957D">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2" w:firstLineChars="20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八</w:t>
      </w:r>
      <w:r>
        <w:rPr>
          <w:rFonts w:hint="eastAsia" w:ascii="宋体" w:hAnsi="宋体" w:eastAsia="宋体" w:cs="宋体"/>
          <w:b/>
          <w:bCs w:val="0"/>
          <w:sz w:val="21"/>
          <w:szCs w:val="21"/>
        </w:rPr>
        <w:t>、合同生效及其他</w:t>
      </w:r>
    </w:p>
    <w:p w14:paraId="158B73A7">
      <w:pPr>
        <w:keepNext w:val="0"/>
        <w:keepLines w:val="0"/>
        <w:pageBreakBefore w:val="0"/>
        <w:widowControl w:val="0"/>
        <w:kinsoku/>
        <w:wordWrap/>
        <w:overflowPunct/>
        <w:topLinePunct w:val="0"/>
        <w:autoSpaceDE w:val="0"/>
        <w:autoSpaceDN w:val="0"/>
        <w:bidi w:val="0"/>
        <w:adjustRightInd/>
        <w:snapToGrid/>
        <w:spacing w:afterAutospacing="0" w:line="360" w:lineRule="auto"/>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1.本合同一式三份，经甲乙双方签字、盖章后生效，甲、乙双方各执一份,并报教育主管部门一份，本合同具有同等法律效力。</w:t>
      </w:r>
    </w:p>
    <w:p w14:paraId="3B612F3E">
      <w:pPr>
        <w:pageBreakBefore w:val="0"/>
        <w:kinsoku/>
        <w:overflowPunct/>
        <w:topLinePunct w:val="0"/>
        <w:autoSpaceDE w:val="0"/>
        <w:autoSpaceDN w:val="0"/>
        <w:bidi w:val="0"/>
        <w:spacing w:afterAutospacing="0" w:line="360" w:lineRule="auto"/>
        <w:jc w:val="left"/>
        <w:rPr>
          <w:rFonts w:hint="eastAsia" w:ascii="宋体" w:hAnsi="宋体" w:eastAsia="宋体" w:cs="宋体"/>
          <w:b w:val="0"/>
          <w:bCs/>
          <w:sz w:val="21"/>
          <w:szCs w:val="21"/>
        </w:rPr>
      </w:pPr>
    </w:p>
    <w:p w14:paraId="44F7E9F5">
      <w:pPr>
        <w:pageBreakBefore w:val="0"/>
        <w:kinsoku/>
        <w:overflowPunct/>
        <w:topLinePunct w:val="0"/>
        <w:autoSpaceDE w:val="0"/>
        <w:autoSpaceDN w:val="0"/>
        <w:bidi w:val="0"/>
        <w:spacing w:afterAutospacing="0"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甲方：（签章）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乙方：（签章）</w:t>
      </w:r>
    </w:p>
    <w:p w14:paraId="6E6DCCC6">
      <w:pPr>
        <w:pageBreakBefore w:val="0"/>
        <w:kinsoku/>
        <w:overflowPunct/>
        <w:topLinePunct w:val="0"/>
        <w:autoSpaceDE w:val="0"/>
        <w:autoSpaceDN w:val="0"/>
        <w:bidi w:val="0"/>
        <w:spacing w:afterAutospacing="0" w:line="360" w:lineRule="auto"/>
        <w:jc w:val="left"/>
        <w:rPr>
          <w:rFonts w:hint="eastAsia" w:ascii="宋体" w:hAnsi="宋体" w:eastAsia="宋体" w:cs="宋体"/>
          <w:b w:val="0"/>
          <w:bCs/>
          <w:sz w:val="21"/>
          <w:szCs w:val="21"/>
        </w:rPr>
      </w:pPr>
    </w:p>
    <w:p w14:paraId="21DE6539">
      <w:pPr>
        <w:pageBreakBefore w:val="0"/>
        <w:kinsoku/>
        <w:overflowPunct/>
        <w:topLinePunct w:val="0"/>
        <w:autoSpaceDE w:val="0"/>
        <w:autoSpaceDN w:val="0"/>
        <w:bidi w:val="0"/>
        <w:spacing w:afterAutospacing="0"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法人代表或授权代表：（签字）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法人代表或授权代表：（签字）</w:t>
      </w:r>
    </w:p>
    <w:p w14:paraId="0EF11526">
      <w:pPr>
        <w:pageBreakBefore w:val="0"/>
        <w:kinsoku/>
        <w:overflowPunct/>
        <w:topLinePunct w:val="0"/>
        <w:autoSpaceDE w:val="0"/>
        <w:autoSpaceDN w:val="0"/>
        <w:bidi w:val="0"/>
        <w:spacing w:afterAutospacing="0" w:line="360" w:lineRule="auto"/>
        <w:jc w:val="left"/>
        <w:rPr>
          <w:rFonts w:hint="eastAsia" w:ascii="宋体" w:hAnsi="宋体" w:eastAsia="宋体" w:cs="宋体"/>
          <w:b w:val="0"/>
          <w:bCs/>
          <w:sz w:val="21"/>
          <w:szCs w:val="21"/>
        </w:rPr>
      </w:pPr>
    </w:p>
    <w:p w14:paraId="242865ED">
      <w:pPr>
        <w:pageBreakBefore w:val="0"/>
        <w:kinsoku/>
        <w:overflowPunct/>
        <w:topLinePunct w:val="0"/>
        <w:autoSpaceDE w:val="0"/>
        <w:autoSpaceDN w:val="0"/>
        <w:bidi w:val="0"/>
        <w:spacing w:afterAutospacing="0" w:line="360" w:lineRule="auto"/>
        <w:jc w:val="left"/>
        <w:rPr>
          <w:rFonts w:hint="eastAsia" w:ascii="宋体" w:hAnsi="宋体" w:eastAsia="宋体" w:cs="宋体"/>
          <w:b w:val="0"/>
          <w:bCs/>
          <w:sz w:val="21"/>
          <w:szCs w:val="21"/>
        </w:rPr>
      </w:pPr>
      <w:r>
        <w:rPr>
          <w:rFonts w:hint="eastAsia" w:ascii="宋体" w:hAnsi="宋体" w:eastAsia="宋体" w:cs="宋体"/>
          <w:b w:val="0"/>
          <w:bCs/>
          <w:sz w:val="21"/>
          <w:szCs w:val="21"/>
        </w:rPr>
        <w:t xml:space="preserve">日期：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日期：</w:t>
      </w:r>
    </w:p>
    <w:p w14:paraId="42085680">
      <w:pPr>
        <w:pStyle w:val="53"/>
        <w:rPr>
          <w:rFonts w:hint="eastAsia" w:ascii="宋体" w:hAnsi="宋体" w:eastAsia="宋体" w:cs="宋体"/>
          <w:b w:val="0"/>
          <w:bCs/>
          <w:sz w:val="21"/>
          <w:szCs w:val="21"/>
        </w:rPr>
      </w:pPr>
    </w:p>
    <w:p w14:paraId="0E3D076A">
      <w:pPr>
        <w:pStyle w:val="53"/>
        <w:rPr>
          <w:rFonts w:hint="eastAsia" w:ascii="宋体" w:hAnsi="宋体" w:eastAsia="宋体" w:cs="宋体"/>
          <w:b w:val="0"/>
          <w:bCs/>
          <w:sz w:val="21"/>
          <w:szCs w:val="21"/>
        </w:rPr>
      </w:pPr>
    </w:p>
    <w:p w14:paraId="2856EBD9">
      <w:pPr>
        <w:pStyle w:val="53"/>
        <w:rPr>
          <w:rFonts w:hint="eastAsia" w:ascii="宋体" w:hAnsi="宋体" w:eastAsia="宋体" w:cs="宋体"/>
          <w:b w:val="0"/>
          <w:bCs/>
          <w:sz w:val="21"/>
          <w:szCs w:val="21"/>
        </w:rPr>
      </w:pPr>
    </w:p>
    <w:p w14:paraId="420819EE">
      <w:pPr>
        <w:pStyle w:val="53"/>
        <w:rPr>
          <w:rFonts w:hint="eastAsia" w:ascii="宋体" w:hAnsi="宋体" w:eastAsia="宋体" w:cs="宋体"/>
          <w:b w:val="0"/>
          <w:bCs/>
          <w:sz w:val="21"/>
          <w:szCs w:val="21"/>
        </w:rPr>
      </w:pPr>
    </w:p>
    <w:p w14:paraId="7C3EFFD6">
      <w:pPr>
        <w:pStyle w:val="53"/>
        <w:rPr>
          <w:rFonts w:hint="eastAsia" w:ascii="宋体" w:hAnsi="宋体" w:eastAsia="宋体" w:cs="宋体"/>
          <w:b w:val="0"/>
          <w:bCs/>
          <w:sz w:val="21"/>
          <w:szCs w:val="21"/>
        </w:rPr>
      </w:pPr>
    </w:p>
    <w:p w14:paraId="32FD24F0">
      <w:pPr>
        <w:pStyle w:val="53"/>
        <w:rPr>
          <w:rFonts w:hint="eastAsia" w:ascii="宋体" w:hAnsi="宋体" w:eastAsia="宋体" w:cs="宋体"/>
          <w:b w:val="0"/>
          <w:bCs/>
          <w:sz w:val="21"/>
          <w:szCs w:val="21"/>
        </w:rPr>
      </w:pPr>
    </w:p>
    <w:p w14:paraId="69C14DD5">
      <w:pPr>
        <w:pStyle w:val="53"/>
        <w:rPr>
          <w:rFonts w:hint="eastAsia" w:ascii="宋体" w:hAnsi="宋体" w:eastAsia="宋体" w:cs="宋体"/>
          <w:b w:val="0"/>
          <w:bCs/>
          <w:sz w:val="21"/>
          <w:szCs w:val="21"/>
        </w:rPr>
      </w:pPr>
    </w:p>
    <w:p w14:paraId="3154635B">
      <w:pPr>
        <w:pStyle w:val="53"/>
        <w:rPr>
          <w:rFonts w:hint="eastAsia" w:ascii="宋体" w:hAnsi="宋体" w:eastAsia="宋体" w:cs="宋体"/>
          <w:b w:val="0"/>
          <w:bCs/>
          <w:sz w:val="21"/>
          <w:szCs w:val="21"/>
        </w:rPr>
      </w:pPr>
    </w:p>
    <w:p w14:paraId="2D4F2DD0">
      <w:pPr>
        <w:pStyle w:val="53"/>
        <w:rPr>
          <w:rFonts w:hint="eastAsia" w:ascii="宋体" w:hAnsi="宋体" w:eastAsia="宋体" w:cs="宋体"/>
          <w:b w:val="0"/>
          <w:bCs/>
          <w:sz w:val="21"/>
          <w:szCs w:val="21"/>
        </w:rPr>
      </w:pPr>
    </w:p>
    <w:p w14:paraId="20A55250">
      <w:pPr>
        <w:pStyle w:val="53"/>
        <w:rPr>
          <w:rFonts w:hint="eastAsia" w:ascii="宋体" w:hAnsi="宋体" w:eastAsia="宋体" w:cs="宋体"/>
          <w:b w:val="0"/>
          <w:bCs/>
          <w:sz w:val="21"/>
          <w:szCs w:val="21"/>
        </w:rPr>
      </w:pPr>
    </w:p>
    <w:p w14:paraId="148981AD">
      <w:pPr>
        <w:pStyle w:val="53"/>
        <w:rPr>
          <w:rFonts w:hint="eastAsia" w:ascii="宋体" w:hAnsi="宋体" w:eastAsia="宋体" w:cs="宋体"/>
          <w:b w:val="0"/>
          <w:bCs/>
          <w:sz w:val="21"/>
          <w:szCs w:val="21"/>
        </w:rPr>
      </w:pPr>
    </w:p>
    <w:p w14:paraId="40F2E68A">
      <w:pPr>
        <w:pStyle w:val="53"/>
        <w:rPr>
          <w:rFonts w:hint="eastAsia" w:cs="宋体"/>
          <w:b w:val="0"/>
          <w:bCs/>
          <w:sz w:val="21"/>
          <w:szCs w:val="21"/>
        </w:rPr>
      </w:pPr>
    </w:p>
    <w:p w14:paraId="3A32CF0F">
      <w:pPr>
        <w:pageBreakBefore w:val="0"/>
        <w:kinsoku/>
        <w:overflowPunct/>
        <w:topLinePunct w:val="0"/>
        <w:bidi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附件：长兴县学校保安人员考核细则</w:t>
      </w:r>
    </w:p>
    <w:p w14:paraId="5D1EF5B2">
      <w:pPr>
        <w:pageBreakBefore w:val="0"/>
        <w:kinsoku/>
        <w:overflowPunct/>
        <w:topLinePunct w:val="0"/>
        <w:bidi w:val="0"/>
        <w:spacing w:afterAutospacing="0" w:line="360" w:lineRule="auto"/>
        <w:rPr>
          <w:rFonts w:hint="eastAsia" w:ascii="宋体" w:hAnsi="宋体" w:eastAsia="宋体" w:cs="宋体"/>
          <w:sz w:val="21"/>
          <w:szCs w:val="21"/>
        </w:rPr>
      </w:pPr>
    </w:p>
    <w:tbl>
      <w:tblPr>
        <w:tblStyle w:val="5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116"/>
        <w:gridCol w:w="3135"/>
        <w:gridCol w:w="844"/>
      </w:tblGrid>
      <w:tr w14:paraId="7820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67" w:type="dxa"/>
            <w:noWrap w:val="0"/>
            <w:vAlign w:val="center"/>
          </w:tcPr>
          <w:p w14:paraId="54132961">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4116" w:type="dxa"/>
            <w:noWrap w:val="0"/>
            <w:vAlign w:val="center"/>
          </w:tcPr>
          <w:p w14:paraId="1B6EDB45">
            <w:pPr>
              <w:pageBreakBefore w:val="0"/>
              <w:kinsoku/>
              <w:overflowPunct/>
              <w:topLinePunct w:val="0"/>
              <w:bidi w:val="0"/>
              <w:spacing w:afterAutospacing="0" w:line="360" w:lineRule="auto"/>
              <w:ind w:left="-139" w:leftChars="-66" w:right="-139" w:rightChars="-66" w:firstLine="1470" w:firstLineChars="700"/>
              <w:rPr>
                <w:rFonts w:hint="eastAsia" w:ascii="宋体" w:hAnsi="宋体" w:eastAsia="宋体" w:cs="宋体"/>
                <w:bCs/>
                <w:sz w:val="21"/>
                <w:szCs w:val="21"/>
              </w:rPr>
            </w:pPr>
            <w:r>
              <w:rPr>
                <w:rFonts w:hint="eastAsia" w:ascii="宋体" w:hAnsi="宋体" w:eastAsia="宋体" w:cs="宋体"/>
                <w:bCs/>
                <w:sz w:val="21"/>
                <w:szCs w:val="21"/>
              </w:rPr>
              <w:t>标     准</w:t>
            </w:r>
          </w:p>
        </w:tc>
        <w:tc>
          <w:tcPr>
            <w:tcW w:w="3135" w:type="dxa"/>
            <w:noWrap w:val="0"/>
            <w:vAlign w:val="center"/>
          </w:tcPr>
          <w:p w14:paraId="33978E28">
            <w:pPr>
              <w:pageBreakBefore w:val="0"/>
              <w:kinsoku/>
              <w:overflowPunct/>
              <w:topLinePunct w:val="0"/>
              <w:bidi w:val="0"/>
              <w:spacing w:afterAutospacing="0" w:line="360" w:lineRule="auto"/>
              <w:ind w:left="-139" w:leftChars="-66" w:right="-139" w:rightChars="-66" w:firstLine="1155" w:firstLineChars="550"/>
              <w:rPr>
                <w:rFonts w:hint="eastAsia" w:ascii="宋体" w:hAnsi="宋体" w:eastAsia="宋体" w:cs="宋体"/>
                <w:bCs/>
                <w:sz w:val="21"/>
                <w:szCs w:val="21"/>
              </w:rPr>
            </w:pPr>
            <w:r>
              <w:rPr>
                <w:rFonts w:hint="eastAsia" w:ascii="宋体" w:hAnsi="宋体" w:eastAsia="宋体" w:cs="宋体"/>
                <w:bCs/>
                <w:sz w:val="21"/>
                <w:szCs w:val="21"/>
              </w:rPr>
              <w:t>扣分标准</w:t>
            </w:r>
          </w:p>
        </w:tc>
        <w:tc>
          <w:tcPr>
            <w:tcW w:w="844" w:type="dxa"/>
            <w:noWrap w:val="0"/>
            <w:vAlign w:val="center"/>
          </w:tcPr>
          <w:p w14:paraId="06C5EE09">
            <w:pPr>
              <w:pageBreakBefore w:val="0"/>
              <w:kinsoku/>
              <w:overflowPunct/>
              <w:topLinePunct w:val="0"/>
              <w:bidi w:val="0"/>
              <w:spacing w:afterAutospacing="0" w:line="360" w:lineRule="auto"/>
              <w:ind w:left="-139" w:leftChars="-66" w:right="-139" w:rightChars="-66" w:firstLine="210" w:firstLineChars="100"/>
              <w:rPr>
                <w:rFonts w:hint="eastAsia" w:ascii="宋体" w:hAnsi="宋体" w:eastAsia="宋体" w:cs="宋体"/>
                <w:bCs/>
                <w:sz w:val="21"/>
                <w:szCs w:val="21"/>
              </w:rPr>
            </w:pPr>
            <w:r>
              <w:rPr>
                <w:rFonts w:hint="eastAsia" w:ascii="宋体" w:hAnsi="宋体" w:eastAsia="宋体" w:cs="宋体"/>
                <w:bCs/>
                <w:sz w:val="21"/>
                <w:szCs w:val="21"/>
              </w:rPr>
              <w:t>扣分值</w:t>
            </w:r>
          </w:p>
        </w:tc>
      </w:tr>
      <w:tr w14:paraId="1990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5169853C">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4116" w:type="dxa"/>
            <w:noWrap w:val="0"/>
            <w:vAlign w:val="center"/>
          </w:tcPr>
          <w:p w14:paraId="05D0FEFD">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台帐建立健全；</w:t>
            </w:r>
          </w:p>
        </w:tc>
        <w:tc>
          <w:tcPr>
            <w:tcW w:w="3135" w:type="dxa"/>
            <w:noWrap w:val="0"/>
            <w:vAlign w:val="center"/>
          </w:tcPr>
          <w:p w14:paraId="468A2997">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人员出勤表、交接记录表、巡查表和工作日志表每日登记完整、整齐，每缺1份扣0.1分</w:t>
            </w:r>
          </w:p>
        </w:tc>
        <w:tc>
          <w:tcPr>
            <w:tcW w:w="844" w:type="dxa"/>
            <w:noWrap w:val="0"/>
            <w:vAlign w:val="center"/>
          </w:tcPr>
          <w:p w14:paraId="10684BAE">
            <w:pPr>
              <w:pageBreakBefore w:val="0"/>
              <w:kinsoku/>
              <w:overflowPunct/>
              <w:topLinePunct w:val="0"/>
              <w:bidi w:val="0"/>
              <w:spacing w:afterAutospacing="0" w:line="360" w:lineRule="auto"/>
              <w:rPr>
                <w:rFonts w:hint="eastAsia" w:ascii="宋体" w:hAnsi="宋体" w:eastAsia="宋体" w:cs="宋体"/>
                <w:sz w:val="21"/>
                <w:szCs w:val="21"/>
              </w:rPr>
            </w:pPr>
          </w:p>
        </w:tc>
      </w:tr>
      <w:tr w14:paraId="2F9F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7" w:type="dxa"/>
            <w:noWrap w:val="0"/>
            <w:vAlign w:val="center"/>
          </w:tcPr>
          <w:p w14:paraId="376127A5">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4116" w:type="dxa"/>
            <w:noWrap w:val="0"/>
            <w:vAlign w:val="center"/>
          </w:tcPr>
          <w:p w14:paraId="61D514D8">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按规定时间到岗，不迟到，不早退；</w:t>
            </w:r>
          </w:p>
        </w:tc>
        <w:tc>
          <w:tcPr>
            <w:tcW w:w="3135" w:type="dxa"/>
            <w:noWrap w:val="0"/>
            <w:vAlign w:val="center"/>
          </w:tcPr>
          <w:p w14:paraId="141E66DA">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迟到、早退，每发现一次扣1分</w:t>
            </w:r>
          </w:p>
        </w:tc>
        <w:tc>
          <w:tcPr>
            <w:tcW w:w="844" w:type="dxa"/>
            <w:noWrap w:val="0"/>
            <w:vAlign w:val="center"/>
          </w:tcPr>
          <w:p w14:paraId="3103FA96">
            <w:pPr>
              <w:pageBreakBefore w:val="0"/>
              <w:kinsoku/>
              <w:overflowPunct/>
              <w:topLinePunct w:val="0"/>
              <w:bidi w:val="0"/>
              <w:spacing w:afterAutospacing="0" w:line="360" w:lineRule="auto"/>
              <w:rPr>
                <w:rFonts w:hint="eastAsia" w:ascii="宋体" w:hAnsi="宋体" w:eastAsia="宋体" w:cs="宋体"/>
                <w:sz w:val="21"/>
                <w:szCs w:val="21"/>
              </w:rPr>
            </w:pPr>
          </w:p>
        </w:tc>
      </w:tr>
      <w:tr w14:paraId="4D31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67" w:type="dxa"/>
            <w:noWrap w:val="0"/>
            <w:vAlign w:val="center"/>
          </w:tcPr>
          <w:p w14:paraId="254C6A53">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4116" w:type="dxa"/>
            <w:noWrap w:val="0"/>
            <w:vAlign w:val="center"/>
          </w:tcPr>
          <w:p w14:paraId="2881263F">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当班未请假擅自离开岗位；</w:t>
            </w:r>
          </w:p>
        </w:tc>
        <w:tc>
          <w:tcPr>
            <w:tcW w:w="3135" w:type="dxa"/>
            <w:noWrap w:val="0"/>
            <w:vAlign w:val="center"/>
          </w:tcPr>
          <w:p w14:paraId="705D693B">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擅离工作岗位每次扣1分</w:t>
            </w:r>
          </w:p>
        </w:tc>
        <w:tc>
          <w:tcPr>
            <w:tcW w:w="844" w:type="dxa"/>
            <w:noWrap w:val="0"/>
            <w:vAlign w:val="center"/>
          </w:tcPr>
          <w:p w14:paraId="2F78E0D8">
            <w:pPr>
              <w:pageBreakBefore w:val="0"/>
              <w:kinsoku/>
              <w:overflowPunct/>
              <w:topLinePunct w:val="0"/>
              <w:bidi w:val="0"/>
              <w:spacing w:afterAutospacing="0" w:line="360" w:lineRule="auto"/>
              <w:rPr>
                <w:rFonts w:hint="eastAsia" w:ascii="宋体" w:hAnsi="宋体" w:eastAsia="宋体" w:cs="宋体"/>
                <w:sz w:val="21"/>
                <w:szCs w:val="21"/>
              </w:rPr>
            </w:pPr>
          </w:p>
        </w:tc>
      </w:tr>
      <w:tr w14:paraId="1619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7" w:type="dxa"/>
            <w:noWrap w:val="0"/>
            <w:vAlign w:val="center"/>
          </w:tcPr>
          <w:p w14:paraId="1185A992">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4116" w:type="dxa"/>
            <w:noWrap w:val="0"/>
            <w:vAlign w:val="center"/>
          </w:tcPr>
          <w:p w14:paraId="6CEA24A2">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当班打瞌睡、睡觉；</w:t>
            </w:r>
          </w:p>
        </w:tc>
        <w:tc>
          <w:tcPr>
            <w:tcW w:w="3135" w:type="dxa"/>
            <w:noWrap w:val="0"/>
            <w:vAlign w:val="center"/>
          </w:tcPr>
          <w:p w14:paraId="24010E5E">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发现一次，扣0.1分</w:t>
            </w:r>
          </w:p>
        </w:tc>
        <w:tc>
          <w:tcPr>
            <w:tcW w:w="844" w:type="dxa"/>
            <w:noWrap w:val="0"/>
            <w:vAlign w:val="center"/>
          </w:tcPr>
          <w:p w14:paraId="7FB6A58A">
            <w:pPr>
              <w:pageBreakBefore w:val="0"/>
              <w:kinsoku/>
              <w:overflowPunct/>
              <w:topLinePunct w:val="0"/>
              <w:bidi w:val="0"/>
              <w:spacing w:afterAutospacing="0" w:line="360" w:lineRule="auto"/>
              <w:rPr>
                <w:rFonts w:hint="eastAsia" w:ascii="宋体" w:hAnsi="宋体" w:eastAsia="宋体" w:cs="宋体"/>
                <w:sz w:val="21"/>
                <w:szCs w:val="21"/>
              </w:rPr>
            </w:pPr>
          </w:p>
        </w:tc>
      </w:tr>
      <w:tr w14:paraId="2FCC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67" w:type="dxa"/>
            <w:noWrap w:val="0"/>
            <w:vAlign w:val="center"/>
          </w:tcPr>
          <w:p w14:paraId="27E2C972">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4116" w:type="dxa"/>
            <w:noWrap w:val="0"/>
            <w:vAlign w:val="center"/>
          </w:tcPr>
          <w:p w14:paraId="4DDCE005">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当班喝酒或酒后失态，造成不良影响；</w:t>
            </w:r>
          </w:p>
        </w:tc>
        <w:tc>
          <w:tcPr>
            <w:tcW w:w="3135" w:type="dxa"/>
            <w:noWrap w:val="0"/>
            <w:vAlign w:val="center"/>
          </w:tcPr>
          <w:p w14:paraId="1AAD9D11">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发现一次，扣1分</w:t>
            </w:r>
          </w:p>
        </w:tc>
        <w:tc>
          <w:tcPr>
            <w:tcW w:w="844" w:type="dxa"/>
            <w:noWrap w:val="0"/>
            <w:vAlign w:val="center"/>
          </w:tcPr>
          <w:p w14:paraId="57F8AF5A">
            <w:pPr>
              <w:pageBreakBefore w:val="0"/>
              <w:kinsoku/>
              <w:overflowPunct/>
              <w:topLinePunct w:val="0"/>
              <w:bidi w:val="0"/>
              <w:spacing w:afterAutospacing="0" w:line="360" w:lineRule="auto"/>
              <w:rPr>
                <w:rFonts w:hint="eastAsia" w:ascii="宋体" w:hAnsi="宋体" w:eastAsia="宋体" w:cs="宋体"/>
                <w:sz w:val="21"/>
                <w:szCs w:val="21"/>
              </w:rPr>
            </w:pPr>
          </w:p>
        </w:tc>
      </w:tr>
      <w:tr w14:paraId="2CED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7" w:type="dxa"/>
            <w:noWrap w:val="0"/>
            <w:vAlign w:val="center"/>
          </w:tcPr>
          <w:p w14:paraId="56103209">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4116" w:type="dxa"/>
            <w:noWrap w:val="0"/>
            <w:vAlign w:val="center"/>
          </w:tcPr>
          <w:p w14:paraId="20200670">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如发现保安人员不能胜任保安工作或指出错误屡教不改的，应及时更换</w:t>
            </w:r>
          </w:p>
        </w:tc>
        <w:tc>
          <w:tcPr>
            <w:tcW w:w="3135" w:type="dxa"/>
            <w:noWrap w:val="0"/>
            <w:vAlign w:val="center"/>
          </w:tcPr>
          <w:p w14:paraId="634C8CEC">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未按规定，每人次扣0.2分</w:t>
            </w:r>
          </w:p>
        </w:tc>
        <w:tc>
          <w:tcPr>
            <w:tcW w:w="844" w:type="dxa"/>
            <w:noWrap w:val="0"/>
            <w:vAlign w:val="center"/>
          </w:tcPr>
          <w:p w14:paraId="4F366AC2">
            <w:pPr>
              <w:pageBreakBefore w:val="0"/>
              <w:kinsoku/>
              <w:overflowPunct/>
              <w:topLinePunct w:val="0"/>
              <w:bidi w:val="0"/>
              <w:spacing w:afterAutospacing="0" w:line="360" w:lineRule="auto"/>
              <w:rPr>
                <w:rFonts w:hint="eastAsia" w:ascii="宋体" w:hAnsi="宋体" w:eastAsia="宋体" w:cs="宋体"/>
                <w:sz w:val="21"/>
                <w:szCs w:val="21"/>
              </w:rPr>
            </w:pPr>
          </w:p>
        </w:tc>
      </w:tr>
      <w:tr w14:paraId="21DC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2310EAC">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4116" w:type="dxa"/>
            <w:noWrap w:val="0"/>
            <w:vAlign w:val="center"/>
          </w:tcPr>
          <w:p w14:paraId="4E94E73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容留闲杂人员在值班室或保安休息室内抽烟、睡觉或聊天；</w:t>
            </w:r>
          </w:p>
        </w:tc>
        <w:tc>
          <w:tcPr>
            <w:tcW w:w="3135" w:type="dxa"/>
            <w:noWrap w:val="0"/>
            <w:vAlign w:val="center"/>
          </w:tcPr>
          <w:p w14:paraId="403FEBC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发现一次，扣0.1分</w:t>
            </w:r>
          </w:p>
        </w:tc>
        <w:tc>
          <w:tcPr>
            <w:tcW w:w="844" w:type="dxa"/>
            <w:noWrap w:val="0"/>
            <w:vAlign w:val="center"/>
          </w:tcPr>
          <w:p w14:paraId="6767CF54">
            <w:pPr>
              <w:pageBreakBefore w:val="0"/>
              <w:kinsoku/>
              <w:overflowPunct/>
              <w:topLinePunct w:val="0"/>
              <w:bidi w:val="0"/>
              <w:spacing w:afterAutospacing="0" w:line="360" w:lineRule="auto"/>
              <w:rPr>
                <w:rFonts w:hint="eastAsia" w:ascii="宋体" w:hAnsi="宋体" w:eastAsia="宋体" w:cs="宋体"/>
                <w:sz w:val="21"/>
                <w:szCs w:val="21"/>
              </w:rPr>
            </w:pPr>
          </w:p>
        </w:tc>
      </w:tr>
      <w:tr w14:paraId="65A7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EEAE942">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8</w:t>
            </w:r>
          </w:p>
        </w:tc>
        <w:tc>
          <w:tcPr>
            <w:tcW w:w="4116" w:type="dxa"/>
            <w:noWrap w:val="0"/>
            <w:vAlign w:val="center"/>
          </w:tcPr>
          <w:p w14:paraId="7B2406B6">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值班时听收音机，收看电视或进行其他与值班无关的事情；</w:t>
            </w:r>
          </w:p>
        </w:tc>
        <w:tc>
          <w:tcPr>
            <w:tcW w:w="3135" w:type="dxa"/>
            <w:noWrap w:val="0"/>
            <w:vAlign w:val="center"/>
          </w:tcPr>
          <w:p w14:paraId="76AE095C">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发现一次，扣0.1分</w:t>
            </w:r>
          </w:p>
        </w:tc>
        <w:tc>
          <w:tcPr>
            <w:tcW w:w="844" w:type="dxa"/>
            <w:noWrap w:val="0"/>
            <w:vAlign w:val="center"/>
          </w:tcPr>
          <w:p w14:paraId="4F52738C">
            <w:pPr>
              <w:pageBreakBefore w:val="0"/>
              <w:kinsoku/>
              <w:overflowPunct/>
              <w:topLinePunct w:val="0"/>
              <w:bidi w:val="0"/>
              <w:spacing w:afterAutospacing="0" w:line="360" w:lineRule="auto"/>
              <w:rPr>
                <w:rFonts w:hint="eastAsia" w:ascii="宋体" w:hAnsi="宋体" w:eastAsia="宋体" w:cs="宋体"/>
                <w:sz w:val="21"/>
                <w:szCs w:val="21"/>
              </w:rPr>
            </w:pPr>
          </w:p>
        </w:tc>
      </w:tr>
      <w:tr w14:paraId="458B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67" w:type="dxa"/>
            <w:noWrap w:val="0"/>
            <w:vAlign w:val="center"/>
          </w:tcPr>
          <w:p w14:paraId="562DE50E">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 xml:space="preserve"> 9</w:t>
            </w:r>
          </w:p>
        </w:tc>
        <w:tc>
          <w:tcPr>
            <w:tcW w:w="4116" w:type="dxa"/>
            <w:noWrap w:val="0"/>
            <w:vAlign w:val="center"/>
          </w:tcPr>
          <w:p w14:paraId="35CC01CE">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按规定着装、仪表端正、佩证上岗；</w:t>
            </w:r>
          </w:p>
        </w:tc>
        <w:tc>
          <w:tcPr>
            <w:tcW w:w="3135" w:type="dxa"/>
            <w:noWrap w:val="0"/>
            <w:vAlign w:val="center"/>
          </w:tcPr>
          <w:p w14:paraId="108DD9D5">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未按规定，每人次扣0.1分</w:t>
            </w:r>
          </w:p>
        </w:tc>
        <w:tc>
          <w:tcPr>
            <w:tcW w:w="844" w:type="dxa"/>
            <w:noWrap w:val="0"/>
            <w:vAlign w:val="center"/>
          </w:tcPr>
          <w:p w14:paraId="3CB22DF4">
            <w:pPr>
              <w:pageBreakBefore w:val="0"/>
              <w:kinsoku/>
              <w:overflowPunct/>
              <w:topLinePunct w:val="0"/>
              <w:bidi w:val="0"/>
              <w:spacing w:afterAutospacing="0" w:line="360" w:lineRule="auto"/>
              <w:rPr>
                <w:rFonts w:hint="eastAsia" w:ascii="宋体" w:hAnsi="宋体" w:eastAsia="宋体" w:cs="宋体"/>
                <w:sz w:val="21"/>
                <w:szCs w:val="21"/>
              </w:rPr>
            </w:pPr>
          </w:p>
        </w:tc>
      </w:tr>
      <w:tr w14:paraId="403C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7" w:type="dxa"/>
            <w:noWrap w:val="0"/>
            <w:vAlign w:val="center"/>
          </w:tcPr>
          <w:p w14:paraId="69839F0E">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10</w:t>
            </w:r>
          </w:p>
        </w:tc>
        <w:tc>
          <w:tcPr>
            <w:tcW w:w="4116" w:type="dxa"/>
            <w:noWrap w:val="0"/>
            <w:vAlign w:val="center"/>
          </w:tcPr>
          <w:p w14:paraId="268B55CE">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早晚上放学高峰时，保安人员必须佩戴公安部门规定的“六件套”装备上岗；</w:t>
            </w:r>
          </w:p>
        </w:tc>
        <w:tc>
          <w:tcPr>
            <w:tcW w:w="3135" w:type="dxa"/>
            <w:noWrap w:val="0"/>
            <w:vAlign w:val="center"/>
          </w:tcPr>
          <w:p w14:paraId="7BF45210">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未按规定，每人次扣0.2分</w:t>
            </w:r>
          </w:p>
        </w:tc>
        <w:tc>
          <w:tcPr>
            <w:tcW w:w="844" w:type="dxa"/>
            <w:noWrap w:val="0"/>
            <w:vAlign w:val="center"/>
          </w:tcPr>
          <w:p w14:paraId="7214B38F">
            <w:pPr>
              <w:pageBreakBefore w:val="0"/>
              <w:kinsoku/>
              <w:overflowPunct/>
              <w:topLinePunct w:val="0"/>
              <w:bidi w:val="0"/>
              <w:spacing w:afterAutospacing="0" w:line="360" w:lineRule="auto"/>
              <w:rPr>
                <w:rFonts w:hint="eastAsia" w:ascii="宋体" w:hAnsi="宋体" w:eastAsia="宋体" w:cs="宋体"/>
                <w:sz w:val="21"/>
                <w:szCs w:val="21"/>
              </w:rPr>
            </w:pPr>
          </w:p>
        </w:tc>
      </w:tr>
      <w:tr w14:paraId="5951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7" w:type="dxa"/>
            <w:noWrap w:val="0"/>
            <w:vAlign w:val="center"/>
          </w:tcPr>
          <w:p w14:paraId="569DE7A6">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11</w:t>
            </w:r>
          </w:p>
        </w:tc>
        <w:tc>
          <w:tcPr>
            <w:tcW w:w="4116" w:type="dxa"/>
            <w:noWrap w:val="0"/>
            <w:vAlign w:val="center"/>
          </w:tcPr>
          <w:p w14:paraId="042FA8C1">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接送学生高峰期不站岗，不维护校门交通秩序；</w:t>
            </w:r>
          </w:p>
        </w:tc>
        <w:tc>
          <w:tcPr>
            <w:tcW w:w="3135" w:type="dxa"/>
            <w:noWrap w:val="0"/>
            <w:vAlign w:val="center"/>
          </w:tcPr>
          <w:p w14:paraId="0ED5492E">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未按规定，每人次扣1分</w:t>
            </w:r>
          </w:p>
        </w:tc>
        <w:tc>
          <w:tcPr>
            <w:tcW w:w="844" w:type="dxa"/>
            <w:noWrap w:val="0"/>
            <w:vAlign w:val="center"/>
          </w:tcPr>
          <w:p w14:paraId="52162F77">
            <w:pPr>
              <w:pageBreakBefore w:val="0"/>
              <w:kinsoku/>
              <w:overflowPunct/>
              <w:topLinePunct w:val="0"/>
              <w:bidi w:val="0"/>
              <w:spacing w:afterAutospacing="0" w:line="360" w:lineRule="auto"/>
              <w:rPr>
                <w:rFonts w:hint="eastAsia" w:ascii="宋体" w:hAnsi="宋体" w:eastAsia="宋体" w:cs="宋体"/>
                <w:sz w:val="21"/>
                <w:szCs w:val="21"/>
              </w:rPr>
            </w:pPr>
          </w:p>
        </w:tc>
      </w:tr>
      <w:tr w14:paraId="47A1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767" w:type="dxa"/>
            <w:noWrap w:val="0"/>
            <w:vAlign w:val="center"/>
          </w:tcPr>
          <w:p w14:paraId="31C86616">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12</w:t>
            </w:r>
          </w:p>
        </w:tc>
        <w:tc>
          <w:tcPr>
            <w:tcW w:w="4116" w:type="dxa"/>
            <w:noWrap w:val="0"/>
            <w:vAlign w:val="center"/>
          </w:tcPr>
          <w:p w14:paraId="1D84477F">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不按规定对外来人员进行来访登记；</w:t>
            </w:r>
          </w:p>
        </w:tc>
        <w:tc>
          <w:tcPr>
            <w:tcW w:w="3135" w:type="dxa"/>
            <w:noWrap w:val="0"/>
            <w:vAlign w:val="center"/>
          </w:tcPr>
          <w:p w14:paraId="04CEDEAF">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每次扣0.2分</w:t>
            </w:r>
          </w:p>
        </w:tc>
        <w:tc>
          <w:tcPr>
            <w:tcW w:w="844" w:type="dxa"/>
            <w:noWrap w:val="0"/>
            <w:vAlign w:val="center"/>
          </w:tcPr>
          <w:p w14:paraId="7EC59F3E">
            <w:pPr>
              <w:pageBreakBefore w:val="0"/>
              <w:kinsoku/>
              <w:overflowPunct/>
              <w:topLinePunct w:val="0"/>
              <w:bidi w:val="0"/>
              <w:spacing w:afterAutospacing="0" w:line="360" w:lineRule="auto"/>
              <w:rPr>
                <w:rFonts w:hint="eastAsia" w:ascii="宋体" w:hAnsi="宋体" w:eastAsia="宋体" w:cs="宋体"/>
                <w:sz w:val="21"/>
                <w:szCs w:val="21"/>
              </w:rPr>
            </w:pPr>
          </w:p>
        </w:tc>
      </w:tr>
      <w:tr w14:paraId="2914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67" w:type="dxa"/>
            <w:noWrap w:val="0"/>
            <w:vAlign w:val="center"/>
          </w:tcPr>
          <w:p w14:paraId="08E43810">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13</w:t>
            </w:r>
          </w:p>
        </w:tc>
        <w:tc>
          <w:tcPr>
            <w:tcW w:w="4116" w:type="dxa"/>
            <w:noWrap w:val="0"/>
            <w:vAlign w:val="center"/>
          </w:tcPr>
          <w:p w14:paraId="055BA2C8">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不按规定控制和查验出入的各类车辆；</w:t>
            </w:r>
          </w:p>
        </w:tc>
        <w:tc>
          <w:tcPr>
            <w:tcW w:w="3135" w:type="dxa"/>
            <w:noWrap w:val="0"/>
            <w:vAlign w:val="center"/>
          </w:tcPr>
          <w:p w14:paraId="15E103B7">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每次扣0.2分</w:t>
            </w:r>
          </w:p>
        </w:tc>
        <w:tc>
          <w:tcPr>
            <w:tcW w:w="844" w:type="dxa"/>
            <w:noWrap w:val="0"/>
            <w:vAlign w:val="center"/>
          </w:tcPr>
          <w:p w14:paraId="61C02A78">
            <w:pPr>
              <w:pageBreakBefore w:val="0"/>
              <w:kinsoku/>
              <w:overflowPunct/>
              <w:topLinePunct w:val="0"/>
              <w:bidi w:val="0"/>
              <w:spacing w:afterAutospacing="0" w:line="360" w:lineRule="auto"/>
              <w:rPr>
                <w:rFonts w:hint="eastAsia" w:ascii="宋体" w:hAnsi="宋体" w:eastAsia="宋体" w:cs="宋体"/>
                <w:sz w:val="21"/>
                <w:szCs w:val="21"/>
              </w:rPr>
            </w:pPr>
          </w:p>
        </w:tc>
      </w:tr>
      <w:tr w14:paraId="19F4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7" w:type="dxa"/>
            <w:noWrap w:val="0"/>
            <w:vAlign w:val="center"/>
          </w:tcPr>
          <w:p w14:paraId="014A9F4F">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14</w:t>
            </w:r>
          </w:p>
        </w:tc>
        <w:tc>
          <w:tcPr>
            <w:tcW w:w="4116" w:type="dxa"/>
            <w:noWrap w:val="0"/>
            <w:vAlign w:val="center"/>
          </w:tcPr>
          <w:p w14:paraId="5D3C1946">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当班不定时巡逻，巡逻不到位；</w:t>
            </w:r>
          </w:p>
        </w:tc>
        <w:tc>
          <w:tcPr>
            <w:tcW w:w="3135" w:type="dxa"/>
            <w:noWrap w:val="0"/>
            <w:vAlign w:val="center"/>
          </w:tcPr>
          <w:p w14:paraId="4B1B652D">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每次扣0.2分</w:t>
            </w:r>
          </w:p>
        </w:tc>
        <w:tc>
          <w:tcPr>
            <w:tcW w:w="844" w:type="dxa"/>
            <w:noWrap w:val="0"/>
            <w:vAlign w:val="center"/>
          </w:tcPr>
          <w:p w14:paraId="19290E9B">
            <w:pPr>
              <w:pageBreakBefore w:val="0"/>
              <w:kinsoku/>
              <w:overflowPunct/>
              <w:topLinePunct w:val="0"/>
              <w:bidi w:val="0"/>
              <w:spacing w:afterAutospacing="0" w:line="360" w:lineRule="auto"/>
              <w:rPr>
                <w:rFonts w:hint="eastAsia" w:ascii="宋体" w:hAnsi="宋体" w:eastAsia="宋体" w:cs="宋体"/>
                <w:sz w:val="21"/>
                <w:szCs w:val="21"/>
              </w:rPr>
            </w:pPr>
          </w:p>
        </w:tc>
      </w:tr>
      <w:tr w14:paraId="71A5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7" w:type="dxa"/>
            <w:noWrap w:val="0"/>
            <w:vAlign w:val="center"/>
          </w:tcPr>
          <w:p w14:paraId="4CFBED95">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15</w:t>
            </w:r>
          </w:p>
        </w:tc>
        <w:tc>
          <w:tcPr>
            <w:tcW w:w="4116" w:type="dxa"/>
            <w:noWrap w:val="0"/>
            <w:vAlign w:val="center"/>
          </w:tcPr>
          <w:p w14:paraId="6C362C40">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保安员正确并熟练使用学校物防、技防器材和设施设备；</w:t>
            </w:r>
          </w:p>
        </w:tc>
        <w:tc>
          <w:tcPr>
            <w:tcW w:w="3135" w:type="dxa"/>
            <w:noWrap w:val="0"/>
            <w:vAlign w:val="center"/>
          </w:tcPr>
          <w:p w14:paraId="20D66A0D">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未按规定，每人次扣0.2分</w:t>
            </w:r>
          </w:p>
        </w:tc>
        <w:tc>
          <w:tcPr>
            <w:tcW w:w="844" w:type="dxa"/>
            <w:noWrap w:val="0"/>
            <w:vAlign w:val="center"/>
          </w:tcPr>
          <w:p w14:paraId="38C55F6C">
            <w:pPr>
              <w:pageBreakBefore w:val="0"/>
              <w:kinsoku/>
              <w:overflowPunct/>
              <w:topLinePunct w:val="0"/>
              <w:bidi w:val="0"/>
              <w:spacing w:afterAutospacing="0" w:line="360" w:lineRule="auto"/>
              <w:rPr>
                <w:rFonts w:hint="eastAsia" w:ascii="宋体" w:hAnsi="宋体" w:eastAsia="宋体" w:cs="宋体"/>
                <w:sz w:val="21"/>
                <w:szCs w:val="21"/>
              </w:rPr>
            </w:pPr>
          </w:p>
        </w:tc>
      </w:tr>
      <w:tr w14:paraId="2E56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780079F">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16</w:t>
            </w:r>
          </w:p>
        </w:tc>
        <w:tc>
          <w:tcPr>
            <w:tcW w:w="4116" w:type="dxa"/>
            <w:noWrap w:val="0"/>
            <w:vAlign w:val="center"/>
          </w:tcPr>
          <w:p w14:paraId="1591511F">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违反保安器材使用规定，私自随便转借和使用；</w:t>
            </w:r>
          </w:p>
        </w:tc>
        <w:tc>
          <w:tcPr>
            <w:tcW w:w="3135" w:type="dxa"/>
            <w:noWrap w:val="0"/>
            <w:vAlign w:val="center"/>
          </w:tcPr>
          <w:p w14:paraId="7056CB92">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每次扣1分</w:t>
            </w:r>
          </w:p>
        </w:tc>
        <w:tc>
          <w:tcPr>
            <w:tcW w:w="844" w:type="dxa"/>
            <w:noWrap w:val="0"/>
            <w:vAlign w:val="center"/>
          </w:tcPr>
          <w:p w14:paraId="61B88513">
            <w:pPr>
              <w:pageBreakBefore w:val="0"/>
              <w:kinsoku/>
              <w:overflowPunct/>
              <w:topLinePunct w:val="0"/>
              <w:bidi w:val="0"/>
              <w:spacing w:afterAutospacing="0" w:line="360" w:lineRule="auto"/>
              <w:rPr>
                <w:rFonts w:hint="eastAsia" w:ascii="宋体" w:hAnsi="宋体" w:eastAsia="宋体" w:cs="宋体"/>
                <w:sz w:val="21"/>
                <w:szCs w:val="21"/>
              </w:rPr>
            </w:pPr>
          </w:p>
        </w:tc>
      </w:tr>
      <w:tr w14:paraId="4404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67" w:type="dxa"/>
            <w:noWrap w:val="0"/>
            <w:vAlign w:val="center"/>
          </w:tcPr>
          <w:p w14:paraId="388F535C">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17</w:t>
            </w:r>
          </w:p>
        </w:tc>
        <w:tc>
          <w:tcPr>
            <w:tcW w:w="4116" w:type="dxa"/>
            <w:noWrap w:val="0"/>
            <w:vAlign w:val="center"/>
          </w:tcPr>
          <w:p w14:paraId="3322B8C9">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故意损坏配发值班使用的器械或其它物品；</w:t>
            </w:r>
          </w:p>
        </w:tc>
        <w:tc>
          <w:tcPr>
            <w:tcW w:w="3135" w:type="dxa"/>
            <w:noWrap w:val="0"/>
            <w:vAlign w:val="center"/>
          </w:tcPr>
          <w:p w14:paraId="5FE1E575">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每次扣1分</w:t>
            </w:r>
          </w:p>
        </w:tc>
        <w:tc>
          <w:tcPr>
            <w:tcW w:w="844" w:type="dxa"/>
            <w:noWrap w:val="0"/>
            <w:vAlign w:val="center"/>
          </w:tcPr>
          <w:p w14:paraId="538A0625">
            <w:pPr>
              <w:pageBreakBefore w:val="0"/>
              <w:kinsoku/>
              <w:overflowPunct/>
              <w:topLinePunct w:val="0"/>
              <w:bidi w:val="0"/>
              <w:spacing w:afterAutospacing="0" w:line="360" w:lineRule="auto"/>
              <w:rPr>
                <w:rFonts w:hint="eastAsia" w:ascii="宋体" w:hAnsi="宋体" w:eastAsia="宋体" w:cs="宋体"/>
                <w:sz w:val="21"/>
                <w:szCs w:val="21"/>
              </w:rPr>
            </w:pPr>
          </w:p>
        </w:tc>
      </w:tr>
      <w:tr w14:paraId="37BE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5D85E39A">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18</w:t>
            </w:r>
          </w:p>
        </w:tc>
        <w:tc>
          <w:tcPr>
            <w:tcW w:w="4116" w:type="dxa"/>
            <w:noWrap w:val="0"/>
            <w:vAlign w:val="center"/>
          </w:tcPr>
          <w:p w14:paraId="2CA69AF9">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扣留物品不登记，不上交；捡拾物品不报告，不上交；</w:t>
            </w:r>
          </w:p>
        </w:tc>
        <w:tc>
          <w:tcPr>
            <w:tcW w:w="3135" w:type="dxa"/>
            <w:noWrap w:val="0"/>
            <w:vAlign w:val="center"/>
          </w:tcPr>
          <w:p w14:paraId="487E6AD9">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每次扣1分</w:t>
            </w:r>
          </w:p>
        </w:tc>
        <w:tc>
          <w:tcPr>
            <w:tcW w:w="844" w:type="dxa"/>
            <w:noWrap w:val="0"/>
            <w:vAlign w:val="center"/>
          </w:tcPr>
          <w:p w14:paraId="381B3FA4">
            <w:pPr>
              <w:pageBreakBefore w:val="0"/>
              <w:kinsoku/>
              <w:overflowPunct/>
              <w:topLinePunct w:val="0"/>
              <w:bidi w:val="0"/>
              <w:spacing w:afterAutospacing="0" w:line="360" w:lineRule="auto"/>
              <w:rPr>
                <w:rFonts w:hint="eastAsia" w:ascii="宋体" w:hAnsi="宋体" w:eastAsia="宋体" w:cs="宋体"/>
                <w:sz w:val="21"/>
                <w:szCs w:val="21"/>
              </w:rPr>
            </w:pPr>
          </w:p>
        </w:tc>
      </w:tr>
      <w:tr w14:paraId="49EC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67" w:type="dxa"/>
            <w:noWrap w:val="0"/>
            <w:vAlign w:val="center"/>
          </w:tcPr>
          <w:p w14:paraId="5BC968D8">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19</w:t>
            </w:r>
          </w:p>
        </w:tc>
        <w:tc>
          <w:tcPr>
            <w:tcW w:w="4116" w:type="dxa"/>
            <w:noWrap w:val="0"/>
            <w:vAlign w:val="center"/>
          </w:tcPr>
          <w:p w14:paraId="2819F141">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对来访者态度粗暴，未能使用礼貌语言；</w:t>
            </w:r>
          </w:p>
        </w:tc>
        <w:tc>
          <w:tcPr>
            <w:tcW w:w="3135" w:type="dxa"/>
            <w:noWrap w:val="0"/>
            <w:vAlign w:val="center"/>
          </w:tcPr>
          <w:p w14:paraId="065409E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未按规定，每次扣0.2分</w:t>
            </w:r>
          </w:p>
        </w:tc>
        <w:tc>
          <w:tcPr>
            <w:tcW w:w="844" w:type="dxa"/>
            <w:noWrap w:val="0"/>
            <w:vAlign w:val="center"/>
          </w:tcPr>
          <w:p w14:paraId="27D209EA">
            <w:pPr>
              <w:pageBreakBefore w:val="0"/>
              <w:kinsoku/>
              <w:overflowPunct/>
              <w:topLinePunct w:val="0"/>
              <w:bidi w:val="0"/>
              <w:spacing w:afterAutospacing="0" w:line="360" w:lineRule="auto"/>
              <w:rPr>
                <w:rFonts w:hint="eastAsia" w:ascii="宋体" w:hAnsi="宋体" w:eastAsia="宋体" w:cs="宋体"/>
                <w:sz w:val="21"/>
                <w:szCs w:val="21"/>
              </w:rPr>
            </w:pPr>
          </w:p>
        </w:tc>
      </w:tr>
      <w:tr w14:paraId="7AED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67" w:type="dxa"/>
            <w:noWrap w:val="0"/>
            <w:vAlign w:val="center"/>
          </w:tcPr>
          <w:p w14:paraId="0CB5B495">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20</w:t>
            </w:r>
          </w:p>
        </w:tc>
        <w:tc>
          <w:tcPr>
            <w:tcW w:w="4116" w:type="dxa"/>
            <w:noWrap w:val="0"/>
            <w:vAlign w:val="center"/>
          </w:tcPr>
          <w:p w14:paraId="78B10A9D">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当班值班室、休息室内务杂乱、不整洁；</w:t>
            </w:r>
          </w:p>
        </w:tc>
        <w:tc>
          <w:tcPr>
            <w:tcW w:w="3135" w:type="dxa"/>
            <w:noWrap w:val="0"/>
            <w:vAlign w:val="center"/>
          </w:tcPr>
          <w:p w14:paraId="30D987F9">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未按规定，每次扣0.2分</w:t>
            </w:r>
          </w:p>
        </w:tc>
        <w:tc>
          <w:tcPr>
            <w:tcW w:w="844" w:type="dxa"/>
            <w:noWrap w:val="0"/>
            <w:vAlign w:val="center"/>
          </w:tcPr>
          <w:p w14:paraId="1D60FB9D">
            <w:pPr>
              <w:pageBreakBefore w:val="0"/>
              <w:kinsoku/>
              <w:overflowPunct/>
              <w:topLinePunct w:val="0"/>
              <w:bidi w:val="0"/>
              <w:spacing w:afterAutospacing="0" w:line="360" w:lineRule="auto"/>
              <w:rPr>
                <w:rFonts w:hint="eastAsia" w:ascii="宋体" w:hAnsi="宋体" w:eastAsia="宋体" w:cs="宋体"/>
                <w:sz w:val="21"/>
                <w:szCs w:val="21"/>
              </w:rPr>
            </w:pPr>
          </w:p>
        </w:tc>
      </w:tr>
      <w:tr w14:paraId="2809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67" w:type="dxa"/>
            <w:noWrap w:val="0"/>
            <w:vAlign w:val="center"/>
          </w:tcPr>
          <w:p w14:paraId="716D40A8">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21</w:t>
            </w:r>
          </w:p>
        </w:tc>
        <w:tc>
          <w:tcPr>
            <w:tcW w:w="4116" w:type="dxa"/>
            <w:noWrap w:val="0"/>
            <w:vAlign w:val="center"/>
          </w:tcPr>
          <w:p w14:paraId="683F7108">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保安器材未按指定地点存放；</w:t>
            </w:r>
          </w:p>
        </w:tc>
        <w:tc>
          <w:tcPr>
            <w:tcW w:w="3135" w:type="dxa"/>
            <w:noWrap w:val="0"/>
            <w:vAlign w:val="center"/>
          </w:tcPr>
          <w:p w14:paraId="0051DF2D">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发现一次扣0.5分</w:t>
            </w:r>
          </w:p>
        </w:tc>
        <w:tc>
          <w:tcPr>
            <w:tcW w:w="844" w:type="dxa"/>
            <w:noWrap w:val="0"/>
            <w:vAlign w:val="center"/>
          </w:tcPr>
          <w:p w14:paraId="5403C5BB">
            <w:pPr>
              <w:pageBreakBefore w:val="0"/>
              <w:kinsoku/>
              <w:overflowPunct/>
              <w:topLinePunct w:val="0"/>
              <w:bidi w:val="0"/>
              <w:spacing w:afterAutospacing="0" w:line="360" w:lineRule="auto"/>
              <w:rPr>
                <w:rFonts w:hint="eastAsia" w:ascii="宋体" w:hAnsi="宋体" w:eastAsia="宋体" w:cs="宋体"/>
                <w:sz w:val="21"/>
                <w:szCs w:val="21"/>
              </w:rPr>
            </w:pPr>
          </w:p>
        </w:tc>
      </w:tr>
      <w:tr w14:paraId="33A2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3ED17FA6">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4116" w:type="dxa"/>
            <w:noWrap w:val="0"/>
            <w:vAlign w:val="center"/>
          </w:tcPr>
          <w:p w14:paraId="591E6878">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执勤中不认真盘问查证，私放不明物资出校的，有其他情节，后果严重的，要送交司法机关处理；</w:t>
            </w:r>
          </w:p>
        </w:tc>
        <w:tc>
          <w:tcPr>
            <w:tcW w:w="3135" w:type="dxa"/>
            <w:noWrap w:val="0"/>
            <w:vAlign w:val="center"/>
          </w:tcPr>
          <w:p w14:paraId="5E7540F8">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发现一次除赔偿损失外，另扣分0.5分</w:t>
            </w:r>
          </w:p>
        </w:tc>
        <w:tc>
          <w:tcPr>
            <w:tcW w:w="844" w:type="dxa"/>
            <w:noWrap w:val="0"/>
            <w:vAlign w:val="center"/>
          </w:tcPr>
          <w:p w14:paraId="70D6FE2B">
            <w:pPr>
              <w:pageBreakBefore w:val="0"/>
              <w:kinsoku/>
              <w:overflowPunct/>
              <w:topLinePunct w:val="0"/>
              <w:bidi w:val="0"/>
              <w:spacing w:afterAutospacing="0" w:line="360" w:lineRule="auto"/>
              <w:rPr>
                <w:rFonts w:hint="eastAsia" w:ascii="宋体" w:hAnsi="宋体" w:eastAsia="宋体" w:cs="宋体"/>
                <w:sz w:val="21"/>
                <w:szCs w:val="21"/>
              </w:rPr>
            </w:pPr>
          </w:p>
        </w:tc>
      </w:tr>
      <w:tr w14:paraId="3B3A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672536F2">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4116" w:type="dxa"/>
            <w:noWrap w:val="0"/>
            <w:vAlign w:val="center"/>
          </w:tcPr>
          <w:p w14:paraId="28B56D5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保安人员在执勤中不严格仔细执行门卫盘问、检查责任，致使不明身份的人员、车辆出入学校；</w:t>
            </w:r>
          </w:p>
        </w:tc>
        <w:tc>
          <w:tcPr>
            <w:tcW w:w="3135" w:type="dxa"/>
            <w:noWrap w:val="0"/>
            <w:vAlign w:val="center"/>
          </w:tcPr>
          <w:p w14:paraId="197B1022">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发现一次扣0.5分</w:t>
            </w:r>
          </w:p>
        </w:tc>
        <w:tc>
          <w:tcPr>
            <w:tcW w:w="844" w:type="dxa"/>
            <w:noWrap w:val="0"/>
            <w:vAlign w:val="center"/>
          </w:tcPr>
          <w:p w14:paraId="118F293C">
            <w:pPr>
              <w:pageBreakBefore w:val="0"/>
              <w:kinsoku/>
              <w:overflowPunct/>
              <w:topLinePunct w:val="0"/>
              <w:bidi w:val="0"/>
              <w:spacing w:afterAutospacing="0" w:line="360" w:lineRule="auto"/>
              <w:rPr>
                <w:rFonts w:hint="eastAsia" w:ascii="宋体" w:hAnsi="宋体" w:eastAsia="宋体" w:cs="宋体"/>
                <w:sz w:val="21"/>
                <w:szCs w:val="21"/>
              </w:rPr>
            </w:pPr>
          </w:p>
        </w:tc>
      </w:tr>
      <w:tr w14:paraId="6395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67" w:type="dxa"/>
            <w:noWrap w:val="0"/>
            <w:vAlign w:val="center"/>
          </w:tcPr>
          <w:p w14:paraId="034986AC">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4116" w:type="dxa"/>
            <w:noWrap w:val="0"/>
            <w:vAlign w:val="center"/>
          </w:tcPr>
          <w:p w14:paraId="082280DB">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发现安全隐患不及时处理和报告；</w:t>
            </w:r>
          </w:p>
        </w:tc>
        <w:tc>
          <w:tcPr>
            <w:tcW w:w="3135" w:type="dxa"/>
            <w:noWrap w:val="0"/>
            <w:vAlign w:val="center"/>
          </w:tcPr>
          <w:p w14:paraId="5142065D">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扣2分</w:t>
            </w:r>
          </w:p>
        </w:tc>
        <w:tc>
          <w:tcPr>
            <w:tcW w:w="844" w:type="dxa"/>
            <w:noWrap w:val="0"/>
            <w:vAlign w:val="center"/>
          </w:tcPr>
          <w:p w14:paraId="499C4870">
            <w:pPr>
              <w:pageBreakBefore w:val="0"/>
              <w:kinsoku/>
              <w:overflowPunct/>
              <w:topLinePunct w:val="0"/>
              <w:bidi w:val="0"/>
              <w:spacing w:afterAutospacing="0" w:line="360" w:lineRule="auto"/>
              <w:rPr>
                <w:rFonts w:hint="eastAsia" w:ascii="宋体" w:hAnsi="宋体" w:eastAsia="宋体" w:cs="宋体"/>
                <w:sz w:val="21"/>
                <w:szCs w:val="21"/>
              </w:rPr>
            </w:pPr>
          </w:p>
        </w:tc>
      </w:tr>
      <w:tr w14:paraId="793B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154E554A">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25</w:t>
            </w:r>
          </w:p>
        </w:tc>
        <w:tc>
          <w:tcPr>
            <w:tcW w:w="4116" w:type="dxa"/>
            <w:noWrap w:val="0"/>
            <w:vAlign w:val="center"/>
          </w:tcPr>
          <w:p w14:paraId="158C01B0">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学生或其他人人身安全受到威胁或遇到突发性事件等紧急情况，临阵脱逃或坐视不理；</w:t>
            </w:r>
          </w:p>
        </w:tc>
        <w:tc>
          <w:tcPr>
            <w:tcW w:w="3135" w:type="dxa"/>
            <w:noWrap w:val="0"/>
            <w:vAlign w:val="center"/>
          </w:tcPr>
          <w:p w14:paraId="731968A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扣2分</w:t>
            </w:r>
          </w:p>
        </w:tc>
        <w:tc>
          <w:tcPr>
            <w:tcW w:w="844" w:type="dxa"/>
            <w:noWrap w:val="0"/>
            <w:vAlign w:val="center"/>
          </w:tcPr>
          <w:p w14:paraId="3BA8B23F">
            <w:pPr>
              <w:pageBreakBefore w:val="0"/>
              <w:kinsoku/>
              <w:overflowPunct/>
              <w:topLinePunct w:val="0"/>
              <w:bidi w:val="0"/>
              <w:spacing w:afterAutospacing="0" w:line="360" w:lineRule="auto"/>
              <w:rPr>
                <w:rFonts w:hint="eastAsia" w:ascii="宋体" w:hAnsi="宋体" w:eastAsia="宋体" w:cs="宋体"/>
                <w:sz w:val="21"/>
                <w:szCs w:val="21"/>
              </w:rPr>
            </w:pPr>
          </w:p>
        </w:tc>
      </w:tr>
      <w:tr w14:paraId="2603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14:paraId="2BCC85B8">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26</w:t>
            </w:r>
          </w:p>
        </w:tc>
        <w:tc>
          <w:tcPr>
            <w:tcW w:w="4116" w:type="dxa"/>
            <w:noWrap w:val="0"/>
            <w:vAlign w:val="center"/>
          </w:tcPr>
          <w:p w14:paraId="0C1CE6C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当班玩忽职守，疏于防范，致使发生安全事故；</w:t>
            </w:r>
          </w:p>
        </w:tc>
        <w:tc>
          <w:tcPr>
            <w:tcW w:w="3135" w:type="dxa"/>
            <w:noWrap w:val="0"/>
            <w:vAlign w:val="center"/>
          </w:tcPr>
          <w:p w14:paraId="66C83919">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扣2分</w:t>
            </w:r>
          </w:p>
        </w:tc>
        <w:tc>
          <w:tcPr>
            <w:tcW w:w="844" w:type="dxa"/>
            <w:noWrap w:val="0"/>
            <w:vAlign w:val="center"/>
          </w:tcPr>
          <w:p w14:paraId="3F689651">
            <w:pPr>
              <w:pageBreakBefore w:val="0"/>
              <w:kinsoku/>
              <w:overflowPunct/>
              <w:topLinePunct w:val="0"/>
              <w:bidi w:val="0"/>
              <w:spacing w:afterAutospacing="0" w:line="360" w:lineRule="auto"/>
              <w:rPr>
                <w:rFonts w:hint="eastAsia" w:ascii="宋体" w:hAnsi="宋体" w:eastAsia="宋体" w:cs="宋体"/>
                <w:sz w:val="21"/>
                <w:szCs w:val="21"/>
              </w:rPr>
            </w:pPr>
          </w:p>
        </w:tc>
      </w:tr>
      <w:tr w14:paraId="022E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7" w:type="dxa"/>
            <w:noWrap w:val="0"/>
            <w:vAlign w:val="center"/>
          </w:tcPr>
          <w:p w14:paraId="35A6FA60">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27</w:t>
            </w:r>
          </w:p>
        </w:tc>
        <w:tc>
          <w:tcPr>
            <w:tcW w:w="4116" w:type="dxa"/>
            <w:noWrap w:val="0"/>
            <w:vAlign w:val="center"/>
          </w:tcPr>
          <w:p w14:paraId="1B1C3C83">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校内发生治安刑事案件、纠纷或打架等特殊事件不及时处理；</w:t>
            </w:r>
          </w:p>
        </w:tc>
        <w:tc>
          <w:tcPr>
            <w:tcW w:w="3135" w:type="dxa"/>
            <w:noWrap w:val="0"/>
            <w:vAlign w:val="center"/>
          </w:tcPr>
          <w:p w14:paraId="200DFF71">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扣2分</w:t>
            </w:r>
          </w:p>
        </w:tc>
        <w:tc>
          <w:tcPr>
            <w:tcW w:w="844" w:type="dxa"/>
            <w:noWrap w:val="0"/>
            <w:vAlign w:val="center"/>
          </w:tcPr>
          <w:p w14:paraId="4ED1D0B8">
            <w:pPr>
              <w:pageBreakBefore w:val="0"/>
              <w:kinsoku/>
              <w:overflowPunct/>
              <w:topLinePunct w:val="0"/>
              <w:bidi w:val="0"/>
              <w:spacing w:afterAutospacing="0" w:line="360" w:lineRule="auto"/>
              <w:rPr>
                <w:rFonts w:hint="eastAsia" w:ascii="宋体" w:hAnsi="宋体" w:eastAsia="宋体" w:cs="宋体"/>
                <w:sz w:val="21"/>
                <w:szCs w:val="21"/>
              </w:rPr>
            </w:pPr>
          </w:p>
        </w:tc>
      </w:tr>
      <w:tr w14:paraId="7B37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67" w:type="dxa"/>
            <w:noWrap w:val="0"/>
            <w:vAlign w:val="center"/>
          </w:tcPr>
          <w:p w14:paraId="29A569F2">
            <w:pPr>
              <w:pageBreakBefore w:val="0"/>
              <w:kinsoku/>
              <w:overflowPunct/>
              <w:topLinePunct w:val="0"/>
              <w:bidi w:val="0"/>
              <w:spacing w:afterAutospacing="0" w:line="360" w:lineRule="auto"/>
              <w:jc w:val="center"/>
              <w:rPr>
                <w:rFonts w:hint="eastAsia" w:ascii="宋体" w:hAnsi="宋体" w:eastAsia="宋体" w:cs="宋体"/>
                <w:bCs/>
                <w:sz w:val="21"/>
                <w:szCs w:val="21"/>
              </w:rPr>
            </w:pPr>
            <w:r>
              <w:rPr>
                <w:rFonts w:hint="eastAsia" w:ascii="宋体" w:hAnsi="宋体" w:eastAsia="宋体" w:cs="宋体"/>
                <w:bCs/>
                <w:sz w:val="21"/>
                <w:szCs w:val="21"/>
              </w:rPr>
              <w:t>28</w:t>
            </w:r>
          </w:p>
        </w:tc>
        <w:tc>
          <w:tcPr>
            <w:tcW w:w="4116" w:type="dxa"/>
            <w:noWrap w:val="0"/>
            <w:vAlign w:val="center"/>
          </w:tcPr>
          <w:p w14:paraId="005F3D68">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被省市平安检查中发现安保人员问题并扣分；</w:t>
            </w:r>
          </w:p>
        </w:tc>
        <w:tc>
          <w:tcPr>
            <w:tcW w:w="3135" w:type="dxa"/>
            <w:noWrap w:val="0"/>
            <w:vAlign w:val="center"/>
          </w:tcPr>
          <w:p w14:paraId="223ADE20">
            <w:pPr>
              <w:pageBreakBefore w:val="0"/>
              <w:kinsoku/>
              <w:overflowPunct/>
              <w:topLinePunct w:val="0"/>
              <w:bidi w:val="0"/>
              <w:snapToGrid w:val="0"/>
              <w:spacing w:afterAutospacing="0" w:line="360" w:lineRule="auto"/>
              <w:rPr>
                <w:rFonts w:hint="eastAsia" w:ascii="宋体" w:hAnsi="宋体" w:eastAsia="宋体" w:cs="宋体"/>
                <w:sz w:val="21"/>
                <w:szCs w:val="21"/>
              </w:rPr>
            </w:pPr>
            <w:r>
              <w:rPr>
                <w:rFonts w:hint="eastAsia" w:ascii="宋体" w:hAnsi="宋体" w:eastAsia="宋体" w:cs="宋体"/>
                <w:sz w:val="21"/>
                <w:szCs w:val="21"/>
              </w:rPr>
              <w:t>按省市检查1:1扣分</w:t>
            </w:r>
          </w:p>
        </w:tc>
        <w:tc>
          <w:tcPr>
            <w:tcW w:w="844" w:type="dxa"/>
            <w:noWrap w:val="0"/>
            <w:vAlign w:val="center"/>
          </w:tcPr>
          <w:p w14:paraId="52F9780D">
            <w:pPr>
              <w:pageBreakBefore w:val="0"/>
              <w:kinsoku/>
              <w:overflowPunct/>
              <w:topLinePunct w:val="0"/>
              <w:bidi w:val="0"/>
              <w:spacing w:afterAutospacing="0" w:line="360" w:lineRule="auto"/>
              <w:rPr>
                <w:rFonts w:hint="eastAsia" w:ascii="宋体" w:hAnsi="宋体" w:eastAsia="宋体" w:cs="宋体"/>
                <w:sz w:val="21"/>
                <w:szCs w:val="21"/>
              </w:rPr>
            </w:pPr>
          </w:p>
        </w:tc>
      </w:tr>
    </w:tbl>
    <w:p w14:paraId="53D40B3D">
      <w:pPr>
        <w:pStyle w:val="49"/>
        <w:spacing w:line="360" w:lineRule="exact"/>
        <w:ind w:left="300" w:right="225" w:firstLine="480"/>
        <w:rPr>
          <w:rFonts w:eastAsia="宋体" w:cs="宋体"/>
          <w:sz w:val="21"/>
          <w:szCs w:val="21"/>
        </w:rPr>
      </w:pPr>
    </w:p>
    <w:p w14:paraId="02F88263">
      <w:pPr>
        <w:snapToGrid w:val="0"/>
        <w:spacing w:beforeLines="50" w:afterLines="50" w:line="400" w:lineRule="exact"/>
        <w:rPr>
          <w:rFonts w:ascii="宋体" w:hAnsi="宋体" w:eastAsia="宋体" w:cs="宋体"/>
          <w:b/>
          <w:sz w:val="30"/>
          <w:szCs w:val="30"/>
        </w:rPr>
      </w:pPr>
      <w:r>
        <w:rPr>
          <w:rFonts w:hint="eastAsia" w:ascii="宋体" w:hAnsi="宋体" w:eastAsia="宋体" w:cs="宋体"/>
          <w:b/>
          <w:bCs/>
          <w:szCs w:val="21"/>
        </w:rPr>
        <w:t>注：本合同作为示范文本，具体以成交供应商与采购人所签定正式合同为准。</w:t>
      </w:r>
      <w:bookmarkStart w:id="48" w:name="_Toc14600"/>
    </w:p>
    <w:p w14:paraId="744BB950">
      <w:pPr>
        <w:rPr>
          <w:rFonts w:ascii="宋体" w:hAnsi="宋体" w:eastAsia="宋体" w:cs="宋体"/>
          <w:b/>
          <w:sz w:val="30"/>
          <w:szCs w:val="30"/>
        </w:rPr>
      </w:pPr>
    </w:p>
    <w:p w14:paraId="53E36876">
      <w:pPr>
        <w:pStyle w:val="53"/>
        <w:ind w:firstLine="210"/>
      </w:pPr>
    </w:p>
    <w:p w14:paraId="3F0902BF"/>
    <w:p w14:paraId="47F3A49B">
      <w:pPr>
        <w:pStyle w:val="53"/>
        <w:ind w:firstLine="0" w:firstLineChars="0"/>
      </w:pPr>
    </w:p>
    <w:p w14:paraId="5C8B474D">
      <w:pPr>
        <w:spacing w:line="360" w:lineRule="auto"/>
        <w:jc w:val="center"/>
        <w:outlineLvl w:val="0"/>
        <w:rPr>
          <w:rFonts w:ascii="宋体" w:hAnsi="宋体" w:eastAsia="宋体" w:cs="宋体"/>
          <w:b/>
          <w:sz w:val="30"/>
          <w:szCs w:val="30"/>
        </w:rPr>
      </w:pPr>
    </w:p>
    <w:p w14:paraId="412B651C">
      <w:pPr>
        <w:spacing w:line="360" w:lineRule="auto"/>
        <w:jc w:val="center"/>
        <w:outlineLvl w:val="0"/>
        <w:rPr>
          <w:rFonts w:ascii="宋体" w:hAnsi="宋体" w:eastAsia="宋体" w:cs="宋体"/>
          <w:b/>
          <w:sz w:val="30"/>
          <w:szCs w:val="30"/>
        </w:rPr>
      </w:pPr>
    </w:p>
    <w:p w14:paraId="6C78C9EC">
      <w:pPr>
        <w:spacing w:line="360" w:lineRule="auto"/>
        <w:jc w:val="center"/>
        <w:outlineLvl w:val="0"/>
        <w:rPr>
          <w:rFonts w:ascii="宋体" w:hAnsi="宋体" w:eastAsia="宋体" w:cs="宋体"/>
          <w:b/>
          <w:sz w:val="30"/>
          <w:szCs w:val="30"/>
        </w:rPr>
      </w:pPr>
    </w:p>
    <w:p w14:paraId="755A5A17">
      <w:pPr>
        <w:spacing w:line="360" w:lineRule="auto"/>
        <w:jc w:val="center"/>
        <w:outlineLvl w:val="0"/>
        <w:rPr>
          <w:rFonts w:ascii="宋体" w:hAnsi="宋体" w:eastAsia="宋体" w:cs="宋体"/>
          <w:b/>
          <w:sz w:val="30"/>
          <w:szCs w:val="30"/>
        </w:rPr>
      </w:pPr>
    </w:p>
    <w:p w14:paraId="25847C8C">
      <w:pPr>
        <w:pStyle w:val="53"/>
        <w:rPr>
          <w:rFonts w:ascii="宋体" w:hAnsi="宋体" w:eastAsia="宋体" w:cs="宋体"/>
          <w:b/>
          <w:sz w:val="30"/>
          <w:szCs w:val="30"/>
        </w:rPr>
      </w:pPr>
    </w:p>
    <w:p w14:paraId="00079E88">
      <w:pPr>
        <w:pStyle w:val="53"/>
        <w:rPr>
          <w:rFonts w:ascii="宋体" w:hAnsi="宋体" w:eastAsia="宋体" w:cs="宋体"/>
          <w:b/>
          <w:sz w:val="30"/>
          <w:szCs w:val="30"/>
        </w:rPr>
      </w:pPr>
    </w:p>
    <w:p w14:paraId="739B46DF">
      <w:pPr>
        <w:pStyle w:val="53"/>
        <w:rPr>
          <w:rFonts w:ascii="宋体" w:hAnsi="宋体" w:eastAsia="宋体" w:cs="宋体"/>
          <w:b/>
          <w:sz w:val="30"/>
          <w:szCs w:val="30"/>
        </w:rPr>
      </w:pPr>
    </w:p>
    <w:p w14:paraId="57C581A8">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 xml:space="preserve">第六章 </w:t>
      </w:r>
      <w:bookmarkStart w:id="49" w:name="OLE_LINK7"/>
      <w:bookmarkStart w:id="50" w:name="_Toc31099"/>
      <w:bookmarkStart w:id="51" w:name="_Toc1139"/>
      <w:r>
        <w:rPr>
          <w:rFonts w:hint="eastAsia" w:ascii="宋体" w:hAnsi="宋体" w:eastAsia="宋体" w:cs="宋体"/>
          <w:b/>
          <w:sz w:val="30"/>
          <w:szCs w:val="30"/>
          <w:lang w:val="zh-CN"/>
        </w:rPr>
        <w:t>磋商响应文件</w:t>
      </w:r>
      <w:bookmarkEnd w:id="49"/>
      <w:r>
        <w:rPr>
          <w:rFonts w:hint="eastAsia" w:ascii="宋体" w:hAnsi="宋体" w:eastAsia="宋体" w:cs="宋体"/>
          <w:b/>
          <w:sz w:val="30"/>
          <w:szCs w:val="30"/>
        </w:rPr>
        <w:t>格式</w:t>
      </w:r>
      <w:bookmarkEnd w:id="48"/>
      <w:bookmarkEnd w:id="50"/>
      <w:bookmarkEnd w:id="51"/>
    </w:p>
    <w:p w14:paraId="3D7FF9AA">
      <w:pPr>
        <w:tabs>
          <w:tab w:val="left" w:pos="6674"/>
        </w:tabs>
        <w:jc w:val="center"/>
        <w:rPr>
          <w:rFonts w:ascii="宋体" w:hAnsi="宋体" w:cs="宋体"/>
          <w:spacing w:val="11"/>
          <w:sz w:val="22"/>
          <w:szCs w:val="22"/>
        </w:rPr>
      </w:pPr>
    </w:p>
    <w:p w14:paraId="7111680F">
      <w:pPr>
        <w:tabs>
          <w:tab w:val="left" w:pos="6674"/>
        </w:tabs>
        <w:jc w:val="center"/>
        <w:rPr>
          <w:rFonts w:ascii="宋体" w:hAnsi="宋体" w:eastAsia="宋体" w:cs="宋体"/>
          <w:b/>
          <w:spacing w:val="11"/>
          <w:szCs w:val="21"/>
        </w:rPr>
      </w:pPr>
      <w:r>
        <w:rPr>
          <w:rFonts w:hint="eastAsia" w:ascii="宋体" w:hAnsi="宋体" w:eastAsia="宋体" w:cs="宋体"/>
          <w:spacing w:val="11"/>
          <w:szCs w:val="21"/>
        </w:rPr>
        <w:t>供应商应根据竞争性磋商文件中所提供的格式编制磋商响应文件，对于未提供格式的可自行确定。</w:t>
      </w:r>
    </w:p>
    <w:p w14:paraId="624C4E42">
      <w:pPr>
        <w:pStyle w:val="4"/>
        <w:spacing w:line="160" w:lineRule="exact"/>
        <w:jc w:val="center"/>
        <w:rPr>
          <w:rFonts w:hAnsi="宋体"/>
          <w:spacing w:val="11"/>
          <w:sz w:val="21"/>
          <w:szCs w:val="21"/>
        </w:rPr>
      </w:pPr>
    </w:p>
    <w:p w14:paraId="51FC959D">
      <w:pPr>
        <w:pStyle w:val="4"/>
        <w:jc w:val="center"/>
        <w:rPr>
          <w:rFonts w:hAnsi="宋体"/>
          <w:spacing w:val="11"/>
          <w:sz w:val="21"/>
          <w:szCs w:val="21"/>
          <w:u w:val="none"/>
        </w:rPr>
      </w:pPr>
      <w:r>
        <w:rPr>
          <w:rFonts w:hint="eastAsia" w:hAnsi="宋体"/>
          <w:spacing w:val="11"/>
          <w:sz w:val="21"/>
          <w:szCs w:val="21"/>
          <w:u w:val="none"/>
        </w:rPr>
        <w:t>1.磋商声明书</w:t>
      </w:r>
    </w:p>
    <w:p w14:paraId="3EDDE8AD">
      <w:pPr>
        <w:spacing w:line="400" w:lineRule="exact"/>
        <w:rPr>
          <w:rFonts w:ascii="宋体" w:hAnsi="宋体" w:eastAsia="宋体" w:cs="宋体"/>
          <w:spacing w:val="11"/>
          <w:szCs w:val="21"/>
        </w:rPr>
      </w:pPr>
      <w:r>
        <w:rPr>
          <w:rFonts w:hint="eastAsia" w:ascii="宋体" w:hAnsi="宋体" w:eastAsia="宋体" w:cs="宋体"/>
          <w:spacing w:val="11"/>
          <w:szCs w:val="21"/>
        </w:rPr>
        <w:t>致：（采购单位名称）：</w:t>
      </w:r>
    </w:p>
    <w:p w14:paraId="70A9163A">
      <w:pPr>
        <w:spacing w:line="380" w:lineRule="exact"/>
        <w:ind w:firstLine="696" w:firstLineChars="300"/>
        <w:rPr>
          <w:rFonts w:ascii="宋体" w:hAnsi="宋体" w:eastAsia="宋体" w:cs="宋体"/>
          <w:spacing w:val="11"/>
          <w:szCs w:val="21"/>
        </w:rPr>
      </w:pPr>
      <w:r>
        <w:rPr>
          <w:rFonts w:hint="eastAsia" w:ascii="宋体" w:hAnsi="宋体" w:eastAsia="宋体" w:cs="宋体"/>
          <w:spacing w:val="11"/>
          <w:szCs w:val="21"/>
        </w:rPr>
        <w:t>（供应商名称）系中华人民共和国合法企业，经营地址。</w:t>
      </w:r>
    </w:p>
    <w:p w14:paraId="3D5789AF">
      <w:pPr>
        <w:spacing w:line="380" w:lineRule="exact"/>
        <w:ind w:firstLine="645"/>
        <w:rPr>
          <w:rFonts w:ascii="宋体" w:hAnsi="宋体" w:eastAsia="宋体" w:cs="宋体"/>
          <w:spacing w:val="11"/>
          <w:szCs w:val="21"/>
        </w:rPr>
      </w:pPr>
      <w:r>
        <w:rPr>
          <w:rFonts w:hint="eastAsia" w:ascii="宋体" w:hAnsi="宋体" w:eastAsia="宋体" w:cs="宋体"/>
          <w:spacing w:val="11"/>
          <w:szCs w:val="21"/>
        </w:rPr>
        <w:t>我（姓名）系（供应商名称）的法定代表人，我方愿意参加贵方组织的 项目的磋商，为便于贵方公正、择优地确定成交供应商及其服务，我方就本次磋商有关事项郑重声明如下：</w:t>
      </w:r>
    </w:p>
    <w:p w14:paraId="0ACF810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1.我方向贵方提交的所有磋商响应文件、资料都是准确的和真实的。</w:t>
      </w:r>
    </w:p>
    <w:p w14:paraId="2D13604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2.我方不是采购单位的附属机构；在获知本项目采购信息后，与采购单位聘请的为此项目提供咨询服务的公司及其附属机构没有任何联系。</w:t>
      </w:r>
    </w:p>
    <w:p w14:paraId="464B7249">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3.我方坚决杜绝以收取管理费等形式的一切挂靠、违法转包、分包行为。</w:t>
      </w:r>
    </w:p>
    <w:p w14:paraId="0F60F59A">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4.我方承诺不与其他供应商相互串通，不排挤其他供应商的公平竞争，不损害采购单位或其他供应商的合法权益。</w:t>
      </w:r>
    </w:p>
    <w:p w14:paraId="6EE44FC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5.我方承诺不向采购单位或者磋商小组成员行贿以牟取成交。</w:t>
      </w:r>
    </w:p>
    <w:p w14:paraId="519AC427">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6.我方承诺不以他人名义磋商或者以其他方式弄虚作假，骗取成交。</w:t>
      </w:r>
    </w:p>
    <w:p w14:paraId="423FD156">
      <w:pPr>
        <w:pStyle w:val="22"/>
        <w:spacing w:line="380" w:lineRule="exact"/>
        <w:ind w:firstLine="464"/>
        <w:rPr>
          <w:rFonts w:hAnsi="宋体" w:cs="宋体"/>
          <w:spacing w:val="11"/>
          <w:sz w:val="21"/>
          <w:szCs w:val="21"/>
        </w:rPr>
      </w:pPr>
      <w:r>
        <w:rPr>
          <w:rFonts w:hint="eastAsia" w:hAnsi="宋体" w:cs="宋体"/>
          <w:spacing w:val="11"/>
          <w:sz w:val="21"/>
          <w:szCs w:val="21"/>
        </w:rPr>
        <w:t>7.我方及由本人担任法定代表人的其他机构最近四年内被通报或者被处罚的违法行为有：</w:t>
      </w:r>
    </w:p>
    <w:p w14:paraId="1F749657">
      <w:pPr>
        <w:spacing w:line="380" w:lineRule="exact"/>
        <w:ind w:firstLine="464" w:firstLineChars="200"/>
        <w:rPr>
          <w:rFonts w:ascii="宋体" w:hAnsi="宋体" w:eastAsia="宋体" w:cs="宋体"/>
          <w:spacing w:val="11"/>
          <w:szCs w:val="21"/>
          <w:u w:val="single"/>
        </w:rPr>
      </w:pPr>
      <w:r>
        <w:rPr>
          <w:rFonts w:hint="eastAsia" w:ascii="宋体" w:hAnsi="宋体" w:eastAsia="宋体" w:cs="宋体"/>
          <w:spacing w:val="11"/>
          <w:szCs w:val="21"/>
          <w:u w:val="single"/>
        </w:rPr>
        <w:t>　　　　　　　　　　　　　　　　　　                           　　　　　　　　　</w:t>
      </w:r>
    </w:p>
    <w:p w14:paraId="3BD7AACC">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8.以上事项如有虚假或隐瞒，我方愿意承担一切后果，并不再寻求任何旨在减轻或免除法律责任的辩解。</w:t>
      </w:r>
    </w:p>
    <w:p w14:paraId="426CB32E">
      <w:pPr>
        <w:pStyle w:val="175"/>
        <w:snapToGrid w:val="0"/>
        <w:spacing w:beforeLines="50"/>
        <w:rPr>
          <w:rFonts w:ascii="宋体" w:hAnsi="宋体" w:eastAsia="宋体" w:cs="宋体"/>
          <w:spacing w:val="11"/>
          <w:sz w:val="21"/>
          <w:szCs w:val="21"/>
        </w:rPr>
      </w:pPr>
    </w:p>
    <w:p w14:paraId="31E229B3">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法定代表人（签字或盖章）：</w:t>
      </w:r>
    </w:p>
    <w:p w14:paraId="75770503">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15A88596">
      <w:pPr>
        <w:snapToGrid w:val="0"/>
        <w:spacing w:beforeLines="50" w:after="50"/>
        <w:ind w:firstLine="6032" w:firstLineChars="2600"/>
        <w:rPr>
          <w:rFonts w:ascii="宋体" w:hAnsi="宋体" w:eastAsia="宋体" w:cs="宋体"/>
          <w:spacing w:val="11"/>
          <w:szCs w:val="21"/>
        </w:rPr>
      </w:pPr>
    </w:p>
    <w:p w14:paraId="0B2E5593">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706C804F">
      <w:pPr>
        <w:pStyle w:val="4"/>
        <w:ind w:firstLine="482"/>
        <w:jc w:val="center"/>
        <w:rPr>
          <w:rFonts w:hAnsi="宋体"/>
          <w:spacing w:val="11"/>
          <w:sz w:val="21"/>
          <w:szCs w:val="21"/>
        </w:rPr>
      </w:pPr>
    </w:p>
    <w:p w14:paraId="043B8944">
      <w:pPr>
        <w:rPr>
          <w:rFonts w:ascii="宋体" w:hAnsi="宋体" w:eastAsia="宋体" w:cs="宋体"/>
          <w:spacing w:val="11"/>
          <w:szCs w:val="21"/>
        </w:rPr>
      </w:pPr>
    </w:p>
    <w:p w14:paraId="1923C9F5">
      <w:pPr>
        <w:pStyle w:val="53"/>
        <w:ind w:firstLine="232"/>
        <w:rPr>
          <w:rFonts w:cs="宋体"/>
          <w:spacing w:val="11"/>
          <w:szCs w:val="21"/>
        </w:rPr>
      </w:pPr>
    </w:p>
    <w:p w14:paraId="0F0874C7">
      <w:pPr>
        <w:pStyle w:val="53"/>
        <w:ind w:firstLine="232"/>
        <w:rPr>
          <w:rFonts w:cs="宋体"/>
          <w:spacing w:val="11"/>
          <w:szCs w:val="21"/>
        </w:rPr>
      </w:pPr>
    </w:p>
    <w:p w14:paraId="014313FF">
      <w:pPr>
        <w:pStyle w:val="53"/>
        <w:ind w:firstLine="232"/>
        <w:rPr>
          <w:rFonts w:cs="宋体"/>
          <w:spacing w:val="11"/>
          <w:szCs w:val="21"/>
        </w:rPr>
      </w:pPr>
    </w:p>
    <w:p w14:paraId="48577318">
      <w:pPr>
        <w:rPr>
          <w:rFonts w:cs="宋体"/>
          <w:spacing w:val="11"/>
          <w:szCs w:val="21"/>
        </w:rPr>
      </w:pPr>
    </w:p>
    <w:p w14:paraId="5C45C4A6">
      <w:pPr>
        <w:pStyle w:val="22"/>
        <w:rPr>
          <w:rFonts w:cs="宋体"/>
          <w:spacing w:val="11"/>
          <w:szCs w:val="21"/>
        </w:rPr>
      </w:pPr>
    </w:p>
    <w:p w14:paraId="2131BEA0">
      <w:pPr>
        <w:rPr>
          <w:rFonts w:cs="宋体"/>
          <w:spacing w:val="11"/>
          <w:szCs w:val="21"/>
        </w:rPr>
      </w:pPr>
    </w:p>
    <w:p w14:paraId="5495B2B0"/>
    <w:p w14:paraId="54C073BD">
      <w:pPr>
        <w:pStyle w:val="4"/>
        <w:jc w:val="center"/>
        <w:rPr>
          <w:rFonts w:hAnsi="宋体"/>
          <w:spacing w:val="11"/>
          <w:sz w:val="21"/>
          <w:szCs w:val="21"/>
          <w:u w:val="none"/>
        </w:rPr>
      </w:pPr>
      <w:r>
        <w:rPr>
          <w:rFonts w:hint="eastAsia" w:hAnsi="宋体"/>
          <w:spacing w:val="11"/>
          <w:sz w:val="21"/>
          <w:szCs w:val="21"/>
          <w:u w:val="none"/>
        </w:rPr>
        <w:t>2.法定代表人身份证明</w:t>
      </w:r>
    </w:p>
    <w:p w14:paraId="0A98D33D">
      <w:pPr>
        <w:spacing w:line="360" w:lineRule="auto"/>
        <w:rPr>
          <w:rFonts w:ascii="宋体" w:hAnsi="宋体" w:eastAsia="宋体" w:cs="宋体"/>
          <w:szCs w:val="21"/>
        </w:rPr>
      </w:pPr>
      <w:r>
        <w:rPr>
          <w:rFonts w:hint="eastAsia" w:ascii="宋体" w:hAnsi="宋体" w:eastAsia="宋体" w:cs="宋体"/>
          <w:szCs w:val="21"/>
        </w:rPr>
        <w:t>供 应 商：</w:t>
      </w:r>
    </w:p>
    <w:p w14:paraId="3067E961">
      <w:pPr>
        <w:spacing w:line="360" w:lineRule="auto"/>
        <w:rPr>
          <w:rFonts w:ascii="宋体" w:hAnsi="宋体" w:eastAsia="宋体" w:cs="宋体"/>
          <w:szCs w:val="21"/>
        </w:rPr>
      </w:pPr>
      <w:r>
        <w:rPr>
          <w:rFonts w:hint="eastAsia" w:ascii="宋体" w:hAnsi="宋体" w:eastAsia="宋体" w:cs="宋体"/>
          <w:szCs w:val="21"/>
        </w:rPr>
        <w:t>单位性质：</w:t>
      </w:r>
    </w:p>
    <w:p w14:paraId="590E5429">
      <w:pPr>
        <w:spacing w:line="360" w:lineRule="auto"/>
        <w:rPr>
          <w:rFonts w:ascii="宋体" w:hAnsi="宋体" w:eastAsia="宋体" w:cs="宋体"/>
          <w:szCs w:val="21"/>
        </w:rPr>
      </w:pPr>
      <w:r>
        <w:rPr>
          <w:rFonts w:hint="eastAsia" w:ascii="宋体" w:hAnsi="宋体" w:eastAsia="宋体" w:cs="宋体"/>
          <w:szCs w:val="21"/>
        </w:rPr>
        <w:t>地    址：</w:t>
      </w:r>
    </w:p>
    <w:p w14:paraId="7881B6CF">
      <w:pPr>
        <w:spacing w:line="360" w:lineRule="auto"/>
        <w:rPr>
          <w:rFonts w:ascii="宋体" w:hAnsi="宋体" w:eastAsia="宋体" w:cs="宋体"/>
          <w:szCs w:val="21"/>
        </w:rPr>
      </w:pPr>
      <w:r>
        <w:rPr>
          <w:rFonts w:hint="eastAsia" w:ascii="宋体" w:hAnsi="宋体" w:eastAsia="宋体" w:cs="宋体"/>
          <w:szCs w:val="21"/>
        </w:rPr>
        <w:t>成立时间：年月日</w:t>
      </w:r>
    </w:p>
    <w:p w14:paraId="2AE5275B">
      <w:pPr>
        <w:spacing w:line="360" w:lineRule="auto"/>
        <w:rPr>
          <w:rFonts w:ascii="宋体" w:hAnsi="宋体" w:eastAsia="宋体" w:cs="宋体"/>
          <w:szCs w:val="21"/>
        </w:rPr>
      </w:pPr>
      <w:r>
        <w:rPr>
          <w:rFonts w:hint="eastAsia" w:ascii="宋体" w:hAnsi="宋体" w:eastAsia="宋体" w:cs="宋体"/>
          <w:szCs w:val="21"/>
        </w:rPr>
        <w:t>经营期限：</w:t>
      </w:r>
    </w:p>
    <w:p w14:paraId="1A5FFFA7">
      <w:pPr>
        <w:spacing w:line="360" w:lineRule="auto"/>
        <w:rPr>
          <w:rFonts w:ascii="宋体" w:hAnsi="宋体" w:eastAsia="宋体" w:cs="宋体"/>
          <w:szCs w:val="21"/>
        </w:rPr>
      </w:pPr>
      <w:r>
        <w:rPr>
          <w:rFonts w:hint="eastAsia" w:ascii="宋体" w:hAnsi="宋体" w:eastAsia="宋体" w:cs="宋体"/>
          <w:szCs w:val="21"/>
        </w:rPr>
        <w:t>姓    名：性        别：</w:t>
      </w:r>
    </w:p>
    <w:p w14:paraId="6B27D406">
      <w:pPr>
        <w:spacing w:line="360" w:lineRule="auto"/>
        <w:rPr>
          <w:rFonts w:ascii="宋体" w:hAnsi="宋体" w:eastAsia="宋体" w:cs="宋体"/>
          <w:szCs w:val="21"/>
        </w:rPr>
      </w:pPr>
      <w:r>
        <w:rPr>
          <w:rFonts w:hint="eastAsia" w:ascii="宋体" w:hAnsi="宋体" w:eastAsia="宋体" w:cs="宋体"/>
          <w:szCs w:val="21"/>
        </w:rPr>
        <w:t>年    龄：职        务：</w:t>
      </w:r>
    </w:p>
    <w:p w14:paraId="6E7176EE">
      <w:pPr>
        <w:spacing w:line="360" w:lineRule="auto"/>
        <w:rPr>
          <w:rFonts w:ascii="宋体" w:hAnsi="宋体" w:eastAsia="宋体" w:cs="宋体"/>
          <w:szCs w:val="21"/>
        </w:rPr>
      </w:pPr>
      <w:r>
        <w:rPr>
          <w:rFonts w:hint="eastAsia" w:ascii="宋体" w:hAnsi="宋体" w:eastAsia="宋体" w:cs="宋体"/>
          <w:szCs w:val="21"/>
        </w:rPr>
        <w:t>系（供应商名称）的法定代表人。</w:t>
      </w:r>
    </w:p>
    <w:p w14:paraId="497B940A">
      <w:pPr>
        <w:spacing w:line="360" w:lineRule="auto"/>
        <w:rPr>
          <w:rFonts w:ascii="宋体" w:hAnsi="宋体" w:eastAsia="宋体" w:cs="宋体"/>
          <w:szCs w:val="21"/>
        </w:rPr>
      </w:pPr>
      <w:r>
        <w:rPr>
          <w:rFonts w:hint="eastAsia" w:ascii="宋体" w:hAnsi="宋体" w:eastAsia="宋体" w:cs="宋体"/>
          <w:szCs w:val="21"/>
        </w:rPr>
        <w:t>特此证明。</w:t>
      </w:r>
    </w:p>
    <w:p w14:paraId="29AF400F">
      <w:pPr>
        <w:spacing w:line="360" w:lineRule="auto"/>
        <w:jc w:val="right"/>
        <w:rPr>
          <w:rFonts w:ascii="宋体" w:hAnsi="宋体" w:eastAsia="宋体" w:cs="宋体"/>
          <w:szCs w:val="21"/>
        </w:rPr>
      </w:pPr>
      <w:r>
        <w:rPr>
          <w:rFonts w:hint="eastAsia" w:ascii="宋体" w:hAnsi="宋体" w:eastAsia="宋体" w:cs="宋体"/>
          <w:szCs w:val="21"/>
        </w:rPr>
        <w:t>供应商：（盖单位章）</w:t>
      </w:r>
    </w:p>
    <w:p w14:paraId="46524B2C">
      <w:pPr>
        <w:spacing w:line="360" w:lineRule="auto"/>
        <w:jc w:val="right"/>
        <w:rPr>
          <w:rFonts w:ascii="宋体" w:hAnsi="宋体" w:eastAsia="宋体" w:cs="宋体"/>
          <w:spacing w:val="11"/>
          <w:szCs w:val="21"/>
        </w:rPr>
      </w:pPr>
      <w:r>
        <w:rPr>
          <w:rFonts w:hint="eastAsia" w:ascii="宋体" w:hAnsi="宋体" w:eastAsia="宋体" w:cs="宋体"/>
          <w:szCs w:val="21"/>
        </w:rPr>
        <w:t>年月日</w:t>
      </w:r>
    </w:p>
    <w:p w14:paraId="58DFDB3C">
      <w:pPr>
        <w:ind w:left="2" w:leftChars="1" w:firstLine="420"/>
        <w:jc w:val="center"/>
        <w:rPr>
          <w:rFonts w:ascii="宋体" w:hAnsi="宋体" w:eastAsia="宋体" w:cs="宋体"/>
          <w:bCs/>
          <w:spacing w:val="11"/>
          <w:szCs w:val="21"/>
        </w:rPr>
      </w:pPr>
    </w:p>
    <w:p w14:paraId="31C540C3">
      <w:pPr>
        <w:ind w:left="2" w:leftChars="1" w:firstLine="420"/>
        <w:jc w:val="center"/>
        <w:rPr>
          <w:rFonts w:ascii="宋体" w:hAnsi="宋体" w:eastAsia="宋体" w:cs="宋体"/>
          <w:spacing w:val="11"/>
          <w:szCs w:val="21"/>
        </w:rPr>
      </w:pPr>
      <w:bookmarkStart w:id="52" w:name="_Toc342_WPSOffice_Level1"/>
      <w:bookmarkStart w:id="53" w:name="_Toc29091_WPSOffice_Level1"/>
      <w:bookmarkStart w:id="54" w:name="_Toc682_WPSOffice_Level1"/>
      <w:bookmarkStart w:id="55" w:name="_Toc25840_WPSOffice_Level1"/>
      <w:r>
        <w:rPr>
          <w:rFonts w:hint="eastAsia" w:ascii="宋体" w:hAnsi="宋体" w:eastAsia="宋体" w:cs="宋体"/>
          <w:spacing w:val="11"/>
          <w:szCs w:val="21"/>
        </w:rPr>
        <w:t>法定代表人身份证复印件粘贴处</w:t>
      </w:r>
      <w:bookmarkEnd w:id="52"/>
      <w:bookmarkEnd w:id="53"/>
      <w:bookmarkEnd w:id="54"/>
      <w:bookmarkEnd w:id="55"/>
    </w:p>
    <w:p w14:paraId="033F49E1">
      <w:pPr>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3" name="矩形 2"/>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08FF2E"/>
                        </w:txbxContent>
                      </wps:txbx>
                      <wps:bodyPr upright="1"/>
                    </wps:wsp>
                  </a:graphicData>
                </a:graphic>
              </wp:anchor>
            </w:drawing>
          </mc:Choice>
          <mc:Fallback>
            <w:pict>
              <v:rect id="矩形 2" o:spid="_x0000_s1026" o:spt="1" style="position:absolute;left:0pt;margin-left:48.6pt;margin-top:6pt;height:124.8pt;width:369pt;z-index:251659264;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&#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H92l1wAAAAkBAAAPAAAAAAAAAAEAIAAAACIA&#10;AABkcnMvZG93bnJldi54bWxQSwECFAAUAAAACACHTuJAggN5NgoCAAA4BAAADgAAAAAAAAABACAA&#10;AAAmAQAAZHJzL2Uyb0RvYy54bWxQSwUGAAAAAAYABgBZAQAAogUAAAAA&#10;">
                <v:fill on="t" focussize="0,0"/>
                <v:stroke color="#000000" joinstyle="miter"/>
                <v:imagedata o:title=""/>
                <o:lock v:ext="edit" aspectratio="f"/>
                <v:textbox>
                  <w:txbxContent>
                    <w:p w14:paraId="7308FF2E"/>
                  </w:txbxContent>
                </v:textbox>
              </v:rect>
            </w:pict>
          </mc:Fallback>
        </mc:AlternateContent>
      </w:r>
    </w:p>
    <w:p w14:paraId="7E5E6A9E">
      <w:pPr>
        <w:ind w:firstLine="420"/>
        <w:rPr>
          <w:rFonts w:ascii="宋体" w:hAnsi="宋体" w:eastAsia="宋体" w:cs="宋体"/>
          <w:spacing w:val="11"/>
          <w:szCs w:val="21"/>
        </w:rPr>
      </w:pPr>
    </w:p>
    <w:p w14:paraId="73E03769">
      <w:pPr>
        <w:ind w:firstLine="420"/>
        <w:rPr>
          <w:rFonts w:ascii="宋体" w:hAnsi="宋体" w:eastAsia="宋体" w:cs="宋体"/>
          <w:spacing w:val="11"/>
          <w:szCs w:val="21"/>
        </w:rPr>
      </w:pPr>
    </w:p>
    <w:p w14:paraId="236411B3">
      <w:pPr>
        <w:ind w:firstLine="420"/>
        <w:rPr>
          <w:rFonts w:ascii="宋体" w:hAnsi="宋体" w:eastAsia="宋体" w:cs="宋体"/>
          <w:spacing w:val="11"/>
          <w:szCs w:val="21"/>
        </w:rPr>
      </w:pPr>
    </w:p>
    <w:p w14:paraId="7BA3A60C">
      <w:pPr>
        <w:ind w:firstLine="420"/>
        <w:rPr>
          <w:rFonts w:ascii="宋体" w:hAnsi="宋体" w:eastAsia="宋体" w:cs="宋体"/>
          <w:spacing w:val="11"/>
          <w:szCs w:val="21"/>
        </w:rPr>
      </w:pPr>
    </w:p>
    <w:p w14:paraId="75A6B0CA">
      <w:pPr>
        <w:ind w:firstLine="420"/>
        <w:rPr>
          <w:rFonts w:ascii="宋体" w:hAnsi="宋体" w:eastAsia="宋体" w:cs="宋体"/>
          <w:spacing w:val="11"/>
          <w:szCs w:val="21"/>
        </w:rPr>
      </w:pPr>
    </w:p>
    <w:p w14:paraId="6946A930">
      <w:pPr>
        <w:ind w:firstLine="420"/>
        <w:rPr>
          <w:rFonts w:ascii="宋体" w:hAnsi="宋体" w:eastAsia="宋体" w:cs="宋体"/>
          <w:spacing w:val="11"/>
          <w:szCs w:val="21"/>
        </w:rPr>
      </w:pPr>
    </w:p>
    <w:p w14:paraId="1BD97FFA">
      <w:pPr>
        <w:ind w:firstLine="420"/>
        <w:rPr>
          <w:rFonts w:ascii="宋体" w:hAnsi="宋体" w:eastAsia="宋体" w:cs="宋体"/>
          <w:spacing w:val="11"/>
          <w:szCs w:val="21"/>
        </w:rPr>
      </w:pPr>
    </w:p>
    <w:p w14:paraId="57BDECEE">
      <w:pPr>
        <w:spacing w:line="360" w:lineRule="auto"/>
        <w:rPr>
          <w:rFonts w:ascii="宋体" w:hAnsi="宋体" w:eastAsia="宋体" w:cs="宋体"/>
          <w:spacing w:val="11"/>
          <w:szCs w:val="21"/>
        </w:rPr>
      </w:pPr>
    </w:p>
    <w:p w14:paraId="7BC8AEF9">
      <w:pPr>
        <w:spacing w:line="360" w:lineRule="auto"/>
        <w:rPr>
          <w:rFonts w:ascii="宋体" w:hAnsi="宋体" w:eastAsia="宋体" w:cs="宋体"/>
          <w:spacing w:val="11"/>
          <w:szCs w:val="21"/>
        </w:rPr>
      </w:pPr>
    </w:p>
    <w:p w14:paraId="0103D18A">
      <w:pPr>
        <w:spacing w:line="360" w:lineRule="auto"/>
        <w:rPr>
          <w:rFonts w:ascii="宋体" w:hAnsi="宋体" w:eastAsia="宋体" w:cs="宋体"/>
          <w:spacing w:val="11"/>
          <w:szCs w:val="21"/>
        </w:rPr>
      </w:pPr>
    </w:p>
    <w:p w14:paraId="34600C0E">
      <w:pPr>
        <w:spacing w:line="360" w:lineRule="auto"/>
        <w:rPr>
          <w:rFonts w:ascii="宋体" w:hAnsi="宋体" w:eastAsia="宋体" w:cs="宋体"/>
          <w:spacing w:val="11"/>
          <w:szCs w:val="21"/>
        </w:rPr>
      </w:pPr>
    </w:p>
    <w:p w14:paraId="6BC1D158">
      <w:pPr>
        <w:spacing w:line="360" w:lineRule="auto"/>
        <w:rPr>
          <w:rFonts w:ascii="宋体" w:hAnsi="宋体" w:eastAsia="宋体" w:cs="宋体"/>
          <w:spacing w:val="11"/>
          <w:szCs w:val="21"/>
        </w:rPr>
      </w:pPr>
    </w:p>
    <w:p w14:paraId="0CF4C21B">
      <w:pPr>
        <w:spacing w:line="360" w:lineRule="auto"/>
        <w:rPr>
          <w:rFonts w:ascii="宋体" w:hAnsi="宋体" w:eastAsia="宋体" w:cs="宋体"/>
          <w:spacing w:val="11"/>
          <w:szCs w:val="21"/>
        </w:rPr>
      </w:pPr>
    </w:p>
    <w:p w14:paraId="2BBF0C67">
      <w:pPr>
        <w:pStyle w:val="53"/>
        <w:ind w:firstLine="232"/>
        <w:rPr>
          <w:rFonts w:cs="宋体"/>
          <w:spacing w:val="11"/>
          <w:szCs w:val="21"/>
        </w:rPr>
      </w:pPr>
    </w:p>
    <w:p w14:paraId="0C0DF040">
      <w:pPr>
        <w:pStyle w:val="53"/>
        <w:ind w:firstLine="232"/>
        <w:rPr>
          <w:rFonts w:cs="宋体"/>
          <w:spacing w:val="11"/>
          <w:szCs w:val="21"/>
        </w:rPr>
      </w:pPr>
    </w:p>
    <w:p w14:paraId="3587EDCB">
      <w:pPr>
        <w:pStyle w:val="53"/>
        <w:ind w:firstLine="232"/>
        <w:rPr>
          <w:rFonts w:cs="宋体"/>
          <w:spacing w:val="11"/>
          <w:szCs w:val="21"/>
        </w:rPr>
      </w:pPr>
    </w:p>
    <w:p w14:paraId="629942E8">
      <w:pPr>
        <w:pStyle w:val="53"/>
        <w:ind w:firstLine="232"/>
        <w:rPr>
          <w:rFonts w:cs="宋体"/>
          <w:spacing w:val="11"/>
          <w:szCs w:val="21"/>
        </w:rPr>
      </w:pPr>
    </w:p>
    <w:p w14:paraId="102F0653">
      <w:pPr>
        <w:pStyle w:val="53"/>
        <w:ind w:firstLine="232"/>
        <w:rPr>
          <w:rFonts w:cs="宋体"/>
          <w:spacing w:val="11"/>
          <w:szCs w:val="21"/>
        </w:rPr>
      </w:pPr>
    </w:p>
    <w:p w14:paraId="24A3FFBB">
      <w:pPr>
        <w:rPr>
          <w:rFonts w:cs="宋体"/>
          <w:spacing w:val="11"/>
          <w:szCs w:val="21"/>
        </w:rPr>
      </w:pPr>
    </w:p>
    <w:p w14:paraId="09C07AA2">
      <w:pPr>
        <w:pStyle w:val="22"/>
        <w:rPr>
          <w:rFonts w:cs="宋体"/>
          <w:spacing w:val="11"/>
          <w:szCs w:val="21"/>
        </w:rPr>
      </w:pPr>
    </w:p>
    <w:p w14:paraId="668C74A0">
      <w:pPr>
        <w:pStyle w:val="70"/>
        <w:ind w:firstLine="345"/>
      </w:pPr>
    </w:p>
    <w:p w14:paraId="11CD1B6B">
      <w:pPr>
        <w:pStyle w:val="53"/>
        <w:ind w:firstLine="210"/>
      </w:pPr>
    </w:p>
    <w:p w14:paraId="76C3DA66">
      <w:pPr>
        <w:pStyle w:val="4"/>
        <w:jc w:val="center"/>
        <w:rPr>
          <w:rFonts w:hAnsi="宋体"/>
          <w:spacing w:val="11"/>
          <w:sz w:val="21"/>
          <w:szCs w:val="21"/>
          <w:u w:val="none"/>
        </w:rPr>
      </w:pPr>
      <w:r>
        <w:rPr>
          <w:rFonts w:hint="eastAsia" w:hAnsi="宋体"/>
          <w:spacing w:val="11"/>
          <w:sz w:val="21"/>
          <w:szCs w:val="21"/>
          <w:u w:val="none"/>
        </w:rPr>
        <w:t>授权委托书</w:t>
      </w:r>
    </w:p>
    <w:p w14:paraId="07A5B396">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本人（姓名）系（供应商名称）的法定代表人，现委托</w:t>
      </w:r>
      <w:r>
        <w:rPr>
          <w:rFonts w:hint="eastAsia" w:ascii="宋体" w:hAnsi="宋体" w:eastAsia="宋体" w:cs="宋体"/>
          <w:spacing w:val="11"/>
          <w:szCs w:val="21"/>
          <w:u w:val="single"/>
        </w:rPr>
        <w:t xml:space="preserve">      （姓名）</w:t>
      </w:r>
      <w:r>
        <w:rPr>
          <w:rFonts w:hint="eastAsia" w:ascii="宋体" w:hAnsi="宋体" w:eastAsia="宋体" w:cs="宋体"/>
          <w:spacing w:val="11"/>
          <w:szCs w:val="21"/>
        </w:rPr>
        <w:t>为我方代理人。代理人根据授权，以我方名义签署、澄清、说明、补正、递交、撤回、修改（项目名称）磋商响应文件、签订合同和处理有关事宜，其法律后果由我方承担。</w:t>
      </w:r>
    </w:p>
    <w:p w14:paraId="765B2EE7">
      <w:pPr>
        <w:spacing w:beforeLines="5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委托期限：。</w:t>
      </w:r>
    </w:p>
    <w:p w14:paraId="5BB39CC4">
      <w:pPr>
        <w:spacing w:beforeLines="100" w:afterLines="100"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代理人无转委托权。</w:t>
      </w:r>
    </w:p>
    <w:p w14:paraId="125B679F">
      <w:pPr>
        <w:ind w:left="2" w:leftChars="1" w:firstLine="420"/>
        <w:jc w:val="center"/>
        <w:rPr>
          <w:rFonts w:ascii="宋体" w:hAnsi="宋体" w:eastAsia="宋体" w:cs="宋体"/>
          <w:spacing w:val="11"/>
          <w:szCs w:val="21"/>
        </w:rPr>
      </w:pPr>
      <w:bookmarkStart w:id="56" w:name="_Toc31353_WPSOffice_Level1"/>
      <w:bookmarkStart w:id="57" w:name="_Toc3409_WPSOffice_Level1"/>
      <w:bookmarkStart w:id="58" w:name="_Toc10368_WPSOffice_Level1"/>
      <w:bookmarkStart w:id="59" w:name="_Toc2526_WPSOffice_Level1"/>
      <w:r>
        <w:rPr>
          <w:rFonts w:hint="eastAsia" w:ascii="宋体" w:hAnsi="宋体" w:eastAsia="宋体" w:cs="宋体"/>
          <w:spacing w:val="11"/>
          <w:szCs w:val="21"/>
        </w:rPr>
        <w:t>法定代表人身份证复印件粘贴处</w:t>
      </w:r>
      <w:bookmarkEnd w:id="56"/>
      <w:bookmarkEnd w:id="57"/>
      <w:bookmarkEnd w:id="58"/>
      <w:bookmarkEnd w:id="59"/>
    </w:p>
    <w:p w14:paraId="10776EF5">
      <w:pPr>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3"/>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6FE444"/>
                        </w:txbxContent>
                      </wps:txbx>
                      <wps:bodyPr upright="1"/>
                    </wps:wsp>
                  </a:graphicData>
                </a:graphic>
              </wp:anchor>
            </w:drawing>
          </mc:Choice>
          <mc:Fallback>
            <w:pict>
              <v:rect id="矩形 3" o:spid="_x0000_s1026" o:spt="1" style="position:absolute;left:0pt;margin-left:54.75pt;margin-top:12.45pt;height:98.6pt;width:378pt;z-index:251660288;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JCStcAAAAKAQAADwAAAAAAAAABACAAAAAiAAAA&#10;ZHJzL2Rvd25yZXYueG1sUEsBAhQAFAAAAAgAh07iQHTDS/wIAgAAOAQAAA4AAAAAAAAAAQAgAAAA&#10;JgEAAGRycy9lMm9Eb2MueG1sUEsFBgAAAAAGAAYAWQEAAKAFAAAAAA==&#10;">
                <v:fill on="t" focussize="0,0"/>
                <v:stroke color="#000000" joinstyle="miter"/>
                <v:imagedata o:title=""/>
                <o:lock v:ext="edit" aspectratio="f"/>
                <v:textbox>
                  <w:txbxContent>
                    <w:p w14:paraId="0B6FE444"/>
                  </w:txbxContent>
                </v:textbox>
              </v:rect>
            </w:pict>
          </mc:Fallback>
        </mc:AlternateContent>
      </w:r>
    </w:p>
    <w:p w14:paraId="0F518005">
      <w:pPr>
        <w:ind w:firstLine="420"/>
        <w:rPr>
          <w:rFonts w:ascii="宋体" w:hAnsi="宋体" w:eastAsia="宋体" w:cs="宋体"/>
          <w:spacing w:val="11"/>
          <w:szCs w:val="21"/>
        </w:rPr>
      </w:pPr>
    </w:p>
    <w:p w14:paraId="51B71F9B">
      <w:pPr>
        <w:ind w:firstLine="420"/>
        <w:rPr>
          <w:rFonts w:ascii="宋体" w:hAnsi="宋体" w:eastAsia="宋体" w:cs="宋体"/>
          <w:spacing w:val="11"/>
          <w:szCs w:val="21"/>
        </w:rPr>
      </w:pPr>
    </w:p>
    <w:p w14:paraId="2DCA5E55">
      <w:pPr>
        <w:ind w:firstLine="420"/>
        <w:rPr>
          <w:rFonts w:ascii="宋体" w:hAnsi="宋体" w:eastAsia="宋体" w:cs="宋体"/>
          <w:spacing w:val="11"/>
          <w:szCs w:val="21"/>
        </w:rPr>
      </w:pPr>
    </w:p>
    <w:p w14:paraId="0C40E1C7">
      <w:pPr>
        <w:ind w:firstLine="420"/>
        <w:jc w:val="center"/>
        <w:rPr>
          <w:rFonts w:ascii="宋体" w:hAnsi="宋体" w:eastAsia="宋体" w:cs="宋体"/>
          <w:spacing w:val="11"/>
          <w:szCs w:val="21"/>
        </w:rPr>
      </w:pPr>
    </w:p>
    <w:p w14:paraId="11A41E75">
      <w:pPr>
        <w:ind w:firstLine="420"/>
        <w:jc w:val="center"/>
        <w:rPr>
          <w:rFonts w:ascii="宋体" w:hAnsi="宋体" w:eastAsia="宋体" w:cs="宋体"/>
          <w:spacing w:val="11"/>
          <w:szCs w:val="21"/>
        </w:rPr>
      </w:pPr>
      <w:bookmarkStart w:id="60" w:name="_Toc25041_WPSOffice_Level1"/>
      <w:bookmarkStart w:id="61" w:name="_Toc26573_WPSOffice_Level1"/>
      <w:bookmarkStart w:id="62" w:name="_Toc12505_WPSOffice_Level1"/>
      <w:bookmarkStart w:id="63" w:name="_Toc8305_WPSOffice_Level1"/>
      <w:r>
        <w:rPr>
          <w:rFonts w:hint="eastAsia" w:ascii="宋体" w:hAnsi="宋体" w:eastAsia="宋体" w:cs="宋体"/>
          <w:spacing w:val="11"/>
          <w:szCs w:val="21"/>
        </w:rPr>
        <w:t>授权委托人身份证复印件粘贴处</w:t>
      </w:r>
      <w:bookmarkEnd w:id="60"/>
      <w:bookmarkEnd w:id="61"/>
      <w:bookmarkEnd w:id="62"/>
      <w:bookmarkEnd w:id="63"/>
    </w:p>
    <w:p w14:paraId="71753651">
      <w:pPr>
        <w:ind w:firstLine="420"/>
        <w:rPr>
          <w:rFonts w:ascii="宋体" w:hAnsi="宋体" w:eastAsia="宋体" w:cs="宋体"/>
          <w:spacing w:val="11"/>
          <w:szCs w:val="21"/>
        </w:rPr>
      </w:pPr>
    </w:p>
    <w:p w14:paraId="05D8D687">
      <w:pPr>
        <w:ind w:firstLine="420"/>
        <w:rPr>
          <w:rFonts w:ascii="宋体" w:hAnsi="宋体" w:eastAsia="宋体" w:cs="宋体"/>
          <w:spacing w:val="11"/>
          <w:szCs w:val="21"/>
        </w:rPr>
      </w:pPr>
    </w:p>
    <w:p w14:paraId="132C7636">
      <w:pPr>
        <w:ind w:left="2" w:leftChars="1" w:firstLine="420"/>
        <w:jc w:val="center"/>
        <w:rPr>
          <w:rFonts w:ascii="宋体" w:hAnsi="宋体" w:eastAsia="宋体" w:cs="宋体"/>
          <w:spacing w:val="11"/>
          <w:szCs w:val="21"/>
        </w:rPr>
      </w:pPr>
      <w:bookmarkStart w:id="64" w:name="_Toc13396_WPSOffice_Level1"/>
      <w:bookmarkStart w:id="65" w:name="_Toc24530_WPSOffice_Level1"/>
      <w:bookmarkStart w:id="66" w:name="_Toc13689_WPSOffice_Level1"/>
      <w:bookmarkStart w:id="67" w:name="_Toc11725_WPSOffice_Level1"/>
    </w:p>
    <w:p w14:paraId="6C30604F">
      <w:pPr>
        <w:ind w:left="2" w:leftChars="1" w:firstLine="420"/>
        <w:jc w:val="center"/>
        <w:rPr>
          <w:rFonts w:ascii="宋体" w:hAnsi="宋体" w:eastAsia="宋体" w:cs="宋体"/>
          <w:spacing w:val="11"/>
          <w:szCs w:val="21"/>
        </w:rPr>
      </w:pPr>
      <w:r>
        <w:rPr>
          <w:rFonts w:hint="eastAsia" w:ascii="宋体" w:hAnsi="宋体" w:eastAsia="宋体" w:cs="宋体"/>
          <w:spacing w:val="11"/>
          <w:szCs w:val="21"/>
        </w:rPr>
        <w:t>授权委托人身份证复印件粘贴处</w:t>
      </w:r>
      <w:bookmarkEnd w:id="64"/>
      <w:bookmarkEnd w:id="65"/>
      <w:bookmarkEnd w:id="66"/>
      <w:bookmarkEnd w:id="67"/>
    </w:p>
    <w:p w14:paraId="7ECBD34B">
      <w:pPr>
        <w:spacing w:line="360" w:lineRule="auto"/>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5"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54BE59"/>
                        </w:txbxContent>
                      </wps:txbx>
                      <wps:bodyPr upright="1"/>
                    </wps:wsp>
                  </a:graphicData>
                </a:graphic>
              </wp:anchor>
            </w:drawing>
          </mc:Choice>
          <mc:Fallback>
            <w:pict>
              <v:rect id="矩形 1" o:spid="_x0000_s1026" o:spt="1" style="position:absolute;left:0pt;margin-left:60.75pt;margin-top:8.4pt;height:124.8pt;width:369pt;z-index:251661312;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SmJzXAAAACgEAAA8AAAAAAAAAAQAgAAAAIgAA&#10;AGRycy9kb3ducmV2LnhtbFBLAQIUABQAAAAIAIdO4kA4b1frCQIAADgEAAAOAAAAAAAAAAEAIAAA&#10;ACYBAABkcnMvZTJvRG9jLnhtbFBLBQYAAAAABgAGAFkBAAChBQAAAAA=&#10;">
                <v:fill on="t" focussize="0,0"/>
                <v:stroke color="#000000" joinstyle="miter"/>
                <v:imagedata o:title=""/>
                <o:lock v:ext="edit" aspectratio="f"/>
                <v:textbox>
                  <w:txbxContent>
                    <w:p w14:paraId="0D54BE59"/>
                  </w:txbxContent>
                </v:textbox>
              </v:rect>
            </w:pict>
          </mc:Fallback>
        </mc:AlternateContent>
      </w:r>
    </w:p>
    <w:p w14:paraId="693B705F">
      <w:pPr>
        <w:spacing w:line="360" w:lineRule="auto"/>
        <w:ind w:firstLine="3944" w:firstLineChars="1700"/>
        <w:rPr>
          <w:rFonts w:ascii="宋体" w:hAnsi="宋体" w:eastAsia="宋体" w:cs="宋体"/>
          <w:spacing w:val="11"/>
          <w:szCs w:val="21"/>
        </w:rPr>
      </w:pPr>
    </w:p>
    <w:p w14:paraId="0AF892DB">
      <w:pPr>
        <w:spacing w:line="360" w:lineRule="auto"/>
        <w:ind w:firstLine="3944" w:firstLineChars="1700"/>
        <w:rPr>
          <w:rFonts w:ascii="宋体" w:hAnsi="宋体" w:eastAsia="宋体" w:cs="宋体"/>
          <w:spacing w:val="11"/>
          <w:szCs w:val="21"/>
        </w:rPr>
      </w:pPr>
    </w:p>
    <w:p w14:paraId="21BD6122">
      <w:pPr>
        <w:spacing w:line="380" w:lineRule="exact"/>
        <w:ind w:firstLine="3944" w:firstLineChars="1700"/>
        <w:rPr>
          <w:rFonts w:ascii="宋体" w:hAnsi="宋体" w:eastAsia="宋体" w:cs="宋体"/>
          <w:spacing w:val="11"/>
          <w:szCs w:val="21"/>
        </w:rPr>
      </w:pPr>
    </w:p>
    <w:p w14:paraId="0007C016">
      <w:pPr>
        <w:spacing w:line="380" w:lineRule="exact"/>
        <w:ind w:firstLine="3944" w:firstLineChars="1700"/>
        <w:rPr>
          <w:rFonts w:ascii="宋体" w:hAnsi="宋体" w:eastAsia="宋体" w:cs="宋体"/>
          <w:spacing w:val="11"/>
          <w:szCs w:val="21"/>
        </w:rPr>
      </w:pPr>
    </w:p>
    <w:p w14:paraId="67192A1B">
      <w:pPr>
        <w:spacing w:line="380" w:lineRule="exact"/>
        <w:ind w:firstLine="3944" w:firstLineChars="1700"/>
        <w:rPr>
          <w:rFonts w:ascii="宋体" w:hAnsi="宋体" w:eastAsia="宋体" w:cs="宋体"/>
          <w:spacing w:val="11"/>
          <w:szCs w:val="21"/>
        </w:rPr>
      </w:pPr>
    </w:p>
    <w:p w14:paraId="058601A1">
      <w:pPr>
        <w:spacing w:line="380" w:lineRule="exact"/>
        <w:ind w:firstLine="3944" w:firstLineChars="1700"/>
        <w:rPr>
          <w:rFonts w:ascii="宋体" w:hAnsi="宋体" w:eastAsia="宋体" w:cs="宋体"/>
          <w:spacing w:val="11"/>
          <w:szCs w:val="21"/>
        </w:rPr>
      </w:pPr>
    </w:p>
    <w:p w14:paraId="09E14A4A">
      <w:pPr>
        <w:spacing w:line="380" w:lineRule="exact"/>
        <w:ind w:firstLine="3570" w:firstLineChars="1700"/>
        <w:rPr>
          <w:rFonts w:ascii="宋体" w:hAnsi="宋体" w:eastAsia="宋体" w:cs="宋体"/>
          <w:szCs w:val="21"/>
        </w:rPr>
      </w:pPr>
      <w:r>
        <w:rPr>
          <w:rFonts w:hint="eastAsia" w:ascii="宋体" w:hAnsi="宋体" w:eastAsia="宋体" w:cs="宋体"/>
          <w:szCs w:val="21"/>
        </w:rPr>
        <w:t>供 应  商 ：（盖单位章）</w:t>
      </w:r>
    </w:p>
    <w:p w14:paraId="06FCCB62">
      <w:pPr>
        <w:spacing w:line="380" w:lineRule="exact"/>
        <w:ind w:firstLine="3570" w:firstLineChars="1700"/>
        <w:rPr>
          <w:rFonts w:ascii="宋体" w:hAnsi="宋体" w:eastAsia="宋体" w:cs="宋体"/>
          <w:szCs w:val="21"/>
        </w:rPr>
      </w:pPr>
      <w:r>
        <w:rPr>
          <w:rFonts w:hint="eastAsia" w:ascii="宋体" w:hAnsi="宋体" w:eastAsia="宋体" w:cs="宋体"/>
          <w:szCs w:val="21"/>
        </w:rPr>
        <w:t>法定代表人：（签字或盖章）</w:t>
      </w:r>
    </w:p>
    <w:p w14:paraId="0889E79B">
      <w:pPr>
        <w:spacing w:line="380" w:lineRule="exact"/>
        <w:ind w:firstLine="3570" w:firstLineChars="1700"/>
        <w:rPr>
          <w:rFonts w:ascii="宋体" w:hAnsi="宋体" w:eastAsia="宋体" w:cs="宋体"/>
          <w:szCs w:val="21"/>
          <w:u w:val="single"/>
        </w:rPr>
      </w:pPr>
      <w:r>
        <w:rPr>
          <w:rFonts w:hint="eastAsia" w:ascii="宋体" w:hAnsi="宋体" w:eastAsia="宋体" w:cs="宋体"/>
          <w:szCs w:val="21"/>
        </w:rPr>
        <w:t>身份证号码：</w:t>
      </w:r>
    </w:p>
    <w:p w14:paraId="50BA075F">
      <w:pPr>
        <w:spacing w:line="380" w:lineRule="exact"/>
        <w:ind w:firstLine="3570" w:firstLineChars="170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pacing w:val="11"/>
          <w:szCs w:val="21"/>
        </w:rPr>
        <w:t>签字或盖章</w:t>
      </w:r>
      <w:r>
        <w:rPr>
          <w:rFonts w:hint="eastAsia" w:ascii="宋体" w:hAnsi="宋体" w:eastAsia="宋体" w:cs="宋体"/>
          <w:szCs w:val="21"/>
        </w:rPr>
        <w:t>）</w:t>
      </w:r>
    </w:p>
    <w:p w14:paraId="79F00732">
      <w:pPr>
        <w:spacing w:line="380" w:lineRule="exact"/>
        <w:ind w:firstLine="3570" w:firstLineChars="1700"/>
        <w:rPr>
          <w:rFonts w:ascii="宋体" w:hAnsi="宋体" w:eastAsia="宋体" w:cs="宋体"/>
          <w:szCs w:val="21"/>
        </w:rPr>
      </w:pPr>
      <w:r>
        <w:rPr>
          <w:rFonts w:hint="eastAsia" w:ascii="宋体" w:hAnsi="宋体" w:eastAsia="宋体" w:cs="宋体"/>
          <w:szCs w:val="21"/>
        </w:rPr>
        <w:t>身份证号码：</w:t>
      </w:r>
    </w:p>
    <w:p w14:paraId="3FBDF518">
      <w:pPr>
        <w:spacing w:line="380" w:lineRule="exact"/>
        <w:ind w:firstLine="4830" w:firstLineChars="2300"/>
        <w:rPr>
          <w:rFonts w:ascii="宋体" w:hAnsi="宋体" w:eastAsia="宋体" w:cs="宋体"/>
          <w:szCs w:val="21"/>
        </w:rPr>
      </w:pPr>
      <w:r>
        <w:rPr>
          <w:rFonts w:hint="eastAsia" w:ascii="宋体" w:hAnsi="宋体" w:eastAsia="宋体" w:cs="宋体"/>
          <w:szCs w:val="21"/>
        </w:rPr>
        <w:t>年月日</w:t>
      </w:r>
    </w:p>
    <w:p w14:paraId="5A3732A6">
      <w:pPr>
        <w:pStyle w:val="4"/>
        <w:jc w:val="center"/>
        <w:rPr>
          <w:rFonts w:hAnsi="宋体"/>
          <w:spacing w:val="11"/>
          <w:sz w:val="21"/>
          <w:szCs w:val="21"/>
        </w:rPr>
      </w:pPr>
      <w:bookmarkStart w:id="68" w:name="_Toc7761_WPSOffice_Level1"/>
      <w:bookmarkStart w:id="69" w:name="_Toc4220_WPSOffice_Level1"/>
      <w:bookmarkStart w:id="70" w:name="_Toc3694_WPSOffice_Level1"/>
    </w:p>
    <w:p w14:paraId="69F9B72A">
      <w:pPr>
        <w:rPr>
          <w:rFonts w:ascii="宋体" w:hAnsi="宋体" w:eastAsia="宋体" w:cs="宋体"/>
          <w:spacing w:val="11"/>
          <w:szCs w:val="21"/>
        </w:rPr>
      </w:pPr>
    </w:p>
    <w:p w14:paraId="2C8F4DCD">
      <w:pPr>
        <w:pStyle w:val="53"/>
        <w:ind w:firstLine="232"/>
        <w:rPr>
          <w:rFonts w:cs="宋体"/>
          <w:spacing w:val="11"/>
          <w:szCs w:val="21"/>
        </w:rPr>
      </w:pPr>
    </w:p>
    <w:p w14:paraId="374851E4">
      <w:pPr>
        <w:pStyle w:val="53"/>
        <w:ind w:firstLine="232"/>
        <w:rPr>
          <w:rFonts w:cs="宋体"/>
          <w:spacing w:val="11"/>
          <w:szCs w:val="21"/>
        </w:rPr>
      </w:pPr>
    </w:p>
    <w:p w14:paraId="7A8EF639">
      <w:pPr>
        <w:snapToGrid w:val="0"/>
        <w:spacing w:line="360" w:lineRule="auto"/>
        <w:rPr>
          <w:rFonts w:hAnsi="宋体"/>
          <w:spacing w:val="11"/>
          <w:szCs w:val="21"/>
        </w:rPr>
      </w:pPr>
    </w:p>
    <w:p w14:paraId="3B646CC9">
      <w:pPr>
        <w:snapToGrid w:val="0"/>
        <w:spacing w:line="360" w:lineRule="auto"/>
        <w:jc w:val="center"/>
        <w:rPr>
          <w:rFonts w:hAnsi="宋体"/>
          <w:spacing w:val="11"/>
          <w:szCs w:val="21"/>
        </w:rPr>
      </w:pPr>
    </w:p>
    <w:p w14:paraId="54C8DF9B">
      <w:pPr>
        <w:snapToGrid w:val="0"/>
        <w:spacing w:line="360" w:lineRule="auto"/>
        <w:jc w:val="center"/>
        <w:rPr>
          <w:rFonts w:ascii="宋体" w:hAnsi="宋体" w:eastAsia="宋体" w:cs="宋体"/>
          <w:spacing w:val="11"/>
          <w:szCs w:val="21"/>
        </w:rPr>
      </w:pPr>
    </w:p>
    <w:p w14:paraId="3C7E0796">
      <w:pPr>
        <w:pStyle w:val="4"/>
        <w:rPr>
          <w:rFonts w:hAnsi="宋体"/>
          <w:spacing w:val="11"/>
          <w:sz w:val="21"/>
          <w:szCs w:val="21"/>
        </w:rPr>
      </w:pPr>
      <w:r>
        <w:rPr>
          <w:rFonts w:hint="eastAsia" w:hAnsi="宋体"/>
          <w:spacing w:val="11"/>
          <w:sz w:val="21"/>
          <w:szCs w:val="21"/>
        </w:rPr>
        <w:t>3.符合参加政府采购活动应当具备条件的承诺函</w:t>
      </w:r>
    </w:p>
    <w:p w14:paraId="2411E4CC">
      <w:pPr>
        <w:snapToGrid w:val="0"/>
        <w:spacing w:line="360" w:lineRule="auto"/>
        <w:jc w:val="center"/>
        <w:rPr>
          <w:rFonts w:ascii="宋体" w:hAnsi="宋体" w:eastAsia="宋体" w:cs="宋体"/>
          <w:spacing w:val="11"/>
          <w:szCs w:val="21"/>
        </w:rPr>
      </w:pPr>
      <w:r>
        <w:rPr>
          <w:rFonts w:hint="eastAsia" w:ascii="宋体" w:hAnsi="宋体" w:eastAsia="宋体" w:cs="宋体"/>
          <w:spacing w:val="11"/>
          <w:szCs w:val="21"/>
        </w:rPr>
        <w:t>符合参加政府采购活动应当具备条件的承诺函</w:t>
      </w:r>
    </w:p>
    <w:p w14:paraId="5B1EF5B8">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（采购单位、招标代理机构）：</w:t>
      </w:r>
    </w:p>
    <w:p w14:paraId="0E3157D2">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我方参与（项目名称）【项目编号：】政府采购活动，郑重承诺：</w:t>
      </w:r>
    </w:p>
    <w:p w14:paraId="15C8DB20">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（一）具备《中华人民共和国政府采购法》第二十二条第一款规定的条件：</w:t>
      </w:r>
    </w:p>
    <w:p w14:paraId="31AAF4BF">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1、具有独立承担民事责任的能力；</w:t>
      </w:r>
    </w:p>
    <w:p w14:paraId="6FFDD0A8">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 xml:space="preserve">2、具有良好的商业信誉和健全的财务会计制度； </w:t>
      </w:r>
    </w:p>
    <w:p w14:paraId="132FFAFB">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3、具有履行合同所必需的设备和专业技术能力；</w:t>
      </w:r>
    </w:p>
    <w:p w14:paraId="57E6503B">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4、有依法缴纳税收和社会保障资金的良好记录；</w:t>
      </w:r>
    </w:p>
    <w:p w14:paraId="5E656805">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5、参加政府采购活动前三年内，在经营活动中没有重大违法记录；</w:t>
      </w:r>
    </w:p>
    <w:p w14:paraId="6DE424E5">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6、具有法律、行政法规规定的其他条件。</w:t>
      </w:r>
    </w:p>
    <w:p w14:paraId="42393106">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（二）未被信用中国（www.creditchina.gov.cn)、中国政府采购网（www.ccgp.gov.cn）列入失信被执行人、重大税收违法失信主体、政府采购严重违法失信行为记录名单。</w:t>
      </w:r>
    </w:p>
    <w:p w14:paraId="446E45BF">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（三）不存在以下情况：</w:t>
      </w:r>
    </w:p>
    <w:p w14:paraId="079184C6">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1、单位负责人为同一人或者存在直接控股、管理关系的不同供应商参加同一合同项下的政府采购活动的；</w:t>
      </w:r>
    </w:p>
    <w:p w14:paraId="088FFE22">
      <w:pPr>
        <w:snapToGrid w:val="0"/>
        <w:spacing w:line="360" w:lineRule="auto"/>
        <w:jc w:val="left"/>
        <w:rPr>
          <w:rFonts w:ascii="宋体" w:hAnsi="宋体" w:eastAsia="宋体" w:cs="宋体"/>
          <w:spacing w:val="11"/>
          <w:szCs w:val="21"/>
        </w:rPr>
      </w:pPr>
      <w:r>
        <w:rPr>
          <w:rFonts w:hint="eastAsia" w:ascii="宋体" w:hAnsi="宋体" w:eastAsia="宋体" w:cs="宋体"/>
          <w:spacing w:val="11"/>
          <w:szCs w:val="21"/>
        </w:rPr>
        <w:t>2、为采购项目提供整体设计、规范编制或者项目管理、监理、检测等服务后再参加该采购项目的其他采购活动的。</w:t>
      </w:r>
    </w:p>
    <w:p w14:paraId="03C63531">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349BCA30">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082EA5FB">
      <w:pPr>
        <w:snapToGrid w:val="0"/>
        <w:spacing w:beforeLines="50" w:after="50"/>
        <w:ind w:firstLine="6032" w:firstLineChars="2600"/>
        <w:rPr>
          <w:rFonts w:ascii="宋体" w:hAnsi="宋体" w:eastAsia="宋体" w:cs="宋体"/>
          <w:spacing w:val="11"/>
          <w:szCs w:val="21"/>
        </w:rPr>
      </w:pPr>
    </w:p>
    <w:p w14:paraId="6B83794D">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0C9B2856">
      <w:pPr>
        <w:snapToGrid w:val="0"/>
        <w:spacing w:line="360" w:lineRule="auto"/>
        <w:jc w:val="center"/>
        <w:rPr>
          <w:rFonts w:ascii="宋体" w:hAnsi="宋体" w:eastAsia="宋体" w:cs="宋体"/>
          <w:b/>
          <w:bCs/>
          <w:spacing w:val="11"/>
          <w:sz w:val="32"/>
          <w:szCs w:val="32"/>
        </w:rPr>
      </w:pPr>
    </w:p>
    <w:p w14:paraId="31956D5F">
      <w:pPr>
        <w:snapToGrid w:val="0"/>
        <w:spacing w:before="50" w:afterLines="50"/>
        <w:jc w:val="center"/>
        <w:rPr>
          <w:rFonts w:ascii="宋体" w:hAnsi="宋体" w:eastAsia="宋体" w:cs="宋体"/>
          <w:b/>
          <w:spacing w:val="11"/>
          <w:szCs w:val="21"/>
        </w:rPr>
      </w:pPr>
    </w:p>
    <w:p w14:paraId="7D3D50C1">
      <w:pPr>
        <w:snapToGrid w:val="0"/>
        <w:spacing w:before="50" w:afterLines="50"/>
        <w:jc w:val="center"/>
        <w:rPr>
          <w:rFonts w:ascii="宋体" w:hAnsi="宋体" w:eastAsia="宋体" w:cs="宋体"/>
          <w:b/>
          <w:spacing w:val="11"/>
          <w:szCs w:val="21"/>
        </w:rPr>
      </w:pPr>
    </w:p>
    <w:p w14:paraId="7FDFF017">
      <w:pPr>
        <w:snapToGrid w:val="0"/>
        <w:spacing w:before="50" w:afterLines="50"/>
        <w:jc w:val="center"/>
        <w:rPr>
          <w:rFonts w:ascii="宋体" w:hAnsi="宋体" w:eastAsia="宋体" w:cs="宋体"/>
          <w:b/>
          <w:spacing w:val="11"/>
          <w:szCs w:val="21"/>
        </w:rPr>
      </w:pPr>
    </w:p>
    <w:p w14:paraId="61CE413B">
      <w:pPr>
        <w:snapToGrid w:val="0"/>
        <w:spacing w:before="50" w:afterLines="50"/>
        <w:jc w:val="center"/>
        <w:rPr>
          <w:rFonts w:ascii="宋体" w:hAnsi="宋体" w:eastAsia="宋体" w:cs="宋体"/>
          <w:b/>
          <w:spacing w:val="11"/>
          <w:szCs w:val="21"/>
        </w:rPr>
      </w:pPr>
    </w:p>
    <w:p w14:paraId="5F60561A">
      <w:pPr>
        <w:snapToGrid w:val="0"/>
        <w:spacing w:before="50" w:afterLines="50"/>
        <w:jc w:val="center"/>
        <w:rPr>
          <w:rFonts w:ascii="宋体" w:hAnsi="宋体" w:eastAsia="宋体" w:cs="宋体"/>
          <w:b/>
          <w:spacing w:val="11"/>
          <w:szCs w:val="21"/>
        </w:rPr>
      </w:pPr>
    </w:p>
    <w:p w14:paraId="353B4EA0">
      <w:pPr>
        <w:snapToGrid w:val="0"/>
        <w:spacing w:before="50" w:afterLines="50"/>
        <w:jc w:val="center"/>
        <w:rPr>
          <w:rFonts w:ascii="宋体" w:hAnsi="宋体" w:eastAsia="宋体" w:cs="宋体"/>
          <w:b/>
          <w:spacing w:val="11"/>
          <w:szCs w:val="21"/>
        </w:rPr>
      </w:pPr>
    </w:p>
    <w:p w14:paraId="74CFDE3F">
      <w:pPr>
        <w:snapToGrid w:val="0"/>
        <w:spacing w:before="50" w:afterLines="50"/>
        <w:jc w:val="center"/>
        <w:rPr>
          <w:rFonts w:ascii="宋体" w:hAnsi="宋体" w:eastAsia="宋体" w:cs="宋体"/>
          <w:b/>
          <w:spacing w:val="11"/>
          <w:szCs w:val="21"/>
        </w:rPr>
      </w:pPr>
    </w:p>
    <w:p w14:paraId="44767646">
      <w:pPr>
        <w:snapToGrid w:val="0"/>
        <w:spacing w:before="50" w:afterLines="50"/>
        <w:jc w:val="center"/>
        <w:rPr>
          <w:rFonts w:ascii="宋体" w:hAnsi="宋体" w:eastAsia="宋体" w:cs="宋体"/>
          <w:b/>
          <w:spacing w:val="11"/>
          <w:szCs w:val="21"/>
        </w:rPr>
      </w:pPr>
    </w:p>
    <w:p w14:paraId="61E763C0">
      <w:pPr>
        <w:snapToGrid w:val="0"/>
        <w:spacing w:before="50" w:afterLines="50"/>
        <w:jc w:val="center"/>
        <w:rPr>
          <w:rFonts w:ascii="宋体" w:hAnsi="宋体" w:eastAsia="宋体" w:cs="宋体"/>
          <w:b/>
          <w:spacing w:val="11"/>
          <w:szCs w:val="21"/>
        </w:rPr>
      </w:pPr>
    </w:p>
    <w:p w14:paraId="2D3D0652">
      <w:pPr>
        <w:snapToGrid w:val="0"/>
        <w:spacing w:before="50" w:afterLines="50"/>
        <w:jc w:val="center"/>
        <w:rPr>
          <w:rFonts w:ascii="宋体" w:hAnsi="宋体" w:eastAsia="宋体" w:cs="宋体"/>
          <w:b/>
          <w:spacing w:val="11"/>
          <w:szCs w:val="21"/>
        </w:rPr>
      </w:pPr>
    </w:p>
    <w:p w14:paraId="7EEB9149">
      <w:pPr>
        <w:snapToGrid w:val="0"/>
        <w:spacing w:before="50" w:afterLines="50"/>
        <w:jc w:val="center"/>
        <w:rPr>
          <w:rFonts w:ascii="宋体" w:hAnsi="宋体" w:eastAsia="宋体" w:cs="宋体"/>
          <w:b/>
          <w:spacing w:val="11"/>
          <w:szCs w:val="21"/>
        </w:rPr>
      </w:pPr>
    </w:p>
    <w:p w14:paraId="36B6E726">
      <w:pPr>
        <w:snapToGrid w:val="0"/>
        <w:spacing w:before="50" w:afterLines="50"/>
        <w:jc w:val="center"/>
        <w:rPr>
          <w:rFonts w:ascii="宋体" w:hAnsi="宋体" w:eastAsia="宋体" w:cs="宋体"/>
          <w:bCs/>
          <w:spacing w:val="11"/>
          <w:szCs w:val="21"/>
        </w:rPr>
      </w:pPr>
      <w:r>
        <w:rPr>
          <w:rFonts w:hint="eastAsia" w:ascii="宋体" w:hAnsi="宋体" w:eastAsia="宋体" w:cs="宋体"/>
          <w:b/>
          <w:spacing w:val="11"/>
          <w:szCs w:val="21"/>
        </w:rPr>
        <w:t>4.中小企业声明函（服务）</w:t>
      </w:r>
    </w:p>
    <w:p w14:paraId="7EB9F66B">
      <w:pPr>
        <w:autoSpaceDE w:val="0"/>
        <w:autoSpaceDN w:val="0"/>
        <w:spacing w:line="300" w:lineRule="exact"/>
        <w:jc w:val="center"/>
        <w:rPr>
          <w:rFonts w:ascii="宋体" w:hAnsi="宋体" w:eastAsia="宋体" w:cs="宋体"/>
          <w:b/>
          <w:spacing w:val="11"/>
          <w:szCs w:val="21"/>
        </w:rPr>
      </w:pPr>
      <w:r>
        <w:rPr>
          <w:rFonts w:hint="eastAsia" w:ascii="宋体" w:hAnsi="宋体" w:eastAsia="宋体" w:cs="宋体"/>
          <w:b/>
          <w:spacing w:val="11"/>
          <w:szCs w:val="21"/>
        </w:rPr>
        <w:t>【</w:t>
      </w:r>
      <w:r>
        <w:rPr>
          <w:rFonts w:hint="eastAsia" w:ascii="宋体" w:hAnsi="宋体" w:eastAsia="宋体" w:cs="宋体"/>
          <w:b/>
          <w:szCs w:val="21"/>
          <w:lang w:val="zh-CN"/>
        </w:rPr>
        <w:t>供应商必须在声明函中如实填写服务承接企业相关情况；若不符合可不提供。</w:t>
      </w:r>
      <w:r>
        <w:rPr>
          <w:rFonts w:hint="eastAsia" w:ascii="宋体" w:hAnsi="宋体" w:eastAsia="宋体" w:cs="宋体"/>
          <w:b/>
          <w:spacing w:val="11"/>
          <w:szCs w:val="21"/>
        </w:rPr>
        <w:t>】</w:t>
      </w:r>
    </w:p>
    <w:p w14:paraId="7D1171F0">
      <w:pPr>
        <w:spacing w:line="300" w:lineRule="exact"/>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采购活动，服务全部由符合政策要求的中小企业承接。相关企业 （含联合体中的中小企业、签订分包意向协议的中小企业） 的具体情况如下：</w:t>
      </w:r>
    </w:p>
    <w:p w14:paraId="34204595">
      <w:pPr>
        <w:numPr>
          <w:ilvl w:val="0"/>
          <w:numId w:val="6"/>
        </w:numPr>
        <w:spacing w:line="300" w:lineRule="exact"/>
        <w:ind w:firstLine="420" w:firstLineChars="200"/>
        <w:rPr>
          <w:rFonts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 xml:space="preserve"> 行业；承接企业为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w:t>
      </w:r>
      <w:r>
        <w:rPr>
          <w:rFonts w:hint="eastAsia" w:ascii="宋体" w:hAnsi="宋体" w:eastAsia="宋体" w:cs="宋体"/>
          <w:szCs w:val="21"/>
          <w:vertAlign w:val="superscript"/>
        </w:rPr>
        <w:t>1</w:t>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734F6A51">
      <w:pPr>
        <w:numPr>
          <w:ilvl w:val="0"/>
          <w:numId w:val="6"/>
        </w:numPr>
        <w:spacing w:line="300" w:lineRule="exact"/>
        <w:ind w:firstLine="420" w:firstLineChars="200"/>
        <w:rPr>
          <w:rFonts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 xml:space="preserve"> 行业；承接企业为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14:paraId="7A427D05">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 …… </w:t>
      </w:r>
    </w:p>
    <w:p w14:paraId="76921A1B">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 </w:t>
      </w:r>
    </w:p>
    <w:p w14:paraId="1C74319B">
      <w:pPr>
        <w:spacing w:line="300" w:lineRule="exact"/>
        <w:ind w:firstLine="420" w:firstLineChars="200"/>
        <w:rPr>
          <w:rFonts w:ascii="宋体" w:hAnsi="宋体" w:eastAsia="宋体" w:cs="宋体"/>
          <w:szCs w:val="21"/>
        </w:rPr>
      </w:pPr>
      <w:r>
        <w:rPr>
          <w:rFonts w:hint="eastAsia" w:ascii="宋体" w:hAnsi="宋体" w:eastAsia="宋体" w:cs="宋体"/>
          <w:szCs w:val="21"/>
        </w:rPr>
        <w:t xml:space="preserve">本企业对上述声明内容的真实性负责。如有虚假，将依 法承担相应责任。 </w:t>
      </w:r>
    </w:p>
    <w:p w14:paraId="26735049">
      <w:pPr>
        <w:spacing w:line="300" w:lineRule="exact"/>
        <w:ind w:firstLine="3570" w:firstLineChars="1700"/>
        <w:rPr>
          <w:rFonts w:ascii="宋体" w:hAnsi="宋体" w:eastAsia="宋体" w:cs="宋体"/>
          <w:szCs w:val="21"/>
        </w:rPr>
      </w:pPr>
      <w:r>
        <w:rPr>
          <w:rFonts w:hint="eastAsia" w:ascii="宋体" w:hAnsi="宋体" w:eastAsia="宋体" w:cs="宋体"/>
          <w:szCs w:val="21"/>
        </w:rPr>
        <w:t xml:space="preserve">企业名称（盖章）： </w:t>
      </w:r>
    </w:p>
    <w:p w14:paraId="0DC4328D">
      <w:pPr>
        <w:spacing w:line="300" w:lineRule="exact"/>
        <w:ind w:firstLine="3570" w:firstLineChars="1700"/>
        <w:rPr>
          <w:rFonts w:ascii="宋体" w:hAnsi="宋体" w:eastAsia="宋体" w:cs="宋体"/>
          <w:szCs w:val="21"/>
        </w:rPr>
      </w:pPr>
      <w:r>
        <w:rPr>
          <w:rFonts w:hint="eastAsia" w:ascii="宋体" w:hAnsi="宋体" w:eastAsia="宋体" w:cs="宋体"/>
          <w:szCs w:val="21"/>
        </w:rPr>
        <w:t>日 期：</w:t>
      </w:r>
    </w:p>
    <w:p w14:paraId="2BDF7BAB">
      <w:pPr>
        <w:pBdr>
          <w:bottom w:val="single" w:color="auto" w:sz="6" w:space="1"/>
        </w:pBdr>
        <w:spacing w:line="300" w:lineRule="exact"/>
        <w:ind w:firstLine="420" w:firstLineChars="200"/>
        <w:rPr>
          <w:rFonts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pacing w:val="6"/>
          <w:szCs w:val="21"/>
        </w:rPr>
        <w:t>从业人员、营业收入、资产总额填报上一年度数据，无上一年度数据的新成立企业可不填</w:t>
      </w:r>
      <w:r>
        <w:rPr>
          <w:rFonts w:hint="eastAsia" w:ascii="宋体" w:hAnsi="宋体" w:eastAsia="宋体" w:cs="宋体"/>
          <w:szCs w:val="21"/>
        </w:rPr>
        <w:t>报。 </w:t>
      </w:r>
    </w:p>
    <w:p w14:paraId="681387EA">
      <w:pPr>
        <w:spacing w:line="300" w:lineRule="exact"/>
        <w:ind w:firstLine="420" w:firstLineChars="200"/>
        <w:rPr>
          <w:rFonts w:ascii="宋体" w:hAnsi="宋体" w:eastAsia="宋体" w:cs="宋体"/>
          <w:szCs w:val="21"/>
        </w:rPr>
      </w:pPr>
    </w:p>
    <w:p w14:paraId="5485EAB5">
      <w:pPr>
        <w:spacing w:line="300" w:lineRule="exact"/>
        <w:ind w:firstLine="420" w:firstLineChars="200"/>
        <w:rPr>
          <w:rFonts w:ascii="宋体" w:hAnsi="宋体" w:eastAsia="宋体" w:cs="宋体"/>
          <w:szCs w:val="21"/>
        </w:rPr>
      </w:pPr>
      <w:r>
        <w:rPr>
          <w:rFonts w:hint="eastAsia" w:ascii="宋体" w:hAnsi="宋体" w:eastAsia="宋体" w:cs="宋体"/>
          <w:szCs w:val="21"/>
        </w:rPr>
        <w:t>填写说明：</w:t>
      </w:r>
    </w:p>
    <w:p w14:paraId="42B5B49B">
      <w:pPr>
        <w:spacing w:line="300" w:lineRule="exact"/>
        <w:ind w:firstLine="420" w:firstLineChars="200"/>
        <w:rPr>
          <w:rFonts w:ascii="宋体" w:hAnsi="宋体" w:eastAsia="宋体" w:cs="宋体"/>
          <w:szCs w:val="21"/>
        </w:rPr>
      </w:pPr>
      <w:r>
        <w:rPr>
          <w:rFonts w:hint="eastAsia" w:ascii="宋体" w:hAnsi="宋体" w:eastAsia="宋体" w:cs="宋体"/>
          <w:szCs w:val="21"/>
        </w:rPr>
        <w:t>（1）服务承接企业为中型、小型、微型企业的提供此函；</w:t>
      </w:r>
    </w:p>
    <w:p w14:paraId="50DF4691">
      <w:pPr>
        <w:spacing w:line="360" w:lineRule="auto"/>
        <w:rPr>
          <w:rFonts w:ascii="宋体" w:hAnsi="宋体" w:cs="宋体"/>
          <w:b/>
          <w:bCs/>
          <w:spacing w:val="1"/>
          <w:sz w:val="24"/>
        </w:rPr>
      </w:pPr>
    </w:p>
    <w:p w14:paraId="37DC883A">
      <w:pPr>
        <w:snapToGrid w:val="0"/>
        <w:spacing w:before="5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残疾人福利企业声明函</w:t>
      </w:r>
    </w:p>
    <w:p w14:paraId="6EA2BDC0">
      <w:pPr>
        <w:widowControl/>
        <w:snapToGrid w:val="0"/>
        <w:spacing w:before="5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【非残疾人福利性企业不用提供】</w:t>
      </w:r>
    </w:p>
    <w:p w14:paraId="65151E20">
      <w:pPr>
        <w:spacing w:line="260" w:lineRule="exact"/>
        <w:jc w:val="center"/>
        <w:rPr>
          <w:rFonts w:ascii="宋体" w:hAnsi="宋体" w:eastAsia="宋体" w:cs="宋体"/>
          <w:spacing w:val="11"/>
          <w:szCs w:val="21"/>
        </w:rPr>
      </w:pPr>
    </w:p>
    <w:p w14:paraId="6885DFF0">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199E11">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本单位对上述声明的真实性负责。如有虚假，将依法承担相应责任。</w:t>
      </w:r>
    </w:p>
    <w:p w14:paraId="2BF8F7DA">
      <w:pPr>
        <w:spacing w:line="260" w:lineRule="exact"/>
        <w:rPr>
          <w:rFonts w:ascii="宋体" w:hAnsi="宋体" w:eastAsia="宋体" w:cs="宋体"/>
          <w:spacing w:val="11"/>
          <w:szCs w:val="21"/>
        </w:rPr>
      </w:pPr>
    </w:p>
    <w:p w14:paraId="49D926AD">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单位名称(盖章)：</w:t>
      </w:r>
    </w:p>
    <w:p w14:paraId="26F3E92D">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日期：  年  月  日</w:t>
      </w:r>
    </w:p>
    <w:p w14:paraId="5FE029C9">
      <w:pPr>
        <w:pStyle w:val="4"/>
        <w:jc w:val="both"/>
        <w:rPr>
          <w:rFonts w:hAnsi="宋体"/>
          <w:spacing w:val="11"/>
          <w:sz w:val="21"/>
          <w:szCs w:val="21"/>
          <w:u w:val="none"/>
        </w:rPr>
      </w:pPr>
    </w:p>
    <w:p w14:paraId="30B7E4EF">
      <w:pPr>
        <w:rPr>
          <w:rFonts w:hAnsi="宋体"/>
          <w:spacing w:val="11"/>
          <w:szCs w:val="21"/>
        </w:rPr>
      </w:pPr>
    </w:p>
    <w:p w14:paraId="7A38204A">
      <w:pPr>
        <w:rPr>
          <w:rFonts w:hAnsi="宋体"/>
          <w:spacing w:val="11"/>
          <w:szCs w:val="21"/>
        </w:rPr>
      </w:pPr>
    </w:p>
    <w:p w14:paraId="5ED73F29">
      <w:pPr>
        <w:rPr>
          <w:rFonts w:hAnsi="宋体"/>
          <w:spacing w:val="11"/>
          <w:szCs w:val="21"/>
        </w:rPr>
      </w:pPr>
    </w:p>
    <w:p w14:paraId="34C6893E">
      <w:pPr>
        <w:rPr>
          <w:rFonts w:hAnsi="宋体"/>
          <w:spacing w:val="11"/>
          <w:szCs w:val="21"/>
        </w:rPr>
      </w:pPr>
    </w:p>
    <w:p w14:paraId="36898FD5">
      <w:pPr>
        <w:pStyle w:val="15"/>
        <w:rPr>
          <w:rFonts w:hAnsi="宋体"/>
          <w:spacing w:val="11"/>
          <w:szCs w:val="21"/>
        </w:rPr>
      </w:pPr>
    </w:p>
    <w:p w14:paraId="1BE467FB">
      <w:pPr>
        <w:pStyle w:val="15"/>
        <w:rPr>
          <w:rFonts w:hAnsi="宋体"/>
          <w:spacing w:val="11"/>
          <w:szCs w:val="21"/>
        </w:rPr>
      </w:pPr>
    </w:p>
    <w:p w14:paraId="4C4DEDF0">
      <w:pPr>
        <w:pStyle w:val="15"/>
        <w:rPr>
          <w:rFonts w:hAnsi="宋体"/>
          <w:spacing w:val="11"/>
          <w:szCs w:val="21"/>
        </w:rPr>
      </w:pPr>
    </w:p>
    <w:p w14:paraId="755411D2">
      <w:pPr>
        <w:rPr>
          <w:rFonts w:hAnsi="宋体"/>
          <w:spacing w:val="11"/>
          <w:szCs w:val="21"/>
        </w:rPr>
      </w:pPr>
    </w:p>
    <w:p w14:paraId="117C7C62">
      <w:pPr>
        <w:rPr>
          <w:rFonts w:hAnsi="宋体"/>
          <w:spacing w:val="11"/>
          <w:szCs w:val="21"/>
        </w:rPr>
      </w:pPr>
    </w:p>
    <w:p w14:paraId="688D30CE">
      <w:pPr>
        <w:rPr>
          <w:rFonts w:hAnsi="宋体"/>
          <w:spacing w:val="11"/>
          <w:szCs w:val="21"/>
        </w:rPr>
      </w:pPr>
    </w:p>
    <w:p w14:paraId="01F6F450">
      <w:pPr>
        <w:pStyle w:val="4"/>
        <w:numPr>
          <w:ilvl w:val="0"/>
          <w:numId w:val="7"/>
        </w:numPr>
        <w:jc w:val="center"/>
        <w:rPr>
          <w:rFonts w:hint="eastAsia" w:hAnsi="宋体"/>
          <w:spacing w:val="11"/>
          <w:sz w:val="21"/>
          <w:szCs w:val="21"/>
          <w:u w:val="none"/>
        </w:rPr>
      </w:pPr>
      <w:r>
        <w:rPr>
          <w:rFonts w:hint="eastAsia" w:hAnsi="宋体"/>
          <w:spacing w:val="11"/>
          <w:sz w:val="21"/>
          <w:szCs w:val="21"/>
          <w:u w:val="none"/>
        </w:rPr>
        <w:t>供应商基本情况表</w:t>
      </w:r>
      <w:bookmarkEnd w:id="68"/>
      <w:bookmarkEnd w:id="69"/>
      <w:bookmarkEnd w:id="70"/>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960"/>
        <w:gridCol w:w="825"/>
        <w:gridCol w:w="457"/>
        <w:gridCol w:w="578"/>
        <w:gridCol w:w="495"/>
        <w:gridCol w:w="465"/>
        <w:gridCol w:w="818"/>
        <w:gridCol w:w="1086"/>
        <w:gridCol w:w="256"/>
        <w:gridCol w:w="1133"/>
      </w:tblGrid>
      <w:tr w14:paraId="3285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67" w:type="dxa"/>
            <w:gridSpan w:val="11"/>
            <w:tcBorders>
              <w:top w:val="single" w:color="auto" w:sz="4" w:space="0"/>
              <w:left w:val="single" w:color="auto" w:sz="4" w:space="0"/>
              <w:bottom w:val="single" w:color="auto" w:sz="4" w:space="0"/>
              <w:right w:val="single" w:color="auto" w:sz="4" w:space="0"/>
            </w:tcBorders>
            <w:noWrap w:val="0"/>
            <w:vAlign w:val="center"/>
          </w:tcPr>
          <w:p w14:paraId="4BF3CC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企业情况</w:t>
            </w:r>
          </w:p>
        </w:tc>
      </w:tr>
      <w:tr w14:paraId="321C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769A0EE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64BA20B8">
            <w:pPr>
              <w:spacing w:line="360" w:lineRule="auto"/>
              <w:jc w:val="center"/>
              <w:rPr>
                <w:rFonts w:hint="eastAsia" w:ascii="宋体" w:hAnsi="宋体" w:eastAsia="宋体" w:cs="宋体"/>
                <w:sz w:val="21"/>
                <w:szCs w:val="21"/>
              </w:rPr>
            </w:pPr>
          </w:p>
        </w:tc>
      </w:tr>
      <w:tr w14:paraId="6353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2C1904A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地  址</w:t>
            </w:r>
          </w:p>
        </w:tc>
        <w:tc>
          <w:tcPr>
            <w:tcW w:w="3315" w:type="dxa"/>
            <w:gridSpan w:val="5"/>
            <w:tcBorders>
              <w:top w:val="single" w:color="auto" w:sz="4" w:space="0"/>
              <w:left w:val="single" w:color="auto" w:sz="4" w:space="0"/>
              <w:bottom w:val="single" w:color="auto" w:sz="4" w:space="0"/>
              <w:right w:val="single" w:color="auto" w:sz="4" w:space="0"/>
            </w:tcBorders>
            <w:noWrap w:val="0"/>
            <w:vAlign w:val="center"/>
          </w:tcPr>
          <w:p w14:paraId="5DBCA6CF">
            <w:pPr>
              <w:spacing w:line="360" w:lineRule="auto"/>
              <w:jc w:val="center"/>
              <w:rPr>
                <w:rFonts w:hint="eastAsia" w:ascii="宋体" w:hAnsi="宋体" w:eastAsia="宋体" w:cs="宋体"/>
                <w:sz w:val="21"/>
                <w:szCs w:val="21"/>
              </w:rPr>
            </w:pP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0925468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7BFE0E2D">
            <w:pPr>
              <w:spacing w:line="360" w:lineRule="auto"/>
              <w:jc w:val="center"/>
              <w:rPr>
                <w:rFonts w:hint="eastAsia" w:ascii="宋体" w:hAnsi="宋体" w:eastAsia="宋体" w:cs="宋体"/>
                <w:sz w:val="21"/>
                <w:szCs w:val="21"/>
              </w:rPr>
            </w:pPr>
          </w:p>
        </w:tc>
      </w:tr>
      <w:tr w14:paraId="3756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6CA63CD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3315" w:type="dxa"/>
            <w:gridSpan w:val="5"/>
            <w:tcBorders>
              <w:top w:val="single" w:color="auto" w:sz="4" w:space="0"/>
              <w:left w:val="single" w:color="auto" w:sz="4" w:space="0"/>
              <w:bottom w:val="single" w:color="auto" w:sz="4" w:space="0"/>
              <w:right w:val="single" w:color="auto" w:sz="4" w:space="0"/>
            </w:tcBorders>
            <w:noWrap w:val="0"/>
            <w:vAlign w:val="center"/>
          </w:tcPr>
          <w:p w14:paraId="68A7E359">
            <w:pPr>
              <w:spacing w:line="360" w:lineRule="auto"/>
              <w:jc w:val="center"/>
              <w:rPr>
                <w:rFonts w:hint="eastAsia" w:ascii="宋体" w:hAnsi="宋体" w:eastAsia="宋体" w:cs="宋体"/>
                <w:sz w:val="21"/>
                <w:szCs w:val="21"/>
              </w:rPr>
            </w:pPr>
          </w:p>
        </w:tc>
        <w:tc>
          <w:tcPr>
            <w:tcW w:w="2625" w:type="dxa"/>
            <w:gridSpan w:val="4"/>
            <w:tcBorders>
              <w:top w:val="single" w:color="auto" w:sz="4" w:space="0"/>
              <w:left w:val="single" w:color="auto" w:sz="4" w:space="0"/>
              <w:bottom w:val="single" w:color="auto" w:sz="4" w:space="0"/>
              <w:right w:val="single" w:color="auto" w:sz="4" w:space="0"/>
            </w:tcBorders>
            <w:noWrap w:val="0"/>
            <w:vAlign w:val="center"/>
          </w:tcPr>
          <w:p w14:paraId="375CA5B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注册资本</w:t>
            </w:r>
          </w:p>
        </w:tc>
        <w:tc>
          <w:tcPr>
            <w:tcW w:w="1133" w:type="dxa"/>
            <w:tcBorders>
              <w:top w:val="single" w:color="auto" w:sz="4" w:space="0"/>
              <w:left w:val="single" w:color="auto" w:sz="4" w:space="0"/>
              <w:bottom w:val="single" w:color="auto" w:sz="4" w:space="0"/>
              <w:right w:val="single" w:color="auto" w:sz="4" w:space="0"/>
            </w:tcBorders>
            <w:noWrap w:val="0"/>
            <w:vAlign w:val="center"/>
          </w:tcPr>
          <w:p w14:paraId="218CA3D8">
            <w:pPr>
              <w:spacing w:line="360" w:lineRule="auto"/>
              <w:jc w:val="center"/>
              <w:rPr>
                <w:rFonts w:hint="eastAsia" w:ascii="宋体" w:hAnsi="宋体" w:eastAsia="宋体" w:cs="宋体"/>
                <w:sz w:val="21"/>
                <w:szCs w:val="21"/>
              </w:rPr>
            </w:pPr>
          </w:p>
        </w:tc>
      </w:tr>
      <w:tr w14:paraId="77F5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51FF52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242" w:type="dxa"/>
            <w:gridSpan w:val="3"/>
            <w:tcBorders>
              <w:top w:val="single" w:color="auto" w:sz="4" w:space="0"/>
              <w:left w:val="single" w:color="auto" w:sz="4" w:space="0"/>
              <w:bottom w:val="single" w:color="auto" w:sz="4" w:space="0"/>
              <w:right w:val="single" w:color="auto" w:sz="4" w:space="0"/>
            </w:tcBorders>
            <w:noWrap w:val="0"/>
            <w:vAlign w:val="center"/>
          </w:tcPr>
          <w:p w14:paraId="2D1F29F1">
            <w:pPr>
              <w:spacing w:line="360" w:lineRule="auto"/>
              <w:jc w:val="center"/>
              <w:rPr>
                <w:rFonts w:hint="eastAsia" w:ascii="宋体" w:hAnsi="宋体" w:eastAsia="宋体" w:cs="宋体"/>
                <w:sz w:val="21"/>
                <w:szCs w:val="21"/>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14:paraId="6639F7B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帐  号</w:t>
            </w:r>
          </w:p>
        </w:tc>
        <w:tc>
          <w:tcPr>
            <w:tcW w:w="3758" w:type="dxa"/>
            <w:gridSpan w:val="5"/>
            <w:tcBorders>
              <w:top w:val="single" w:color="auto" w:sz="4" w:space="0"/>
              <w:left w:val="single" w:color="auto" w:sz="4" w:space="0"/>
              <w:bottom w:val="single" w:color="auto" w:sz="4" w:space="0"/>
              <w:right w:val="single" w:color="auto" w:sz="4" w:space="0"/>
            </w:tcBorders>
            <w:noWrap w:val="0"/>
            <w:vAlign w:val="center"/>
          </w:tcPr>
          <w:p w14:paraId="22C78266">
            <w:pPr>
              <w:spacing w:line="360" w:lineRule="auto"/>
              <w:jc w:val="center"/>
              <w:rPr>
                <w:rFonts w:hint="eastAsia" w:ascii="宋体" w:hAnsi="宋体" w:eastAsia="宋体" w:cs="宋体"/>
                <w:sz w:val="21"/>
                <w:szCs w:val="21"/>
              </w:rPr>
            </w:pPr>
          </w:p>
        </w:tc>
      </w:tr>
      <w:tr w14:paraId="33C3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635A4E3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6E60F332">
            <w:pPr>
              <w:spacing w:line="360" w:lineRule="auto"/>
              <w:jc w:val="center"/>
              <w:rPr>
                <w:rFonts w:hint="eastAsia" w:ascii="宋体" w:hAnsi="宋体" w:eastAsia="宋体" w:cs="宋体"/>
                <w:sz w:val="21"/>
                <w:szCs w:val="21"/>
              </w:rPr>
            </w:pPr>
          </w:p>
        </w:tc>
      </w:tr>
      <w:tr w14:paraId="5DD1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38242EE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企业总人数</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26C97D9">
            <w:pPr>
              <w:spacing w:line="360" w:lineRule="auto"/>
              <w:jc w:val="center"/>
              <w:rPr>
                <w:rFonts w:hint="eastAsia" w:ascii="宋体" w:hAnsi="宋体" w:eastAsia="宋体" w:cs="宋体"/>
                <w:sz w:val="21"/>
                <w:szCs w:val="21"/>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E0B6B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管理</w:t>
            </w:r>
          </w:p>
          <w:p w14:paraId="6EE6DDA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人员</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14:paraId="6FE906EE">
            <w:pPr>
              <w:spacing w:line="360" w:lineRule="auto"/>
              <w:jc w:val="center"/>
              <w:rPr>
                <w:rFonts w:hint="eastAsia" w:ascii="宋体" w:hAnsi="宋体" w:eastAsia="宋体" w:cs="宋体"/>
                <w:sz w:val="21"/>
                <w:szCs w:val="21"/>
              </w:rPr>
            </w:pP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14:paraId="33A21E2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w:t>
            </w:r>
          </w:p>
          <w:p w14:paraId="435458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人员</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EF9A5C8">
            <w:pPr>
              <w:spacing w:line="360" w:lineRule="auto"/>
              <w:jc w:val="center"/>
              <w:rPr>
                <w:rFonts w:hint="eastAsia" w:ascii="宋体" w:hAnsi="宋体" w:eastAsia="宋体" w:cs="宋体"/>
                <w:sz w:val="21"/>
                <w:szCs w:val="21"/>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F5C2D8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职工</w:t>
            </w:r>
          </w:p>
          <w:p w14:paraId="7B9DC9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人员</w:t>
            </w:r>
          </w:p>
        </w:tc>
        <w:tc>
          <w:tcPr>
            <w:tcW w:w="1389" w:type="dxa"/>
            <w:gridSpan w:val="2"/>
            <w:tcBorders>
              <w:top w:val="single" w:color="auto" w:sz="4" w:space="0"/>
              <w:left w:val="single" w:color="auto" w:sz="4" w:space="0"/>
              <w:bottom w:val="single" w:color="auto" w:sz="4" w:space="0"/>
              <w:right w:val="single" w:color="auto" w:sz="4" w:space="0"/>
            </w:tcBorders>
            <w:noWrap w:val="0"/>
            <w:vAlign w:val="center"/>
          </w:tcPr>
          <w:p w14:paraId="64337AF4">
            <w:pPr>
              <w:spacing w:line="360" w:lineRule="auto"/>
              <w:jc w:val="center"/>
              <w:rPr>
                <w:rFonts w:hint="eastAsia" w:ascii="宋体" w:hAnsi="宋体" w:eastAsia="宋体" w:cs="宋体"/>
                <w:sz w:val="21"/>
                <w:szCs w:val="21"/>
              </w:rPr>
            </w:pPr>
          </w:p>
        </w:tc>
      </w:tr>
      <w:tr w14:paraId="3CC9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6490C97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1C6FB2F1">
            <w:pPr>
              <w:spacing w:line="360" w:lineRule="auto"/>
              <w:jc w:val="center"/>
              <w:rPr>
                <w:rFonts w:hint="eastAsia" w:ascii="宋体" w:hAnsi="宋体" w:eastAsia="宋体" w:cs="宋体"/>
                <w:sz w:val="21"/>
                <w:szCs w:val="21"/>
              </w:rPr>
            </w:pPr>
          </w:p>
        </w:tc>
      </w:tr>
      <w:tr w14:paraId="6426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394" w:type="dxa"/>
            <w:tcBorders>
              <w:top w:val="single" w:color="auto" w:sz="4" w:space="0"/>
              <w:left w:val="single" w:color="auto" w:sz="4" w:space="0"/>
              <w:bottom w:val="single" w:color="auto" w:sz="4" w:space="0"/>
              <w:right w:val="single" w:color="auto" w:sz="4" w:space="0"/>
            </w:tcBorders>
            <w:noWrap w:val="0"/>
            <w:vAlign w:val="center"/>
          </w:tcPr>
          <w:p w14:paraId="4247884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企业现有的资质证书</w:t>
            </w:r>
          </w:p>
        </w:tc>
        <w:tc>
          <w:tcPr>
            <w:tcW w:w="7073" w:type="dxa"/>
            <w:gridSpan w:val="10"/>
            <w:tcBorders>
              <w:top w:val="single" w:color="auto" w:sz="4" w:space="0"/>
              <w:left w:val="single" w:color="auto" w:sz="4" w:space="0"/>
              <w:bottom w:val="single" w:color="auto" w:sz="4" w:space="0"/>
              <w:right w:val="single" w:color="auto" w:sz="4" w:space="0"/>
            </w:tcBorders>
            <w:noWrap w:val="0"/>
            <w:vAlign w:val="center"/>
          </w:tcPr>
          <w:p w14:paraId="5FC29E6F">
            <w:pPr>
              <w:spacing w:line="360" w:lineRule="auto"/>
              <w:jc w:val="center"/>
              <w:rPr>
                <w:rFonts w:hint="eastAsia" w:ascii="宋体" w:hAnsi="宋体" w:eastAsia="宋体" w:cs="宋体"/>
                <w:sz w:val="21"/>
                <w:szCs w:val="21"/>
              </w:rPr>
            </w:pPr>
          </w:p>
        </w:tc>
      </w:tr>
    </w:tbl>
    <w:p w14:paraId="7B0A8999">
      <w:pPr>
        <w:snapToGrid w:val="0"/>
        <w:spacing w:before="50" w:after="50"/>
        <w:outlineLvl w:val="1"/>
        <w:rPr>
          <w:rFonts w:ascii="宋体" w:hAnsi="宋体" w:eastAsia="宋体" w:cs="宋体"/>
          <w:spacing w:val="11"/>
          <w:sz w:val="21"/>
          <w:szCs w:val="21"/>
        </w:rPr>
      </w:pPr>
    </w:p>
    <w:p w14:paraId="2054FBFF">
      <w:pPr>
        <w:snapToGrid w:val="0"/>
        <w:spacing w:beforeLines="50"/>
        <w:rPr>
          <w:rFonts w:ascii="宋体" w:hAnsi="宋体" w:eastAsia="宋体" w:cs="宋体"/>
          <w:spacing w:val="11"/>
          <w:sz w:val="21"/>
          <w:szCs w:val="21"/>
          <w:u w:val="single"/>
        </w:rPr>
      </w:pPr>
      <w:r>
        <w:rPr>
          <w:rFonts w:hint="eastAsia" w:ascii="宋体" w:hAnsi="宋体" w:eastAsia="宋体" w:cs="宋体"/>
          <w:spacing w:val="11"/>
          <w:sz w:val="21"/>
          <w:szCs w:val="21"/>
        </w:rPr>
        <w:t>法定代表人或授权代表（签字或盖章）：</w:t>
      </w:r>
    </w:p>
    <w:p w14:paraId="79F8CEA6">
      <w:pPr>
        <w:snapToGrid w:val="0"/>
        <w:spacing w:beforeLines="50"/>
        <w:rPr>
          <w:rFonts w:ascii="宋体" w:hAnsi="宋体" w:eastAsia="宋体" w:cs="宋体"/>
          <w:spacing w:val="11"/>
          <w:sz w:val="21"/>
          <w:szCs w:val="21"/>
        </w:rPr>
      </w:pPr>
      <w:r>
        <w:rPr>
          <w:rFonts w:hint="eastAsia" w:ascii="宋体" w:hAnsi="宋体" w:eastAsia="宋体" w:cs="宋体"/>
          <w:spacing w:val="11"/>
          <w:sz w:val="21"/>
          <w:szCs w:val="21"/>
        </w:rPr>
        <w:t>供应商公章：</w:t>
      </w:r>
    </w:p>
    <w:p w14:paraId="6AE124C3">
      <w:pPr>
        <w:snapToGrid w:val="0"/>
        <w:spacing w:beforeLines="50" w:after="50"/>
        <w:ind w:firstLine="6032" w:firstLineChars="2600"/>
        <w:rPr>
          <w:rFonts w:ascii="宋体" w:hAnsi="宋体" w:eastAsia="宋体" w:cs="宋体"/>
          <w:spacing w:val="11"/>
          <w:szCs w:val="21"/>
        </w:rPr>
      </w:pPr>
    </w:p>
    <w:p w14:paraId="4A6EA639">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180CB97F">
      <w:pPr>
        <w:pStyle w:val="53"/>
        <w:ind w:firstLine="232"/>
        <w:rPr>
          <w:rFonts w:cs="宋体"/>
          <w:spacing w:val="11"/>
          <w:szCs w:val="21"/>
        </w:rPr>
      </w:pPr>
    </w:p>
    <w:p w14:paraId="477907CC">
      <w:pPr>
        <w:pStyle w:val="53"/>
        <w:ind w:firstLine="232"/>
        <w:rPr>
          <w:rFonts w:cs="宋体"/>
          <w:spacing w:val="11"/>
          <w:szCs w:val="21"/>
        </w:rPr>
      </w:pPr>
    </w:p>
    <w:p w14:paraId="3D46D9A5">
      <w:pPr>
        <w:pStyle w:val="53"/>
        <w:ind w:firstLine="232"/>
        <w:rPr>
          <w:rFonts w:cs="宋体"/>
          <w:spacing w:val="11"/>
          <w:szCs w:val="21"/>
        </w:rPr>
      </w:pPr>
    </w:p>
    <w:p w14:paraId="11025E21">
      <w:pPr>
        <w:rPr>
          <w:rFonts w:cs="宋体"/>
          <w:spacing w:val="11"/>
          <w:szCs w:val="21"/>
        </w:rPr>
      </w:pPr>
    </w:p>
    <w:p w14:paraId="4E102754">
      <w:pPr>
        <w:rPr>
          <w:rFonts w:cs="宋体"/>
          <w:spacing w:val="11"/>
          <w:szCs w:val="21"/>
        </w:rPr>
      </w:pPr>
    </w:p>
    <w:p w14:paraId="11A5E667">
      <w:pPr>
        <w:pStyle w:val="64"/>
        <w:rPr>
          <w:rFonts w:cs="宋体"/>
          <w:spacing w:val="11"/>
          <w:szCs w:val="21"/>
        </w:rPr>
      </w:pPr>
    </w:p>
    <w:p w14:paraId="630F5302">
      <w:pPr>
        <w:pStyle w:val="64"/>
        <w:rPr>
          <w:rFonts w:cs="宋体"/>
          <w:spacing w:val="11"/>
          <w:szCs w:val="21"/>
        </w:rPr>
      </w:pPr>
    </w:p>
    <w:p w14:paraId="36AAD34F">
      <w:pPr>
        <w:pStyle w:val="64"/>
        <w:rPr>
          <w:rFonts w:cs="宋体"/>
          <w:spacing w:val="11"/>
          <w:szCs w:val="21"/>
        </w:rPr>
      </w:pPr>
    </w:p>
    <w:p w14:paraId="6734DB6B">
      <w:pPr>
        <w:pStyle w:val="64"/>
        <w:rPr>
          <w:rFonts w:cs="宋体"/>
          <w:spacing w:val="11"/>
          <w:szCs w:val="21"/>
        </w:rPr>
      </w:pPr>
    </w:p>
    <w:p w14:paraId="5490F7D7">
      <w:pPr>
        <w:pStyle w:val="64"/>
        <w:rPr>
          <w:rFonts w:cs="宋体"/>
          <w:spacing w:val="11"/>
          <w:szCs w:val="21"/>
        </w:rPr>
      </w:pPr>
    </w:p>
    <w:p w14:paraId="1E23E7FB">
      <w:pPr>
        <w:pStyle w:val="64"/>
        <w:rPr>
          <w:rFonts w:cs="宋体"/>
          <w:spacing w:val="11"/>
          <w:szCs w:val="21"/>
        </w:rPr>
      </w:pPr>
    </w:p>
    <w:p w14:paraId="4332AF50">
      <w:pPr>
        <w:pStyle w:val="64"/>
        <w:rPr>
          <w:rFonts w:cs="宋体"/>
          <w:spacing w:val="11"/>
          <w:szCs w:val="21"/>
        </w:rPr>
      </w:pPr>
    </w:p>
    <w:p w14:paraId="33F18B6B">
      <w:pPr>
        <w:pStyle w:val="64"/>
        <w:rPr>
          <w:rFonts w:cs="宋体"/>
          <w:spacing w:val="11"/>
          <w:szCs w:val="21"/>
        </w:rPr>
      </w:pPr>
    </w:p>
    <w:p w14:paraId="65447856">
      <w:pPr>
        <w:pStyle w:val="64"/>
        <w:rPr>
          <w:rFonts w:cs="宋体"/>
          <w:spacing w:val="11"/>
          <w:szCs w:val="21"/>
        </w:rPr>
      </w:pPr>
    </w:p>
    <w:p w14:paraId="3B8C5DEB">
      <w:pPr>
        <w:pStyle w:val="64"/>
        <w:rPr>
          <w:rFonts w:cs="宋体"/>
          <w:spacing w:val="11"/>
          <w:szCs w:val="21"/>
        </w:rPr>
      </w:pPr>
    </w:p>
    <w:p w14:paraId="15B94365">
      <w:pPr>
        <w:pStyle w:val="64"/>
        <w:rPr>
          <w:rFonts w:cs="宋体"/>
          <w:spacing w:val="11"/>
          <w:szCs w:val="21"/>
        </w:rPr>
      </w:pPr>
    </w:p>
    <w:p w14:paraId="1677B574">
      <w:pPr>
        <w:pStyle w:val="64"/>
        <w:rPr>
          <w:rFonts w:cs="宋体"/>
          <w:spacing w:val="11"/>
          <w:szCs w:val="21"/>
        </w:rPr>
      </w:pPr>
    </w:p>
    <w:p w14:paraId="0604073B">
      <w:pPr>
        <w:pStyle w:val="22"/>
        <w:rPr>
          <w:rFonts w:cs="宋体"/>
          <w:spacing w:val="11"/>
          <w:szCs w:val="21"/>
        </w:rPr>
      </w:pPr>
    </w:p>
    <w:p w14:paraId="6F65F514">
      <w:pPr>
        <w:rPr>
          <w:rFonts w:cs="宋体"/>
          <w:spacing w:val="11"/>
          <w:szCs w:val="21"/>
        </w:rPr>
      </w:pPr>
    </w:p>
    <w:p w14:paraId="29F67337">
      <w:pPr>
        <w:pStyle w:val="64"/>
        <w:rPr>
          <w:rFonts w:cs="宋体"/>
          <w:spacing w:val="11"/>
          <w:szCs w:val="21"/>
        </w:rPr>
      </w:pPr>
    </w:p>
    <w:p w14:paraId="02190ADA">
      <w:pPr>
        <w:pStyle w:val="64"/>
        <w:rPr>
          <w:rFonts w:cs="宋体"/>
          <w:spacing w:val="11"/>
          <w:szCs w:val="21"/>
        </w:rPr>
      </w:pPr>
    </w:p>
    <w:p w14:paraId="6F2B9FC3">
      <w:pPr>
        <w:pStyle w:val="4"/>
        <w:jc w:val="center"/>
        <w:rPr>
          <w:rFonts w:hAnsi="宋体"/>
          <w:spacing w:val="11"/>
          <w:sz w:val="21"/>
          <w:szCs w:val="21"/>
          <w:u w:val="none"/>
        </w:rPr>
      </w:pPr>
      <w:bookmarkStart w:id="71" w:name="_Toc15116_WPSOffice_Level1"/>
      <w:bookmarkStart w:id="72" w:name="_Toc23014_WPSOffice_Level1"/>
      <w:bookmarkStart w:id="73" w:name="_Toc23073_WPSOffice_Level1"/>
      <w:r>
        <w:rPr>
          <w:rFonts w:hint="eastAsia" w:hAnsi="宋体"/>
          <w:spacing w:val="11"/>
          <w:sz w:val="21"/>
          <w:szCs w:val="21"/>
          <w:u w:val="none"/>
        </w:rPr>
        <w:t>6.供应商廉洁守信承诺书</w:t>
      </w:r>
      <w:bookmarkEnd w:id="71"/>
      <w:bookmarkEnd w:id="72"/>
      <w:bookmarkEnd w:id="73"/>
    </w:p>
    <w:p w14:paraId="1D354251">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本公司决定参加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项目磋商。为维护公平竞争的市场秩序，促进企业廉洁从业、诚实守信，特承诺如下：</w:t>
      </w:r>
    </w:p>
    <w:p w14:paraId="6E9F10D7">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一、严格遵守《中华人民共和国招标投标法》、《中华人民共和国政府采购法》等法律法规，决不发生以下行为：</w:t>
      </w:r>
    </w:p>
    <w:p w14:paraId="4FA298FF">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1.以他人名义磋商，允许其他单位或个人使用本单位资质磋商；</w:t>
      </w:r>
    </w:p>
    <w:p w14:paraId="70A06D70">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2.提供虚假材料，或以其他方式弄虚作假骗取成交；</w:t>
      </w:r>
    </w:p>
    <w:p w14:paraId="43B0A414">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3.与采购单位或者其他供应商相互串通磋商；</w:t>
      </w:r>
    </w:p>
    <w:p w14:paraId="4F95D436">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4.成交后将项目转包，或违法分包；</w:t>
      </w:r>
    </w:p>
    <w:p w14:paraId="32D2C342">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5.成交后与采购单位签订背离磋商响应文件及合同实质性内容的私下协议；</w:t>
      </w:r>
    </w:p>
    <w:p w14:paraId="20AFB518">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6.其他违反招标投标、政府采购等法律法规的行为。</w:t>
      </w:r>
    </w:p>
    <w:p w14:paraId="0E75B485">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二、不以任何理由给予建设单位、主管部门、相关单位及其工作人员、专家评委以下好处：</w:t>
      </w:r>
    </w:p>
    <w:p w14:paraId="17C1E670">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1.赠送礼金、有价证券、贵重物品，或给予回扣、感谢费、劳务费等各种名目的经费；</w:t>
      </w:r>
    </w:p>
    <w:p w14:paraId="7064D24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2.报销应由上述单位或个人支付的费用；</w:t>
      </w:r>
    </w:p>
    <w:p w14:paraId="53AB7C3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3.赠送或提供通讯工具、交通工具和高档办公用品等；</w:t>
      </w:r>
    </w:p>
    <w:p w14:paraId="117A664D">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4.提供宴请、健身、旅游、娱乐等高消费活动；</w:t>
      </w:r>
    </w:p>
    <w:p w14:paraId="6D4007D6">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5.无偿或明显低于市场价装修住房。</w:t>
      </w:r>
    </w:p>
    <w:p w14:paraId="75896B5B">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三、不以任何理由为建设单位、主管部门、相关单位的工作人员及其配偶、子女等亲属的工作安排以及出国（境）等提供方便。</w:t>
      </w:r>
    </w:p>
    <w:p w14:paraId="556592CE">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四、自觉接受有关部门和派驻廉政监察组等机构的监督，积极配合建设单位开展廉政文化进工程工作，加强廉洁从业环境宣传、项目管理制度建设，多种形式开展廉洁教育。</w:t>
      </w:r>
    </w:p>
    <w:p w14:paraId="7A02C3A6">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上述承诺如有违反，愿接受录入诚信档案的处理，构成违纪违法的，由相关部门依纪依法作出处理。</w:t>
      </w:r>
    </w:p>
    <w:p w14:paraId="0D793AE1">
      <w:pPr>
        <w:tabs>
          <w:tab w:val="left" w:pos="465"/>
        </w:tabs>
        <w:ind w:firstLine="464" w:firstLineChars="200"/>
        <w:rPr>
          <w:rFonts w:ascii="宋体" w:hAnsi="宋体" w:eastAsia="宋体" w:cs="宋体"/>
          <w:spacing w:val="11"/>
          <w:szCs w:val="21"/>
        </w:rPr>
      </w:pPr>
    </w:p>
    <w:p w14:paraId="7B863AC7">
      <w:pPr>
        <w:snapToGrid w:val="0"/>
        <w:spacing w:beforeLines="50"/>
        <w:rPr>
          <w:rFonts w:ascii="宋体" w:hAnsi="宋体" w:eastAsia="宋体" w:cs="宋体"/>
          <w:spacing w:val="11"/>
          <w:szCs w:val="21"/>
        </w:rPr>
      </w:pPr>
    </w:p>
    <w:p w14:paraId="60DB004C">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42586899">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6E1CBA3F">
      <w:pPr>
        <w:snapToGrid w:val="0"/>
        <w:spacing w:beforeLines="50" w:after="50"/>
        <w:ind w:firstLine="6032" w:firstLineChars="2600"/>
        <w:rPr>
          <w:rFonts w:ascii="宋体" w:hAnsi="宋体" w:eastAsia="宋体" w:cs="宋体"/>
          <w:spacing w:val="11"/>
          <w:szCs w:val="21"/>
        </w:rPr>
      </w:pPr>
    </w:p>
    <w:p w14:paraId="6EAB0AFD">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3641AC8F">
      <w:pPr>
        <w:adjustRightInd w:val="0"/>
        <w:snapToGrid w:val="0"/>
        <w:spacing w:line="400" w:lineRule="exact"/>
        <w:rPr>
          <w:rFonts w:ascii="宋体" w:hAnsi="宋体" w:eastAsia="宋体" w:cs="宋体"/>
          <w:spacing w:val="11"/>
          <w:szCs w:val="21"/>
        </w:rPr>
      </w:pPr>
    </w:p>
    <w:p w14:paraId="75EAB178">
      <w:pPr>
        <w:tabs>
          <w:tab w:val="left" w:pos="465"/>
        </w:tabs>
        <w:ind w:firstLine="464" w:firstLineChars="200"/>
        <w:rPr>
          <w:rFonts w:ascii="宋体" w:hAnsi="宋体" w:eastAsia="宋体" w:cs="宋体"/>
          <w:spacing w:val="11"/>
          <w:szCs w:val="21"/>
        </w:rPr>
      </w:pPr>
    </w:p>
    <w:p w14:paraId="10B4E1A7">
      <w:pPr>
        <w:pStyle w:val="53"/>
        <w:ind w:firstLine="232"/>
        <w:rPr>
          <w:rFonts w:cs="宋体"/>
          <w:spacing w:val="11"/>
          <w:szCs w:val="21"/>
        </w:rPr>
      </w:pPr>
    </w:p>
    <w:p w14:paraId="25847F1A">
      <w:pPr>
        <w:pStyle w:val="53"/>
        <w:ind w:firstLine="232"/>
        <w:rPr>
          <w:rFonts w:cs="宋体"/>
          <w:spacing w:val="11"/>
          <w:szCs w:val="21"/>
        </w:rPr>
      </w:pPr>
    </w:p>
    <w:p w14:paraId="0CA13B9A">
      <w:pPr>
        <w:rPr>
          <w:rFonts w:cs="宋体"/>
          <w:spacing w:val="11"/>
          <w:szCs w:val="21"/>
        </w:rPr>
      </w:pPr>
    </w:p>
    <w:p w14:paraId="38EC484E">
      <w:pPr>
        <w:rPr>
          <w:rFonts w:cs="宋体"/>
          <w:spacing w:val="11"/>
          <w:szCs w:val="21"/>
        </w:rPr>
      </w:pPr>
    </w:p>
    <w:p w14:paraId="0D1A4302">
      <w:pPr>
        <w:rPr>
          <w:rFonts w:cs="宋体"/>
          <w:spacing w:val="11"/>
          <w:szCs w:val="21"/>
        </w:rPr>
      </w:pPr>
    </w:p>
    <w:p w14:paraId="7E35D2CB">
      <w:pPr>
        <w:pStyle w:val="4"/>
        <w:jc w:val="center"/>
        <w:rPr>
          <w:rFonts w:hAnsi="宋体"/>
          <w:spacing w:val="11"/>
          <w:sz w:val="21"/>
          <w:szCs w:val="21"/>
          <w:u w:val="none"/>
        </w:rPr>
      </w:pPr>
      <w:r>
        <w:rPr>
          <w:rFonts w:hint="eastAsia" w:hAnsi="宋体"/>
          <w:spacing w:val="11"/>
          <w:sz w:val="21"/>
          <w:szCs w:val="21"/>
          <w:u w:val="none"/>
        </w:rPr>
        <w:t>7.商务响应表</w:t>
      </w:r>
    </w:p>
    <w:p w14:paraId="150487E7">
      <w:pPr>
        <w:spacing w:line="180" w:lineRule="exact"/>
        <w:rPr>
          <w:rFonts w:ascii="宋体" w:hAnsi="宋体" w:eastAsia="宋体" w:cs="宋体"/>
          <w:spacing w:val="11"/>
          <w:szCs w:val="21"/>
          <w:u w:val="single"/>
        </w:rPr>
      </w:pP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49583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FD3CA58">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384BCD77">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717712B7">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7BAD63D5">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偏离情况</w:t>
            </w:r>
          </w:p>
        </w:tc>
      </w:tr>
      <w:tr w14:paraId="5C5DF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A0DF08F">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368F361B">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314CC2CB">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1051F796">
            <w:pPr>
              <w:snapToGrid w:val="0"/>
              <w:spacing w:beforeLines="50" w:line="460" w:lineRule="exact"/>
              <w:jc w:val="center"/>
              <w:rPr>
                <w:rFonts w:ascii="宋体" w:hAnsi="宋体" w:eastAsia="宋体" w:cs="宋体"/>
                <w:spacing w:val="11"/>
                <w:szCs w:val="21"/>
              </w:rPr>
            </w:pPr>
          </w:p>
        </w:tc>
      </w:tr>
      <w:tr w14:paraId="07CF9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3CF40F38">
            <w:pPr>
              <w:snapToGrid w:val="0"/>
              <w:spacing w:beforeLines="50"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68266609">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7EE8CF4E">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5EC10B90">
            <w:pPr>
              <w:snapToGrid w:val="0"/>
              <w:spacing w:beforeLines="50" w:line="460" w:lineRule="exact"/>
              <w:jc w:val="center"/>
              <w:rPr>
                <w:rFonts w:ascii="宋体" w:hAnsi="宋体" w:eastAsia="宋体" w:cs="宋体"/>
                <w:spacing w:val="11"/>
                <w:szCs w:val="21"/>
              </w:rPr>
            </w:pPr>
          </w:p>
        </w:tc>
      </w:tr>
      <w:tr w14:paraId="65A20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5C09B774">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75429EE6">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06F21BFE">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2EE41969">
            <w:pPr>
              <w:snapToGrid w:val="0"/>
              <w:spacing w:beforeLines="50" w:line="460" w:lineRule="exact"/>
              <w:jc w:val="center"/>
              <w:rPr>
                <w:rFonts w:ascii="宋体" w:hAnsi="宋体" w:eastAsia="宋体" w:cs="宋体"/>
                <w:spacing w:val="11"/>
                <w:szCs w:val="21"/>
              </w:rPr>
            </w:pPr>
          </w:p>
        </w:tc>
      </w:tr>
      <w:tr w14:paraId="19246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2D019E30">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0E8C1949">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6680E474">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62E7ABAB">
            <w:pPr>
              <w:snapToGrid w:val="0"/>
              <w:spacing w:beforeLines="50" w:line="460" w:lineRule="exact"/>
              <w:jc w:val="center"/>
              <w:rPr>
                <w:rFonts w:ascii="宋体" w:hAnsi="宋体" w:eastAsia="宋体" w:cs="宋体"/>
                <w:spacing w:val="11"/>
                <w:szCs w:val="21"/>
              </w:rPr>
            </w:pPr>
          </w:p>
        </w:tc>
      </w:tr>
      <w:tr w14:paraId="09F2C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14:paraId="6606F2CA">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14:paraId="182E2462">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14:paraId="21207680">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14:paraId="064863C3">
            <w:pPr>
              <w:snapToGrid w:val="0"/>
              <w:spacing w:beforeLines="50" w:line="460" w:lineRule="exact"/>
              <w:jc w:val="center"/>
              <w:rPr>
                <w:rFonts w:ascii="宋体" w:hAnsi="宋体" w:eastAsia="宋体" w:cs="宋体"/>
                <w:spacing w:val="11"/>
                <w:szCs w:val="21"/>
              </w:rPr>
            </w:pPr>
          </w:p>
        </w:tc>
      </w:tr>
    </w:tbl>
    <w:p w14:paraId="04CCCBC6">
      <w:pPr>
        <w:spacing w:line="360" w:lineRule="auto"/>
        <w:ind w:right="-21" w:rightChars="-10"/>
        <w:rPr>
          <w:rFonts w:ascii="宋体" w:hAnsi="宋体" w:eastAsia="宋体" w:cs="宋体"/>
          <w:spacing w:val="11"/>
          <w:szCs w:val="21"/>
        </w:rPr>
      </w:pPr>
    </w:p>
    <w:p w14:paraId="46A148C3">
      <w:pPr>
        <w:spacing w:line="360" w:lineRule="auto"/>
        <w:ind w:right="-21" w:rightChars="-10"/>
        <w:rPr>
          <w:rFonts w:ascii="宋体" w:hAnsi="宋体" w:eastAsia="宋体" w:cs="宋体"/>
          <w:spacing w:val="11"/>
          <w:szCs w:val="21"/>
        </w:rPr>
      </w:pPr>
      <w:r>
        <w:rPr>
          <w:rFonts w:hint="eastAsia" w:ascii="宋体" w:hAnsi="宋体" w:eastAsia="宋体" w:cs="宋体"/>
          <w:spacing w:val="11"/>
          <w:szCs w:val="21"/>
        </w:rPr>
        <w:t>注：1、商务条款内容主要是针对竞争性磋商文件</w:t>
      </w:r>
      <w:r>
        <w:rPr>
          <w:rFonts w:hint="eastAsia" w:ascii="宋体" w:hAnsi="宋体" w:eastAsia="宋体" w:cs="宋体"/>
          <w:szCs w:val="21"/>
        </w:rPr>
        <w:t>“第二章 磋商需求”商务条款、</w:t>
      </w:r>
      <w:r>
        <w:rPr>
          <w:rFonts w:hint="eastAsia" w:ascii="宋体" w:hAnsi="宋体" w:eastAsia="宋体" w:cs="宋体"/>
          <w:spacing w:val="11"/>
          <w:szCs w:val="21"/>
        </w:rPr>
        <w:t>合同主要条款等内容。</w:t>
      </w:r>
    </w:p>
    <w:p w14:paraId="47D7A636">
      <w:pPr>
        <w:spacing w:line="360" w:lineRule="auto"/>
        <w:rPr>
          <w:rFonts w:ascii="宋体" w:hAnsi="宋体" w:eastAsia="宋体" w:cs="宋体"/>
          <w:spacing w:val="11"/>
          <w:szCs w:val="21"/>
        </w:rPr>
      </w:pPr>
      <w:r>
        <w:rPr>
          <w:rFonts w:hint="eastAsia" w:ascii="宋体" w:hAnsi="宋体" w:eastAsia="宋体" w:cs="宋体"/>
          <w:spacing w:val="11"/>
          <w:szCs w:val="21"/>
        </w:rPr>
        <w:t>2、如不填写，则视为完全响应竞争性磋商文件；如有偏离请如实填写，偏离情况可按实际响应情况填写正偏离、负偏离或无偏离。</w:t>
      </w:r>
    </w:p>
    <w:p w14:paraId="38F982DC">
      <w:pPr>
        <w:spacing w:line="360" w:lineRule="auto"/>
        <w:rPr>
          <w:rFonts w:ascii="宋体" w:hAnsi="宋体" w:eastAsia="宋体" w:cs="宋体"/>
          <w:spacing w:val="11"/>
          <w:szCs w:val="21"/>
        </w:rPr>
      </w:pPr>
    </w:p>
    <w:p w14:paraId="20FB29AE">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0161203F">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425D32BE">
      <w:pPr>
        <w:snapToGrid w:val="0"/>
        <w:spacing w:beforeLines="50" w:after="50"/>
        <w:ind w:firstLine="6032" w:firstLineChars="2600"/>
        <w:rPr>
          <w:rFonts w:ascii="宋体" w:hAnsi="宋体" w:eastAsia="宋体" w:cs="宋体"/>
          <w:spacing w:val="11"/>
          <w:szCs w:val="21"/>
        </w:rPr>
      </w:pPr>
    </w:p>
    <w:p w14:paraId="573EC3B4">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178D33E9">
      <w:pPr>
        <w:snapToGrid w:val="0"/>
        <w:spacing w:beforeLines="50" w:after="50"/>
        <w:rPr>
          <w:rFonts w:ascii="宋体" w:hAnsi="宋体" w:eastAsia="宋体" w:cs="宋体"/>
          <w:spacing w:val="11"/>
          <w:szCs w:val="21"/>
        </w:rPr>
      </w:pPr>
    </w:p>
    <w:p w14:paraId="5FE0CFD1">
      <w:pPr>
        <w:pStyle w:val="4"/>
        <w:jc w:val="center"/>
        <w:rPr>
          <w:rFonts w:hAnsi="宋体"/>
          <w:spacing w:val="11"/>
          <w:sz w:val="21"/>
          <w:szCs w:val="21"/>
          <w:u w:val="none"/>
        </w:rPr>
      </w:pPr>
      <w:r>
        <w:rPr>
          <w:rFonts w:hint="eastAsia" w:hAnsi="宋体"/>
          <w:spacing w:val="11"/>
          <w:sz w:val="21"/>
          <w:szCs w:val="21"/>
        </w:rPr>
        <w:br w:type="page"/>
      </w:r>
      <w:r>
        <w:rPr>
          <w:rFonts w:hint="eastAsia" w:hAnsi="宋体"/>
          <w:spacing w:val="11"/>
          <w:sz w:val="21"/>
          <w:szCs w:val="21"/>
          <w:u w:val="none"/>
        </w:rPr>
        <w:t>8.供应商类似业绩一览表</w:t>
      </w:r>
    </w:p>
    <w:p w14:paraId="677B51A1">
      <w:pPr>
        <w:spacing w:line="300" w:lineRule="auto"/>
        <w:rPr>
          <w:rFonts w:ascii="宋体" w:hAnsi="宋体" w:eastAsia="宋体" w:cs="宋体"/>
          <w:spacing w:val="11"/>
          <w:szCs w:val="21"/>
        </w:rPr>
      </w:pPr>
    </w:p>
    <w:tbl>
      <w:tblPr>
        <w:tblStyle w:val="5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55D18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C824779">
            <w:pPr>
              <w:spacing w:line="400" w:lineRule="atLeast"/>
              <w:jc w:val="center"/>
              <w:rPr>
                <w:rFonts w:ascii="宋体" w:hAnsi="宋体" w:eastAsia="宋体" w:cs="宋体"/>
                <w:szCs w:val="21"/>
              </w:rPr>
            </w:pPr>
            <w:r>
              <w:rPr>
                <w:rFonts w:hint="eastAsia" w:ascii="宋体" w:hAnsi="宋体" w:eastAsia="宋体" w:cs="宋体"/>
                <w:szCs w:val="21"/>
              </w:rPr>
              <w:t>序号</w:t>
            </w:r>
          </w:p>
        </w:tc>
        <w:tc>
          <w:tcPr>
            <w:tcW w:w="1691" w:type="dxa"/>
            <w:vAlign w:val="center"/>
          </w:tcPr>
          <w:p w14:paraId="4FA458DF">
            <w:pPr>
              <w:spacing w:line="400" w:lineRule="atLeast"/>
              <w:jc w:val="center"/>
              <w:rPr>
                <w:rFonts w:ascii="宋体" w:hAnsi="宋体" w:eastAsia="宋体" w:cs="宋体"/>
                <w:szCs w:val="21"/>
              </w:rPr>
            </w:pPr>
            <w:r>
              <w:rPr>
                <w:rFonts w:hint="eastAsia" w:ascii="宋体" w:hAnsi="宋体" w:eastAsia="宋体" w:cs="宋体"/>
                <w:szCs w:val="21"/>
              </w:rPr>
              <w:t>项目名称</w:t>
            </w:r>
          </w:p>
        </w:tc>
        <w:tc>
          <w:tcPr>
            <w:tcW w:w="1902" w:type="dxa"/>
            <w:vAlign w:val="center"/>
          </w:tcPr>
          <w:p w14:paraId="7E7648E7">
            <w:pPr>
              <w:spacing w:line="400" w:lineRule="atLeast"/>
              <w:jc w:val="center"/>
              <w:rPr>
                <w:rFonts w:ascii="宋体" w:hAnsi="宋体" w:eastAsia="宋体" w:cs="宋体"/>
                <w:szCs w:val="21"/>
              </w:rPr>
            </w:pPr>
            <w:r>
              <w:rPr>
                <w:rFonts w:hint="eastAsia" w:ascii="宋体" w:hAnsi="宋体" w:eastAsia="宋体" w:cs="宋体"/>
                <w:szCs w:val="21"/>
              </w:rPr>
              <w:t>合同金额</w:t>
            </w:r>
          </w:p>
        </w:tc>
        <w:tc>
          <w:tcPr>
            <w:tcW w:w="1687" w:type="dxa"/>
            <w:vAlign w:val="center"/>
          </w:tcPr>
          <w:p w14:paraId="230C501D">
            <w:pPr>
              <w:spacing w:line="400" w:lineRule="atLeast"/>
              <w:jc w:val="center"/>
              <w:rPr>
                <w:rFonts w:ascii="宋体" w:hAnsi="宋体" w:eastAsia="宋体" w:cs="宋体"/>
                <w:szCs w:val="21"/>
              </w:rPr>
            </w:pPr>
            <w:r>
              <w:rPr>
                <w:rFonts w:hint="eastAsia" w:ascii="宋体" w:hAnsi="宋体" w:eastAsia="宋体" w:cs="宋体"/>
                <w:szCs w:val="21"/>
              </w:rPr>
              <w:t>合同签订时间</w:t>
            </w:r>
          </w:p>
        </w:tc>
        <w:tc>
          <w:tcPr>
            <w:tcW w:w="1687" w:type="dxa"/>
            <w:vAlign w:val="center"/>
          </w:tcPr>
          <w:p w14:paraId="6AB12806">
            <w:pPr>
              <w:spacing w:line="400" w:lineRule="atLeast"/>
              <w:jc w:val="center"/>
              <w:rPr>
                <w:rFonts w:ascii="宋体" w:hAnsi="宋体" w:eastAsia="宋体" w:cs="宋体"/>
                <w:szCs w:val="21"/>
              </w:rPr>
            </w:pPr>
            <w:r>
              <w:rPr>
                <w:rFonts w:hint="eastAsia" w:ascii="宋体" w:hAnsi="宋体" w:eastAsia="宋体" w:cs="宋体"/>
                <w:szCs w:val="21"/>
              </w:rPr>
              <w:t>用户名称</w:t>
            </w:r>
          </w:p>
        </w:tc>
        <w:tc>
          <w:tcPr>
            <w:tcW w:w="1685" w:type="dxa"/>
            <w:vAlign w:val="center"/>
          </w:tcPr>
          <w:p w14:paraId="24CE7F16">
            <w:pPr>
              <w:spacing w:line="400" w:lineRule="atLeast"/>
              <w:jc w:val="center"/>
              <w:rPr>
                <w:rFonts w:ascii="宋体" w:hAnsi="宋体" w:eastAsia="宋体" w:cs="宋体"/>
                <w:szCs w:val="21"/>
              </w:rPr>
            </w:pPr>
            <w:r>
              <w:rPr>
                <w:rFonts w:hint="eastAsia" w:ascii="宋体" w:hAnsi="宋体" w:eastAsia="宋体" w:cs="宋体"/>
                <w:szCs w:val="21"/>
              </w:rPr>
              <w:t>备注</w:t>
            </w:r>
          </w:p>
        </w:tc>
      </w:tr>
      <w:tr w14:paraId="248F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0DD3232">
            <w:pPr>
              <w:spacing w:line="400" w:lineRule="atLeast"/>
              <w:jc w:val="center"/>
              <w:rPr>
                <w:rFonts w:ascii="宋体" w:hAnsi="宋体" w:eastAsia="宋体" w:cs="宋体"/>
                <w:szCs w:val="21"/>
              </w:rPr>
            </w:pPr>
          </w:p>
        </w:tc>
        <w:tc>
          <w:tcPr>
            <w:tcW w:w="1691" w:type="dxa"/>
            <w:vAlign w:val="center"/>
          </w:tcPr>
          <w:p w14:paraId="314F160C">
            <w:pPr>
              <w:spacing w:line="400" w:lineRule="atLeast"/>
              <w:jc w:val="center"/>
              <w:rPr>
                <w:rFonts w:ascii="宋体" w:hAnsi="宋体" w:eastAsia="宋体" w:cs="宋体"/>
                <w:szCs w:val="21"/>
              </w:rPr>
            </w:pPr>
          </w:p>
        </w:tc>
        <w:tc>
          <w:tcPr>
            <w:tcW w:w="1902" w:type="dxa"/>
            <w:vAlign w:val="center"/>
          </w:tcPr>
          <w:p w14:paraId="5A7C8D08">
            <w:pPr>
              <w:spacing w:line="400" w:lineRule="atLeast"/>
              <w:jc w:val="center"/>
              <w:rPr>
                <w:rFonts w:ascii="宋体" w:hAnsi="宋体" w:eastAsia="宋体" w:cs="宋体"/>
                <w:szCs w:val="21"/>
              </w:rPr>
            </w:pPr>
          </w:p>
        </w:tc>
        <w:tc>
          <w:tcPr>
            <w:tcW w:w="1687" w:type="dxa"/>
            <w:vAlign w:val="center"/>
          </w:tcPr>
          <w:p w14:paraId="1CE98715">
            <w:pPr>
              <w:spacing w:line="400" w:lineRule="atLeast"/>
              <w:jc w:val="center"/>
              <w:rPr>
                <w:rFonts w:ascii="宋体" w:hAnsi="宋体" w:eastAsia="宋体" w:cs="宋体"/>
                <w:szCs w:val="21"/>
              </w:rPr>
            </w:pPr>
          </w:p>
        </w:tc>
        <w:tc>
          <w:tcPr>
            <w:tcW w:w="1687" w:type="dxa"/>
            <w:vAlign w:val="center"/>
          </w:tcPr>
          <w:p w14:paraId="7BA36BAE">
            <w:pPr>
              <w:spacing w:line="400" w:lineRule="atLeast"/>
              <w:jc w:val="center"/>
              <w:rPr>
                <w:rFonts w:ascii="宋体" w:hAnsi="宋体" w:eastAsia="宋体" w:cs="宋体"/>
                <w:szCs w:val="21"/>
              </w:rPr>
            </w:pPr>
          </w:p>
        </w:tc>
        <w:tc>
          <w:tcPr>
            <w:tcW w:w="1685" w:type="dxa"/>
            <w:vAlign w:val="center"/>
          </w:tcPr>
          <w:p w14:paraId="1417F99E">
            <w:pPr>
              <w:spacing w:line="400" w:lineRule="atLeast"/>
              <w:jc w:val="center"/>
              <w:rPr>
                <w:rFonts w:ascii="宋体" w:hAnsi="宋体" w:eastAsia="宋体" w:cs="宋体"/>
                <w:szCs w:val="21"/>
              </w:rPr>
            </w:pPr>
          </w:p>
        </w:tc>
      </w:tr>
      <w:tr w14:paraId="27786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383FE2C">
            <w:pPr>
              <w:spacing w:line="400" w:lineRule="atLeast"/>
              <w:jc w:val="center"/>
              <w:rPr>
                <w:rFonts w:ascii="宋体" w:hAnsi="宋体" w:eastAsia="宋体" w:cs="宋体"/>
                <w:szCs w:val="21"/>
              </w:rPr>
            </w:pPr>
          </w:p>
        </w:tc>
        <w:tc>
          <w:tcPr>
            <w:tcW w:w="1691" w:type="dxa"/>
            <w:vAlign w:val="center"/>
          </w:tcPr>
          <w:p w14:paraId="1DB434B4">
            <w:pPr>
              <w:spacing w:line="400" w:lineRule="atLeast"/>
              <w:jc w:val="center"/>
              <w:rPr>
                <w:rFonts w:ascii="宋体" w:hAnsi="宋体" w:eastAsia="宋体" w:cs="宋体"/>
                <w:szCs w:val="21"/>
              </w:rPr>
            </w:pPr>
          </w:p>
        </w:tc>
        <w:tc>
          <w:tcPr>
            <w:tcW w:w="1902" w:type="dxa"/>
            <w:vAlign w:val="center"/>
          </w:tcPr>
          <w:p w14:paraId="49EB4CA1">
            <w:pPr>
              <w:spacing w:line="400" w:lineRule="atLeast"/>
              <w:jc w:val="center"/>
              <w:rPr>
                <w:rFonts w:ascii="宋体" w:hAnsi="宋体" w:eastAsia="宋体" w:cs="宋体"/>
                <w:szCs w:val="21"/>
              </w:rPr>
            </w:pPr>
          </w:p>
        </w:tc>
        <w:tc>
          <w:tcPr>
            <w:tcW w:w="1687" w:type="dxa"/>
            <w:vAlign w:val="center"/>
          </w:tcPr>
          <w:p w14:paraId="795E0976">
            <w:pPr>
              <w:spacing w:line="400" w:lineRule="atLeast"/>
              <w:jc w:val="center"/>
              <w:rPr>
                <w:rFonts w:ascii="宋体" w:hAnsi="宋体" w:eastAsia="宋体" w:cs="宋体"/>
                <w:szCs w:val="21"/>
              </w:rPr>
            </w:pPr>
          </w:p>
        </w:tc>
        <w:tc>
          <w:tcPr>
            <w:tcW w:w="1687" w:type="dxa"/>
            <w:vAlign w:val="center"/>
          </w:tcPr>
          <w:p w14:paraId="7FAEDF95">
            <w:pPr>
              <w:spacing w:line="400" w:lineRule="atLeast"/>
              <w:jc w:val="center"/>
              <w:rPr>
                <w:rFonts w:ascii="宋体" w:hAnsi="宋体" w:eastAsia="宋体" w:cs="宋体"/>
                <w:szCs w:val="21"/>
              </w:rPr>
            </w:pPr>
          </w:p>
        </w:tc>
        <w:tc>
          <w:tcPr>
            <w:tcW w:w="1685" w:type="dxa"/>
            <w:vAlign w:val="center"/>
          </w:tcPr>
          <w:p w14:paraId="7D2F76BB">
            <w:pPr>
              <w:spacing w:line="400" w:lineRule="atLeast"/>
              <w:jc w:val="center"/>
              <w:rPr>
                <w:rFonts w:ascii="宋体" w:hAnsi="宋体" w:eastAsia="宋体" w:cs="宋体"/>
                <w:szCs w:val="21"/>
              </w:rPr>
            </w:pPr>
          </w:p>
        </w:tc>
      </w:tr>
      <w:tr w14:paraId="5CB9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E33830B">
            <w:pPr>
              <w:spacing w:line="400" w:lineRule="atLeast"/>
              <w:jc w:val="center"/>
              <w:rPr>
                <w:rFonts w:ascii="宋体" w:hAnsi="宋体" w:eastAsia="宋体" w:cs="宋体"/>
                <w:szCs w:val="21"/>
              </w:rPr>
            </w:pPr>
          </w:p>
        </w:tc>
        <w:tc>
          <w:tcPr>
            <w:tcW w:w="1691" w:type="dxa"/>
            <w:vAlign w:val="center"/>
          </w:tcPr>
          <w:p w14:paraId="0FA6C45D">
            <w:pPr>
              <w:spacing w:line="400" w:lineRule="atLeast"/>
              <w:jc w:val="center"/>
              <w:rPr>
                <w:rFonts w:ascii="宋体" w:hAnsi="宋体" w:eastAsia="宋体" w:cs="宋体"/>
                <w:szCs w:val="21"/>
              </w:rPr>
            </w:pPr>
          </w:p>
        </w:tc>
        <w:tc>
          <w:tcPr>
            <w:tcW w:w="1902" w:type="dxa"/>
            <w:vAlign w:val="center"/>
          </w:tcPr>
          <w:p w14:paraId="2AE731F9">
            <w:pPr>
              <w:spacing w:line="400" w:lineRule="atLeast"/>
              <w:jc w:val="center"/>
              <w:rPr>
                <w:rFonts w:ascii="宋体" w:hAnsi="宋体" w:eastAsia="宋体" w:cs="宋体"/>
                <w:szCs w:val="21"/>
              </w:rPr>
            </w:pPr>
          </w:p>
        </w:tc>
        <w:tc>
          <w:tcPr>
            <w:tcW w:w="1687" w:type="dxa"/>
            <w:vAlign w:val="center"/>
          </w:tcPr>
          <w:p w14:paraId="67413F53">
            <w:pPr>
              <w:spacing w:line="400" w:lineRule="atLeast"/>
              <w:jc w:val="center"/>
              <w:rPr>
                <w:rFonts w:ascii="宋体" w:hAnsi="宋体" w:eastAsia="宋体" w:cs="宋体"/>
                <w:szCs w:val="21"/>
              </w:rPr>
            </w:pPr>
          </w:p>
        </w:tc>
        <w:tc>
          <w:tcPr>
            <w:tcW w:w="1687" w:type="dxa"/>
            <w:vAlign w:val="center"/>
          </w:tcPr>
          <w:p w14:paraId="009C8811">
            <w:pPr>
              <w:spacing w:line="400" w:lineRule="atLeast"/>
              <w:jc w:val="center"/>
              <w:rPr>
                <w:rFonts w:ascii="宋体" w:hAnsi="宋体" w:eastAsia="宋体" w:cs="宋体"/>
                <w:szCs w:val="21"/>
              </w:rPr>
            </w:pPr>
          </w:p>
        </w:tc>
        <w:tc>
          <w:tcPr>
            <w:tcW w:w="1685" w:type="dxa"/>
            <w:vAlign w:val="center"/>
          </w:tcPr>
          <w:p w14:paraId="1D3E0386">
            <w:pPr>
              <w:spacing w:line="400" w:lineRule="atLeast"/>
              <w:jc w:val="center"/>
              <w:rPr>
                <w:rFonts w:ascii="宋体" w:hAnsi="宋体" w:eastAsia="宋体" w:cs="宋体"/>
                <w:szCs w:val="21"/>
              </w:rPr>
            </w:pPr>
          </w:p>
        </w:tc>
      </w:tr>
      <w:tr w14:paraId="08275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44A63F4D">
            <w:pPr>
              <w:spacing w:line="400" w:lineRule="atLeast"/>
              <w:jc w:val="center"/>
              <w:rPr>
                <w:rFonts w:ascii="宋体" w:hAnsi="宋体" w:eastAsia="宋体" w:cs="宋体"/>
                <w:szCs w:val="21"/>
              </w:rPr>
            </w:pPr>
          </w:p>
        </w:tc>
        <w:tc>
          <w:tcPr>
            <w:tcW w:w="1691" w:type="dxa"/>
            <w:vAlign w:val="center"/>
          </w:tcPr>
          <w:p w14:paraId="3FB07BA0">
            <w:pPr>
              <w:spacing w:line="400" w:lineRule="atLeast"/>
              <w:jc w:val="center"/>
              <w:rPr>
                <w:rFonts w:ascii="宋体" w:hAnsi="宋体" w:eastAsia="宋体" w:cs="宋体"/>
                <w:szCs w:val="21"/>
              </w:rPr>
            </w:pPr>
          </w:p>
        </w:tc>
        <w:tc>
          <w:tcPr>
            <w:tcW w:w="1902" w:type="dxa"/>
            <w:vAlign w:val="center"/>
          </w:tcPr>
          <w:p w14:paraId="20AD6608">
            <w:pPr>
              <w:spacing w:line="400" w:lineRule="atLeast"/>
              <w:jc w:val="center"/>
              <w:rPr>
                <w:rFonts w:ascii="宋体" w:hAnsi="宋体" w:eastAsia="宋体" w:cs="宋体"/>
                <w:szCs w:val="21"/>
              </w:rPr>
            </w:pPr>
          </w:p>
        </w:tc>
        <w:tc>
          <w:tcPr>
            <w:tcW w:w="1687" w:type="dxa"/>
            <w:vAlign w:val="center"/>
          </w:tcPr>
          <w:p w14:paraId="20AC5FF0">
            <w:pPr>
              <w:spacing w:line="400" w:lineRule="atLeast"/>
              <w:jc w:val="center"/>
              <w:rPr>
                <w:rFonts w:ascii="宋体" w:hAnsi="宋体" w:eastAsia="宋体" w:cs="宋体"/>
                <w:szCs w:val="21"/>
              </w:rPr>
            </w:pPr>
          </w:p>
        </w:tc>
        <w:tc>
          <w:tcPr>
            <w:tcW w:w="1687" w:type="dxa"/>
            <w:vAlign w:val="center"/>
          </w:tcPr>
          <w:p w14:paraId="44877405">
            <w:pPr>
              <w:spacing w:line="400" w:lineRule="atLeast"/>
              <w:jc w:val="center"/>
              <w:rPr>
                <w:rFonts w:ascii="宋体" w:hAnsi="宋体" w:eastAsia="宋体" w:cs="宋体"/>
                <w:szCs w:val="21"/>
              </w:rPr>
            </w:pPr>
          </w:p>
        </w:tc>
        <w:tc>
          <w:tcPr>
            <w:tcW w:w="1685" w:type="dxa"/>
            <w:vAlign w:val="center"/>
          </w:tcPr>
          <w:p w14:paraId="6D0E6EB7">
            <w:pPr>
              <w:spacing w:line="400" w:lineRule="atLeast"/>
              <w:jc w:val="center"/>
              <w:rPr>
                <w:rFonts w:ascii="宋体" w:hAnsi="宋体" w:eastAsia="宋体" w:cs="宋体"/>
                <w:szCs w:val="21"/>
              </w:rPr>
            </w:pPr>
          </w:p>
        </w:tc>
      </w:tr>
      <w:tr w14:paraId="6BFCC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023C7081">
            <w:pPr>
              <w:spacing w:line="400" w:lineRule="atLeast"/>
              <w:jc w:val="center"/>
              <w:rPr>
                <w:rFonts w:ascii="宋体" w:hAnsi="宋体" w:eastAsia="宋体" w:cs="宋体"/>
                <w:szCs w:val="21"/>
              </w:rPr>
            </w:pPr>
          </w:p>
        </w:tc>
        <w:tc>
          <w:tcPr>
            <w:tcW w:w="1691" w:type="dxa"/>
            <w:vAlign w:val="center"/>
          </w:tcPr>
          <w:p w14:paraId="1AEC700F">
            <w:pPr>
              <w:spacing w:line="400" w:lineRule="atLeast"/>
              <w:jc w:val="center"/>
              <w:rPr>
                <w:rFonts w:ascii="宋体" w:hAnsi="宋体" w:eastAsia="宋体" w:cs="宋体"/>
                <w:szCs w:val="21"/>
              </w:rPr>
            </w:pPr>
          </w:p>
        </w:tc>
        <w:tc>
          <w:tcPr>
            <w:tcW w:w="1902" w:type="dxa"/>
            <w:vAlign w:val="center"/>
          </w:tcPr>
          <w:p w14:paraId="3CC8D660">
            <w:pPr>
              <w:spacing w:line="400" w:lineRule="atLeast"/>
              <w:jc w:val="center"/>
              <w:rPr>
                <w:rFonts w:ascii="宋体" w:hAnsi="宋体" w:eastAsia="宋体" w:cs="宋体"/>
                <w:szCs w:val="21"/>
              </w:rPr>
            </w:pPr>
          </w:p>
        </w:tc>
        <w:tc>
          <w:tcPr>
            <w:tcW w:w="1687" w:type="dxa"/>
            <w:vAlign w:val="center"/>
          </w:tcPr>
          <w:p w14:paraId="135DDF65">
            <w:pPr>
              <w:spacing w:line="400" w:lineRule="atLeast"/>
              <w:jc w:val="center"/>
              <w:rPr>
                <w:rFonts w:ascii="宋体" w:hAnsi="宋体" w:eastAsia="宋体" w:cs="宋体"/>
                <w:szCs w:val="21"/>
              </w:rPr>
            </w:pPr>
          </w:p>
        </w:tc>
        <w:tc>
          <w:tcPr>
            <w:tcW w:w="1687" w:type="dxa"/>
            <w:vAlign w:val="center"/>
          </w:tcPr>
          <w:p w14:paraId="1EFB2D6A">
            <w:pPr>
              <w:spacing w:line="400" w:lineRule="atLeast"/>
              <w:jc w:val="center"/>
              <w:rPr>
                <w:rFonts w:ascii="宋体" w:hAnsi="宋体" w:eastAsia="宋体" w:cs="宋体"/>
                <w:szCs w:val="21"/>
              </w:rPr>
            </w:pPr>
          </w:p>
        </w:tc>
        <w:tc>
          <w:tcPr>
            <w:tcW w:w="1685" w:type="dxa"/>
            <w:vAlign w:val="center"/>
          </w:tcPr>
          <w:p w14:paraId="67DA9614">
            <w:pPr>
              <w:spacing w:line="400" w:lineRule="atLeast"/>
              <w:jc w:val="center"/>
              <w:rPr>
                <w:rFonts w:ascii="宋体" w:hAnsi="宋体" w:eastAsia="宋体" w:cs="宋体"/>
                <w:szCs w:val="21"/>
              </w:rPr>
            </w:pPr>
          </w:p>
        </w:tc>
      </w:tr>
      <w:tr w14:paraId="27DB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6EE9AE6E">
            <w:pPr>
              <w:spacing w:line="400" w:lineRule="atLeast"/>
              <w:jc w:val="center"/>
              <w:rPr>
                <w:rFonts w:ascii="宋体" w:hAnsi="宋体" w:eastAsia="宋体" w:cs="宋体"/>
                <w:szCs w:val="21"/>
              </w:rPr>
            </w:pPr>
          </w:p>
        </w:tc>
        <w:tc>
          <w:tcPr>
            <w:tcW w:w="1691" w:type="dxa"/>
            <w:vAlign w:val="center"/>
          </w:tcPr>
          <w:p w14:paraId="3616105D">
            <w:pPr>
              <w:spacing w:line="400" w:lineRule="atLeast"/>
              <w:jc w:val="center"/>
              <w:rPr>
                <w:rFonts w:ascii="宋体" w:hAnsi="宋体" w:eastAsia="宋体" w:cs="宋体"/>
                <w:szCs w:val="21"/>
              </w:rPr>
            </w:pPr>
          </w:p>
        </w:tc>
        <w:tc>
          <w:tcPr>
            <w:tcW w:w="1902" w:type="dxa"/>
            <w:vAlign w:val="center"/>
          </w:tcPr>
          <w:p w14:paraId="37820D44">
            <w:pPr>
              <w:spacing w:line="400" w:lineRule="atLeast"/>
              <w:jc w:val="center"/>
              <w:rPr>
                <w:rFonts w:ascii="宋体" w:hAnsi="宋体" w:eastAsia="宋体" w:cs="宋体"/>
                <w:szCs w:val="21"/>
              </w:rPr>
            </w:pPr>
          </w:p>
        </w:tc>
        <w:tc>
          <w:tcPr>
            <w:tcW w:w="1687" w:type="dxa"/>
            <w:vAlign w:val="center"/>
          </w:tcPr>
          <w:p w14:paraId="62E3D38A">
            <w:pPr>
              <w:spacing w:line="400" w:lineRule="atLeast"/>
              <w:jc w:val="center"/>
              <w:rPr>
                <w:rFonts w:ascii="宋体" w:hAnsi="宋体" w:eastAsia="宋体" w:cs="宋体"/>
                <w:szCs w:val="21"/>
              </w:rPr>
            </w:pPr>
          </w:p>
        </w:tc>
        <w:tc>
          <w:tcPr>
            <w:tcW w:w="1687" w:type="dxa"/>
            <w:vAlign w:val="center"/>
          </w:tcPr>
          <w:p w14:paraId="49E3DF5F">
            <w:pPr>
              <w:spacing w:line="400" w:lineRule="atLeast"/>
              <w:jc w:val="center"/>
              <w:rPr>
                <w:rFonts w:ascii="宋体" w:hAnsi="宋体" w:eastAsia="宋体" w:cs="宋体"/>
                <w:szCs w:val="21"/>
              </w:rPr>
            </w:pPr>
          </w:p>
        </w:tc>
        <w:tc>
          <w:tcPr>
            <w:tcW w:w="1685" w:type="dxa"/>
            <w:vAlign w:val="center"/>
          </w:tcPr>
          <w:p w14:paraId="790E7C8C">
            <w:pPr>
              <w:spacing w:line="400" w:lineRule="atLeast"/>
              <w:jc w:val="center"/>
              <w:rPr>
                <w:rFonts w:ascii="宋体" w:hAnsi="宋体" w:eastAsia="宋体" w:cs="宋体"/>
                <w:szCs w:val="21"/>
              </w:rPr>
            </w:pPr>
          </w:p>
        </w:tc>
      </w:tr>
    </w:tbl>
    <w:p w14:paraId="1C008810">
      <w:pPr>
        <w:adjustRightInd w:val="0"/>
        <w:spacing w:line="300" w:lineRule="auto"/>
        <w:rPr>
          <w:rFonts w:ascii="宋体" w:hAnsi="宋体" w:eastAsia="宋体" w:cs="宋体"/>
          <w:spacing w:val="11"/>
          <w:szCs w:val="21"/>
        </w:rPr>
      </w:pPr>
    </w:p>
    <w:p w14:paraId="7C124BE4">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注：1.本表后附合同等业绩证明资料复印件加盖供应商公章</w:t>
      </w:r>
      <w:r>
        <w:rPr>
          <w:rFonts w:hint="eastAsia" w:ascii="宋体" w:hAnsi="宋体" w:eastAsia="宋体" w:cs="宋体"/>
          <w:b/>
          <w:spacing w:val="11"/>
          <w:szCs w:val="21"/>
        </w:rPr>
        <w:t>(详见业绩评分项)</w:t>
      </w:r>
      <w:r>
        <w:rPr>
          <w:rFonts w:hint="eastAsia" w:ascii="宋体" w:hAnsi="宋体" w:eastAsia="宋体" w:cs="宋体"/>
          <w:spacing w:val="11"/>
          <w:szCs w:val="21"/>
        </w:rPr>
        <w:t>。</w:t>
      </w:r>
    </w:p>
    <w:p w14:paraId="700A0C18">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2.此表仅提供了表格形式，供应商应根据需要准备足够数量的表格来填写。供应商不填写此表或未提供相关业绩证明材料将视为无业绩。</w:t>
      </w:r>
    </w:p>
    <w:p w14:paraId="2ECE31CA">
      <w:pPr>
        <w:snapToGrid w:val="0"/>
        <w:spacing w:before="50" w:after="50"/>
        <w:outlineLvl w:val="1"/>
        <w:rPr>
          <w:rFonts w:ascii="宋体" w:hAnsi="宋体" w:eastAsia="宋体" w:cs="宋体"/>
          <w:spacing w:val="11"/>
          <w:szCs w:val="21"/>
        </w:rPr>
      </w:pPr>
    </w:p>
    <w:p w14:paraId="09593DD0">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611624F4">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03EFE32F">
      <w:pPr>
        <w:snapToGrid w:val="0"/>
        <w:spacing w:beforeLines="50" w:after="50"/>
        <w:ind w:firstLine="6032" w:firstLineChars="2600"/>
        <w:rPr>
          <w:rFonts w:ascii="宋体" w:hAnsi="宋体" w:eastAsia="宋体" w:cs="宋体"/>
          <w:spacing w:val="11"/>
          <w:szCs w:val="21"/>
        </w:rPr>
      </w:pPr>
    </w:p>
    <w:p w14:paraId="6478B6DF">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252333C5">
      <w:pPr>
        <w:widowControl/>
        <w:tabs>
          <w:tab w:val="left" w:pos="3141"/>
          <w:tab w:val="center" w:pos="4934"/>
        </w:tabs>
        <w:spacing w:line="360" w:lineRule="auto"/>
        <w:ind w:right="-21" w:rightChars="-10"/>
        <w:jc w:val="left"/>
        <w:rPr>
          <w:rFonts w:ascii="宋体" w:hAnsi="宋体" w:eastAsia="宋体" w:cs="宋体"/>
          <w:b/>
          <w:bCs/>
          <w:spacing w:val="11"/>
          <w:kern w:val="0"/>
          <w:szCs w:val="21"/>
        </w:rPr>
      </w:pPr>
    </w:p>
    <w:p w14:paraId="672E0540">
      <w:pPr>
        <w:snapToGrid w:val="0"/>
        <w:spacing w:before="50" w:after="50"/>
        <w:outlineLvl w:val="1"/>
        <w:rPr>
          <w:rFonts w:ascii="宋体" w:hAnsi="宋体" w:eastAsia="宋体" w:cs="宋体"/>
          <w:spacing w:val="11"/>
          <w:szCs w:val="21"/>
        </w:rPr>
      </w:pPr>
    </w:p>
    <w:p w14:paraId="3E9CF408">
      <w:pPr>
        <w:pStyle w:val="53"/>
        <w:ind w:firstLine="232"/>
        <w:rPr>
          <w:rFonts w:cs="宋体"/>
          <w:spacing w:val="11"/>
          <w:szCs w:val="21"/>
        </w:rPr>
      </w:pPr>
    </w:p>
    <w:p w14:paraId="10858C86">
      <w:pPr>
        <w:pStyle w:val="53"/>
        <w:ind w:firstLine="232"/>
        <w:rPr>
          <w:rFonts w:cs="宋体"/>
          <w:spacing w:val="11"/>
          <w:szCs w:val="21"/>
        </w:rPr>
      </w:pPr>
    </w:p>
    <w:p w14:paraId="464F738A">
      <w:pPr>
        <w:pStyle w:val="53"/>
        <w:ind w:firstLine="211"/>
        <w:rPr>
          <w:rFonts w:cs="宋体"/>
          <w:b/>
          <w:bCs/>
          <w:szCs w:val="21"/>
        </w:rPr>
      </w:pPr>
    </w:p>
    <w:p w14:paraId="3F704520">
      <w:pPr>
        <w:pStyle w:val="4"/>
        <w:jc w:val="center"/>
        <w:rPr>
          <w:rFonts w:hAnsi="宋体"/>
          <w:spacing w:val="11"/>
          <w:sz w:val="21"/>
          <w:szCs w:val="21"/>
          <w:u w:val="none"/>
        </w:rPr>
      </w:pPr>
      <w:r>
        <w:rPr>
          <w:rFonts w:hint="eastAsia" w:hAnsi="宋体"/>
          <w:spacing w:val="11"/>
          <w:sz w:val="21"/>
          <w:szCs w:val="21"/>
          <w:u w:val="none"/>
        </w:rPr>
        <w:t>9.技术响应表</w:t>
      </w:r>
    </w:p>
    <w:p w14:paraId="681C0DE9">
      <w:pPr>
        <w:spacing w:line="380" w:lineRule="exact"/>
        <w:rPr>
          <w:rFonts w:ascii="宋体" w:hAnsi="宋体" w:eastAsia="宋体" w:cs="宋体"/>
          <w:szCs w:val="21"/>
        </w:rPr>
      </w:pPr>
    </w:p>
    <w:tbl>
      <w:tblPr>
        <w:tblStyle w:val="55"/>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14:paraId="5F8D9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14:paraId="0F776336">
            <w:pPr>
              <w:snapToGrid w:val="0"/>
              <w:spacing w:beforeLines="50"/>
              <w:jc w:val="center"/>
              <w:rPr>
                <w:rFonts w:ascii="宋体" w:hAnsi="宋体" w:eastAsia="宋体" w:cs="宋体"/>
                <w:szCs w:val="21"/>
              </w:rPr>
            </w:pPr>
            <w:r>
              <w:rPr>
                <w:rFonts w:hint="eastAsia" w:ascii="宋体" w:hAnsi="宋体" w:eastAsia="宋体" w:cs="宋体"/>
                <w:szCs w:val="21"/>
              </w:rPr>
              <w:t>序号</w:t>
            </w:r>
          </w:p>
        </w:tc>
        <w:tc>
          <w:tcPr>
            <w:tcW w:w="2029" w:type="dxa"/>
            <w:tcBorders>
              <w:top w:val="single" w:color="auto" w:sz="4" w:space="0"/>
              <w:left w:val="single" w:color="auto" w:sz="4" w:space="0"/>
              <w:bottom w:val="single" w:color="auto" w:sz="4" w:space="0"/>
              <w:right w:val="single" w:color="auto" w:sz="4" w:space="0"/>
            </w:tcBorders>
            <w:vAlign w:val="center"/>
          </w:tcPr>
          <w:p w14:paraId="599F8AF5">
            <w:pPr>
              <w:snapToGrid w:val="0"/>
              <w:spacing w:beforeLines="50"/>
              <w:jc w:val="center"/>
              <w:rPr>
                <w:rFonts w:ascii="宋体" w:hAnsi="宋体" w:eastAsia="宋体" w:cs="宋体"/>
                <w:szCs w:val="21"/>
              </w:rPr>
            </w:pPr>
            <w:r>
              <w:rPr>
                <w:rFonts w:hint="eastAsia" w:ascii="宋体" w:hAnsi="宋体" w:eastAsia="宋体" w:cs="宋体"/>
                <w:szCs w:val="21"/>
              </w:rPr>
              <w:t>竞争性磋商文件</w:t>
            </w:r>
          </w:p>
          <w:p w14:paraId="1AE37B97">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14:paraId="61417693">
            <w:pPr>
              <w:snapToGrid w:val="0"/>
              <w:spacing w:beforeLines="50"/>
              <w:jc w:val="center"/>
              <w:rPr>
                <w:rFonts w:ascii="宋体" w:hAnsi="宋体" w:eastAsia="宋体" w:cs="宋体"/>
                <w:szCs w:val="21"/>
              </w:rPr>
            </w:pPr>
            <w:r>
              <w:rPr>
                <w:rFonts w:hint="eastAsia" w:ascii="宋体" w:hAnsi="宋体" w:eastAsia="宋体" w:cs="宋体"/>
                <w:szCs w:val="21"/>
              </w:rPr>
              <w:t>磋商响应文件</w:t>
            </w:r>
          </w:p>
          <w:p w14:paraId="1F9986C6">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14:paraId="52C169C0">
            <w:pPr>
              <w:snapToGrid w:val="0"/>
              <w:spacing w:beforeLines="50"/>
              <w:jc w:val="center"/>
              <w:rPr>
                <w:rFonts w:ascii="宋体" w:hAnsi="宋体" w:eastAsia="宋体" w:cs="宋体"/>
                <w:szCs w:val="21"/>
              </w:rPr>
            </w:pPr>
            <w:r>
              <w:rPr>
                <w:rFonts w:hint="eastAsia" w:ascii="宋体" w:hAnsi="宋体" w:eastAsia="宋体" w:cs="宋体"/>
                <w:szCs w:val="21"/>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14:paraId="78F9FCA9">
            <w:pPr>
              <w:snapToGrid w:val="0"/>
              <w:spacing w:beforeLines="50"/>
              <w:jc w:val="center"/>
              <w:rPr>
                <w:rFonts w:ascii="宋体" w:hAnsi="宋体" w:eastAsia="宋体" w:cs="宋体"/>
                <w:szCs w:val="21"/>
              </w:rPr>
            </w:pPr>
            <w:r>
              <w:rPr>
                <w:rFonts w:hint="eastAsia" w:ascii="宋体" w:hAnsi="宋体" w:eastAsia="宋体" w:cs="宋体"/>
                <w:szCs w:val="21"/>
              </w:rPr>
              <w:t>偏离说明</w:t>
            </w:r>
          </w:p>
        </w:tc>
      </w:tr>
      <w:tr w14:paraId="2EE3E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6140F75E">
            <w:pPr>
              <w:snapToGrid w:val="0"/>
              <w:spacing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D466AB8">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15FC64F3">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58BA413E">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79897255">
            <w:pPr>
              <w:snapToGrid w:val="0"/>
              <w:spacing w:beforeLines="50" w:line="460" w:lineRule="exact"/>
              <w:jc w:val="center"/>
              <w:rPr>
                <w:rFonts w:ascii="宋体" w:hAnsi="宋体" w:eastAsia="宋体" w:cs="宋体"/>
                <w:szCs w:val="21"/>
              </w:rPr>
            </w:pPr>
          </w:p>
        </w:tc>
      </w:tr>
      <w:tr w14:paraId="6E681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40339094">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8745838">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15DDC917">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4B2BEBBA">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7A102BB">
            <w:pPr>
              <w:snapToGrid w:val="0"/>
              <w:spacing w:beforeLines="50" w:line="460" w:lineRule="exact"/>
              <w:jc w:val="center"/>
              <w:rPr>
                <w:rFonts w:ascii="宋体" w:hAnsi="宋体" w:eastAsia="宋体" w:cs="宋体"/>
                <w:szCs w:val="21"/>
              </w:rPr>
            </w:pPr>
          </w:p>
        </w:tc>
      </w:tr>
      <w:tr w14:paraId="60920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53225E85">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2D1C570C">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D1ACB9D">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07270E30">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5F451B3">
            <w:pPr>
              <w:snapToGrid w:val="0"/>
              <w:spacing w:beforeLines="50" w:line="460" w:lineRule="exact"/>
              <w:jc w:val="center"/>
              <w:rPr>
                <w:rFonts w:ascii="宋体" w:hAnsi="宋体" w:eastAsia="宋体" w:cs="宋体"/>
                <w:szCs w:val="21"/>
              </w:rPr>
            </w:pPr>
          </w:p>
        </w:tc>
      </w:tr>
      <w:tr w14:paraId="5D0C7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C47B3C5">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77EAB0EB">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38883DE7">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76CE18ED">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615CC16E">
            <w:pPr>
              <w:snapToGrid w:val="0"/>
              <w:spacing w:beforeLines="50" w:line="460" w:lineRule="exact"/>
              <w:jc w:val="center"/>
              <w:rPr>
                <w:rFonts w:ascii="宋体" w:hAnsi="宋体" w:eastAsia="宋体" w:cs="宋体"/>
                <w:szCs w:val="21"/>
              </w:rPr>
            </w:pPr>
          </w:p>
        </w:tc>
      </w:tr>
      <w:tr w14:paraId="07FDF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2CAABC69">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41A0EF35">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5A1AD8E1">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02D9A67">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2FA0A03C">
            <w:pPr>
              <w:snapToGrid w:val="0"/>
              <w:spacing w:beforeLines="50" w:line="460" w:lineRule="exact"/>
              <w:jc w:val="center"/>
              <w:rPr>
                <w:rFonts w:ascii="宋体" w:hAnsi="宋体" w:eastAsia="宋体" w:cs="宋体"/>
                <w:szCs w:val="21"/>
              </w:rPr>
            </w:pPr>
          </w:p>
        </w:tc>
      </w:tr>
      <w:tr w14:paraId="24478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14:paraId="0BEE2815">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14:paraId="607C84E2">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14:paraId="29410DEA">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625201F4">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14:paraId="73BE2BE3">
            <w:pPr>
              <w:snapToGrid w:val="0"/>
              <w:spacing w:beforeLines="50" w:line="460" w:lineRule="exact"/>
              <w:jc w:val="center"/>
              <w:rPr>
                <w:rFonts w:ascii="宋体" w:hAnsi="宋体" w:eastAsia="宋体" w:cs="宋体"/>
                <w:szCs w:val="21"/>
              </w:rPr>
            </w:pPr>
          </w:p>
        </w:tc>
      </w:tr>
    </w:tbl>
    <w:p w14:paraId="59DBDC92">
      <w:pPr>
        <w:spacing w:line="360" w:lineRule="auto"/>
        <w:ind w:firstLine="420" w:firstLineChars="200"/>
        <w:rPr>
          <w:rFonts w:ascii="宋体" w:hAnsi="宋体" w:eastAsia="宋体" w:cs="宋体"/>
          <w:szCs w:val="21"/>
        </w:rPr>
      </w:pPr>
      <w:r>
        <w:rPr>
          <w:rFonts w:hint="eastAsia" w:ascii="宋体" w:hAnsi="宋体" w:eastAsia="宋体" w:cs="宋体"/>
          <w:szCs w:val="21"/>
        </w:rPr>
        <w:t>注1.供应商应根据文件技术要求、“第二章 磋商需求”对照竞争性磋商文件要求在“偏离情况”栏注明“正偏离”、“负偏离”或“无偏离”。</w:t>
      </w:r>
    </w:p>
    <w:p w14:paraId="528D900D">
      <w:pPr>
        <w:numPr>
          <w:ilvl w:val="255"/>
          <w:numId w:val="0"/>
        </w:numPr>
        <w:spacing w:line="360" w:lineRule="auto"/>
        <w:ind w:firstLine="420" w:firstLineChars="200"/>
        <w:rPr>
          <w:rFonts w:ascii="宋体" w:hAnsi="宋体" w:eastAsia="宋体" w:cs="宋体"/>
          <w:spacing w:val="11"/>
          <w:szCs w:val="21"/>
        </w:rPr>
      </w:pPr>
      <w:r>
        <w:rPr>
          <w:rFonts w:hint="eastAsia" w:ascii="宋体" w:hAnsi="宋体" w:eastAsia="宋体" w:cs="宋体"/>
          <w:szCs w:val="21"/>
        </w:rPr>
        <w:t>2.</w:t>
      </w:r>
      <w:r>
        <w:rPr>
          <w:rFonts w:hint="eastAsia" w:ascii="宋体" w:hAnsi="宋体" w:eastAsia="宋体" w:cs="宋体"/>
          <w:spacing w:val="11"/>
          <w:szCs w:val="21"/>
        </w:rPr>
        <w:t>如不填写，则视为完全响应竞争性磋商文件；如有偏离请如实填写，偏离情况可按实际响应情况填写正偏离、负偏离或无偏离</w:t>
      </w:r>
      <w:r>
        <w:rPr>
          <w:rFonts w:hint="eastAsia" w:ascii="宋体" w:hAnsi="宋体" w:eastAsia="宋体" w:cs="宋体"/>
          <w:spacing w:val="11"/>
          <w:szCs w:val="21"/>
          <w:lang w:eastAsia="zh-CN"/>
        </w:rPr>
        <w:t>，</w:t>
      </w:r>
      <w:r>
        <w:rPr>
          <w:rFonts w:hint="eastAsia" w:ascii="宋体" w:hAnsi="宋体" w:eastAsia="宋体" w:cs="宋体"/>
          <w:szCs w:val="21"/>
        </w:rPr>
        <w:t>否则存在的风险由供应商自行承担</w:t>
      </w:r>
      <w:r>
        <w:rPr>
          <w:rFonts w:hint="eastAsia" w:ascii="宋体" w:hAnsi="宋体" w:eastAsia="宋体" w:cs="宋体"/>
          <w:spacing w:val="11"/>
          <w:szCs w:val="21"/>
        </w:rPr>
        <w:t>。</w:t>
      </w:r>
    </w:p>
    <w:p w14:paraId="266F81C0">
      <w:pPr>
        <w:spacing w:line="360" w:lineRule="auto"/>
        <w:ind w:right="-21" w:rightChars="-10"/>
        <w:rPr>
          <w:rFonts w:ascii="宋体" w:hAnsi="宋体" w:eastAsia="宋体" w:cs="宋体"/>
          <w:szCs w:val="21"/>
        </w:rPr>
      </w:pPr>
    </w:p>
    <w:p w14:paraId="29627825">
      <w:pPr>
        <w:spacing w:line="360" w:lineRule="auto"/>
        <w:ind w:right="-21" w:rightChars="-10"/>
        <w:rPr>
          <w:rFonts w:ascii="宋体" w:hAnsi="宋体" w:eastAsia="宋体" w:cs="宋体"/>
          <w:szCs w:val="21"/>
        </w:rPr>
      </w:pPr>
    </w:p>
    <w:p w14:paraId="3726FBA6">
      <w:pPr>
        <w:spacing w:line="360" w:lineRule="auto"/>
        <w:ind w:right="-21" w:rightChars="-10"/>
        <w:rPr>
          <w:rFonts w:ascii="宋体" w:hAnsi="宋体" w:eastAsia="宋体" w:cs="宋体"/>
          <w:szCs w:val="21"/>
        </w:rPr>
      </w:pPr>
    </w:p>
    <w:p w14:paraId="486D371C">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p>
    <w:p w14:paraId="1DDA96BD">
      <w:pPr>
        <w:spacing w:line="360" w:lineRule="auto"/>
        <w:ind w:right="-10"/>
        <w:rPr>
          <w:rFonts w:ascii="宋体" w:hAnsi="宋体" w:eastAsia="宋体" w:cs="宋体"/>
          <w:szCs w:val="21"/>
        </w:rPr>
      </w:pPr>
    </w:p>
    <w:p w14:paraId="63DFB6F7">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p>
    <w:p w14:paraId="1C386336">
      <w:pPr>
        <w:spacing w:line="360" w:lineRule="auto"/>
        <w:rPr>
          <w:rFonts w:ascii="宋体" w:hAnsi="宋体" w:eastAsia="宋体" w:cs="宋体"/>
          <w:szCs w:val="21"/>
        </w:rPr>
      </w:pPr>
    </w:p>
    <w:p w14:paraId="69AE7BAF">
      <w:pPr>
        <w:spacing w:line="360" w:lineRule="auto"/>
        <w:ind w:right="-21" w:rightChars="-10"/>
        <w:rPr>
          <w:rFonts w:ascii="宋体" w:hAnsi="宋体" w:eastAsia="宋体" w:cs="宋体"/>
          <w:sz w:val="24"/>
          <w:u w:val="single"/>
        </w:rPr>
      </w:pPr>
      <w:r>
        <w:rPr>
          <w:rFonts w:hint="eastAsia" w:ascii="宋体" w:hAnsi="宋体" w:eastAsia="宋体" w:cs="宋体"/>
          <w:szCs w:val="21"/>
        </w:rPr>
        <w:t>日期：</w:t>
      </w:r>
    </w:p>
    <w:p w14:paraId="087F52D5">
      <w:pPr>
        <w:snapToGrid w:val="0"/>
        <w:spacing w:beforeLines="50" w:after="50"/>
        <w:jc w:val="center"/>
        <w:rPr>
          <w:rFonts w:ascii="宋体" w:hAnsi="宋体" w:cs="宋体"/>
          <w:b/>
          <w:bCs/>
          <w:spacing w:val="11"/>
          <w:sz w:val="24"/>
        </w:rPr>
      </w:pPr>
    </w:p>
    <w:p w14:paraId="4142C9F6">
      <w:pPr>
        <w:spacing w:line="420" w:lineRule="exact"/>
        <w:jc w:val="left"/>
        <w:rPr>
          <w:rFonts w:ascii="宋体" w:hAnsi="宋体" w:cs="宋体"/>
          <w:spacing w:val="11"/>
          <w:sz w:val="24"/>
        </w:rPr>
      </w:pPr>
    </w:p>
    <w:p w14:paraId="19DB4D73">
      <w:pPr>
        <w:pStyle w:val="53"/>
        <w:ind w:firstLine="262"/>
        <w:rPr>
          <w:rFonts w:cs="宋体"/>
          <w:spacing w:val="11"/>
          <w:sz w:val="24"/>
        </w:rPr>
      </w:pPr>
    </w:p>
    <w:p w14:paraId="1017D745">
      <w:pPr>
        <w:rPr>
          <w:rFonts w:ascii="宋体" w:hAnsi="宋体" w:cs="宋体"/>
          <w:spacing w:val="11"/>
          <w:sz w:val="24"/>
        </w:rPr>
      </w:pPr>
    </w:p>
    <w:p w14:paraId="3B91BA7B">
      <w:pPr>
        <w:pStyle w:val="53"/>
        <w:ind w:firstLine="262"/>
        <w:rPr>
          <w:rFonts w:cs="宋体"/>
          <w:spacing w:val="11"/>
          <w:sz w:val="24"/>
        </w:rPr>
      </w:pPr>
    </w:p>
    <w:p w14:paraId="75A5305C">
      <w:pPr>
        <w:rPr>
          <w:rFonts w:ascii="宋体" w:hAnsi="宋体" w:cs="宋体"/>
          <w:spacing w:val="11"/>
          <w:sz w:val="24"/>
        </w:rPr>
      </w:pPr>
    </w:p>
    <w:p w14:paraId="6A1F67BD">
      <w:pPr>
        <w:pStyle w:val="53"/>
        <w:ind w:firstLine="262"/>
        <w:rPr>
          <w:rFonts w:cs="宋体"/>
          <w:spacing w:val="11"/>
          <w:sz w:val="24"/>
        </w:rPr>
      </w:pPr>
    </w:p>
    <w:p w14:paraId="7890530A"/>
    <w:p w14:paraId="310B475F">
      <w:pPr>
        <w:pStyle w:val="4"/>
        <w:jc w:val="center"/>
        <w:rPr>
          <w:rFonts w:hint="eastAsia" w:hAnsi="宋体" w:eastAsia="宋体"/>
          <w:spacing w:val="11"/>
          <w:sz w:val="21"/>
          <w:szCs w:val="21"/>
          <w:u w:val="none"/>
          <w:lang w:val="en-US" w:eastAsia="zh-CN"/>
        </w:rPr>
      </w:pPr>
      <w:r>
        <w:rPr>
          <w:rFonts w:hint="eastAsia" w:hAnsi="宋体"/>
          <w:spacing w:val="11"/>
          <w:sz w:val="21"/>
          <w:szCs w:val="21"/>
          <w:u w:val="none"/>
        </w:rPr>
        <w:t>10.拟投入的项目</w:t>
      </w:r>
      <w:r>
        <w:rPr>
          <w:rFonts w:hint="eastAsia" w:hAnsi="宋体"/>
          <w:spacing w:val="11"/>
          <w:sz w:val="21"/>
          <w:szCs w:val="21"/>
          <w:u w:val="none"/>
          <w:lang w:val="en-US" w:eastAsia="zh-CN"/>
        </w:rPr>
        <w:t>组成人员</w:t>
      </w: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1718"/>
        <w:gridCol w:w="1646"/>
        <w:gridCol w:w="1433"/>
        <w:gridCol w:w="1555"/>
        <w:gridCol w:w="1559"/>
      </w:tblGrid>
      <w:tr w14:paraId="76101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27C45194">
            <w:pPr>
              <w:snapToGrid w:val="0"/>
              <w:spacing w:beforeLines="50" w:after="50"/>
              <w:jc w:val="center"/>
              <w:rPr>
                <w:rFonts w:ascii="宋体" w:hAnsi="宋体" w:eastAsia="宋体" w:cs="宋体"/>
                <w:szCs w:val="21"/>
              </w:rPr>
            </w:pPr>
            <w:r>
              <w:rPr>
                <w:rFonts w:hint="eastAsia" w:ascii="宋体" w:hAnsi="宋体" w:eastAsia="宋体" w:cs="宋体"/>
                <w:szCs w:val="21"/>
              </w:rPr>
              <w:t>序号</w:t>
            </w:r>
          </w:p>
        </w:tc>
        <w:tc>
          <w:tcPr>
            <w:tcW w:w="1718" w:type="dxa"/>
            <w:tcBorders>
              <w:top w:val="single" w:color="auto" w:sz="4" w:space="0"/>
              <w:left w:val="single" w:color="auto" w:sz="4" w:space="0"/>
              <w:bottom w:val="single" w:color="auto" w:sz="4" w:space="0"/>
              <w:right w:val="single" w:color="auto" w:sz="4" w:space="0"/>
            </w:tcBorders>
            <w:vAlign w:val="center"/>
          </w:tcPr>
          <w:p w14:paraId="173DD2EC">
            <w:pPr>
              <w:snapToGrid w:val="0"/>
              <w:spacing w:beforeLines="50" w:after="50"/>
              <w:jc w:val="center"/>
              <w:rPr>
                <w:rFonts w:ascii="宋体" w:hAnsi="宋体" w:eastAsia="宋体" w:cs="宋体"/>
                <w:szCs w:val="21"/>
              </w:rPr>
            </w:pPr>
            <w:r>
              <w:rPr>
                <w:rFonts w:hint="eastAsia" w:ascii="宋体" w:hAnsi="宋体" w:eastAsia="宋体" w:cs="宋体"/>
                <w:szCs w:val="21"/>
              </w:rPr>
              <w:t>姓名</w:t>
            </w:r>
          </w:p>
        </w:tc>
        <w:tc>
          <w:tcPr>
            <w:tcW w:w="1646" w:type="dxa"/>
            <w:tcBorders>
              <w:top w:val="single" w:color="auto" w:sz="4" w:space="0"/>
              <w:left w:val="single" w:color="auto" w:sz="4" w:space="0"/>
              <w:bottom w:val="single" w:color="auto" w:sz="4" w:space="0"/>
              <w:right w:val="single" w:color="auto" w:sz="4" w:space="0"/>
            </w:tcBorders>
            <w:vAlign w:val="center"/>
          </w:tcPr>
          <w:p w14:paraId="3ED83725">
            <w:pPr>
              <w:snapToGrid w:val="0"/>
              <w:spacing w:beforeLines="50" w:after="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性别</w:t>
            </w:r>
          </w:p>
        </w:tc>
        <w:tc>
          <w:tcPr>
            <w:tcW w:w="1433" w:type="dxa"/>
            <w:tcBorders>
              <w:top w:val="single" w:color="auto" w:sz="4" w:space="0"/>
              <w:left w:val="single" w:color="auto" w:sz="4" w:space="0"/>
              <w:bottom w:val="single" w:color="auto" w:sz="4" w:space="0"/>
              <w:right w:val="single" w:color="auto" w:sz="4" w:space="0"/>
            </w:tcBorders>
            <w:vAlign w:val="center"/>
          </w:tcPr>
          <w:p w14:paraId="67D454FE">
            <w:pPr>
              <w:snapToGrid w:val="0"/>
              <w:spacing w:beforeLines="50" w:after="50"/>
              <w:jc w:val="center"/>
              <w:rPr>
                <w:rFonts w:hint="default" w:ascii="宋体" w:hAnsi="宋体" w:eastAsia="宋体" w:cs="宋体"/>
                <w:szCs w:val="21"/>
                <w:lang w:val="en-US" w:eastAsia="zh-CN"/>
              </w:rPr>
            </w:pPr>
            <w:r>
              <w:rPr>
                <w:rFonts w:hint="eastAsia" w:ascii="宋体" w:hAnsi="宋体" w:eastAsia="宋体" w:cs="宋体"/>
                <w:szCs w:val="21"/>
                <w:lang w:val="en-US" w:eastAsia="zh-CN"/>
              </w:rPr>
              <w:t>年龄</w:t>
            </w:r>
          </w:p>
        </w:tc>
        <w:tc>
          <w:tcPr>
            <w:tcW w:w="1555" w:type="dxa"/>
            <w:tcBorders>
              <w:top w:val="single" w:color="auto" w:sz="4" w:space="0"/>
              <w:left w:val="single" w:color="auto" w:sz="4" w:space="0"/>
              <w:bottom w:val="single" w:color="auto" w:sz="4" w:space="0"/>
              <w:right w:val="single" w:color="auto" w:sz="4" w:space="0"/>
            </w:tcBorders>
            <w:vAlign w:val="center"/>
          </w:tcPr>
          <w:p w14:paraId="5777E614">
            <w:pPr>
              <w:snapToGrid w:val="0"/>
              <w:spacing w:beforeLines="50" w:after="50"/>
              <w:jc w:val="center"/>
              <w:rPr>
                <w:rFonts w:ascii="宋体" w:hAnsi="宋体" w:eastAsia="宋体" w:cs="宋体"/>
                <w:szCs w:val="21"/>
              </w:rPr>
            </w:pPr>
            <w:r>
              <w:rPr>
                <w:rFonts w:hint="eastAsia" w:ascii="宋体" w:hAnsi="宋体" w:eastAsia="宋体" w:cs="宋体"/>
                <w:szCs w:val="21"/>
              </w:rPr>
              <w:t>拟任职务</w:t>
            </w:r>
          </w:p>
        </w:tc>
        <w:tc>
          <w:tcPr>
            <w:tcW w:w="1559" w:type="dxa"/>
            <w:tcBorders>
              <w:top w:val="single" w:color="auto" w:sz="4" w:space="0"/>
              <w:left w:val="single" w:color="auto" w:sz="4" w:space="0"/>
              <w:bottom w:val="single" w:color="auto" w:sz="4" w:space="0"/>
              <w:right w:val="single" w:color="auto" w:sz="4" w:space="0"/>
            </w:tcBorders>
            <w:vAlign w:val="center"/>
          </w:tcPr>
          <w:p w14:paraId="368D8633">
            <w:pPr>
              <w:snapToGrid w:val="0"/>
              <w:spacing w:beforeLines="50" w:after="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r>
      <w:tr w14:paraId="13404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25" w:type="dxa"/>
            <w:tcBorders>
              <w:top w:val="single" w:color="auto" w:sz="4" w:space="0"/>
              <w:left w:val="single" w:color="auto" w:sz="4" w:space="0"/>
              <w:bottom w:val="single" w:color="auto" w:sz="4" w:space="0"/>
              <w:right w:val="single" w:color="auto" w:sz="4" w:space="0"/>
            </w:tcBorders>
          </w:tcPr>
          <w:p w14:paraId="56C210B6">
            <w:pPr>
              <w:snapToGrid w:val="0"/>
              <w:spacing w:beforeLines="50" w:after="50"/>
              <w:rPr>
                <w:rFonts w:ascii="宋体" w:hAnsi="宋体" w:eastAsia="宋体" w:cs="宋体"/>
                <w:szCs w:val="21"/>
              </w:rPr>
            </w:pPr>
          </w:p>
        </w:tc>
        <w:tc>
          <w:tcPr>
            <w:tcW w:w="1718" w:type="dxa"/>
            <w:tcBorders>
              <w:top w:val="single" w:color="auto" w:sz="4" w:space="0"/>
              <w:left w:val="single" w:color="auto" w:sz="4" w:space="0"/>
              <w:bottom w:val="single" w:color="auto" w:sz="4" w:space="0"/>
              <w:right w:val="single" w:color="auto" w:sz="4" w:space="0"/>
            </w:tcBorders>
          </w:tcPr>
          <w:p w14:paraId="21ECA400">
            <w:pPr>
              <w:snapToGrid w:val="0"/>
              <w:spacing w:beforeLines="50" w:after="50"/>
              <w:rPr>
                <w:rFonts w:ascii="宋体" w:hAnsi="宋体" w:eastAsia="宋体" w:cs="宋体"/>
                <w:szCs w:val="21"/>
              </w:rPr>
            </w:pPr>
          </w:p>
        </w:tc>
        <w:tc>
          <w:tcPr>
            <w:tcW w:w="1646" w:type="dxa"/>
            <w:tcBorders>
              <w:top w:val="single" w:color="auto" w:sz="4" w:space="0"/>
              <w:left w:val="single" w:color="auto" w:sz="4" w:space="0"/>
              <w:bottom w:val="single" w:color="auto" w:sz="4" w:space="0"/>
              <w:right w:val="single" w:color="auto" w:sz="4" w:space="0"/>
            </w:tcBorders>
          </w:tcPr>
          <w:p w14:paraId="0EAF66D2">
            <w:pPr>
              <w:snapToGrid w:val="0"/>
              <w:spacing w:beforeLines="50" w:after="50"/>
              <w:jc w:val="center"/>
              <w:rPr>
                <w:rFonts w:ascii="宋体" w:hAnsi="宋体" w:eastAsia="宋体" w:cs="宋体"/>
                <w:szCs w:val="21"/>
              </w:rPr>
            </w:pPr>
          </w:p>
        </w:tc>
        <w:tc>
          <w:tcPr>
            <w:tcW w:w="1433" w:type="dxa"/>
            <w:tcBorders>
              <w:top w:val="single" w:color="auto" w:sz="4" w:space="0"/>
              <w:left w:val="single" w:color="auto" w:sz="4" w:space="0"/>
              <w:bottom w:val="single" w:color="auto" w:sz="4" w:space="0"/>
              <w:right w:val="single" w:color="auto" w:sz="4" w:space="0"/>
            </w:tcBorders>
          </w:tcPr>
          <w:p w14:paraId="16859350">
            <w:pPr>
              <w:snapToGrid w:val="0"/>
              <w:spacing w:beforeLines="50" w:after="50"/>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tcPr>
          <w:p w14:paraId="510B841B">
            <w:pPr>
              <w:snapToGrid w:val="0"/>
              <w:spacing w:beforeLines="50" w:after="5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652ACB2C">
            <w:pPr>
              <w:snapToGrid w:val="0"/>
              <w:spacing w:beforeLines="50" w:after="50"/>
              <w:rPr>
                <w:rFonts w:ascii="宋体" w:hAnsi="宋体" w:eastAsia="宋体" w:cs="宋体"/>
                <w:szCs w:val="21"/>
              </w:rPr>
            </w:pPr>
          </w:p>
        </w:tc>
      </w:tr>
      <w:tr w14:paraId="4303D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25" w:type="dxa"/>
            <w:tcBorders>
              <w:top w:val="single" w:color="auto" w:sz="4" w:space="0"/>
              <w:left w:val="single" w:color="auto" w:sz="4" w:space="0"/>
              <w:bottom w:val="single" w:color="auto" w:sz="4" w:space="0"/>
              <w:right w:val="single" w:color="auto" w:sz="4" w:space="0"/>
            </w:tcBorders>
          </w:tcPr>
          <w:p w14:paraId="5ECE2473">
            <w:pPr>
              <w:snapToGrid w:val="0"/>
              <w:spacing w:beforeLines="50" w:after="50"/>
              <w:rPr>
                <w:rFonts w:ascii="宋体" w:hAnsi="宋体" w:eastAsia="宋体" w:cs="宋体"/>
                <w:szCs w:val="21"/>
              </w:rPr>
            </w:pPr>
          </w:p>
        </w:tc>
        <w:tc>
          <w:tcPr>
            <w:tcW w:w="1718" w:type="dxa"/>
            <w:tcBorders>
              <w:top w:val="single" w:color="auto" w:sz="4" w:space="0"/>
              <w:left w:val="single" w:color="auto" w:sz="4" w:space="0"/>
              <w:bottom w:val="single" w:color="auto" w:sz="4" w:space="0"/>
              <w:right w:val="single" w:color="auto" w:sz="4" w:space="0"/>
            </w:tcBorders>
          </w:tcPr>
          <w:p w14:paraId="2D102801">
            <w:pPr>
              <w:snapToGrid w:val="0"/>
              <w:spacing w:beforeLines="50" w:after="50"/>
              <w:rPr>
                <w:rFonts w:ascii="宋体" w:hAnsi="宋体" w:eastAsia="宋体" w:cs="宋体"/>
                <w:szCs w:val="21"/>
              </w:rPr>
            </w:pPr>
          </w:p>
        </w:tc>
        <w:tc>
          <w:tcPr>
            <w:tcW w:w="1646" w:type="dxa"/>
            <w:tcBorders>
              <w:top w:val="single" w:color="auto" w:sz="4" w:space="0"/>
              <w:left w:val="single" w:color="auto" w:sz="4" w:space="0"/>
              <w:bottom w:val="single" w:color="auto" w:sz="4" w:space="0"/>
              <w:right w:val="single" w:color="auto" w:sz="4" w:space="0"/>
            </w:tcBorders>
          </w:tcPr>
          <w:p w14:paraId="66617F72">
            <w:pPr>
              <w:snapToGrid w:val="0"/>
              <w:spacing w:beforeLines="50" w:after="50"/>
              <w:rPr>
                <w:rFonts w:ascii="宋体" w:hAnsi="宋体" w:eastAsia="宋体" w:cs="宋体"/>
                <w:szCs w:val="21"/>
              </w:rPr>
            </w:pPr>
          </w:p>
        </w:tc>
        <w:tc>
          <w:tcPr>
            <w:tcW w:w="1433" w:type="dxa"/>
            <w:tcBorders>
              <w:top w:val="single" w:color="auto" w:sz="4" w:space="0"/>
              <w:left w:val="single" w:color="auto" w:sz="4" w:space="0"/>
              <w:bottom w:val="single" w:color="auto" w:sz="4" w:space="0"/>
              <w:right w:val="single" w:color="auto" w:sz="4" w:space="0"/>
            </w:tcBorders>
          </w:tcPr>
          <w:p w14:paraId="7D7F5193">
            <w:pPr>
              <w:snapToGrid w:val="0"/>
              <w:spacing w:beforeLines="50" w:after="50"/>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tcPr>
          <w:p w14:paraId="285AB069">
            <w:pPr>
              <w:snapToGrid w:val="0"/>
              <w:spacing w:beforeLines="50" w:after="5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17027D4D">
            <w:pPr>
              <w:snapToGrid w:val="0"/>
              <w:spacing w:beforeLines="50" w:after="50"/>
              <w:rPr>
                <w:rFonts w:ascii="宋体" w:hAnsi="宋体" w:eastAsia="宋体" w:cs="宋体"/>
                <w:szCs w:val="21"/>
              </w:rPr>
            </w:pPr>
          </w:p>
        </w:tc>
      </w:tr>
      <w:tr w14:paraId="74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25" w:type="dxa"/>
            <w:tcBorders>
              <w:top w:val="single" w:color="auto" w:sz="4" w:space="0"/>
              <w:left w:val="single" w:color="auto" w:sz="4" w:space="0"/>
              <w:bottom w:val="single" w:color="auto" w:sz="4" w:space="0"/>
              <w:right w:val="single" w:color="auto" w:sz="4" w:space="0"/>
            </w:tcBorders>
          </w:tcPr>
          <w:p w14:paraId="5B259802">
            <w:pPr>
              <w:snapToGrid w:val="0"/>
              <w:spacing w:beforeLines="50" w:after="50"/>
              <w:rPr>
                <w:rFonts w:ascii="宋体" w:hAnsi="宋体" w:eastAsia="宋体" w:cs="宋体"/>
                <w:szCs w:val="21"/>
              </w:rPr>
            </w:pPr>
          </w:p>
        </w:tc>
        <w:tc>
          <w:tcPr>
            <w:tcW w:w="1718" w:type="dxa"/>
            <w:tcBorders>
              <w:top w:val="single" w:color="auto" w:sz="4" w:space="0"/>
              <w:left w:val="single" w:color="auto" w:sz="4" w:space="0"/>
              <w:bottom w:val="single" w:color="auto" w:sz="4" w:space="0"/>
              <w:right w:val="single" w:color="auto" w:sz="4" w:space="0"/>
            </w:tcBorders>
          </w:tcPr>
          <w:p w14:paraId="7743B7D4">
            <w:pPr>
              <w:snapToGrid w:val="0"/>
              <w:spacing w:beforeLines="50" w:after="50"/>
              <w:rPr>
                <w:rFonts w:ascii="宋体" w:hAnsi="宋体" w:eastAsia="宋体" w:cs="宋体"/>
                <w:szCs w:val="21"/>
              </w:rPr>
            </w:pPr>
          </w:p>
        </w:tc>
        <w:tc>
          <w:tcPr>
            <w:tcW w:w="1646" w:type="dxa"/>
            <w:tcBorders>
              <w:top w:val="single" w:color="auto" w:sz="4" w:space="0"/>
              <w:left w:val="single" w:color="auto" w:sz="4" w:space="0"/>
              <w:bottom w:val="single" w:color="auto" w:sz="4" w:space="0"/>
              <w:right w:val="single" w:color="auto" w:sz="4" w:space="0"/>
            </w:tcBorders>
          </w:tcPr>
          <w:p w14:paraId="4220A368">
            <w:pPr>
              <w:snapToGrid w:val="0"/>
              <w:spacing w:beforeLines="50" w:after="50"/>
              <w:rPr>
                <w:rFonts w:ascii="宋体" w:hAnsi="宋体" w:eastAsia="宋体" w:cs="宋体"/>
                <w:szCs w:val="21"/>
              </w:rPr>
            </w:pPr>
          </w:p>
        </w:tc>
        <w:tc>
          <w:tcPr>
            <w:tcW w:w="1433" w:type="dxa"/>
            <w:tcBorders>
              <w:top w:val="single" w:color="auto" w:sz="4" w:space="0"/>
              <w:left w:val="single" w:color="auto" w:sz="4" w:space="0"/>
              <w:bottom w:val="single" w:color="auto" w:sz="4" w:space="0"/>
              <w:right w:val="single" w:color="auto" w:sz="4" w:space="0"/>
            </w:tcBorders>
          </w:tcPr>
          <w:p w14:paraId="6A68FB56">
            <w:pPr>
              <w:snapToGrid w:val="0"/>
              <w:spacing w:beforeLines="50" w:after="50"/>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tcPr>
          <w:p w14:paraId="304835F1">
            <w:pPr>
              <w:snapToGrid w:val="0"/>
              <w:spacing w:beforeLines="50" w:after="5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4941EAD6">
            <w:pPr>
              <w:snapToGrid w:val="0"/>
              <w:spacing w:beforeLines="50" w:after="50"/>
              <w:rPr>
                <w:rFonts w:ascii="宋体" w:hAnsi="宋体" w:eastAsia="宋体" w:cs="宋体"/>
                <w:szCs w:val="21"/>
              </w:rPr>
            </w:pPr>
          </w:p>
        </w:tc>
      </w:tr>
      <w:tr w14:paraId="3CE2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25" w:type="dxa"/>
            <w:tcBorders>
              <w:top w:val="single" w:color="auto" w:sz="4" w:space="0"/>
              <w:left w:val="single" w:color="auto" w:sz="4" w:space="0"/>
              <w:bottom w:val="single" w:color="auto" w:sz="4" w:space="0"/>
              <w:right w:val="single" w:color="auto" w:sz="4" w:space="0"/>
            </w:tcBorders>
          </w:tcPr>
          <w:p w14:paraId="7C4F33E7">
            <w:pPr>
              <w:snapToGrid w:val="0"/>
              <w:spacing w:beforeLines="50" w:after="50"/>
              <w:rPr>
                <w:rFonts w:ascii="宋体" w:hAnsi="宋体" w:eastAsia="宋体" w:cs="宋体"/>
                <w:szCs w:val="21"/>
              </w:rPr>
            </w:pPr>
          </w:p>
        </w:tc>
        <w:tc>
          <w:tcPr>
            <w:tcW w:w="1718" w:type="dxa"/>
            <w:tcBorders>
              <w:top w:val="single" w:color="auto" w:sz="4" w:space="0"/>
              <w:left w:val="single" w:color="auto" w:sz="4" w:space="0"/>
              <w:bottom w:val="single" w:color="auto" w:sz="4" w:space="0"/>
              <w:right w:val="single" w:color="auto" w:sz="4" w:space="0"/>
            </w:tcBorders>
          </w:tcPr>
          <w:p w14:paraId="0D76E83F">
            <w:pPr>
              <w:snapToGrid w:val="0"/>
              <w:spacing w:beforeLines="50" w:after="50"/>
              <w:rPr>
                <w:rFonts w:ascii="宋体" w:hAnsi="宋体" w:eastAsia="宋体" w:cs="宋体"/>
                <w:szCs w:val="21"/>
              </w:rPr>
            </w:pPr>
          </w:p>
        </w:tc>
        <w:tc>
          <w:tcPr>
            <w:tcW w:w="1646" w:type="dxa"/>
            <w:tcBorders>
              <w:top w:val="single" w:color="auto" w:sz="4" w:space="0"/>
              <w:left w:val="single" w:color="auto" w:sz="4" w:space="0"/>
              <w:bottom w:val="single" w:color="auto" w:sz="4" w:space="0"/>
              <w:right w:val="single" w:color="auto" w:sz="4" w:space="0"/>
            </w:tcBorders>
          </w:tcPr>
          <w:p w14:paraId="71EABA3D">
            <w:pPr>
              <w:snapToGrid w:val="0"/>
              <w:spacing w:beforeLines="50" w:after="50"/>
              <w:rPr>
                <w:rFonts w:ascii="宋体" w:hAnsi="宋体" w:eastAsia="宋体" w:cs="宋体"/>
                <w:szCs w:val="21"/>
              </w:rPr>
            </w:pPr>
          </w:p>
        </w:tc>
        <w:tc>
          <w:tcPr>
            <w:tcW w:w="1433" w:type="dxa"/>
            <w:tcBorders>
              <w:top w:val="single" w:color="auto" w:sz="4" w:space="0"/>
              <w:left w:val="single" w:color="auto" w:sz="4" w:space="0"/>
              <w:bottom w:val="single" w:color="auto" w:sz="4" w:space="0"/>
              <w:right w:val="single" w:color="auto" w:sz="4" w:space="0"/>
            </w:tcBorders>
          </w:tcPr>
          <w:p w14:paraId="3A7EF9A2">
            <w:pPr>
              <w:snapToGrid w:val="0"/>
              <w:spacing w:beforeLines="50" w:after="50"/>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tcPr>
          <w:p w14:paraId="5CF6D3BF">
            <w:pPr>
              <w:snapToGrid w:val="0"/>
              <w:spacing w:beforeLines="50" w:after="5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12B8E118">
            <w:pPr>
              <w:snapToGrid w:val="0"/>
              <w:spacing w:beforeLines="50" w:after="50"/>
              <w:rPr>
                <w:rFonts w:ascii="宋体" w:hAnsi="宋体" w:eastAsia="宋体" w:cs="宋体"/>
                <w:szCs w:val="21"/>
              </w:rPr>
            </w:pPr>
          </w:p>
        </w:tc>
      </w:tr>
      <w:tr w14:paraId="6D328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25" w:type="dxa"/>
            <w:tcBorders>
              <w:top w:val="single" w:color="auto" w:sz="4" w:space="0"/>
              <w:left w:val="single" w:color="auto" w:sz="4" w:space="0"/>
              <w:bottom w:val="single" w:color="auto" w:sz="4" w:space="0"/>
              <w:right w:val="single" w:color="auto" w:sz="4" w:space="0"/>
            </w:tcBorders>
          </w:tcPr>
          <w:p w14:paraId="22D5F899">
            <w:pPr>
              <w:snapToGrid w:val="0"/>
              <w:spacing w:beforeLines="50" w:after="50"/>
              <w:rPr>
                <w:rFonts w:ascii="宋体" w:hAnsi="宋体" w:eastAsia="宋体" w:cs="宋体"/>
                <w:szCs w:val="21"/>
              </w:rPr>
            </w:pPr>
          </w:p>
        </w:tc>
        <w:tc>
          <w:tcPr>
            <w:tcW w:w="1718" w:type="dxa"/>
            <w:tcBorders>
              <w:top w:val="single" w:color="auto" w:sz="4" w:space="0"/>
              <w:left w:val="single" w:color="auto" w:sz="4" w:space="0"/>
              <w:bottom w:val="single" w:color="auto" w:sz="4" w:space="0"/>
              <w:right w:val="single" w:color="auto" w:sz="4" w:space="0"/>
            </w:tcBorders>
          </w:tcPr>
          <w:p w14:paraId="2483E2C6">
            <w:pPr>
              <w:snapToGrid w:val="0"/>
              <w:spacing w:beforeLines="50" w:after="50"/>
              <w:rPr>
                <w:rFonts w:ascii="宋体" w:hAnsi="宋体" w:eastAsia="宋体" w:cs="宋体"/>
                <w:szCs w:val="21"/>
              </w:rPr>
            </w:pPr>
          </w:p>
        </w:tc>
        <w:tc>
          <w:tcPr>
            <w:tcW w:w="1646" w:type="dxa"/>
            <w:tcBorders>
              <w:top w:val="single" w:color="auto" w:sz="4" w:space="0"/>
              <w:left w:val="single" w:color="auto" w:sz="4" w:space="0"/>
              <w:bottom w:val="single" w:color="auto" w:sz="4" w:space="0"/>
              <w:right w:val="single" w:color="auto" w:sz="4" w:space="0"/>
            </w:tcBorders>
          </w:tcPr>
          <w:p w14:paraId="4D62004E">
            <w:pPr>
              <w:snapToGrid w:val="0"/>
              <w:spacing w:beforeLines="50" w:after="50"/>
              <w:rPr>
                <w:rFonts w:ascii="宋体" w:hAnsi="宋体" w:eastAsia="宋体" w:cs="宋体"/>
                <w:szCs w:val="21"/>
              </w:rPr>
            </w:pPr>
          </w:p>
        </w:tc>
        <w:tc>
          <w:tcPr>
            <w:tcW w:w="1433" w:type="dxa"/>
            <w:tcBorders>
              <w:top w:val="single" w:color="auto" w:sz="4" w:space="0"/>
              <w:left w:val="single" w:color="auto" w:sz="4" w:space="0"/>
              <w:bottom w:val="single" w:color="auto" w:sz="4" w:space="0"/>
              <w:right w:val="single" w:color="auto" w:sz="4" w:space="0"/>
            </w:tcBorders>
          </w:tcPr>
          <w:p w14:paraId="3E31E5E7">
            <w:pPr>
              <w:snapToGrid w:val="0"/>
              <w:spacing w:beforeLines="50" w:after="50"/>
              <w:rPr>
                <w:rFonts w:ascii="宋体" w:hAnsi="宋体" w:eastAsia="宋体" w:cs="宋体"/>
                <w:szCs w:val="21"/>
              </w:rPr>
            </w:pPr>
          </w:p>
        </w:tc>
        <w:tc>
          <w:tcPr>
            <w:tcW w:w="1555" w:type="dxa"/>
            <w:tcBorders>
              <w:top w:val="single" w:color="auto" w:sz="4" w:space="0"/>
              <w:left w:val="single" w:color="auto" w:sz="4" w:space="0"/>
              <w:bottom w:val="single" w:color="auto" w:sz="4" w:space="0"/>
              <w:right w:val="single" w:color="auto" w:sz="4" w:space="0"/>
            </w:tcBorders>
          </w:tcPr>
          <w:p w14:paraId="48FDD4BD">
            <w:pPr>
              <w:snapToGrid w:val="0"/>
              <w:spacing w:beforeLines="50" w:after="5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740F7E5A">
            <w:pPr>
              <w:snapToGrid w:val="0"/>
              <w:spacing w:beforeLines="50" w:after="50"/>
              <w:rPr>
                <w:rFonts w:ascii="宋体" w:hAnsi="宋体" w:eastAsia="宋体" w:cs="宋体"/>
                <w:szCs w:val="21"/>
              </w:rPr>
            </w:pPr>
          </w:p>
        </w:tc>
      </w:tr>
      <w:tr w14:paraId="06985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25" w:type="dxa"/>
            <w:tcBorders>
              <w:top w:val="single" w:color="auto" w:sz="4" w:space="0"/>
              <w:left w:val="single" w:color="auto" w:sz="4" w:space="0"/>
              <w:bottom w:val="single" w:color="auto" w:sz="4" w:space="0"/>
              <w:right w:val="single" w:color="auto" w:sz="4" w:space="0"/>
            </w:tcBorders>
          </w:tcPr>
          <w:p w14:paraId="7A6B472B">
            <w:pPr>
              <w:snapToGrid w:val="0"/>
              <w:spacing w:beforeLines="50" w:after="50"/>
              <w:rPr>
                <w:rFonts w:ascii="宋体" w:hAnsi="宋体" w:eastAsia="宋体" w:cs="宋体"/>
                <w:szCs w:val="21"/>
              </w:rPr>
            </w:pPr>
          </w:p>
        </w:tc>
        <w:tc>
          <w:tcPr>
            <w:tcW w:w="1718" w:type="dxa"/>
            <w:tcBorders>
              <w:top w:val="single" w:color="auto" w:sz="4" w:space="0"/>
              <w:left w:val="single" w:color="auto" w:sz="4" w:space="0"/>
              <w:bottom w:val="single" w:color="auto" w:sz="4" w:space="0"/>
              <w:right w:val="single" w:color="auto" w:sz="4" w:space="0"/>
            </w:tcBorders>
          </w:tcPr>
          <w:p w14:paraId="6D5402E1">
            <w:pPr>
              <w:snapToGrid w:val="0"/>
              <w:spacing w:beforeLines="50" w:after="50"/>
              <w:rPr>
                <w:rFonts w:ascii="宋体" w:hAnsi="宋体" w:eastAsia="宋体" w:cs="宋体"/>
                <w:szCs w:val="21"/>
              </w:rPr>
            </w:pPr>
          </w:p>
        </w:tc>
        <w:tc>
          <w:tcPr>
            <w:tcW w:w="1646" w:type="dxa"/>
            <w:tcBorders>
              <w:top w:val="single" w:color="auto" w:sz="4" w:space="0"/>
              <w:left w:val="single" w:color="auto" w:sz="4" w:space="0"/>
              <w:bottom w:val="single" w:color="auto" w:sz="4" w:space="0"/>
              <w:right w:val="single" w:color="auto" w:sz="4" w:space="0"/>
            </w:tcBorders>
          </w:tcPr>
          <w:p w14:paraId="64321ECD">
            <w:pPr>
              <w:snapToGrid w:val="0"/>
              <w:spacing w:beforeLines="50" w:after="50"/>
              <w:rPr>
                <w:rFonts w:ascii="宋体" w:hAnsi="宋体" w:eastAsia="宋体" w:cs="宋体"/>
                <w:szCs w:val="21"/>
              </w:rPr>
            </w:pPr>
          </w:p>
        </w:tc>
        <w:tc>
          <w:tcPr>
            <w:tcW w:w="1433" w:type="dxa"/>
            <w:tcBorders>
              <w:top w:val="single" w:color="auto" w:sz="4" w:space="0"/>
              <w:left w:val="single" w:color="auto" w:sz="4" w:space="0"/>
              <w:bottom w:val="single" w:color="auto" w:sz="4" w:space="0"/>
              <w:right w:val="single" w:color="auto" w:sz="4" w:space="0"/>
            </w:tcBorders>
          </w:tcPr>
          <w:p w14:paraId="654284D2">
            <w:pPr>
              <w:autoSpaceDE w:val="0"/>
              <w:autoSpaceDN w:val="0"/>
              <w:adjustRightInd w:val="0"/>
              <w:snapToGrid w:val="0"/>
              <w:spacing w:beforeLines="50" w:after="50" w:line="240" w:lineRule="atLeast"/>
              <w:ind w:left="5250" w:right="1800" w:rightChars="857" w:firstLine="474" w:firstLineChars="226"/>
              <w:jc w:val="left"/>
              <w:rPr>
                <w:rFonts w:ascii="宋体" w:hAnsi="宋体" w:eastAsia="宋体" w:cs="宋体"/>
                <w:kern w:val="0"/>
                <w:szCs w:val="21"/>
              </w:rPr>
            </w:pPr>
          </w:p>
        </w:tc>
        <w:tc>
          <w:tcPr>
            <w:tcW w:w="1555" w:type="dxa"/>
            <w:tcBorders>
              <w:top w:val="single" w:color="auto" w:sz="4" w:space="0"/>
              <w:left w:val="single" w:color="auto" w:sz="4" w:space="0"/>
              <w:bottom w:val="single" w:color="auto" w:sz="4" w:space="0"/>
              <w:right w:val="single" w:color="auto" w:sz="4" w:space="0"/>
            </w:tcBorders>
          </w:tcPr>
          <w:p w14:paraId="33421598">
            <w:pPr>
              <w:snapToGrid w:val="0"/>
              <w:spacing w:beforeLines="50" w:after="5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tcPr>
          <w:p w14:paraId="1B31ABD5">
            <w:pPr>
              <w:snapToGrid w:val="0"/>
              <w:spacing w:beforeLines="50" w:after="50"/>
              <w:rPr>
                <w:rFonts w:ascii="宋体" w:hAnsi="宋体" w:eastAsia="宋体" w:cs="宋体"/>
                <w:szCs w:val="21"/>
              </w:rPr>
            </w:pPr>
          </w:p>
        </w:tc>
      </w:tr>
    </w:tbl>
    <w:p w14:paraId="2DFF85EE">
      <w:pPr>
        <w:spacing w:line="400" w:lineRule="exact"/>
        <w:ind w:left="86" w:leftChars="41"/>
        <w:jc w:val="left"/>
        <w:rPr>
          <w:rFonts w:hint="eastAsia" w:ascii="宋体" w:hAnsi="宋体" w:eastAsia="宋体" w:cs="宋体"/>
          <w:spacing w:val="11"/>
          <w:szCs w:val="21"/>
        </w:rPr>
      </w:pPr>
      <w:r>
        <w:rPr>
          <w:rFonts w:hint="eastAsia" w:ascii="宋体" w:hAnsi="宋体" w:eastAsia="宋体" w:cs="宋体"/>
          <w:spacing w:val="11"/>
          <w:szCs w:val="21"/>
        </w:rPr>
        <w:t>注：本表后附人员相关证书、社保缴纳证明材料复印件加盖供应商公章。</w:t>
      </w:r>
    </w:p>
    <w:p w14:paraId="557D3201">
      <w:pPr>
        <w:pStyle w:val="64"/>
      </w:pPr>
    </w:p>
    <w:p w14:paraId="3339D215">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p>
    <w:p w14:paraId="1900A76D">
      <w:pPr>
        <w:spacing w:line="360" w:lineRule="auto"/>
        <w:ind w:right="-10"/>
        <w:rPr>
          <w:rFonts w:ascii="宋体" w:hAnsi="宋体" w:eastAsia="宋体" w:cs="宋体"/>
          <w:szCs w:val="21"/>
        </w:rPr>
      </w:pPr>
    </w:p>
    <w:p w14:paraId="3FC0E879">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p>
    <w:p w14:paraId="594B1DCD">
      <w:pPr>
        <w:spacing w:line="360" w:lineRule="auto"/>
        <w:rPr>
          <w:rFonts w:ascii="宋体" w:hAnsi="宋体" w:eastAsia="宋体" w:cs="宋体"/>
          <w:szCs w:val="21"/>
        </w:rPr>
      </w:pPr>
    </w:p>
    <w:p w14:paraId="2629C27C">
      <w:pPr>
        <w:spacing w:line="360" w:lineRule="auto"/>
        <w:ind w:right="-21" w:rightChars="-10"/>
        <w:rPr>
          <w:rFonts w:ascii="宋体" w:hAnsi="宋体" w:eastAsia="宋体" w:cs="宋体"/>
          <w:szCs w:val="21"/>
          <w:u w:val="single"/>
        </w:rPr>
      </w:pPr>
      <w:r>
        <w:rPr>
          <w:rFonts w:hint="eastAsia" w:ascii="宋体" w:hAnsi="宋体" w:eastAsia="宋体" w:cs="宋体"/>
          <w:szCs w:val="21"/>
        </w:rPr>
        <w:t>日期：</w:t>
      </w:r>
    </w:p>
    <w:p w14:paraId="052EF3C3">
      <w:pPr>
        <w:pStyle w:val="4"/>
        <w:jc w:val="center"/>
        <w:rPr>
          <w:rFonts w:hint="eastAsia" w:hAnsi="宋体"/>
          <w:spacing w:val="11"/>
          <w:sz w:val="21"/>
          <w:szCs w:val="21"/>
          <w:u w:val="none"/>
        </w:rPr>
      </w:pPr>
    </w:p>
    <w:p w14:paraId="35B90373">
      <w:pPr>
        <w:pStyle w:val="4"/>
        <w:jc w:val="center"/>
        <w:rPr>
          <w:rFonts w:hint="eastAsia" w:hAnsi="宋体"/>
          <w:spacing w:val="11"/>
          <w:sz w:val="21"/>
          <w:szCs w:val="21"/>
          <w:u w:val="none"/>
        </w:rPr>
      </w:pPr>
    </w:p>
    <w:p w14:paraId="19B469AF">
      <w:pPr>
        <w:rPr>
          <w:rFonts w:hint="eastAsia" w:hAnsi="宋体"/>
          <w:spacing w:val="11"/>
          <w:sz w:val="21"/>
          <w:szCs w:val="21"/>
          <w:u w:val="none"/>
        </w:rPr>
      </w:pPr>
    </w:p>
    <w:p w14:paraId="74BF991E">
      <w:pPr>
        <w:pStyle w:val="64"/>
        <w:rPr>
          <w:rFonts w:hint="eastAsia" w:hAnsi="宋体"/>
          <w:spacing w:val="11"/>
          <w:sz w:val="21"/>
          <w:szCs w:val="21"/>
          <w:u w:val="none"/>
        </w:rPr>
      </w:pPr>
    </w:p>
    <w:p w14:paraId="4B269CF4">
      <w:pPr>
        <w:pStyle w:val="64"/>
        <w:rPr>
          <w:rFonts w:hint="eastAsia" w:hAnsi="宋体"/>
          <w:spacing w:val="11"/>
          <w:sz w:val="21"/>
          <w:szCs w:val="21"/>
          <w:u w:val="none"/>
        </w:rPr>
      </w:pPr>
    </w:p>
    <w:p w14:paraId="0FC83780">
      <w:pPr>
        <w:pStyle w:val="64"/>
        <w:rPr>
          <w:rFonts w:hint="eastAsia" w:hAnsi="宋体"/>
          <w:spacing w:val="11"/>
          <w:sz w:val="21"/>
          <w:szCs w:val="21"/>
          <w:u w:val="none"/>
        </w:rPr>
      </w:pPr>
    </w:p>
    <w:p w14:paraId="0C64E709">
      <w:pPr>
        <w:pStyle w:val="64"/>
        <w:rPr>
          <w:rFonts w:hint="eastAsia" w:hAnsi="宋体"/>
          <w:spacing w:val="11"/>
          <w:sz w:val="21"/>
          <w:szCs w:val="21"/>
          <w:u w:val="none"/>
        </w:rPr>
      </w:pPr>
    </w:p>
    <w:p w14:paraId="41B579C7">
      <w:pPr>
        <w:pStyle w:val="64"/>
        <w:rPr>
          <w:rFonts w:hint="eastAsia" w:hAnsi="宋体"/>
          <w:spacing w:val="11"/>
          <w:sz w:val="21"/>
          <w:szCs w:val="21"/>
          <w:u w:val="none"/>
        </w:rPr>
      </w:pPr>
    </w:p>
    <w:p w14:paraId="198A7C15">
      <w:pPr>
        <w:pStyle w:val="64"/>
        <w:rPr>
          <w:rFonts w:hint="eastAsia" w:hAnsi="宋体"/>
          <w:spacing w:val="11"/>
          <w:sz w:val="21"/>
          <w:szCs w:val="21"/>
          <w:u w:val="none"/>
        </w:rPr>
      </w:pPr>
    </w:p>
    <w:p w14:paraId="3D4704A5">
      <w:pPr>
        <w:pStyle w:val="64"/>
        <w:rPr>
          <w:rFonts w:hint="eastAsia" w:hAnsi="宋体"/>
          <w:spacing w:val="11"/>
          <w:sz w:val="21"/>
          <w:szCs w:val="21"/>
          <w:u w:val="none"/>
        </w:rPr>
      </w:pPr>
    </w:p>
    <w:p w14:paraId="69683279">
      <w:pPr>
        <w:pStyle w:val="64"/>
        <w:rPr>
          <w:rFonts w:hint="eastAsia" w:hAnsi="宋体"/>
          <w:spacing w:val="11"/>
          <w:sz w:val="21"/>
          <w:szCs w:val="21"/>
          <w:u w:val="none"/>
        </w:rPr>
      </w:pPr>
    </w:p>
    <w:p w14:paraId="3898B249">
      <w:pPr>
        <w:pStyle w:val="64"/>
        <w:rPr>
          <w:rFonts w:hint="eastAsia" w:hAnsi="宋体"/>
          <w:spacing w:val="11"/>
          <w:sz w:val="21"/>
          <w:szCs w:val="21"/>
          <w:u w:val="none"/>
        </w:rPr>
      </w:pPr>
    </w:p>
    <w:p w14:paraId="57FD035F">
      <w:pPr>
        <w:pStyle w:val="64"/>
        <w:rPr>
          <w:rFonts w:hint="eastAsia" w:hAnsi="宋体"/>
          <w:spacing w:val="11"/>
          <w:sz w:val="21"/>
          <w:szCs w:val="21"/>
          <w:u w:val="none"/>
        </w:rPr>
      </w:pPr>
    </w:p>
    <w:p w14:paraId="61BEC86D">
      <w:pPr>
        <w:pStyle w:val="64"/>
        <w:rPr>
          <w:rFonts w:hint="eastAsia" w:hAnsi="宋体"/>
          <w:spacing w:val="11"/>
          <w:sz w:val="21"/>
          <w:szCs w:val="21"/>
          <w:u w:val="none"/>
        </w:rPr>
      </w:pPr>
    </w:p>
    <w:p w14:paraId="6E898316">
      <w:pPr>
        <w:pStyle w:val="64"/>
        <w:rPr>
          <w:rFonts w:hint="eastAsia" w:hAnsi="宋体"/>
          <w:spacing w:val="11"/>
          <w:sz w:val="21"/>
          <w:szCs w:val="21"/>
          <w:u w:val="none"/>
        </w:rPr>
      </w:pPr>
    </w:p>
    <w:p w14:paraId="13DD307F">
      <w:pPr>
        <w:pStyle w:val="64"/>
        <w:rPr>
          <w:rFonts w:hint="eastAsia" w:hAnsi="宋体"/>
          <w:spacing w:val="11"/>
          <w:sz w:val="21"/>
          <w:szCs w:val="21"/>
          <w:u w:val="none"/>
        </w:rPr>
      </w:pPr>
    </w:p>
    <w:p w14:paraId="62D3A1A9">
      <w:pPr>
        <w:pStyle w:val="64"/>
        <w:rPr>
          <w:rFonts w:hint="eastAsia" w:hAnsi="宋体"/>
          <w:spacing w:val="11"/>
          <w:sz w:val="21"/>
          <w:szCs w:val="21"/>
          <w:u w:val="none"/>
        </w:rPr>
      </w:pPr>
    </w:p>
    <w:p w14:paraId="50253269">
      <w:pPr>
        <w:pStyle w:val="64"/>
        <w:rPr>
          <w:rFonts w:hint="eastAsia" w:hAnsi="宋体"/>
          <w:spacing w:val="11"/>
          <w:sz w:val="21"/>
          <w:szCs w:val="21"/>
          <w:u w:val="none"/>
        </w:rPr>
      </w:pPr>
    </w:p>
    <w:p w14:paraId="291D01F2">
      <w:pPr>
        <w:pStyle w:val="64"/>
        <w:rPr>
          <w:rFonts w:hint="eastAsia" w:hAnsi="宋体"/>
          <w:spacing w:val="11"/>
          <w:sz w:val="21"/>
          <w:szCs w:val="21"/>
          <w:u w:val="none"/>
        </w:rPr>
      </w:pPr>
    </w:p>
    <w:p w14:paraId="3F593293">
      <w:pPr>
        <w:pStyle w:val="64"/>
        <w:rPr>
          <w:rFonts w:hint="eastAsia" w:hAnsi="宋体"/>
          <w:spacing w:val="11"/>
          <w:sz w:val="21"/>
          <w:szCs w:val="21"/>
          <w:u w:val="none"/>
        </w:rPr>
      </w:pPr>
    </w:p>
    <w:p w14:paraId="1A96E238">
      <w:pPr>
        <w:pStyle w:val="64"/>
        <w:rPr>
          <w:rFonts w:hint="eastAsia" w:hAnsi="宋体"/>
          <w:spacing w:val="11"/>
          <w:sz w:val="21"/>
          <w:szCs w:val="21"/>
          <w:u w:val="none"/>
        </w:rPr>
      </w:pPr>
    </w:p>
    <w:p w14:paraId="27C78BC6">
      <w:pPr>
        <w:pStyle w:val="64"/>
        <w:rPr>
          <w:rFonts w:hint="eastAsia" w:hAnsi="宋体"/>
          <w:spacing w:val="11"/>
          <w:sz w:val="21"/>
          <w:szCs w:val="21"/>
          <w:u w:val="none"/>
        </w:rPr>
      </w:pPr>
    </w:p>
    <w:p w14:paraId="5105F9C2">
      <w:pPr>
        <w:pStyle w:val="64"/>
        <w:rPr>
          <w:rFonts w:hint="eastAsia" w:hAnsi="宋体"/>
          <w:spacing w:val="11"/>
          <w:sz w:val="21"/>
          <w:szCs w:val="21"/>
          <w:u w:val="none"/>
        </w:rPr>
      </w:pPr>
    </w:p>
    <w:p w14:paraId="63D657D9">
      <w:pPr>
        <w:pStyle w:val="64"/>
        <w:rPr>
          <w:rFonts w:hint="eastAsia" w:hAnsi="宋体"/>
          <w:spacing w:val="11"/>
          <w:sz w:val="21"/>
          <w:szCs w:val="21"/>
          <w:u w:val="none"/>
        </w:rPr>
      </w:pPr>
    </w:p>
    <w:p w14:paraId="0E59D432">
      <w:pPr>
        <w:pStyle w:val="4"/>
        <w:jc w:val="center"/>
        <w:rPr>
          <w:rFonts w:hAnsi="宋体"/>
          <w:spacing w:val="11"/>
          <w:sz w:val="21"/>
          <w:szCs w:val="21"/>
          <w:u w:val="none"/>
        </w:rPr>
      </w:pPr>
      <w:r>
        <w:rPr>
          <w:rFonts w:hint="eastAsia" w:hAnsi="宋体"/>
          <w:spacing w:val="11"/>
          <w:sz w:val="21"/>
          <w:szCs w:val="21"/>
          <w:u w:val="none"/>
          <w:lang w:val="en-US" w:eastAsia="zh-CN"/>
        </w:rPr>
        <w:t>11.</w:t>
      </w:r>
      <w:r>
        <w:rPr>
          <w:rFonts w:hint="eastAsia" w:hAnsi="宋体"/>
          <w:spacing w:val="11"/>
          <w:sz w:val="21"/>
          <w:szCs w:val="21"/>
          <w:u w:val="none"/>
        </w:rPr>
        <w:t>磋商函</w:t>
      </w:r>
    </w:p>
    <w:p w14:paraId="6E5317EA">
      <w:pPr>
        <w:rPr>
          <w:rFonts w:ascii="宋体" w:hAnsi="宋体" w:eastAsia="宋体" w:cs="宋体"/>
          <w:spacing w:val="11"/>
          <w:szCs w:val="21"/>
        </w:rPr>
      </w:pPr>
    </w:p>
    <w:p w14:paraId="2D3A32A6">
      <w:pPr>
        <w:pStyle w:val="28"/>
        <w:spacing w:before="120" w:after="120" w:line="480" w:lineRule="exact"/>
        <w:rPr>
          <w:rFonts w:hAnsi="宋体" w:cs="宋体"/>
          <w:bCs/>
          <w:spacing w:val="11"/>
          <w:sz w:val="21"/>
          <w:szCs w:val="21"/>
        </w:rPr>
      </w:pPr>
      <w:r>
        <w:rPr>
          <w:rFonts w:hint="eastAsia" w:hAnsi="宋体" w:cs="宋体"/>
          <w:bCs/>
          <w:spacing w:val="11"/>
          <w:sz w:val="21"/>
          <w:szCs w:val="21"/>
        </w:rPr>
        <w:t xml:space="preserve">致：（采购单位名称）    </w:t>
      </w:r>
    </w:p>
    <w:p w14:paraId="634B5AD2">
      <w:pPr>
        <w:autoSpaceDE w:val="0"/>
        <w:autoSpaceDN w:val="0"/>
        <w:adjustRightInd w:val="0"/>
        <w:spacing w:line="480" w:lineRule="exact"/>
        <w:ind w:firstLine="568" w:firstLineChars="245"/>
        <w:rPr>
          <w:rFonts w:ascii="宋体" w:hAnsi="宋体" w:eastAsia="宋体" w:cs="宋体"/>
          <w:spacing w:val="11"/>
          <w:szCs w:val="21"/>
          <w:lang w:val="zh-CN"/>
        </w:rPr>
      </w:pPr>
      <w:r>
        <w:rPr>
          <w:rFonts w:hint="eastAsia" w:ascii="宋体" w:hAnsi="宋体" w:eastAsia="宋体" w:cs="宋体"/>
          <w:spacing w:val="11"/>
          <w:szCs w:val="21"/>
          <w:lang w:val="zh-CN"/>
        </w:rPr>
        <w:t>（供应商全称）授权 （授权代表名称）</w:t>
      </w:r>
      <w:r>
        <w:rPr>
          <w:rFonts w:hint="eastAsia" w:ascii="宋体" w:hAnsi="宋体" w:eastAsia="宋体" w:cs="宋体"/>
          <w:spacing w:val="11"/>
          <w:szCs w:val="21"/>
          <w:u w:val="single"/>
          <w:lang w:val="zh-CN"/>
        </w:rPr>
        <w:t xml:space="preserve">         （职务、职称）</w:t>
      </w:r>
      <w:r>
        <w:rPr>
          <w:rFonts w:hint="eastAsia" w:ascii="宋体" w:hAnsi="宋体" w:eastAsia="宋体" w:cs="宋体"/>
          <w:spacing w:val="11"/>
          <w:szCs w:val="21"/>
          <w:lang w:val="zh-CN"/>
        </w:rPr>
        <w:t xml:space="preserve">为授权代表，参加贵方组织的（项目名称）的有关活动，并对本项目全部进行报价。为此，签字代表宣布同意如下：   </w:t>
      </w:r>
    </w:p>
    <w:p w14:paraId="5F1F7F3F">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1、提供磋商须知规定的全部报价文件。</w:t>
      </w:r>
    </w:p>
    <w:p w14:paraId="20557DC4">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已详细审查全部“竞争性磋商文件”，包括修改文件（如有的话）以及全部参考资料和有关附件，我方完全理解并接受竞争性磋商文件的各项规定和要求，对竞争性磋商文件的合理性、合法性不再有异议。</w:t>
      </w:r>
    </w:p>
    <w:p w14:paraId="5E02FBF3">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3、我方没有被本项目所在地的政府采购管理部门限制参加报价。</w:t>
      </w:r>
    </w:p>
    <w:p w14:paraId="4A6C3A94">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4、如成交，我方保证按竞争性磋商文件、成交通知书、本磋商响应文件及政府采购法律、法规的规定履行合同责任和义务。</w:t>
      </w:r>
    </w:p>
    <w:p w14:paraId="4DB3F7D7">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5、我方同意所递交的磋商响应文件在“磋商须知前附表”规定的磋商有效期内有效，在此期间内我方有可能成交，我方将受此约束。</w:t>
      </w:r>
    </w:p>
    <w:p w14:paraId="20F2CB9B">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6、</w:t>
      </w:r>
      <w:r>
        <w:rPr>
          <w:rFonts w:hint="eastAsia" w:ascii="宋体" w:hAnsi="宋体" w:eastAsia="宋体" w:cs="宋体"/>
          <w:spacing w:val="11"/>
          <w:szCs w:val="21"/>
          <w:lang w:val="zh-CN"/>
        </w:rPr>
        <w:t>除非另外达成协议并生效，贵方的成交通知书和本磋商响应文件将成为约束我们双方的合同文件组成部分。</w:t>
      </w:r>
    </w:p>
    <w:p w14:paraId="5A7C06F1">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7</w:t>
      </w:r>
      <w:r>
        <w:rPr>
          <w:rFonts w:hint="eastAsia" w:ascii="宋体" w:hAnsi="宋体" w:eastAsia="宋体" w:cs="宋体"/>
          <w:spacing w:val="11"/>
          <w:szCs w:val="21"/>
          <w:lang w:val="zh-CN"/>
        </w:rPr>
        <w:t>、兹证明上述声明是真实的、正确的，并提供了全部能提供的资料和数据，我们同意遵照贵方要求出示有关证明文件。</w:t>
      </w:r>
    </w:p>
    <w:p w14:paraId="11C5FCDF">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8、</w:t>
      </w:r>
      <w:r>
        <w:rPr>
          <w:rFonts w:hint="eastAsia" w:ascii="宋体" w:hAnsi="宋体" w:eastAsia="宋体" w:cs="宋体"/>
          <w:spacing w:val="11"/>
          <w:szCs w:val="21"/>
          <w:lang w:val="zh-CN"/>
        </w:rPr>
        <w:t>以上事项如有虚假或隐瞒，我方愿意承担一切后果，并不再寻求任何旨在减轻或免除法律责任的辩解。</w:t>
      </w:r>
    </w:p>
    <w:p w14:paraId="5398C19C">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9</w:t>
      </w:r>
      <w:r>
        <w:rPr>
          <w:rFonts w:hint="eastAsia" w:ascii="宋体" w:hAnsi="宋体" w:eastAsia="宋体" w:cs="宋体"/>
          <w:spacing w:val="11"/>
          <w:szCs w:val="21"/>
          <w:lang w:val="zh-CN"/>
        </w:rPr>
        <w:t>、与本磋商有关的一切正式往来信函请寄：</w:t>
      </w:r>
    </w:p>
    <w:p w14:paraId="71B192C8">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地址：__________                       邮编：___________________ </w:t>
      </w:r>
    </w:p>
    <w:p w14:paraId="565454ED">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电话：__________________               传真：___________________</w:t>
      </w:r>
    </w:p>
    <w:p w14:paraId="75DA7AC4">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开户银行：                             银行帐号：               </w:t>
      </w:r>
    </w:p>
    <w:p w14:paraId="1C4C39D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法定代表人或授权代表（签字或盖章）:___________   </w:t>
      </w:r>
    </w:p>
    <w:p w14:paraId="1671FEA6">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供应商名称(公章):___________________</w:t>
      </w:r>
    </w:p>
    <w:p w14:paraId="20768097">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日期:_____年___月___日</w:t>
      </w:r>
    </w:p>
    <w:p w14:paraId="0EBF60A6">
      <w:pPr>
        <w:autoSpaceDE w:val="0"/>
        <w:autoSpaceDN w:val="0"/>
        <w:adjustRightInd w:val="0"/>
        <w:spacing w:line="460" w:lineRule="exact"/>
        <w:rPr>
          <w:rFonts w:ascii="宋体" w:hAnsi="宋体" w:eastAsia="宋体" w:cs="宋体"/>
          <w:b/>
          <w:szCs w:val="21"/>
        </w:rPr>
      </w:pPr>
    </w:p>
    <w:p w14:paraId="3C1A6AEE">
      <w:pPr>
        <w:pStyle w:val="53"/>
        <w:ind w:firstLine="211"/>
        <w:rPr>
          <w:rFonts w:cs="宋体"/>
          <w:b/>
          <w:szCs w:val="21"/>
        </w:rPr>
      </w:pPr>
    </w:p>
    <w:p w14:paraId="72DC064E">
      <w:pPr>
        <w:pStyle w:val="53"/>
        <w:ind w:firstLine="211"/>
        <w:rPr>
          <w:rFonts w:cs="宋体"/>
          <w:b/>
          <w:szCs w:val="21"/>
        </w:rPr>
      </w:pPr>
    </w:p>
    <w:p w14:paraId="339BA01C">
      <w:pPr>
        <w:pStyle w:val="53"/>
        <w:ind w:firstLine="211"/>
        <w:rPr>
          <w:rFonts w:cs="宋体"/>
          <w:b/>
          <w:szCs w:val="21"/>
        </w:rPr>
      </w:pPr>
    </w:p>
    <w:p w14:paraId="74D2F179">
      <w:pPr>
        <w:pStyle w:val="53"/>
        <w:ind w:firstLine="211"/>
        <w:rPr>
          <w:rFonts w:cs="宋体"/>
          <w:b/>
          <w:szCs w:val="21"/>
        </w:rPr>
      </w:pPr>
    </w:p>
    <w:p w14:paraId="0135F249">
      <w:pPr>
        <w:pStyle w:val="43"/>
        <w:ind w:left="2100"/>
      </w:pPr>
    </w:p>
    <w:p w14:paraId="14745084">
      <w:pPr>
        <w:pStyle w:val="53"/>
        <w:ind w:firstLine="211"/>
        <w:rPr>
          <w:rFonts w:cs="宋体"/>
          <w:b/>
          <w:szCs w:val="21"/>
        </w:rPr>
      </w:pPr>
    </w:p>
    <w:p w14:paraId="627DF510">
      <w:pPr>
        <w:spacing w:line="360" w:lineRule="auto"/>
        <w:jc w:val="center"/>
        <w:rPr>
          <w:rFonts w:ascii="宋体" w:hAnsi="宋体" w:eastAsia="宋体" w:cs="宋体"/>
          <w:b/>
          <w:szCs w:val="21"/>
        </w:rPr>
      </w:pPr>
      <w:r>
        <w:rPr>
          <w:rFonts w:hint="eastAsia" w:ascii="宋体" w:hAnsi="宋体" w:eastAsia="宋体" w:cs="宋体"/>
          <w:b/>
          <w:szCs w:val="21"/>
        </w:rPr>
        <w:t>1</w:t>
      </w:r>
      <w:r>
        <w:rPr>
          <w:rFonts w:hint="eastAsia" w:ascii="宋体" w:hAnsi="宋体" w:eastAsia="宋体" w:cs="宋体"/>
          <w:b/>
          <w:szCs w:val="21"/>
          <w:lang w:val="en-US" w:eastAsia="zh-CN"/>
        </w:rPr>
        <w:t>2</w:t>
      </w:r>
      <w:r>
        <w:rPr>
          <w:rFonts w:hint="eastAsia" w:ascii="宋体" w:hAnsi="宋体" w:eastAsia="宋体" w:cs="宋体"/>
          <w:b/>
          <w:szCs w:val="21"/>
        </w:rPr>
        <w:t>.</w:t>
      </w:r>
      <w:r>
        <w:rPr>
          <w:rFonts w:hint="eastAsia" w:ascii="宋体" w:hAnsi="宋体" w:eastAsia="宋体" w:cs="宋体"/>
          <w:b/>
          <w:bCs/>
          <w:spacing w:val="11"/>
          <w:szCs w:val="21"/>
        </w:rPr>
        <w:t>磋商报价一览表（首次报价）</w:t>
      </w:r>
    </w:p>
    <w:tbl>
      <w:tblPr>
        <w:tblStyle w:val="55"/>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6D58CD9E">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2AF4850D">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160" w:type="pct"/>
            <w:tcBorders>
              <w:top w:val="single" w:color="000000" w:sz="4" w:space="0"/>
              <w:bottom w:val="single" w:color="000000" w:sz="4" w:space="0"/>
              <w:right w:val="single" w:color="000000" w:sz="4" w:space="0"/>
            </w:tcBorders>
            <w:vAlign w:val="center"/>
          </w:tcPr>
          <w:p w14:paraId="6205B2F4">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854" w:type="pct"/>
            <w:tcBorders>
              <w:top w:val="single" w:color="000000" w:sz="4" w:space="0"/>
              <w:bottom w:val="single" w:color="000000" w:sz="4" w:space="0"/>
              <w:right w:val="single" w:color="000000" w:sz="4" w:space="0"/>
            </w:tcBorders>
            <w:vAlign w:val="center"/>
          </w:tcPr>
          <w:p w14:paraId="7E7575B3">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28" w:type="pct"/>
            <w:tcBorders>
              <w:top w:val="single" w:color="000000" w:sz="4" w:space="0"/>
              <w:bottom w:val="single" w:color="000000" w:sz="4" w:space="0"/>
              <w:right w:val="single" w:color="000000" w:sz="4" w:space="0"/>
            </w:tcBorders>
            <w:vAlign w:val="center"/>
          </w:tcPr>
          <w:p w14:paraId="104913F1">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879" w:type="pct"/>
            <w:tcBorders>
              <w:top w:val="single" w:color="000000" w:sz="4" w:space="0"/>
              <w:bottom w:val="single" w:color="000000" w:sz="4" w:space="0"/>
              <w:right w:val="single" w:color="000000" w:sz="4" w:space="0"/>
            </w:tcBorders>
            <w:vAlign w:val="center"/>
          </w:tcPr>
          <w:p w14:paraId="293E443B">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780" w:type="pct"/>
            <w:tcBorders>
              <w:top w:val="single" w:color="000000" w:sz="4" w:space="0"/>
              <w:bottom w:val="single" w:color="000000" w:sz="4" w:space="0"/>
              <w:right w:val="single" w:color="000000" w:sz="4" w:space="0"/>
            </w:tcBorders>
            <w:vAlign w:val="center"/>
          </w:tcPr>
          <w:p w14:paraId="3871B52E">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278CDF75">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14:paraId="72474D0D">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160" w:type="pct"/>
            <w:tcBorders>
              <w:bottom w:val="single" w:color="auto" w:sz="4" w:space="0"/>
              <w:right w:val="single" w:color="000000" w:sz="4" w:space="0"/>
            </w:tcBorders>
            <w:vAlign w:val="center"/>
          </w:tcPr>
          <w:p w14:paraId="5AC96AAA">
            <w:pPr>
              <w:spacing w:line="380" w:lineRule="exact"/>
              <w:jc w:val="center"/>
              <w:rPr>
                <w:rFonts w:ascii="宋体" w:hAnsi="宋体" w:eastAsia="宋体" w:cs="宋体"/>
                <w:kern w:val="1"/>
                <w:szCs w:val="21"/>
              </w:rPr>
            </w:pPr>
            <w:r>
              <w:rPr>
                <w:rFonts w:hint="eastAsia" w:ascii="宋体" w:hAnsi="宋体" w:eastAsia="宋体" w:cs="宋体"/>
                <w:kern w:val="1"/>
                <w:szCs w:val="21"/>
              </w:rPr>
              <w:t>长兴技师学院2025年保安服务采购项目</w:t>
            </w:r>
          </w:p>
        </w:tc>
        <w:tc>
          <w:tcPr>
            <w:tcW w:w="854" w:type="pct"/>
            <w:tcBorders>
              <w:bottom w:val="single" w:color="auto" w:sz="4" w:space="0"/>
              <w:right w:val="single" w:color="000000" w:sz="4" w:space="0"/>
            </w:tcBorders>
            <w:vAlign w:val="center"/>
          </w:tcPr>
          <w:p w14:paraId="0B5D2AEA">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28" w:type="pct"/>
            <w:tcBorders>
              <w:bottom w:val="single" w:color="auto" w:sz="4" w:space="0"/>
              <w:right w:val="single" w:color="000000" w:sz="4" w:space="0"/>
            </w:tcBorders>
            <w:vAlign w:val="center"/>
          </w:tcPr>
          <w:p w14:paraId="24251EDD">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879" w:type="pct"/>
            <w:tcBorders>
              <w:bottom w:val="single" w:color="auto" w:sz="4" w:space="0"/>
              <w:right w:val="single" w:color="000000" w:sz="4" w:space="0"/>
            </w:tcBorders>
            <w:vAlign w:val="center"/>
          </w:tcPr>
          <w:p w14:paraId="760D7E2A">
            <w:pPr>
              <w:tabs>
                <w:tab w:val="left" w:pos="720"/>
              </w:tabs>
              <w:spacing w:line="380" w:lineRule="exact"/>
              <w:ind w:right="67"/>
              <w:jc w:val="center"/>
              <w:rPr>
                <w:rFonts w:ascii="宋体" w:hAnsi="宋体" w:eastAsia="宋体" w:cs="宋体"/>
                <w:kern w:val="1"/>
                <w:szCs w:val="21"/>
              </w:rPr>
            </w:pPr>
          </w:p>
        </w:tc>
        <w:tc>
          <w:tcPr>
            <w:tcW w:w="780" w:type="pct"/>
            <w:tcBorders>
              <w:bottom w:val="single" w:color="auto" w:sz="4" w:space="0"/>
              <w:right w:val="single" w:color="000000" w:sz="4" w:space="0"/>
            </w:tcBorders>
            <w:vAlign w:val="center"/>
          </w:tcPr>
          <w:p w14:paraId="47DCBE71">
            <w:pPr>
              <w:tabs>
                <w:tab w:val="left" w:pos="720"/>
              </w:tabs>
              <w:spacing w:line="380" w:lineRule="exact"/>
              <w:ind w:right="67"/>
              <w:jc w:val="center"/>
              <w:rPr>
                <w:rFonts w:ascii="宋体" w:hAnsi="宋体" w:eastAsia="宋体" w:cs="宋体"/>
                <w:kern w:val="1"/>
                <w:szCs w:val="21"/>
              </w:rPr>
            </w:pPr>
          </w:p>
        </w:tc>
      </w:tr>
    </w:tbl>
    <w:p w14:paraId="1C40430D">
      <w:pPr>
        <w:spacing w:line="400" w:lineRule="exact"/>
        <w:rPr>
          <w:rFonts w:ascii="宋体" w:hAnsi="宋体" w:eastAsia="宋体" w:cs="宋体"/>
          <w:spacing w:val="11"/>
          <w:szCs w:val="21"/>
        </w:rPr>
      </w:pPr>
    </w:p>
    <w:p w14:paraId="2A79B5CF">
      <w:pPr>
        <w:snapToGrid w:val="0"/>
        <w:spacing w:line="400" w:lineRule="exact"/>
        <w:rPr>
          <w:rFonts w:ascii="宋体" w:hAnsi="宋体" w:eastAsia="宋体" w:cs="宋体"/>
          <w:spacing w:val="11"/>
          <w:szCs w:val="21"/>
        </w:rPr>
      </w:pPr>
      <w:r>
        <w:rPr>
          <w:rFonts w:hint="eastAsia" w:ascii="宋体" w:hAnsi="宋体" w:eastAsia="宋体" w:cs="宋体"/>
          <w:spacing w:val="11"/>
          <w:szCs w:val="21"/>
        </w:rPr>
        <w:t>注: ▲1.报价一经涂改，应在涂改处加盖单位公章或由法定代表人或委托代理人签字或盖章，否则其磋商作无效标处理。</w:t>
      </w:r>
    </w:p>
    <w:p w14:paraId="52D73A5B">
      <w:pPr>
        <w:snapToGrid w:val="0"/>
        <w:spacing w:line="400" w:lineRule="exact"/>
        <w:rPr>
          <w:rFonts w:ascii="宋体" w:hAnsi="宋体" w:eastAsia="宋体" w:cs="宋体"/>
          <w:spacing w:val="11"/>
          <w:szCs w:val="21"/>
        </w:rPr>
      </w:pPr>
      <w:r>
        <w:rPr>
          <w:rFonts w:hint="eastAsia" w:ascii="宋体" w:hAnsi="宋体" w:eastAsia="宋体" w:cs="宋体"/>
          <w:spacing w:val="11"/>
          <w:szCs w:val="21"/>
        </w:rPr>
        <w:t>▲2.不提供此表格的将视为没有实质性响应磋商文件。</w:t>
      </w:r>
    </w:p>
    <w:p w14:paraId="3BC9C371">
      <w:pPr>
        <w:snapToGrid w:val="0"/>
        <w:spacing w:line="180" w:lineRule="exact"/>
        <w:rPr>
          <w:rFonts w:ascii="宋体" w:hAnsi="宋体" w:eastAsia="宋体" w:cs="宋体"/>
          <w:spacing w:val="11"/>
          <w:szCs w:val="21"/>
        </w:rPr>
      </w:pPr>
    </w:p>
    <w:p w14:paraId="209C423A">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3FC27D0E">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6CDA64A6">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14:paraId="32013F40">
      <w:pPr>
        <w:spacing w:line="360" w:lineRule="auto"/>
        <w:ind w:firstLine="3259" w:firstLineChars="1400"/>
        <w:rPr>
          <w:rFonts w:ascii="宋体" w:hAnsi="宋体" w:eastAsia="宋体" w:cs="宋体"/>
          <w:b/>
          <w:bCs/>
          <w:spacing w:val="11"/>
          <w:szCs w:val="21"/>
        </w:rPr>
      </w:pPr>
      <w:r>
        <w:rPr>
          <w:rFonts w:hint="eastAsia" w:ascii="宋体" w:hAnsi="宋体" w:eastAsia="宋体" w:cs="宋体"/>
          <w:b/>
          <w:bCs/>
          <w:spacing w:val="11"/>
          <w:szCs w:val="21"/>
        </w:rPr>
        <w:t>磋商报价一览表（最终报价）</w:t>
      </w:r>
    </w:p>
    <w:tbl>
      <w:tblPr>
        <w:tblStyle w:val="55"/>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14:paraId="30DD071C">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14:paraId="0D4180CB">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230" w:type="pct"/>
            <w:tcBorders>
              <w:top w:val="single" w:color="000000" w:sz="4" w:space="0"/>
              <w:bottom w:val="single" w:color="000000" w:sz="4" w:space="0"/>
              <w:right w:val="single" w:color="000000" w:sz="4" w:space="0"/>
            </w:tcBorders>
            <w:vAlign w:val="center"/>
          </w:tcPr>
          <w:p w14:paraId="7DEDCDA5">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906" w:type="pct"/>
            <w:tcBorders>
              <w:top w:val="single" w:color="000000" w:sz="4" w:space="0"/>
              <w:bottom w:val="single" w:color="000000" w:sz="4" w:space="0"/>
              <w:right w:val="single" w:color="000000" w:sz="4" w:space="0"/>
            </w:tcBorders>
            <w:vAlign w:val="center"/>
          </w:tcPr>
          <w:p w14:paraId="33C70F55">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66" w:type="pct"/>
            <w:tcBorders>
              <w:top w:val="single" w:color="000000" w:sz="4" w:space="0"/>
              <w:bottom w:val="single" w:color="000000" w:sz="4" w:space="0"/>
              <w:right w:val="single" w:color="000000" w:sz="4" w:space="0"/>
            </w:tcBorders>
            <w:vAlign w:val="center"/>
          </w:tcPr>
          <w:p w14:paraId="4942B436">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932" w:type="pct"/>
            <w:tcBorders>
              <w:top w:val="single" w:color="000000" w:sz="4" w:space="0"/>
              <w:bottom w:val="single" w:color="000000" w:sz="4" w:space="0"/>
              <w:right w:val="single" w:color="000000" w:sz="4" w:space="0"/>
            </w:tcBorders>
            <w:vAlign w:val="center"/>
          </w:tcPr>
          <w:p w14:paraId="09BEBA6A">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827" w:type="pct"/>
            <w:tcBorders>
              <w:top w:val="single" w:color="000000" w:sz="4" w:space="0"/>
              <w:bottom w:val="single" w:color="000000" w:sz="4" w:space="0"/>
              <w:right w:val="single" w:color="000000" w:sz="4" w:space="0"/>
            </w:tcBorders>
            <w:vAlign w:val="center"/>
          </w:tcPr>
          <w:p w14:paraId="2D7EFE27">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14:paraId="2073A900">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14:paraId="68A38CA6">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230" w:type="pct"/>
            <w:tcBorders>
              <w:bottom w:val="single" w:color="auto" w:sz="4" w:space="0"/>
              <w:right w:val="single" w:color="000000" w:sz="4" w:space="0"/>
            </w:tcBorders>
            <w:vAlign w:val="center"/>
          </w:tcPr>
          <w:p w14:paraId="2EB6D1F3">
            <w:pPr>
              <w:spacing w:line="380" w:lineRule="exact"/>
              <w:jc w:val="center"/>
              <w:rPr>
                <w:rFonts w:ascii="宋体" w:hAnsi="宋体" w:eastAsia="宋体" w:cs="宋体"/>
                <w:kern w:val="1"/>
                <w:szCs w:val="21"/>
              </w:rPr>
            </w:pPr>
            <w:r>
              <w:rPr>
                <w:rFonts w:hint="eastAsia" w:ascii="宋体" w:hAnsi="宋体" w:eastAsia="宋体" w:cs="宋体"/>
                <w:kern w:val="1"/>
                <w:szCs w:val="21"/>
              </w:rPr>
              <w:t>长兴技师学院2025年保安服务采购项目</w:t>
            </w:r>
          </w:p>
        </w:tc>
        <w:tc>
          <w:tcPr>
            <w:tcW w:w="906" w:type="pct"/>
            <w:tcBorders>
              <w:bottom w:val="single" w:color="auto" w:sz="4" w:space="0"/>
              <w:right w:val="single" w:color="000000" w:sz="4" w:space="0"/>
            </w:tcBorders>
            <w:vAlign w:val="center"/>
          </w:tcPr>
          <w:p w14:paraId="4DA4C267">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66" w:type="pct"/>
            <w:tcBorders>
              <w:bottom w:val="single" w:color="auto" w:sz="4" w:space="0"/>
              <w:right w:val="single" w:color="000000" w:sz="4" w:space="0"/>
            </w:tcBorders>
            <w:vAlign w:val="center"/>
          </w:tcPr>
          <w:p w14:paraId="4FDF60D2">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932" w:type="pct"/>
            <w:tcBorders>
              <w:bottom w:val="single" w:color="auto" w:sz="4" w:space="0"/>
              <w:right w:val="single" w:color="000000" w:sz="4" w:space="0"/>
            </w:tcBorders>
            <w:vAlign w:val="center"/>
          </w:tcPr>
          <w:p w14:paraId="48819595">
            <w:pPr>
              <w:tabs>
                <w:tab w:val="left" w:pos="720"/>
              </w:tabs>
              <w:spacing w:line="380" w:lineRule="exact"/>
              <w:ind w:right="67"/>
              <w:jc w:val="center"/>
              <w:rPr>
                <w:rFonts w:ascii="宋体" w:hAnsi="宋体" w:eastAsia="宋体" w:cs="宋体"/>
                <w:kern w:val="1"/>
                <w:szCs w:val="21"/>
              </w:rPr>
            </w:pPr>
          </w:p>
        </w:tc>
        <w:tc>
          <w:tcPr>
            <w:tcW w:w="827" w:type="pct"/>
            <w:tcBorders>
              <w:bottom w:val="single" w:color="auto" w:sz="4" w:space="0"/>
              <w:right w:val="single" w:color="000000" w:sz="4" w:space="0"/>
            </w:tcBorders>
            <w:vAlign w:val="center"/>
          </w:tcPr>
          <w:p w14:paraId="428C9E82">
            <w:pPr>
              <w:tabs>
                <w:tab w:val="left" w:pos="720"/>
              </w:tabs>
              <w:spacing w:line="380" w:lineRule="exact"/>
              <w:ind w:right="67"/>
              <w:jc w:val="center"/>
              <w:rPr>
                <w:rFonts w:ascii="宋体" w:hAnsi="宋体" w:eastAsia="宋体" w:cs="宋体"/>
                <w:kern w:val="1"/>
                <w:szCs w:val="21"/>
              </w:rPr>
            </w:pPr>
          </w:p>
        </w:tc>
      </w:tr>
    </w:tbl>
    <w:p w14:paraId="7BC16799">
      <w:pPr>
        <w:autoSpaceDE w:val="0"/>
        <w:autoSpaceDN w:val="0"/>
        <w:adjustRightInd w:val="0"/>
        <w:spacing w:line="360" w:lineRule="exact"/>
        <w:jc w:val="left"/>
        <w:rPr>
          <w:rFonts w:ascii="宋体" w:hAnsi="宋体" w:eastAsia="宋体" w:cs="宋体"/>
          <w:szCs w:val="21"/>
        </w:rPr>
      </w:pPr>
      <w:r>
        <w:rPr>
          <w:rFonts w:hint="eastAsia" w:ascii="宋体" w:hAnsi="宋体" w:eastAsia="宋体" w:cs="宋体"/>
          <w:szCs w:val="21"/>
        </w:rPr>
        <w:t>注：1.此表在政采云在线最终报价异常时提供，磋商响应文件中无需提供。</w:t>
      </w:r>
    </w:p>
    <w:p w14:paraId="195045C9">
      <w:pPr>
        <w:autoSpaceDE w:val="0"/>
        <w:autoSpaceDN w:val="0"/>
        <w:adjustRightInd w:val="0"/>
        <w:spacing w:line="360" w:lineRule="exact"/>
        <w:jc w:val="left"/>
        <w:rPr>
          <w:rFonts w:ascii="宋体" w:hAnsi="宋体" w:eastAsia="宋体" w:cs="宋体"/>
          <w:szCs w:val="21"/>
        </w:rPr>
      </w:pPr>
    </w:p>
    <w:p w14:paraId="307A0821">
      <w:pPr>
        <w:snapToGrid w:val="0"/>
        <w:spacing w:line="180" w:lineRule="exact"/>
        <w:rPr>
          <w:rFonts w:ascii="宋体" w:hAnsi="宋体" w:eastAsia="宋体" w:cs="宋体"/>
          <w:spacing w:val="11"/>
          <w:szCs w:val="21"/>
        </w:rPr>
      </w:pPr>
    </w:p>
    <w:p w14:paraId="3761043C">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14:paraId="428CEA8E">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14:paraId="0CA70206">
      <w:pPr>
        <w:snapToGrid w:val="0"/>
        <w:spacing w:beforeLines="50" w:after="50"/>
        <w:ind w:firstLine="6032" w:firstLineChars="2600"/>
        <w:rPr>
          <w:rFonts w:ascii="宋体" w:hAnsi="宋体" w:eastAsia="宋体" w:cs="宋体"/>
          <w:spacing w:val="11"/>
          <w:szCs w:val="21"/>
        </w:rPr>
      </w:pPr>
    </w:p>
    <w:p w14:paraId="564388B1">
      <w:pPr>
        <w:snapToGrid w:val="0"/>
        <w:spacing w:beforeLines="50" w:after="50"/>
        <w:ind w:firstLine="6032" w:firstLineChars="2600"/>
        <w:jc w:val="left"/>
        <w:rPr>
          <w:rFonts w:ascii="宋体" w:hAnsi="宋体" w:eastAsia="宋体" w:cs="宋体"/>
          <w:spacing w:val="11"/>
          <w:szCs w:val="21"/>
        </w:rPr>
      </w:pPr>
      <w:r>
        <w:rPr>
          <w:rFonts w:hint="eastAsia" w:ascii="宋体" w:hAnsi="宋体" w:eastAsia="宋体" w:cs="宋体"/>
          <w:spacing w:val="11"/>
          <w:szCs w:val="21"/>
        </w:rPr>
        <w:t>年    月   日</w:t>
      </w:r>
    </w:p>
    <w:p w14:paraId="242BFB8A">
      <w:pPr>
        <w:pStyle w:val="53"/>
        <w:ind w:firstLine="232"/>
        <w:rPr>
          <w:rFonts w:cs="宋体"/>
          <w:spacing w:val="11"/>
          <w:szCs w:val="21"/>
        </w:rPr>
      </w:pPr>
    </w:p>
    <w:p w14:paraId="5E6B5FF7">
      <w:pPr>
        <w:pStyle w:val="53"/>
        <w:ind w:firstLine="232"/>
        <w:rPr>
          <w:rFonts w:cs="宋体"/>
          <w:spacing w:val="11"/>
          <w:szCs w:val="21"/>
        </w:rPr>
      </w:pPr>
    </w:p>
    <w:p w14:paraId="13EB4A74">
      <w:pPr>
        <w:pStyle w:val="53"/>
        <w:ind w:firstLine="232"/>
        <w:rPr>
          <w:rFonts w:cs="宋体"/>
          <w:spacing w:val="11"/>
          <w:szCs w:val="21"/>
        </w:rPr>
      </w:pPr>
    </w:p>
    <w:p w14:paraId="282778EC">
      <w:pPr>
        <w:pStyle w:val="53"/>
        <w:ind w:firstLine="232"/>
        <w:rPr>
          <w:rFonts w:cs="宋体"/>
          <w:spacing w:val="11"/>
          <w:szCs w:val="21"/>
        </w:rPr>
      </w:pPr>
    </w:p>
    <w:p w14:paraId="35AEB81C">
      <w:pPr>
        <w:pStyle w:val="53"/>
        <w:ind w:firstLine="232"/>
        <w:rPr>
          <w:rFonts w:cs="宋体"/>
          <w:spacing w:val="11"/>
          <w:szCs w:val="21"/>
        </w:rPr>
      </w:pPr>
    </w:p>
    <w:p w14:paraId="715B6120">
      <w:pPr>
        <w:pStyle w:val="53"/>
        <w:ind w:firstLine="232"/>
        <w:rPr>
          <w:rFonts w:cs="宋体"/>
          <w:spacing w:val="11"/>
          <w:szCs w:val="21"/>
        </w:rPr>
      </w:pPr>
    </w:p>
    <w:p w14:paraId="135B6565">
      <w:pPr>
        <w:pStyle w:val="53"/>
        <w:ind w:firstLine="232"/>
        <w:rPr>
          <w:rFonts w:cs="宋体"/>
          <w:spacing w:val="11"/>
          <w:szCs w:val="21"/>
        </w:rPr>
      </w:pPr>
    </w:p>
    <w:p w14:paraId="1059E6AE">
      <w:pPr>
        <w:pStyle w:val="53"/>
        <w:ind w:firstLine="232"/>
        <w:rPr>
          <w:rFonts w:cs="宋体"/>
          <w:spacing w:val="11"/>
          <w:szCs w:val="21"/>
        </w:rPr>
      </w:pPr>
    </w:p>
    <w:p w14:paraId="3847FC72">
      <w:pPr>
        <w:pStyle w:val="53"/>
        <w:ind w:firstLine="232"/>
        <w:rPr>
          <w:rFonts w:cs="宋体"/>
          <w:spacing w:val="11"/>
          <w:szCs w:val="21"/>
        </w:rPr>
      </w:pPr>
    </w:p>
    <w:p w14:paraId="7A108A6E">
      <w:pPr>
        <w:jc w:val="center"/>
        <w:rPr>
          <w:rFonts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en-US" w:eastAsia="zh-CN"/>
        </w:rPr>
        <w:t>3</w:t>
      </w:r>
      <w:r>
        <w:rPr>
          <w:rFonts w:hint="eastAsia" w:ascii="宋体" w:hAnsi="宋体" w:eastAsia="宋体" w:cs="宋体"/>
          <w:b/>
          <w:szCs w:val="21"/>
        </w:rPr>
        <w:t>.</w:t>
      </w:r>
      <w:r>
        <w:rPr>
          <w:rFonts w:hint="eastAsia" w:ascii="宋体" w:hAnsi="宋体" w:eastAsia="宋体" w:cs="宋体"/>
          <w:b/>
          <w:szCs w:val="21"/>
          <w:lang w:val="zh-CN"/>
        </w:rPr>
        <w:t>磋商报价明细表</w:t>
      </w:r>
    </w:p>
    <w:p w14:paraId="5A612028">
      <w:pPr>
        <w:spacing w:line="360" w:lineRule="auto"/>
        <w:rPr>
          <w:rFonts w:ascii="宋体" w:hAnsi="宋体" w:eastAsia="宋体" w:cs="宋体"/>
          <w:szCs w:val="21"/>
          <w:lang w:val="zh-CN"/>
        </w:rPr>
      </w:pPr>
      <w:r>
        <w:rPr>
          <w:rFonts w:hint="eastAsia" w:ascii="宋体" w:hAnsi="宋体" w:eastAsia="宋体" w:cs="宋体"/>
          <w:color w:val="000000"/>
          <w:szCs w:val="21"/>
        </w:rPr>
        <w:t>项目名称：</w:t>
      </w:r>
      <w:r>
        <w:rPr>
          <w:rFonts w:hint="eastAsia" w:ascii="宋体" w:hAnsi="宋体" w:eastAsia="宋体" w:cs="宋体"/>
          <w:szCs w:val="21"/>
          <w:lang w:val="zh-CN"/>
        </w:rPr>
        <w:t>金额单位：人民币（元）</w:t>
      </w:r>
    </w:p>
    <w:tbl>
      <w:tblPr>
        <w:tblStyle w:val="55"/>
        <w:tblW w:w="4910" w:type="pct"/>
        <w:tblInd w:w="0" w:type="dxa"/>
        <w:tblLayout w:type="autofit"/>
        <w:tblCellMar>
          <w:top w:w="0" w:type="dxa"/>
          <w:left w:w="108" w:type="dxa"/>
          <w:bottom w:w="0" w:type="dxa"/>
          <w:right w:w="108" w:type="dxa"/>
        </w:tblCellMar>
      </w:tblPr>
      <w:tblGrid>
        <w:gridCol w:w="794"/>
        <w:gridCol w:w="2180"/>
        <w:gridCol w:w="748"/>
        <w:gridCol w:w="1501"/>
        <w:gridCol w:w="1365"/>
        <w:gridCol w:w="2010"/>
        <w:gridCol w:w="1185"/>
      </w:tblGrid>
      <w:tr w14:paraId="3B3A08CE">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0C6AE">
            <w:pPr>
              <w:widowControl/>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序号</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B1D33">
            <w:pPr>
              <w:widowControl/>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内容</w:t>
            </w: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9CADB">
            <w:pPr>
              <w:widowControl/>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单位</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29256">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数量</w:t>
            </w: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40D0AEC2">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单价</w:t>
            </w: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83DBC47">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小计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96001">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备注</w:t>
            </w:r>
          </w:p>
        </w:tc>
      </w:tr>
      <w:tr w14:paraId="24F33DD2">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09760">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2DCDD">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DC0C2">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6A191">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1E994D50">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1B8F8C5F">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00E12">
            <w:pPr>
              <w:tabs>
                <w:tab w:val="left" w:pos="1418"/>
              </w:tabs>
              <w:autoSpaceDE w:val="0"/>
              <w:autoSpaceDN w:val="0"/>
              <w:spacing w:before="50" w:after="50"/>
              <w:jc w:val="center"/>
              <w:rPr>
                <w:rFonts w:ascii="宋体" w:hAnsi="宋体" w:eastAsia="宋体" w:cs="宋体"/>
                <w:szCs w:val="21"/>
              </w:rPr>
            </w:pPr>
          </w:p>
        </w:tc>
      </w:tr>
      <w:tr w14:paraId="7AEC3769">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4AB88">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9C35F">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52D98">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79A88">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7737A135">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755061A6">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A270D">
            <w:pPr>
              <w:tabs>
                <w:tab w:val="left" w:pos="1418"/>
              </w:tabs>
              <w:autoSpaceDE w:val="0"/>
              <w:autoSpaceDN w:val="0"/>
              <w:spacing w:before="50" w:after="50"/>
              <w:jc w:val="center"/>
              <w:rPr>
                <w:rFonts w:ascii="宋体" w:hAnsi="宋体" w:eastAsia="宋体" w:cs="宋体"/>
                <w:szCs w:val="21"/>
              </w:rPr>
            </w:pPr>
          </w:p>
        </w:tc>
      </w:tr>
      <w:tr w14:paraId="4DFC2005">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7DA18">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9D84B">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B225D">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9C8CD">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06E587C7">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75F6BD41">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422A9">
            <w:pPr>
              <w:tabs>
                <w:tab w:val="left" w:pos="1418"/>
              </w:tabs>
              <w:autoSpaceDE w:val="0"/>
              <w:autoSpaceDN w:val="0"/>
              <w:spacing w:before="50" w:after="50"/>
              <w:jc w:val="center"/>
              <w:rPr>
                <w:rFonts w:ascii="宋体" w:hAnsi="宋体" w:eastAsia="宋体" w:cs="宋体"/>
                <w:szCs w:val="21"/>
              </w:rPr>
            </w:pPr>
          </w:p>
        </w:tc>
      </w:tr>
      <w:tr w14:paraId="25B582A0">
        <w:tblPrEx>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C2878">
            <w:pPr>
              <w:tabs>
                <w:tab w:val="left" w:pos="1418"/>
              </w:tabs>
              <w:autoSpaceDE w:val="0"/>
              <w:autoSpaceDN w:val="0"/>
              <w:spacing w:before="50" w:after="50"/>
              <w:jc w:val="center"/>
              <w:rPr>
                <w:rFonts w:ascii="宋体" w:hAnsi="宋体" w:eastAsia="宋体" w:cs="宋体"/>
                <w:szCs w:val="21"/>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76012">
            <w:pPr>
              <w:tabs>
                <w:tab w:val="left" w:pos="1418"/>
              </w:tabs>
              <w:autoSpaceDE w:val="0"/>
              <w:autoSpaceDN w:val="0"/>
              <w:spacing w:before="50" w:after="50"/>
              <w:jc w:val="center"/>
              <w:rPr>
                <w:rFonts w:ascii="宋体" w:hAnsi="宋体" w:eastAsia="宋体" w:cs="宋体"/>
                <w:szCs w:val="21"/>
              </w:rPr>
            </w:pPr>
          </w:p>
        </w:tc>
        <w:tc>
          <w:tcPr>
            <w:tcW w:w="7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EA1B9F">
            <w:pPr>
              <w:tabs>
                <w:tab w:val="left" w:pos="1418"/>
              </w:tabs>
              <w:autoSpaceDE w:val="0"/>
              <w:autoSpaceDN w:val="0"/>
              <w:spacing w:before="50" w:after="50"/>
              <w:jc w:val="center"/>
              <w:rPr>
                <w:rFonts w:ascii="宋体" w:hAnsi="宋体" w:eastAsia="宋体" w:cs="宋体"/>
                <w:szCs w:val="21"/>
                <w:lang w:val="zh-CN"/>
              </w:rPr>
            </w:pP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658E2">
            <w:pPr>
              <w:tabs>
                <w:tab w:val="left" w:pos="1418"/>
              </w:tabs>
              <w:autoSpaceDE w:val="0"/>
              <w:autoSpaceDN w:val="0"/>
              <w:spacing w:before="50" w:after="50"/>
              <w:jc w:val="center"/>
              <w:rPr>
                <w:rFonts w:ascii="宋体" w:hAnsi="宋体" w:eastAsia="宋体" w:cs="宋体"/>
                <w:szCs w:val="21"/>
                <w:lang w:val="zh-CN"/>
              </w:rPr>
            </w:pPr>
          </w:p>
        </w:tc>
        <w:tc>
          <w:tcPr>
            <w:tcW w:w="1365"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14:paraId="0FC0A374">
            <w:pPr>
              <w:tabs>
                <w:tab w:val="left" w:pos="1418"/>
              </w:tabs>
              <w:autoSpaceDE w:val="0"/>
              <w:autoSpaceDN w:val="0"/>
              <w:spacing w:before="50" w:after="50"/>
              <w:jc w:val="center"/>
              <w:rPr>
                <w:rFonts w:ascii="宋体" w:hAnsi="宋体" w:eastAsia="宋体" w:cs="宋体"/>
                <w:szCs w:val="21"/>
              </w:rPr>
            </w:pPr>
          </w:p>
        </w:tc>
        <w:tc>
          <w:tcPr>
            <w:tcW w:w="2010"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14:paraId="6CC499D1">
            <w:pPr>
              <w:tabs>
                <w:tab w:val="left" w:pos="1418"/>
              </w:tabs>
              <w:autoSpaceDE w:val="0"/>
              <w:autoSpaceDN w:val="0"/>
              <w:spacing w:before="50" w:after="50"/>
              <w:jc w:val="center"/>
              <w:rPr>
                <w:rFonts w:ascii="宋体" w:hAnsi="宋体" w:eastAsia="宋体" w:cs="宋体"/>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3B97F">
            <w:pPr>
              <w:tabs>
                <w:tab w:val="left" w:pos="1418"/>
              </w:tabs>
              <w:autoSpaceDE w:val="0"/>
              <w:autoSpaceDN w:val="0"/>
              <w:spacing w:before="50" w:after="50"/>
              <w:jc w:val="center"/>
              <w:rPr>
                <w:rFonts w:ascii="宋体" w:hAnsi="宋体" w:eastAsia="宋体" w:cs="宋体"/>
                <w:szCs w:val="21"/>
              </w:rPr>
            </w:pPr>
          </w:p>
        </w:tc>
      </w:tr>
      <w:tr w14:paraId="0EAAC3C9">
        <w:tblPrEx>
          <w:tblCellMar>
            <w:top w:w="0" w:type="dxa"/>
            <w:left w:w="108" w:type="dxa"/>
            <w:bottom w:w="0" w:type="dxa"/>
            <w:right w:w="108" w:type="dxa"/>
          </w:tblCellMar>
        </w:tblPrEx>
        <w:trPr>
          <w:trHeight w:val="567" w:hRule="atLeast"/>
        </w:trPr>
        <w:tc>
          <w:tcPr>
            <w:tcW w:w="9783"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29736">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磋商  总  价</w:t>
            </w:r>
          </w:p>
        </w:tc>
      </w:tr>
    </w:tbl>
    <w:p w14:paraId="04868173">
      <w:pPr>
        <w:autoSpaceDE w:val="0"/>
        <w:autoSpaceDN w:val="0"/>
        <w:spacing w:before="50" w:after="50"/>
        <w:rPr>
          <w:rFonts w:ascii="宋体" w:hAnsi="宋体" w:eastAsia="宋体" w:cs="宋体"/>
          <w:color w:val="0000FF"/>
          <w:szCs w:val="21"/>
          <w:lang w:val="zh-CN"/>
        </w:rPr>
      </w:pPr>
      <w:r>
        <w:rPr>
          <w:rFonts w:hint="eastAsia" w:ascii="宋体" w:hAnsi="宋体" w:eastAsia="宋体" w:cs="宋体"/>
          <w:b/>
          <w:bCs/>
          <w:szCs w:val="21"/>
          <w:lang w:val="zh-CN"/>
        </w:rPr>
        <w:t>注：</w:t>
      </w:r>
      <w:r>
        <w:rPr>
          <w:rFonts w:hint="eastAsia" w:ascii="宋体" w:hAnsi="宋体" w:eastAsia="宋体" w:cs="宋体"/>
          <w:b/>
          <w:bCs/>
          <w:szCs w:val="21"/>
        </w:rPr>
        <w:t>1.</w:t>
      </w:r>
      <w:r>
        <w:rPr>
          <w:rFonts w:hint="eastAsia" w:ascii="宋体" w:hAnsi="宋体" w:eastAsia="宋体" w:cs="宋体"/>
          <w:b/>
          <w:bCs/>
          <w:szCs w:val="21"/>
          <w:lang w:val="zh-CN"/>
        </w:rPr>
        <w:t>按《第二章  磋商需求》填写。若我方成交，承诺最终</w:t>
      </w:r>
      <w:r>
        <w:rPr>
          <w:rFonts w:hint="eastAsia" w:ascii="宋体" w:hAnsi="宋体" w:eastAsia="宋体" w:cs="宋体"/>
          <w:b/>
          <w:spacing w:val="11"/>
          <w:szCs w:val="21"/>
        </w:rPr>
        <w:t>成交价</w:t>
      </w:r>
      <w:r>
        <w:rPr>
          <w:rFonts w:hint="eastAsia" w:ascii="宋体" w:hAnsi="宋体" w:eastAsia="宋体" w:cs="宋体"/>
          <w:b/>
          <w:bCs/>
          <w:szCs w:val="21"/>
          <w:lang w:val="zh-CN"/>
        </w:rPr>
        <w:t>与本次总报价的</w:t>
      </w:r>
      <w:r>
        <w:rPr>
          <w:rFonts w:hint="eastAsia" w:ascii="宋体" w:hAnsi="宋体" w:eastAsia="宋体" w:cs="宋体"/>
          <w:b/>
          <w:spacing w:val="11"/>
          <w:szCs w:val="21"/>
        </w:rPr>
        <w:t>是在</w:t>
      </w:r>
      <w:r>
        <w:rPr>
          <w:rFonts w:hint="eastAsia" w:ascii="宋体" w:hAnsi="宋体" w:eastAsia="宋体" w:cs="宋体"/>
          <w:b/>
          <w:bCs/>
          <w:szCs w:val="21"/>
          <w:lang w:val="zh-CN"/>
        </w:rPr>
        <w:t>本次总报价（</w:t>
      </w:r>
      <w:r>
        <w:rPr>
          <w:rFonts w:hint="eastAsia" w:ascii="宋体" w:hAnsi="宋体" w:eastAsia="宋体" w:cs="宋体"/>
          <w:b/>
          <w:bCs/>
          <w:szCs w:val="21"/>
        </w:rPr>
        <w:t>初次</w:t>
      </w:r>
      <w:r>
        <w:rPr>
          <w:rFonts w:hint="eastAsia" w:ascii="宋体" w:hAnsi="宋体" w:eastAsia="宋体" w:cs="宋体"/>
          <w:b/>
          <w:spacing w:val="11"/>
          <w:szCs w:val="21"/>
        </w:rPr>
        <w:t>磋商报价</w:t>
      </w:r>
      <w:r>
        <w:rPr>
          <w:rFonts w:hint="eastAsia" w:ascii="宋体" w:hAnsi="宋体" w:eastAsia="宋体" w:cs="宋体"/>
          <w:b/>
          <w:bCs/>
          <w:szCs w:val="21"/>
          <w:lang w:val="zh-CN"/>
        </w:rPr>
        <w:t>）</w:t>
      </w:r>
      <w:r>
        <w:rPr>
          <w:rFonts w:hint="eastAsia" w:ascii="宋体" w:hAnsi="宋体" w:eastAsia="宋体" w:cs="宋体"/>
          <w:b/>
          <w:spacing w:val="11"/>
          <w:szCs w:val="21"/>
        </w:rPr>
        <w:t>的基础上整体下浮，</w:t>
      </w:r>
      <w:r>
        <w:rPr>
          <w:rFonts w:hint="eastAsia" w:ascii="宋体" w:hAnsi="宋体" w:eastAsia="宋体" w:cs="宋体"/>
          <w:b/>
          <w:bCs/>
          <w:szCs w:val="21"/>
          <w:lang w:val="zh-CN"/>
        </w:rPr>
        <w:t>成交后的所有</w:t>
      </w:r>
      <w:r>
        <w:rPr>
          <w:rFonts w:hint="eastAsia" w:ascii="宋体" w:hAnsi="宋体" w:eastAsia="宋体" w:cs="宋体"/>
          <w:b/>
          <w:bCs/>
          <w:szCs w:val="21"/>
        </w:rPr>
        <w:t>服务</w:t>
      </w:r>
      <w:r>
        <w:rPr>
          <w:rFonts w:hint="eastAsia" w:ascii="宋体" w:hAnsi="宋体" w:eastAsia="宋体" w:cs="宋体"/>
          <w:b/>
          <w:bCs/>
          <w:szCs w:val="21"/>
          <w:lang w:val="zh-CN"/>
        </w:rPr>
        <w:t>清单单价</w:t>
      </w:r>
      <w:r>
        <w:rPr>
          <w:rFonts w:hint="eastAsia" w:ascii="宋体" w:hAnsi="宋体" w:eastAsia="宋体" w:cs="宋体"/>
          <w:b/>
          <w:bCs/>
          <w:szCs w:val="21"/>
        </w:rPr>
        <w:t>与初次服务清单单价同比例下浮。</w:t>
      </w:r>
    </w:p>
    <w:p w14:paraId="75BC276F">
      <w:pPr>
        <w:tabs>
          <w:tab w:val="left" w:pos="1176"/>
        </w:tabs>
        <w:spacing w:line="480" w:lineRule="exact"/>
        <w:rPr>
          <w:rFonts w:ascii="宋体" w:hAnsi="宋体" w:eastAsia="宋体" w:cs="宋体"/>
          <w:szCs w:val="21"/>
        </w:rPr>
      </w:pPr>
      <w:r>
        <w:rPr>
          <w:rFonts w:hint="eastAsia" w:ascii="宋体" w:hAnsi="宋体" w:eastAsia="宋体" w:cs="宋体"/>
          <w:szCs w:val="21"/>
        </w:rPr>
        <w:t>2.报价一经涂改，应在涂改处加盖单位公章或者由法定代表人或授权委托人签字或盖章，否则作无效标处理。</w:t>
      </w:r>
    </w:p>
    <w:p w14:paraId="2FBD0793">
      <w:pPr>
        <w:tabs>
          <w:tab w:val="left" w:pos="1176"/>
        </w:tabs>
        <w:spacing w:line="480" w:lineRule="exact"/>
        <w:rPr>
          <w:rFonts w:ascii="宋体" w:hAnsi="宋体" w:eastAsia="宋体" w:cs="宋体"/>
          <w:szCs w:val="21"/>
        </w:rPr>
      </w:pPr>
      <w:r>
        <w:rPr>
          <w:rFonts w:hint="eastAsia" w:ascii="宋体" w:hAnsi="宋体" w:eastAsia="宋体" w:cs="宋体"/>
          <w:szCs w:val="21"/>
        </w:rPr>
        <w:t>3.本表总价金额应与磋商报价一览表“磋商报价”金额一致。</w:t>
      </w:r>
    </w:p>
    <w:p w14:paraId="07429443">
      <w:pPr>
        <w:tabs>
          <w:tab w:val="left" w:pos="1176"/>
        </w:tabs>
        <w:spacing w:line="480" w:lineRule="exact"/>
        <w:rPr>
          <w:rFonts w:ascii="宋体" w:hAnsi="宋体" w:eastAsia="宋体" w:cs="宋体"/>
          <w:szCs w:val="21"/>
        </w:rPr>
      </w:pPr>
    </w:p>
    <w:p w14:paraId="2D4480C8">
      <w:pPr>
        <w:spacing w:line="360" w:lineRule="auto"/>
        <w:ind w:firstLine="2835" w:firstLineChars="1350"/>
        <w:rPr>
          <w:rFonts w:ascii="宋体" w:hAnsi="宋体" w:eastAsia="宋体" w:cs="宋体"/>
          <w:szCs w:val="21"/>
          <w:u w:val="single"/>
        </w:rPr>
      </w:pPr>
      <w:r>
        <w:rPr>
          <w:rFonts w:hint="eastAsia" w:ascii="宋体" w:hAnsi="宋体" w:eastAsia="宋体" w:cs="宋体"/>
          <w:szCs w:val="21"/>
        </w:rPr>
        <w:t>供应商名称(盖章)：</w:t>
      </w:r>
    </w:p>
    <w:p w14:paraId="666E48CE">
      <w:pPr>
        <w:spacing w:line="360" w:lineRule="auto"/>
        <w:ind w:firstLine="2835" w:firstLineChars="1350"/>
        <w:rPr>
          <w:rFonts w:ascii="宋体" w:hAnsi="宋体" w:eastAsia="宋体" w:cs="宋体"/>
          <w:szCs w:val="21"/>
        </w:rPr>
      </w:pPr>
      <w:r>
        <w:rPr>
          <w:rFonts w:hint="eastAsia" w:ascii="宋体" w:hAnsi="宋体" w:eastAsia="宋体" w:cs="宋体"/>
          <w:szCs w:val="21"/>
        </w:rPr>
        <w:t>法定代表人或授权代表（签字或盖章）：</w:t>
      </w:r>
    </w:p>
    <w:p w14:paraId="55D227DE">
      <w:pPr>
        <w:spacing w:line="360" w:lineRule="auto"/>
        <w:ind w:firstLine="2835" w:firstLineChars="1350"/>
        <w:jc w:val="left"/>
        <w:rPr>
          <w:rFonts w:ascii="宋体" w:hAnsi="宋体" w:eastAsia="宋体" w:cs="宋体"/>
          <w:szCs w:val="21"/>
          <w:u w:val="single"/>
        </w:rPr>
      </w:pPr>
      <w:r>
        <w:rPr>
          <w:rFonts w:hint="eastAsia" w:ascii="宋体" w:hAnsi="宋体" w:eastAsia="宋体" w:cs="宋体"/>
          <w:szCs w:val="21"/>
        </w:rPr>
        <w:t>日      期：</w:t>
      </w:r>
    </w:p>
    <w:p w14:paraId="4E45C5C8">
      <w:pPr>
        <w:spacing w:line="360" w:lineRule="auto"/>
        <w:ind w:firstLine="420" w:firstLineChars="200"/>
        <w:rPr>
          <w:rFonts w:ascii="宋体" w:hAnsi="宋体" w:eastAsia="宋体" w:cs="宋体"/>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ì.">
    <w:altName w:val="宋体"/>
    <w:panose1 w:val="00000000000000000000"/>
    <w:charset w:val="86"/>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498E">
    <w:pPr>
      <w:tabs>
        <w:tab w:val="left" w:pos="5182"/>
      </w:tabs>
      <w:ind w:right="360"/>
      <w:rPr>
        <w:rFonts w:eastAsia="宋体"/>
        <w:sz w:val="18"/>
        <w:szCs w:val="18"/>
      </w:rPr>
    </w:pPr>
    <w:r>
      <w:rPr>
        <w:rFonts w:hint="eastAsia" w:eastAsia="宋体"/>
        <w:sz w:val="18"/>
        <w:szCs w:val="18"/>
      </w:rPr>
      <w:t xml:space="preserve">浙江信望工程咨询有限公司  </w:t>
    </w:r>
  </w:p>
  <w:p w14:paraId="25102BCD">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F2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CA2B2">
    <w:pPr>
      <w:pStyle w:val="35"/>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A34D7">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1521">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8B2687">
                          <w:pPr>
                            <w:pStyle w:val="3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28B2687">
                    <w:pPr>
                      <w:pStyle w:val="3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1AAA">
    <w:pPr>
      <w:pStyle w:val="37"/>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AE18">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AD913">
    <w:pPr>
      <w:pStyle w:val="3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C8B9">
    <w:pPr>
      <w:pStyle w:val="37"/>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39B66"/>
    <w:multiLevelType w:val="singleLevel"/>
    <w:tmpl w:val="94639B66"/>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pStyle w:val="23"/>
      <w:lvlText w:val="%1."/>
      <w:lvlJc w:val="left"/>
      <w:pPr>
        <w:tabs>
          <w:tab w:val="left" w:pos="1200"/>
        </w:tabs>
        <w:ind w:left="1200" w:hanging="360"/>
      </w:pPr>
    </w:lvl>
  </w:abstractNum>
  <w:abstractNum w:abstractNumId="2">
    <w:nsid w:val="0053208E"/>
    <w:multiLevelType w:val="multilevel"/>
    <w:tmpl w:val="0053208E"/>
    <w:lvl w:ilvl="0" w:tentative="0">
      <w:start w:val="1"/>
      <w:numFmt w:val="japaneseCounting"/>
      <w:pStyle w:val="14"/>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075371D6"/>
    <w:multiLevelType w:val="singleLevel"/>
    <w:tmpl w:val="075371D6"/>
    <w:lvl w:ilvl="0" w:tentative="0">
      <w:start w:val="1"/>
      <w:numFmt w:val="decimal"/>
      <w:suff w:val="space"/>
      <w:lvlText w:val="%1."/>
      <w:lvlJc w:val="left"/>
    </w:lvl>
  </w:abstractNum>
  <w:abstractNum w:abstractNumId="4">
    <w:nsid w:val="56172246"/>
    <w:multiLevelType w:val="singleLevel"/>
    <w:tmpl w:val="56172246"/>
    <w:lvl w:ilvl="0" w:tentative="0">
      <w:start w:val="1"/>
      <w:numFmt w:val="decimal"/>
      <w:lvlText w:val="%1."/>
      <w:lvlJc w:val="left"/>
      <w:pPr>
        <w:tabs>
          <w:tab w:val="left" w:pos="312"/>
        </w:tabs>
      </w:pPr>
    </w:lvl>
  </w:abstractNum>
  <w:abstractNum w:abstractNumId="5">
    <w:nsid w:val="74210C49"/>
    <w:multiLevelType w:val="singleLevel"/>
    <w:tmpl w:val="74210C49"/>
    <w:lvl w:ilvl="0" w:tentative="0">
      <w:start w:val="5"/>
      <w:numFmt w:val="decimal"/>
      <w:lvlText w:val="%1."/>
      <w:lvlJc w:val="left"/>
      <w:pPr>
        <w:tabs>
          <w:tab w:val="left" w:pos="312"/>
        </w:tabs>
      </w:pPr>
    </w:lvl>
  </w:abstractNum>
  <w:abstractNum w:abstractNumId="6">
    <w:nsid w:val="7EDBD397"/>
    <w:multiLevelType w:val="singleLevel"/>
    <w:tmpl w:val="7EDBD397"/>
    <w:lvl w:ilvl="0" w:tentative="0">
      <w:start w:val="1"/>
      <w:numFmt w:val="bullet"/>
      <w:pStyle w:val="29"/>
      <w:lvlText w:val=""/>
      <w:lvlJc w:val="left"/>
      <w:pPr>
        <w:tabs>
          <w:tab w:val="left" w:pos="2040"/>
        </w:tabs>
        <w:ind w:left="2040" w:hanging="360"/>
      </w:pPr>
      <w:rPr>
        <w:rFonts w:hint="default" w:ascii="Wingdings" w:hAnsi="Wingdings"/>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N2ZhZGQ4MmVmNDIwNmYyOTBmNGFkODQ5MGYwZTAifQ=="/>
  </w:docVars>
  <w:rsids>
    <w:rsidRoot w:val="00172A27"/>
    <w:rsid w:val="00000E2C"/>
    <w:rsid w:val="00012CFA"/>
    <w:rsid w:val="000137B9"/>
    <w:rsid w:val="000142A6"/>
    <w:rsid w:val="0001526F"/>
    <w:rsid w:val="000200CE"/>
    <w:rsid w:val="00021B2F"/>
    <w:rsid w:val="00023D01"/>
    <w:rsid w:val="00024E9C"/>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3B66"/>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2BEF"/>
    <w:rsid w:val="002843D4"/>
    <w:rsid w:val="002900D4"/>
    <w:rsid w:val="00294AFA"/>
    <w:rsid w:val="002A05B2"/>
    <w:rsid w:val="002A394E"/>
    <w:rsid w:val="002A5F80"/>
    <w:rsid w:val="002A6056"/>
    <w:rsid w:val="002C1B6B"/>
    <w:rsid w:val="002C5C56"/>
    <w:rsid w:val="002C6686"/>
    <w:rsid w:val="002C6A68"/>
    <w:rsid w:val="002C6D8B"/>
    <w:rsid w:val="002C6F52"/>
    <w:rsid w:val="002D0641"/>
    <w:rsid w:val="002D4B91"/>
    <w:rsid w:val="002D7F3C"/>
    <w:rsid w:val="002E02C7"/>
    <w:rsid w:val="002E1DC9"/>
    <w:rsid w:val="002E21DB"/>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203A"/>
    <w:rsid w:val="007336EB"/>
    <w:rsid w:val="00735253"/>
    <w:rsid w:val="00736780"/>
    <w:rsid w:val="00737724"/>
    <w:rsid w:val="007471EE"/>
    <w:rsid w:val="00751738"/>
    <w:rsid w:val="00751836"/>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893"/>
    <w:rsid w:val="007B7F6B"/>
    <w:rsid w:val="007C139F"/>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577DA"/>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5457"/>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3B"/>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0740"/>
    <w:rsid w:val="00B81CE7"/>
    <w:rsid w:val="00B8269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75A5A"/>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93103"/>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387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1574"/>
    <w:rsid w:val="00FA28D1"/>
    <w:rsid w:val="00FA2C12"/>
    <w:rsid w:val="00FA4E17"/>
    <w:rsid w:val="00FA7CCB"/>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15B82"/>
    <w:rsid w:val="024C230D"/>
    <w:rsid w:val="0250063E"/>
    <w:rsid w:val="0256123C"/>
    <w:rsid w:val="02574460"/>
    <w:rsid w:val="025823B6"/>
    <w:rsid w:val="02643B54"/>
    <w:rsid w:val="02662C6D"/>
    <w:rsid w:val="026B0CB2"/>
    <w:rsid w:val="026B239D"/>
    <w:rsid w:val="026D2382"/>
    <w:rsid w:val="026F51A1"/>
    <w:rsid w:val="0271753D"/>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0C293C"/>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E0162"/>
    <w:rsid w:val="05C068FF"/>
    <w:rsid w:val="05C632F6"/>
    <w:rsid w:val="05CC501A"/>
    <w:rsid w:val="05CE5914"/>
    <w:rsid w:val="05D206CA"/>
    <w:rsid w:val="05DB13B5"/>
    <w:rsid w:val="05E44D14"/>
    <w:rsid w:val="05E736B9"/>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7F36DD"/>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D21BA"/>
    <w:rsid w:val="081E6A43"/>
    <w:rsid w:val="081F0407"/>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B32BA5"/>
    <w:rsid w:val="09B8631D"/>
    <w:rsid w:val="09BA234B"/>
    <w:rsid w:val="09BD352A"/>
    <w:rsid w:val="09BE77B2"/>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713DDA"/>
    <w:rsid w:val="0B732536"/>
    <w:rsid w:val="0B771934"/>
    <w:rsid w:val="0B774E6F"/>
    <w:rsid w:val="0B8964E4"/>
    <w:rsid w:val="0B8D5ADB"/>
    <w:rsid w:val="0B8F172F"/>
    <w:rsid w:val="0B915112"/>
    <w:rsid w:val="0B95644D"/>
    <w:rsid w:val="0B9B3E40"/>
    <w:rsid w:val="0BA51A79"/>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A5C3B"/>
    <w:rsid w:val="0C8F7B62"/>
    <w:rsid w:val="0C9934EC"/>
    <w:rsid w:val="0CA37C52"/>
    <w:rsid w:val="0CA5578A"/>
    <w:rsid w:val="0CA92DFC"/>
    <w:rsid w:val="0CB43205"/>
    <w:rsid w:val="0CB47615"/>
    <w:rsid w:val="0CBF08E4"/>
    <w:rsid w:val="0CC06C49"/>
    <w:rsid w:val="0CD44F74"/>
    <w:rsid w:val="0CD72A73"/>
    <w:rsid w:val="0CD81E0C"/>
    <w:rsid w:val="0CE34937"/>
    <w:rsid w:val="0CE35033"/>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7CD4"/>
    <w:rsid w:val="0D464116"/>
    <w:rsid w:val="0D484114"/>
    <w:rsid w:val="0D4C3365"/>
    <w:rsid w:val="0D4E21EA"/>
    <w:rsid w:val="0D4E54BC"/>
    <w:rsid w:val="0D5438B4"/>
    <w:rsid w:val="0D561A82"/>
    <w:rsid w:val="0D5D6E5E"/>
    <w:rsid w:val="0D5F213D"/>
    <w:rsid w:val="0D610D26"/>
    <w:rsid w:val="0D6577A5"/>
    <w:rsid w:val="0D67027C"/>
    <w:rsid w:val="0D7225D3"/>
    <w:rsid w:val="0D78768C"/>
    <w:rsid w:val="0D7B508D"/>
    <w:rsid w:val="0D8370C8"/>
    <w:rsid w:val="0D851E58"/>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278D6"/>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AF071F"/>
    <w:rsid w:val="0EB63541"/>
    <w:rsid w:val="0EBD6E26"/>
    <w:rsid w:val="0EC00BDF"/>
    <w:rsid w:val="0EC35B70"/>
    <w:rsid w:val="0EC5321B"/>
    <w:rsid w:val="0EC674F6"/>
    <w:rsid w:val="0ECC2841"/>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240FA"/>
    <w:rsid w:val="107835BF"/>
    <w:rsid w:val="107D575D"/>
    <w:rsid w:val="10847858"/>
    <w:rsid w:val="10866C13"/>
    <w:rsid w:val="108B0AD2"/>
    <w:rsid w:val="108B6A12"/>
    <w:rsid w:val="108E2E05"/>
    <w:rsid w:val="109259C7"/>
    <w:rsid w:val="109D31C7"/>
    <w:rsid w:val="10AD72DB"/>
    <w:rsid w:val="10B01231"/>
    <w:rsid w:val="10B039F3"/>
    <w:rsid w:val="10B63DDD"/>
    <w:rsid w:val="10BA0374"/>
    <w:rsid w:val="10BA0F7C"/>
    <w:rsid w:val="10BB44CA"/>
    <w:rsid w:val="10BB7AAC"/>
    <w:rsid w:val="10BD2826"/>
    <w:rsid w:val="10BF637E"/>
    <w:rsid w:val="10C941E4"/>
    <w:rsid w:val="10D577E9"/>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B5C1C"/>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9427FB"/>
    <w:rsid w:val="12974D17"/>
    <w:rsid w:val="1298732C"/>
    <w:rsid w:val="12A661AC"/>
    <w:rsid w:val="12A80DB1"/>
    <w:rsid w:val="12AC3634"/>
    <w:rsid w:val="12B61FAE"/>
    <w:rsid w:val="12B939F3"/>
    <w:rsid w:val="12BA5C9D"/>
    <w:rsid w:val="12BD1482"/>
    <w:rsid w:val="12C446FF"/>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75C0E"/>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AB192E"/>
    <w:rsid w:val="15B051F2"/>
    <w:rsid w:val="15B15EF8"/>
    <w:rsid w:val="15B3795A"/>
    <w:rsid w:val="15B60F86"/>
    <w:rsid w:val="15B729B2"/>
    <w:rsid w:val="15BB2733"/>
    <w:rsid w:val="15BD3A02"/>
    <w:rsid w:val="15BF40E0"/>
    <w:rsid w:val="15C2280E"/>
    <w:rsid w:val="15C4604A"/>
    <w:rsid w:val="15D85BFC"/>
    <w:rsid w:val="15D95EF0"/>
    <w:rsid w:val="15F8026A"/>
    <w:rsid w:val="15FC1A89"/>
    <w:rsid w:val="16056259"/>
    <w:rsid w:val="160F4982"/>
    <w:rsid w:val="16111BD2"/>
    <w:rsid w:val="1612381C"/>
    <w:rsid w:val="16147DA7"/>
    <w:rsid w:val="161E5C26"/>
    <w:rsid w:val="16250DA5"/>
    <w:rsid w:val="162737F9"/>
    <w:rsid w:val="163305FA"/>
    <w:rsid w:val="16355906"/>
    <w:rsid w:val="163D074B"/>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B90642"/>
    <w:rsid w:val="17D16E9C"/>
    <w:rsid w:val="17D56B1F"/>
    <w:rsid w:val="17DE5BB2"/>
    <w:rsid w:val="17E51BD5"/>
    <w:rsid w:val="17E5505D"/>
    <w:rsid w:val="17EC5FBE"/>
    <w:rsid w:val="17F646CC"/>
    <w:rsid w:val="17F922E0"/>
    <w:rsid w:val="17FA429D"/>
    <w:rsid w:val="17FD3625"/>
    <w:rsid w:val="180813B2"/>
    <w:rsid w:val="180B73B0"/>
    <w:rsid w:val="1811097D"/>
    <w:rsid w:val="181268E8"/>
    <w:rsid w:val="181522BC"/>
    <w:rsid w:val="18167CFD"/>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12CF"/>
    <w:rsid w:val="18932858"/>
    <w:rsid w:val="18990494"/>
    <w:rsid w:val="189E643E"/>
    <w:rsid w:val="18A9433A"/>
    <w:rsid w:val="18B4518F"/>
    <w:rsid w:val="18B45E8A"/>
    <w:rsid w:val="18B51934"/>
    <w:rsid w:val="18B6694A"/>
    <w:rsid w:val="18B80550"/>
    <w:rsid w:val="18C30D41"/>
    <w:rsid w:val="18C803A5"/>
    <w:rsid w:val="18CA2D19"/>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10CDF"/>
    <w:rsid w:val="1A143AA1"/>
    <w:rsid w:val="1A1500E6"/>
    <w:rsid w:val="1A1629CA"/>
    <w:rsid w:val="1A191DDF"/>
    <w:rsid w:val="1A1A1D9C"/>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26B3"/>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79C4"/>
    <w:rsid w:val="1C0D4FA5"/>
    <w:rsid w:val="1C0D7C74"/>
    <w:rsid w:val="1C181086"/>
    <w:rsid w:val="1C1D105D"/>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6765F"/>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F40CA"/>
    <w:rsid w:val="1CA114EB"/>
    <w:rsid w:val="1CA64563"/>
    <w:rsid w:val="1CA6788A"/>
    <w:rsid w:val="1CA7118A"/>
    <w:rsid w:val="1CA966DD"/>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1F4223"/>
    <w:rsid w:val="1E263151"/>
    <w:rsid w:val="1E2E0B2A"/>
    <w:rsid w:val="1E336892"/>
    <w:rsid w:val="1E3649B0"/>
    <w:rsid w:val="1E3F6641"/>
    <w:rsid w:val="1E402301"/>
    <w:rsid w:val="1E416CFA"/>
    <w:rsid w:val="1E417201"/>
    <w:rsid w:val="1E423380"/>
    <w:rsid w:val="1E430E48"/>
    <w:rsid w:val="1E4741BF"/>
    <w:rsid w:val="1E5A76AB"/>
    <w:rsid w:val="1E6D78B9"/>
    <w:rsid w:val="1E6E5F01"/>
    <w:rsid w:val="1E794A62"/>
    <w:rsid w:val="1E7F47AB"/>
    <w:rsid w:val="1E8964E3"/>
    <w:rsid w:val="1E920498"/>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47F3C"/>
    <w:rsid w:val="1EE75E29"/>
    <w:rsid w:val="1EE97D9A"/>
    <w:rsid w:val="1EED161F"/>
    <w:rsid w:val="1EED7765"/>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0273D"/>
    <w:rsid w:val="1F6944D9"/>
    <w:rsid w:val="1F7F076C"/>
    <w:rsid w:val="1F8031F5"/>
    <w:rsid w:val="1F935AB8"/>
    <w:rsid w:val="1F97253C"/>
    <w:rsid w:val="1F9D2FB4"/>
    <w:rsid w:val="1FA14AAD"/>
    <w:rsid w:val="1FA8358C"/>
    <w:rsid w:val="1FB44341"/>
    <w:rsid w:val="1FB71E59"/>
    <w:rsid w:val="1FBC1C68"/>
    <w:rsid w:val="1FC2545E"/>
    <w:rsid w:val="1FC4427B"/>
    <w:rsid w:val="1FC63B1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764AF"/>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2CB8"/>
    <w:rsid w:val="213573C6"/>
    <w:rsid w:val="213B3CDE"/>
    <w:rsid w:val="21432C9B"/>
    <w:rsid w:val="214A72ED"/>
    <w:rsid w:val="215445A7"/>
    <w:rsid w:val="21547381"/>
    <w:rsid w:val="215601A2"/>
    <w:rsid w:val="216104CB"/>
    <w:rsid w:val="21611B2F"/>
    <w:rsid w:val="21650BC1"/>
    <w:rsid w:val="216631BC"/>
    <w:rsid w:val="21663559"/>
    <w:rsid w:val="21687B43"/>
    <w:rsid w:val="216B39B9"/>
    <w:rsid w:val="217118C2"/>
    <w:rsid w:val="217B4982"/>
    <w:rsid w:val="21815F25"/>
    <w:rsid w:val="21863889"/>
    <w:rsid w:val="218F51A2"/>
    <w:rsid w:val="218F629F"/>
    <w:rsid w:val="21955F0E"/>
    <w:rsid w:val="21992E21"/>
    <w:rsid w:val="219B5D46"/>
    <w:rsid w:val="219B7374"/>
    <w:rsid w:val="219E5E97"/>
    <w:rsid w:val="21A01419"/>
    <w:rsid w:val="21B21F90"/>
    <w:rsid w:val="21B775A6"/>
    <w:rsid w:val="21B90BE6"/>
    <w:rsid w:val="21BA4F11"/>
    <w:rsid w:val="21BD123A"/>
    <w:rsid w:val="21CD76C5"/>
    <w:rsid w:val="21CE7A53"/>
    <w:rsid w:val="21CF5ECF"/>
    <w:rsid w:val="21D31A0D"/>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7D2BB6"/>
    <w:rsid w:val="22802136"/>
    <w:rsid w:val="2281155A"/>
    <w:rsid w:val="228346D3"/>
    <w:rsid w:val="228C7903"/>
    <w:rsid w:val="228D0B2E"/>
    <w:rsid w:val="228F72F4"/>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22360F"/>
    <w:rsid w:val="23256D4F"/>
    <w:rsid w:val="232A27A7"/>
    <w:rsid w:val="232D553A"/>
    <w:rsid w:val="233103C5"/>
    <w:rsid w:val="23322650"/>
    <w:rsid w:val="23341B46"/>
    <w:rsid w:val="23362882"/>
    <w:rsid w:val="233C11DD"/>
    <w:rsid w:val="233D6374"/>
    <w:rsid w:val="2345339B"/>
    <w:rsid w:val="2345787E"/>
    <w:rsid w:val="23466103"/>
    <w:rsid w:val="234966D0"/>
    <w:rsid w:val="234D2AD9"/>
    <w:rsid w:val="234E40A2"/>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40407ED"/>
    <w:rsid w:val="240945D4"/>
    <w:rsid w:val="24140066"/>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6549D0"/>
    <w:rsid w:val="247108C5"/>
    <w:rsid w:val="24745D31"/>
    <w:rsid w:val="24746E5F"/>
    <w:rsid w:val="247B404C"/>
    <w:rsid w:val="247E43F2"/>
    <w:rsid w:val="24822F07"/>
    <w:rsid w:val="24836764"/>
    <w:rsid w:val="24883BEE"/>
    <w:rsid w:val="248C2345"/>
    <w:rsid w:val="248C6E72"/>
    <w:rsid w:val="249026B6"/>
    <w:rsid w:val="2490314A"/>
    <w:rsid w:val="24986429"/>
    <w:rsid w:val="24997C53"/>
    <w:rsid w:val="249A7CE7"/>
    <w:rsid w:val="24AB0F0C"/>
    <w:rsid w:val="24B3561E"/>
    <w:rsid w:val="24B64AAB"/>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727102"/>
    <w:rsid w:val="25740676"/>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2A31"/>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60BB7"/>
    <w:rsid w:val="27907CF6"/>
    <w:rsid w:val="27952C67"/>
    <w:rsid w:val="279729EB"/>
    <w:rsid w:val="279C2342"/>
    <w:rsid w:val="279C284E"/>
    <w:rsid w:val="27A9315D"/>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8024849"/>
    <w:rsid w:val="2808136C"/>
    <w:rsid w:val="280A09FE"/>
    <w:rsid w:val="280C5159"/>
    <w:rsid w:val="281304F5"/>
    <w:rsid w:val="28162C53"/>
    <w:rsid w:val="281753DE"/>
    <w:rsid w:val="281B0B9D"/>
    <w:rsid w:val="282560C0"/>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96B8C"/>
    <w:rsid w:val="28AA62C6"/>
    <w:rsid w:val="28AD561F"/>
    <w:rsid w:val="28B35320"/>
    <w:rsid w:val="28B4384B"/>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0F4220"/>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64156E"/>
    <w:rsid w:val="2A677FBC"/>
    <w:rsid w:val="2A6B4ED7"/>
    <w:rsid w:val="2A7208D5"/>
    <w:rsid w:val="2A7631C0"/>
    <w:rsid w:val="2A797DE0"/>
    <w:rsid w:val="2A7A2B37"/>
    <w:rsid w:val="2A7B485E"/>
    <w:rsid w:val="2A8A5EDA"/>
    <w:rsid w:val="2A8E7966"/>
    <w:rsid w:val="2A902D4B"/>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14BB5"/>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0FEA"/>
    <w:rsid w:val="2C341D42"/>
    <w:rsid w:val="2C372C87"/>
    <w:rsid w:val="2C3A5DDF"/>
    <w:rsid w:val="2C4B201B"/>
    <w:rsid w:val="2C523444"/>
    <w:rsid w:val="2C55387E"/>
    <w:rsid w:val="2C56553C"/>
    <w:rsid w:val="2C59438B"/>
    <w:rsid w:val="2C5D2F95"/>
    <w:rsid w:val="2C5E5F9A"/>
    <w:rsid w:val="2C69632D"/>
    <w:rsid w:val="2C6B32EF"/>
    <w:rsid w:val="2C6E1F07"/>
    <w:rsid w:val="2C7522A7"/>
    <w:rsid w:val="2C7E4551"/>
    <w:rsid w:val="2C833908"/>
    <w:rsid w:val="2C8505F1"/>
    <w:rsid w:val="2C8521CF"/>
    <w:rsid w:val="2C8A0D87"/>
    <w:rsid w:val="2C8C6046"/>
    <w:rsid w:val="2C9E091B"/>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1C3738"/>
    <w:rsid w:val="2D1D7AE2"/>
    <w:rsid w:val="2D1E4BED"/>
    <w:rsid w:val="2D2C716D"/>
    <w:rsid w:val="2D2E2390"/>
    <w:rsid w:val="2D3177E3"/>
    <w:rsid w:val="2D326E47"/>
    <w:rsid w:val="2D341EB2"/>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0F1C21"/>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F5D6F"/>
    <w:rsid w:val="2F14595E"/>
    <w:rsid w:val="2F1710F1"/>
    <w:rsid w:val="2F1721FC"/>
    <w:rsid w:val="2F1917B8"/>
    <w:rsid w:val="2F1A126E"/>
    <w:rsid w:val="2F1B290E"/>
    <w:rsid w:val="2F2B7A49"/>
    <w:rsid w:val="2F2C2A4B"/>
    <w:rsid w:val="2F2F19D6"/>
    <w:rsid w:val="2F383E52"/>
    <w:rsid w:val="2F400809"/>
    <w:rsid w:val="2F4442F7"/>
    <w:rsid w:val="2F506663"/>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2B46A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11D9F"/>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001FB"/>
    <w:rsid w:val="32A4652B"/>
    <w:rsid w:val="32A5294A"/>
    <w:rsid w:val="32AD68A5"/>
    <w:rsid w:val="32B07DDA"/>
    <w:rsid w:val="32B23A19"/>
    <w:rsid w:val="32B81720"/>
    <w:rsid w:val="32B86EAA"/>
    <w:rsid w:val="32B94F5C"/>
    <w:rsid w:val="32BA0AF9"/>
    <w:rsid w:val="32C41C92"/>
    <w:rsid w:val="32C90D0C"/>
    <w:rsid w:val="32CA7503"/>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F43C5"/>
    <w:rsid w:val="33BF63EA"/>
    <w:rsid w:val="33C1559B"/>
    <w:rsid w:val="33C16825"/>
    <w:rsid w:val="33C55992"/>
    <w:rsid w:val="33C5690B"/>
    <w:rsid w:val="33CC66B0"/>
    <w:rsid w:val="33CD6BB5"/>
    <w:rsid w:val="33CE1E5D"/>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A6E96"/>
    <w:rsid w:val="343D0FEB"/>
    <w:rsid w:val="34505E2F"/>
    <w:rsid w:val="345848AA"/>
    <w:rsid w:val="345A7FCD"/>
    <w:rsid w:val="345B4EFD"/>
    <w:rsid w:val="345C2010"/>
    <w:rsid w:val="34601F5B"/>
    <w:rsid w:val="34613BAE"/>
    <w:rsid w:val="34624AB8"/>
    <w:rsid w:val="34645B8C"/>
    <w:rsid w:val="346C59BE"/>
    <w:rsid w:val="347841D2"/>
    <w:rsid w:val="3478710F"/>
    <w:rsid w:val="34800111"/>
    <w:rsid w:val="3484525B"/>
    <w:rsid w:val="34935A3D"/>
    <w:rsid w:val="34947F07"/>
    <w:rsid w:val="349B587D"/>
    <w:rsid w:val="349F2E40"/>
    <w:rsid w:val="34A25326"/>
    <w:rsid w:val="34AB1F99"/>
    <w:rsid w:val="34AF3E07"/>
    <w:rsid w:val="34B25575"/>
    <w:rsid w:val="34B97A3C"/>
    <w:rsid w:val="34BB02B5"/>
    <w:rsid w:val="34C172DC"/>
    <w:rsid w:val="34C333C6"/>
    <w:rsid w:val="34C91D02"/>
    <w:rsid w:val="34CE7CAD"/>
    <w:rsid w:val="34CF034D"/>
    <w:rsid w:val="34D07C52"/>
    <w:rsid w:val="34D94C06"/>
    <w:rsid w:val="34F01253"/>
    <w:rsid w:val="34F16E81"/>
    <w:rsid w:val="34F43E5A"/>
    <w:rsid w:val="34F57AC4"/>
    <w:rsid w:val="34FA4643"/>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41E04"/>
    <w:rsid w:val="359E6BFA"/>
    <w:rsid w:val="35A03566"/>
    <w:rsid w:val="35AC78A9"/>
    <w:rsid w:val="35AD4BE8"/>
    <w:rsid w:val="35AF168D"/>
    <w:rsid w:val="35B8788C"/>
    <w:rsid w:val="35B951A3"/>
    <w:rsid w:val="35B97AB3"/>
    <w:rsid w:val="35BC336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4F5F69"/>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33390"/>
    <w:rsid w:val="370C042A"/>
    <w:rsid w:val="371B7113"/>
    <w:rsid w:val="37220A59"/>
    <w:rsid w:val="37221EBB"/>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0B62"/>
    <w:rsid w:val="393F1CA2"/>
    <w:rsid w:val="39412C26"/>
    <w:rsid w:val="39413F1F"/>
    <w:rsid w:val="39416847"/>
    <w:rsid w:val="3949343C"/>
    <w:rsid w:val="394B7226"/>
    <w:rsid w:val="394E06BD"/>
    <w:rsid w:val="39512DF4"/>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75831"/>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1E0D49"/>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7402D"/>
    <w:rsid w:val="3B640E4E"/>
    <w:rsid w:val="3B653EEB"/>
    <w:rsid w:val="3B6662D5"/>
    <w:rsid w:val="3B673DFD"/>
    <w:rsid w:val="3B694679"/>
    <w:rsid w:val="3B746390"/>
    <w:rsid w:val="3B7A6DF5"/>
    <w:rsid w:val="3B7E11BF"/>
    <w:rsid w:val="3B8F5FC8"/>
    <w:rsid w:val="3B94338C"/>
    <w:rsid w:val="3B9942F7"/>
    <w:rsid w:val="3B9C6067"/>
    <w:rsid w:val="3B9D3300"/>
    <w:rsid w:val="3BA70815"/>
    <w:rsid w:val="3BAC5B4A"/>
    <w:rsid w:val="3BAD20A3"/>
    <w:rsid w:val="3BB30AE0"/>
    <w:rsid w:val="3BBD0C73"/>
    <w:rsid w:val="3BBD4EC5"/>
    <w:rsid w:val="3BBE146D"/>
    <w:rsid w:val="3BC313E3"/>
    <w:rsid w:val="3BC64837"/>
    <w:rsid w:val="3BCB4FA2"/>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92AB7"/>
    <w:rsid w:val="3C2B3215"/>
    <w:rsid w:val="3C2C52DB"/>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577BC"/>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55E21"/>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0608"/>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B45618"/>
    <w:rsid w:val="3EB504D3"/>
    <w:rsid w:val="3EBE5F31"/>
    <w:rsid w:val="3EC66C20"/>
    <w:rsid w:val="3ED66CD4"/>
    <w:rsid w:val="3EDA02A8"/>
    <w:rsid w:val="3EDF433C"/>
    <w:rsid w:val="3EE053DC"/>
    <w:rsid w:val="3EE5509E"/>
    <w:rsid w:val="3EE5783B"/>
    <w:rsid w:val="3EF22A17"/>
    <w:rsid w:val="3EFB55C4"/>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20302"/>
    <w:rsid w:val="4042163A"/>
    <w:rsid w:val="404C205F"/>
    <w:rsid w:val="405109C9"/>
    <w:rsid w:val="40632487"/>
    <w:rsid w:val="406E5D45"/>
    <w:rsid w:val="40703CD4"/>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B11DB"/>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64AA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A7398"/>
    <w:rsid w:val="421C4CA9"/>
    <w:rsid w:val="4221725B"/>
    <w:rsid w:val="42332B94"/>
    <w:rsid w:val="42341DB5"/>
    <w:rsid w:val="423579ED"/>
    <w:rsid w:val="424106A8"/>
    <w:rsid w:val="424575AF"/>
    <w:rsid w:val="42474B55"/>
    <w:rsid w:val="424E41EB"/>
    <w:rsid w:val="42511EDC"/>
    <w:rsid w:val="42535316"/>
    <w:rsid w:val="42554FC5"/>
    <w:rsid w:val="425555D6"/>
    <w:rsid w:val="425B79EF"/>
    <w:rsid w:val="42613BAE"/>
    <w:rsid w:val="42634E95"/>
    <w:rsid w:val="426C1D16"/>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80308"/>
    <w:rsid w:val="452A32BB"/>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DE130F"/>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C5602"/>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B18"/>
    <w:rsid w:val="46A97A76"/>
    <w:rsid w:val="46B40F22"/>
    <w:rsid w:val="46BA1796"/>
    <w:rsid w:val="46BC06B4"/>
    <w:rsid w:val="46C10A14"/>
    <w:rsid w:val="46C6334B"/>
    <w:rsid w:val="46CA635B"/>
    <w:rsid w:val="46CE793B"/>
    <w:rsid w:val="46CF5848"/>
    <w:rsid w:val="46D26841"/>
    <w:rsid w:val="46D848A8"/>
    <w:rsid w:val="46E35E17"/>
    <w:rsid w:val="46E435E1"/>
    <w:rsid w:val="46EF68E1"/>
    <w:rsid w:val="46F351FB"/>
    <w:rsid w:val="46F62916"/>
    <w:rsid w:val="46F90B4E"/>
    <w:rsid w:val="46F90C3F"/>
    <w:rsid w:val="46FA6F53"/>
    <w:rsid w:val="46FB4507"/>
    <w:rsid w:val="47000EA7"/>
    <w:rsid w:val="4713474B"/>
    <w:rsid w:val="47134D1D"/>
    <w:rsid w:val="47150D60"/>
    <w:rsid w:val="47154A6D"/>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3526"/>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140DA"/>
    <w:rsid w:val="48F21F1D"/>
    <w:rsid w:val="48F743B8"/>
    <w:rsid w:val="48F75698"/>
    <w:rsid w:val="48FD591C"/>
    <w:rsid w:val="490321B2"/>
    <w:rsid w:val="490A4454"/>
    <w:rsid w:val="490D4A82"/>
    <w:rsid w:val="490E294B"/>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C4F87"/>
    <w:rsid w:val="499E1F0D"/>
    <w:rsid w:val="499E4661"/>
    <w:rsid w:val="49A80D1B"/>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54ABD"/>
    <w:rsid w:val="4A173227"/>
    <w:rsid w:val="4A180FC9"/>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435F0"/>
    <w:rsid w:val="4AD65896"/>
    <w:rsid w:val="4AD9740B"/>
    <w:rsid w:val="4ADC3B98"/>
    <w:rsid w:val="4ADE0991"/>
    <w:rsid w:val="4AE2543B"/>
    <w:rsid w:val="4AE56137"/>
    <w:rsid w:val="4AE57BF4"/>
    <w:rsid w:val="4AED3EBD"/>
    <w:rsid w:val="4AFA28B4"/>
    <w:rsid w:val="4AFF7BCC"/>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063826"/>
    <w:rsid w:val="4D1618CB"/>
    <w:rsid w:val="4D173B14"/>
    <w:rsid w:val="4D184C77"/>
    <w:rsid w:val="4D190D47"/>
    <w:rsid w:val="4D1D0390"/>
    <w:rsid w:val="4D1D5ABE"/>
    <w:rsid w:val="4D2059C0"/>
    <w:rsid w:val="4D2666C6"/>
    <w:rsid w:val="4D2B19A5"/>
    <w:rsid w:val="4D2E6F22"/>
    <w:rsid w:val="4D325169"/>
    <w:rsid w:val="4D3449CD"/>
    <w:rsid w:val="4D3D6872"/>
    <w:rsid w:val="4D4349FA"/>
    <w:rsid w:val="4D4B7978"/>
    <w:rsid w:val="4D4E4F4A"/>
    <w:rsid w:val="4D4F4FB5"/>
    <w:rsid w:val="4D526F38"/>
    <w:rsid w:val="4D595B61"/>
    <w:rsid w:val="4D5E734A"/>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811C2"/>
    <w:rsid w:val="4F1A4FE4"/>
    <w:rsid w:val="4F1C0541"/>
    <w:rsid w:val="4F1D3522"/>
    <w:rsid w:val="4F1E08AB"/>
    <w:rsid w:val="4F1F6D0D"/>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352DC"/>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46606"/>
    <w:rsid w:val="504C357D"/>
    <w:rsid w:val="505A7AD5"/>
    <w:rsid w:val="50651C46"/>
    <w:rsid w:val="506C45ED"/>
    <w:rsid w:val="506F79F7"/>
    <w:rsid w:val="507D081D"/>
    <w:rsid w:val="5082064D"/>
    <w:rsid w:val="50831B21"/>
    <w:rsid w:val="50880B9C"/>
    <w:rsid w:val="508D2BCF"/>
    <w:rsid w:val="508E02CB"/>
    <w:rsid w:val="50911159"/>
    <w:rsid w:val="509455B2"/>
    <w:rsid w:val="50964F61"/>
    <w:rsid w:val="509B5DF0"/>
    <w:rsid w:val="50A92B4E"/>
    <w:rsid w:val="50B51D16"/>
    <w:rsid w:val="50B66E40"/>
    <w:rsid w:val="50BB078F"/>
    <w:rsid w:val="50BD0CCE"/>
    <w:rsid w:val="50C109C8"/>
    <w:rsid w:val="50C264EB"/>
    <w:rsid w:val="50C3126F"/>
    <w:rsid w:val="50CD26F6"/>
    <w:rsid w:val="50DD2F8F"/>
    <w:rsid w:val="50DE7A5B"/>
    <w:rsid w:val="50E02B9D"/>
    <w:rsid w:val="50E26790"/>
    <w:rsid w:val="50E847F6"/>
    <w:rsid w:val="50E853E0"/>
    <w:rsid w:val="50E90870"/>
    <w:rsid w:val="50EA1FA3"/>
    <w:rsid w:val="50F53F3C"/>
    <w:rsid w:val="50F6072F"/>
    <w:rsid w:val="50F949C9"/>
    <w:rsid w:val="50FA60F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F1CAE"/>
    <w:rsid w:val="519C7CC3"/>
    <w:rsid w:val="51A73EEA"/>
    <w:rsid w:val="51AD28CB"/>
    <w:rsid w:val="51B71DCD"/>
    <w:rsid w:val="51BB2DA2"/>
    <w:rsid w:val="51C844F0"/>
    <w:rsid w:val="51CB7F02"/>
    <w:rsid w:val="51D6762E"/>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3761"/>
    <w:rsid w:val="52A44867"/>
    <w:rsid w:val="52A52529"/>
    <w:rsid w:val="52A701EF"/>
    <w:rsid w:val="52AB3FDA"/>
    <w:rsid w:val="52AC2A8E"/>
    <w:rsid w:val="52AE13C1"/>
    <w:rsid w:val="52B15206"/>
    <w:rsid w:val="52B76A40"/>
    <w:rsid w:val="52BD1FF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0F089A"/>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F5AFE"/>
    <w:rsid w:val="53AF686E"/>
    <w:rsid w:val="53B305D5"/>
    <w:rsid w:val="53B75EE6"/>
    <w:rsid w:val="53C80953"/>
    <w:rsid w:val="53CE400E"/>
    <w:rsid w:val="53D23363"/>
    <w:rsid w:val="53D45BE2"/>
    <w:rsid w:val="53E14B31"/>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6930"/>
    <w:rsid w:val="55F46E32"/>
    <w:rsid w:val="55F74C26"/>
    <w:rsid w:val="55FA4799"/>
    <w:rsid w:val="55FC54B3"/>
    <w:rsid w:val="55FD29A9"/>
    <w:rsid w:val="5608571B"/>
    <w:rsid w:val="560F6C28"/>
    <w:rsid w:val="56121CE0"/>
    <w:rsid w:val="5612422B"/>
    <w:rsid w:val="56202B6F"/>
    <w:rsid w:val="56232F9F"/>
    <w:rsid w:val="563C494B"/>
    <w:rsid w:val="563F5C44"/>
    <w:rsid w:val="5640136D"/>
    <w:rsid w:val="564412C1"/>
    <w:rsid w:val="56444BCC"/>
    <w:rsid w:val="56470816"/>
    <w:rsid w:val="56473E8E"/>
    <w:rsid w:val="56487F15"/>
    <w:rsid w:val="565256C3"/>
    <w:rsid w:val="565D3D4B"/>
    <w:rsid w:val="56617140"/>
    <w:rsid w:val="56696B81"/>
    <w:rsid w:val="56732102"/>
    <w:rsid w:val="567445BB"/>
    <w:rsid w:val="5675052D"/>
    <w:rsid w:val="56790E35"/>
    <w:rsid w:val="567F7B22"/>
    <w:rsid w:val="567F7C77"/>
    <w:rsid w:val="5680531D"/>
    <w:rsid w:val="56852C26"/>
    <w:rsid w:val="568C10D7"/>
    <w:rsid w:val="568F04A5"/>
    <w:rsid w:val="56942F7A"/>
    <w:rsid w:val="56946698"/>
    <w:rsid w:val="569678DF"/>
    <w:rsid w:val="569702E1"/>
    <w:rsid w:val="5697795E"/>
    <w:rsid w:val="56995C02"/>
    <w:rsid w:val="569D2BEC"/>
    <w:rsid w:val="56A064F7"/>
    <w:rsid w:val="56A22106"/>
    <w:rsid w:val="56A5245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699E"/>
    <w:rsid w:val="56FC6675"/>
    <w:rsid w:val="56FF5E67"/>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3005E"/>
    <w:rsid w:val="577B3021"/>
    <w:rsid w:val="57820EF7"/>
    <w:rsid w:val="57830668"/>
    <w:rsid w:val="57865A32"/>
    <w:rsid w:val="57977CAB"/>
    <w:rsid w:val="579A3030"/>
    <w:rsid w:val="57A12BC9"/>
    <w:rsid w:val="57A16762"/>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D5624"/>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3ECC"/>
    <w:rsid w:val="586A2407"/>
    <w:rsid w:val="586B6A1C"/>
    <w:rsid w:val="58704C1B"/>
    <w:rsid w:val="587622C8"/>
    <w:rsid w:val="5885275F"/>
    <w:rsid w:val="58857C82"/>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704CF5"/>
    <w:rsid w:val="5B7070AA"/>
    <w:rsid w:val="5B755373"/>
    <w:rsid w:val="5B787B13"/>
    <w:rsid w:val="5B7B0CE9"/>
    <w:rsid w:val="5B7F43C9"/>
    <w:rsid w:val="5B9164E8"/>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2BDB"/>
    <w:rsid w:val="5C8A4A69"/>
    <w:rsid w:val="5C8B2632"/>
    <w:rsid w:val="5C8C72B9"/>
    <w:rsid w:val="5C923431"/>
    <w:rsid w:val="5C924704"/>
    <w:rsid w:val="5C9737BF"/>
    <w:rsid w:val="5C9A41C6"/>
    <w:rsid w:val="5CA2368E"/>
    <w:rsid w:val="5CA24161"/>
    <w:rsid w:val="5CA5217D"/>
    <w:rsid w:val="5CA62139"/>
    <w:rsid w:val="5CAA32E6"/>
    <w:rsid w:val="5CAD620E"/>
    <w:rsid w:val="5CB201BF"/>
    <w:rsid w:val="5CB95D93"/>
    <w:rsid w:val="5CB96ADB"/>
    <w:rsid w:val="5CC942F9"/>
    <w:rsid w:val="5CD32686"/>
    <w:rsid w:val="5CD51F28"/>
    <w:rsid w:val="5CD72BA7"/>
    <w:rsid w:val="5CDE2289"/>
    <w:rsid w:val="5CE17790"/>
    <w:rsid w:val="5CE9287D"/>
    <w:rsid w:val="5CEF4C91"/>
    <w:rsid w:val="5CEF5685"/>
    <w:rsid w:val="5CF307FF"/>
    <w:rsid w:val="5CF5329B"/>
    <w:rsid w:val="5CF73D08"/>
    <w:rsid w:val="5CFA001F"/>
    <w:rsid w:val="5D017473"/>
    <w:rsid w:val="5D043438"/>
    <w:rsid w:val="5D085365"/>
    <w:rsid w:val="5D0A7784"/>
    <w:rsid w:val="5D1A24E8"/>
    <w:rsid w:val="5D1B4614"/>
    <w:rsid w:val="5D20785F"/>
    <w:rsid w:val="5D247EA1"/>
    <w:rsid w:val="5D2539D5"/>
    <w:rsid w:val="5D317DA3"/>
    <w:rsid w:val="5D35652B"/>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A01D1"/>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3F6274"/>
    <w:rsid w:val="5E41105C"/>
    <w:rsid w:val="5E422BF5"/>
    <w:rsid w:val="5E42378E"/>
    <w:rsid w:val="5E4534F3"/>
    <w:rsid w:val="5E564EBD"/>
    <w:rsid w:val="5E597F73"/>
    <w:rsid w:val="5E5D77E4"/>
    <w:rsid w:val="5E686E28"/>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65DC6"/>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75F09"/>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6057A"/>
    <w:rsid w:val="60D811C3"/>
    <w:rsid w:val="60DC5D56"/>
    <w:rsid w:val="60E4104E"/>
    <w:rsid w:val="60E47405"/>
    <w:rsid w:val="60E73551"/>
    <w:rsid w:val="60E92E3A"/>
    <w:rsid w:val="60ED52AC"/>
    <w:rsid w:val="60EE5F3E"/>
    <w:rsid w:val="60F228D4"/>
    <w:rsid w:val="60F332BE"/>
    <w:rsid w:val="60F63624"/>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CC7466"/>
    <w:rsid w:val="61D46C85"/>
    <w:rsid w:val="61D85E7C"/>
    <w:rsid w:val="61DF0797"/>
    <w:rsid w:val="61E37AC9"/>
    <w:rsid w:val="61E51CD0"/>
    <w:rsid w:val="61EF3967"/>
    <w:rsid w:val="61F52115"/>
    <w:rsid w:val="61FA5AD2"/>
    <w:rsid w:val="61FE3D74"/>
    <w:rsid w:val="61FF00F5"/>
    <w:rsid w:val="61FF5576"/>
    <w:rsid w:val="620109FD"/>
    <w:rsid w:val="620375A6"/>
    <w:rsid w:val="620504B5"/>
    <w:rsid w:val="62102F09"/>
    <w:rsid w:val="6210305F"/>
    <w:rsid w:val="62145131"/>
    <w:rsid w:val="62152197"/>
    <w:rsid w:val="62165C57"/>
    <w:rsid w:val="621854A4"/>
    <w:rsid w:val="622B1153"/>
    <w:rsid w:val="622E4D31"/>
    <w:rsid w:val="622E4EAE"/>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C0F96"/>
    <w:rsid w:val="626C25CF"/>
    <w:rsid w:val="627F252A"/>
    <w:rsid w:val="62970423"/>
    <w:rsid w:val="629A7C20"/>
    <w:rsid w:val="62A035EB"/>
    <w:rsid w:val="62A706BB"/>
    <w:rsid w:val="62AC0AD7"/>
    <w:rsid w:val="62B64AD0"/>
    <w:rsid w:val="62BA0D83"/>
    <w:rsid w:val="62BC18A8"/>
    <w:rsid w:val="62C605B5"/>
    <w:rsid w:val="62C84E03"/>
    <w:rsid w:val="62CD364D"/>
    <w:rsid w:val="62CD56D5"/>
    <w:rsid w:val="62D1493F"/>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640A2"/>
    <w:rsid w:val="63C777E6"/>
    <w:rsid w:val="63C96324"/>
    <w:rsid w:val="63CD12A8"/>
    <w:rsid w:val="63D3632E"/>
    <w:rsid w:val="63D57455"/>
    <w:rsid w:val="63D929E2"/>
    <w:rsid w:val="63E01164"/>
    <w:rsid w:val="63E06651"/>
    <w:rsid w:val="63E139B9"/>
    <w:rsid w:val="63E4501D"/>
    <w:rsid w:val="63E54A38"/>
    <w:rsid w:val="63E93D67"/>
    <w:rsid w:val="63EC3AEC"/>
    <w:rsid w:val="63F76848"/>
    <w:rsid w:val="63F85A9B"/>
    <w:rsid w:val="64001A33"/>
    <w:rsid w:val="640C1105"/>
    <w:rsid w:val="64195D84"/>
    <w:rsid w:val="641B08E5"/>
    <w:rsid w:val="6426015E"/>
    <w:rsid w:val="642728C2"/>
    <w:rsid w:val="64345883"/>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5B398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41A9A"/>
    <w:rsid w:val="66872AAC"/>
    <w:rsid w:val="668A2A85"/>
    <w:rsid w:val="668D402C"/>
    <w:rsid w:val="669B10A8"/>
    <w:rsid w:val="66A63938"/>
    <w:rsid w:val="66AE7E8F"/>
    <w:rsid w:val="66B34162"/>
    <w:rsid w:val="66BB3DC1"/>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A6F9A"/>
    <w:rsid w:val="66EB394E"/>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B45A84"/>
    <w:rsid w:val="68B8099B"/>
    <w:rsid w:val="68BB31A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36041"/>
    <w:rsid w:val="690560BB"/>
    <w:rsid w:val="69096CB5"/>
    <w:rsid w:val="690D2948"/>
    <w:rsid w:val="69105448"/>
    <w:rsid w:val="691624E2"/>
    <w:rsid w:val="69177797"/>
    <w:rsid w:val="692D07CF"/>
    <w:rsid w:val="692E0CCE"/>
    <w:rsid w:val="692E3F36"/>
    <w:rsid w:val="694E40F2"/>
    <w:rsid w:val="695C3F11"/>
    <w:rsid w:val="69605A13"/>
    <w:rsid w:val="696137CB"/>
    <w:rsid w:val="69665305"/>
    <w:rsid w:val="696A32E2"/>
    <w:rsid w:val="696E3726"/>
    <w:rsid w:val="69764463"/>
    <w:rsid w:val="69767EE2"/>
    <w:rsid w:val="6977194D"/>
    <w:rsid w:val="69803EE1"/>
    <w:rsid w:val="69867CE5"/>
    <w:rsid w:val="69942BCD"/>
    <w:rsid w:val="6995481C"/>
    <w:rsid w:val="69960B52"/>
    <w:rsid w:val="69A02BB1"/>
    <w:rsid w:val="69A3350F"/>
    <w:rsid w:val="69AC19AE"/>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93403"/>
    <w:rsid w:val="6AE953E8"/>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70FC6"/>
    <w:rsid w:val="6BD11B3E"/>
    <w:rsid w:val="6BD70E02"/>
    <w:rsid w:val="6BD723FD"/>
    <w:rsid w:val="6BDB1AB6"/>
    <w:rsid w:val="6BE1766C"/>
    <w:rsid w:val="6BED5730"/>
    <w:rsid w:val="6BEE5EE7"/>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67A09"/>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24858"/>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77082"/>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70FB5"/>
    <w:rsid w:val="70275F85"/>
    <w:rsid w:val="7029337C"/>
    <w:rsid w:val="70302C79"/>
    <w:rsid w:val="703053A4"/>
    <w:rsid w:val="70334A4D"/>
    <w:rsid w:val="7034599D"/>
    <w:rsid w:val="7038628B"/>
    <w:rsid w:val="703C08C7"/>
    <w:rsid w:val="703D5758"/>
    <w:rsid w:val="704C48F4"/>
    <w:rsid w:val="704C67B8"/>
    <w:rsid w:val="704C6F96"/>
    <w:rsid w:val="706671F5"/>
    <w:rsid w:val="70670625"/>
    <w:rsid w:val="706B2718"/>
    <w:rsid w:val="706D16A4"/>
    <w:rsid w:val="706E2DE1"/>
    <w:rsid w:val="707F58E5"/>
    <w:rsid w:val="708321BD"/>
    <w:rsid w:val="70845DE4"/>
    <w:rsid w:val="70874FE1"/>
    <w:rsid w:val="708F1C95"/>
    <w:rsid w:val="70902C23"/>
    <w:rsid w:val="709330DF"/>
    <w:rsid w:val="70944AF4"/>
    <w:rsid w:val="70973BAC"/>
    <w:rsid w:val="7098424D"/>
    <w:rsid w:val="70A11AEC"/>
    <w:rsid w:val="70B052A0"/>
    <w:rsid w:val="70B52A63"/>
    <w:rsid w:val="70B948AB"/>
    <w:rsid w:val="70C13C77"/>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810A8"/>
    <w:rsid w:val="71C94AED"/>
    <w:rsid w:val="71CA2042"/>
    <w:rsid w:val="71CC112A"/>
    <w:rsid w:val="71D21CE8"/>
    <w:rsid w:val="71D32462"/>
    <w:rsid w:val="71D51D1A"/>
    <w:rsid w:val="71D51D95"/>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3F6A81"/>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83249"/>
    <w:rsid w:val="75C92157"/>
    <w:rsid w:val="75D13F0B"/>
    <w:rsid w:val="75D906A8"/>
    <w:rsid w:val="75DE2E31"/>
    <w:rsid w:val="75E07C20"/>
    <w:rsid w:val="75E73DA2"/>
    <w:rsid w:val="75E74749"/>
    <w:rsid w:val="75E7780C"/>
    <w:rsid w:val="75EA3C3A"/>
    <w:rsid w:val="75F07127"/>
    <w:rsid w:val="75F23E97"/>
    <w:rsid w:val="76024DF9"/>
    <w:rsid w:val="760641A9"/>
    <w:rsid w:val="761043B1"/>
    <w:rsid w:val="76130C61"/>
    <w:rsid w:val="762360B4"/>
    <w:rsid w:val="762652CD"/>
    <w:rsid w:val="76304F88"/>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C6195"/>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1957B8"/>
    <w:rsid w:val="7820399D"/>
    <w:rsid w:val="78215203"/>
    <w:rsid w:val="78255EDF"/>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348B3"/>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A7A08"/>
    <w:rsid w:val="79A13760"/>
    <w:rsid w:val="79AC63D3"/>
    <w:rsid w:val="79B231AF"/>
    <w:rsid w:val="79B27CF5"/>
    <w:rsid w:val="79B51C2B"/>
    <w:rsid w:val="79BA4E3F"/>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A19C7"/>
    <w:rsid w:val="7A3A5B7A"/>
    <w:rsid w:val="7A3C5267"/>
    <w:rsid w:val="7A3E5F13"/>
    <w:rsid w:val="7A4B4300"/>
    <w:rsid w:val="7A4F2534"/>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C4EFE"/>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B4A05"/>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B73D1"/>
    <w:rsid w:val="7F61049C"/>
    <w:rsid w:val="7F6745B0"/>
    <w:rsid w:val="7F687206"/>
    <w:rsid w:val="7F6D1A5A"/>
    <w:rsid w:val="7F6F6FC5"/>
    <w:rsid w:val="7F71467F"/>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DA6ECE"/>
    <w:rsid w:val="7FE11F93"/>
    <w:rsid w:val="7FE8509E"/>
    <w:rsid w:val="7FE909BC"/>
    <w:rsid w:val="7FE94C07"/>
    <w:rsid w:val="7FEE5111"/>
    <w:rsid w:val="7FF32CE5"/>
    <w:rsid w:val="7FFE5C82"/>
    <w:rsid w:val="7FFF5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7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80"/>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5">
    <w:name w:val="heading 4"/>
    <w:basedOn w:val="1"/>
    <w:next w:val="1"/>
    <w:link w:val="103"/>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6">
    <w:name w:val="heading 5"/>
    <w:basedOn w:val="1"/>
    <w:next w:val="1"/>
    <w:link w:val="118"/>
    <w:qFormat/>
    <w:uiPriority w:val="0"/>
    <w:pPr>
      <w:spacing w:before="200" w:after="80"/>
      <w:outlineLvl w:val="4"/>
    </w:pPr>
    <w:rPr>
      <w:rFonts w:ascii="Cambria" w:hAnsi="Cambria" w:eastAsia="宋体" w:cs="宋体"/>
      <w:color w:val="4F81BD"/>
    </w:rPr>
  </w:style>
  <w:style w:type="paragraph" w:styleId="7">
    <w:name w:val="heading 6"/>
    <w:basedOn w:val="1"/>
    <w:next w:val="1"/>
    <w:link w:val="100"/>
    <w:qFormat/>
    <w:uiPriority w:val="0"/>
    <w:pPr>
      <w:spacing w:before="280" w:after="100"/>
      <w:outlineLvl w:val="5"/>
    </w:pPr>
    <w:rPr>
      <w:rFonts w:ascii="Cambria" w:hAnsi="Cambria" w:eastAsia="宋体" w:cs="宋体"/>
      <w:i/>
      <w:iCs/>
      <w:color w:val="4F81BD"/>
    </w:rPr>
  </w:style>
  <w:style w:type="paragraph" w:styleId="8">
    <w:name w:val="heading 7"/>
    <w:basedOn w:val="1"/>
    <w:next w:val="1"/>
    <w:link w:val="110"/>
    <w:qFormat/>
    <w:uiPriority w:val="0"/>
    <w:pPr>
      <w:spacing w:before="320" w:after="100"/>
      <w:outlineLvl w:val="6"/>
    </w:pPr>
    <w:rPr>
      <w:rFonts w:ascii="Cambria" w:hAnsi="Cambria" w:eastAsia="宋体"/>
      <w:b/>
      <w:bCs/>
      <w:color w:val="9BBB59"/>
      <w:szCs w:val="20"/>
    </w:rPr>
  </w:style>
  <w:style w:type="paragraph" w:styleId="9">
    <w:name w:val="heading 8"/>
    <w:basedOn w:val="1"/>
    <w:next w:val="1"/>
    <w:link w:val="126"/>
    <w:qFormat/>
    <w:uiPriority w:val="0"/>
    <w:pPr>
      <w:spacing w:before="320" w:after="100"/>
      <w:outlineLvl w:val="7"/>
    </w:pPr>
    <w:rPr>
      <w:rFonts w:ascii="Cambria" w:hAnsi="Cambria" w:eastAsia="宋体"/>
      <w:b/>
      <w:bCs/>
      <w:i/>
      <w:iCs/>
      <w:color w:val="9BBB59"/>
      <w:szCs w:val="20"/>
    </w:rPr>
  </w:style>
  <w:style w:type="paragraph" w:styleId="10">
    <w:name w:val="heading 9"/>
    <w:basedOn w:val="1"/>
    <w:next w:val="1"/>
    <w:link w:val="90"/>
    <w:qFormat/>
    <w:uiPriority w:val="0"/>
    <w:pPr>
      <w:spacing w:before="320" w:after="100"/>
      <w:outlineLvl w:val="8"/>
    </w:pPr>
    <w:rPr>
      <w:rFonts w:ascii="Cambria" w:hAnsi="Cambria" w:eastAsia="宋体"/>
      <w:i/>
      <w:iCs/>
      <w:color w:val="9BBB59"/>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400" w:leftChars="400" w:hanging="200" w:hangingChars="200"/>
    </w:pPr>
  </w:style>
  <w:style w:type="paragraph" w:styleId="12">
    <w:name w:val="toc 7"/>
    <w:basedOn w:val="1"/>
    <w:next w:val="1"/>
    <w:qFormat/>
    <w:uiPriority w:val="0"/>
    <w:pPr>
      <w:ind w:left="1200" w:leftChars="1200"/>
    </w:pPr>
  </w:style>
  <w:style w:type="paragraph" w:styleId="13">
    <w:name w:val="List Number 2"/>
    <w:basedOn w:val="1"/>
    <w:qFormat/>
    <w:uiPriority w:val="0"/>
    <w:pPr>
      <w:widowControl/>
      <w:tabs>
        <w:tab w:val="left" w:pos="1680"/>
      </w:tabs>
      <w:ind w:left="1680" w:hanging="420"/>
      <w:jc w:val="left"/>
    </w:pPr>
    <w:rPr>
      <w:kern w:val="0"/>
      <w:sz w:val="24"/>
      <w:szCs w:val="20"/>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86"/>
    <w:qFormat/>
    <w:uiPriority w:val="0"/>
    <w:pPr>
      <w:ind w:firstLine="420"/>
    </w:pPr>
    <w:rPr>
      <w:rFonts w:eastAsia="宋体"/>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unhideWhenUsed/>
    <w:qFormat/>
    <w:uiPriority w:val="99"/>
    <w:pPr>
      <w:ind w:left="800" w:leftChars="800"/>
    </w:pPr>
  </w:style>
  <w:style w:type="paragraph" w:styleId="18">
    <w:name w:val="Document Map"/>
    <w:basedOn w:val="1"/>
    <w:link w:val="127"/>
    <w:qFormat/>
    <w:uiPriority w:val="0"/>
    <w:pPr>
      <w:shd w:val="clear" w:color="auto" w:fill="000080"/>
    </w:pPr>
    <w:rPr>
      <w:rFonts w:ascii="宋体" w:hAnsi="宋体" w:eastAsia="宋体"/>
    </w:rPr>
  </w:style>
  <w:style w:type="paragraph" w:styleId="19">
    <w:name w:val="annotation text"/>
    <w:basedOn w:val="1"/>
    <w:next w:val="15"/>
    <w:link w:val="128"/>
    <w:qFormat/>
    <w:uiPriority w:val="0"/>
    <w:pPr>
      <w:jc w:val="left"/>
    </w:pPr>
    <w:rPr>
      <w:rFonts w:ascii="宋体" w:hAnsi="宋体" w:eastAsia="宋体"/>
    </w:rPr>
  </w:style>
  <w:style w:type="paragraph" w:styleId="20">
    <w:name w:val="Body Text 3"/>
    <w:basedOn w:val="1"/>
    <w:qFormat/>
    <w:uiPriority w:val="0"/>
    <w:pPr>
      <w:snapToGrid w:val="0"/>
      <w:spacing w:before="50" w:after="50"/>
    </w:pPr>
    <w:rPr>
      <w:rFonts w:hAnsi="宋体" w:eastAsia="仿宋_GB2312"/>
      <w:b/>
      <w:bCs/>
      <w:sz w:val="24"/>
      <w:szCs w:val="20"/>
    </w:rPr>
  </w:style>
  <w:style w:type="paragraph" w:styleId="21">
    <w:name w:val="Body Text"/>
    <w:basedOn w:val="1"/>
    <w:link w:val="77"/>
    <w:qFormat/>
    <w:uiPriority w:val="0"/>
    <w:pPr>
      <w:spacing w:after="120"/>
    </w:pPr>
    <w:rPr>
      <w:rFonts w:ascii="宋体" w:hAnsi="宋体" w:eastAsia="宋体"/>
      <w:sz w:val="28"/>
    </w:rPr>
  </w:style>
  <w:style w:type="paragraph" w:styleId="22">
    <w:name w:val="Body Text Indent"/>
    <w:basedOn w:val="1"/>
    <w:next w:val="1"/>
    <w:link w:val="98"/>
    <w:qFormat/>
    <w:uiPriority w:val="0"/>
    <w:pPr>
      <w:spacing w:line="200" w:lineRule="exact"/>
      <w:ind w:firstLine="301"/>
    </w:pPr>
    <w:rPr>
      <w:rFonts w:ascii="宋体" w:hAnsi="Courier New" w:eastAsia="宋体"/>
      <w:spacing w:val="-4"/>
      <w:sz w:val="18"/>
      <w:szCs w:val="20"/>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Block Text"/>
    <w:basedOn w:val="1"/>
    <w:next w:val="19"/>
    <w:qFormat/>
    <w:uiPriority w:val="0"/>
    <w:pPr>
      <w:adjustRightInd w:val="0"/>
      <w:ind w:left="420" w:right="33"/>
      <w:jc w:val="left"/>
    </w:pPr>
    <w:rPr>
      <w:kern w:val="0"/>
      <w:sz w:val="24"/>
      <w:szCs w:val="20"/>
    </w:rPr>
  </w:style>
  <w:style w:type="paragraph" w:styleId="26">
    <w:name w:val="toc 5"/>
    <w:basedOn w:val="1"/>
    <w:next w:val="1"/>
    <w:qFormat/>
    <w:uiPriority w:val="0"/>
    <w:pPr>
      <w:ind w:left="800" w:leftChars="800"/>
    </w:pPr>
  </w:style>
  <w:style w:type="paragraph" w:styleId="27">
    <w:name w:val="toc 3"/>
    <w:basedOn w:val="1"/>
    <w:next w:val="1"/>
    <w:qFormat/>
    <w:uiPriority w:val="0"/>
    <w:pPr>
      <w:spacing w:line="400" w:lineRule="exact"/>
      <w:ind w:left="400" w:leftChars="400"/>
    </w:pPr>
    <w:rPr>
      <w:rFonts w:ascii="Arial" w:hAnsi="Arial"/>
    </w:rPr>
  </w:style>
  <w:style w:type="paragraph" w:styleId="28">
    <w:name w:val="Plain Text"/>
    <w:basedOn w:val="1"/>
    <w:next w:val="15"/>
    <w:link w:val="131"/>
    <w:qFormat/>
    <w:uiPriority w:val="0"/>
    <w:pPr>
      <w:spacing w:beforeLines="50" w:afterLines="50" w:line="400" w:lineRule="exact"/>
    </w:pPr>
    <w:rPr>
      <w:rFonts w:ascii="宋体" w:hAnsi="Courier New" w:eastAsia="宋体"/>
      <w:sz w:val="24"/>
    </w:rPr>
  </w:style>
  <w:style w:type="paragraph" w:styleId="29">
    <w:name w:val="List Bullet 5"/>
    <w:basedOn w:val="1"/>
    <w:next w:val="25"/>
    <w:qFormat/>
    <w:uiPriority w:val="0"/>
    <w:pPr>
      <w:numPr>
        <w:ilvl w:val="0"/>
        <w:numId w:val="3"/>
      </w:numPr>
    </w:pPr>
  </w:style>
  <w:style w:type="paragraph" w:styleId="30">
    <w:name w:val="List Number 4"/>
    <w:basedOn w:val="1"/>
    <w:qFormat/>
    <w:uiPriority w:val="0"/>
    <w:pPr>
      <w:widowControl/>
      <w:tabs>
        <w:tab w:val="left" w:pos="1531"/>
      </w:tabs>
      <w:ind w:left="1531" w:hanging="397"/>
      <w:jc w:val="left"/>
    </w:pPr>
    <w:rPr>
      <w:kern w:val="0"/>
      <w:sz w:val="24"/>
      <w:szCs w:val="20"/>
    </w:rPr>
  </w:style>
  <w:style w:type="paragraph" w:styleId="31">
    <w:name w:val="toc 8"/>
    <w:basedOn w:val="1"/>
    <w:next w:val="1"/>
    <w:qFormat/>
    <w:uiPriority w:val="0"/>
    <w:pPr>
      <w:ind w:left="1400" w:leftChars="1400"/>
    </w:pPr>
  </w:style>
  <w:style w:type="paragraph" w:styleId="32">
    <w:name w:val="Date"/>
    <w:basedOn w:val="1"/>
    <w:next w:val="1"/>
    <w:link w:val="102"/>
    <w:qFormat/>
    <w:uiPriority w:val="0"/>
    <w:pPr>
      <w:ind w:left="2500" w:leftChars="2500"/>
    </w:pPr>
    <w:rPr>
      <w:rFonts w:ascii="楷体_GB2312" w:eastAsia="楷体_GB2312"/>
      <w:sz w:val="32"/>
      <w:szCs w:val="20"/>
    </w:rPr>
  </w:style>
  <w:style w:type="paragraph" w:styleId="33">
    <w:name w:val="Body Text Indent 2"/>
    <w:basedOn w:val="1"/>
    <w:link w:val="81"/>
    <w:qFormat/>
    <w:uiPriority w:val="0"/>
    <w:pPr>
      <w:snapToGrid w:val="0"/>
      <w:ind w:firstLine="542" w:firstLineChars="225"/>
    </w:pPr>
    <w:rPr>
      <w:rFonts w:ascii="仿宋_GB2312" w:hAnsi="宋体" w:eastAsia="宋体" w:cs="Arial"/>
      <w:b/>
      <w:bCs/>
      <w:color w:val="000000"/>
      <w:sz w:val="24"/>
    </w:rPr>
  </w:style>
  <w:style w:type="paragraph" w:styleId="34">
    <w:name w:val="Balloon Text"/>
    <w:basedOn w:val="1"/>
    <w:next w:val="29"/>
    <w:link w:val="75"/>
    <w:qFormat/>
    <w:uiPriority w:val="0"/>
    <w:rPr>
      <w:rFonts w:ascii="宋体" w:hAnsi="宋体" w:eastAsia="宋体"/>
      <w:sz w:val="18"/>
      <w:szCs w:val="18"/>
    </w:rPr>
  </w:style>
  <w:style w:type="paragraph" w:styleId="35">
    <w:name w:val="footer"/>
    <w:basedOn w:val="1"/>
    <w:link w:val="91"/>
    <w:qFormat/>
    <w:uiPriority w:val="0"/>
    <w:pPr>
      <w:tabs>
        <w:tab w:val="center" w:pos="4153"/>
        <w:tab w:val="right" w:pos="8306"/>
      </w:tabs>
      <w:snapToGrid w:val="0"/>
      <w:jc w:val="left"/>
    </w:pPr>
    <w:rPr>
      <w:rFonts w:ascii="黑体" w:eastAsia="黑体"/>
      <w:snapToGrid w:val="0"/>
      <w:sz w:val="18"/>
      <w:szCs w:val="18"/>
    </w:rPr>
  </w:style>
  <w:style w:type="paragraph" w:styleId="36">
    <w:name w:val="envelope return"/>
    <w:basedOn w:val="1"/>
    <w:qFormat/>
    <w:uiPriority w:val="0"/>
    <w:pPr>
      <w:snapToGrid w:val="0"/>
    </w:pPr>
    <w:rPr>
      <w:rFonts w:ascii="Arial" w:hAnsi="Arial"/>
    </w:rPr>
  </w:style>
  <w:style w:type="paragraph" w:styleId="37">
    <w:name w:val="header"/>
    <w:basedOn w:val="1"/>
    <w:link w:val="115"/>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8">
    <w:name w:val="toc 1"/>
    <w:basedOn w:val="1"/>
    <w:next w:val="1"/>
    <w:qFormat/>
    <w:uiPriority w:val="0"/>
    <w:pPr>
      <w:tabs>
        <w:tab w:val="right" w:leader="dot" w:pos="8296"/>
      </w:tabs>
      <w:jc w:val="left"/>
    </w:pPr>
    <w:rPr>
      <w:rFonts w:ascii="宋体" w:hAnsi="宋体" w:eastAsia="宋体"/>
      <w:b/>
      <w:sz w:val="32"/>
    </w:rPr>
  </w:style>
  <w:style w:type="paragraph" w:styleId="39">
    <w:name w:val="toc 4"/>
    <w:basedOn w:val="1"/>
    <w:next w:val="1"/>
    <w:qFormat/>
    <w:uiPriority w:val="0"/>
    <w:pPr>
      <w:ind w:left="600" w:leftChars="600"/>
    </w:pPr>
  </w:style>
  <w:style w:type="paragraph" w:styleId="40">
    <w:name w:val="index heading"/>
    <w:basedOn w:val="1"/>
    <w:next w:val="34"/>
    <w:qFormat/>
    <w:uiPriority w:val="0"/>
    <w:rPr>
      <w:rFonts w:ascii="Arial" w:hAnsi="Arial" w:eastAsia="宋体" w:cs="Arial"/>
      <w:b/>
      <w:bCs/>
      <w:szCs w:val="22"/>
    </w:rPr>
  </w:style>
  <w:style w:type="paragraph" w:styleId="41">
    <w:name w:val="Subtitle"/>
    <w:basedOn w:val="1"/>
    <w:next w:val="1"/>
    <w:link w:val="133"/>
    <w:qFormat/>
    <w:uiPriority w:val="0"/>
    <w:pPr>
      <w:spacing w:before="200" w:after="900"/>
      <w:jc w:val="right"/>
    </w:pPr>
    <w:rPr>
      <w:rFonts w:ascii="宋体" w:hAnsi="宋体" w:eastAsia="宋体"/>
      <w:i/>
      <w:iCs/>
      <w:sz w:val="24"/>
    </w:rPr>
  </w:style>
  <w:style w:type="paragraph" w:styleId="42">
    <w:name w:val="List"/>
    <w:basedOn w:val="1"/>
    <w:next w:val="1"/>
    <w:qFormat/>
    <w:uiPriority w:val="0"/>
    <w:pPr>
      <w:ind w:left="200" w:hanging="200" w:hangingChars="200"/>
    </w:pPr>
    <w:rPr>
      <w:sz w:val="28"/>
    </w:rPr>
  </w:style>
  <w:style w:type="paragraph" w:styleId="43">
    <w:name w:val="toc 6"/>
    <w:basedOn w:val="1"/>
    <w:next w:val="1"/>
    <w:qFormat/>
    <w:uiPriority w:val="0"/>
    <w:pPr>
      <w:ind w:left="1000" w:leftChars="1000"/>
    </w:pPr>
  </w:style>
  <w:style w:type="paragraph" w:styleId="44">
    <w:name w:val="Body Text Indent 3"/>
    <w:basedOn w:val="1"/>
    <w:next w:val="40"/>
    <w:link w:val="92"/>
    <w:qFormat/>
    <w:uiPriority w:val="0"/>
    <w:pPr>
      <w:snapToGrid w:val="0"/>
      <w:ind w:firstLine="480" w:firstLineChars="200"/>
      <w:jc w:val="left"/>
    </w:pPr>
    <w:rPr>
      <w:rFonts w:ascii="仿宋_GB2312" w:hAnsi="宋体" w:eastAsia="仿宋_GB2312"/>
      <w:color w:val="000000"/>
      <w:sz w:val="24"/>
    </w:rPr>
  </w:style>
  <w:style w:type="paragraph" w:styleId="45">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6">
    <w:name w:val="toc 2"/>
    <w:basedOn w:val="1"/>
    <w:next w:val="1"/>
    <w:qFormat/>
    <w:uiPriority w:val="0"/>
    <w:pPr>
      <w:spacing w:line="400" w:lineRule="exact"/>
      <w:ind w:left="200" w:leftChars="200"/>
    </w:pPr>
    <w:rPr>
      <w:rFonts w:ascii="Arial" w:hAnsi="Arial"/>
    </w:rPr>
  </w:style>
  <w:style w:type="paragraph" w:styleId="47">
    <w:name w:val="toc 9"/>
    <w:basedOn w:val="1"/>
    <w:next w:val="1"/>
    <w:qFormat/>
    <w:uiPriority w:val="0"/>
    <w:pPr>
      <w:ind w:left="1600" w:leftChars="1600"/>
    </w:pPr>
  </w:style>
  <w:style w:type="paragraph" w:styleId="48">
    <w:name w:val="Body Text 2"/>
    <w:basedOn w:val="1"/>
    <w:link w:val="136"/>
    <w:qFormat/>
    <w:uiPriority w:val="0"/>
    <w:pPr>
      <w:widowControl/>
      <w:snapToGrid w:val="0"/>
      <w:spacing w:before="50" w:afterLines="50" w:line="400" w:lineRule="exact"/>
      <w:jc w:val="left"/>
    </w:pPr>
    <w:rPr>
      <w:rFonts w:ascii="宋体" w:hAnsi="宋体" w:eastAsia="宋体"/>
      <w:color w:val="000000"/>
      <w:sz w:val="24"/>
    </w:rPr>
  </w:style>
  <w:style w:type="paragraph" w:styleId="49">
    <w:name w:val="Normal (Web)"/>
    <w:basedOn w:val="1"/>
    <w:next w:val="46"/>
    <w:qFormat/>
    <w:uiPriority w:val="0"/>
    <w:pPr>
      <w:widowControl/>
      <w:spacing w:before="100" w:beforeAutospacing="1" w:after="100" w:afterAutospacing="1"/>
      <w:jc w:val="left"/>
    </w:pPr>
    <w:rPr>
      <w:rFonts w:ascii="宋体" w:hAnsi="宋体"/>
      <w:kern w:val="0"/>
      <w:sz w:val="24"/>
    </w:rPr>
  </w:style>
  <w:style w:type="paragraph" w:styleId="50">
    <w:name w:val="index 1"/>
    <w:basedOn w:val="1"/>
    <w:next w:val="1"/>
    <w:qFormat/>
    <w:uiPriority w:val="0"/>
    <w:pPr>
      <w:widowControl/>
      <w:spacing w:line="360" w:lineRule="auto"/>
      <w:jc w:val="center"/>
    </w:pPr>
    <w:rPr>
      <w:rFonts w:ascii="Arial" w:hAnsi="Arial" w:cs="Arial"/>
      <w:kern w:val="0"/>
      <w:sz w:val="24"/>
    </w:rPr>
  </w:style>
  <w:style w:type="paragraph" w:styleId="51">
    <w:name w:val="Title"/>
    <w:basedOn w:val="1"/>
    <w:next w:val="1"/>
    <w:link w:val="99"/>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2">
    <w:name w:val="annotation subject"/>
    <w:basedOn w:val="19"/>
    <w:next w:val="19"/>
    <w:link w:val="83"/>
    <w:qFormat/>
    <w:uiPriority w:val="0"/>
    <w:rPr>
      <w:b/>
      <w:bCs/>
    </w:rPr>
  </w:style>
  <w:style w:type="paragraph" w:styleId="53">
    <w:name w:val="Body Text First Indent"/>
    <w:basedOn w:val="21"/>
    <w:qFormat/>
    <w:uiPriority w:val="0"/>
    <w:pPr>
      <w:ind w:firstLine="420" w:firstLineChars="100"/>
    </w:pPr>
    <w:rPr>
      <w:sz w:val="21"/>
    </w:rPr>
  </w:style>
  <w:style w:type="paragraph" w:styleId="54">
    <w:name w:val="Body Text First Indent 2"/>
    <w:basedOn w:val="22"/>
    <w:next w:val="1"/>
    <w:qFormat/>
    <w:uiPriority w:val="0"/>
    <w:pPr>
      <w:ind w:firstLine="420" w:firstLineChars="200"/>
    </w:pPr>
    <w:rPr>
      <w:rFonts w:ascii="Times New Roman" w:hAnsi="Times New Roman"/>
    </w:rPr>
  </w:style>
  <w:style w:type="table" w:styleId="56">
    <w:name w:val="Table Grid"/>
    <w:basedOn w:val="5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Strong"/>
    <w:qFormat/>
    <w:uiPriority w:val="0"/>
    <w:rPr>
      <w:rFonts w:eastAsia="宋体"/>
      <w:b/>
      <w:bCs/>
      <w:spacing w:val="0"/>
      <w:kern w:val="2"/>
      <w:sz w:val="21"/>
      <w:lang w:val="en-US" w:eastAsia="zh-CN" w:bidi="ar-SA"/>
    </w:rPr>
  </w:style>
  <w:style w:type="character" w:styleId="59">
    <w:name w:val="page number"/>
    <w:basedOn w:val="57"/>
    <w:qFormat/>
    <w:uiPriority w:val="0"/>
  </w:style>
  <w:style w:type="character" w:styleId="60">
    <w:name w:val="FollowedHyperlink"/>
    <w:qFormat/>
    <w:uiPriority w:val="0"/>
    <w:rPr>
      <w:rFonts w:eastAsia="宋体"/>
      <w:color w:val="800080"/>
      <w:kern w:val="2"/>
      <w:sz w:val="21"/>
      <w:u w:val="single"/>
      <w:lang w:val="en-US" w:eastAsia="zh-CN" w:bidi="ar-SA"/>
    </w:rPr>
  </w:style>
  <w:style w:type="character" w:styleId="61">
    <w:name w:val="Emphasis"/>
    <w:qFormat/>
    <w:uiPriority w:val="0"/>
    <w:rPr>
      <w:b/>
      <w:bCs/>
      <w:i/>
      <w:iCs/>
      <w:color w:val="5A5A5A"/>
    </w:rPr>
  </w:style>
  <w:style w:type="character" w:styleId="62">
    <w:name w:val="Hyperlink"/>
    <w:qFormat/>
    <w:uiPriority w:val="0"/>
    <w:rPr>
      <w:rFonts w:eastAsia="宋体"/>
      <w:color w:val="0000FF"/>
      <w:kern w:val="2"/>
      <w:sz w:val="21"/>
      <w:u w:val="single"/>
      <w:lang w:val="en-US" w:eastAsia="zh-CN" w:bidi="ar-SA"/>
    </w:rPr>
  </w:style>
  <w:style w:type="character" w:styleId="63">
    <w:name w:val="annotation reference"/>
    <w:qFormat/>
    <w:uiPriority w:val="0"/>
    <w:rPr>
      <w:rFonts w:eastAsia="宋体"/>
      <w:kern w:val="2"/>
      <w:sz w:val="21"/>
      <w:szCs w:val="21"/>
      <w:lang w:val="en-US" w:eastAsia="zh-CN" w:bidi="ar-SA"/>
    </w:rPr>
  </w:style>
  <w:style w:type="paragraph" w:customStyle="1" w:styleId="64">
    <w:name w:val="Normal Indent1"/>
    <w:basedOn w:val="1"/>
    <w:qFormat/>
    <w:uiPriority w:val="0"/>
    <w:pPr>
      <w:ind w:firstLine="420" w:firstLineChars="200"/>
    </w:pPr>
    <w:rPr>
      <w:rFonts w:hint="eastAsia" w:ascii="Times New Roman" w:hAnsi="Times New Roman" w:eastAsia="宋体"/>
    </w:rPr>
  </w:style>
  <w:style w:type="paragraph" w:customStyle="1" w:styleId="6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样式 表格正文 + 两端对齐"/>
    <w:basedOn w:val="1"/>
    <w:next w:val="67"/>
    <w:qFormat/>
    <w:uiPriority w:val="0"/>
    <w:pPr>
      <w:spacing w:line="300" w:lineRule="auto"/>
    </w:pPr>
    <w:rPr>
      <w:sz w:val="24"/>
    </w:rPr>
  </w:style>
  <w:style w:type="paragraph" w:customStyle="1" w:styleId="67">
    <w:name w:val="正文1"/>
    <w:basedOn w:val="27"/>
    <w:next w:val="65"/>
    <w:qFormat/>
    <w:uiPriority w:val="0"/>
    <w:pPr>
      <w:adjustRightInd w:val="0"/>
      <w:spacing w:line="318" w:lineRule="atLeast"/>
      <w:ind w:left="369" w:firstLine="369"/>
      <w:textAlignment w:val="baseline"/>
    </w:pPr>
    <w:rPr>
      <w:rFonts w:ascii="宋体" w:hAnsi="Times New Roman" w:eastAsia="宋体" w:cs="Calibri"/>
    </w:rPr>
  </w:style>
  <w:style w:type="paragraph" w:customStyle="1" w:styleId="68">
    <w:name w:val="xl39"/>
    <w:basedOn w:val="1"/>
    <w:next w:val="69"/>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69">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70">
    <w:name w:val="样式 正文文本缩进 + 首行缩进:  2 字符 行距: 1.5 倍行距"/>
    <w:basedOn w:val="22"/>
    <w:qFormat/>
    <w:uiPriority w:val="0"/>
    <w:pPr>
      <w:spacing w:before="156" w:line="360" w:lineRule="auto"/>
      <w:ind w:firstLine="482" w:firstLineChars="200"/>
    </w:pPr>
    <w:rPr>
      <w:rFonts w:cs="宋体"/>
      <w:b/>
    </w:rPr>
  </w:style>
  <w:style w:type="character" w:customStyle="1" w:styleId="71">
    <w:name w:val="标题 2 Char"/>
    <w:link w:val="3"/>
    <w:qFormat/>
    <w:uiPriority w:val="0"/>
    <w:rPr>
      <w:rFonts w:ascii="Arial" w:hAnsi="Arial" w:eastAsia="黑体"/>
      <w:b/>
      <w:bCs/>
      <w:kern w:val="2"/>
      <w:sz w:val="32"/>
      <w:szCs w:val="32"/>
      <w:lang w:val="en-US" w:eastAsia="zh-CN" w:bidi="ar-SA"/>
    </w:rPr>
  </w:style>
  <w:style w:type="character" w:customStyle="1" w:styleId="72">
    <w:name w:val="无间隔 Char"/>
    <w:link w:val="73"/>
    <w:qFormat/>
    <w:uiPriority w:val="0"/>
    <w:rPr>
      <w:rFonts w:ascii="宋体" w:hAnsi="宋体" w:eastAsia="宋体"/>
      <w:kern w:val="2"/>
      <w:sz w:val="21"/>
      <w:szCs w:val="24"/>
      <w:lang w:val="en-US" w:eastAsia="zh-CN" w:bidi="ar-SA"/>
    </w:rPr>
  </w:style>
  <w:style w:type="paragraph" w:styleId="73">
    <w:name w:val="No Spacing"/>
    <w:basedOn w:val="1"/>
    <w:link w:val="72"/>
    <w:qFormat/>
    <w:uiPriority w:val="0"/>
    <w:rPr>
      <w:rFonts w:ascii="宋体" w:hAnsi="宋体" w:eastAsia="宋体"/>
    </w:rPr>
  </w:style>
  <w:style w:type="character" w:customStyle="1" w:styleId="74">
    <w:name w:val="标题 1 Char"/>
    <w:link w:val="2"/>
    <w:qFormat/>
    <w:uiPriority w:val="0"/>
    <w:rPr>
      <w:rFonts w:eastAsia="宋体"/>
      <w:b/>
      <w:bCs/>
      <w:kern w:val="44"/>
      <w:sz w:val="44"/>
      <w:szCs w:val="44"/>
      <w:lang w:val="en-US" w:eastAsia="zh-CN" w:bidi="ar-SA"/>
    </w:rPr>
  </w:style>
  <w:style w:type="character" w:customStyle="1" w:styleId="75">
    <w:name w:val="批注框文本 Char"/>
    <w:link w:val="34"/>
    <w:qFormat/>
    <w:uiPriority w:val="0"/>
    <w:rPr>
      <w:rFonts w:ascii="宋体" w:hAnsi="宋体" w:eastAsia="宋体"/>
      <w:kern w:val="2"/>
      <w:sz w:val="18"/>
      <w:szCs w:val="18"/>
      <w:lang w:val="en-US" w:eastAsia="zh-CN" w:bidi="ar-SA"/>
    </w:rPr>
  </w:style>
  <w:style w:type="character" w:customStyle="1" w:styleId="76">
    <w:name w:val="style5"/>
    <w:qFormat/>
    <w:uiPriority w:val="0"/>
    <w:rPr>
      <w:rFonts w:eastAsia="宋体"/>
      <w:kern w:val="2"/>
      <w:sz w:val="21"/>
      <w:lang w:val="en-US" w:eastAsia="zh-CN" w:bidi="ar-SA"/>
    </w:rPr>
  </w:style>
  <w:style w:type="character" w:customStyle="1" w:styleId="77">
    <w:name w:val="正文文本 Char"/>
    <w:link w:val="21"/>
    <w:qFormat/>
    <w:uiPriority w:val="0"/>
    <w:rPr>
      <w:rFonts w:ascii="宋体" w:hAnsi="宋体" w:eastAsia="宋体"/>
      <w:kern w:val="2"/>
      <w:sz w:val="28"/>
      <w:szCs w:val="24"/>
      <w:lang w:val="en-US" w:eastAsia="zh-CN" w:bidi="ar-SA"/>
    </w:rPr>
  </w:style>
  <w:style w:type="character" w:customStyle="1" w:styleId="78">
    <w:name w:val="明显参考1"/>
    <w:qFormat/>
    <w:uiPriority w:val="0"/>
    <w:rPr>
      <w:rFonts w:eastAsia="宋体"/>
      <w:b/>
      <w:bCs/>
      <w:color w:val="76923C"/>
      <w:kern w:val="2"/>
      <w:sz w:val="21"/>
      <w:u w:val="single" w:color="9BBB59"/>
      <w:lang w:val="en-US" w:eastAsia="zh-CN" w:bidi="ar-SA"/>
    </w:rPr>
  </w:style>
  <w:style w:type="character" w:customStyle="1" w:styleId="79">
    <w:name w:val="Char Char"/>
    <w:qFormat/>
    <w:uiPriority w:val="0"/>
    <w:rPr>
      <w:kern w:val="2"/>
      <w:sz w:val="24"/>
    </w:rPr>
  </w:style>
  <w:style w:type="character" w:customStyle="1" w:styleId="80">
    <w:name w:val="标题 3 Char"/>
    <w:link w:val="4"/>
    <w:qFormat/>
    <w:uiPriority w:val="0"/>
    <w:rPr>
      <w:rFonts w:ascii="宋体" w:eastAsia="宋体" w:cs="宋体"/>
      <w:b/>
      <w:kern w:val="2"/>
      <w:sz w:val="24"/>
      <w:u w:val="single"/>
      <w:lang w:val="en-US" w:eastAsia="zh-CN" w:bidi="ar-SA"/>
    </w:rPr>
  </w:style>
  <w:style w:type="character" w:customStyle="1" w:styleId="81">
    <w:name w:val="正文文本缩进 2 Char"/>
    <w:link w:val="33"/>
    <w:qFormat/>
    <w:uiPriority w:val="0"/>
    <w:rPr>
      <w:rFonts w:ascii="仿宋_GB2312" w:hAnsi="宋体" w:eastAsia="宋体" w:cs="Arial"/>
      <w:b/>
      <w:bCs/>
      <w:color w:val="000000"/>
      <w:kern w:val="2"/>
      <w:sz w:val="24"/>
      <w:szCs w:val="24"/>
      <w:lang w:val="en-US" w:eastAsia="zh-CN" w:bidi="ar-SA"/>
    </w:rPr>
  </w:style>
  <w:style w:type="character" w:customStyle="1" w:styleId="82">
    <w:name w:val="pro_name_title"/>
    <w:qFormat/>
    <w:uiPriority w:val="0"/>
    <w:rPr>
      <w:rFonts w:eastAsia="宋体"/>
      <w:kern w:val="2"/>
      <w:sz w:val="21"/>
      <w:lang w:val="en-US" w:eastAsia="zh-CN" w:bidi="ar-SA"/>
    </w:rPr>
  </w:style>
  <w:style w:type="character" w:customStyle="1" w:styleId="83">
    <w:name w:val="批注主题 Char"/>
    <w:link w:val="52"/>
    <w:qFormat/>
    <w:uiPriority w:val="0"/>
    <w:rPr>
      <w:rFonts w:ascii="宋体" w:hAnsi="宋体" w:eastAsia="宋体"/>
      <w:b/>
      <w:bCs/>
      <w:kern w:val="2"/>
      <w:sz w:val="21"/>
      <w:szCs w:val="24"/>
      <w:lang w:val="en-US" w:eastAsia="zh-CN" w:bidi="ar-SA"/>
    </w:rPr>
  </w:style>
  <w:style w:type="character" w:customStyle="1" w:styleId="84">
    <w:name w:val="chinaname1"/>
    <w:qFormat/>
    <w:uiPriority w:val="0"/>
    <w:rPr>
      <w:rFonts w:eastAsia="宋体"/>
      <w:kern w:val="2"/>
      <w:sz w:val="21"/>
      <w:lang w:val="en-US" w:eastAsia="zh-CN" w:bidi="ar-SA"/>
    </w:rPr>
  </w:style>
  <w:style w:type="character" w:customStyle="1" w:styleId="85">
    <w:name w:val="Char Char11"/>
    <w:qFormat/>
    <w:uiPriority w:val="0"/>
    <w:rPr>
      <w:rFonts w:ascii="宋体" w:hAnsi="Courier New" w:eastAsia="宋体"/>
      <w:spacing w:val="-4"/>
      <w:kern w:val="2"/>
      <w:sz w:val="18"/>
      <w:lang w:val="en-US" w:eastAsia="zh-CN" w:bidi="ar-SA"/>
    </w:rPr>
  </w:style>
  <w:style w:type="character" w:customStyle="1" w:styleId="86">
    <w:name w:val="正文缩进 Char"/>
    <w:link w:val="15"/>
    <w:qFormat/>
    <w:uiPriority w:val="0"/>
    <w:rPr>
      <w:rFonts w:eastAsia="宋体"/>
      <w:kern w:val="2"/>
      <w:sz w:val="21"/>
      <w:lang w:val="en-US" w:eastAsia="zh-CN" w:bidi="ar-SA"/>
    </w:rPr>
  </w:style>
  <w:style w:type="character" w:customStyle="1" w:styleId="87">
    <w:name w:val="small"/>
    <w:qFormat/>
    <w:uiPriority w:val="0"/>
    <w:rPr>
      <w:rFonts w:eastAsia="宋体"/>
      <w:kern w:val="2"/>
      <w:sz w:val="21"/>
      <w:lang w:val="en-US" w:eastAsia="zh-CN" w:bidi="ar-SA"/>
    </w:rPr>
  </w:style>
  <w:style w:type="character" w:customStyle="1" w:styleId="88">
    <w:name w:val="wordbreaknormal"/>
    <w:qFormat/>
    <w:uiPriority w:val="0"/>
    <w:rPr>
      <w:rFonts w:eastAsia="宋体"/>
      <w:kern w:val="2"/>
      <w:sz w:val="21"/>
      <w:lang w:val="en-US" w:eastAsia="zh-CN" w:bidi="ar-SA"/>
    </w:rPr>
  </w:style>
  <w:style w:type="character" w:customStyle="1" w:styleId="89">
    <w:name w:val="font11"/>
    <w:qFormat/>
    <w:uiPriority w:val="0"/>
    <w:rPr>
      <w:rFonts w:hint="default" w:ascii="Times New Roman" w:hAnsi="Times New Roman" w:cs="Times New Roman"/>
      <w:color w:val="000000"/>
      <w:sz w:val="22"/>
      <w:szCs w:val="22"/>
      <w:u w:val="none"/>
    </w:rPr>
  </w:style>
  <w:style w:type="character" w:customStyle="1" w:styleId="90">
    <w:name w:val="标题 9 Char"/>
    <w:link w:val="10"/>
    <w:qFormat/>
    <w:uiPriority w:val="0"/>
    <w:rPr>
      <w:rFonts w:ascii="Cambria" w:hAnsi="Cambria" w:eastAsia="宋体"/>
      <w:i/>
      <w:iCs/>
      <w:color w:val="9BBB59"/>
      <w:kern w:val="2"/>
      <w:sz w:val="21"/>
      <w:lang w:val="en-US" w:eastAsia="zh-CN" w:bidi="ar-SA"/>
    </w:rPr>
  </w:style>
  <w:style w:type="character" w:customStyle="1" w:styleId="91">
    <w:name w:val="页脚 Char"/>
    <w:link w:val="35"/>
    <w:qFormat/>
    <w:uiPriority w:val="0"/>
    <w:rPr>
      <w:rFonts w:ascii="黑体" w:eastAsia="黑体"/>
      <w:snapToGrid w:val="0"/>
      <w:kern w:val="2"/>
      <w:sz w:val="18"/>
      <w:szCs w:val="18"/>
      <w:lang w:val="en-US" w:eastAsia="zh-CN" w:bidi="ar-SA"/>
    </w:rPr>
  </w:style>
  <w:style w:type="character" w:customStyle="1" w:styleId="92">
    <w:name w:val="正文文本缩进 3 Char"/>
    <w:link w:val="44"/>
    <w:qFormat/>
    <w:uiPriority w:val="0"/>
    <w:rPr>
      <w:rFonts w:ascii="仿宋_GB2312" w:hAnsi="宋体" w:eastAsia="仿宋_GB2312"/>
      <w:color w:val="000000"/>
      <w:kern w:val="2"/>
      <w:sz w:val="24"/>
      <w:szCs w:val="24"/>
      <w:lang w:val="en-US" w:eastAsia="zh-CN" w:bidi="ar-SA"/>
    </w:rPr>
  </w:style>
  <w:style w:type="character" w:customStyle="1" w:styleId="93">
    <w:name w:val="h Char Char"/>
    <w:qFormat/>
    <w:uiPriority w:val="0"/>
    <w:rPr>
      <w:rFonts w:ascii="Calibri" w:hAnsi="Calibri" w:eastAsia="宋体" w:cs="Times New Roman"/>
      <w:sz w:val="18"/>
      <w:szCs w:val="18"/>
    </w:rPr>
  </w:style>
  <w:style w:type="character" w:customStyle="1" w:styleId="94">
    <w:name w:val="font01"/>
    <w:qFormat/>
    <w:uiPriority w:val="0"/>
    <w:rPr>
      <w:rFonts w:hint="eastAsia" w:ascii="宋体" w:hAnsi="宋体" w:eastAsia="宋体" w:cs="宋体"/>
      <w:color w:val="000000"/>
      <w:sz w:val="22"/>
      <w:szCs w:val="22"/>
      <w:u w:val="none"/>
    </w:rPr>
  </w:style>
  <w:style w:type="character" w:customStyle="1" w:styleId="95">
    <w:name w:val="lineheigh201"/>
    <w:qFormat/>
    <w:uiPriority w:val="0"/>
    <w:rPr>
      <w:rFonts w:eastAsia="宋体"/>
      <w:kern w:val="2"/>
      <w:sz w:val="21"/>
      <w:lang w:val="en-US" w:eastAsia="zh-CN" w:bidi="ar-SA"/>
    </w:rPr>
  </w:style>
  <w:style w:type="character" w:customStyle="1" w:styleId="96">
    <w:name w:val="kleintab"/>
    <w:qFormat/>
    <w:uiPriority w:val="0"/>
    <w:rPr>
      <w:rFonts w:eastAsia="宋体"/>
      <w:kern w:val="2"/>
      <w:sz w:val="21"/>
      <w:lang w:val="en-US" w:eastAsia="zh-CN" w:bidi="ar-SA"/>
    </w:rPr>
  </w:style>
  <w:style w:type="character" w:customStyle="1" w:styleId="97">
    <w:name w:val="font31"/>
    <w:qFormat/>
    <w:uiPriority w:val="0"/>
    <w:rPr>
      <w:rFonts w:hint="default" w:ascii="Times New Roman" w:hAnsi="Times New Roman" w:cs="Times New Roman"/>
      <w:color w:val="000000"/>
      <w:sz w:val="22"/>
      <w:szCs w:val="22"/>
      <w:u w:val="none"/>
    </w:rPr>
  </w:style>
  <w:style w:type="character" w:customStyle="1" w:styleId="98">
    <w:name w:val="正文文本缩进 Char"/>
    <w:link w:val="22"/>
    <w:qFormat/>
    <w:uiPriority w:val="0"/>
    <w:rPr>
      <w:rFonts w:ascii="宋体" w:hAnsi="Courier New" w:eastAsia="宋体"/>
      <w:spacing w:val="-4"/>
      <w:kern w:val="2"/>
      <w:sz w:val="18"/>
      <w:lang w:val="en-US" w:eastAsia="zh-CN" w:bidi="ar-SA"/>
    </w:rPr>
  </w:style>
  <w:style w:type="character" w:customStyle="1" w:styleId="99">
    <w:name w:val="标题 Char"/>
    <w:link w:val="51"/>
    <w:qFormat/>
    <w:uiPriority w:val="0"/>
    <w:rPr>
      <w:rFonts w:ascii="宋体" w:hAnsi="Courier New" w:eastAsia="宋体" w:cs="Courier New"/>
      <w:kern w:val="2"/>
      <w:sz w:val="21"/>
      <w:szCs w:val="21"/>
      <w:lang w:val="en-US" w:eastAsia="zh-CN" w:bidi="ar-SA"/>
    </w:rPr>
  </w:style>
  <w:style w:type="character" w:customStyle="1" w:styleId="100">
    <w:name w:val="标题 6 Char"/>
    <w:link w:val="7"/>
    <w:qFormat/>
    <w:uiPriority w:val="0"/>
    <w:rPr>
      <w:rFonts w:ascii="Cambria" w:hAnsi="Cambria" w:eastAsia="宋体" w:cs="宋体"/>
      <w:i/>
      <w:iCs/>
      <w:color w:val="4F81BD"/>
      <w:kern w:val="2"/>
      <w:sz w:val="21"/>
      <w:szCs w:val="24"/>
      <w:lang w:val="en-US" w:eastAsia="zh-CN" w:bidi="ar-SA"/>
    </w:rPr>
  </w:style>
  <w:style w:type="character" w:customStyle="1" w:styleId="101">
    <w:name w:val="style42"/>
    <w:qFormat/>
    <w:uiPriority w:val="0"/>
    <w:rPr>
      <w:color w:val="000000"/>
    </w:rPr>
  </w:style>
  <w:style w:type="character" w:customStyle="1" w:styleId="102">
    <w:name w:val="日期 Char"/>
    <w:link w:val="32"/>
    <w:qFormat/>
    <w:uiPriority w:val="0"/>
    <w:rPr>
      <w:rFonts w:ascii="楷体_GB2312" w:eastAsia="楷体_GB2312"/>
      <w:kern w:val="2"/>
      <w:sz w:val="32"/>
      <w:lang w:val="en-US" w:eastAsia="zh-CN" w:bidi="ar-SA"/>
    </w:rPr>
  </w:style>
  <w:style w:type="character" w:customStyle="1" w:styleId="103">
    <w:name w:val="标题 4 Char"/>
    <w:link w:val="5"/>
    <w:qFormat/>
    <w:uiPriority w:val="0"/>
    <w:rPr>
      <w:rFonts w:ascii="Cambria" w:hAnsi="Cambria" w:eastAsia="宋体" w:cs="宋体"/>
      <w:i/>
      <w:iCs/>
      <w:color w:val="4F81BD"/>
      <w:kern w:val="2"/>
      <w:sz w:val="24"/>
      <w:szCs w:val="24"/>
      <w:lang w:val="en-US" w:eastAsia="zh-CN" w:bidi="ar-SA"/>
    </w:rPr>
  </w:style>
  <w:style w:type="character" w:customStyle="1" w:styleId="104">
    <w:name w:val="内文 Char Char"/>
    <w:link w:val="105"/>
    <w:qFormat/>
    <w:uiPriority w:val="0"/>
    <w:rPr>
      <w:rFonts w:ascii="Arial" w:hAnsi="Arial" w:cs="Arial"/>
      <w:kern w:val="2"/>
      <w:sz w:val="21"/>
      <w:szCs w:val="22"/>
      <w:lang w:val="en-US" w:eastAsia="zh-CN" w:bidi="ar-SA"/>
    </w:rPr>
  </w:style>
  <w:style w:type="paragraph" w:customStyle="1" w:styleId="105">
    <w:name w:val="内文"/>
    <w:link w:val="104"/>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106">
    <w:name w:val="shouchang1"/>
    <w:qFormat/>
    <w:uiPriority w:val="0"/>
    <w:rPr>
      <w:rFonts w:eastAsia="宋体"/>
      <w:color w:val="000000"/>
      <w:kern w:val="2"/>
      <w:sz w:val="12"/>
      <w:szCs w:val="12"/>
      <w:u w:val="none"/>
      <w:lang w:val="en-US" w:eastAsia="zh-CN" w:bidi="ar-SA"/>
    </w:rPr>
  </w:style>
  <w:style w:type="character" w:customStyle="1" w:styleId="107">
    <w:name w:val="H3 Char"/>
    <w:qFormat/>
    <w:uiPriority w:val="0"/>
    <w:rPr>
      <w:rFonts w:hint="default" w:ascii="Arial" w:hAnsi="Arial" w:eastAsia="宋体" w:cs="Arial"/>
      <w:b/>
      <w:kern w:val="2"/>
      <w:sz w:val="21"/>
      <w:lang w:val="en-US" w:eastAsia="zh-CN" w:bidi="ar-SA"/>
    </w:rPr>
  </w:style>
  <w:style w:type="character" w:customStyle="1" w:styleId="108">
    <w:name w:val="huei12b"/>
    <w:qFormat/>
    <w:uiPriority w:val="0"/>
    <w:rPr>
      <w:rFonts w:eastAsia="宋体"/>
      <w:kern w:val="2"/>
      <w:sz w:val="21"/>
      <w:lang w:val="en-US" w:eastAsia="zh-CN" w:bidi="ar-SA"/>
    </w:rPr>
  </w:style>
  <w:style w:type="character" w:customStyle="1" w:styleId="109">
    <w:name w:val="个人答复风格"/>
    <w:qFormat/>
    <w:uiPriority w:val="0"/>
    <w:rPr>
      <w:rFonts w:hint="default" w:ascii="Arial" w:hAnsi="Arial" w:eastAsia="宋体" w:cs="Arial"/>
      <w:color w:val="auto"/>
      <w:kern w:val="2"/>
      <w:sz w:val="20"/>
      <w:lang w:val="en-US" w:eastAsia="zh-CN" w:bidi="ar-SA"/>
    </w:rPr>
  </w:style>
  <w:style w:type="character" w:customStyle="1" w:styleId="110">
    <w:name w:val="标题 7 Char"/>
    <w:link w:val="8"/>
    <w:qFormat/>
    <w:uiPriority w:val="0"/>
    <w:rPr>
      <w:rFonts w:ascii="Cambria" w:hAnsi="Cambria" w:eastAsia="宋体"/>
      <w:b/>
      <w:bCs/>
      <w:color w:val="9BBB59"/>
      <w:kern w:val="2"/>
      <w:sz w:val="21"/>
      <w:lang w:val="en-US" w:eastAsia="zh-CN" w:bidi="ar-SA"/>
    </w:rPr>
  </w:style>
  <w:style w:type="character" w:customStyle="1" w:styleId="111">
    <w:name w:val="不明显参考1"/>
    <w:qFormat/>
    <w:uiPriority w:val="0"/>
    <w:rPr>
      <w:color w:val="auto"/>
      <w:u w:val="single" w:color="9BBB59"/>
    </w:rPr>
  </w:style>
  <w:style w:type="character" w:customStyle="1" w:styleId="112">
    <w:name w:val="明显引用 Char"/>
    <w:link w:val="113"/>
    <w:qFormat/>
    <w:uiPriority w:val="0"/>
    <w:rPr>
      <w:rFonts w:ascii="Cambria" w:hAnsi="Cambria" w:eastAsia="宋体"/>
      <w:i/>
      <w:iCs/>
      <w:color w:val="FFFFFF"/>
      <w:kern w:val="2"/>
      <w:sz w:val="24"/>
      <w:szCs w:val="24"/>
      <w:lang w:val="en-US" w:eastAsia="zh-CN" w:bidi="ar-SA"/>
    </w:rPr>
  </w:style>
  <w:style w:type="paragraph" w:styleId="113">
    <w:name w:val="Intense Quote"/>
    <w:basedOn w:val="1"/>
    <w:next w:val="1"/>
    <w:link w:val="11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14">
    <w:name w:val="书籍标题1"/>
    <w:qFormat/>
    <w:uiPriority w:val="0"/>
    <w:rPr>
      <w:rFonts w:hint="default" w:ascii="Cambria" w:hAnsi="Cambria" w:eastAsia="宋体" w:cs="Times New Roman"/>
      <w:b/>
      <w:bCs/>
      <w:i/>
      <w:iCs/>
      <w:color w:val="auto"/>
      <w:kern w:val="2"/>
      <w:sz w:val="21"/>
      <w:lang w:val="en-US" w:eastAsia="zh-CN" w:bidi="ar-SA"/>
    </w:rPr>
  </w:style>
  <w:style w:type="character" w:customStyle="1" w:styleId="115">
    <w:name w:val="页眉 Char"/>
    <w:link w:val="37"/>
    <w:qFormat/>
    <w:uiPriority w:val="0"/>
    <w:rPr>
      <w:rFonts w:ascii="仿宋_GB2312" w:eastAsia="仿宋_GB2312"/>
      <w:kern w:val="2"/>
      <w:sz w:val="18"/>
      <w:lang w:val="en-US" w:eastAsia="zh-CN" w:bidi="ar-SA"/>
    </w:rPr>
  </w:style>
  <w:style w:type="character" w:customStyle="1" w:styleId="116">
    <w:name w:val="font21"/>
    <w:qFormat/>
    <w:uiPriority w:val="0"/>
    <w:rPr>
      <w:rFonts w:hint="default" w:ascii="Times New Roman" w:hAnsi="Times New Roman" w:cs="Times New Roman"/>
      <w:color w:val="000000"/>
      <w:sz w:val="22"/>
      <w:szCs w:val="22"/>
      <w:u w:val="none"/>
    </w:rPr>
  </w:style>
  <w:style w:type="character" w:customStyle="1" w:styleId="117">
    <w:name w:val="unnamed51"/>
    <w:qFormat/>
    <w:uiPriority w:val="0"/>
    <w:rPr>
      <w:rFonts w:eastAsia="宋体"/>
      <w:kern w:val="2"/>
      <w:sz w:val="22"/>
      <w:szCs w:val="22"/>
      <w:lang w:val="en-US" w:eastAsia="zh-CN" w:bidi="ar-SA"/>
    </w:rPr>
  </w:style>
  <w:style w:type="character" w:customStyle="1" w:styleId="118">
    <w:name w:val="标题 5 Char"/>
    <w:link w:val="6"/>
    <w:qFormat/>
    <w:uiPriority w:val="0"/>
    <w:rPr>
      <w:rFonts w:ascii="Cambria" w:hAnsi="Cambria" w:eastAsia="宋体" w:cs="宋体"/>
      <w:color w:val="4F81BD"/>
      <w:kern w:val="2"/>
      <w:sz w:val="21"/>
      <w:szCs w:val="24"/>
      <w:lang w:val="en-US" w:eastAsia="zh-CN" w:bidi="ar-SA"/>
    </w:rPr>
  </w:style>
  <w:style w:type="character" w:customStyle="1" w:styleId="119">
    <w:name w:val="Char Char12"/>
    <w:qFormat/>
    <w:uiPriority w:val="0"/>
    <w:rPr>
      <w:rFonts w:eastAsia="黑体"/>
      <w:snapToGrid w:val="0"/>
      <w:sz w:val="18"/>
      <w:szCs w:val="18"/>
      <w:lang w:val="en-US" w:eastAsia="zh-CN" w:bidi="ar-SA"/>
    </w:rPr>
  </w:style>
  <w:style w:type="character" w:customStyle="1" w:styleId="120">
    <w:name w:val="p1481"/>
    <w:qFormat/>
    <w:uiPriority w:val="0"/>
    <w:rPr>
      <w:rFonts w:eastAsia="宋体"/>
      <w:kern w:val="2"/>
      <w:sz w:val="21"/>
      <w:lang w:val="en-US" w:eastAsia="zh-CN" w:bidi="ar-SA"/>
    </w:rPr>
  </w:style>
  <w:style w:type="character" w:customStyle="1" w:styleId="121">
    <w:name w:val="fl b titlelinkcolor titlename"/>
    <w:qFormat/>
    <w:uiPriority w:val="0"/>
    <w:rPr>
      <w:rFonts w:eastAsia="宋体"/>
      <w:kern w:val="2"/>
      <w:sz w:val="21"/>
      <w:lang w:val="en-US" w:eastAsia="zh-CN" w:bidi="ar-SA"/>
    </w:rPr>
  </w:style>
  <w:style w:type="character" w:customStyle="1" w:styleId="122">
    <w:name w:val="e"/>
    <w:qFormat/>
    <w:uiPriority w:val="0"/>
    <w:rPr>
      <w:rFonts w:eastAsia="宋体"/>
      <w:kern w:val="2"/>
      <w:sz w:val="21"/>
      <w:lang w:val="en-US" w:eastAsia="zh-CN" w:bidi="ar-SA"/>
    </w:rPr>
  </w:style>
  <w:style w:type="character" w:customStyle="1" w:styleId="123">
    <w:name w:val="明显强调1"/>
    <w:qFormat/>
    <w:uiPriority w:val="0"/>
    <w:rPr>
      <w:b/>
      <w:bCs/>
      <w:i/>
      <w:iCs/>
      <w:color w:val="4F81BD"/>
      <w:sz w:val="22"/>
      <w:szCs w:val="22"/>
    </w:rPr>
  </w:style>
  <w:style w:type="character" w:customStyle="1" w:styleId="124">
    <w:name w:val="引用 Char"/>
    <w:link w:val="125"/>
    <w:qFormat/>
    <w:uiPriority w:val="0"/>
    <w:rPr>
      <w:rFonts w:ascii="Cambria" w:hAnsi="Cambria" w:eastAsia="宋体"/>
      <w:i/>
      <w:iCs/>
      <w:color w:val="5A5A5A"/>
      <w:kern w:val="2"/>
      <w:sz w:val="21"/>
      <w:szCs w:val="24"/>
      <w:lang w:val="en-US" w:eastAsia="zh-CN" w:bidi="ar-SA"/>
    </w:rPr>
  </w:style>
  <w:style w:type="paragraph" w:styleId="125">
    <w:name w:val="Quote"/>
    <w:basedOn w:val="1"/>
    <w:next w:val="1"/>
    <w:link w:val="124"/>
    <w:qFormat/>
    <w:uiPriority w:val="0"/>
    <w:rPr>
      <w:rFonts w:ascii="Cambria" w:hAnsi="Cambria" w:eastAsia="宋体"/>
      <w:i/>
      <w:iCs/>
      <w:color w:val="5A5A5A"/>
    </w:rPr>
  </w:style>
  <w:style w:type="character" w:customStyle="1" w:styleId="126">
    <w:name w:val="标题 8 Char"/>
    <w:link w:val="9"/>
    <w:qFormat/>
    <w:uiPriority w:val="0"/>
    <w:rPr>
      <w:rFonts w:ascii="Cambria" w:hAnsi="Cambria" w:eastAsia="宋体"/>
      <w:b/>
      <w:bCs/>
      <w:i/>
      <w:iCs/>
      <w:color w:val="9BBB59"/>
      <w:kern w:val="2"/>
      <w:sz w:val="21"/>
      <w:lang w:val="en-US" w:eastAsia="zh-CN" w:bidi="ar-SA"/>
    </w:rPr>
  </w:style>
  <w:style w:type="character" w:customStyle="1" w:styleId="127">
    <w:name w:val="文档结构图 Char"/>
    <w:link w:val="18"/>
    <w:qFormat/>
    <w:uiPriority w:val="0"/>
    <w:rPr>
      <w:rFonts w:ascii="宋体" w:hAnsi="宋体" w:eastAsia="宋体"/>
      <w:kern w:val="2"/>
      <w:sz w:val="21"/>
      <w:szCs w:val="24"/>
      <w:lang w:val="en-US" w:eastAsia="zh-CN" w:bidi="ar-SA"/>
    </w:rPr>
  </w:style>
  <w:style w:type="character" w:customStyle="1" w:styleId="128">
    <w:name w:val="批注文字 Char"/>
    <w:link w:val="19"/>
    <w:qFormat/>
    <w:uiPriority w:val="0"/>
    <w:rPr>
      <w:rFonts w:ascii="宋体" w:hAnsi="宋体" w:eastAsia="宋体"/>
      <w:kern w:val="2"/>
      <w:sz w:val="21"/>
      <w:szCs w:val="24"/>
      <w:lang w:val="en-US" w:eastAsia="zh-CN" w:bidi="ar-SA"/>
    </w:rPr>
  </w:style>
  <w:style w:type="character" w:customStyle="1" w:styleId="129">
    <w:name w:val="个人撰写风格"/>
    <w:qFormat/>
    <w:uiPriority w:val="0"/>
    <w:rPr>
      <w:rFonts w:hint="default" w:ascii="Arial" w:hAnsi="Arial" w:eastAsia="宋体" w:cs="Arial"/>
      <w:color w:val="auto"/>
      <w:kern w:val="2"/>
      <w:sz w:val="20"/>
      <w:lang w:val="en-US" w:eastAsia="zh-CN" w:bidi="ar-SA"/>
    </w:rPr>
  </w:style>
  <w:style w:type="character" w:customStyle="1" w:styleId="130">
    <w:name w:val="font41"/>
    <w:qFormat/>
    <w:uiPriority w:val="0"/>
    <w:rPr>
      <w:rFonts w:hint="default" w:ascii="Times New Roman" w:hAnsi="Times New Roman" w:cs="Times New Roman"/>
      <w:color w:val="000000"/>
      <w:sz w:val="22"/>
      <w:szCs w:val="22"/>
      <w:u w:val="none"/>
    </w:rPr>
  </w:style>
  <w:style w:type="character" w:customStyle="1" w:styleId="131">
    <w:name w:val="纯文本 Char"/>
    <w:link w:val="28"/>
    <w:qFormat/>
    <w:uiPriority w:val="0"/>
    <w:rPr>
      <w:rFonts w:ascii="宋体" w:hAnsi="Courier New" w:eastAsia="宋体"/>
      <w:kern w:val="2"/>
      <w:sz w:val="24"/>
      <w:szCs w:val="24"/>
      <w:lang w:val="en-US" w:eastAsia="zh-CN" w:bidi="ar-SA"/>
    </w:rPr>
  </w:style>
  <w:style w:type="character" w:customStyle="1" w:styleId="132">
    <w:name w:val="style261"/>
    <w:qFormat/>
    <w:uiPriority w:val="0"/>
    <w:rPr>
      <w:rFonts w:eastAsia="宋体"/>
      <w:color w:val="FFFFFF"/>
      <w:kern w:val="2"/>
      <w:sz w:val="21"/>
      <w:lang w:val="en-US" w:eastAsia="zh-CN" w:bidi="ar-SA"/>
    </w:rPr>
  </w:style>
  <w:style w:type="character" w:customStyle="1" w:styleId="133">
    <w:name w:val="副标题 Char"/>
    <w:link w:val="41"/>
    <w:qFormat/>
    <w:uiPriority w:val="0"/>
    <w:rPr>
      <w:rFonts w:ascii="宋体" w:hAnsi="宋体" w:eastAsia="宋体"/>
      <w:i/>
      <w:iCs/>
      <w:kern w:val="2"/>
      <w:sz w:val="24"/>
      <w:szCs w:val="24"/>
      <w:lang w:val="en-US" w:eastAsia="zh-CN" w:bidi="ar-SA"/>
    </w:rPr>
  </w:style>
  <w:style w:type="character" w:customStyle="1" w:styleId="134">
    <w:name w:val="style1"/>
    <w:qFormat/>
    <w:uiPriority w:val="0"/>
    <w:rPr>
      <w:rFonts w:eastAsia="宋体"/>
      <w:kern w:val="2"/>
      <w:sz w:val="21"/>
      <w:lang w:val="en-US" w:eastAsia="zh-CN" w:bidi="ar-SA"/>
    </w:rPr>
  </w:style>
  <w:style w:type="character" w:customStyle="1" w:styleId="135">
    <w:name w:val="unnamed31"/>
    <w:qFormat/>
    <w:uiPriority w:val="0"/>
    <w:rPr>
      <w:rFonts w:hint="eastAsia" w:ascii="宋体" w:hAnsi="宋体" w:eastAsia="宋体"/>
      <w:color w:val="000000"/>
      <w:spacing w:val="299"/>
      <w:kern w:val="2"/>
      <w:sz w:val="18"/>
      <w:szCs w:val="18"/>
      <w:lang w:val="en-US" w:eastAsia="zh-CN" w:bidi="ar-SA"/>
    </w:rPr>
  </w:style>
  <w:style w:type="character" w:customStyle="1" w:styleId="136">
    <w:name w:val="正文文本 2 Char"/>
    <w:link w:val="48"/>
    <w:qFormat/>
    <w:uiPriority w:val="0"/>
    <w:rPr>
      <w:rFonts w:ascii="宋体" w:hAnsi="宋体" w:eastAsia="宋体"/>
      <w:color w:val="000000"/>
      <w:kern w:val="2"/>
      <w:sz w:val="24"/>
      <w:szCs w:val="24"/>
      <w:lang w:val="en-US" w:eastAsia="zh-CN" w:bidi="ar-SA"/>
    </w:rPr>
  </w:style>
  <w:style w:type="character" w:customStyle="1" w:styleId="137">
    <w:name w:val="不明显强调1"/>
    <w:qFormat/>
    <w:uiPriority w:val="0"/>
    <w:rPr>
      <w:i/>
      <w:iCs/>
      <w:color w:val="5A5A5A"/>
    </w:rPr>
  </w:style>
  <w:style w:type="paragraph" w:customStyle="1" w:styleId="138">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9">
    <w:name w:val="TOC 标题1"/>
    <w:basedOn w:val="2"/>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40">
    <w:name w:val="xl25"/>
    <w:basedOn w:val="1"/>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41">
    <w:name w:val="ZW"/>
    <w:basedOn w:val="1"/>
    <w:qFormat/>
    <w:uiPriority w:val="0"/>
    <w:pPr>
      <w:widowControl/>
      <w:topLinePunct/>
      <w:spacing w:line="360" w:lineRule="auto"/>
      <w:ind w:firstLine="425" w:firstLineChars="200"/>
    </w:pPr>
    <w:rPr>
      <w:rFonts w:eastAsia="仿宋_GB2312"/>
      <w:spacing w:val="8"/>
      <w:sz w:val="24"/>
      <w:szCs w:val="20"/>
    </w:rPr>
  </w:style>
  <w:style w:type="paragraph" w:customStyle="1" w:styleId="142">
    <w:name w:val="纯文本1"/>
    <w:basedOn w:val="1"/>
    <w:qFormat/>
    <w:uiPriority w:val="0"/>
    <w:pPr>
      <w:adjustRightInd w:val="0"/>
      <w:textAlignment w:val="baseline"/>
    </w:pPr>
    <w:rPr>
      <w:rFonts w:ascii="宋体" w:hAnsi="Courier New" w:eastAsia="楷体_GB2312"/>
      <w:sz w:val="28"/>
      <w:szCs w:val="20"/>
    </w:rPr>
  </w:style>
  <w:style w:type="paragraph" w:customStyle="1" w:styleId="143">
    <w:name w:val="Char2"/>
    <w:basedOn w:val="18"/>
    <w:next w:val="1"/>
    <w:qFormat/>
    <w:uiPriority w:val="0"/>
  </w:style>
  <w:style w:type="paragraph" w:customStyle="1" w:styleId="144">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1正文"/>
    <w:basedOn w:val="1"/>
    <w:qFormat/>
    <w:uiPriority w:val="0"/>
    <w:rPr>
      <w:rFonts w:ascii="宋体" w:hAnsi="宋体"/>
      <w:color w:val="000000"/>
      <w:sz w:val="15"/>
      <w:szCs w:val="14"/>
    </w:rPr>
  </w:style>
  <w:style w:type="paragraph" w:customStyle="1" w:styleId="146">
    <w:name w:val="默认段落字体 Para Char Char Char Char"/>
    <w:basedOn w:val="1"/>
    <w:qFormat/>
    <w:uiPriority w:val="0"/>
    <w:rPr>
      <w:rFonts w:ascii="Arial" w:hAnsi="Arial" w:cs="Arial"/>
      <w:szCs w:val="21"/>
    </w:rPr>
  </w:style>
  <w:style w:type="paragraph" w:customStyle="1" w:styleId="147">
    <w:name w:val="CR正文"/>
    <w:basedOn w:val="1"/>
    <w:qFormat/>
    <w:uiPriority w:val="0"/>
    <w:pPr>
      <w:ind w:right="210" w:firstLine="420"/>
    </w:pPr>
    <w:rPr>
      <w:sz w:val="24"/>
      <w:szCs w:val="21"/>
    </w:rPr>
  </w:style>
  <w:style w:type="paragraph" w:customStyle="1" w:styleId="148">
    <w:name w:val="标准正文"/>
    <w:basedOn w:val="1"/>
    <w:qFormat/>
    <w:uiPriority w:val="0"/>
    <w:pPr>
      <w:ind w:firstLine="200" w:firstLineChars="200"/>
    </w:pPr>
    <w:rPr>
      <w:sz w:val="24"/>
      <w:szCs w:val="21"/>
    </w:rPr>
  </w:style>
  <w:style w:type="paragraph" w:customStyle="1" w:styleId="149">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50">
    <w:name w:val="正文2"/>
    <w:basedOn w:val="1"/>
    <w:qFormat/>
    <w:uiPriority w:val="0"/>
    <w:pPr>
      <w:spacing w:before="156" w:line="360" w:lineRule="auto"/>
      <w:ind w:firstLine="510" w:firstLineChars="200"/>
    </w:pPr>
    <w:rPr>
      <w:sz w:val="24"/>
      <w:szCs w:val="20"/>
    </w:rPr>
  </w:style>
  <w:style w:type="paragraph" w:customStyle="1" w:styleId="151">
    <w:name w:val="样式1"/>
    <w:basedOn w:val="45"/>
    <w:qFormat/>
    <w:uiPriority w:val="0"/>
    <w:pPr>
      <w:spacing w:line="360" w:lineRule="auto"/>
      <w:jc w:val="center"/>
    </w:pPr>
    <w:rPr>
      <w:rFonts w:eastAsia="楷体_GB2312"/>
      <w:sz w:val="21"/>
      <w:szCs w:val="28"/>
    </w:rPr>
  </w:style>
  <w:style w:type="paragraph" w:customStyle="1" w:styleId="1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3">
    <w:name w:val="reader-word-layer reader-word-s20-7"/>
    <w:basedOn w:val="1"/>
    <w:qFormat/>
    <w:uiPriority w:val="0"/>
    <w:pPr>
      <w:widowControl/>
      <w:spacing w:before="100" w:beforeAutospacing="1" w:after="100" w:afterAutospacing="1"/>
      <w:jc w:val="left"/>
    </w:pPr>
    <w:rPr>
      <w:rFonts w:ascii="宋体" w:hAnsi="宋体" w:cs="宋体"/>
      <w:kern w:val="0"/>
      <w:sz w:val="24"/>
    </w:rPr>
  </w:style>
  <w:style w:type="paragraph" w:styleId="154">
    <w:name w:val="List Paragraph"/>
    <w:basedOn w:val="1"/>
    <w:qFormat/>
    <w:uiPriority w:val="99"/>
    <w:pPr>
      <w:ind w:left="720"/>
      <w:contextualSpacing/>
    </w:pPr>
  </w:style>
  <w:style w:type="paragraph" w:customStyle="1" w:styleId="155">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56">
    <w:name w:val="表格用"/>
    <w:basedOn w:val="1"/>
    <w:qFormat/>
    <w:uiPriority w:val="0"/>
    <w:pPr>
      <w:widowControl/>
      <w:spacing w:line="360" w:lineRule="auto"/>
    </w:pPr>
    <w:rPr>
      <w:rFonts w:ascii="宋体" w:hAnsi="宋体" w:eastAsia="宋体"/>
      <w:kern w:val="0"/>
    </w:rPr>
  </w:style>
  <w:style w:type="paragraph" w:customStyle="1" w:styleId="157">
    <w:name w:val="xl2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9">
    <w:name w:val="03"/>
    <w:basedOn w:val="1"/>
    <w:qFormat/>
    <w:uiPriority w:val="0"/>
    <w:pPr>
      <w:spacing w:line="500" w:lineRule="exact"/>
      <w:ind w:firstLine="567"/>
    </w:pPr>
    <w:rPr>
      <w:spacing w:val="20"/>
      <w:sz w:val="28"/>
      <w:szCs w:val="20"/>
    </w:rPr>
  </w:style>
  <w:style w:type="paragraph" w:customStyle="1" w:styleId="160">
    <w:name w:val="首缩"/>
    <w:basedOn w:val="1"/>
    <w:qFormat/>
    <w:uiPriority w:val="0"/>
    <w:pPr>
      <w:adjustRightInd w:val="0"/>
      <w:spacing w:line="312" w:lineRule="atLeast"/>
      <w:ind w:firstLine="454"/>
    </w:pPr>
    <w:rPr>
      <w:kern w:val="0"/>
      <w:szCs w:val="20"/>
    </w:rPr>
  </w:style>
  <w:style w:type="paragraph" w:customStyle="1" w:styleId="161">
    <w:name w:val="样式2"/>
    <w:basedOn w:val="46"/>
    <w:qFormat/>
    <w:uiPriority w:val="0"/>
  </w:style>
  <w:style w:type="paragraph" w:customStyle="1" w:styleId="162">
    <w:name w:val="内文正文"/>
    <w:basedOn w:val="1"/>
    <w:qFormat/>
    <w:uiPriority w:val="0"/>
    <w:pPr>
      <w:adjustRightInd w:val="0"/>
      <w:snapToGrid w:val="0"/>
      <w:spacing w:line="400" w:lineRule="atLeast"/>
      <w:ind w:firstLine="420" w:firstLineChars="200"/>
    </w:pPr>
    <w:rPr>
      <w:rFonts w:ascii="宋体"/>
    </w:rPr>
  </w:style>
  <w:style w:type="paragraph" w:customStyle="1" w:styleId="163">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4">
    <w:name w:val="Char"/>
    <w:basedOn w:val="1"/>
    <w:qFormat/>
    <w:uiPriority w:val="0"/>
    <w:rPr>
      <w:szCs w:val="20"/>
    </w:rPr>
  </w:style>
  <w:style w:type="paragraph" w:customStyle="1" w:styleId="165">
    <w:name w:val="列出段落1"/>
    <w:basedOn w:val="1"/>
    <w:qFormat/>
    <w:uiPriority w:val="0"/>
    <w:pPr>
      <w:ind w:firstLine="420" w:firstLineChars="200"/>
    </w:pPr>
    <w:rPr>
      <w:rFonts w:ascii="Times New Roman" w:hAnsi="Times New Roman" w:eastAsia="宋体"/>
      <w:szCs w:val="20"/>
    </w:rPr>
  </w:style>
  <w:style w:type="paragraph" w:customStyle="1" w:styleId="166">
    <w:name w:val="Char1"/>
    <w:basedOn w:val="1"/>
    <w:qFormat/>
    <w:uiPriority w:val="0"/>
    <w:rPr>
      <w:rFonts w:ascii="仿宋_GB2312" w:hAnsi="宋体" w:eastAsia="仿宋_GB2312" w:cs="宋体"/>
      <w:color w:val="000000"/>
      <w:sz w:val="24"/>
    </w:rPr>
  </w:style>
  <w:style w:type="paragraph" w:customStyle="1" w:styleId="16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8">
    <w:name w:val="样式 标题 2 + 小四"/>
    <w:basedOn w:val="3"/>
    <w:qFormat/>
    <w:uiPriority w:val="0"/>
    <w:pPr>
      <w:tabs>
        <w:tab w:val="left" w:pos="420"/>
      </w:tabs>
      <w:spacing w:line="410" w:lineRule="auto"/>
      <w:ind w:left="420" w:hanging="420"/>
      <w:jc w:val="center"/>
    </w:pPr>
    <w:rPr>
      <w:rFonts w:eastAsia="宋体"/>
    </w:rPr>
  </w:style>
  <w:style w:type="paragraph" w:customStyle="1" w:styleId="169">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70">
    <w:name w:val="Char1 Char Char Char"/>
    <w:basedOn w:val="1"/>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无间隔1"/>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73">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4">
    <w:name w:val="12chines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75">
    <w:name w:val="默认段落字体 Para Char Char Char Char Char Char Char Char Char1 Char Char Char Char"/>
    <w:basedOn w:val="1"/>
    <w:qFormat/>
    <w:uiPriority w:val="0"/>
    <w:rPr>
      <w:rFonts w:ascii="Tahoma" w:hAnsi="Tahoma"/>
      <w:sz w:val="24"/>
      <w:szCs w:val="20"/>
    </w:rPr>
  </w:style>
  <w:style w:type="paragraph" w:customStyle="1" w:styleId="176">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8">
    <w:name w:val="1"/>
    <w:basedOn w:val="1"/>
    <w:next w:val="28"/>
    <w:qFormat/>
    <w:uiPriority w:val="0"/>
    <w:rPr>
      <w:rFonts w:ascii="宋体" w:hAnsi="Courier New"/>
      <w:szCs w:val="20"/>
    </w:rPr>
  </w:style>
  <w:style w:type="paragraph" w:customStyle="1" w:styleId="179">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80">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_Style 20"/>
    <w:basedOn w:val="1"/>
    <w:next w:val="21"/>
    <w:qFormat/>
    <w:uiPriority w:val="0"/>
    <w:pPr>
      <w:tabs>
        <w:tab w:val="left" w:pos="5250"/>
      </w:tabs>
    </w:pPr>
    <w:rPr>
      <w:sz w:val="28"/>
      <w:szCs w:val="20"/>
    </w:rPr>
  </w:style>
  <w:style w:type="paragraph" w:customStyle="1" w:styleId="182">
    <w:name w:val="Char Char2 Char Char Char Char"/>
    <w:basedOn w:val="2"/>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83">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84">
    <w:name w:val="正文段"/>
    <w:basedOn w:val="1"/>
    <w:qFormat/>
    <w:uiPriority w:val="0"/>
    <w:pPr>
      <w:widowControl/>
      <w:snapToGrid w:val="0"/>
      <w:spacing w:afterLines="50"/>
      <w:ind w:firstLine="200" w:firstLineChars="200"/>
    </w:pPr>
    <w:rPr>
      <w:kern w:val="0"/>
      <w:sz w:val="24"/>
      <w:szCs w:val="20"/>
    </w:rPr>
  </w:style>
  <w:style w:type="paragraph" w:customStyle="1" w:styleId="185">
    <w:name w:val="样式 列表编号 + 段后: 0.5 行"/>
    <w:basedOn w:val="14"/>
    <w:qFormat/>
    <w:uiPriority w:val="0"/>
    <w:pPr>
      <w:numPr>
        <w:ilvl w:val="0"/>
        <w:numId w:val="0"/>
      </w:numPr>
      <w:tabs>
        <w:tab w:val="left" w:pos="360"/>
        <w:tab w:val="clear" w:pos="454"/>
        <w:tab w:val="clear" w:pos="720"/>
      </w:tabs>
      <w:ind w:left="360" w:hanging="360"/>
    </w:pPr>
  </w:style>
  <w:style w:type="paragraph" w:customStyle="1" w:styleId="18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9">
    <w:name w:val="Char Char Char Char"/>
    <w:basedOn w:val="1"/>
    <w:qFormat/>
    <w:uiPriority w:val="0"/>
    <w:pPr>
      <w:widowControl/>
      <w:spacing w:after="160" w:line="240" w:lineRule="exact"/>
      <w:jc w:val="left"/>
    </w:pPr>
  </w:style>
  <w:style w:type="paragraph" w:customStyle="1" w:styleId="190">
    <w:name w:val="WPSOffice手动目录 1"/>
    <w:qFormat/>
    <w:uiPriority w:val="0"/>
    <w:rPr>
      <w:rFonts w:ascii="Times New Roman" w:hAnsi="Times New Roman" w:eastAsia="宋体" w:cs="Times New Roman"/>
      <w:lang w:val="en-US" w:eastAsia="zh-CN" w:bidi="ar-SA"/>
    </w:rPr>
  </w:style>
  <w:style w:type="character" w:customStyle="1" w:styleId="191">
    <w:name w:val="NormalCharacter"/>
    <w:semiHidden/>
    <w:qFormat/>
    <w:uiPriority w:val="0"/>
  </w:style>
  <w:style w:type="character" w:customStyle="1" w:styleId="192">
    <w:name w:val="font61"/>
    <w:basedOn w:val="57"/>
    <w:qFormat/>
    <w:uiPriority w:val="0"/>
    <w:rPr>
      <w:rFonts w:hint="eastAsia" w:ascii="宋体" w:hAnsi="宋体" w:eastAsia="宋体" w:cs="宋体"/>
      <w:color w:val="FF0000"/>
      <w:sz w:val="20"/>
      <w:szCs w:val="20"/>
      <w:u w:val="none"/>
    </w:rPr>
  </w:style>
  <w:style w:type="character" w:customStyle="1" w:styleId="193">
    <w:name w:val="font51"/>
    <w:basedOn w:val="57"/>
    <w:qFormat/>
    <w:uiPriority w:val="0"/>
    <w:rPr>
      <w:rFonts w:hint="eastAsia" w:ascii="宋体" w:hAnsi="宋体" w:eastAsia="宋体" w:cs="宋体"/>
      <w:color w:val="000000"/>
      <w:sz w:val="20"/>
      <w:szCs w:val="20"/>
      <w:u w:val="none"/>
    </w:rPr>
  </w:style>
  <w:style w:type="paragraph" w:customStyle="1" w:styleId="194">
    <w:name w:val="正文_2"/>
    <w:next w:val="5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5">
    <w:name w:val="10_0"/>
    <w:basedOn w:val="57"/>
    <w:qFormat/>
    <w:uiPriority w:val="0"/>
    <w:rPr>
      <w:rFonts w:hint="default" w:ascii="Times New Roman" w:hAnsi="Times New Roman" w:cs="Times New Roman"/>
    </w:rPr>
  </w:style>
  <w:style w:type="paragraph" w:customStyle="1" w:styleId="196">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p0"/>
    <w:qFormat/>
    <w:uiPriority w:val="0"/>
    <w:rPr>
      <w:rFonts w:ascii="Calibri" w:hAnsi="Calibri" w:eastAsia="宋体" w:cs="Times New Roman"/>
      <w:sz w:val="28"/>
      <w:szCs w:val="28"/>
      <w:lang w:val="en-US" w:eastAsia="zh-CN" w:bidi="ar-SA"/>
    </w:rPr>
  </w:style>
  <w:style w:type="character" w:customStyle="1" w:styleId="198">
    <w:name w:val="font161"/>
    <w:qFormat/>
    <w:uiPriority w:val="0"/>
    <w:rPr>
      <w:rFonts w:hint="default" w:ascii="Calibri" w:hAnsi="Calibri" w:cs="Calibri"/>
      <w:color w:val="000000"/>
      <w:sz w:val="20"/>
      <w:szCs w:val="20"/>
      <w:u w:val="none"/>
    </w:rPr>
  </w:style>
  <w:style w:type="paragraph" w:customStyle="1" w:styleId="19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列表段落1"/>
    <w:basedOn w:val="1"/>
    <w:qFormat/>
    <w:uiPriority w:val="0"/>
    <w:pPr>
      <w:ind w:firstLine="420" w:firstLineChars="200"/>
    </w:pPr>
    <w:rPr>
      <w:szCs w:val="20"/>
    </w:rPr>
  </w:style>
  <w:style w:type="paragraph" w:customStyle="1" w:styleId="201">
    <w:name w:val="正文_0_0"/>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202">
    <w:name w:val="bookmark-item uuid-1588129097073 code-23007 addword single-line-text-input-box-cls readonly"/>
    <w:qFormat/>
    <w:uiPriority w:val="0"/>
    <w:rPr>
      <w:rFonts w:ascii="Times New Roman" w:hAnsi="Times New Roman" w:eastAsia="宋体" w:cs="Times New Roman"/>
      <w:sz w:val="21"/>
    </w:rPr>
  </w:style>
  <w:style w:type="paragraph" w:customStyle="1" w:styleId="203">
    <w:name w:val="Body text|1"/>
    <w:basedOn w:val="1"/>
    <w:qFormat/>
    <w:uiPriority w:val="0"/>
    <w:pPr>
      <w:spacing w:line="334" w:lineRule="auto"/>
      <w:ind w:firstLine="400"/>
    </w:pPr>
    <w:rPr>
      <w:rFonts w:ascii="宋体" w:hAnsi="宋体" w:eastAsia="宋体" w:cs="宋体"/>
      <w:sz w:val="22"/>
      <w:szCs w:val="22"/>
      <w:lang w:val="zh-TW" w:eastAsia="zh-TW" w:bidi="zh-TW"/>
    </w:rPr>
  </w:style>
  <w:style w:type="paragraph" w:customStyle="1" w:styleId="204">
    <w:name w:val="[Normal]"/>
    <w:qFormat/>
    <w:uiPriority w:val="0"/>
    <w:rPr>
      <w:rFonts w:ascii="宋体" w:hAnsi="宋体" w:eastAsia="宋体" w:cs="Times New Roman"/>
      <w:sz w:val="24"/>
      <w:lang w:val="en-US" w:eastAsia="en-US" w:bidi="ar-SA"/>
    </w:rPr>
  </w:style>
  <w:style w:type="paragraph" w:customStyle="1" w:styleId="205">
    <w:name w:val="签发人"/>
    <w:basedOn w:val="1"/>
    <w:qFormat/>
    <w:uiPriority w:val="0"/>
    <w:rPr>
      <w:rFonts w:eastAsia="楷体"/>
      <w:sz w:val="32"/>
    </w:rPr>
  </w:style>
  <w:style w:type="paragraph" w:customStyle="1" w:styleId="206">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7">
    <w:name w:val="标准文本"/>
    <w:basedOn w:val="1"/>
    <w:qFormat/>
    <w:uiPriority w:val="0"/>
    <w:pPr>
      <w:spacing w:line="360" w:lineRule="auto"/>
      <w:ind w:firstLine="480" w:firstLineChars="200"/>
    </w:pPr>
    <w:rPr>
      <w:rFonts w:ascii="Times New Roman" w:hAnsi="Times New Roman" w:cs="宋体"/>
      <w:sz w:val="24"/>
      <w:szCs w:val="20"/>
    </w:rPr>
  </w:style>
  <w:style w:type="paragraph" w:customStyle="1" w:styleId="20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09">
    <w:name w:val="PlainText"/>
    <w:basedOn w:val="1"/>
    <w:qFormat/>
    <w:uiPriority w:val="0"/>
    <w:pPr>
      <w:textAlignment w:val="baseline"/>
    </w:pPr>
    <w:rPr>
      <w:rFonts w:ascii="宋体" w:hAnsi="Courier New" w:eastAsia="宋体"/>
      <w:szCs w:val="21"/>
    </w:rPr>
  </w:style>
  <w:style w:type="paragraph" w:customStyle="1" w:styleId="210">
    <w:name w:val="Table Paragraph"/>
    <w:basedOn w:val="1"/>
    <w:unhideWhenUsed/>
    <w:qFormat/>
    <w:uiPriority w:val="1"/>
    <w:pPr>
      <w:jc w:val="left"/>
    </w:pPr>
    <w:rPr>
      <w:rFonts w:hint="eastAsia" w:ascii="等线" w:hAnsi="等线" w:eastAsia="等线"/>
      <w:kern w:val="0"/>
      <w:sz w:val="22"/>
      <w:szCs w:val="22"/>
      <w:lang w:eastAsia="en-US"/>
    </w:rPr>
  </w:style>
  <w:style w:type="character" w:customStyle="1" w:styleId="211">
    <w:name w:val="font71"/>
    <w:basedOn w:val="57"/>
    <w:qFormat/>
    <w:uiPriority w:val="0"/>
    <w:rPr>
      <w:rFonts w:hint="default" w:ascii="Times New Roman" w:hAnsi="Times New Roman" w:cs="Times New Roman"/>
      <w:color w:val="000000"/>
      <w:sz w:val="20"/>
      <w:szCs w:val="20"/>
      <w:u w:val="none"/>
    </w:rPr>
  </w:style>
  <w:style w:type="paragraph" w:customStyle="1" w:styleId="212">
    <w:name w:val="表格文字"/>
    <w:basedOn w:val="28"/>
    <w:next w:val="21"/>
    <w:unhideWhenUsed/>
    <w:qFormat/>
    <w:uiPriority w:val="0"/>
    <w:pPr>
      <w:spacing w:beforeLines="0" w:afterLines="0"/>
      <w:jc w:val="left"/>
    </w:pPr>
    <w:rPr>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45</Pages>
  <Words>18301</Words>
  <Characters>19420</Characters>
  <Lines>239</Lines>
  <Paragraphs>67</Paragraphs>
  <TotalTime>0</TotalTime>
  <ScaleCrop>false</ScaleCrop>
  <LinksUpToDate>false</LinksUpToDate>
  <CharactersWithSpaces>19559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2022-11-28T06:40:00Z</dcterms:created>
  <dc:creator>Administrator</dc:creator>
  <cp:lastModifiedBy>长兴</cp:lastModifiedBy>
  <cp:lastPrinted>2024-12-04T06:28:00Z</cp:lastPrinted>
  <dcterms:modified xsi:type="dcterms:W3CDTF">2024-12-05T03:09:32Z</dcterms:modified>
  <dc:title>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63F3CD28B2CA4C219ED29C8CBCF6A62C_13</vt:lpwstr>
  </property>
  <property fmtid="{D5CDD505-2E9C-101B-9397-08002B2CF9AE}" pid="4" name="commondata">
    <vt:lpwstr>eyJoZGlkIjoiYzZhNDZkMmExMDExOGIwNTkxNmE2OTk0NDBmODc5MTcifQ==</vt:lpwstr>
  </property>
</Properties>
</file>