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E7D33">
      <w:pPr>
        <w:adjustRightInd/>
        <w:spacing w:line="360" w:lineRule="auto"/>
        <w:jc w:val="center"/>
        <w:rPr>
          <w:rFonts w:hint="eastAsia" w:ascii="仿宋" w:hAnsi="仿宋" w:eastAsia="仿宋" w:cs="仿宋"/>
          <w:color w:val="auto"/>
          <w:sz w:val="48"/>
          <w:szCs w:val="48"/>
        </w:rPr>
      </w:pPr>
      <w:bookmarkStart w:id="0" w:name="_Hlt74729822"/>
      <w:bookmarkEnd w:id="0"/>
      <w:bookmarkStart w:id="1" w:name="_Hlt74649545"/>
      <w:bookmarkEnd w:id="1"/>
      <w:bookmarkStart w:id="2" w:name="_Hlt74707423"/>
      <w:bookmarkEnd w:id="2"/>
      <w:bookmarkStart w:id="3" w:name="_Hlt74728647"/>
      <w:bookmarkEnd w:id="3"/>
      <w:bookmarkStart w:id="4" w:name="第二部分"/>
      <w:bookmarkStart w:id="5" w:name="_Toc91899870"/>
      <w:bookmarkStart w:id="6" w:name="_Toc91899871"/>
    </w:p>
    <w:p w14:paraId="0F91986B">
      <w:pPr>
        <w:adjustRightInd/>
        <w:spacing w:line="360" w:lineRule="auto"/>
        <w:jc w:val="center"/>
        <w:rPr>
          <w:rFonts w:hint="eastAsia" w:ascii="仿宋" w:hAnsi="仿宋" w:eastAsia="仿宋" w:cs="仿宋"/>
          <w:color w:val="auto"/>
          <w:sz w:val="48"/>
          <w:szCs w:val="48"/>
          <w:lang w:val="en-US" w:eastAsia="zh-CN"/>
        </w:rPr>
      </w:pPr>
      <w:r>
        <w:rPr>
          <w:rFonts w:hint="eastAsia" w:ascii="仿宋" w:hAnsi="仿宋" w:eastAsia="仿宋" w:cs="仿宋"/>
          <w:color w:val="auto"/>
          <w:sz w:val="48"/>
          <w:szCs w:val="48"/>
        </w:rPr>
        <w:t>浦阳镇2025-2026年度机埠运行管理及维修养护政府采购</w:t>
      </w:r>
      <w:r>
        <w:rPr>
          <w:rFonts w:hint="eastAsia" w:ascii="仿宋" w:hAnsi="仿宋" w:eastAsia="仿宋" w:cs="仿宋"/>
          <w:color w:val="auto"/>
          <w:sz w:val="48"/>
          <w:szCs w:val="48"/>
          <w:lang w:val="en-US" w:eastAsia="zh-CN"/>
        </w:rPr>
        <w:t>项目</w:t>
      </w:r>
    </w:p>
    <w:p w14:paraId="438105F5">
      <w:pPr>
        <w:pStyle w:val="2"/>
        <w:rPr>
          <w:rFonts w:hint="eastAsia" w:ascii="仿宋" w:hAnsi="仿宋" w:eastAsia="仿宋" w:cs="仿宋"/>
        </w:rPr>
      </w:pPr>
    </w:p>
    <w:p w14:paraId="21484D8B">
      <w:pPr>
        <w:adjustRightInd/>
        <w:spacing w:line="360" w:lineRule="auto"/>
        <w:jc w:val="center"/>
        <w:rPr>
          <w:rFonts w:hint="eastAsia" w:ascii="仿宋" w:hAnsi="仿宋" w:eastAsia="仿宋" w:cs="仿宋"/>
          <w:color w:val="auto"/>
          <w:sz w:val="48"/>
          <w:szCs w:val="48"/>
        </w:rPr>
      </w:pPr>
      <w:r>
        <w:rPr>
          <w:rFonts w:hint="eastAsia" w:ascii="仿宋" w:hAnsi="仿宋" w:eastAsia="仿宋" w:cs="仿宋"/>
          <w:color w:val="auto"/>
          <w:sz w:val="48"/>
          <w:szCs w:val="48"/>
        </w:rPr>
        <w:t xml:space="preserve">招标文件 </w:t>
      </w:r>
    </w:p>
    <w:p w14:paraId="5F359BDF">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（电子招投标）</w:t>
      </w:r>
    </w:p>
    <w:p w14:paraId="06426261">
      <w:pPr>
        <w:snapToGrid w:val="0"/>
        <w:spacing w:line="360" w:lineRule="auto"/>
        <w:jc w:val="center"/>
        <w:rPr>
          <w:rFonts w:hint="eastAsia" w:ascii="仿宋" w:hAnsi="仿宋" w:eastAsia="仿宋" w:cs="仿宋"/>
          <w:color w:val="auto"/>
          <w:sz w:val="30"/>
          <w:szCs w:val="30"/>
        </w:rPr>
      </w:pPr>
      <w:r>
        <w:rPr>
          <w:rFonts w:hint="eastAsia" w:ascii="仿宋" w:hAnsi="仿宋" w:eastAsia="仿宋" w:cs="仿宋"/>
          <w:color w:val="auto"/>
          <w:sz w:val="30"/>
          <w:szCs w:val="30"/>
        </w:rPr>
        <w:t>编号:PYCG07202412005</w:t>
      </w:r>
    </w:p>
    <w:p w14:paraId="7B441EBA">
      <w:pPr>
        <w:adjustRightInd/>
        <w:spacing w:line="360" w:lineRule="auto"/>
        <w:rPr>
          <w:rFonts w:hint="eastAsia" w:ascii="仿宋" w:hAnsi="仿宋" w:eastAsia="仿宋" w:cs="仿宋"/>
          <w:color w:val="auto"/>
          <w:sz w:val="28"/>
          <w:szCs w:val="20"/>
        </w:rPr>
      </w:pPr>
    </w:p>
    <w:p w14:paraId="57A780C7">
      <w:pPr>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14:paraId="71C588EF">
      <w:pPr>
        <w:spacing w:line="360" w:lineRule="auto"/>
        <w:rPr>
          <w:rFonts w:hint="eastAsia" w:ascii="仿宋" w:hAnsi="仿宋" w:eastAsia="仿宋" w:cs="仿宋"/>
          <w:color w:val="auto"/>
          <w:sz w:val="32"/>
          <w:szCs w:val="32"/>
        </w:rPr>
      </w:pPr>
    </w:p>
    <w:p w14:paraId="545A4867">
      <w:pPr>
        <w:snapToGrid w:val="0"/>
        <w:spacing w:line="360" w:lineRule="auto"/>
        <w:jc w:val="center"/>
        <w:rPr>
          <w:rFonts w:hint="eastAsia" w:ascii="仿宋" w:hAnsi="仿宋" w:eastAsia="仿宋" w:cs="仿宋"/>
          <w:color w:val="auto"/>
          <w:sz w:val="32"/>
          <w:szCs w:val="32"/>
        </w:rPr>
      </w:pPr>
    </w:p>
    <w:p w14:paraId="195AE372">
      <w:pPr>
        <w:snapToGrid w:val="0"/>
        <w:spacing w:line="360" w:lineRule="auto"/>
        <w:jc w:val="center"/>
        <w:rPr>
          <w:rFonts w:hint="eastAsia" w:ascii="仿宋" w:hAnsi="仿宋" w:eastAsia="仿宋" w:cs="仿宋"/>
          <w:color w:val="auto"/>
          <w:sz w:val="32"/>
          <w:szCs w:val="32"/>
        </w:rPr>
      </w:pPr>
    </w:p>
    <w:p w14:paraId="456BA646">
      <w:pPr>
        <w:pStyle w:val="2"/>
        <w:rPr>
          <w:rFonts w:hint="eastAsia" w:ascii="仿宋" w:hAnsi="仿宋" w:eastAsia="仿宋" w:cs="仿宋"/>
          <w:color w:val="auto"/>
          <w:sz w:val="32"/>
          <w:szCs w:val="32"/>
        </w:rPr>
      </w:pPr>
    </w:p>
    <w:p w14:paraId="49EA689A">
      <w:pPr>
        <w:rPr>
          <w:rFonts w:hint="eastAsia" w:ascii="仿宋" w:hAnsi="仿宋" w:eastAsia="仿宋" w:cs="仿宋"/>
          <w:color w:val="auto"/>
          <w:sz w:val="32"/>
          <w:szCs w:val="32"/>
        </w:rPr>
      </w:pPr>
    </w:p>
    <w:p w14:paraId="1483BAA3">
      <w:pPr>
        <w:pStyle w:val="2"/>
        <w:rPr>
          <w:rFonts w:hint="eastAsia" w:ascii="仿宋" w:hAnsi="仿宋" w:eastAsia="仿宋" w:cs="仿宋"/>
          <w:color w:val="auto"/>
          <w:sz w:val="32"/>
          <w:szCs w:val="32"/>
        </w:rPr>
      </w:pPr>
    </w:p>
    <w:p w14:paraId="045CBA26">
      <w:pPr>
        <w:rPr>
          <w:rFonts w:hint="eastAsia" w:ascii="仿宋" w:hAnsi="仿宋" w:eastAsia="仿宋" w:cs="仿宋"/>
          <w:color w:val="auto"/>
          <w:sz w:val="32"/>
          <w:szCs w:val="32"/>
        </w:rPr>
      </w:pPr>
    </w:p>
    <w:p w14:paraId="2F0A34CF">
      <w:pPr>
        <w:pStyle w:val="2"/>
        <w:rPr>
          <w:rFonts w:hint="eastAsia" w:ascii="仿宋" w:hAnsi="仿宋" w:eastAsia="仿宋" w:cs="仿宋"/>
          <w:color w:val="auto"/>
          <w:sz w:val="32"/>
          <w:szCs w:val="32"/>
        </w:rPr>
      </w:pPr>
    </w:p>
    <w:p w14:paraId="39D6FF07">
      <w:pPr>
        <w:rPr>
          <w:rFonts w:hint="eastAsia" w:ascii="仿宋" w:hAnsi="仿宋" w:eastAsia="仿宋" w:cs="仿宋"/>
        </w:rPr>
      </w:pPr>
    </w:p>
    <w:p w14:paraId="3AA17415">
      <w:pPr>
        <w:snapToGrid w:val="0"/>
        <w:spacing w:line="360" w:lineRule="auto"/>
        <w:jc w:val="center"/>
        <w:rPr>
          <w:rFonts w:hint="eastAsia" w:ascii="仿宋" w:hAnsi="仿宋" w:eastAsia="仿宋" w:cs="仿宋"/>
          <w:color w:val="auto"/>
          <w:sz w:val="36"/>
          <w:highlight w:val="none"/>
          <w:lang w:eastAsia="zh-CN"/>
        </w:rPr>
      </w:pPr>
      <w:r>
        <w:rPr>
          <w:rFonts w:hint="eastAsia" w:ascii="仿宋" w:hAnsi="仿宋" w:eastAsia="仿宋" w:cs="仿宋"/>
          <w:color w:val="auto"/>
          <w:sz w:val="36"/>
          <w:highlight w:val="none"/>
          <w:lang w:eastAsia="zh-CN"/>
        </w:rPr>
        <w:t>杭州市萧山区浦阳镇人民政府</w:t>
      </w:r>
    </w:p>
    <w:p w14:paraId="043687ED">
      <w:pPr>
        <w:snapToGrid w:val="0"/>
        <w:spacing w:line="360" w:lineRule="auto"/>
        <w:jc w:val="center"/>
        <w:rPr>
          <w:rFonts w:hint="eastAsia" w:ascii="仿宋" w:hAnsi="仿宋" w:eastAsia="仿宋" w:cs="仿宋"/>
          <w:color w:val="auto"/>
          <w:sz w:val="36"/>
          <w:highlight w:val="none"/>
          <w:lang w:eastAsia="zh-CN"/>
        </w:rPr>
      </w:pPr>
      <w:r>
        <w:rPr>
          <w:rFonts w:hint="eastAsia" w:ascii="仿宋" w:hAnsi="仿宋" w:eastAsia="仿宋" w:cs="仿宋"/>
          <w:color w:val="auto"/>
          <w:sz w:val="36"/>
          <w:highlight w:val="none"/>
          <w:lang w:eastAsia="zh-CN"/>
        </w:rPr>
        <w:t>浙江省房地产管理咨询有限公司</w:t>
      </w:r>
    </w:p>
    <w:p w14:paraId="79E1CAC9">
      <w:pPr>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2024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12</w:t>
      </w:r>
      <w:r>
        <w:rPr>
          <w:rFonts w:hint="eastAsia" w:ascii="仿宋" w:hAnsi="仿宋" w:eastAsia="仿宋" w:cs="仿宋"/>
          <w:bCs/>
          <w:color w:val="auto"/>
          <w:sz w:val="32"/>
          <w:szCs w:val="32"/>
        </w:rPr>
        <w:t>月</w:t>
      </w:r>
    </w:p>
    <w:p w14:paraId="5E654749">
      <w:pPr>
        <w:jc w:val="left"/>
        <w:rPr>
          <w:rFonts w:hint="eastAsia" w:ascii="仿宋" w:hAnsi="仿宋" w:eastAsia="仿宋" w:cs="仿宋"/>
          <w:color w:val="FF0000"/>
        </w:rPr>
      </w:pPr>
    </w:p>
    <w:p w14:paraId="45C2C8FD">
      <w:pPr>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目  录</w:t>
      </w:r>
    </w:p>
    <w:p w14:paraId="2CA1FCEA">
      <w:pPr>
        <w:spacing w:line="360" w:lineRule="auto"/>
        <w:rPr>
          <w:rFonts w:hint="eastAsia" w:ascii="仿宋" w:hAnsi="仿宋" w:eastAsia="仿宋" w:cs="仿宋"/>
          <w:color w:val="auto"/>
          <w:sz w:val="32"/>
          <w:szCs w:val="32"/>
        </w:rPr>
      </w:pPr>
    </w:p>
    <w:p w14:paraId="3DF86B41">
      <w:pPr>
        <w:spacing w:line="360" w:lineRule="auto"/>
        <w:rPr>
          <w:rFonts w:hint="eastAsia" w:ascii="仿宋" w:hAnsi="仿宋" w:eastAsia="仿宋" w:cs="仿宋"/>
          <w:color w:val="auto"/>
          <w:sz w:val="32"/>
          <w:szCs w:val="32"/>
        </w:rPr>
      </w:pPr>
    </w:p>
    <w:p w14:paraId="2CAAE0C8">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第一部分      招标公告</w:t>
      </w:r>
    </w:p>
    <w:p w14:paraId="5F331ED6">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第二部分      投标人须知</w:t>
      </w:r>
    </w:p>
    <w:p w14:paraId="443C82B3">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第三部分      采购需求</w:t>
      </w:r>
    </w:p>
    <w:p w14:paraId="3AE7E7CC">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第四部分      评标办法</w:t>
      </w:r>
    </w:p>
    <w:p w14:paraId="77798C4D">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第五部分      拟签订的合同文本</w:t>
      </w:r>
    </w:p>
    <w:p w14:paraId="6EEB24A8">
      <w:pPr>
        <w:spacing w:line="360" w:lineRule="auto"/>
        <w:ind w:firstLine="1280" w:firstLineChars="400"/>
        <w:rPr>
          <w:rFonts w:hint="eastAsia" w:ascii="仿宋" w:hAnsi="仿宋" w:eastAsia="仿宋" w:cs="仿宋"/>
          <w:color w:val="auto"/>
          <w:sz w:val="32"/>
          <w:szCs w:val="32"/>
        </w:rPr>
      </w:pPr>
      <w:r>
        <w:rPr>
          <w:rFonts w:hint="eastAsia" w:ascii="仿宋" w:hAnsi="仿宋" w:eastAsia="仿宋" w:cs="仿宋"/>
          <w:color w:val="auto"/>
          <w:sz w:val="32"/>
          <w:szCs w:val="32"/>
        </w:rPr>
        <w:t>第六部分      应提交的有关格式范例</w:t>
      </w:r>
    </w:p>
    <w:p w14:paraId="475781F5">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D55A81">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第一部分 招标公告</w:t>
      </w:r>
    </w:p>
    <w:p w14:paraId="6136F88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1CD52CC6">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rPr>
        <w:t>浦阳镇2025-2026年度机埠运行管理及维修养护政府采购项目</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6"/>
          <w:rFonts w:hint="eastAsia" w:ascii="仿宋" w:hAnsi="仿宋" w:eastAsia="仿宋" w:cs="仿宋"/>
          <w:snapToGrid/>
          <w:color w:val="auto"/>
          <w:kern w:val="2"/>
          <w:sz w:val="24"/>
          <w:szCs w:val="24"/>
        </w:rPr>
        <w:t>https://www.zcygov.cn/）获取（下载）招标文件，并于202</w:t>
      </w:r>
      <w:r>
        <w:rPr>
          <w:rStyle w:val="76"/>
          <w:rFonts w:hint="eastAsia" w:ascii="仿宋" w:hAnsi="仿宋" w:eastAsia="仿宋" w:cs="仿宋"/>
          <w:snapToGrid/>
          <w:color w:val="auto"/>
          <w:kern w:val="2"/>
          <w:sz w:val="24"/>
          <w:szCs w:val="24"/>
          <w:lang w:val="en-US" w:eastAsia="zh-CN"/>
        </w:rPr>
        <w:t>5</w:t>
      </w:r>
      <w:r>
        <w:rPr>
          <w:rStyle w:val="76"/>
          <w:rFonts w:hint="eastAsia" w:ascii="仿宋" w:hAnsi="仿宋" w:eastAsia="仿宋" w:cs="仿宋"/>
          <w:snapToGrid/>
          <w:color w:val="auto"/>
          <w:kern w:val="2"/>
          <w:sz w:val="24"/>
          <w:szCs w:val="24"/>
        </w:rPr>
        <w:t>年</w:t>
      </w:r>
      <w:r>
        <w:rPr>
          <w:rStyle w:val="76"/>
          <w:rFonts w:hint="eastAsia" w:ascii="仿宋" w:hAnsi="仿宋" w:eastAsia="仿宋" w:cs="仿宋"/>
          <w:snapToGrid/>
          <w:color w:val="auto"/>
          <w:kern w:val="2"/>
          <w:sz w:val="24"/>
          <w:szCs w:val="24"/>
          <w:lang w:val="en-US" w:eastAsia="zh-CN"/>
        </w:rPr>
        <w:t>1</w:t>
      </w:r>
      <w:r>
        <w:rPr>
          <w:rStyle w:val="76"/>
          <w:rFonts w:hint="eastAsia" w:ascii="仿宋" w:hAnsi="仿宋" w:eastAsia="仿宋" w:cs="仿宋"/>
          <w:snapToGrid/>
          <w:color w:val="auto"/>
          <w:kern w:val="2"/>
          <w:sz w:val="24"/>
          <w:szCs w:val="24"/>
        </w:rPr>
        <w:t>月</w:t>
      </w:r>
      <w:r>
        <w:rPr>
          <w:rStyle w:val="76"/>
          <w:rFonts w:hint="eastAsia" w:ascii="仿宋" w:hAnsi="仿宋" w:eastAsia="仿宋" w:cs="仿宋"/>
          <w:snapToGrid/>
          <w:color w:val="auto"/>
          <w:kern w:val="2"/>
          <w:sz w:val="24"/>
          <w:szCs w:val="24"/>
          <w:lang w:val="en-US" w:eastAsia="zh-CN"/>
        </w:rPr>
        <w:t>14</w:t>
      </w:r>
      <w:r>
        <w:rPr>
          <w:rStyle w:val="76"/>
          <w:rFonts w:hint="eastAsia" w:ascii="仿宋" w:hAnsi="仿宋" w:eastAsia="仿宋" w:cs="仿宋"/>
          <w:snapToGrid/>
          <w:color w:val="auto"/>
          <w:kern w:val="2"/>
          <w:sz w:val="24"/>
          <w:szCs w:val="24"/>
        </w:rPr>
        <w:t>日</w:t>
      </w:r>
      <w:r>
        <w:rPr>
          <w:rStyle w:val="76"/>
          <w:rFonts w:hint="eastAsia" w:ascii="仿宋" w:hAnsi="仿宋" w:eastAsia="仿宋" w:cs="仿宋"/>
          <w:snapToGrid/>
          <w:color w:val="auto"/>
          <w:kern w:val="2"/>
          <w:sz w:val="24"/>
          <w:szCs w:val="24"/>
          <w:lang w:val="en-US" w:eastAsia="zh-CN"/>
        </w:rPr>
        <w:t>14</w:t>
      </w:r>
      <w:r>
        <w:rPr>
          <w:rStyle w:val="76"/>
          <w:rFonts w:hint="eastAsia" w:ascii="仿宋" w:hAnsi="仿宋" w:eastAsia="仿宋" w:cs="仿宋"/>
          <w:snapToGrid/>
          <w:color w:val="auto"/>
          <w:kern w:val="2"/>
          <w:sz w:val="24"/>
          <w:szCs w:val="24"/>
        </w:rPr>
        <w:t>点</w:t>
      </w:r>
      <w:r>
        <w:rPr>
          <w:rStyle w:val="76"/>
          <w:rFonts w:hint="eastAsia" w:ascii="仿宋" w:hAnsi="仿宋" w:eastAsia="仿宋" w:cs="仿宋"/>
          <w:snapToGrid/>
          <w:color w:val="auto"/>
          <w:kern w:val="2"/>
          <w:sz w:val="24"/>
          <w:szCs w:val="24"/>
          <w:lang w:val="en-US" w:eastAsia="zh-CN"/>
        </w:rPr>
        <w:t>00</w:t>
      </w:r>
      <w:r>
        <w:rPr>
          <w:rStyle w:val="76"/>
          <w:rFonts w:hint="eastAsia" w:ascii="仿宋" w:hAnsi="仿宋" w:eastAsia="仿宋" w:cs="仿宋"/>
          <w:snapToGrid/>
          <w:color w:val="auto"/>
          <w:kern w:val="2"/>
          <w:sz w:val="24"/>
          <w:szCs w:val="24"/>
        </w:rPr>
        <w:t>分</w:t>
      </w:r>
      <w:r>
        <w:rPr>
          <w:rStyle w:val="76"/>
          <w:rFonts w:hint="eastAsia" w:ascii="仿宋" w:hAnsi="仿宋" w:eastAsia="仿宋" w:cs="仿宋"/>
          <w:bCs/>
          <w:snapToGrid/>
          <w:color w:val="auto"/>
          <w:kern w:val="2"/>
          <w:sz w:val="24"/>
          <w:szCs w:val="24"/>
        </w:rPr>
        <w:t>00秒</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41E56CC0">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14:paraId="1805467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b w:val="0"/>
          <w:bCs/>
          <w:color w:val="auto"/>
          <w:sz w:val="24"/>
        </w:rPr>
        <w:t>PYCG07202412005</w:t>
      </w:r>
    </w:p>
    <w:p w14:paraId="535792C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项目名称：</w:t>
      </w:r>
      <w:r>
        <w:rPr>
          <w:rFonts w:hint="eastAsia" w:ascii="仿宋" w:hAnsi="仿宋" w:eastAsia="仿宋" w:cs="仿宋"/>
          <w:b w:val="0"/>
          <w:bCs/>
          <w:color w:val="auto"/>
          <w:sz w:val="24"/>
        </w:rPr>
        <w:t>浦阳镇2025-2026年度机埠运行管理及维修养护政府采购项目</w:t>
      </w:r>
    </w:p>
    <w:p w14:paraId="4F91EACA">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b/>
          <w:color w:val="auto"/>
          <w:sz w:val="24"/>
        </w:rPr>
        <w:t xml:space="preserve"> 预算金额（元）：</w:t>
      </w:r>
      <w:r>
        <w:rPr>
          <w:rFonts w:hint="eastAsia" w:ascii="仿宋" w:hAnsi="仿宋" w:eastAsia="仿宋" w:cs="仿宋"/>
          <w:b w:val="0"/>
          <w:bCs/>
          <w:color w:val="auto"/>
          <w:sz w:val="24"/>
          <w:lang w:val="en-US" w:eastAsia="zh-CN"/>
        </w:rPr>
        <w:t>1400000</w:t>
      </w:r>
      <w:r>
        <w:rPr>
          <w:rFonts w:hint="eastAsia" w:ascii="仿宋" w:hAnsi="仿宋" w:eastAsia="仿宋" w:cs="仿宋"/>
          <w:color w:val="auto"/>
          <w:sz w:val="24"/>
        </w:rPr>
        <w:t xml:space="preserve"> </w:t>
      </w:r>
    </w:p>
    <w:p w14:paraId="5BA7B8F0">
      <w:pPr>
        <w:spacing w:line="360" w:lineRule="auto"/>
        <w:ind w:firstLine="480"/>
        <w:rPr>
          <w:rFonts w:hint="eastAsia" w:ascii="仿宋" w:hAnsi="仿宋" w:eastAsia="仿宋" w:cs="仿宋"/>
          <w:color w:val="auto"/>
          <w:sz w:val="24"/>
        </w:rPr>
      </w:pPr>
      <w:r>
        <w:rPr>
          <w:rFonts w:hint="eastAsia" w:ascii="仿宋" w:hAnsi="仿宋" w:eastAsia="仿宋" w:cs="仿宋"/>
          <w:b/>
          <w:color w:val="auto"/>
          <w:sz w:val="24"/>
        </w:rPr>
        <w:t>最高限价（元）：</w:t>
      </w:r>
      <w:r>
        <w:rPr>
          <w:rFonts w:hint="eastAsia" w:ascii="仿宋" w:hAnsi="仿宋" w:eastAsia="仿宋" w:cs="仿宋"/>
          <w:b w:val="0"/>
          <w:bCs/>
          <w:color w:val="auto"/>
          <w:sz w:val="24"/>
          <w:lang w:val="en-US" w:eastAsia="zh-CN"/>
        </w:rPr>
        <w:t>1400000</w:t>
      </w:r>
      <w:r>
        <w:rPr>
          <w:rFonts w:hint="eastAsia" w:ascii="仿宋" w:hAnsi="仿宋" w:eastAsia="仿宋" w:cs="仿宋"/>
          <w:color w:val="auto"/>
          <w:sz w:val="24"/>
        </w:rPr>
        <w:t xml:space="preserve"> </w:t>
      </w:r>
    </w:p>
    <w:p w14:paraId="2CB0250C">
      <w:pPr>
        <w:pStyle w:val="15"/>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val="0"/>
          <w:bCs/>
          <w:color w:val="auto"/>
          <w:sz w:val="24"/>
        </w:rPr>
        <w:t>浦阳镇2025-2026年度机埠运行管理及维修养护政府采购项目</w:t>
      </w:r>
      <w:r>
        <w:rPr>
          <w:rFonts w:hint="eastAsia" w:ascii="仿宋" w:hAnsi="仿宋" w:eastAsia="仿宋" w:cs="仿宋"/>
          <w:bCs/>
          <w:snapToGrid/>
          <w:color w:val="auto"/>
          <w:kern w:val="2"/>
          <w:sz w:val="24"/>
          <w:szCs w:val="24"/>
        </w:rPr>
        <w:t xml:space="preserve">主要内容： </w:t>
      </w:r>
      <w:r>
        <w:rPr>
          <w:rFonts w:hint="eastAsia" w:ascii="仿宋" w:hAnsi="仿宋" w:eastAsia="仿宋" w:cs="仿宋"/>
          <w:b w:val="0"/>
          <w:bCs/>
          <w:color w:val="auto"/>
          <w:sz w:val="24"/>
        </w:rPr>
        <w:t>浦阳镇2025-2026年度机埠运行管理及维修养护政府采购项目</w:t>
      </w:r>
      <w:r>
        <w:rPr>
          <w:rFonts w:hint="eastAsia" w:ascii="仿宋" w:hAnsi="仿宋" w:eastAsia="仿宋" w:cs="仿宋"/>
          <w:bCs/>
          <w:snapToGrid/>
          <w:color w:val="auto"/>
          <w:kern w:val="2"/>
          <w:sz w:val="24"/>
          <w:szCs w:val="24"/>
        </w:rPr>
        <w:t>。</w:t>
      </w: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72C21D24">
      <w:pPr>
        <w:pStyle w:val="128"/>
        <w:ind w:firstLine="482"/>
        <w:outlineLvl w:val="2"/>
        <w:rPr>
          <w:rFonts w:hint="eastAsia" w:ascii="仿宋" w:hAnsi="仿宋" w:eastAsia="仿宋" w:cs="仿宋"/>
          <w:color w:val="auto"/>
        </w:rPr>
      </w:pPr>
      <w:r>
        <w:rPr>
          <w:rFonts w:hint="eastAsia" w:ascii="仿宋" w:hAnsi="仿宋" w:eastAsia="仿宋" w:cs="仿宋"/>
          <w:b/>
          <w:color w:val="auto"/>
        </w:rPr>
        <w:t>合同履约期限： 详见招标文件</w:t>
      </w:r>
    </w:p>
    <w:p w14:paraId="77B84D9E">
      <w:pPr>
        <w:pStyle w:val="15"/>
        <w:spacing w:line="360" w:lineRule="auto"/>
        <w:ind w:firstLine="480"/>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hint="eastAsia" w:ascii="Wingdings" w:hAnsi="Wingdings" w:eastAsia="仿宋" w:cs="仿宋"/>
              <w:snapToGrid/>
              <w:color w:val="auto"/>
              <w:kern w:val="2"/>
              <w:sz w:val="24"/>
              <w:szCs w:val="24"/>
              <w:lang w:val="en-US" w:eastAsia="zh-CN" w:bidi="ar-SA"/>
            </w:rPr>
            <w:t>þ</w:t>
          </w:r>
        </w:sdtContent>
      </w:sdt>
      <w:r>
        <w:rPr>
          <w:rFonts w:hint="eastAsia" w:ascii="仿宋" w:hAnsi="仿宋" w:eastAsia="仿宋" w:cs="仿宋"/>
          <w:snapToGrid/>
          <w:color w:val="auto"/>
          <w:kern w:val="2"/>
          <w:sz w:val="24"/>
          <w:szCs w:val="24"/>
        </w:rPr>
        <w:t xml:space="preserve"> 是；</w:t>
      </w:r>
      <w:sdt>
        <w:sdtPr>
          <w:rPr>
            <w:rFonts w:hint="eastAsia" w:ascii="仿宋" w:hAnsi="仿宋" w:eastAsia="仿宋" w:cs="仿宋"/>
            <w:snapToGrid/>
            <w:color w:val="auto"/>
            <w:kern w:val="2"/>
            <w:sz w:val="24"/>
            <w:szCs w:val="24"/>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rPr>
        </w:sdtEndPr>
        <w:sdtContent>
          <w:r>
            <w:rPr>
              <w:rFonts w:hint="eastAsia" w:ascii="仿宋" w:hAnsi="仿宋" w:eastAsia="仿宋" w:cs="仿宋"/>
              <w:snapToGrid/>
              <w:color w:val="auto"/>
              <w:kern w:val="2"/>
              <w:sz w:val="24"/>
              <w:szCs w:val="24"/>
            </w:rPr>
            <w:t>☐</w:t>
          </w:r>
        </w:sdtContent>
      </w:sdt>
      <w:r>
        <w:rPr>
          <w:rFonts w:hint="eastAsia" w:ascii="仿宋" w:hAnsi="仿宋" w:eastAsia="仿宋" w:cs="仿宋"/>
          <w:snapToGrid/>
          <w:color w:val="auto"/>
          <w:kern w:val="2"/>
          <w:sz w:val="24"/>
          <w:szCs w:val="24"/>
        </w:rPr>
        <w:t xml:space="preserve"> 否</w:t>
      </w:r>
    </w:p>
    <w:p w14:paraId="36D32071">
      <w:pPr>
        <w:spacing w:line="360" w:lineRule="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295563E6">
      <w:pPr>
        <w:spacing w:line="360" w:lineRule="auto"/>
        <w:ind w:firstLine="48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D173052">
      <w:pPr>
        <w:spacing w:line="360" w:lineRule="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以联合体形式投标的，提供联合协议(本项目不接受联合体投标或者投标人不以联合体形式投标的，则不需要提供) ；</w:t>
      </w:r>
    </w:p>
    <w:p w14:paraId="11DC1507">
      <w:pPr>
        <w:spacing w:line="36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1682403A">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p>
    <w:p w14:paraId="233D666B">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4"/>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0BDF388C">
      <w:pPr>
        <w:spacing w:line="360" w:lineRule="auto"/>
        <w:ind w:firstLine="897" w:firstLineChars="374"/>
        <w:rPr>
          <w:rFonts w:hint="eastAsia" w:ascii="仿宋" w:hAnsi="仿宋" w:eastAsia="仿宋" w:cs="仿宋"/>
          <w:color w:val="auto"/>
          <w:sz w:val="24"/>
        </w:rPr>
      </w:pPr>
      <w:sdt>
        <w:sdtPr>
          <w:rPr>
            <w:rFonts w:hint="eastAsia" w:ascii="仿宋" w:hAnsi="仿宋" w:eastAsia="仿宋" w:cs="仿宋"/>
            <w:color w:val="auto"/>
            <w:kern w:val="0"/>
            <w:sz w:val="24"/>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sz w:val="24"/>
        </w:rPr>
        <w:t>服务全部由符合政策要求的中小企业承接，提供中小企业声明函；</w:t>
      </w:r>
    </w:p>
    <w:p w14:paraId="21F30857">
      <w:pPr>
        <w:spacing w:line="360" w:lineRule="auto"/>
        <w:ind w:firstLine="897" w:firstLineChars="374"/>
        <w:rPr>
          <w:rFonts w:hint="eastAsia" w:ascii="仿宋" w:hAnsi="仿宋" w:eastAsia="仿宋" w:cs="仿宋"/>
          <w:color w:val="auto"/>
        </w:rPr>
      </w:pPr>
      <w:sdt>
        <w:sdtPr>
          <w:rPr>
            <w:rFonts w:hint="eastAsia" w:ascii="仿宋" w:hAnsi="仿宋" w:eastAsia="仿宋" w:cs="仿宋"/>
            <w:color w:val="auto"/>
            <w:kern w:val="0"/>
            <w:sz w:val="24"/>
          </w:rPr>
          <w:id w:val="6"/>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服务全部由符合政策要求的小微企业承接，提供中小企业声明函；</w:t>
      </w:r>
    </w:p>
    <w:p w14:paraId="2B503772">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14:paraId="0511CB68">
      <w:pPr>
        <w:spacing w:line="360" w:lineRule="auto"/>
        <w:ind w:firstLine="480" w:firstLineChars="200"/>
        <w:rPr>
          <w:rFonts w:hint="eastAsia" w:ascii="仿宋" w:hAnsi="仿宋" w:eastAsia="仿宋" w:cs="仿宋"/>
          <w:color w:val="auto"/>
          <w:sz w:val="24"/>
        </w:rPr>
      </w:pPr>
      <w:sdt>
        <w:sdtPr>
          <w:rPr>
            <w:rFonts w:hint="eastAsia" w:ascii="仿宋" w:hAnsi="仿宋" w:eastAsia="仿宋" w:cs="仿宋"/>
            <w:color w:val="auto"/>
            <w:kern w:val="0"/>
            <w:sz w:val="24"/>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14:paraId="4DDBCF49">
      <w:pPr>
        <w:snapToGrid w:val="0"/>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4.本项目的特定资格要求：</w:t>
      </w:r>
      <w:sdt>
        <w:sdtPr>
          <w:rPr>
            <w:rFonts w:hint="eastAsia" w:ascii="仿宋" w:hAnsi="仿宋" w:eastAsia="仿宋" w:cs="仿宋"/>
            <w:color w:val="auto"/>
            <w:kern w:val="0"/>
            <w:sz w:val="24"/>
          </w:rPr>
          <w:id w:val="465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无</w:t>
      </w:r>
    </w:p>
    <w:p w14:paraId="6004A95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D954916">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2E70D3C3">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/至202</w:t>
      </w:r>
      <w:r>
        <w:rPr>
          <w:rFonts w:hint="eastAsia" w:ascii="仿宋" w:hAnsi="仿宋" w:eastAsia="仿宋" w:cs="仿宋"/>
          <w:color w:val="auto"/>
          <w:sz w:val="24"/>
          <w:lang w:val="en-US" w:eastAsia="zh-CN"/>
        </w:rPr>
        <w:t>5</w:t>
      </w:r>
      <w:r>
        <w:rPr>
          <w:rFonts w:hint="eastAsia" w:ascii="仿宋" w:hAnsi="仿宋" w:eastAsia="仿宋" w:cs="仿宋"/>
          <w:color w:val="auto"/>
          <w:sz w:val="24"/>
        </w:rPr>
        <w:t>年</w:t>
      </w:r>
      <w:r>
        <w:rPr>
          <w:rFonts w:hint="eastAsia" w:ascii="仿宋" w:hAnsi="仿宋" w:eastAsia="仿宋" w:cs="仿宋"/>
          <w:color w:val="auto"/>
          <w:sz w:val="24"/>
          <w:lang w:val="en-US" w:eastAsia="zh-CN"/>
        </w:rPr>
        <w:t>1</w:t>
      </w:r>
      <w:r>
        <w:rPr>
          <w:rFonts w:hint="eastAsia" w:ascii="仿宋" w:hAnsi="仿宋" w:eastAsia="仿宋" w:cs="仿宋"/>
          <w:color w:val="auto"/>
          <w:sz w:val="24"/>
        </w:rPr>
        <w:t>月</w:t>
      </w:r>
      <w:r>
        <w:rPr>
          <w:rFonts w:hint="eastAsia" w:ascii="仿宋" w:hAnsi="仿宋" w:eastAsia="仿宋" w:cs="仿宋"/>
          <w:color w:val="auto"/>
          <w:sz w:val="24"/>
          <w:lang w:val="en-US" w:eastAsia="zh-CN"/>
        </w:rPr>
        <w:t>14</w:t>
      </w:r>
      <w:r>
        <w:rPr>
          <w:rFonts w:hint="eastAsia" w:ascii="仿宋" w:hAnsi="仿宋" w:eastAsia="仿宋" w:cs="仿宋"/>
          <w:color w:val="auto"/>
          <w:sz w:val="24"/>
        </w:rPr>
        <w:t>日，每天上午00:00至12:00 ，下午12:00至23:59（北京时间，线上获取法定节假日均可，线下获取文件法定节假日除外）</w:t>
      </w:r>
    </w:p>
    <w:p w14:paraId="7EB2EBB9">
      <w:pPr>
        <w:spacing w:line="360" w:lineRule="auto"/>
        <w:ind w:firstLine="482" w:firstLineChars="200"/>
        <w:rPr>
          <w:rFonts w:hint="eastAsia" w:ascii="仿宋" w:hAnsi="仿宋" w:eastAsia="仿宋" w:cs="仿宋"/>
          <w:color w:val="auto"/>
          <w:sz w:val="24"/>
        </w:rPr>
      </w:pPr>
      <w:r>
        <w:rPr>
          <w:rFonts w:hint="eastAsia" w:ascii="仿宋" w:hAnsi="仿宋" w:eastAsia="仿宋" w:cs="仿宋"/>
          <w:b/>
          <w:bCs/>
          <w:color w:val="auto"/>
          <w:sz w:val="24"/>
        </w:rPr>
        <w:t>地点（网址）：</w:t>
      </w:r>
      <w:r>
        <w:rPr>
          <w:rFonts w:hint="eastAsia" w:ascii="仿宋" w:hAnsi="仿宋" w:eastAsia="仿宋" w:cs="仿宋"/>
          <w:color w:val="auto"/>
          <w:sz w:val="24"/>
        </w:rPr>
        <w:t xml:space="preserve">政采云平台（https://www.zcygov.cn/） </w:t>
      </w:r>
    </w:p>
    <w:p w14:paraId="3EE32F81">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044303E8">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27A1C1BD">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0F82735F">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14:paraId="4A017C62">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3F3E6FE7">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14</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14:paraId="47BC3D07">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232E0B1B">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14:paraId="61F660E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4A1D2E8C">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043AD002">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3EF972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89D787">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D3FA48">
      <w:pPr>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w:t>
      </w:r>
      <w:r>
        <w:rPr>
          <w:rFonts w:hint="eastAsia" w:ascii="仿宋" w:hAnsi="仿宋" w:eastAsia="仿宋" w:cs="仿宋"/>
          <w:color w:val="auto"/>
          <w:sz w:val="24"/>
        </w:rPr>
        <w:t>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6F71E5A">
      <w:pPr>
        <w:spacing w:line="360" w:lineRule="auto"/>
        <w:rPr>
          <w:rFonts w:hint="eastAsia"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225E42D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14:paraId="711ACC8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w:t>
      </w:r>
      <w:r>
        <w:rPr>
          <w:rFonts w:hint="eastAsia" w:ascii="仿宋" w:hAnsi="仿宋" w:eastAsia="仿宋" w:cs="仿宋"/>
          <w:color w:val="auto"/>
          <w:sz w:val="24"/>
          <w:szCs w:val="28"/>
          <w:highlight w:val="none"/>
          <w:lang w:eastAsia="zh-CN"/>
        </w:rPr>
        <w:t>杭州市萧山区浦阳镇人民政府</w:t>
      </w:r>
      <w:r>
        <w:rPr>
          <w:rFonts w:hint="eastAsia" w:ascii="仿宋" w:hAnsi="仿宋" w:eastAsia="仿宋" w:cs="仿宋"/>
          <w:color w:val="auto"/>
          <w:sz w:val="24"/>
        </w:rPr>
        <w:t xml:space="preserve"> </w:t>
      </w:r>
    </w:p>
    <w:p w14:paraId="0D2AE8A1">
      <w:pPr>
        <w:spacing w:line="360" w:lineRule="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lang w:eastAsia="zh-CN"/>
        </w:rPr>
        <w:t xml:space="preserve">    地    址：萧山区浦阳镇振浦路288号       </w:t>
      </w:r>
    </w:p>
    <w:p w14:paraId="15EA8830">
      <w:pPr>
        <w:spacing w:line="360" w:lineRule="auto"/>
        <w:ind w:firstLine="480" w:firstLineChars="200"/>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lang w:eastAsia="zh-CN"/>
        </w:rPr>
        <w:t>传    真： /</w:t>
      </w:r>
    </w:p>
    <w:p w14:paraId="4D514100">
      <w:pPr>
        <w:spacing w:line="360" w:lineRule="auto"/>
        <w:ind w:firstLine="480" w:firstLineChars="200"/>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lang w:eastAsia="zh-CN"/>
        </w:rPr>
        <w:t>项目联系人（询问）：</w:t>
      </w:r>
      <w:r>
        <w:rPr>
          <w:rFonts w:hint="eastAsia" w:ascii="仿宋" w:hAnsi="仿宋" w:eastAsia="仿宋" w:cs="仿宋"/>
          <w:color w:val="auto"/>
          <w:sz w:val="24"/>
          <w:szCs w:val="28"/>
          <w:highlight w:val="none"/>
          <w:lang w:val="en-US" w:eastAsia="zh-CN"/>
        </w:rPr>
        <w:t>王成杰</w:t>
      </w:r>
      <w:r>
        <w:rPr>
          <w:rFonts w:hint="eastAsia" w:ascii="仿宋" w:hAnsi="仿宋" w:eastAsia="仿宋" w:cs="仿宋"/>
          <w:color w:val="auto"/>
          <w:sz w:val="24"/>
          <w:szCs w:val="28"/>
          <w:highlight w:val="none"/>
          <w:lang w:eastAsia="zh-CN"/>
        </w:rPr>
        <w:t xml:space="preserve"> </w:t>
      </w:r>
    </w:p>
    <w:p w14:paraId="70CB3FEF">
      <w:pPr>
        <w:spacing w:line="360" w:lineRule="auto"/>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eastAsia="zh-CN"/>
        </w:rPr>
        <w:t xml:space="preserve">    项目联系方式（询问）：</w:t>
      </w:r>
      <w:r>
        <w:rPr>
          <w:rFonts w:hint="eastAsia" w:ascii="仿宋" w:hAnsi="仿宋" w:eastAsia="仿宋" w:cs="仿宋"/>
          <w:color w:val="auto"/>
          <w:sz w:val="24"/>
          <w:szCs w:val="28"/>
          <w:highlight w:val="none"/>
          <w:lang w:val="en-US" w:eastAsia="zh-CN"/>
        </w:rPr>
        <w:t>0571-82279023</w:t>
      </w:r>
      <w:bookmarkStart w:id="504" w:name="_GoBack"/>
      <w:bookmarkEnd w:id="504"/>
    </w:p>
    <w:p w14:paraId="4A4CB1F6">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szCs w:val="28"/>
          <w:highlight w:val="none"/>
        </w:rPr>
        <w:t>孙传云</w:t>
      </w:r>
      <w:r>
        <w:rPr>
          <w:rFonts w:hint="eastAsia" w:ascii="仿宋" w:hAnsi="仿宋" w:eastAsia="仿宋" w:cs="仿宋"/>
          <w:color w:val="auto"/>
          <w:sz w:val="24"/>
        </w:rPr>
        <w:t xml:space="preserve"> </w:t>
      </w:r>
    </w:p>
    <w:p w14:paraId="748B24F4">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w:t>
      </w:r>
      <w:r>
        <w:rPr>
          <w:rFonts w:hint="eastAsia" w:ascii="仿宋" w:hAnsi="仿宋" w:eastAsia="仿宋" w:cs="仿宋"/>
          <w:color w:val="auto"/>
          <w:sz w:val="24"/>
          <w:szCs w:val="28"/>
          <w:highlight w:val="none"/>
        </w:rPr>
        <w:t>0571-82279063</w:t>
      </w:r>
      <w:r>
        <w:rPr>
          <w:rFonts w:hint="eastAsia" w:ascii="仿宋" w:hAnsi="仿宋" w:eastAsia="仿宋" w:cs="仿宋"/>
          <w:color w:val="auto"/>
          <w:sz w:val="24"/>
        </w:rPr>
        <w:t xml:space="preserve">   </w:t>
      </w:r>
    </w:p>
    <w:p w14:paraId="7FEA465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2.采购代理机构信息            </w:t>
      </w:r>
    </w:p>
    <w:p w14:paraId="3FE18125">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名    称：</w:t>
      </w:r>
      <w:r>
        <w:rPr>
          <w:rFonts w:hint="eastAsia" w:ascii="仿宋" w:hAnsi="仿宋" w:eastAsia="仿宋" w:cs="仿宋"/>
          <w:color w:val="auto"/>
          <w:sz w:val="24"/>
          <w:highlight w:val="none"/>
          <w:lang w:eastAsia="zh-CN"/>
        </w:rPr>
        <w:t>浙江省房地产管理咨询有限公司</w:t>
      </w:r>
    </w:p>
    <w:p w14:paraId="1392A4BF">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szCs w:val="28"/>
          <w:highlight w:val="none"/>
        </w:rPr>
        <w:t>萧山区蜀山街道柳桥南和城4幢1单元1003室</w:t>
      </w:r>
    </w:p>
    <w:p w14:paraId="6C0E6C1D">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传    真：/ </w:t>
      </w:r>
    </w:p>
    <w:p w14:paraId="2642BDD9">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lang w:val="en-US" w:eastAsia="zh-CN"/>
        </w:rPr>
        <w:t>俞佳</w:t>
      </w:r>
      <w:r>
        <w:rPr>
          <w:rFonts w:hint="eastAsia" w:ascii="仿宋" w:hAnsi="仿宋" w:eastAsia="仿宋" w:cs="仿宋"/>
          <w:color w:val="auto"/>
          <w:sz w:val="24"/>
        </w:rPr>
        <w:t xml:space="preserve"> </w:t>
      </w:r>
    </w:p>
    <w:p w14:paraId="1B37056F">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15869113948</w:t>
      </w:r>
    </w:p>
    <w:p w14:paraId="0A493EA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szCs w:val="28"/>
          <w:highlight w:val="none"/>
          <w:lang w:val="en-US" w:eastAsia="zh-CN"/>
        </w:rPr>
        <w:t>田岳</w:t>
      </w:r>
    </w:p>
    <w:p w14:paraId="424BB5A1">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w:t>
      </w:r>
      <w:r>
        <w:rPr>
          <w:rFonts w:hint="eastAsia" w:ascii="仿宋" w:hAnsi="仿宋" w:eastAsia="仿宋" w:cs="仿宋"/>
          <w:color w:val="auto"/>
          <w:kern w:val="0"/>
          <w:sz w:val="24"/>
          <w:highlight w:val="none"/>
        </w:rPr>
        <w:t>0571-83731873</w:t>
      </w:r>
    </w:p>
    <w:p w14:paraId="64496E14">
      <w:pPr>
        <w:spacing w:line="360" w:lineRule="auto"/>
        <w:rPr>
          <w:rFonts w:hint="eastAsia" w:ascii="仿宋" w:hAnsi="仿宋" w:eastAsia="仿宋" w:cs="仿宋"/>
          <w:sz w:val="24"/>
        </w:rPr>
      </w:pPr>
      <w:r>
        <w:rPr>
          <w:rFonts w:hint="eastAsia" w:ascii="仿宋" w:hAnsi="仿宋" w:eastAsia="仿宋" w:cs="仿宋"/>
          <w:sz w:val="24"/>
        </w:rPr>
        <w:t xml:space="preserve">    3.</w:t>
      </w:r>
      <w:r>
        <w:rPr>
          <w:rFonts w:hint="eastAsia" w:ascii="仿宋" w:hAnsi="仿宋" w:eastAsia="仿宋" w:cs="仿宋"/>
        </w:rPr>
        <w:t xml:space="preserve"> </w:t>
      </w:r>
      <w:r>
        <w:rPr>
          <w:rFonts w:hint="eastAsia" w:ascii="仿宋" w:hAnsi="仿宋" w:eastAsia="仿宋" w:cs="仿宋"/>
          <w:sz w:val="24"/>
        </w:rPr>
        <w:t xml:space="preserve">同级政府采购监督管理部门            </w:t>
      </w:r>
    </w:p>
    <w:p w14:paraId="1A2E3149">
      <w:pPr>
        <w:spacing w:line="360" w:lineRule="auto"/>
        <w:rPr>
          <w:rFonts w:hint="eastAsia" w:ascii="仿宋" w:hAnsi="仿宋" w:eastAsia="仿宋" w:cs="仿宋"/>
          <w:color w:val="auto"/>
          <w:sz w:val="24"/>
        </w:rPr>
      </w:pPr>
      <w:r>
        <w:rPr>
          <w:rFonts w:hint="eastAsia" w:ascii="仿宋" w:hAnsi="仿宋" w:eastAsia="仿宋" w:cs="仿宋"/>
          <w:sz w:val="24"/>
        </w:rPr>
        <w:t xml:space="preserve">   </w:t>
      </w:r>
      <w:r>
        <w:rPr>
          <w:rFonts w:hint="eastAsia" w:ascii="仿宋" w:hAnsi="仿宋" w:eastAsia="仿宋" w:cs="仿宋"/>
          <w:color w:val="auto"/>
          <w:sz w:val="24"/>
        </w:rPr>
        <w:t>名    称：萧山区财政局、浙江省政府采购行政裁决服务中心（杭州）</w:t>
      </w:r>
    </w:p>
    <w:p w14:paraId="27DF8AA4">
      <w:pPr>
        <w:spacing w:line="360" w:lineRule="auto"/>
        <w:ind w:left="237" w:leftChars="113" w:firstLine="180" w:firstLineChars="75"/>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lang w:eastAsia="zh-CN"/>
        </w:rPr>
        <w:t>杭州市上城区清泰街549号城建综合大楼11楼</w:t>
      </w:r>
      <w:r>
        <w:rPr>
          <w:rFonts w:hint="eastAsia" w:ascii="仿宋" w:hAnsi="仿宋" w:eastAsia="仿宋" w:cs="仿宋"/>
          <w:color w:val="auto"/>
          <w:sz w:val="24"/>
        </w:rPr>
        <w:t>（快递仅限ems或顺丰）</w:t>
      </w:r>
    </w:p>
    <w:p w14:paraId="4AF3A2EF">
      <w:pPr>
        <w:spacing w:line="360" w:lineRule="auto"/>
        <w:ind w:left="237" w:leftChars="113" w:firstLine="180" w:firstLineChars="75"/>
        <w:rPr>
          <w:rFonts w:hint="eastAsia" w:ascii="仿宋" w:hAnsi="仿宋" w:eastAsia="仿宋" w:cs="仿宋"/>
          <w:color w:val="auto"/>
          <w:sz w:val="24"/>
        </w:rPr>
      </w:pPr>
      <w:r>
        <w:rPr>
          <w:rFonts w:hint="eastAsia" w:ascii="仿宋" w:hAnsi="仿宋" w:eastAsia="仿宋" w:cs="仿宋"/>
          <w:color w:val="auto"/>
          <w:sz w:val="24"/>
        </w:rPr>
        <w:t>传    真：/</w:t>
      </w:r>
    </w:p>
    <w:p w14:paraId="2F3A86C1">
      <w:pPr>
        <w:spacing w:line="360" w:lineRule="auto"/>
        <w:ind w:left="237" w:leftChars="113" w:firstLine="180" w:firstLineChars="75"/>
        <w:rPr>
          <w:rFonts w:hint="eastAsia" w:ascii="仿宋" w:hAnsi="仿宋" w:eastAsia="仿宋" w:cs="仿宋"/>
          <w:sz w:val="24"/>
        </w:rPr>
      </w:pPr>
      <w:r>
        <w:rPr>
          <w:rFonts w:hint="eastAsia" w:ascii="仿宋" w:hAnsi="仿宋" w:eastAsia="仿宋" w:cs="仿宋"/>
          <w:sz w:val="24"/>
        </w:rPr>
        <w:t>联系人：朱女士/王女士</w:t>
      </w:r>
    </w:p>
    <w:p w14:paraId="55146061">
      <w:pPr>
        <w:spacing w:line="360" w:lineRule="auto"/>
        <w:ind w:left="237" w:leftChars="113" w:firstLine="180" w:firstLineChars="75"/>
        <w:rPr>
          <w:rFonts w:hint="eastAsia" w:ascii="仿宋" w:hAnsi="仿宋" w:eastAsia="仿宋" w:cs="仿宋"/>
          <w:sz w:val="24"/>
        </w:rPr>
      </w:pPr>
      <w:r>
        <w:rPr>
          <w:rFonts w:hint="eastAsia" w:ascii="仿宋" w:hAnsi="仿宋" w:eastAsia="仿宋" w:cs="仿宋"/>
          <w:sz w:val="24"/>
        </w:rPr>
        <w:t>监督投诉电话：0571-8</w:t>
      </w:r>
      <w:r>
        <w:rPr>
          <w:rFonts w:hint="eastAsia" w:ascii="仿宋" w:hAnsi="仿宋" w:eastAsia="仿宋" w:cs="仿宋"/>
          <w:sz w:val="24"/>
          <w:lang w:val="en-US" w:eastAsia="zh-CN"/>
        </w:rPr>
        <w:t>7227671,0571-87800218</w:t>
      </w:r>
      <w:r>
        <w:rPr>
          <w:rFonts w:hint="eastAsia" w:ascii="仿宋" w:hAnsi="仿宋" w:eastAsia="仿宋" w:cs="仿宋"/>
          <w:sz w:val="24"/>
        </w:rPr>
        <w:t xml:space="preserve"> </w:t>
      </w:r>
    </w:p>
    <w:p w14:paraId="3DFDF991">
      <w:pPr>
        <w:spacing w:line="360" w:lineRule="auto"/>
        <w:ind w:firstLine="420"/>
        <w:rPr>
          <w:rFonts w:hint="eastAsia" w:ascii="仿宋" w:hAnsi="仿宋" w:eastAsia="仿宋" w:cs="仿宋"/>
          <w:sz w:val="24"/>
        </w:rPr>
      </w:pPr>
      <w:r>
        <w:rPr>
          <w:rFonts w:hint="eastAsia" w:ascii="仿宋" w:hAnsi="仿宋" w:eastAsia="仿宋" w:cs="仿宋"/>
          <w:sz w:val="24"/>
        </w:rPr>
        <w:t>政策咨询电话：0571-82756122  （汤先生）</w:t>
      </w:r>
    </w:p>
    <w:p w14:paraId="1C5F9608">
      <w:pPr>
        <w:spacing w:line="360" w:lineRule="auto"/>
        <w:jc w:val="left"/>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272CDAC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098D83D1">
      <w:pPr>
        <w:widowControl/>
        <w:adjustRightInd/>
        <w:jc w:val="left"/>
        <w:rPr>
          <w:rFonts w:hint="eastAsia" w:ascii="仿宋" w:hAnsi="仿宋" w:eastAsia="仿宋" w:cs="仿宋"/>
          <w:b/>
          <w:sz w:val="36"/>
          <w:szCs w:val="20"/>
        </w:rPr>
      </w:pPr>
      <w:r>
        <w:rPr>
          <w:rFonts w:hint="eastAsia" w:ascii="仿宋" w:hAnsi="仿宋" w:eastAsia="仿宋" w:cs="仿宋"/>
          <w:b/>
          <w:sz w:val="36"/>
          <w:szCs w:val="20"/>
        </w:rPr>
        <w:br w:type="page"/>
      </w:r>
    </w:p>
    <w:p w14:paraId="0F38B911">
      <w:pPr>
        <w:adjustRightInd/>
        <w:spacing w:line="360" w:lineRule="auto"/>
        <w:jc w:val="center"/>
        <w:outlineLvl w:val="0"/>
        <w:rPr>
          <w:rFonts w:hint="eastAsia" w:ascii="仿宋" w:hAnsi="仿宋" w:eastAsia="仿宋" w:cs="仿宋"/>
          <w:b/>
          <w:color w:val="auto"/>
          <w:sz w:val="36"/>
          <w:szCs w:val="20"/>
        </w:rPr>
      </w:pPr>
      <w:r>
        <w:rPr>
          <w:rFonts w:hint="eastAsia" w:ascii="仿宋" w:hAnsi="仿宋" w:eastAsia="仿宋" w:cs="仿宋"/>
          <w:b/>
          <w:color w:val="auto"/>
          <w:sz w:val="36"/>
          <w:szCs w:val="20"/>
        </w:rPr>
        <w:t>第二部分</w:t>
      </w:r>
      <w:bookmarkEnd w:id="4"/>
      <w:r>
        <w:rPr>
          <w:rFonts w:hint="eastAsia" w:ascii="仿宋" w:hAnsi="仿宋" w:eastAsia="仿宋" w:cs="仿宋"/>
          <w:b/>
          <w:color w:val="auto"/>
          <w:sz w:val="36"/>
          <w:szCs w:val="20"/>
        </w:rPr>
        <w:t xml:space="preserve"> 投标人须知</w:t>
      </w:r>
      <w:bookmarkEnd w:id="5"/>
    </w:p>
    <w:p w14:paraId="11B992FB">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A7C2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3280E8E">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82696B9">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8DBCD3E">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54641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7969AA">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3EEC93F">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161EB62">
            <w:pPr>
              <w:spacing w:line="360" w:lineRule="auto"/>
              <w:rPr>
                <w:rFonts w:hint="eastAsia" w:ascii="仿宋" w:hAnsi="仿宋" w:eastAsia="仿宋" w:cs="仿宋"/>
                <w:color w:val="auto"/>
                <w:sz w:val="24"/>
              </w:rPr>
            </w:pPr>
            <w:r>
              <w:rPr>
                <w:rFonts w:hint="eastAsia" w:ascii="仿宋" w:hAnsi="仿宋" w:eastAsia="仿宋" w:cs="仿宋"/>
                <w:color w:val="auto"/>
                <w:sz w:val="24"/>
              </w:rPr>
              <w:t>服务类。</w:t>
            </w:r>
          </w:p>
        </w:tc>
      </w:tr>
      <w:tr w14:paraId="63661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2D6871">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6B41923">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E63B86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（1）标的：</w:t>
            </w:r>
            <w:r>
              <w:rPr>
                <w:rFonts w:hint="eastAsia" w:ascii="仿宋" w:hAnsi="仿宋" w:eastAsia="仿宋" w:cs="仿宋"/>
                <w:color w:val="auto"/>
                <w:sz w:val="24"/>
                <w:u w:val="single"/>
              </w:rPr>
              <w:t xml:space="preserve"> 浦阳镇2025-2026年度机埠运行管理及维修养护政府采购</w:t>
            </w:r>
            <w:r>
              <w:rPr>
                <w:rFonts w:hint="eastAsia" w:ascii="仿宋" w:hAnsi="仿宋" w:eastAsia="仿宋" w:cs="仿宋"/>
                <w:color w:val="auto"/>
                <w:sz w:val="24"/>
                <w:u w:val="single"/>
                <w:lang w:val="en-US" w:eastAsia="zh-CN"/>
              </w:rPr>
              <w:t>项目</w:t>
            </w:r>
            <w:r>
              <w:rPr>
                <w:rFonts w:hint="eastAsia" w:ascii="仿宋" w:hAnsi="仿宋" w:eastAsia="仿宋" w:cs="仿宋"/>
                <w:color w:val="auto"/>
                <w:sz w:val="24"/>
                <w:u w:val="single"/>
              </w:rPr>
              <w:t>，</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其他未列明 </w:t>
            </w:r>
            <w:r>
              <w:rPr>
                <w:rFonts w:hint="eastAsia" w:ascii="仿宋" w:hAnsi="仿宋" w:eastAsia="仿宋" w:cs="仿宋"/>
                <w:color w:val="auto"/>
                <w:sz w:val="24"/>
              </w:rPr>
              <w:t>行业；</w:t>
            </w:r>
          </w:p>
          <w:p w14:paraId="328363C6">
            <w:pPr>
              <w:rPr>
                <w:rFonts w:hint="eastAsia" w:ascii="仿宋" w:hAnsi="仿宋" w:eastAsia="仿宋" w:cs="仿宋"/>
                <w:color w:val="auto"/>
              </w:rPr>
            </w:pPr>
            <w:r>
              <w:rPr>
                <w:rFonts w:hint="eastAsia" w:ascii="仿宋" w:hAnsi="仿宋" w:eastAsia="仿宋" w:cs="仿宋"/>
                <w:color w:val="auto"/>
                <w:sz w:val="24"/>
              </w:rPr>
              <w:t>《关于印发中小企业划型标准规定的通知》工信部联企业〔2011〕300号</w:t>
            </w:r>
          </w:p>
        </w:tc>
      </w:tr>
      <w:tr w14:paraId="14E20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2D2E99">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6D78799">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117103E">
            <w:pPr>
              <w:rPr>
                <w:rFonts w:hint="eastAsia" w:ascii="仿宋" w:hAnsi="仿宋" w:eastAsia="仿宋" w:cs="仿宋"/>
                <w:color w:val="auto"/>
                <w:sz w:val="24"/>
              </w:rPr>
            </w:pPr>
            <w:sdt>
              <w:sdtPr>
                <w:rPr>
                  <w:rFonts w:hint="eastAsia" w:ascii="仿宋" w:hAnsi="仿宋" w:eastAsia="仿宋" w:cs="仿宋"/>
                  <w:color w:val="auto"/>
                  <w:sz w:val="24"/>
                </w:rPr>
                <w:id w:val="4658"/>
                <w14:checkbox>
                  <w14:checked w14:val="1"/>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仿宋" w:hAnsi="仿宋" w:eastAsia="仿宋" w:cs="仿宋"/>
                    <w:color w:val="auto"/>
                    <w:sz w:val="24"/>
                  </w:rPr>
                  <w:sym w:font="Wingdings" w:char="F0FE"/>
                </w:r>
              </w:sdtContent>
            </w:sdt>
            <w:r>
              <w:rPr>
                <w:rFonts w:hint="eastAsia" w:ascii="仿宋" w:hAnsi="仿宋" w:eastAsia="仿宋" w:cs="仿宋"/>
                <w:color w:val="auto"/>
                <w:sz w:val="24"/>
              </w:rPr>
              <w:t>本项目不允许采购进口产品。</w:t>
            </w:r>
          </w:p>
          <w:p w14:paraId="6C84D2B4">
            <w:pPr>
              <w:rPr>
                <w:rFonts w:hint="eastAsia" w:ascii="仿宋" w:hAnsi="仿宋" w:eastAsia="仿宋" w:cs="仿宋"/>
                <w:color w:val="auto"/>
              </w:rPr>
            </w:pPr>
            <w:sdt>
              <w:sdtPr>
                <w:rPr>
                  <w:rFonts w:hint="eastAsia" w:ascii="仿宋" w:hAnsi="仿宋" w:eastAsia="仿宋" w:cs="仿宋"/>
                  <w:color w:val="auto"/>
                  <w:sz w:val="24"/>
                </w:rPr>
                <w:id w:val="4659"/>
                <w14:checkbox>
                  <w14:checked w14:val="0"/>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仿宋" w:hAnsi="仿宋" w:eastAsia="仿宋" w:cs="仿宋"/>
                    <w:color w:val="auto"/>
                    <w:sz w:val="24"/>
                  </w:rPr>
                  <w:t>☐</w:t>
                </w:r>
              </w:sdtContent>
            </w:sdt>
            <w:r>
              <w:rPr>
                <w:rFonts w:hint="eastAsia" w:ascii="仿宋" w:hAnsi="仿宋" w:eastAsia="仿宋" w:cs="仿宋"/>
                <w:color w:val="auto"/>
                <w:sz w:val="24"/>
              </w:rPr>
              <w:t>可以就    采购进口产品。</w:t>
            </w:r>
            <w:r>
              <w:rPr>
                <w:rFonts w:hint="eastAsia" w:ascii="仿宋" w:hAnsi="仿宋" w:eastAsia="仿宋" w:cs="仿宋"/>
                <w:color w:val="auto"/>
                <w:kern w:val="0"/>
                <w:sz w:val="24"/>
              </w:rPr>
              <w:t>优先采购向我国企业转让技术、与我国企业签订消化吸收再创新方案的供应商的进口产品，详见</w:t>
            </w:r>
            <w:r>
              <w:rPr>
                <w:rFonts w:hint="eastAsia" w:ascii="仿宋" w:hAnsi="仿宋" w:eastAsia="仿宋" w:cs="仿宋"/>
                <w:color w:val="auto"/>
                <w:kern w:val="0"/>
                <w:sz w:val="24"/>
                <w:u w:val="single"/>
              </w:rPr>
              <w:t>评分标准</w:t>
            </w:r>
            <w:r>
              <w:rPr>
                <w:rFonts w:hint="eastAsia" w:ascii="仿宋" w:hAnsi="仿宋" w:eastAsia="仿宋" w:cs="仿宋"/>
                <w:color w:val="auto"/>
                <w:kern w:val="0"/>
                <w:sz w:val="24"/>
              </w:rPr>
              <w:t>。</w:t>
            </w:r>
          </w:p>
        </w:tc>
      </w:tr>
      <w:tr w14:paraId="1FCA3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FA110B">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3FEF350">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B75D87E">
            <w:pPr>
              <w:spacing w:line="360" w:lineRule="auto"/>
              <w:rPr>
                <w:rFonts w:hint="eastAsia" w:ascii="仿宋" w:hAnsi="仿宋" w:eastAsia="仿宋" w:cs="仿宋"/>
                <w:color w:val="auto"/>
                <w:sz w:val="24"/>
                <w:lang w:eastAsia="zh-CN"/>
              </w:rPr>
            </w:pPr>
            <w:sdt>
              <w:sdtPr>
                <w:rPr>
                  <w:rFonts w:hint="eastAsia" w:ascii="仿宋" w:hAnsi="仿宋" w:eastAsia="仿宋" w:cs="仿宋"/>
                  <w:color w:val="auto"/>
                  <w:kern w:val="0"/>
                  <w:sz w:val="24"/>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同意将非主体、非关键性的工作分包</w:t>
            </w:r>
            <w:r>
              <w:rPr>
                <w:rFonts w:hint="eastAsia" w:ascii="仿宋" w:hAnsi="仿宋" w:eastAsia="仿宋" w:cs="仿宋"/>
                <w:color w:val="auto"/>
                <w:sz w:val="24"/>
                <w:lang w:eastAsia="zh-CN"/>
              </w:rPr>
              <w:t>。</w:t>
            </w:r>
          </w:p>
          <w:p w14:paraId="39A1E7C4">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p w14:paraId="63281E05">
            <w:pPr>
              <w:spacing w:line="360" w:lineRule="auto"/>
              <w:rPr>
                <w:rFonts w:hint="eastAsia" w:ascii="仿宋" w:hAnsi="仿宋" w:eastAsia="仿宋" w:cs="仿宋"/>
                <w:color w:val="auto"/>
                <w:sz w:val="24"/>
              </w:rPr>
            </w:pPr>
            <w:r>
              <w:rPr>
                <w:rFonts w:hint="eastAsia" w:ascii="仿宋" w:hAnsi="仿宋" w:eastAsia="仿宋" w:cs="仿宋"/>
                <w:color w:val="auto"/>
                <w:sz w:val="24"/>
              </w:rPr>
              <w:t>注：不得限制大中型企业向小微企业合理分包。</w:t>
            </w:r>
          </w:p>
        </w:tc>
      </w:tr>
      <w:tr w14:paraId="2614D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22C143">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8CC09F3">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8B2F8CC">
            <w:pPr>
              <w:spacing w:line="360" w:lineRule="auto"/>
              <w:rPr>
                <w:rFonts w:hint="eastAsia" w:ascii="仿宋" w:hAnsi="仿宋" w:eastAsia="仿宋" w:cs="仿宋"/>
                <w:color w:val="auto"/>
                <w:sz w:val="24"/>
                <w:szCs w:val="20"/>
              </w:rPr>
            </w:pPr>
            <w:sdt>
              <w:sdtPr>
                <w:rPr>
                  <w:rFonts w:hint="eastAsia" w:ascii="仿宋" w:hAnsi="仿宋" w:eastAsia="仿宋" w:cs="仿宋"/>
                  <w:color w:val="auto"/>
                  <w:kern w:val="0"/>
                  <w:sz w:val="24"/>
                </w:rPr>
                <w:id w:val="4662"/>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tc>
      </w:tr>
      <w:tr w14:paraId="6EA1B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BD3C75">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D95DFA4">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4AB7334">
            <w:pPr>
              <w:spacing w:line="360" w:lineRule="auto"/>
              <w:rPr>
                <w:rFonts w:hint="eastAsia" w:ascii="仿宋" w:hAnsi="仿宋" w:eastAsia="仿宋" w:cs="仿宋"/>
                <w:color w:val="auto"/>
              </w:rPr>
            </w:pPr>
            <w:sdt>
              <w:sdtPr>
                <w:rPr>
                  <w:rFonts w:hint="eastAsia" w:ascii="仿宋" w:hAnsi="仿宋" w:eastAsia="仿宋" w:cs="仿宋"/>
                  <w:color w:val="auto"/>
                  <w:sz w:val="24"/>
                </w:rPr>
                <w:id w:val="4664"/>
                <w14:checkbox>
                  <w14:checked w14:val="1"/>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Wingdings" w:hAnsi="Wingdings" w:eastAsia="仿宋" w:cs="仿宋"/>
                    <w:color w:val="auto"/>
                    <w:kern w:val="2"/>
                    <w:sz w:val="24"/>
                    <w:szCs w:val="24"/>
                    <w:lang w:val="en-US" w:eastAsia="zh-CN" w:bidi="ar-SA"/>
                  </w:rPr>
                  <w:t>þ</w:t>
                </w:r>
              </w:sdtContent>
            </w:sdt>
            <w:r>
              <w:rPr>
                <w:rFonts w:hint="eastAsia" w:ascii="仿宋" w:hAnsi="仿宋" w:eastAsia="仿宋" w:cs="仿宋"/>
                <w:color w:val="auto"/>
                <w:sz w:val="24"/>
              </w:rPr>
              <w:t>A不要求提供。</w:t>
            </w:r>
          </w:p>
        </w:tc>
      </w:tr>
      <w:tr w14:paraId="50DDD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DA49EE">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070C309">
            <w:pPr>
              <w:snapToGrid w:val="0"/>
              <w:spacing w:line="360" w:lineRule="auto"/>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002175F">
            <w:pPr>
              <w:spacing w:line="360" w:lineRule="auto"/>
              <w:rPr>
                <w:rFonts w:hint="eastAsia" w:ascii="仿宋" w:hAnsi="仿宋" w:eastAsia="仿宋" w:cs="仿宋"/>
                <w:color w:val="auto"/>
                <w:sz w:val="24"/>
              </w:rPr>
            </w:pPr>
            <w:sdt>
              <w:sdtPr>
                <w:rPr>
                  <w:rFonts w:hint="eastAsia" w:ascii="仿宋" w:hAnsi="仿宋" w:eastAsia="仿宋" w:cs="仿宋"/>
                  <w:color w:val="auto"/>
                  <w:kern w:val="0"/>
                  <w:sz w:val="24"/>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14:paraId="55DF558B">
            <w:pPr>
              <w:spacing w:line="360" w:lineRule="auto"/>
              <w:rPr>
                <w:rFonts w:hint="eastAsia" w:ascii="仿宋" w:hAnsi="仿宋" w:eastAsia="仿宋" w:cs="仿宋"/>
                <w:b/>
                <w:color w:val="auto"/>
                <w:kern w:val="0"/>
                <w:sz w:val="24"/>
                <w:lang w:val="zh-CN"/>
              </w:rPr>
            </w:pPr>
            <w:sdt>
              <w:sdtPr>
                <w:rPr>
                  <w:rFonts w:hint="eastAsia" w:ascii="仿宋" w:hAnsi="仿宋" w:eastAsia="仿宋" w:cs="仿宋"/>
                  <w:color w:val="auto"/>
                  <w:kern w:val="0"/>
                  <w:sz w:val="24"/>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p>
        </w:tc>
      </w:tr>
      <w:tr w14:paraId="3E3C7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6C60D44">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726CD522">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940C9A6">
            <w:pPr>
              <w:spacing w:line="360" w:lineRule="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（1）资格证明文件：见招标文件第二部分11.1。</w:t>
            </w:r>
          </w:p>
          <w:p w14:paraId="54BF9F20">
            <w:pPr>
              <w:spacing w:line="360" w:lineRule="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14:paraId="6FCB9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68A37EB">
            <w:pPr>
              <w:snapToGrid w:val="0"/>
              <w:spacing w:line="360" w:lineRule="auto"/>
              <w:jc w:val="center"/>
              <w:rPr>
                <w:rFonts w:hint="eastAsia" w:ascii="仿宋" w:hAnsi="仿宋" w:eastAsia="仿宋" w:cs="仿宋"/>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42D5DDF8">
            <w:pPr>
              <w:snapToGrid w:val="0"/>
              <w:spacing w:line="360" w:lineRule="auto"/>
              <w:jc w:val="center"/>
              <w:rPr>
                <w:rFonts w:hint="eastAsia"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FF8C0E2">
            <w:pPr>
              <w:spacing w:line="360" w:lineRule="auto"/>
              <w:rPr>
                <w:rFonts w:hint="eastAsia"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14:paraId="0A0AC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9FFF91">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1B5C9C2">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E131EB">
            <w:pPr>
              <w:spacing w:line="360" w:lineRule="auto"/>
              <w:rPr>
                <w:rFonts w:hint="eastAsia" w:ascii="仿宋" w:hAnsi="仿宋" w:eastAsia="仿宋" w:cs="仿宋"/>
                <w:color w:val="auto"/>
                <w:kern w:val="0"/>
                <w:sz w:val="24"/>
                <w:lang w:val="zh-CN"/>
              </w:rPr>
            </w:pPr>
            <w:sdt>
              <w:sdtPr>
                <w:rPr>
                  <w:rFonts w:hint="eastAsia" w:ascii="仿宋" w:hAnsi="仿宋" w:eastAsia="仿宋" w:cs="仿宋"/>
                  <w:color w:val="auto"/>
                  <w:kern w:val="0"/>
                  <w:sz w:val="24"/>
                </w:rPr>
                <w:id w:val="386232013"/>
                <w14:checkbox>
                  <w14:checked w14:val="0"/>
                  <w14:checkedState w14:val="00FE" w14:font="Wingdings"/>
                  <w14:uncheckedState w14:val="2610" w14:font="MS Gothic"/>
                </w14:checkbox>
              </w:sdtPr>
              <w:sdtEndPr>
                <w:rPr>
                  <w:rFonts w:hint="eastAsia" w:ascii="仿宋" w:hAnsi="仿宋" w:eastAsia="仿宋" w:cs="仿宋"/>
                  <w:color w:val="auto"/>
                  <w:kern w:val="0"/>
                  <w:sz w:val="24"/>
                  <w:lang w:val="zh-CN"/>
                </w:rPr>
              </w:sdtEndPr>
              <w:sdtContent>
                <w:r>
                  <w:rPr>
                    <w:rFonts w:hint="eastAsia" w:ascii="仿宋" w:hAnsi="仿宋" w:eastAsia="仿宋" w:cs="仿宋"/>
                    <w:color w:val="auto"/>
                    <w:kern w:val="0"/>
                    <w:sz w:val="24"/>
                    <w:lang w:val="zh-CN"/>
                  </w:rPr>
                  <w:t>☐</w:t>
                </w:r>
              </w:sdtContent>
            </w:sdt>
            <w:r>
              <w:rPr>
                <w:rFonts w:hint="eastAsia" w:ascii="仿宋" w:hAnsi="仿宋" w:eastAsia="仿宋" w:cs="仿宋"/>
                <w:color w:val="auto"/>
                <w:kern w:val="0"/>
                <w:sz w:val="24"/>
                <w:lang w:val="zh-CN"/>
              </w:rPr>
              <w:t>依据国家确定的认证机构出具的、处于有效期之内的节能产品认证证书，对获得证书的产品实施政府优先采购或强制采购；其中，对</w:t>
            </w:r>
            <w:r>
              <w:rPr>
                <w:rFonts w:hint="eastAsia" w:ascii="仿宋" w:hAnsi="仿宋" w:eastAsia="仿宋" w:cs="仿宋"/>
                <w:b/>
                <w:bCs/>
                <w:color w:val="auto"/>
                <w:kern w:val="0"/>
                <w:sz w:val="24"/>
                <w:u w:val="single"/>
                <w:shd w:val="pct10" w:color="auto" w:fill="FFFFFF"/>
                <w:lang w:val="zh-CN"/>
              </w:rPr>
              <w:t>产品名称XXX</w:t>
            </w:r>
            <w:r>
              <w:rPr>
                <w:rFonts w:hint="eastAsia" w:ascii="仿宋" w:hAnsi="仿宋" w:eastAsia="仿宋" w:cs="仿宋"/>
                <w:color w:val="auto"/>
                <w:kern w:val="0"/>
                <w:sz w:val="24"/>
                <w:lang w:val="zh-CN"/>
              </w:rPr>
              <w:t>实施政府优先采购，</w:t>
            </w:r>
            <w:r>
              <w:rPr>
                <w:rFonts w:hint="eastAsia" w:ascii="仿宋" w:hAnsi="仿宋" w:eastAsia="仿宋" w:cs="仿宋"/>
                <w:color w:val="auto"/>
                <w:kern w:val="0"/>
                <w:sz w:val="24"/>
              </w:rPr>
              <w:t>详</w:t>
            </w:r>
            <w:r>
              <w:rPr>
                <w:rFonts w:hint="eastAsia" w:ascii="仿宋" w:hAnsi="仿宋" w:eastAsia="仿宋" w:cs="仿宋"/>
                <w:color w:val="auto"/>
                <w:kern w:val="0"/>
                <w:sz w:val="24"/>
                <w:lang w:val="zh-CN"/>
              </w:rPr>
              <w:t>见</w:t>
            </w:r>
            <w:r>
              <w:rPr>
                <w:rFonts w:hint="eastAsia" w:ascii="仿宋" w:hAnsi="仿宋" w:eastAsia="仿宋" w:cs="仿宋"/>
                <w:color w:val="auto"/>
                <w:kern w:val="0"/>
                <w:sz w:val="24"/>
                <w:u w:val="single"/>
                <w:lang w:val="zh-CN"/>
              </w:rPr>
              <w:t>评分标准</w:t>
            </w:r>
            <w:r>
              <w:rPr>
                <w:rFonts w:hint="eastAsia" w:ascii="仿宋" w:hAnsi="仿宋" w:eastAsia="仿宋" w:cs="仿宋"/>
                <w:color w:val="auto"/>
                <w:kern w:val="0"/>
                <w:sz w:val="24"/>
                <w:lang w:val="zh-CN"/>
              </w:rPr>
              <w:t>；</w:t>
            </w:r>
            <w:r>
              <w:rPr>
                <w:rFonts w:hint="eastAsia" w:ascii="仿宋" w:hAnsi="仿宋" w:eastAsia="仿宋" w:cs="仿宋"/>
                <w:color w:val="auto"/>
                <w:sz w:val="24"/>
              </w:rPr>
              <w:t>▲</w:t>
            </w:r>
            <w:r>
              <w:rPr>
                <w:rFonts w:hint="eastAsia" w:ascii="仿宋" w:hAnsi="仿宋" w:eastAsia="仿宋" w:cs="仿宋"/>
                <w:color w:val="auto"/>
                <w:kern w:val="0"/>
                <w:sz w:val="24"/>
                <w:lang w:val="zh-CN"/>
              </w:rPr>
              <w:t>对</w:t>
            </w:r>
            <w:r>
              <w:rPr>
                <w:rFonts w:hint="eastAsia" w:ascii="仿宋" w:hAnsi="仿宋" w:eastAsia="仿宋" w:cs="仿宋"/>
                <w:b/>
                <w:bCs/>
                <w:color w:val="auto"/>
                <w:kern w:val="0"/>
                <w:sz w:val="24"/>
                <w:u w:val="single"/>
                <w:shd w:val="pct10" w:color="auto" w:fill="FFFFFF"/>
                <w:lang w:val="zh-CN"/>
              </w:rPr>
              <w:t>产品名称XXX</w:t>
            </w:r>
            <w:r>
              <w:rPr>
                <w:rFonts w:hint="eastAsia" w:ascii="仿宋" w:hAnsi="仿宋" w:eastAsia="仿宋" w:cs="仿宋"/>
                <w:color w:val="auto"/>
                <w:kern w:val="0"/>
                <w:sz w:val="24"/>
                <w:lang w:val="zh-CN"/>
              </w:rPr>
              <w:t>实施政府强制采购，</w:t>
            </w:r>
            <w:r>
              <w:rPr>
                <w:rFonts w:hint="eastAsia" w:ascii="仿宋" w:hAnsi="仿宋" w:eastAsia="仿宋" w:cs="仿宋"/>
                <w:b/>
                <w:bCs/>
                <w:color w:val="auto"/>
                <w:kern w:val="0"/>
                <w:sz w:val="24"/>
                <w:lang w:val="zh-CN"/>
              </w:rPr>
              <w:t>投标人</w:t>
            </w:r>
            <w:r>
              <w:rPr>
                <w:rFonts w:hint="eastAsia" w:ascii="仿宋" w:hAnsi="仿宋" w:eastAsia="仿宋" w:cs="仿宋"/>
                <w:b/>
                <w:bCs/>
                <w:color w:val="auto"/>
                <w:kern w:val="0"/>
                <w:sz w:val="24"/>
              </w:rPr>
              <w:t>就</w:t>
            </w:r>
            <w:r>
              <w:rPr>
                <w:rFonts w:hint="eastAsia" w:ascii="仿宋" w:hAnsi="仿宋" w:eastAsia="仿宋" w:cs="仿宋"/>
                <w:b/>
                <w:bCs/>
                <w:color w:val="auto"/>
                <w:kern w:val="0"/>
                <w:sz w:val="24"/>
                <w:lang w:val="zh-CN"/>
              </w:rPr>
              <w:t>相应的投标产品未</w:t>
            </w:r>
            <w:r>
              <w:rPr>
                <w:rFonts w:hint="eastAsia" w:ascii="仿宋" w:hAnsi="仿宋" w:eastAsia="仿宋" w:cs="仿宋"/>
                <w:b/>
                <w:bCs/>
                <w:color w:val="auto"/>
                <w:kern w:val="0"/>
                <w:sz w:val="24"/>
              </w:rPr>
              <w:t>提供</w:t>
            </w:r>
            <w:r>
              <w:rPr>
                <w:rFonts w:hint="eastAsia" w:ascii="仿宋" w:hAnsi="仿宋" w:eastAsia="仿宋" w:cs="仿宋"/>
                <w:b/>
                <w:bCs/>
                <w:color w:val="auto"/>
                <w:kern w:val="0"/>
                <w:sz w:val="24"/>
                <w:lang w:val="zh-CN"/>
              </w:rPr>
              <w:t>国家确定的认证机构出具的、处于有效期之内的节能产品认证证书的，投标无效</w:t>
            </w:r>
            <w:r>
              <w:rPr>
                <w:rFonts w:hint="eastAsia" w:ascii="仿宋" w:hAnsi="仿宋" w:eastAsia="仿宋" w:cs="仿宋"/>
                <w:color w:val="auto"/>
                <w:kern w:val="0"/>
                <w:sz w:val="24"/>
                <w:lang w:val="zh-CN"/>
              </w:rPr>
              <w:t>。</w:t>
            </w:r>
          </w:p>
          <w:p w14:paraId="7761841B">
            <w:pPr>
              <w:spacing w:line="360" w:lineRule="auto"/>
              <w:rPr>
                <w:rFonts w:hint="eastAsia" w:ascii="仿宋" w:hAnsi="仿宋" w:eastAsia="仿宋" w:cs="仿宋"/>
                <w:color w:val="auto"/>
                <w:kern w:val="0"/>
                <w:sz w:val="24"/>
                <w:lang w:val="zh-CN"/>
              </w:rPr>
            </w:pPr>
            <w:sdt>
              <w:sdtPr>
                <w:rPr>
                  <w:rFonts w:hint="eastAsia" w:ascii="仿宋" w:hAnsi="仿宋" w:eastAsia="仿宋" w:cs="仿宋"/>
                  <w:color w:val="auto"/>
                  <w:kern w:val="0"/>
                  <w:sz w:val="24"/>
                  <w:lang w:val="zh-CN"/>
                </w:rPr>
                <w:id w:val="93515011"/>
                <w14:checkbox>
                  <w14:checked w14:val="0"/>
                  <w14:checkedState w14:val="00FE" w14:font="Wingdings"/>
                  <w14:uncheckedState w14:val="2610" w14:font="MS Gothic"/>
                </w14:checkbox>
              </w:sdtPr>
              <w:sdtEndPr>
                <w:rPr>
                  <w:rFonts w:hint="eastAsia" w:ascii="仿宋" w:hAnsi="仿宋" w:eastAsia="仿宋" w:cs="仿宋"/>
                  <w:color w:val="auto"/>
                  <w:kern w:val="0"/>
                  <w:sz w:val="24"/>
                  <w:lang w:val="zh-CN"/>
                </w:rPr>
              </w:sdtEndPr>
              <w:sdtContent>
                <w:r>
                  <w:rPr>
                    <w:rFonts w:hint="eastAsia" w:ascii="仿宋" w:hAnsi="仿宋" w:eastAsia="仿宋" w:cs="仿宋"/>
                    <w:color w:val="auto"/>
                    <w:kern w:val="0"/>
                    <w:sz w:val="24"/>
                    <w:lang w:val="zh-CN"/>
                  </w:rPr>
                  <w:t>☐</w:t>
                </w:r>
              </w:sdtContent>
            </w:sdt>
            <w:r>
              <w:rPr>
                <w:rFonts w:hint="eastAsia" w:ascii="仿宋" w:hAnsi="仿宋" w:eastAsia="仿宋" w:cs="仿宋"/>
                <w:color w:val="auto"/>
                <w:kern w:val="0"/>
                <w:sz w:val="24"/>
                <w:lang w:val="zh-CN"/>
              </w:rPr>
              <w:t>依据国家确定的认证机构出具的、处于有效期之内的环境标志产品认证证书，对获得证书的</w:t>
            </w:r>
            <w:r>
              <w:rPr>
                <w:rFonts w:hint="eastAsia" w:ascii="仿宋" w:hAnsi="仿宋" w:eastAsia="仿宋" w:cs="仿宋"/>
                <w:b/>
                <w:bCs/>
                <w:color w:val="auto"/>
                <w:kern w:val="0"/>
                <w:sz w:val="24"/>
                <w:u w:val="single"/>
                <w:shd w:val="pct10" w:color="auto" w:fill="FFFFFF"/>
                <w:lang w:val="zh-CN"/>
              </w:rPr>
              <w:t>产品名称XXX</w:t>
            </w:r>
            <w:r>
              <w:rPr>
                <w:rFonts w:hint="eastAsia" w:ascii="仿宋" w:hAnsi="仿宋" w:eastAsia="仿宋" w:cs="仿宋"/>
                <w:color w:val="auto"/>
                <w:kern w:val="0"/>
                <w:sz w:val="24"/>
                <w:lang w:val="zh-CN"/>
              </w:rPr>
              <w:t>实施政府优先采购，</w:t>
            </w:r>
            <w:r>
              <w:rPr>
                <w:rFonts w:hint="eastAsia" w:ascii="仿宋" w:hAnsi="仿宋" w:eastAsia="仿宋" w:cs="仿宋"/>
                <w:color w:val="auto"/>
                <w:kern w:val="0"/>
                <w:sz w:val="24"/>
              </w:rPr>
              <w:t>详</w:t>
            </w:r>
            <w:r>
              <w:rPr>
                <w:rFonts w:hint="eastAsia" w:ascii="仿宋" w:hAnsi="仿宋" w:eastAsia="仿宋" w:cs="仿宋"/>
                <w:color w:val="auto"/>
                <w:kern w:val="0"/>
                <w:sz w:val="24"/>
                <w:lang w:val="zh-CN"/>
              </w:rPr>
              <w:t>见</w:t>
            </w:r>
            <w:r>
              <w:rPr>
                <w:rFonts w:hint="eastAsia" w:ascii="仿宋" w:hAnsi="仿宋" w:eastAsia="仿宋" w:cs="仿宋"/>
                <w:color w:val="auto"/>
                <w:kern w:val="0"/>
                <w:sz w:val="24"/>
                <w:u w:val="single"/>
                <w:lang w:val="zh-CN"/>
              </w:rPr>
              <w:t>评分标准</w:t>
            </w:r>
            <w:r>
              <w:rPr>
                <w:rFonts w:hint="eastAsia" w:ascii="仿宋" w:hAnsi="仿宋" w:eastAsia="仿宋" w:cs="仿宋"/>
                <w:color w:val="auto"/>
                <w:kern w:val="0"/>
                <w:sz w:val="24"/>
                <w:lang w:val="zh-CN"/>
              </w:rPr>
              <w:t>。</w:t>
            </w:r>
          </w:p>
          <w:p w14:paraId="74A3FDFB">
            <w:pPr>
              <w:snapToGrid w:val="0"/>
              <w:spacing w:line="360" w:lineRule="auto"/>
              <w:rPr>
                <w:rFonts w:hint="eastAsia" w:ascii="仿宋" w:hAnsi="仿宋" w:eastAsia="仿宋" w:cs="仿宋"/>
                <w:color w:val="auto"/>
              </w:rPr>
            </w:pPr>
            <w:sdt>
              <w:sdtPr>
                <w:rPr>
                  <w:rFonts w:hint="eastAsia" w:ascii="仿宋" w:hAnsi="仿宋" w:eastAsia="仿宋" w:cs="仿宋"/>
                  <w:color w:val="auto"/>
                  <w:kern w:val="0"/>
                  <w:sz w:val="24"/>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color w:val="auto"/>
                    <w:kern w:val="0"/>
                    <w:sz w:val="24"/>
                    <w:szCs w:val="24"/>
                    <w:lang w:val="en-US" w:eastAsia="zh-CN" w:bidi="ar-SA"/>
                  </w:rPr>
                  <w:t>þ</w:t>
                </w:r>
              </w:sdtContent>
            </w:sdt>
            <w:r>
              <w:rPr>
                <w:rFonts w:hint="eastAsia" w:ascii="仿宋" w:hAnsi="仿宋" w:eastAsia="仿宋" w:cs="仿宋"/>
                <w:color w:val="auto"/>
                <w:kern w:val="0"/>
                <w:sz w:val="24"/>
              </w:rPr>
              <w:t>无。</w:t>
            </w:r>
          </w:p>
        </w:tc>
      </w:tr>
      <w:tr w14:paraId="6A6B8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83CCD2">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3B1B2DE">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21DB79B">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b/>
                <w:bCs/>
                <w:color w:val="auto"/>
                <w:kern w:val="0"/>
                <w:sz w:val="24"/>
                <w:lang w:val="zh-CN"/>
              </w:rPr>
              <w:t>投标文件</w:t>
            </w:r>
            <w:r>
              <w:rPr>
                <w:rFonts w:hint="eastAsia" w:ascii="仿宋" w:hAnsi="仿宋" w:eastAsia="仿宋" w:cs="仿宋"/>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14:paraId="4AD005FB">
            <w:pPr>
              <w:snapToGrid w:val="0"/>
              <w:spacing w:line="360" w:lineRule="auto"/>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463EFF2B">
            <w:pPr>
              <w:snapToGrid w:val="0"/>
              <w:spacing w:line="360" w:lineRule="auto"/>
              <w:ind w:firstLine="241" w:firstLineChars="100"/>
              <w:jc w:val="left"/>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14:paraId="2DCEED79">
            <w:pPr>
              <w:snapToGrid w:val="0"/>
              <w:spacing w:line="360" w:lineRule="auto"/>
              <w:ind w:firstLine="241" w:firstLineChars="100"/>
              <w:jc w:val="left"/>
              <w:rPr>
                <w:rFonts w:hint="eastAsia"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14:paraId="6221AE2F">
            <w:pPr>
              <w:spacing w:line="360" w:lineRule="auto"/>
              <w:ind w:firstLine="241" w:firstLineChars="100"/>
              <w:rPr>
                <w:rFonts w:hint="eastAsia"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rPr>
              <w:t>;</w:t>
            </w:r>
          </w:p>
          <w:p w14:paraId="3426F121">
            <w:pPr>
              <w:spacing w:line="360" w:lineRule="auto"/>
              <w:ind w:firstLine="241" w:firstLineChars="100"/>
              <w:rPr>
                <w:rFonts w:hint="eastAsia"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14:paraId="2CEEA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6F59928">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791870C2">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4179041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D46E69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本项目支持《杭州市萧山区政府采购支持中小企业信用融资暂行办法》。</w:t>
            </w:r>
          </w:p>
          <w:p w14:paraId="3E480BC4">
            <w:pPr>
              <w:rPr>
                <w:rFonts w:hint="eastAsia" w:ascii="仿宋" w:hAnsi="仿宋" w:eastAsia="仿宋" w:cs="仿宋"/>
                <w:color w:val="auto"/>
                <w:sz w:val="24"/>
              </w:rPr>
            </w:pPr>
            <w:r>
              <w:rPr>
                <w:rFonts w:hint="eastAsia" w:ascii="仿宋" w:hAnsi="仿宋" w:eastAsia="仿宋" w:cs="仿宋"/>
                <w:color w:val="auto"/>
                <w:sz w:val="24"/>
              </w:rPr>
              <w:t>有融资需求的中标供应商可参照相关规定及银行方案凭政府采购合同向相关合作银行提出信用融资（贷款）申请。详见</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"http://www.xiaoshan.gov.cn/art/2018/12/20/art_1229293109_1559514.html" </w:instrText>
            </w:r>
            <w:r>
              <w:rPr>
                <w:rFonts w:hint="eastAsia" w:ascii="仿宋" w:hAnsi="仿宋" w:eastAsia="仿宋" w:cs="仿宋"/>
                <w:color w:val="auto"/>
              </w:rPr>
              <w:fldChar w:fldCharType="separate"/>
            </w:r>
            <w:r>
              <w:rPr>
                <w:rStyle w:val="76"/>
                <w:rFonts w:hint="eastAsia" w:ascii="仿宋" w:hAnsi="仿宋" w:eastAsia="仿宋" w:cs="仿宋"/>
                <w:snapToGrid/>
                <w:color w:val="auto"/>
                <w:sz w:val="24"/>
                <w:szCs w:val="24"/>
              </w:rPr>
              <w:t>http://www.xiaoshan.gov.cn/art/2018/12/20/art_1229293109_1559514.html</w:t>
            </w:r>
            <w:r>
              <w:rPr>
                <w:rStyle w:val="76"/>
                <w:rFonts w:hint="eastAsia" w:ascii="仿宋" w:hAnsi="仿宋" w:eastAsia="仿宋" w:cs="仿宋"/>
                <w:snapToGrid/>
                <w:color w:val="auto"/>
                <w:sz w:val="24"/>
                <w:szCs w:val="24"/>
              </w:rPr>
              <w:fldChar w:fldCharType="end"/>
            </w:r>
          </w:p>
        </w:tc>
      </w:tr>
      <w:tr w14:paraId="6A06D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1026005">
            <w:pPr>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DCF4C1">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7DBF829A">
            <w:pPr>
              <w:pStyle w:val="32"/>
              <w:spacing w:line="360" w:lineRule="auto"/>
              <w:rPr>
                <w:rFonts w:hint="eastAsia" w:ascii="仿宋" w:hAnsi="仿宋" w:eastAsia="仿宋" w:cs="仿宋"/>
                <w:color w:val="auto"/>
                <w:sz w:val="24"/>
                <w:szCs w:val="24"/>
              </w:rPr>
            </w:pPr>
            <w:r>
              <w:rPr>
                <w:rFonts w:hint="eastAsia" w:ascii="仿宋" w:hAnsi="仿宋" w:eastAsia="仿宋" w:cs="仿宋"/>
                <w:color w:val="auto"/>
                <w:kern w:val="28"/>
                <w:sz w:val="24"/>
                <w:szCs w:val="24"/>
              </w:rPr>
              <w:t>本项目备份文件是否收取：不收取</w:t>
            </w:r>
          </w:p>
          <w:p w14:paraId="21924D14">
            <w:pPr>
              <w:pStyle w:val="32"/>
              <w:spacing w:line="360" w:lineRule="auto"/>
              <w:rPr>
                <w:rFonts w:hint="eastAsia" w:ascii="仿宋" w:hAnsi="仿宋" w:eastAsia="仿宋" w:cs="仿宋"/>
                <w:color w:val="auto"/>
                <w:kern w:val="28"/>
                <w:sz w:val="24"/>
              </w:rPr>
            </w:pPr>
            <w:r>
              <w:rPr>
                <w:rFonts w:hint="eastAsia" w:ascii="仿宋" w:hAnsi="仿宋" w:eastAsia="仿宋" w:cs="仿宋"/>
                <w:b/>
                <w:color w:val="auto"/>
                <w:sz w:val="24"/>
                <w:szCs w:val="24"/>
              </w:rPr>
              <w:t>采购人、采购代理机构不强制或变相强制投标人提交备份投标文件。</w:t>
            </w:r>
          </w:p>
        </w:tc>
      </w:tr>
      <w:tr w14:paraId="40A86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8D2E7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9321021">
            <w:pPr>
              <w:jc w:val="center"/>
              <w:rPr>
                <w:rFonts w:hint="eastAsia" w:ascii="仿宋" w:hAnsi="仿宋" w:eastAsia="仿宋" w:cs="仿宋"/>
                <w:b/>
                <w:color w:val="auto"/>
                <w:sz w:val="24"/>
              </w:rPr>
            </w:pPr>
            <w:r>
              <w:rPr>
                <w:rFonts w:hint="eastAsia" w:ascii="仿宋" w:hAnsi="仿宋" w:eastAsia="仿宋" w:cs="仿宋"/>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DAFCB6F">
            <w:pPr>
              <w:rPr>
                <w:rFonts w:hint="eastAsia" w:ascii="仿宋" w:hAnsi="仿宋" w:eastAsia="仿宋" w:cs="仿宋"/>
                <w:color w:val="auto"/>
                <w:kern w:val="28"/>
                <w:sz w:val="24"/>
              </w:rPr>
            </w:pPr>
            <w:r>
              <w:rPr>
                <w:rFonts w:hint="eastAsia" w:ascii="仿宋" w:hAnsi="仿宋" w:eastAsia="仿宋" w:cs="仿宋"/>
                <w:color w:val="auto"/>
                <w:kern w:val="28"/>
                <w:sz w:val="24"/>
              </w:rPr>
              <w:t>本项目采购代理费由中标人支付。采购代理费收费标准按计价格[2002]1980号文规定服务类收费标准计取。采购代理费用由中标人领取中标通知书时向采购代理机构支付。</w:t>
            </w:r>
          </w:p>
        </w:tc>
      </w:tr>
      <w:tr w14:paraId="1E5F2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E00A2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B66524E">
            <w:pPr>
              <w:jc w:val="center"/>
              <w:rPr>
                <w:rFonts w:hint="eastAsia" w:ascii="仿宋" w:hAnsi="仿宋" w:eastAsia="仿宋" w:cs="仿宋"/>
                <w:color w:val="auto"/>
              </w:rPr>
            </w:pPr>
            <w:r>
              <w:rPr>
                <w:rFonts w:hint="eastAsia" w:ascii="仿宋" w:hAnsi="仿宋" w:eastAsia="仿宋"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00EAE03B">
            <w:pPr>
              <w:rPr>
                <w:rFonts w:hint="eastAsia" w:ascii="仿宋" w:hAnsi="仿宋" w:eastAsia="仿宋" w:cs="仿宋"/>
                <w:color w:val="auto"/>
              </w:rPr>
            </w:pPr>
            <w:r>
              <w:rPr>
                <w:rFonts w:hint="eastAsia" w:ascii="仿宋" w:hAnsi="仿宋" w:eastAsia="仿宋" w:cs="仿宋"/>
                <w:color w:val="auto"/>
                <w:sz w:val="24"/>
              </w:rPr>
              <w:t>本项目由采购人进行资格文件及信用信息查询。</w:t>
            </w:r>
          </w:p>
        </w:tc>
      </w:tr>
      <w:tr w14:paraId="28ED5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18ED9A">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84D861D">
            <w:pPr>
              <w:jc w:val="center"/>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2A70A5C7">
            <w:pP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中标价的1%</w:t>
            </w:r>
          </w:p>
        </w:tc>
      </w:tr>
      <w:tr w14:paraId="7763A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8B7000">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36D3393">
            <w:pPr>
              <w:jc w:val="center"/>
              <w:rPr>
                <w:rFonts w:hint="eastAsia" w:ascii="仿宋" w:hAnsi="仿宋" w:eastAsia="仿宋" w:cs="仿宋"/>
                <w:b/>
                <w:color w:val="auto"/>
                <w:sz w:val="22"/>
              </w:rPr>
            </w:pPr>
            <w:r>
              <w:rPr>
                <w:rFonts w:hint="eastAsia" w:ascii="仿宋" w:hAnsi="仿宋" w:eastAsia="仿宋"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57D19D8">
            <w:pPr>
              <w:snapToGrid w:val="0"/>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采购人、采购机构质疑接收人、联系方式：详见公告</w:t>
            </w:r>
          </w:p>
          <w:p w14:paraId="4790EFA8">
            <w:p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线上提交质疑方式：政采云线上质疑路径：项目采购-询问质疑投诉-质疑列表。请使用ca签章在每一页质疑文件中加盖电子公章，上传完整附件。</w:t>
            </w:r>
          </w:p>
          <w:p w14:paraId="2C86A383">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本项目涉及资格条件、采购需求、评分办法及采购过程中有关现场考察或开标前答疑会等事项由</w:t>
            </w:r>
            <w:r>
              <w:rPr>
                <w:rFonts w:hint="eastAsia" w:ascii="仿宋" w:hAnsi="仿宋" w:eastAsia="仿宋" w:cs="仿宋"/>
                <w:b/>
                <w:bCs/>
                <w:color w:val="auto"/>
                <w:sz w:val="24"/>
              </w:rPr>
              <w:t>采购人</w:t>
            </w:r>
            <w:r>
              <w:rPr>
                <w:rFonts w:hint="eastAsia" w:ascii="仿宋" w:hAnsi="仿宋" w:eastAsia="仿宋" w:cs="仿宋"/>
                <w:color w:val="auto"/>
                <w:sz w:val="24"/>
              </w:rPr>
              <w:t>进行答复。</w:t>
            </w:r>
          </w:p>
          <w:p w14:paraId="396F36ED">
            <w:pPr>
              <w:rPr>
                <w:rFonts w:hint="eastAsia" w:ascii="仿宋" w:hAnsi="仿宋" w:eastAsia="仿宋" w:cs="仿宋"/>
                <w:color w:val="auto"/>
                <w:sz w:val="22"/>
              </w:rPr>
            </w:pPr>
            <w:r>
              <w:rPr>
                <w:rFonts w:hint="eastAsia" w:ascii="仿宋" w:hAnsi="仿宋" w:eastAsia="仿宋" w:cs="仿宋"/>
                <w:color w:val="auto"/>
                <w:sz w:val="24"/>
              </w:rPr>
              <w:t>涉及流程规范性、组织程序等相关事项，由</w:t>
            </w:r>
            <w:r>
              <w:rPr>
                <w:rFonts w:hint="eastAsia" w:ascii="仿宋" w:hAnsi="仿宋" w:eastAsia="仿宋" w:cs="仿宋"/>
                <w:b/>
                <w:bCs/>
                <w:color w:val="auto"/>
                <w:sz w:val="24"/>
              </w:rPr>
              <w:t>采购代理机构</w:t>
            </w:r>
            <w:r>
              <w:rPr>
                <w:rFonts w:hint="eastAsia" w:ascii="仿宋" w:hAnsi="仿宋" w:eastAsia="仿宋" w:cs="仿宋"/>
                <w:color w:val="auto"/>
                <w:sz w:val="24"/>
              </w:rPr>
              <w:t>进行答复。</w:t>
            </w:r>
          </w:p>
        </w:tc>
      </w:tr>
      <w:tr w14:paraId="14FCE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DC3CDD">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7BE60F9D">
            <w:pPr>
              <w:jc w:val="center"/>
              <w:rPr>
                <w:rFonts w:hint="eastAsia" w:ascii="仿宋" w:hAnsi="仿宋" w:eastAsia="仿宋" w:cs="仿宋"/>
                <w:b/>
                <w:color w:val="auto"/>
                <w:sz w:val="22"/>
              </w:rPr>
            </w:pPr>
            <w:r>
              <w:rPr>
                <w:rFonts w:hint="eastAsia" w:ascii="仿宋" w:hAnsi="仿宋" w:eastAsia="仿宋"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9556719">
            <w:pPr>
              <w:rPr>
                <w:rFonts w:hint="eastAsia" w:ascii="仿宋" w:hAnsi="仿宋" w:eastAsia="仿宋" w:cs="仿宋"/>
                <w:color w:val="auto"/>
                <w:sz w:val="22"/>
              </w:rPr>
            </w:pPr>
            <w:r>
              <w:rPr>
                <w:rFonts w:hint="eastAsia" w:ascii="仿宋" w:hAnsi="仿宋" w:eastAsia="仿宋" w:cs="仿宋"/>
                <w:color w:val="auto"/>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rPr>
              <w:br w:type="textWrapping"/>
            </w:r>
            <w:r>
              <w:rPr>
                <w:rFonts w:hint="eastAsia" w:ascii="仿宋" w:hAnsi="仿宋" w:eastAsia="仿宋" w:cs="仿宋"/>
                <w:color w:val="auto"/>
                <w:sz w:val="24"/>
              </w:rPr>
              <w:t>联系电话: 0571-83587785/0571-82816012 联系地址: 萧山区通惠北路2-1号304室</w:t>
            </w:r>
          </w:p>
        </w:tc>
      </w:tr>
      <w:tr w14:paraId="6C89C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4AA0132">
            <w:pPr>
              <w:snapToGrid w:val="0"/>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1843" w:type="dxa"/>
            <w:vMerge w:val="restart"/>
            <w:tcBorders>
              <w:top w:val="single" w:color="000000" w:sz="8" w:space="0"/>
              <w:left w:val="single" w:color="000000" w:sz="2" w:space="0"/>
              <w:right w:val="single" w:color="000000" w:sz="8" w:space="0"/>
            </w:tcBorders>
            <w:vAlign w:val="center"/>
          </w:tcPr>
          <w:p w14:paraId="63D54B2A">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3460537">
            <w:pPr>
              <w:spacing w:line="360" w:lineRule="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联合体投标的，联合体各方分别提供与联合体协议中规定的分工内容相应的业绩证明材料，业绩数量以提供材料较少的一方为准。</w:t>
            </w:r>
          </w:p>
          <w:p w14:paraId="7A3B0D8C">
            <w:pPr>
              <w:spacing w:line="360" w:lineRule="auto"/>
              <w:rPr>
                <w:rFonts w:hint="eastAsia" w:ascii="仿宋" w:hAnsi="仿宋" w:eastAsia="仿宋" w:cs="仿宋"/>
                <w:color w:val="auto"/>
                <w:sz w:val="24"/>
              </w:rPr>
            </w:pPr>
            <w:sdt>
              <w:sdtPr>
                <w:rPr>
                  <w:rFonts w:hint="eastAsia" w:ascii="仿宋" w:hAnsi="仿宋" w:eastAsia="仿宋" w:cs="仿宋"/>
                  <w:color w:val="auto"/>
                  <w:sz w:val="24"/>
                </w:rPr>
                <w:id w:val="4672"/>
                <w14:checkbox>
                  <w14:checked w14:val="0"/>
                  <w14:checkedState w14:val="00FE" w14:font="Wingdings"/>
                  <w14:uncheckedState w14:val="2610" w14:font="MS Gothic"/>
                </w14:checkbox>
              </w:sdtPr>
              <w:sdtEndPr>
                <w:rPr>
                  <w:rFonts w:hint="eastAsia" w:ascii="仿宋" w:hAnsi="仿宋" w:eastAsia="仿宋" w:cs="仿宋"/>
                  <w:color w:val="auto"/>
                  <w:sz w:val="24"/>
                </w:rPr>
              </w:sdtEndPr>
              <w:sdtContent>
                <w:r>
                  <w:rPr>
                    <w:rFonts w:hint="eastAsia" w:ascii="仿宋" w:hAnsi="仿宋" w:eastAsia="仿宋" w:cs="仿宋"/>
                    <w:color w:val="auto"/>
                    <w:sz w:val="24"/>
                  </w:rPr>
                  <w:t>☐</w:t>
                </w:r>
              </w:sdtContent>
            </w:sdt>
            <w:r>
              <w:rPr>
                <w:rFonts w:hint="eastAsia" w:ascii="仿宋" w:hAnsi="仿宋" w:eastAsia="仿宋" w:cs="仿宋"/>
                <w:color w:val="auto"/>
                <w:sz w:val="24"/>
              </w:rPr>
              <w:t>联合体投标的，联合体各方均需按招标文件第四部分评标标准要求提供资信证明文件，否则视为不符合相关要求。</w:t>
            </w:r>
          </w:p>
          <w:p w14:paraId="508B66DB">
            <w:pPr>
              <w:pStyle w:val="2"/>
              <w:ind w:left="0" w:firstLine="0"/>
              <w:rPr>
                <w:rFonts w:hint="eastAsia" w:ascii="仿宋" w:hAnsi="仿宋" w:eastAsia="仿宋" w:cs="仿宋"/>
                <w:snapToGrid w:val="0"/>
                <w:color w:val="auto"/>
                <w:kern w:val="28"/>
                <w:sz w:val="24"/>
              </w:rPr>
            </w:pPr>
            <w:sdt>
              <w:sdtPr>
                <w:rPr>
                  <w:rFonts w:hint="eastAsia" w:ascii="仿宋" w:hAnsi="仿宋" w:eastAsia="仿宋" w:cs="仿宋"/>
                  <w:color w:val="auto"/>
                  <w:sz w:val="24"/>
                  <w:szCs w:val="24"/>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lang w:val="en-US"/>
                </w:rPr>
              </w:sdtEndPr>
              <w:sdtContent>
                <w:r>
                  <w:rPr>
                    <w:rFonts w:hint="eastAsia" w:ascii="仿宋" w:hAnsi="仿宋" w:eastAsia="仿宋" w:cs="仿宋"/>
                    <w:color w:val="auto"/>
                    <w:sz w:val="24"/>
                    <w:szCs w:val="24"/>
                  </w:rPr>
                  <w:sym w:font="Wingdings" w:char="F0FE"/>
                </w:r>
              </w:sdtContent>
            </w:sdt>
            <w:r>
              <w:rPr>
                <w:rFonts w:hint="eastAsia" w:ascii="仿宋" w:hAnsi="仿宋" w:eastAsia="仿宋" w:cs="仿宋"/>
                <w:b w:val="0"/>
                <w:bCs w:val="0"/>
                <w:snapToGrid w:val="0"/>
                <w:color w:val="auto"/>
                <w:kern w:val="28"/>
                <w:sz w:val="24"/>
                <w:szCs w:val="24"/>
                <w:lang w:val="en-US"/>
              </w:rPr>
              <w:t>联合体投标的，联合体中有一方或者联合体成员根据分工按招标文件第四部分评标标准要求提供资信证明文件的，视为符合了相关要求。</w:t>
            </w:r>
          </w:p>
        </w:tc>
      </w:tr>
      <w:tr w14:paraId="74512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0BBE41ED">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000000" w:sz="2" w:space="0"/>
              <w:right w:val="single" w:color="000000" w:sz="8" w:space="0"/>
            </w:tcBorders>
            <w:vAlign w:val="center"/>
          </w:tcPr>
          <w:p w14:paraId="39F0267F">
            <w:pPr>
              <w:snapToGrid w:val="0"/>
              <w:spacing w:line="360" w:lineRule="auto"/>
              <w:jc w:val="center"/>
              <w:rPr>
                <w:rFonts w:hint="eastAsia" w:ascii="仿宋" w:hAnsi="仿宋" w:eastAsia="仿宋" w:cs="仿宋"/>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BF5ECC7">
            <w:pPr>
              <w:spacing w:line="360" w:lineRule="auto"/>
              <w:rPr>
                <w:rFonts w:hint="eastAsia" w:ascii="仿宋" w:hAnsi="仿宋" w:eastAsia="仿宋" w:cs="仿宋"/>
                <w:color w:val="auto"/>
                <w:sz w:val="24"/>
              </w:rPr>
            </w:pPr>
            <w:r>
              <w:rPr>
                <w:rFonts w:hint="eastAsia" w:ascii="仿宋" w:hAnsi="仿宋" w:eastAsia="仿宋" w:cs="仿宋"/>
                <w:color w:val="auto"/>
                <w:kern w:val="0"/>
                <w:sz w:val="24"/>
              </w:rPr>
              <w:t>评审因素对应的要求视为采购需求的一部分。</w:t>
            </w:r>
          </w:p>
          <w:p w14:paraId="1A124447">
            <w:pPr>
              <w:spacing w:line="360" w:lineRule="auto"/>
              <w:rPr>
                <w:rFonts w:hint="eastAsia" w:ascii="仿宋" w:hAnsi="仿宋" w:eastAsia="仿宋" w:cs="仿宋"/>
                <w:color w:val="auto"/>
              </w:rPr>
            </w:pPr>
            <w:r>
              <w:rPr>
                <w:rFonts w:hint="eastAsia" w:ascii="仿宋" w:hAnsi="仿宋" w:eastAsia="仿宋" w:cs="仿宋"/>
                <w:color w:val="auto"/>
                <w:sz w:val="24"/>
              </w:rPr>
              <w:t>本项目通用总则条款与前附表等专用特别规定有冲突之处，以专用条款（特别规定）为准</w:t>
            </w:r>
          </w:p>
        </w:tc>
      </w:tr>
      <w:tr w14:paraId="0CA67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7CBA62E">
            <w:pPr>
              <w:snapToGrid w:val="0"/>
              <w:spacing w:line="360" w:lineRule="auto"/>
              <w:jc w:val="center"/>
              <w:rPr>
                <w:rFonts w:hint="eastAsia" w:ascii="仿宋" w:hAnsi="仿宋" w:eastAsia="仿宋" w:cs="仿宋"/>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1C1E2B2E">
            <w:pPr>
              <w:snapToGrid w:val="0"/>
              <w:spacing w:line="360" w:lineRule="auto"/>
              <w:jc w:val="center"/>
              <w:rPr>
                <w:rFonts w:hint="eastAsia" w:ascii="仿宋" w:hAnsi="仿宋" w:eastAsia="仿宋" w:cs="仿宋"/>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9AA53DE">
            <w:pPr>
              <w:spacing w:line="360" w:lineRule="auto"/>
              <w:rPr>
                <w:rFonts w:hint="eastAsia" w:ascii="仿宋" w:hAnsi="仿宋" w:eastAsia="仿宋" w:cs="仿宋"/>
                <w:b/>
                <w:bCs/>
                <w:color w:val="auto"/>
              </w:rPr>
            </w:pPr>
            <w:r>
              <w:rPr>
                <w:rFonts w:hint="eastAsia" w:ascii="仿宋" w:hAnsi="仿宋" w:eastAsia="仿宋" w:cs="仿宋"/>
                <w:color w:val="auto"/>
                <w:sz w:val="24"/>
              </w:rPr>
              <w:t>本项目每个标项推荐中标候选人数量：1</w:t>
            </w:r>
          </w:p>
        </w:tc>
      </w:tr>
      <w:bookmarkEnd w:id="6"/>
    </w:tbl>
    <w:p w14:paraId="1C10900A">
      <w:pPr>
        <w:rPr>
          <w:rFonts w:hint="eastAsia" w:ascii="仿宋" w:hAnsi="仿宋" w:eastAsia="仿宋" w:cs="仿宋"/>
          <w:b/>
          <w:color w:val="auto"/>
          <w:sz w:val="32"/>
          <w:szCs w:val="20"/>
        </w:rPr>
      </w:pPr>
      <w:bookmarkStart w:id="7" w:name="第三部分"/>
      <w:bookmarkStart w:id="8" w:name="_Toc164416483"/>
      <w:r>
        <w:rPr>
          <w:rFonts w:hint="eastAsia" w:ascii="仿宋" w:hAnsi="仿宋" w:eastAsia="仿宋" w:cs="仿宋"/>
          <w:b/>
          <w:color w:val="auto"/>
          <w:sz w:val="32"/>
          <w:szCs w:val="20"/>
        </w:rPr>
        <w:br w:type="page"/>
      </w:r>
    </w:p>
    <w:p w14:paraId="62AC50C6">
      <w:pPr>
        <w:adjustRightInd/>
        <w:spacing w:line="360" w:lineRule="auto"/>
        <w:ind w:firstLine="3845" w:firstLineChars="1197"/>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一、总则</w:t>
      </w:r>
    </w:p>
    <w:p w14:paraId="5621C6D5">
      <w:pPr>
        <w:snapToGrid w:val="0"/>
        <w:spacing w:line="360" w:lineRule="auto"/>
        <w:jc w:val="left"/>
        <w:outlineLvl w:val="1"/>
        <w:rPr>
          <w:rFonts w:hint="eastAsia" w:ascii="仿宋" w:hAnsi="仿宋" w:eastAsia="仿宋" w:cs="仿宋"/>
          <w:b/>
          <w:color w:val="auto"/>
          <w:sz w:val="24"/>
        </w:rPr>
      </w:pPr>
      <w:bookmarkStart w:id="9" w:name="_Toc91899903"/>
      <w:r>
        <w:rPr>
          <w:rFonts w:hint="eastAsia" w:ascii="仿宋" w:hAnsi="仿宋" w:eastAsia="仿宋" w:cs="仿宋"/>
          <w:b/>
          <w:color w:val="auto"/>
          <w:sz w:val="24"/>
        </w:rPr>
        <w:t>1. 适用范围</w:t>
      </w:r>
    </w:p>
    <w:p w14:paraId="13E678AC">
      <w:pPr>
        <w:snapToGrid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0125F3AF">
      <w:pPr>
        <w:numPr>
          <w:ilvl w:val="0"/>
          <w:numId w:val="1"/>
        </w:numPr>
        <w:adjustRightInd/>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rPr>
        <w:t>定义</w:t>
      </w:r>
    </w:p>
    <w:p w14:paraId="2A60414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“采购人”系指招标公告中载明的本项目的采购人。</w:t>
      </w:r>
    </w:p>
    <w:p w14:paraId="420C80C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 “采购代理机构”系指招标公告中载明的本项目的采购代理机构。</w:t>
      </w:r>
    </w:p>
    <w:p w14:paraId="649D846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2.3 “投标人”系指是指响应招标、参加投标竞争的法人、其他组织或者自然人。</w:t>
      </w:r>
    </w:p>
    <w:p w14:paraId="046B61D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2.4 “负责人”系指法人企业的法定负责人，或其他组织为法律、行政法规规定代表单位行使职权的主要负责人，或自然人本人。</w:t>
      </w:r>
    </w:p>
    <w:p w14:paraId="0EAD923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6AEC13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2.6“电子交易平台”系指本项目政府采购活动所依托的政府采购云平台（https://www.zcygov.cn/）。</w:t>
      </w:r>
    </w:p>
    <w:p w14:paraId="33D53D9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 “▲” 系指实质性要求条款，“</w:t>
      </w:r>
      <w:sdt>
        <w:sdtPr>
          <w:rPr>
            <w:rFonts w:hint="eastAsia" w:ascii="仿宋" w:hAnsi="仿宋" w:eastAsia="仿宋" w:cs="仿宋"/>
            <w:color w:val="auto"/>
            <w:kern w:val="0"/>
            <w:sz w:val="24"/>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系指适用本项目的要求，“</w:t>
      </w:r>
      <w:sdt>
        <w:sdtPr>
          <w:rPr>
            <w:rFonts w:hint="eastAsia" w:ascii="仿宋" w:hAnsi="仿宋" w:eastAsia="仿宋" w:cs="仿宋"/>
            <w:color w:val="auto"/>
            <w:kern w:val="0"/>
            <w:sz w:val="24"/>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sz w:val="24"/>
        </w:rPr>
        <w:t>” 系指不适用本项目的要求。</w:t>
      </w:r>
    </w:p>
    <w:p w14:paraId="3EDC5AC1">
      <w:pPr>
        <w:spacing w:line="360" w:lineRule="auto"/>
        <w:rPr>
          <w:rFonts w:hint="eastAsia"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color w:val="auto"/>
        </w:rPr>
        <w:t xml:space="preserve"> </w:t>
      </w:r>
      <w:r>
        <w:rPr>
          <w:rFonts w:hint="eastAsia" w:ascii="仿宋" w:hAnsi="仿宋" w:eastAsia="仿宋" w:cs="仿宋"/>
          <w:b/>
          <w:color w:val="auto"/>
          <w:sz w:val="24"/>
        </w:rPr>
        <w:t>采购项目需要落实的政府采购政策</w:t>
      </w:r>
    </w:p>
    <w:p w14:paraId="13721D7E">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14:paraId="706C67B7">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3.2 支持绿色发展</w:t>
      </w:r>
    </w:p>
    <w:p w14:paraId="44F5EFC8">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7EC76F6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49BA785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仿宋" w:hAnsi="仿宋" w:eastAsia="仿宋" w:cs="仿宋"/>
          <w:color w:val="auto"/>
          <w:sz w:val="24"/>
        </w:rPr>
        <w:t>鼓励采购单位优先采购秸秆环保板材等资源综合利用产品。鼓励采购单位优先采购绿色物流配送服务、提供新能源交通工具的租赁服务。</w:t>
      </w:r>
    </w:p>
    <w:p w14:paraId="21B2F21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2CC999AF">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3.3</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支持中小企业发展</w:t>
      </w:r>
    </w:p>
    <w:p w14:paraId="34AA6E4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EA8442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7D6BFA4A">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bCs/>
          <w:color w:val="auto"/>
          <w:sz w:val="24"/>
        </w:rPr>
        <w:t>3.3.2</w:t>
      </w:r>
      <w:r>
        <w:rPr>
          <w:rFonts w:hint="eastAsia" w:ascii="仿宋" w:hAnsi="仿宋" w:eastAsia="仿宋" w:cs="仿宋"/>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9CDFBA8">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7B6387B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评标办分法明确具体的扣除比例，未明确的，</w:t>
      </w:r>
      <w:r>
        <w:rPr>
          <w:rFonts w:hint="eastAsia" w:ascii="仿宋" w:hAnsi="仿宋" w:eastAsia="仿宋" w:cs="仿宋"/>
          <w:color w:val="auto"/>
          <w:sz w:val="24"/>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仿宋" w:hAnsi="仿宋" w:eastAsia="仿宋" w:cs="仿宋"/>
          <w:color w:val="auto"/>
          <w:sz w:val="24"/>
        </w:rPr>
        <w:t>联合协议或者分包意向协议约定小微企业的合同份额占到合同总金额30%以上的</w:t>
      </w:r>
      <w:bookmarkEnd w:id="11"/>
      <w:r>
        <w:rPr>
          <w:rFonts w:hint="eastAsia" w:ascii="仿宋" w:hAnsi="仿宋" w:eastAsia="仿宋" w:cs="仿宋"/>
          <w:color w:val="auto"/>
          <w:sz w:val="24"/>
        </w:rPr>
        <w:t>，对联合体或者大中型企业的报价给予4%-6%（</w:t>
      </w:r>
      <w:r>
        <w:rPr>
          <w:rFonts w:hint="eastAsia" w:ascii="仿宋" w:hAnsi="仿宋" w:eastAsia="仿宋" w:cs="仿宋"/>
          <w:snapToGrid w:val="0"/>
          <w:color w:val="auto"/>
          <w:kern w:val="28"/>
          <w:sz w:val="24"/>
        </w:rPr>
        <w:t>招标文件第四部分</w:t>
      </w:r>
      <w:r>
        <w:rPr>
          <w:rFonts w:hint="eastAsia" w:ascii="仿宋" w:hAnsi="仿宋" w:eastAsia="仿宋" w:cs="仿宋"/>
          <w:color w:val="auto"/>
          <w:sz w:val="24"/>
          <w:u w:val="single"/>
        </w:rPr>
        <w:t>评标办分法明确具体的扣除比例，未明确的，</w:t>
      </w:r>
      <w:r>
        <w:rPr>
          <w:rFonts w:hint="eastAsia" w:ascii="仿宋" w:hAnsi="仿宋" w:eastAsia="仿宋" w:cs="仿宋"/>
          <w:color w:val="auto"/>
          <w:sz w:val="24"/>
        </w:rPr>
        <w:t>给予6%的扣除）的扣除，用扣除后的价格参加评审。组成联合体或者接受分包的小微企业与联合体内其他企业、分包企业之间存在直接控股、管理关系的，不享受价格扣除优惠政策。</w:t>
      </w:r>
    </w:p>
    <w:p w14:paraId="2E9E87A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14:paraId="24A8719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5FFF1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516A57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3.3.7中小企业享受扶持政策获得政府采购合同的，小微企业不得将合同分包给大中型企业，中型企业不得将合同分包给大型企业。</w:t>
      </w:r>
    </w:p>
    <w:p w14:paraId="1C424F42">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3.4 </w:t>
      </w:r>
      <w:r>
        <w:rPr>
          <w:rFonts w:hint="eastAsia" w:ascii="仿宋" w:hAnsi="仿宋" w:eastAsia="仿宋" w:cs="仿宋"/>
          <w:bCs/>
          <w:color w:val="auto"/>
          <w:sz w:val="24"/>
        </w:rPr>
        <w:t>支持创新发展</w:t>
      </w:r>
    </w:p>
    <w:p w14:paraId="4E990AE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采购人优先采购被认定为首台套产品和“制造精品”的自主创新产品。</w:t>
      </w:r>
    </w:p>
    <w:p w14:paraId="2FDB80F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6C81CE2">
      <w:pPr>
        <w:spacing w:line="360" w:lineRule="auto"/>
        <w:ind w:firstLine="240" w:firstLineChars="100"/>
        <w:rPr>
          <w:rFonts w:hint="eastAsia" w:ascii="仿宋" w:hAnsi="仿宋" w:eastAsia="仿宋" w:cs="仿宋"/>
          <w:color w:val="auto"/>
          <w:sz w:val="24"/>
        </w:rPr>
      </w:pPr>
      <w:r>
        <w:rPr>
          <w:rFonts w:hint="eastAsia" w:ascii="仿宋" w:hAnsi="仿宋" w:eastAsia="仿宋" w:cs="仿宋"/>
          <w:color w:val="auto"/>
          <w:sz w:val="24"/>
        </w:rPr>
        <w:t>3.5</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平等对待内外资企业和符合条件的破产重整企业</w:t>
      </w:r>
    </w:p>
    <w:p w14:paraId="29B210E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p>
    <w:p w14:paraId="2819F179">
      <w:pPr>
        <w:spacing w:line="360" w:lineRule="auto"/>
        <w:rPr>
          <w:rFonts w:hint="eastAsia" w:ascii="仿宋" w:hAnsi="仿宋" w:eastAsia="仿宋" w:cs="仿宋"/>
          <w:b/>
          <w:color w:val="auto"/>
        </w:rPr>
      </w:pPr>
      <w:r>
        <w:rPr>
          <w:rFonts w:hint="eastAsia" w:ascii="仿宋" w:hAnsi="仿宋" w:eastAsia="仿宋" w:cs="仿宋"/>
          <w:b/>
          <w:color w:val="auto"/>
          <w:sz w:val="24"/>
        </w:rPr>
        <w:t>4. 询问、质疑、投诉</w:t>
      </w:r>
    </w:p>
    <w:p w14:paraId="36FEC053">
      <w:pPr>
        <w:spacing w:line="360" w:lineRule="auto"/>
        <w:ind w:firstLine="240" w:firstLineChars="100"/>
        <w:rPr>
          <w:rFonts w:hint="eastAsia" w:ascii="仿宋" w:hAnsi="仿宋" w:eastAsia="仿宋" w:cs="仿宋"/>
          <w:color w:val="auto"/>
          <w:sz w:val="24"/>
          <w:lang w:val="zh-CN"/>
        </w:rPr>
      </w:pPr>
      <w:r>
        <w:rPr>
          <w:rFonts w:hint="eastAsia" w:ascii="仿宋" w:hAnsi="仿宋" w:eastAsia="仿宋" w:cs="仿宋"/>
          <w:color w:val="auto"/>
          <w:sz w:val="24"/>
          <w:lang w:val="zh-CN"/>
        </w:rPr>
        <w:t>4.1</w:t>
      </w:r>
      <w:r>
        <w:rPr>
          <w:rFonts w:hint="eastAsia" w:ascii="仿宋" w:hAnsi="仿宋" w:eastAsia="仿宋" w:cs="仿宋"/>
          <w:color w:val="auto"/>
          <w:sz w:val="24"/>
        </w:rPr>
        <w:t xml:space="preserve"> </w:t>
      </w:r>
      <w:r>
        <w:rPr>
          <w:rFonts w:hint="eastAsia" w:ascii="仿宋" w:hAnsi="仿宋" w:eastAsia="仿宋" w:cs="仿宋"/>
          <w:color w:val="auto"/>
          <w:sz w:val="24"/>
          <w:lang w:val="zh-CN"/>
        </w:rPr>
        <w:t>在线询问、质疑、投诉</w:t>
      </w:r>
    </w:p>
    <w:p w14:paraId="709E11AD">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1BFC22">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4.2</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供应商询问</w:t>
      </w:r>
    </w:p>
    <w:p w14:paraId="11241450">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0AF769F">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4.3</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供应商质疑</w:t>
      </w:r>
    </w:p>
    <w:p w14:paraId="0073C84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4.3</w:t>
      </w:r>
      <w:r>
        <w:rPr>
          <w:rFonts w:hint="eastAsia" w:ascii="仿宋" w:hAnsi="仿宋" w:eastAsia="仿宋" w:cs="仿宋"/>
          <w:color w:val="auto"/>
          <w:sz w:val="24"/>
        </w:rPr>
        <w:t>.1提出质疑的供应商应当是参与所质疑项目采购活动的供应商。潜在供应商已依法获取其可质疑的招标文件的，可以对该文件提出质疑。</w:t>
      </w:r>
    </w:p>
    <w:p w14:paraId="69336DE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4.3</w:t>
      </w:r>
      <w:r>
        <w:rPr>
          <w:rFonts w:hint="eastAsia"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3644EE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4.3.2.1对招标文件提出质疑的，质疑期限为供应商获得招标文件之日或者招标文件公告期限届满之日起计算。</w:t>
      </w:r>
    </w:p>
    <w:p w14:paraId="035B324F">
      <w:pPr>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14:paraId="04605AB3">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4.3.3</w:t>
      </w:r>
      <w:r>
        <w:rPr>
          <w:rFonts w:hint="eastAsia" w:ascii="仿宋" w:hAnsi="仿宋" w:eastAsia="仿宋" w:cs="仿宋"/>
          <w:color w:val="auto"/>
          <w:sz w:val="24"/>
        </w:rPr>
        <w:t>供应商提出质疑应当提交质疑函和必要的证明材料。质疑函应当包括下列内容：</w:t>
      </w:r>
    </w:p>
    <w:p w14:paraId="7005D80E">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4.3.3.1供应商的姓名或者名称、地址、邮编、联系人及联系电话；</w:t>
      </w:r>
    </w:p>
    <w:p w14:paraId="0BCFDAA7">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4.3.3.2质疑项目的名称、编号；</w:t>
      </w:r>
    </w:p>
    <w:p w14:paraId="3F3828A7">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4.3.3.3具体、明确的质疑事项和与质疑事项相关的请求；</w:t>
      </w:r>
    </w:p>
    <w:p w14:paraId="7A9405FC">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4.3.3.4事实依据；</w:t>
      </w:r>
    </w:p>
    <w:p w14:paraId="32453EBC">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4.3.3.5必要的法律依据；</w:t>
      </w:r>
    </w:p>
    <w:p w14:paraId="4ACB0AED">
      <w:pPr>
        <w:spacing w:line="360" w:lineRule="auto"/>
        <w:ind w:left="479" w:leftChars="228"/>
        <w:rPr>
          <w:rFonts w:hint="eastAsia" w:ascii="仿宋" w:hAnsi="仿宋" w:eastAsia="仿宋" w:cs="仿宋"/>
          <w:color w:val="auto"/>
          <w:sz w:val="24"/>
          <w:lang w:val="zh-CN"/>
        </w:rPr>
      </w:pPr>
      <w:r>
        <w:rPr>
          <w:rFonts w:hint="eastAsia" w:ascii="仿宋" w:hAnsi="仿宋" w:eastAsia="仿宋" w:cs="仿宋"/>
          <w:color w:val="auto"/>
          <w:sz w:val="24"/>
          <w:lang w:val="zh-CN"/>
        </w:rPr>
        <w:t>4.3.3.6提出质疑的日期。</w:t>
      </w:r>
    </w:p>
    <w:p w14:paraId="4F4868EB">
      <w:pPr>
        <w:spacing w:line="360" w:lineRule="auto"/>
        <w:ind w:left="479" w:leftChars="228"/>
        <w:rPr>
          <w:rFonts w:hint="eastAsia" w:ascii="仿宋" w:hAnsi="仿宋" w:eastAsia="仿宋" w:cs="仿宋"/>
          <w:color w:val="auto"/>
        </w:rPr>
      </w:pPr>
      <w:r>
        <w:rPr>
          <w:rFonts w:hint="eastAsia" w:ascii="仿宋" w:hAnsi="仿宋" w:eastAsia="仿宋" w:cs="仿宋"/>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30E7055E">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4.3.4对同一采购程序环节的质疑，供应商须在法定质疑期内一次性提出。</w:t>
      </w:r>
    </w:p>
    <w:p w14:paraId="58B293A8">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88D5556">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4.3.6询问或者质疑事项可能影响采购结果的，采购人应当暂停签订合同，已经签订合同的，应当中止履行合同。</w:t>
      </w:r>
    </w:p>
    <w:p w14:paraId="594328D3">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4.4</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供应商投诉</w:t>
      </w:r>
    </w:p>
    <w:p w14:paraId="6BF6A985">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0CF571E8">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4.4.2供应商投诉的事项不得超出已质疑事项的范围，基于质疑答复内容提出的投诉事项除外。</w:t>
      </w:r>
    </w:p>
    <w:p w14:paraId="393D4780">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4.4.3供应商投诉应当有明确的请求和必要的证明材料。</w:t>
      </w:r>
    </w:p>
    <w:p w14:paraId="308C247F">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4.4.4 以联合体形式参加政府采购活动的，其投诉应当由组成联合体的所有供应商共同提出。</w:t>
      </w:r>
    </w:p>
    <w:p w14:paraId="23E4C111">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投诉书范本及制作说明详见附件3。</w:t>
      </w:r>
    </w:p>
    <w:p w14:paraId="6AC2B28A">
      <w:pPr>
        <w:adjustRightInd/>
        <w:spacing w:line="360" w:lineRule="auto"/>
        <w:jc w:val="center"/>
        <w:outlineLvl w:val="0"/>
        <w:rPr>
          <w:rFonts w:hint="eastAsia" w:ascii="仿宋" w:hAnsi="仿宋" w:eastAsia="仿宋" w:cs="仿宋"/>
          <w:b/>
          <w:color w:val="auto"/>
          <w:sz w:val="32"/>
          <w:szCs w:val="20"/>
        </w:rPr>
      </w:pPr>
      <w:r>
        <w:rPr>
          <w:rFonts w:hint="eastAsia" w:ascii="仿宋" w:hAnsi="仿宋" w:eastAsia="仿宋" w:cs="仿宋"/>
          <w:b/>
          <w:color w:val="auto"/>
          <w:sz w:val="32"/>
          <w:szCs w:val="20"/>
        </w:rPr>
        <w:t>二、招标文件的构成、澄清、修改</w:t>
      </w:r>
    </w:p>
    <w:p w14:paraId="277CB7F5">
      <w:pPr>
        <w:spacing w:line="360" w:lineRule="auto"/>
        <w:rPr>
          <w:rFonts w:hint="eastAsia" w:ascii="仿宋" w:hAnsi="仿宋" w:eastAsia="仿宋" w:cs="仿宋"/>
          <w:b/>
          <w:color w:val="auto"/>
          <w:sz w:val="24"/>
        </w:rPr>
      </w:pPr>
      <w:r>
        <w:rPr>
          <w:rFonts w:hint="eastAsia" w:ascii="仿宋" w:hAnsi="仿宋" w:eastAsia="仿宋" w:cs="仿宋"/>
          <w:b/>
          <w:color w:val="auto"/>
          <w:sz w:val="24"/>
        </w:rPr>
        <w:t>5</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rPr>
        <w:t>招标文件的构成</w:t>
      </w:r>
    </w:p>
    <w:p w14:paraId="0B3C0EA8">
      <w:pPr>
        <w:autoSpaceDE w:val="0"/>
        <w:autoSpaceDN w:val="0"/>
        <w:spacing w:line="360" w:lineRule="auto"/>
        <w:ind w:firstLine="240" w:firstLineChars="1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5.1 招标文件包括下列文件及附件：</w:t>
      </w:r>
    </w:p>
    <w:p w14:paraId="0AB476D9">
      <w:pPr>
        <w:pStyle w:val="32"/>
        <w:tabs>
          <w:tab w:val="left" w:pos="840"/>
        </w:tabs>
        <w:spacing w:line="360" w:lineRule="auto"/>
        <w:ind w:firstLine="960" w:firstLineChars="400"/>
        <w:rPr>
          <w:rFonts w:hint="eastAsia" w:ascii="仿宋" w:hAnsi="仿宋" w:eastAsia="仿宋" w:cs="仿宋"/>
          <w:snapToGrid/>
          <w:color w:val="auto"/>
          <w:sz w:val="24"/>
          <w:szCs w:val="24"/>
          <w:lang w:val="zh-CN"/>
        </w:rPr>
      </w:pPr>
      <w:r>
        <w:rPr>
          <w:rFonts w:hint="eastAsia" w:ascii="仿宋" w:hAnsi="仿宋" w:eastAsia="仿宋" w:cs="仿宋"/>
          <w:snapToGrid/>
          <w:color w:val="auto"/>
          <w:sz w:val="24"/>
          <w:szCs w:val="24"/>
          <w:lang w:val="zh-CN"/>
        </w:rPr>
        <w:t>5.1.1招标公告；</w:t>
      </w:r>
    </w:p>
    <w:p w14:paraId="0899C73A">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snapToGrid/>
          <w:color w:val="auto"/>
          <w:sz w:val="24"/>
          <w:szCs w:val="24"/>
          <w:lang w:val="zh-CN"/>
        </w:rPr>
        <w:t>.1.2投标人须知</w:t>
      </w:r>
      <w:r>
        <w:rPr>
          <w:rFonts w:hint="eastAsia" w:ascii="仿宋" w:hAnsi="仿宋" w:eastAsia="仿宋" w:cs="仿宋"/>
          <w:color w:val="auto"/>
          <w:sz w:val="24"/>
          <w:szCs w:val="24"/>
        </w:rPr>
        <w:t>；</w:t>
      </w:r>
    </w:p>
    <w:p w14:paraId="2EF9F6E4">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5.1.3采购需求；</w:t>
      </w:r>
    </w:p>
    <w:p w14:paraId="73B3048E">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5.1.4评标办法；</w:t>
      </w:r>
    </w:p>
    <w:p w14:paraId="0CD17871">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szCs w:val="24"/>
        </w:rPr>
        <w:t>5.1.5拟签订的合同文本；</w:t>
      </w:r>
    </w:p>
    <w:p w14:paraId="15EE5D6E">
      <w:pPr>
        <w:pStyle w:val="32"/>
        <w:tabs>
          <w:tab w:val="left" w:pos="840"/>
        </w:tabs>
        <w:spacing w:line="360" w:lineRule="auto"/>
        <w:ind w:firstLine="960" w:firstLineChars="400"/>
        <w:rPr>
          <w:rFonts w:hint="eastAsia" w:ascii="仿宋" w:hAnsi="仿宋" w:eastAsia="仿宋" w:cs="仿宋"/>
          <w:color w:val="auto"/>
          <w:sz w:val="24"/>
          <w:szCs w:val="24"/>
        </w:rPr>
      </w:pPr>
      <w:r>
        <w:rPr>
          <w:rFonts w:hint="eastAsia" w:ascii="仿宋" w:hAnsi="仿宋" w:eastAsia="仿宋" w:cs="仿宋"/>
          <w:color w:val="auto"/>
          <w:sz w:val="24"/>
        </w:rPr>
        <w:t>5.1.6</w:t>
      </w:r>
      <w:r>
        <w:rPr>
          <w:rFonts w:hint="eastAsia" w:ascii="仿宋" w:hAnsi="仿宋" w:eastAsia="仿宋" w:cs="仿宋"/>
          <w:color w:val="auto"/>
          <w:sz w:val="24"/>
          <w:szCs w:val="24"/>
        </w:rPr>
        <w:t>应提交的有关格式范例。</w:t>
      </w:r>
    </w:p>
    <w:p w14:paraId="7E3A049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14:paraId="1C547694">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6. 招标文件的澄清、修改</w:t>
      </w:r>
    </w:p>
    <w:p w14:paraId="18D52A5F">
      <w:pPr>
        <w:pStyle w:val="128"/>
        <w:snapToGrid w:val="0"/>
        <w:spacing w:before="0"/>
        <w:ind w:firstLine="480"/>
        <w:rPr>
          <w:rFonts w:hint="eastAsia" w:ascii="仿宋" w:hAnsi="仿宋" w:eastAsia="仿宋" w:cs="仿宋"/>
          <w:color w:val="auto"/>
        </w:rPr>
      </w:pPr>
      <w:r>
        <w:rPr>
          <w:rFonts w:hint="eastAsia" w:ascii="仿宋" w:hAnsi="仿宋" w:eastAsia="仿宋" w:cs="仿宋"/>
          <w:color w:val="auto"/>
        </w:rPr>
        <w:t>6.1已获取招标文件的潜在投标人，若有问题需要澄清，应于投标截止时间前，以书面形式向采购代理机构提出。</w:t>
      </w:r>
    </w:p>
    <w:p w14:paraId="46B6FCD9">
      <w:pPr>
        <w:pStyle w:val="128"/>
        <w:snapToGrid w:val="0"/>
        <w:spacing w:before="0"/>
        <w:ind w:firstLine="480"/>
        <w:rPr>
          <w:rFonts w:hint="eastAsia" w:ascii="仿宋" w:hAnsi="仿宋" w:eastAsia="仿宋" w:cs="仿宋"/>
          <w:color w:val="auto"/>
        </w:rPr>
      </w:pPr>
      <w:r>
        <w:rPr>
          <w:rFonts w:hint="eastAsia" w:ascii="仿宋" w:hAnsi="仿宋" w:eastAsia="仿宋" w:cs="仿宋"/>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263D72">
      <w:pPr>
        <w:adjustRightInd/>
        <w:spacing w:line="360" w:lineRule="auto"/>
        <w:jc w:val="center"/>
        <w:outlineLvl w:val="0"/>
        <w:rPr>
          <w:rFonts w:hint="eastAsia" w:ascii="仿宋" w:hAnsi="仿宋" w:eastAsia="仿宋" w:cs="仿宋"/>
          <w:b/>
          <w:color w:val="auto"/>
          <w:sz w:val="32"/>
          <w:szCs w:val="21"/>
        </w:rPr>
      </w:pPr>
      <w:r>
        <w:rPr>
          <w:rFonts w:hint="eastAsia" w:ascii="仿宋" w:hAnsi="仿宋" w:eastAsia="仿宋" w:cs="仿宋"/>
          <w:b/>
          <w:color w:val="auto"/>
          <w:sz w:val="32"/>
          <w:szCs w:val="21"/>
        </w:rPr>
        <w:t>三、投标</w:t>
      </w:r>
    </w:p>
    <w:p w14:paraId="197F8A5E">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7. 招标文件的获取</w:t>
      </w:r>
    </w:p>
    <w:p w14:paraId="5BFAB847">
      <w:pPr>
        <w:spacing w:line="360" w:lineRule="auto"/>
        <w:ind w:firstLine="480" w:firstLineChars="20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14:paraId="6AE67343">
      <w:pPr>
        <w:pStyle w:val="32"/>
        <w:numPr>
          <w:ilvl w:val="0"/>
          <w:numId w:val="2"/>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开标前答疑会或现场考察</w:t>
      </w:r>
    </w:p>
    <w:p w14:paraId="1810F08F">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14:paraId="2A3EBF67">
      <w:pPr>
        <w:pStyle w:val="32"/>
        <w:numPr>
          <w:ilvl w:val="0"/>
          <w:numId w:val="2"/>
        </w:numPr>
        <w:spacing w:line="360" w:lineRule="auto"/>
        <w:ind w:left="0" w:leftChars="0"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rPr>
        <w:t>投标保证金</w:t>
      </w:r>
    </w:p>
    <w:p w14:paraId="3874946E">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610EBAB8">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10. 投标文件的语言</w:t>
      </w:r>
    </w:p>
    <w:p w14:paraId="6F158A37">
      <w:pPr>
        <w:autoSpaceDE w:val="0"/>
        <w:autoSpaceDN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7354CB6E">
      <w:pPr>
        <w:pStyle w:val="32"/>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11. 投标文件的组成</w:t>
      </w:r>
    </w:p>
    <w:p w14:paraId="1EECA98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14:paraId="1C0A8EB2">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11.1.1符合参加政府采购活动应当具备的一般条件的承诺函；</w:t>
      </w:r>
    </w:p>
    <w:p w14:paraId="7A2942E6">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w:t>
      </w:r>
      <w:bookmarkStart w:id="12" w:name="_Hlk101259339"/>
      <w:r>
        <w:rPr>
          <w:rFonts w:hint="eastAsia" w:ascii="仿宋" w:hAnsi="仿宋" w:eastAsia="仿宋" w:cs="仿宋"/>
          <w:snapToGrid w:val="0"/>
          <w:color w:val="auto"/>
          <w:kern w:val="28"/>
          <w:sz w:val="24"/>
          <w:szCs w:val="20"/>
        </w:rPr>
        <w:t>联合协议</w:t>
      </w:r>
      <w:bookmarkEnd w:id="12"/>
      <w:r>
        <w:rPr>
          <w:rFonts w:hint="eastAsia" w:ascii="仿宋" w:hAnsi="仿宋" w:eastAsia="仿宋" w:cs="仿宋"/>
          <w:snapToGrid w:val="0"/>
          <w:color w:val="auto"/>
          <w:kern w:val="28"/>
          <w:sz w:val="24"/>
          <w:szCs w:val="20"/>
        </w:rPr>
        <w:t>（如果有)；</w:t>
      </w:r>
    </w:p>
    <w:p w14:paraId="19FCA048">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7B46213D">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0D071003">
      <w:pPr>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3E0F52DA">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11.2.1投标函；</w:t>
      </w:r>
      <w:r>
        <w:rPr>
          <w:rFonts w:hint="eastAsia" w:ascii="仿宋" w:hAnsi="仿宋" w:eastAsia="仿宋" w:cs="仿宋"/>
          <w:color w:val="auto"/>
          <w:sz w:val="24"/>
          <w:lang w:val="zh-CN"/>
        </w:rPr>
        <w:t xml:space="preserve"> </w:t>
      </w:r>
    </w:p>
    <w:p w14:paraId="47F5A7B5">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11.2.2授权委托书或法定代表人（单位负责人、自然人本人）身份证明；</w:t>
      </w:r>
    </w:p>
    <w:p w14:paraId="03342FC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11.2.3分包意向协议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03B58948">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11.2.4符合性审查资料；</w:t>
      </w:r>
    </w:p>
    <w:p w14:paraId="3D171CE8">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14:paraId="12D67944">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11.2.6投标标的清单；</w:t>
      </w:r>
    </w:p>
    <w:p w14:paraId="5E432E5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14:paraId="40A8F1B4">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11719A50">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r>
        <w:rPr>
          <w:rFonts w:hint="eastAsia" w:ascii="仿宋" w:hAnsi="仿宋" w:eastAsia="仿宋" w:cs="仿宋"/>
          <w:color w:val="auto"/>
          <w:sz w:val="24"/>
        </w:rPr>
        <w:t xml:space="preserve"> </w:t>
      </w:r>
    </w:p>
    <w:p w14:paraId="7F15BC1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14:paraId="198B9471">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11.3.2中小企业声明函。</w:t>
      </w:r>
    </w:p>
    <w:p w14:paraId="7AECBEF4">
      <w:pPr>
        <w:spacing w:line="360" w:lineRule="auto"/>
        <w:ind w:firstLine="723" w:firstLineChars="300"/>
        <w:rPr>
          <w:rFonts w:hint="eastAsia"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14:paraId="4D4F7554">
      <w:pPr>
        <w:spacing w:line="360" w:lineRule="auto"/>
        <w:ind w:firstLine="723" w:firstLineChars="300"/>
        <w:rPr>
          <w:rFonts w:hint="eastAsia" w:ascii="仿宋" w:hAnsi="仿宋" w:eastAsia="仿宋" w:cs="仿宋"/>
          <w:b/>
          <w:color w:val="auto"/>
          <w:sz w:val="24"/>
          <w:szCs w:val="21"/>
        </w:rPr>
      </w:pPr>
      <w:r>
        <w:rPr>
          <w:rFonts w:hint="eastAsia" w:ascii="仿宋" w:hAnsi="仿宋" w:eastAsia="仿宋" w:cs="仿宋"/>
          <w:b/>
          <w:color w:val="auto"/>
          <w:sz w:val="24"/>
        </w:rPr>
        <w:t>投标人提供虚假材料投标的，投标无效。</w:t>
      </w:r>
    </w:p>
    <w:p w14:paraId="11D2567D">
      <w:pPr>
        <w:pStyle w:val="128"/>
        <w:snapToGrid w:val="0"/>
        <w:spacing w:before="0"/>
        <w:ind w:firstLine="0" w:firstLineChars="0"/>
        <w:outlineLvl w:val="0"/>
        <w:rPr>
          <w:rFonts w:hint="eastAsia" w:ascii="仿宋" w:hAnsi="仿宋" w:eastAsia="仿宋" w:cs="仿宋"/>
          <w:b/>
          <w:color w:val="auto"/>
          <w:szCs w:val="24"/>
        </w:rPr>
      </w:pPr>
      <w:r>
        <w:rPr>
          <w:rFonts w:hint="eastAsia" w:ascii="仿宋" w:hAnsi="仿宋" w:eastAsia="仿宋" w:cs="仿宋"/>
          <w:b/>
          <w:color w:val="auto"/>
          <w:szCs w:val="24"/>
        </w:rPr>
        <w:t>12</w:t>
      </w:r>
      <w:r>
        <w:rPr>
          <w:rFonts w:hint="eastAsia"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14:paraId="4D082A62">
      <w:pPr>
        <w:spacing w:line="360" w:lineRule="auto"/>
        <w:ind w:firstLine="480" w:firstLineChars="200"/>
        <w:rPr>
          <w:rFonts w:hint="eastAsia" w:ascii="仿宋" w:hAnsi="仿宋" w:eastAsia="仿宋" w:cs="仿宋"/>
          <w:b/>
          <w:color w:val="auto"/>
          <w:sz w:val="24"/>
        </w:rPr>
      </w:pPr>
      <w:r>
        <w:rPr>
          <w:rFonts w:hint="eastAsia"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F046E78">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EDE363B">
      <w:pPr>
        <w:spacing w:line="360" w:lineRule="auto"/>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14:paraId="4747BCAB">
      <w:pPr>
        <w:numPr>
          <w:ilvl w:val="0"/>
          <w:numId w:val="3"/>
        </w:numPr>
        <w:snapToGrid w:val="0"/>
        <w:spacing w:line="360" w:lineRule="auto"/>
        <w:rPr>
          <w:rFonts w:hint="eastAsia" w:ascii="仿宋" w:hAnsi="仿宋" w:eastAsia="仿宋" w:cs="仿宋"/>
          <w:b/>
          <w:color w:val="auto"/>
          <w:sz w:val="24"/>
        </w:rPr>
      </w:pPr>
      <w:r>
        <w:rPr>
          <w:rFonts w:hint="eastAsia" w:ascii="仿宋" w:hAnsi="仿宋" w:eastAsia="仿宋" w:cs="仿宋"/>
          <w:b/>
          <w:color w:val="auto"/>
          <w:sz w:val="24"/>
        </w:rPr>
        <w:t>投标文件的签署、盖章</w:t>
      </w:r>
    </w:p>
    <w:p w14:paraId="1076A39B">
      <w:pPr>
        <w:pStyle w:val="128"/>
        <w:snapToGrid w:val="0"/>
        <w:spacing w:before="0"/>
        <w:ind w:firstLine="480"/>
        <w:rPr>
          <w:rFonts w:hint="eastAsia" w:ascii="仿宋" w:hAnsi="仿宋" w:eastAsia="仿宋" w:cs="仿宋"/>
          <w:b/>
          <w:color w:val="auto"/>
        </w:rPr>
      </w:pPr>
      <w:r>
        <w:rPr>
          <w:rFonts w:hint="eastAsia"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14:paraId="6479250C">
      <w:pPr>
        <w:pStyle w:val="128"/>
        <w:snapToGrid w:val="0"/>
        <w:spacing w:before="0"/>
        <w:ind w:firstLine="480"/>
        <w:rPr>
          <w:rFonts w:hint="eastAsia" w:ascii="仿宋" w:hAnsi="仿宋" w:eastAsia="仿宋" w:cs="仿宋"/>
          <w:color w:val="auto"/>
        </w:rPr>
      </w:pPr>
      <w:r>
        <w:rPr>
          <w:rFonts w:hint="eastAsia"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14:paraId="4B91FA5D">
      <w:pPr>
        <w:pStyle w:val="128"/>
        <w:snapToGrid w:val="0"/>
        <w:spacing w:before="0"/>
        <w:ind w:firstLine="480"/>
        <w:rPr>
          <w:rFonts w:hint="eastAsia" w:ascii="仿宋" w:hAnsi="仿宋" w:eastAsia="仿宋" w:cs="仿宋"/>
          <w:color w:val="auto"/>
          <w:szCs w:val="24"/>
        </w:rPr>
      </w:pPr>
      <w:r>
        <w:rPr>
          <w:rFonts w:hint="eastAsia" w:ascii="仿宋" w:hAnsi="仿宋" w:eastAsia="仿宋" w:cs="仿宋"/>
          <w:color w:val="auto"/>
        </w:rPr>
        <w:t>13.3招标文件对投标文件签署、盖章的要求适用于电子签名。</w:t>
      </w:r>
    </w:p>
    <w:p w14:paraId="1E86FA28">
      <w:pPr>
        <w:pStyle w:val="128"/>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14. 投标文件的提交、补充、修改、撤回</w:t>
      </w:r>
    </w:p>
    <w:p w14:paraId="15EEC74E">
      <w:pPr>
        <w:pStyle w:val="128"/>
        <w:ind w:firstLine="480"/>
        <w:rPr>
          <w:rFonts w:hint="eastAsia" w:ascii="仿宋" w:hAnsi="仿宋" w:eastAsia="仿宋" w:cs="仿宋"/>
          <w:color w:val="auto"/>
          <w:szCs w:val="24"/>
        </w:rPr>
      </w:pPr>
      <w:r>
        <w:rPr>
          <w:rFonts w:hint="eastAsia" w:ascii="仿宋" w:hAnsi="仿宋" w:eastAsia="仿宋" w:cs="仿宋"/>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C63D415">
      <w:pPr>
        <w:pStyle w:val="128"/>
        <w:spacing w:before="0"/>
        <w:ind w:firstLine="480"/>
        <w:rPr>
          <w:rFonts w:hint="eastAsia" w:ascii="仿宋" w:hAnsi="仿宋" w:eastAsia="仿宋" w:cs="仿宋"/>
          <w:color w:val="auto"/>
          <w:szCs w:val="24"/>
        </w:rPr>
      </w:pPr>
      <w:r>
        <w:rPr>
          <w:rFonts w:hint="eastAsia"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10E126E">
      <w:pPr>
        <w:pStyle w:val="128"/>
        <w:spacing w:before="0"/>
        <w:ind w:firstLine="480"/>
        <w:rPr>
          <w:rFonts w:hint="eastAsia" w:ascii="仿宋" w:hAnsi="仿宋" w:eastAsia="仿宋" w:cs="仿宋"/>
          <w:color w:val="auto"/>
          <w:szCs w:val="24"/>
        </w:rPr>
      </w:pPr>
      <w:r>
        <w:rPr>
          <w:rFonts w:hint="eastAsia" w:ascii="仿宋" w:hAnsi="仿宋" w:eastAsia="仿宋" w:cs="仿宋"/>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2E59D52F">
      <w:pPr>
        <w:pStyle w:val="32"/>
        <w:numPr>
          <w:ilvl w:val="0"/>
          <w:numId w:val="4"/>
        </w:num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备份投标文件</w:t>
      </w:r>
    </w:p>
    <w:p w14:paraId="113A7D82">
      <w:pPr>
        <w:pStyle w:val="32"/>
        <w:spacing w:line="360" w:lineRule="auto"/>
        <w:ind w:firstLine="360" w:firstLineChars="150"/>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但采购人、采购代理机构不强制或变相强制投标人提交备份投标文件。</w:t>
      </w:r>
    </w:p>
    <w:p w14:paraId="31B74732">
      <w:pPr>
        <w:pStyle w:val="32"/>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15.2备份投标文件须在“政采云投标客户端”制作生成，并储存在</w:t>
      </w:r>
      <w:r>
        <w:rPr>
          <w:rFonts w:hint="eastAsia" w:ascii="仿宋" w:hAnsi="仿宋" w:eastAsia="仿宋" w:cs="仿宋"/>
          <w:color w:val="auto"/>
          <w:sz w:val="24"/>
        </w:rPr>
        <w:t>DVD光盘等存储介质</w:t>
      </w:r>
      <w:r>
        <w:rPr>
          <w:rFonts w:hint="eastAsia" w:ascii="仿宋" w:hAnsi="仿宋" w:eastAsia="仿宋" w:cs="仿宋"/>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14:paraId="60610F34">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5F03E085">
      <w:pPr>
        <w:pStyle w:val="3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1B70F121">
      <w:pPr>
        <w:pStyle w:val="32"/>
        <w:spacing w:line="360" w:lineRule="auto"/>
        <w:ind w:firstLine="479" w:firstLineChars="199"/>
        <w:rPr>
          <w:rFonts w:hint="eastAsia" w:ascii="仿宋" w:hAnsi="仿宋" w:eastAsia="仿宋" w:cs="仿宋"/>
          <w:b/>
          <w:color w:val="auto"/>
          <w:sz w:val="24"/>
          <w:szCs w:val="24"/>
        </w:rPr>
      </w:pPr>
      <w:r>
        <w:rPr>
          <w:rFonts w:hint="eastAsia" w:ascii="仿宋" w:hAnsi="仿宋" w:eastAsia="仿宋" w:cs="仿宋"/>
          <w:b/>
          <w:color w:val="auto"/>
          <w:sz w:val="24"/>
          <w:szCs w:val="24"/>
        </w:rPr>
        <w:t>15.5投标人仅提交备份投标文件，未在电子交易平台传输递交投标文件的，投标无效。</w:t>
      </w:r>
    </w:p>
    <w:p w14:paraId="74D16B1B">
      <w:pPr>
        <w:pStyle w:val="128"/>
        <w:numPr>
          <w:ilvl w:val="0"/>
          <w:numId w:val="5"/>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投标文件的无效处理</w:t>
      </w:r>
    </w:p>
    <w:p w14:paraId="7AF5B5A8">
      <w:pPr>
        <w:pStyle w:val="24"/>
        <w:spacing w:line="360" w:lineRule="auto"/>
        <w:ind w:firstLine="360" w:firstLineChars="150"/>
        <w:rPr>
          <w:rFonts w:hint="eastAsia" w:ascii="仿宋" w:hAnsi="仿宋" w:eastAsia="仿宋" w:cs="仿宋"/>
          <w:color w:val="auto"/>
          <w:szCs w:val="21"/>
        </w:rPr>
      </w:pPr>
      <w:r>
        <w:rPr>
          <w:rFonts w:hint="eastAsia" w:ascii="仿宋" w:hAnsi="仿宋" w:eastAsia="仿宋" w:cs="仿宋"/>
          <w:color w:val="auto"/>
          <w:szCs w:val="21"/>
        </w:rPr>
        <w:t>有招标文件第四部分</w:t>
      </w:r>
      <w:r>
        <w:rPr>
          <w:rFonts w:hint="eastAsia" w:ascii="仿宋" w:hAnsi="仿宋" w:eastAsia="仿宋" w:cs="仿宋"/>
          <w:color w:val="auto"/>
        </w:rPr>
        <w:t>4.2规定</w:t>
      </w:r>
      <w:r>
        <w:rPr>
          <w:rFonts w:hint="eastAsia" w:ascii="仿宋" w:hAnsi="仿宋" w:eastAsia="仿宋" w:cs="仿宋"/>
          <w:color w:val="auto"/>
          <w:szCs w:val="21"/>
        </w:rPr>
        <w:t>的情形之一的，投标无效：</w:t>
      </w:r>
    </w:p>
    <w:p w14:paraId="442B0AC5">
      <w:pPr>
        <w:pStyle w:val="128"/>
        <w:numPr>
          <w:ilvl w:val="0"/>
          <w:numId w:val="5"/>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投标有效期</w:t>
      </w:r>
    </w:p>
    <w:p w14:paraId="5B277465">
      <w:pPr>
        <w:spacing w:line="360" w:lineRule="auto"/>
        <w:ind w:firstLine="480" w:firstLineChars="200"/>
        <w:rPr>
          <w:rFonts w:hint="eastAsia" w:ascii="仿宋" w:hAnsi="仿宋" w:eastAsia="仿宋" w:cs="仿宋"/>
          <w:b/>
          <w:color w:val="auto"/>
          <w:sz w:val="24"/>
          <w:szCs w:val="21"/>
        </w:rPr>
      </w:pPr>
      <w:r>
        <w:rPr>
          <w:rFonts w:hint="eastAsia"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14:paraId="7A4EAD7E">
      <w:pPr>
        <w:pStyle w:val="128"/>
        <w:spacing w:before="0"/>
        <w:ind w:firstLine="480"/>
        <w:rPr>
          <w:rFonts w:hint="eastAsia" w:ascii="仿宋" w:hAnsi="仿宋" w:eastAsia="仿宋" w:cs="仿宋"/>
          <w:color w:val="auto"/>
        </w:rPr>
      </w:pPr>
      <w:r>
        <w:rPr>
          <w:rFonts w:hint="eastAsia" w:ascii="仿宋" w:hAnsi="仿宋" w:eastAsia="仿宋" w:cs="仿宋"/>
          <w:color w:val="auto"/>
        </w:rPr>
        <w:t>17.2投标文件合格投递后，自投标截止日期起，在投标有效期内有效。</w:t>
      </w:r>
    </w:p>
    <w:p w14:paraId="3336FEB8">
      <w:pPr>
        <w:pStyle w:val="128"/>
        <w:spacing w:before="0"/>
        <w:ind w:firstLine="480"/>
        <w:rPr>
          <w:rFonts w:hint="eastAsia" w:ascii="仿宋" w:hAnsi="仿宋" w:eastAsia="仿宋" w:cs="仿宋"/>
          <w:color w:val="auto"/>
        </w:rPr>
      </w:pPr>
      <w:r>
        <w:rPr>
          <w:rFonts w:hint="eastAsia" w:ascii="仿宋" w:hAnsi="仿宋" w:eastAsia="仿宋" w:cs="仿宋"/>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2F68435A">
      <w:pPr>
        <w:pStyle w:val="128"/>
        <w:spacing w:before="0"/>
        <w:ind w:firstLine="480"/>
        <w:rPr>
          <w:rFonts w:hint="eastAsia" w:ascii="仿宋" w:hAnsi="仿宋" w:eastAsia="仿宋" w:cs="仿宋"/>
          <w:color w:val="auto"/>
        </w:rPr>
      </w:pPr>
      <w:r>
        <w:rPr>
          <w:rFonts w:hint="eastAsia" w:ascii="仿宋" w:hAnsi="仿宋" w:eastAsia="仿宋" w:cs="仿宋"/>
          <w:color w:val="auto"/>
        </w:rPr>
        <w:t>17.4在投标截止时间起至投标有效期届满，供应商投标文件不可撤销。</w:t>
      </w:r>
    </w:p>
    <w:p w14:paraId="24B46E2A">
      <w:pPr>
        <w:pStyle w:val="128"/>
        <w:spacing w:before="0"/>
        <w:ind w:firstLine="1928" w:firstLineChars="600"/>
        <w:rPr>
          <w:rFonts w:hint="eastAsia" w:ascii="仿宋" w:hAnsi="仿宋" w:eastAsia="仿宋" w:cs="仿宋"/>
          <w:b/>
          <w:color w:val="auto"/>
          <w:sz w:val="32"/>
        </w:rPr>
      </w:pPr>
      <w:r>
        <w:rPr>
          <w:rFonts w:hint="eastAsia" w:ascii="仿宋" w:hAnsi="仿宋" w:eastAsia="仿宋" w:cs="仿宋"/>
          <w:b/>
          <w:color w:val="auto"/>
          <w:sz w:val="32"/>
        </w:rPr>
        <w:t>四、开标、资格审查与信用信息查询</w:t>
      </w:r>
    </w:p>
    <w:p w14:paraId="39C7C0A5">
      <w:pPr>
        <w:pStyle w:val="554"/>
        <w:spacing w:before="0" w:line="360" w:lineRule="auto"/>
        <w:ind w:left="0" w:firstLine="0"/>
        <w:contextualSpacing/>
        <w:rPr>
          <w:rFonts w:hint="eastAsia" w:ascii="仿宋" w:hAnsi="仿宋" w:eastAsia="仿宋" w:cs="仿宋"/>
          <w:color w:val="auto"/>
          <w:sz w:val="24"/>
        </w:rPr>
      </w:pPr>
      <w:r>
        <w:rPr>
          <w:rFonts w:hint="eastAsia" w:ascii="仿宋" w:hAnsi="仿宋" w:eastAsia="仿宋" w:cs="仿宋"/>
          <w:b/>
          <w:color w:val="auto"/>
          <w:sz w:val="24"/>
          <w:szCs w:val="24"/>
        </w:rPr>
        <w:t>18. 开标</w:t>
      </w:r>
      <w:r>
        <w:rPr>
          <w:rFonts w:hint="eastAsia" w:ascii="仿宋" w:hAnsi="仿宋" w:eastAsia="仿宋" w:cs="仿宋"/>
          <w:color w:val="auto"/>
          <w:sz w:val="24"/>
        </w:rPr>
        <w:t xml:space="preserve"> </w:t>
      </w:r>
    </w:p>
    <w:p w14:paraId="674534B7">
      <w:pPr>
        <w:pStyle w:val="554"/>
        <w:spacing w:before="0" w:line="360" w:lineRule="auto"/>
        <w:ind w:left="0" w:firstLine="480" w:firstLineChars="200"/>
        <w:contextualSpacing/>
        <w:rPr>
          <w:rFonts w:hint="eastAsia" w:ascii="仿宋" w:hAnsi="仿宋" w:eastAsia="仿宋" w:cs="仿宋"/>
          <w:color w:val="auto"/>
          <w:sz w:val="24"/>
        </w:rPr>
      </w:pPr>
      <w:r>
        <w:rPr>
          <w:rFonts w:hint="eastAsia" w:ascii="仿宋" w:hAnsi="仿宋" w:eastAsia="仿宋" w:cs="仿宋"/>
          <w:color w:val="auto"/>
          <w:sz w:val="24"/>
        </w:rPr>
        <w:t>18.1采购代理机构按照招标文件规定的时间通过电子交易平台组织开标，所有投标人均应当准时在线参加。投标人不足3家的，不得开标。</w:t>
      </w:r>
    </w:p>
    <w:p w14:paraId="1757440A">
      <w:pPr>
        <w:pStyle w:val="554"/>
        <w:spacing w:before="0" w:line="360" w:lineRule="auto"/>
        <w:ind w:left="0" w:leftChars="0" w:firstLine="422" w:firstLineChars="0"/>
        <w:contextualSpacing/>
        <w:rPr>
          <w:rFonts w:hint="eastAsia" w:ascii="仿宋" w:hAnsi="仿宋" w:eastAsia="仿宋" w:cs="仿宋"/>
          <w:color w:val="auto"/>
          <w:sz w:val="24"/>
        </w:rPr>
      </w:pPr>
      <w:r>
        <w:rPr>
          <w:rFonts w:hint="eastAsia" w:ascii="仿宋" w:hAnsi="仿宋" w:eastAsia="仿宋" w:cs="仿宋"/>
          <w:color w:val="auto"/>
          <w:sz w:val="24"/>
        </w:rPr>
        <w:t>18.2开标时，电子交易平台按开标时间自动提取所有投标文件。采购代理机构依托电子交易平台发起开始解密指令，投标人按照平台提示和招标文件的规定在半小时内完成在线解密。</w:t>
      </w:r>
    </w:p>
    <w:p w14:paraId="4C330029">
      <w:pPr>
        <w:pStyle w:val="554"/>
        <w:spacing w:before="0" w:line="360" w:lineRule="auto"/>
        <w:ind w:left="0" w:leftChars="0" w:firstLine="422" w:firstLineChars="0"/>
        <w:contextualSpacing/>
        <w:rPr>
          <w:rFonts w:hint="eastAsia" w:ascii="仿宋" w:hAnsi="仿宋" w:eastAsia="仿宋" w:cs="仿宋"/>
          <w:b/>
          <w:color w:val="auto"/>
          <w:sz w:val="24"/>
        </w:rPr>
      </w:pPr>
      <w:r>
        <w:rPr>
          <w:rFonts w:hint="eastAsia" w:ascii="仿宋" w:hAnsi="仿宋" w:eastAsia="仿宋" w:cs="仿宋"/>
          <w:color w:val="auto"/>
          <w:sz w:val="24"/>
        </w:rPr>
        <w:t>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14:paraId="5327A13E">
      <w:pPr>
        <w:widowControl/>
        <w:numPr>
          <w:ilvl w:val="0"/>
          <w:numId w:val="6"/>
        </w:numPr>
        <w:spacing w:before="100" w:beforeAutospacing="1" w:after="240" w:line="360" w:lineRule="auto"/>
        <w:jc w:val="left"/>
        <w:rPr>
          <w:rFonts w:hint="eastAsia" w:ascii="仿宋" w:hAnsi="仿宋" w:eastAsia="仿宋" w:cs="仿宋"/>
          <w:b/>
          <w:color w:val="auto"/>
          <w:sz w:val="24"/>
          <w:szCs w:val="20"/>
        </w:rPr>
      </w:pPr>
      <w:r>
        <w:rPr>
          <w:rFonts w:hint="eastAsia" w:ascii="仿宋" w:hAnsi="仿宋" w:eastAsia="仿宋" w:cs="仿宋"/>
          <w:b/>
          <w:color w:val="auto"/>
          <w:sz w:val="24"/>
          <w:szCs w:val="20"/>
        </w:rPr>
        <w:t>资格审查</w:t>
      </w:r>
    </w:p>
    <w:p w14:paraId="0ACEF49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19.1</w:t>
      </w:r>
      <w:r>
        <w:rPr>
          <w:rFonts w:hint="eastAsia" w:ascii="仿宋" w:hAnsi="仿宋" w:eastAsia="仿宋" w:cs="仿宋"/>
          <w:color w:val="auto"/>
          <w:sz w:val="24"/>
        </w:rPr>
        <w:t>采购人或采购代理机构依据法律法规和招标文件的规定，对投标人的资格进行审查。</w:t>
      </w:r>
    </w:p>
    <w:p w14:paraId="4F1492AE">
      <w:pPr>
        <w:pStyle w:val="128"/>
        <w:spacing w:before="0"/>
        <w:ind w:firstLine="480"/>
        <w:rPr>
          <w:rFonts w:hint="eastAsia" w:ascii="仿宋" w:hAnsi="仿宋" w:eastAsia="仿宋" w:cs="仿宋"/>
          <w:color w:val="auto"/>
        </w:rPr>
      </w:pPr>
      <w:r>
        <w:rPr>
          <w:rFonts w:hint="eastAsia" w:ascii="仿宋" w:hAnsi="仿宋" w:eastAsia="仿宋" w:cs="仿宋"/>
          <w:color w:val="auto"/>
          <w:kern w:val="0"/>
          <w:szCs w:val="24"/>
        </w:rPr>
        <w:t>19.2投标人未按照招标文件要求提供与</w:t>
      </w:r>
      <w:r>
        <w:rPr>
          <w:rFonts w:hint="eastAsia" w:ascii="仿宋" w:hAnsi="仿宋" w:eastAsia="仿宋" w:cs="仿宋"/>
          <w:color w:val="auto"/>
        </w:rPr>
        <w:t>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14:paraId="13838B76">
      <w:pPr>
        <w:pStyle w:val="128"/>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3对未通过资格审查的投标人，采购人或采购代理机构告知其未通过的原因。</w:t>
      </w:r>
    </w:p>
    <w:p w14:paraId="0045E08E">
      <w:pPr>
        <w:pStyle w:val="128"/>
        <w:spacing w:before="0"/>
        <w:ind w:firstLine="480"/>
        <w:rPr>
          <w:rFonts w:hint="eastAsia" w:ascii="仿宋" w:hAnsi="仿宋" w:eastAsia="仿宋" w:cs="仿宋"/>
          <w:color w:val="auto"/>
        </w:rPr>
      </w:pPr>
      <w:r>
        <w:rPr>
          <w:rFonts w:hint="eastAsia" w:ascii="仿宋" w:hAnsi="仿宋" w:eastAsia="仿宋" w:cs="仿宋"/>
          <w:color w:val="auto"/>
          <w:kern w:val="0"/>
          <w:szCs w:val="24"/>
        </w:rPr>
        <w:t>19.</w:t>
      </w:r>
      <w:r>
        <w:rPr>
          <w:rFonts w:hint="eastAsia" w:ascii="仿宋" w:hAnsi="仿宋" w:eastAsia="仿宋" w:cs="仿宋"/>
          <w:color w:val="auto"/>
        </w:rPr>
        <w:t>4合格投标人不足3家的，不再评标。</w:t>
      </w:r>
    </w:p>
    <w:p w14:paraId="6B33351A">
      <w:pPr>
        <w:pStyle w:val="128"/>
        <w:numPr>
          <w:ilvl w:val="0"/>
          <w:numId w:val="6"/>
        </w:numPr>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信用信息查询</w:t>
      </w:r>
    </w:p>
    <w:p w14:paraId="19CBEAB0">
      <w:pPr>
        <w:pStyle w:val="128"/>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0A146577">
      <w:pPr>
        <w:pStyle w:val="128"/>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20.2信用信息查询记录和证据留存的具体方式：现场查询的投标人的信用记录、查询结果经确认后将与采购文件一起存档。</w:t>
      </w:r>
    </w:p>
    <w:p w14:paraId="3DCD89AE">
      <w:pPr>
        <w:pStyle w:val="128"/>
        <w:spacing w:before="0"/>
        <w:ind w:firstLine="495" w:firstLineChars="0"/>
        <w:rPr>
          <w:rFonts w:hint="eastAsia" w:ascii="仿宋" w:hAnsi="仿宋" w:eastAsia="仿宋" w:cs="仿宋"/>
          <w:color w:val="auto"/>
          <w:kern w:val="0"/>
          <w:szCs w:val="24"/>
        </w:rPr>
      </w:pPr>
      <w:r>
        <w:rPr>
          <w:rFonts w:hint="eastAsia"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14:paraId="6BFD27F6">
      <w:pPr>
        <w:pStyle w:val="128"/>
        <w:spacing w:before="0"/>
        <w:ind w:firstLine="480"/>
        <w:rPr>
          <w:rFonts w:hint="eastAsia" w:ascii="仿宋" w:hAnsi="仿宋" w:eastAsia="仿宋" w:cs="仿宋"/>
          <w:color w:val="auto"/>
        </w:rPr>
      </w:pPr>
      <w:r>
        <w:rPr>
          <w:rFonts w:hint="eastAsia"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14:paraId="29F5DDF4">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五、评标</w:t>
      </w:r>
    </w:p>
    <w:p w14:paraId="0F93EBAC">
      <w:pPr>
        <w:spacing w:line="360" w:lineRule="auto"/>
        <w:rPr>
          <w:rFonts w:hint="eastAsia" w:ascii="仿宋" w:hAnsi="仿宋" w:eastAsia="仿宋" w:cs="仿宋"/>
          <w:b/>
          <w:color w:val="auto"/>
          <w:sz w:val="24"/>
        </w:rPr>
      </w:pPr>
      <w:r>
        <w:rPr>
          <w:rFonts w:hint="eastAsia" w:ascii="仿宋" w:hAnsi="仿宋" w:eastAsia="仿宋" w:cs="仿宋"/>
          <w:b/>
          <w:color w:val="auto"/>
          <w:sz w:val="24"/>
        </w:rPr>
        <w:t>21.</w:t>
      </w:r>
      <w:r>
        <w:rPr>
          <w:rFonts w:hint="eastAsia"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14:paraId="1044C966">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六、定标</w:t>
      </w:r>
    </w:p>
    <w:p w14:paraId="56FDDC56">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22. 确定中标供应商</w:t>
      </w:r>
    </w:p>
    <w:p w14:paraId="5FC0B170">
      <w:pPr>
        <w:pStyle w:val="128"/>
        <w:snapToGrid w:val="0"/>
        <w:spacing w:before="0"/>
        <w:ind w:firstLine="480"/>
        <w:rPr>
          <w:rFonts w:hint="eastAsia"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837C171">
      <w:pPr>
        <w:pStyle w:val="128"/>
        <w:snapToGrid w:val="0"/>
        <w:spacing w:before="0"/>
        <w:ind w:firstLine="0" w:firstLineChars="0"/>
        <w:rPr>
          <w:rFonts w:hint="eastAsia" w:ascii="仿宋" w:hAnsi="仿宋" w:eastAsia="仿宋" w:cs="仿宋"/>
          <w:b/>
          <w:color w:val="auto"/>
          <w:szCs w:val="24"/>
        </w:rPr>
      </w:pPr>
      <w:r>
        <w:rPr>
          <w:rFonts w:hint="eastAsia" w:ascii="仿宋" w:hAnsi="仿宋" w:eastAsia="仿宋" w:cs="仿宋"/>
          <w:b/>
          <w:color w:val="auto"/>
          <w:szCs w:val="24"/>
        </w:rPr>
        <w:t>23. 中标通知与中标结果公告</w:t>
      </w:r>
    </w:p>
    <w:p w14:paraId="315DC9A2">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23.1自中标人确定之日起2个工作日内，采购代理机构通过电子交易平台向中标人发出中标通知书，同时编制发布采购结果公告。采购代理机构也可以以纸质形式进行中标通知。</w:t>
      </w:r>
    </w:p>
    <w:p w14:paraId="1FCAEB5E">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C658765">
      <w:pPr>
        <w:widowControl/>
        <w:shd w:val="clear" w:color="auto" w:fill="FFFFFF"/>
        <w:spacing w:line="360" w:lineRule="auto"/>
        <w:ind w:firstLine="480"/>
        <w:jc w:val="left"/>
        <w:rPr>
          <w:rFonts w:hint="eastAsia" w:ascii="仿宋" w:hAnsi="仿宋" w:eastAsia="仿宋" w:cs="仿宋"/>
          <w:color w:val="auto"/>
          <w:sz w:val="24"/>
        </w:rPr>
      </w:pPr>
      <w:r>
        <w:rPr>
          <w:rFonts w:hint="eastAsia" w:ascii="仿宋" w:hAnsi="仿宋" w:eastAsia="仿宋" w:cs="仿宋"/>
          <w:color w:val="auto"/>
          <w:sz w:val="24"/>
        </w:rPr>
        <w:t>23.3公告期限为1个工作日。</w:t>
      </w:r>
    </w:p>
    <w:p w14:paraId="16AB2723">
      <w:pPr>
        <w:snapToGrid w:val="0"/>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七、合同授予</w:t>
      </w:r>
    </w:p>
    <w:p w14:paraId="30A1C821">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14:paraId="54E2E84D">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25. 合同的签订</w:t>
      </w:r>
    </w:p>
    <w:p w14:paraId="4C861F9B">
      <w:pPr>
        <w:widowControl/>
        <w:shd w:val="clear" w:color="auto" w:fill="FFFFFF"/>
        <w:spacing w:line="360" w:lineRule="auto"/>
        <w:ind w:firstLine="480"/>
        <w:jc w:val="left"/>
        <w:rPr>
          <w:rFonts w:hint="eastAsia" w:ascii="仿宋" w:hAnsi="仿宋" w:eastAsia="仿宋" w:cs="仿宋"/>
          <w:color w:val="auto"/>
          <w:kern w:val="0"/>
          <w:sz w:val="24"/>
        </w:rPr>
      </w:pPr>
      <w:r>
        <w:rPr>
          <w:rFonts w:hint="eastAsia" w:ascii="仿宋" w:hAnsi="仿宋" w:eastAsia="仿宋" w:cs="仿宋"/>
          <w:color w:val="auto"/>
          <w:sz w:val="24"/>
        </w:rPr>
        <w:t>25.1</w:t>
      </w:r>
      <w:r>
        <w:rPr>
          <w:rFonts w:hint="eastAsia"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2875869">
      <w:pPr>
        <w:pStyle w:val="128"/>
        <w:snapToGrid w:val="0"/>
        <w:spacing w:before="0"/>
        <w:ind w:firstLine="480"/>
        <w:rPr>
          <w:rFonts w:hint="eastAsia" w:ascii="仿宋" w:hAnsi="仿宋" w:eastAsia="仿宋" w:cs="仿宋"/>
          <w:color w:val="auto"/>
          <w:kern w:val="0"/>
        </w:rPr>
      </w:pPr>
      <w:r>
        <w:rPr>
          <w:rFonts w:hint="eastAsia"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5CF8A6D4">
      <w:pPr>
        <w:pStyle w:val="128"/>
        <w:snapToGrid w:val="0"/>
        <w:spacing w:before="0"/>
        <w:ind w:firstLine="480"/>
        <w:rPr>
          <w:rFonts w:hint="eastAsia" w:ascii="仿宋" w:hAnsi="仿宋" w:eastAsia="仿宋" w:cs="仿宋"/>
          <w:color w:val="auto"/>
        </w:rPr>
      </w:pPr>
      <w:r>
        <w:rPr>
          <w:rFonts w:hint="eastAsia" w:ascii="仿宋" w:hAnsi="仿宋" w:eastAsia="仿宋" w:cs="仿宋"/>
          <w:color w:val="auto"/>
        </w:rPr>
        <w:t>25.3如签订合同并生效后，供应商无故拒绝或延期，除按照合同条款处理外，列入不良行为记录一次，并给予通报。</w:t>
      </w:r>
    </w:p>
    <w:p w14:paraId="34963689">
      <w:pPr>
        <w:pStyle w:val="128"/>
        <w:snapToGrid w:val="0"/>
        <w:spacing w:before="0"/>
        <w:ind w:firstLine="480"/>
        <w:rPr>
          <w:rFonts w:hint="eastAsia" w:ascii="仿宋" w:hAnsi="仿宋" w:eastAsia="仿宋" w:cs="仿宋"/>
          <w:color w:val="auto"/>
        </w:rPr>
      </w:pPr>
      <w:r>
        <w:rPr>
          <w:rFonts w:hint="eastAsia"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14:paraId="61DA1616">
      <w:pPr>
        <w:pStyle w:val="128"/>
        <w:snapToGrid w:val="0"/>
        <w:spacing w:before="0" w:after="120"/>
        <w:ind w:firstLine="480"/>
        <w:rPr>
          <w:rFonts w:hint="eastAsia" w:ascii="仿宋" w:hAnsi="仿宋" w:eastAsia="仿宋" w:cs="仿宋"/>
          <w:color w:val="auto"/>
        </w:rPr>
      </w:pPr>
      <w:r>
        <w:rPr>
          <w:rFonts w:hint="eastAsia" w:ascii="仿宋" w:hAnsi="仿宋" w:eastAsia="仿宋" w:cs="仿宋"/>
          <w:color w:val="auto"/>
        </w:rPr>
        <w:t>25.5采购合同由采购人与中标供应商根据招标文件、投标文件等内容通过政府采购电子交易平台在线签订，自动备案。</w:t>
      </w:r>
    </w:p>
    <w:p w14:paraId="0197CC24">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rPr>
        <w:t>26. 履约保证金</w:t>
      </w:r>
    </w:p>
    <w:p w14:paraId="0913C0E1">
      <w:pPr>
        <w:tabs>
          <w:tab w:val="left" w:pos="0"/>
        </w:tabs>
        <w:spacing w:line="360" w:lineRule="auto"/>
        <w:ind w:firstLine="482"/>
        <w:rPr>
          <w:rFonts w:hint="eastAsia"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CBA2E77">
      <w:pPr>
        <w:tabs>
          <w:tab w:val="left" w:pos="0"/>
        </w:tabs>
        <w:spacing w:line="360" w:lineRule="auto"/>
        <w:ind w:firstLine="482"/>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供应商可登录政采云平台-【金融服务】—【我的项目】—【已备案合同】以保函形式提供：</w:t>
      </w:r>
    </w:p>
    <w:p w14:paraId="40AD42C8">
      <w:pPr>
        <w:numPr>
          <w:ilvl w:val="0"/>
          <w:numId w:val="7"/>
        </w:numPr>
        <w:tabs>
          <w:tab w:val="left" w:pos="0"/>
        </w:tabs>
        <w:spacing w:line="360" w:lineRule="auto"/>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供应商在合同列表选择需要投保的合同，点击[保函推荐]。</w:t>
      </w:r>
    </w:p>
    <w:p w14:paraId="1964AD1B">
      <w:pPr>
        <w:numPr>
          <w:ilvl w:val="0"/>
          <w:numId w:val="7"/>
        </w:numPr>
        <w:tabs>
          <w:tab w:val="left" w:pos="0"/>
        </w:tabs>
        <w:spacing w:line="360" w:lineRule="auto"/>
        <w:ind w:left="0" w:leftChars="0" w:firstLine="0" w:firstLineChars="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在弹框里查看推荐的保函产品，供应商自行选择保函产品，点击[立即申请]</w:t>
      </w:r>
      <w:r>
        <w:rPr>
          <w:rFonts w:hint="eastAsia" w:ascii="仿宋" w:hAnsi="仿宋" w:eastAsia="仿宋" w:cs="仿宋"/>
          <w:snapToGrid w:val="0"/>
          <w:color w:val="auto"/>
          <w:kern w:val="28"/>
          <w:sz w:val="24"/>
          <w:lang w:eastAsia="zh-CN"/>
        </w:rPr>
        <w:t>。</w:t>
      </w:r>
    </w:p>
    <w:p w14:paraId="00F224B2">
      <w:pPr>
        <w:numPr>
          <w:ilvl w:val="0"/>
          <w:numId w:val="0"/>
        </w:numPr>
        <w:tabs>
          <w:tab w:val="left" w:pos="0"/>
        </w:tabs>
        <w:spacing w:line="360" w:lineRule="auto"/>
        <w:ind w:leftChars="0"/>
        <w:rPr>
          <w:rFonts w:hint="eastAsia" w:ascii="仿宋" w:hAnsi="仿宋" w:eastAsia="仿宋" w:cs="仿宋"/>
          <w:snapToGrid w:val="0"/>
          <w:color w:val="auto"/>
          <w:kern w:val="28"/>
          <w:sz w:val="24"/>
        </w:rPr>
      </w:pPr>
      <w:r>
        <w:rPr>
          <w:rFonts w:hint="eastAsia" w:ascii="仿宋" w:hAnsi="仿宋" w:eastAsia="仿宋" w:cs="仿宋"/>
          <w:snapToGrid w:val="0"/>
          <w:color w:val="auto"/>
          <w:kern w:val="28"/>
          <w:sz w:val="24"/>
        </w:rPr>
        <w:t>3、在弹框里填写保函申请信息。具体步骤：选择产品—填写供应商信息—选择中标项目—确认信息—等待保险/保函受理—确认保单—支付保费—成功出单。政采云金融专线400-903-9583。</w:t>
      </w:r>
    </w:p>
    <w:p w14:paraId="1CC7A238">
      <w:pPr>
        <w:pStyle w:val="24"/>
        <w:spacing w:line="360" w:lineRule="auto"/>
        <w:ind w:left="479" w:hanging="479" w:hangingChars="199"/>
        <w:rPr>
          <w:rFonts w:hint="eastAsia" w:ascii="仿宋" w:hAnsi="仿宋" w:eastAsia="仿宋" w:cs="仿宋"/>
          <w:b/>
          <w:color w:val="auto"/>
        </w:rPr>
      </w:pPr>
      <w:r>
        <w:rPr>
          <w:rFonts w:hint="eastAsia" w:ascii="仿宋" w:hAnsi="仿宋" w:eastAsia="仿宋" w:cs="仿宋"/>
          <w:b/>
          <w:color w:val="auto"/>
          <w:lang w:val="en-US" w:eastAsia="zh-CN"/>
        </w:rPr>
        <w:t xml:space="preserve">27. </w:t>
      </w:r>
      <w:r>
        <w:rPr>
          <w:rFonts w:hint="eastAsia" w:ascii="仿宋" w:hAnsi="仿宋" w:eastAsia="仿宋" w:cs="仿宋"/>
          <w:b/>
          <w:color w:val="auto"/>
          <w:lang w:val="en-US"/>
        </w:rPr>
        <w:t>预付款</w:t>
      </w:r>
    </w:p>
    <w:p w14:paraId="5656AC90">
      <w:pPr>
        <w:adjustRightInd/>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54D66F3">
      <w:pPr>
        <w:snapToGrid w:val="0"/>
        <w:spacing w:line="360" w:lineRule="auto"/>
        <w:jc w:val="center"/>
        <w:rPr>
          <w:rFonts w:hint="eastAsia" w:ascii="仿宋" w:hAnsi="仿宋" w:eastAsia="仿宋" w:cs="仿宋"/>
          <w:b/>
          <w:color w:val="auto"/>
          <w:sz w:val="24"/>
        </w:rPr>
      </w:pPr>
      <w:r>
        <w:rPr>
          <w:rFonts w:hint="eastAsia" w:ascii="仿宋" w:hAnsi="仿宋" w:eastAsia="仿宋" w:cs="仿宋"/>
          <w:b/>
          <w:color w:val="auto"/>
          <w:sz w:val="32"/>
        </w:rPr>
        <w:t>八、电子交易活动的中止</w:t>
      </w:r>
    </w:p>
    <w:p w14:paraId="2DA23BDB">
      <w:pPr>
        <w:pStyle w:val="128"/>
        <w:snapToGrid w:val="0"/>
        <w:spacing w:before="0"/>
        <w:ind w:firstLine="0" w:firstLineChars="0"/>
        <w:rPr>
          <w:rFonts w:hint="eastAsia" w:ascii="仿宋" w:hAnsi="仿宋" w:eastAsia="仿宋" w:cs="仿宋"/>
          <w:color w:val="auto"/>
        </w:rPr>
      </w:pPr>
      <w:r>
        <w:rPr>
          <w:rFonts w:hint="eastAsia" w:ascii="仿宋" w:hAnsi="仿宋" w:eastAsia="仿宋" w:cs="仿宋"/>
          <w:b/>
          <w:bCs/>
          <w:color w:val="auto"/>
        </w:rPr>
        <w:t>2</w:t>
      </w:r>
      <w:r>
        <w:rPr>
          <w:rFonts w:hint="eastAsia" w:ascii="仿宋" w:hAnsi="仿宋" w:eastAsia="仿宋" w:cs="仿宋"/>
          <w:b/>
          <w:bCs/>
          <w:color w:val="auto"/>
          <w:szCs w:val="24"/>
        </w:rPr>
        <w:t>8</w:t>
      </w:r>
      <w:r>
        <w:rPr>
          <w:rFonts w:hint="eastAsia" w:ascii="仿宋" w:hAnsi="仿宋" w:eastAsia="仿宋" w:cs="仿宋"/>
          <w:b/>
          <w:color w:val="auto"/>
          <w:szCs w:val="24"/>
        </w:rPr>
        <w:t>. 电子交易活动的中止。</w:t>
      </w:r>
      <w:r>
        <w:rPr>
          <w:rFonts w:hint="eastAsia" w:ascii="仿宋" w:hAnsi="仿宋" w:eastAsia="仿宋" w:cs="仿宋"/>
          <w:color w:val="auto"/>
        </w:rPr>
        <w:t>采购过程中出现以下情形，导致电子交易平台无法正常运行，或者无法保证电子交易的公平、公正和安全时，采购代理机构可中止电子交易活动：</w:t>
      </w:r>
    </w:p>
    <w:p w14:paraId="1E6B88DF">
      <w:pPr>
        <w:pStyle w:val="128"/>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28.1电子交易平台发生故障而无法登录访问的； </w:t>
      </w:r>
    </w:p>
    <w:p w14:paraId="0BF8B8EF">
      <w:pPr>
        <w:pStyle w:val="128"/>
        <w:snapToGrid w:val="0"/>
        <w:spacing w:before="0"/>
        <w:ind w:firstLine="480"/>
        <w:rPr>
          <w:rFonts w:hint="eastAsia" w:ascii="仿宋" w:hAnsi="仿宋" w:eastAsia="仿宋" w:cs="仿宋"/>
          <w:color w:val="auto"/>
        </w:rPr>
      </w:pPr>
      <w:r>
        <w:rPr>
          <w:rFonts w:hint="eastAsia" w:ascii="仿宋" w:hAnsi="仿宋" w:eastAsia="仿宋" w:cs="仿宋"/>
          <w:color w:val="auto"/>
        </w:rPr>
        <w:t>28.2电子交易平台应用或数据库出现错误，不能进行正常操作的；</w:t>
      </w:r>
    </w:p>
    <w:p w14:paraId="6186494C">
      <w:pPr>
        <w:pStyle w:val="128"/>
        <w:snapToGrid w:val="0"/>
        <w:spacing w:before="0"/>
        <w:ind w:firstLine="480"/>
        <w:rPr>
          <w:rFonts w:hint="eastAsia" w:ascii="仿宋" w:hAnsi="仿宋" w:eastAsia="仿宋" w:cs="仿宋"/>
          <w:color w:val="auto"/>
        </w:rPr>
      </w:pPr>
      <w:r>
        <w:rPr>
          <w:rFonts w:hint="eastAsia" w:ascii="仿宋" w:hAnsi="仿宋" w:eastAsia="仿宋" w:cs="仿宋"/>
          <w:color w:val="auto"/>
        </w:rPr>
        <w:t>28.3电子交易平台发现严重安全漏洞，有潜在泄密危险的；</w:t>
      </w:r>
    </w:p>
    <w:p w14:paraId="4B1BCF66">
      <w:pPr>
        <w:pStyle w:val="128"/>
        <w:snapToGrid w:val="0"/>
        <w:spacing w:before="0"/>
        <w:ind w:firstLine="480"/>
        <w:rPr>
          <w:rFonts w:hint="eastAsia" w:ascii="仿宋" w:hAnsi="仿宋" w:eastAsia="仿宋" w:cs="仿宋"/>
          <w:color w:val="auto"/>
        </w:rPr>
      </w:pPr>
      <w:r>
        <w:rPr>
          <w:rFonts w:hint="eastAsia" w:ascii="仿宋" w:hAnsi="仿宋" w:eastAsia="仿宋" w:cs="仿宋"/>
          <w:color w:val="auto"/>
        </w:rPr>
        <w:t xml:space="preserve">28.4病毒发作导致不能进行正常操作的； </w:t>
      </w:r>
    </w:p>
    <w:p w14:paraId="2D8C29AB">
      <w:pPr>
        <w:pStyle w:val="128"/>
        <w:snapToGrid w:val="0"/>
        <w:spacing w:before="0"/>
        <w:ind w:firstLine="480"/>
        <w:rPr>
          <w:rFonts w:hint="eastAsia" w:ascii="仿宋" w:hAnsi="仿宋" w:eastAsia="仿宋" w:cs="仿宋"/>
          <w:color w:val="auto"/>
        </w:rPr>
      </w:pPr>
      <w:r>
        <w:rPr>
          <w:rFonts w:hint="eastAsia" w:ascii="仿宋" w:hAnsi="仿宋" w:eastAsia="仿宋" w:cs="仿宋"/>
          <w:color w:val="auto"/>
        </w:rPr>
        <w:t>28.5其他无法保证电子交易的公平、公正和安全的情况。</w:t>
      </w:r>
    </w:p>
    <w:p w14:paraId="36DC813E">
      <w:pPr>
        <w:pStyle w:val="128"/>
        <w:snapToGrid w:val="0"/>
        <w:spacing w:before="0"/>
        <w:ind w:firstLine="0" w:firstLineChars="0"/>
        <w:rPr>
          <w:rFonts w:hint="eastAsia" w:ascii="仿宋" w:hAnsi="仿宋" w:eastAsia="仿宋" w:cs="仿宋"/>
          <w:color w:val="auto"/>
        </w:rPr>
      </w:pPr>
      <w:r>
        <w:rPr>
          <w:rFonts w:hint="eastAsia" w:ascii="仿宋" w:hAnsi="仿宋" w:eastAsia="仿宋" w:cs="仿宋"/>
          <w:color w:val="auto"/>
        </w:rPr>
        <w:t>29.出现以上情形，不影响采购公平、公正性的，采购组织机构可以待上述情形消除后继续组织电子交易活动，也可以决定某些环节以纸质形式进行；影响或可能影响采购公平、公正性的，应当重新采购。</w:t>
      </w:r>
    </w:p>
    <w:p w14:paraId="2906E33A">
      <w:pPr>
        <w:snapToGrid w:val="0"/>
        <w:spacing w:line="360" w:lineRule="auto"/>
        <w:ind w:left="120" w:leftChars="57" w:firstLine="482" w:firstLineChars="150"/>
        <w:jc w:val="center"/>
        <w:rPr>
          <w:rFonts w:hint="eastAsia" w:ascii="仿宋" w:hAnsi="仿宋" w:eastAsia="仿宋" w:cs="仿宋"/>
          <w:b/>
          <w:color w:val="auto"/>
          <w:sz w:val="32"/>
        </w:rPr>
      </w:pPr>
      <w:r>
        <w:rPr>
          <w:rFonts w:hint="eastAsia" w:ascii="仿宋" w:hAnsi="仿宋" w:eastAsia="仿宋" w:cs="仿宋"/>
          <w:b/>
          <w:color w:val="auto"/>
          <w:sz w:val="32"/>
        </w:rPr>
        <w:t>九、验收</w:t>
      </w:r>
    </w:p>
    <w:p w14:paraId="31D65420">
      <w:pPr>
        <w:pStyle w:val="24"/>
        <w:spacing w:line="360" w:lineRule="auto"/>
        <w:ind w:firstLine="0" w:firstLineChars="0"/>
        <w:rPr>
          <w:rFonts w:hint="eastAsia" w:ascii="仿宋" w:hAnsi="仿宋" w:eastAsia="仿宋" w:cs="仿宋"/>
          <w:b/>
          <w:color w:val="auto"/>
        </w:rPr>
      </w:pPr>
      <w:r>
        <w:rPr>
          <w:rFonts w:hint="eastAsia" w:ascii="仿宋" w:hAnsi="仿宋" w:eastAsia="仿宋" w:cs="仿宋"/>
          <w:b/>
          <w:color w:val="auto"/>
        </w:rPr>
        <w:t>30. 验收</w:t>
      </w:r>
    </w:p>
    <w:p w14:paraId="6BC5FF18">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0043FA">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30.2采购人可以邀请参加本项目的其他投标人或者第三方机构参与验收。参与验收的投标人或者第三方机构的意见作为验收书的参考资料一并存档。</w:t>
      </w:r>
    </w:p>
    <w:p w14:paraId="74905948">
      <w:pPr>
        <w:tabs>
          <w:tab w:val="left" w:pos="0"/>
        </w:tabs>
        <w:spacing w:line="360" w:lineRule="auto"/>
        <w:ind w:firstLine="480"/>
        <w:rPr>
          <w:rFonts w:hint="eastAsia" w:ascii="仿宋" w:hAnsi="仿宋" w:eastAsia="仿宋" w:cs="仿宋"/>
          <w:color w:val="auto"/>
          <w:kern w:val="0"/>
          <w:sz w:val="24"/>
        </w:rPr>
      </w:pPr>
      <w:r>
        <w:rPr>
          <w:rFonts w:hint="eastAsia" w:ascii="仿宋" w:hAnsi="仿宋" w:eastAsia="仿宋" w:cs="仿宋"/>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FC04F7">
      <w:pPr>
        <w:tabs>
          <w:tab w:val="left" w:pos="0"/>
        </w:tabs>
        <w:spacing w:line="360" w:lineRule="auto"/>
        <w:ind w:firstLine="480"/>
        <w:rPr>
          <w:rFonts w:hint="eastAsia" w:ascii="仿宋" w:hAnsi="仿宋" w:eastAsia="仿宋" w:cs="仿宋"/>
          <w:color w:val="auto"/>
          <w:sz w:val="18"/>
          <w:szCs w:val="18"/>
        </w:rPr>
      </w:pPr>
      <w:r>
        <w:rPr>
          <w:rFonts w:hint="eastAsia" w:ascii="仿宋" w:hAnsi="仿宋" w:eastAsia="仿宋" w:cs="仿宋"/>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3ABC1B9C">
      <w:pPr>
        <w:widowControl/>
        <w:adjustRightInd/>
        <w:jc w:val="left"/>
        <w:rPr>
          <w:rFonts w:hint="eastAsia" w:ascii="仿宋" w:hAnsi="仿宋" w:eastAsia="仿宋" w:cs="仿宋"/>
          <w:color w:val="auto"/>
          <w:kern w:val="0"/>
          <w:sz w:val="24"/>
        </w:rPr>
      </w:pPr>
      <w:bookmarkStart w:id="13" w:name="_Hlt68403820"/>
      <w:bookmarkEnd w:id="13"/>
      <w:bookmarkStart w:id="14" w:name="_Hlt74714665"/>
      <w:bookmarkEnd w:id="14"/>
      <w:bookmarkStart w:id="15" w:name="_Hlt74707468"/>
      <w:bookmarkEnd w:id="15"/>
      <w:bookmarkStart w:id="16" w:name="_Hlt74729768"/>
      <w:bookmarkEnd w:id="16"/>
      <w:bookmarkStart w:id="17" w:name="_Hlt68072998"/>
      <w:bookmarkEnd w:id="17"/>
      <w:bookmarkStart w:id="18" w:name="_Hlt75236290"/>
      <w:bookmarkEnd w:id="18"/>
      <w:bookmarkStart w:id="19" w:name="_Hlt75236101"/>
      <w:bookmarkEnd w:id="19"/>
      <w:bookmarkStart w:id="20" w:name="_Hlt74730295"/>
      <w:bookmarkEnd w:id="20"/>
      <w:bookmarkStart w:id="21" w:name="_Hlt68073093"/>
      <w:bookmarkEnd w:id="21"/>
      <w:bookmarkStart w:id="22" w:name="_Hlt75236011"/>
      <w:bookmarkEnd w:id="22"/>
      <w:bookmarkStart w:id="23" w:name="_Hlt68057669"/>
      <w:bookmarkEnd w:id="23"/>
      <w:bookmarkStart w:id="24" w:name="_Hlt68072990"/>
      <w:bookmarkEnd w:id="24"/>
      <w:bookmarkStart w:id="25" w:name="第四部分"/>
      <w:r>
        <w:rPr>
          <w:rFonts w:hint="eastAsia" w:ascii="仿宋" w:hAnsi="仿宋" w:eastAsia="仿宋" w:cs="仿宋"/>
          <w:color w:val="auto"/>
          <w:kern w:val="0"/>
          <w:sz w:val="24"/>
        </w:rPr>
        <w:br w:type="page"/>
      </w:r>
    </w:p>
    <w:p w14:paraId="799FD2F1">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第三部分   采购需求</w:t>
      </w:r>
    </w:p>
    <w:p w14:paraId="5C229F4E">
      <w:pPr>
        <w:snapToGrid w:val="0"/>
        <w:rPr>
          <w:rStyle w:val="962"/>
          <w:rFonts w:hint="eastAsia" w:ascii="仿宋" w:hAnsi="仿宋" w:eastAsia="仿宋" w:cs="仿宋"/>
          <w:i w:val="0"/>
          <w:iCs w:val="0"/>
          <w:color w:val="auto"/>
        </w:rPr>
      </w:pPr>
      <w:r>
        <w:rPr>
          <w:rStyle w:val="962"/>
          <w:rFonts w:hint="eastAsia" w:ascii="仿宋" w:hAnsi="仿宋" w:eastAsia="仿宋" w:cs="仿宋"/>
          <w:i w:val="0"/>
          <w:iCs w:val="0"/>
          <w:color w:val="auto"/>
        </w:rPr>
        <w:t>属于实质性要求条款的，请用符号“▲”标明，否则属于非实质性要求。“★”系产品采购项目中单一产品或核心产品。</w:t>
      </w:r>
    </w:p>
    <w:p w14:paraId="487C40D4">
      <w:pPr>
        <w:pStyle w:val="2"/>
        <w:numPr>
          <w:ilvl w:val="0"/>
          <w:numId w:val="8"/>
        </w:numPr>
        <w:jc w:val="center"/>
        <w:rPr>
          <w:rFonts w:hint="eastAsia" w:ascii="仿宋" w:hAnsi="仿宋" w:eastAsia="仿宋" w:cs="仿宋"/>
          <w:color w:val="auto"/>
        </w:rPr>
      </w:pPr>
      <w:r>
        <w:rPr>
          <w:rFonts w:hint="eastAsia" w:ascii="仿宋" w:hAnsi="仿宋" w:eastAsia="仿宋" w:cs="仿宋"/>
          <w:color w:val="auto"/>
        </w:rPr>
        <w:t>招标一览表</w:t>
      </w:r>
    </w:p>
    <w:p w14:paraId="5EAF599F">
      <w:pPr>
        <w:pStyle w:val="5"/>
        <w:keepNext/>
        <w:keepLines/>
        <w:pageBreakBefore w:val="0"/>
        <w:widowControl w:val="0"/>
        <w:kinsoku/>
        <w:wordWrap/>
        <w:overflowPunct/>
        <w:topLinePunct w:val="0"/>
        <w:autoSpaceDE/>
        <w:autoSpaceDN/>
        <w:bidi w:val="0"/>
        <w:adjustRightInd w:val="0"/>
        <w:snapToGrid/>
        <w:spacing w:before="0" w:after="0" w:line="377" w:lineRule="auto"/>
        <w:ind w:left="862" w:hanging="862"/>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标项一：浦阳镇2025-2026年度机埠运行管理及维修养护政府采购</w:t>
      </w:r>
      <w:r>
        <w:rPr>
          <w:rFonts w:hint="eastAsia" w:ascii="仿宋" w:hAnsi="仿宋" w:eastAsia="仿宋" w:cs="仿宋"/>
          <w:color w:val="auto"/>
          <w:sz w:val="24"/>
          <w:szCs w:val="24"/>
          <w:lang w:val="en-US" w:eastAsia="zh-CN"/>
        </w:rPr>
        <w:t>项目</w:t>
      </w:r>
    </w:p>
    <w:tbl>
      <w:tblPr>
        <w:tblStyle w:val="62"/>
        <w:tblpPr w:leftFromText="180" w:rightFromText="180" w:vertAnchor="text" w:horzAnchor="margin" w:tblpX="-531" w:tblpY="63"/>
        <w:tblOverlap w:val="never"/>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2812"/>
        <w:gridCol w:w="773"/>
        <w:gridCol w:w="918"/>
        <w:gridCol w:w="1095"/>
        <w:gridCol w:w="1916"/>
        <w:gridCol w:w="1660"/>
      </w:tblGrid>
      <w:tr w14:paraId="524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5" w:hRule="atLeast"/>
        </w:trPr>
        <w:tc>
          <w:tcPr>
            <w:tcW w:w="675" w:type="dxa"/>
            <w:tcMar>
              <w:top w:w="15" w:type="dxa"/>
              <w:left w:w="15" w:type="dxa"/>
              <w:bottom w:w="0" w:type="dxa"/>
              <w:right w:w="15" w:type="dxa"/>
            </w:tcMar>
            <w:vAlign w:val="center"/>
          </w:tcPr>
          <w:p w14:paraId="5916F173">
            <w:pPr>
              <w:tabs>
                <w:tab w:val="left" w:pos="0"/>
              </w:tabs>
              <w:snapToGrid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序号</w:t>
            </w:r>
          </w:p>
        </w:tc>
        <w:tc>
          <w:tcPr>
            <w:tcW w:w="2812" w:type="dxa"/>
            <w:tcMar>
              <w:top w:w="15" w:type="dxa"/>
              <w:left w:w="15" w:type="dxa"/>
              <w:bottom w:w="0" w:type="dxa"/>
              <w:right w:w="15" w:type="dxa"/>
            </w:tcMar>
            <w:vAlign w:val="center"/>
          </w:tcPr>
          <w:p w14:paraId="0EB99C77">
            <w:pPr>
              <w:tabs>
                <w:tab w:val="left" w:pos="0"/>
              </w:tabs>
              <w:snapToGrid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名称</w:t>
            </w:r>
          </w:p>
        </w:tc>
        <w:tc>
          <w:tcPr>
            <w:tcW w:w="773" w:type="dxa"/>
            <w:tcMar>
              <w:top w:w="15" w:type="dxa"/>
              <w:left w:w="15" w:type="dxa"/>
              <w:bottom w:w="0" w:type="dxa"/>
              <w:right w:w="15" w:type="dxa"/>
            </w:tcMar>
            <w:vAlign w:val="center"/>
          </w:tcPr>
          <w:p w14:paraId="1B902BB7">
            <w:pPr>
              <w:tabs>
                <w:tab w:val="left" w:pos="0"/>
              </w:tabs>
              <w:snapToGrid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数量</w:t>
            </w:r>
          </w:p>
        </w:tc>
        <w:tc>
          <w:tcPr>
            <w:tcW w:w="918" w:type="dxa"/>
            <w:tcMar>
              <w:top w:w="15" w:type="dxa"/>
              <w:left w:w="15" w:type="dxa"/>
              <w:bottom w:w="0" w:type="dxa"/>
              <w:right w:w="15" w:type="dxa"/>
            </w:tcMar>
            <w:vAlign w:val="center"/>
          </w:tcPr>
          <w:p w14:paraId="2A5EABA4">
            <w:pPr>
              <w:tabs>
                <w:tab w:val="left" w:pos="0"/>
              </w:tabs>
              <w:snapToGrid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单位</w:t>
            </w:r>
          </w:p>
        </w:tc>
        <w:tc>
          <w:tcPr>
            <w:tcW w:w="1095" w:type="dxa"/>
            <w:vAlign w:val="center"/>
          </w:tcPr>
          <w:p w14:paraId="0C78827A">
            <w:pPr>
              <w:tabs>
                <w:tab w:val="left" w:pos="0"/>
              </w:tabs>
              <w:snapToGrid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预算（元）</w:t>
            </w:r>
          </w:p>
        </w:tc>
        <w:tc>
          <w:tcPr>
            <w:tcW w:w="1916" w:type="dxa"/>
            <w:vAlign w:val="center"/>
          </w:tcPr>
          <w:p w14:paraId="697FFDC5">
            <w:pPr>
              <w:tabs>
                <w:tab w:val="left" w:pos="0"/>
              </w:tabs>
              <w:snapToGrid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简要规格描述或基本情况介绍</w:t>
            </w:r>
          </w:p>
        </w:tc>
        <w:tc>
          <w:tcPr>
            <w:tcW w:w="1660" w:type="dxa"/>
            <w:vAlign w:val="center"/>
          </w:tcPr>
          <w:p w14:paraId="53E3009B">
            <w:pPr>
              <w:tabs>
                <w:tab w:val="left" w:pos="0"/>
              </w:tabs>
              <w:snapToGrid w:val="0"/>
              <w:jc w:val="center"/>
              <w:rPr>
                <w:rFonts w:hint="eastAsia" w:ascii="仿宋" w:hAnsi="仿宋" w:eastAsia="仿宋" w:cs="仿宋"/>
                <w:color w:val="auto"/>
                <w:sz w:val="24"/>
                <w:szCs w:val="32"/>
              </w:rPr>
            </w:pPr>
            <w:r>
              <w:rPr>
                <w:rFonts w:hint="eastAsia" w:ascii="仿宋" w:hAnsi="仿宋" w:eastAsia="仿宋" w:cs="仿宋"/>
                <w:color w:val="auto"/>
                <w:sz w:val="24"/>
                <w:szCs w:val="32"/>
              </w:rPr>
              <w:t>最高限价（元）</w:t>
            </w:r>
          </w:p>
        </w:tc>
      </w:tr>
      <w:tr w14:paraId="3EA4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675" w:type="dxa"/>
            <w:tcMar>
              <w:top w:w="15" w:type="dxa"/>
              <w:left w:w="15" w:type="dxa"/>
              <w:bottom w:w="0" w:type="dxa"/>
              <w:right w:w="15" w:type="dxa"/>
            </w:tcMar>
            <w:vAlign w:val="center"/>
          </w:tcPr>
          <w:p w14:paraId="4F3498D0">
            <w:pPr>
              <w:tabs>
                <w:tab w:val="left" w:pos="0"/>
              </w:tabs>
              <w:jc w:val="center"/>
              <w:rPr>
                <w:rFonts w:hint="eastAsia" w:ascii="仿宋" w:hAnsi="仿宋" w:eastAsia="仿宋" w:cs="仿宋"/>
                <w:color w:val="auto"/>
                <w:sz w:val="24"/>
                <w:szCs w:val="32"/>
              </w:rPr>
            </w:pPr>
            <w:r>
              <w:rPr>
                <w:rFonts w:hint="eastAsia" w:ascii="仿宋" w:hAnsi="仿宋" w:eastAsia="仿宋" w:cs="仿宋"/>
                <w:color w:val="auto"/>
                <w:sz w:val="24"/>
                <w:szCs w:val="32"/>
              </w:rPr>
              <w:t>1</w:t>
            </w:r>
          </w:p>
        </w:tc>
        <w:tc>
          <w:tcPr>
            <w:tcW w:w="2812" w:type="dxa"/>
            <w:tcMar>
              <w:top w:w="15" w:type="dxa"/>
              <w:left w:w="15" w:type="dxa"/>
              <w:bottom w:w="0" w:type="dxa"/>
              <w:right w:w="15" w:type="dxa"/>
            </w:tcMar>
            <w:vAlign w:val="center"/>
          </w:tcPr>
          <w:p w14:paraId="6D75341C">
            <w:pPr>
              <w:jc w:val="center"/>
              <w:textAlignment w:val="center"/>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rPr>
              <w:t>浦阳镇2025-2026年度机埠运行管理及维修养护政府采购</w:t>
            </w:r>
            <w:r>
              <w:rPr>
                <w:rFonts w:hint="eastAsia" w:ascii="仿宋" w:hAnsi="仿宋" w:eastAsia="仿宋" w:cs="仿宋"/>
                <w:color w:val="auto"/>
                <w:sz w:val="24"/>
                <w:szCs w:val="32"/>
                <w:lang w:val="en-US" w:eastAsia="zh-CN"/>
              </w:rPr>
              <w:t>项目</w:t>
            </w:r>
          </w:p>
        </w:tc>
        <w:tc>
          <w:tcPr>
            <w:tcW w:w="773" w:type="dxa"/>
            <w:tcMar>
              <w:top w:w="15" w:type="dxa"/>
              <w:left w:w="15" w:type="dxa"/>
              <w:bottom w:w="0" w:type="dxa"/>
              <w:right w:w="15" w:type="dxa"/>
            </w:tcMar>
            <w:vAlign w:val="center"/>
          </w:tcPr>
          <w:p w14:paraId="18C75B3B">
            <w:pPr>
              <w:jc w:val="center"/>
              <w:textAlignment w:val="center"/>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1</w:t>
            </w:r>
          </w:p>
        </w:tc>
        <w:tc>
          <w:tcPr>
            <w:tcW w:w="918" w:type="dxa"/>
            <w:tcMar>
              <w:top w:w="15" w:type="dxa"/>
              <w:left w:w="15" w:type="dxa"/>
              <w:bottom w:w="0" w:type="dxa"/>
              <w:right w:w="15" w:type="dxa"/>
            </w:tcMar>
            <w:vAlign w:val="center"/>
          </w:tcPr>
          <w:p w14:paraId="49193925">
            <w:pPr>
              <w:jc w:val="center"/>
              <w:textAlignment w:val="center"/>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项</w:t>
            </w:r>
          </w:p>
        </w:tc>
        <w:tc>
          <w:tcPr>
            <w:tcW w:w="1095" w:type="dxa"/>
            <w:vAlign w:val="center"/>
          </w:tcPr>
          <w:p w14:paraId="25D9AA6A">
            <w:pPr>
              <w:jc w:val="center"/>
              <w:textAlignment w:val="center"/>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1400000</w:t>
            </w:r>
          </w:p>
        </w:tc>
        <w:tc>
          <w:tcPr>
            <w:tcW w:w="1916" w:type="dxa"/>
            <w:vAlign w:val="center"/>
          </w:tcPr>
          <w:p w14:paraId="602726C6">
            <w:pPr>
              <w:tabs>
                <w:tab w:val="left" w:pos="0"/>
              </w:tabs>
              <w:jc w:val="center"/>
              <w:rPr>
                <w:rFonts w:hint="eastAsia" w:ascii="仿宋" w:hAnsi="仿宋" w:eastAsia="仿宋" w:cs="仿宋"/>
                <w:color w:val="auto"/>
                <w:sz w:val="24"/>
                <w:szCs w:val="32"/>
              </w:rPr>
            </w:pPr>
            <w:r>
              <w:rPr>
                <w:rFonts w:hint="eastAsia" w:ascii="仿宋" w:hAnsi="仿宋" w:eastAsia="仿宋" w:cs="仿宋"/>
                <w:color w:val="auto"/>
                <w:sz w:val="24"/>
                <w:szCs w:val="32"/>
                <w:lang w:eastAsia="zh-Hans"/>
              </w:rPr>
              <w:t>二、</w:t>
            </w:r>
            <w:r>
              <w:rPr>
                <w:rFonts w:hint="eastAsia" w:ascii="仿宋" w:hAnsi="仿宋" w:eastAsia="仿宋" w:cs="仿宋"/>
                <w:color w:val="auto"/>
                <w:sz w:val="24"/>
                <w:szCs w:val="32"/>
              </w:rPr>
              <w:t>招标需求-1、技术需求</w:t>
            </w:r>
          </w:p>
        </w:tc>
        <w:tc>
          <w:tcPr>
            <w:tcW w:w="1660" w:type="dxa"/>
            <w:vAlign w:val="center"/>
          </w:tcPr>
          <w:p w14:paraId="77CD9178">
            <w:pPr>
              <w:jc w:val="center"/>
              <w:textAlignment w:val="center"/>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1400000</w:t>
            </w:r>
          </w:p>
        </w:tc>
      </w:tr>
    </w:tbl>
    <w:p w14:paraId="0A7256C7">
      <w:pPr>
        <w:spacing w:line="360" w:lineRule="auto"/>
        <w:rPr>
          <w:rFonts w:hint="eastAsia" w:ascii="仿宋" w:hAnsi="仿宋" w:eastAsia="仿宋" w:cs="仿宋"/>
          <w:b/>
          <w:color w:val="auto"/>
          <w:sz w:val="22"/>
          <w:szCs w:val="22"/>
        </w:rPr>
      </w:pPr>
      <w:r>
        <w:rPr>
          <w:rFonts w:hint="eastAsia" w:ascii="仿宋" w:hAnsi="仿宋" w:eastAsia="仿宋" w:cs="仿宋"/>
          <w:b/>
          <w:color w:val="auto"/>
          <w:sz w:val="22"/>
          <w:szCs w:val="22"/>
        </w:rPr>
        <w:t>注：▲投标人需在投标（开标）一览表中明确投标报价（总价）及以上各分项小计报价，各分项小计报价不得超过上表各最高限价。</w:t>
      </w:r>
    </w:p>
    <w:p w14:paraId="0D8F7C22">
      <w:pPr>
        <w:jc w:val="center"/>
        <w:rPr>
          <w:rFonts w:hint="eastAsia" w:ascii="仿宋" w:hAnsi="仿宋" w:eastAsia="仿宋" w:cs="仿宋"/>
          <w:b/>
          <w:bCs/>
          <w:color w:val="auto"/>
          <w:kern w:val="2"/>
          <w:sz w:val="32"/>
          <w:szCs w:val="32"/>
          <w:lang w:val="en-US" w:eastAsia="zh-CN" w:bidi="ar-SA"/>
        </w:rPr>
      </w:pPr>
    </w:p>
    <w:p w14:paraId="23D0AE69">
      <w:pPr>
        <w:jc w:val="center"/>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en-US" w:eastAsia="zh-CN" w:bidi="ar-SA"/>
        </w:rPr>
        <w:t>二、</w:t>
      </w:r>
      <w:r>
        <w:rPr>
          <w:rFonts w:hint="eastAsia" w:ascii="仿宋" w:hAnsi="仿宋" w:eastAsia="仿宋" w:cs="仿宋"/>
          <w:b/>
          <w:bCs/>
          <w:color w:val="auto"/>
          <w:kern w:val="2"/>
          <w:sz w:val="32"/>
          <w:szCs w:val="32"/>
          <w:lang w:val="zh-CN" w:eastAsia="zh-CN" w:bidi="ar-SA"/>
        </w:rPr>
        <w:t>采购需求</w:t>
      </w:r>
    </w:p>
    <w:p w14:paraId="2AD69CF0">
      <w:pPr>
        <w:numPr>
          <w:ilvl w:val="0"/>
          <w:numId w:val="0"/>
        </w:numPr>
        <w:rPr>
          <w:rFonts w:hint="eastAsia" w:ascii="仿宋" w:hAnsi="仿宋" w:eastAsia="仿宋" w:cs="仿宋"/>
          <w:b/>
          <w:bCs/>
          <w:color w:val="auto"/>
          <w:sz w:val="28"/>
          <w:szCs w:val="36"/>
        </w:rPr>
      </w:pPr>
      <w:r>
        <w:rPr>
          <w:rFonts w:hint="eastAsia" w:ascii="仿宋" w:hAnsi="仿宋" w:eastAsia="仿宋" w:cs="仿宋"/>
          <w:b/>
          <w:bCs/>
          <w:color w:val="auto"/>
          <w:sz w:val="28"/>
          <w:szCs w:val="36"/>
          <w:lang w:val="en-US" w:eastAsia="zh-CN"/>
        </w:rPr>
        <w:t>1、</w:t>
      </w:r>
      <w:r>
        <w:rPr>
          <w:rFonts w:hint="eastAsia" w:ascii="仿宋" w:hAnsi="仿宋" w:eastAsia="仿宋" w:cs="仿宋"/>
          <w:b/>
          <w:bCs/>
          <w:color w:val="auto"/>
          <w:sz w:val="28"/>
          <w:szCs w:val="36"/>
        </w:rPr>
        <w:t>技术需求：</w:t>
      </w:r>
    </w:p>
    <w:p w14:paraId="42A67F3B">
      <w:pPr>
        <w:keepNext w:val="0"/>
        <w:keepLines w:val="0"/>
        <w:pageBreakBefore w:val="0"/>
        <w:widowControl/>
        <w:kinsoku/>
        <w:wordWrap/>
        <w:overflowPunct/>
        <w:topLinePunct w:val="0"/>
        <w:autoSpaceDE/>
        <w:autoSpaceDN/>
        <w:bidi w:val="0"/>
        <w:adjustRightInd/>
        <w:snapToGrid/>
        <w:spacing w:before="100" w:beforeAutospacing="1" w:after="0" w:line="360" w:lineRule="auto"/>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1.1 、服务外包机埠的基本情况表</w:t>
      </w:r>
    </w:p>
    <w:tbl>
      <w:tblPr>
        <w:tblStyle w:val="62"/>
        <w:tblW w:w="9496" w:type="dxa"/>
        <w:jc w:val="center"/>
        <w:tblLayout w:type="fixed"/>
        <w:tblCellMar>
          <w:top w:w="0" w:type="dxa"/>
          <w:left w:w="108" w:type="dxa"/>
          <w:bottom w:w="0" w:type="dxa"/>
          <w:right w:w="108" w:type="dxa"/>
        </w:tblCellMar>
      </w:tblPr>
      <w:tblGrid>
        <w:gridCol w:w="607"/>
        <w:gridCol w:w="819"/>
        <w:gridCol w:w="848"/>
        <w:gridCol w:w="2308"/>
        <w:gridCol w:w="4182"/>
        <w:gridCol w:w="732"/>
      </w:tblGrid>
      <w:tr w14:paraId="6AC241C8">
        <w:tblPrEx>
          <w:tblCellMar>
            <w:top w:w="0" w:type="dxa"/>
            <w:left w:w="108" w:type="dxa"/>
            <w:bottom w:w="0" w:type="dxa"/>
            <w:right w:w="108" w:type="dxa"/>
          </w:tblCellMar>
        </w:tblPrEx>
        <w:trPr>
          <w:trHeight w:val="946"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348C944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819" w:type="dxa"/>
            <w:tcBorders>
              <w:top w:val="single" w:color="auto" w:sz="4" w:space="0"/>
              <w:left w:val="nil"/>
              <w:bottom w:val="single" w:color="auto" w:sz="4" w:space="0"/>
              <w:right w:val="single" w:color="auto" w:sz="4" w:space="0"/>
            </w:tcBorders>
            <w:noWrap/>
            <w:vAlign w:val="center"/>
          </w:tcPr>
          <w:p w14:paraId="5F76E61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闸站名称</w:t>
            </w:r>
          </w:p>
        </w:tc>
        <w:tc>
          <w:tcPr>
            <w:tcW w:w="848" w:type="dxa"/>
            <w:tcBorders>
              <w:top w:val="single" w:color="auto" w:sz="4" w:space="0"/>
              <w:left w:val="nil"/>
              <w:bottom w:val="single" w:color="auto" w:sz="4" w:space="0"/>
              <w:right w:val="single" w:color="auto" w:sz="4" w:space="0"/>
            </w:tcBorders>
            <w:noWrap/>
            <w:vAlign w:val="center"/>
          </w:tcPr>
          <w:p w14:paraId="136B5F5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功能</w:t>
            </w:r>
          </w:p>
        </w:tc>
        <w:tc>
          <w:tcPr>
            <w:tcW w:w="2308" w:type="dxa"/>
            <w:tcBorders>
              <w:top w:val="single" w:color="auto" w:sz="4" w:space="0"/>
              <w:left w:val="nil"/>
              <w:bottom w:val="single" w:color="auto" w:sz="4" w:space="0"/>
              <w:right w:val="single" w:color="auto" w:sz="4" w:space="0"/>
            </w:tcBorders>
            <w:noWrap/>
            <w:vAlign w:val="center"/>
          </w:tcPr>
          <w:p w14:paraId="3484B27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机泵设计规模</w:t>
            </w:r>
          </w:p>
        </w:tc>
        <w:tc>
          <w:tcPr>
            <w:tcW w:w="4182" w:type="dxa"/>
            <w:tcBorders>
              <w:top w:val="single" w:color="auto" w:sz="4" w:space="0"/>
              <w:left w:val="nil"/>
              <w:bottom w:val="single" w:color="auto" w:sz="4" w:space="0"/>
              <w:right w:val="single" w:color="auto" w:sz="4" w:space="0"/>
            </w:tcBorders>
            <w:noWrap/>
            <w:vAlign w:val="center"/>
          </w:tcPr>
          <w:p w14:paraId="20D02C2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泵、闸设备型号</w:t>
            </w:r>
          </w:p>
        </w:tc>
        <w:tc>
          <w:tcPr>
            <w:tcW w:w="732" w:type="dxa"/>
            <w:tcBorders>
              <w:top w:val="single" w:color="auto" w:sz="4" w:space="0"/>
              <w:left w:val="nil"/>
              <w:bottom w:val="single" w:color="auto" w:sz="4" w:space="0"/>
              <w:right w:val="single" w:color="auto" w:sz="4" w:space="0"/>
            </w:tcBorders>
            <w:noWrap/>
            <w:vAlign w:val="center"/>
          </w:tcPr>
          <w:p w14:paraId="595201C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建成时间</w:t>
            </w:r>
          </w:p>
        </w:tc>
      </w:tr>
      <w:tr w14:paraId="16A4D914">
        <w:tblPrEx>
          <w:tblCellMar>
            <w:top w:w="0" w:type="dxa"/>
            <w:left w:w="108" w:type="dxa"/>
            <w:bottom w:w="0" w:type="dxa"/>
            <w:right w:w="108" w:type="dxa"/>
          </w:tblCellMar>
        </w:tblPrEx>
        <w:trPr>
          <w:trHeight w:val="3872" w:hRule="atLeast"/>
          <w:jc w:val="center"/>
        </w:trPr>
        <w:tc>
          <w:tcPr>
            <w:tcW w:w="607" w:type="dxa"/>
            <w:tcBorders>
              <w:top w:val="nil"/>
              <w:left w:val="single" w:color="auto" w:sz="4" w:space="0"/>
              <w:bottom w:val="single" w:color="000000" w:sz="4" w:space="0"/>
              <w:right w:val="single" w:color="auto" w:sz="4" w:space="0"/>
            </w:tcBorders>
            <w:noWrap/>
            <w:vAlign w:val="center"/>
          </w:tcPr>
          <w:p w14:paraId="3A7369D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w:t>
            </w:r>
          </w:p>
        </w:tc>
        <w:tc>
          <w:tcPr>
            <w:tcW w:w="819" w:type="dxa"/>
            <w:tcBorders>
              <w:top w:val="nil"/>
              <w:left w:val="single" w:color="auto" w:sz="4" w:space="0"/>
              <w:bottom w:val="single" w:color="000000" w:sz="4" w:space="0"/>
              <w:right w:val="single" w:color="auto" w:sz="4" w:space="0"/>
            </w:tcBorders>
            <w:noWrap/>
            <w:vAlign w:val="center"/>
          </w:tcPr>
          <w:p w14:paraId="6674695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径游机埠</w:t>
            </w:r>
          </w:p>
        </w:tc>
        <w:tc>
          <w:tcPr>
            <w:tcW w:w="848" w:type="dxa"/>
            <w:tcBorders>
              <w:top w:val="nil"/>
              <w:left w:val="single" w:color="auto" w:sz="4" w:space="0"/>
              <w:bottom w:val="single" w:color="000000" w:sz="4" w:space="0"/>
              <w:right w:val="single" w:color="auto" w:sz="4" w:space="0"/>
            </w:tcBorders>
            <w:noWrap/>
            <w:vAlign w:val="center"/>
          </w:tcPr>
          <w:p w14:paraId="3E9DF79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防汛灌溉</w:t>
            </w:r>
          </w:p>
        </w:tc>
        <w:tc>
          <w:tcPr>
            <w:tcW w:w="2308" w:type="dxa"/>
            <w:tcBorders>
              <w:top w:val="nil"/>
              <w:left w:val="nil"/>
              <w:bottom w:val="single" w:color="auto" w:sz="4" w:space="0"/>
              <w:right w:val="single" w:color="auto" w:sz="4" w:space="0"/>
            </w:tcBorders>
            <w:noWrap/>
            <w:vAlign w:val="center"/>
          </w:tcPr>
          <w:p w14:paraId="17B1F000">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单泵流量2.8立方米/秒，总流量14立方米/秒，单泵配套电机功率为250KW。</w:t>
            </w:r>
          </w:p>
        </w:tc>
        <w:tc>
          <w:tcPr>
            <w:tcW w:w="4182" w:type="dxa"/>
            <w:tcBorders>
              <w:top w:val="nil"/>
              <w:left w:val="nil"/>
              <w:bottom w:val="single" w:color="auto" w:sz="4" w:space="0"/>
              <w:right w:val="single" w:color="auto" w:sz="4" w:space="0"/>
            </w:tcBorders>
            <w:noWrap/>
            <w:vAlign w:val="center"/>
          </w:tcPr>
          <w:p w14:paraId="64037EE1">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径游机埠900ZLB3-5.5型轴流泵5台，有自排闸、机排闸、江南闸采用电动螺杆式启闭机分别配套电动机11KW。</w:t>
            </w:r>
          </w:p>
          <w:p w14:paraId="581D4E75">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节制闸2个，配电动螺杆式启闭机分别配套电动机3KW。</w:t>
            </w:r>
          </w:p>
          <w:p w14:paraId="4AE63137">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占家闸、纪家江闸采用手动式、螺杆式启闭机，新江闸采用72G30型卷扬式启闭机配套电动机功率为7.5KW。</w:t>
            </w:r>
          </w:p>
        </w:tc>
        <w:tc>
          <w:tcPr>
            <w:tcW w:w="732" w:type="dxa"/>
            <w:tcBorders>
              <w:top w:val="nil"/>
              <w:left w:val="nil"/>
              <w:bottom w:val="single" w:color="auto" w:sz="4" w:space="0"/>
              <w:right w:val="single" w:color="auto" w:sz="4" w:space="0"/>
            </w:tcBorders>
            <w:noWrap/>
            <w:vAlign w:val="center"/>
          </w:tcPr>
          <w:p w14:paraId="3547626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2008年</w:t>
            </w:r>
          </w:p>
        </w:tc>
      </w:tr>
      <w:tr w14:paraId="6734F477">
        <w:tblPrEx>
          <w:tblCellMar>
            <w:top w:w="0" w:type="dxa"/>
            <w:left w:w="108" w:type="dxa"/>
            <w:bottom w:w="0" w:type="dxa"/>
            <w:right w:w="108" w:type="dxa"/>
          </w:tblCellMar>
        </w:tblPrEx>
        <w:trPr>
          <w:trHeight w:val="792" w:hRule="atLeast"/>
          <w:jc w:val="center"/>
        </w:trPr>
        <w:tc>
          <w:tcPr>
            <w:tcW w:w="607" w:type="dxa"/>
            <w:tcBorders>
              <w:top w:val="nil"/>
              <w:left w:val="single" w:color="auto" w:sz="4" w:space="0"/>
              <w:bottom w:val="single" w:color="000000" w:sz="4" w:space="0"/>
              <w:right w:val="single" w:color="auto" w:sz="4" w:space="0"/>
            </w:tcBorders>
            <w:noWrap/>
            <w:vAlign w:val="center"/>
          </w:tcPr>
          <w:p w14:paraId="51B095C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w:t>
            </w:r>
          </w:p>
        </w:tc>
        <w:tc>
          <w:tcPr>
            <w:tcW w:w="819" w:type="dxa"/>
            <w:tcBorders>
              <w:top w:val="nil"/>
              <w:left w:val="single" w:color="auto" w:sz="4" w:space="0"/>
              <w:bottom w:val="single" w:color="000000" w:sz="4" w:space="0"/>
              <w:right w:val="single" w:color="auto" w:sz="4" w:space="0"/>
            </w:tcBorders>
            <w:noWrap/>
            <w:vAlign w:val="center"/>
          </w:tcPr>
          <w:p w14:paraId="2FED011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桃源机埠</w:t>
            </w:r>
          </w:p>
        </w:tc>
        <w:tc>
          <w:tcPr>
            <w:tcW w:w="848" w:type="dxa"/>
            <w:tcBorders>
              <w:top w:val="nil"/>
              <w:left w:val="single" w:color="auto" w:sz="4" w:space="0"/>
              <w:bottom w:val="single" w:color="000000" w:sz="4" w:space="0"/>
              <w:right w:val="single" w:color="auto" w:sz="4" w:space="0"/>
            </w:tcBorders>
            <w:noWrap/>
            <w:vAlign w:val="center"/>
          </w:tcPr>
          <w:p w14:paraId="3DECDD0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防汛灌溉</w:t>
            </w:r>
          </w:p>
        </w:tc>
        <w:tc>
          <w:tcPr>
            <w:tcW w:w="2308" w:type="dxa"/>
            <w:tcBorders>
              <w:top w:val="single" w:color="auto" w:sz="4" w:space="0"/>
              <w:left w:val="nil"/>
              <w:bottom w:val="single" w:color="auto" w:sz="4" w:space="0"/>
              <w:right w:val="single" w:color="auto" w:sz="4" w:space="0"/>
            </w:tcBorders>
            <w:noWrap/>
            <w:vAlign w:val="center"/>
          </w:tcPr>
          <w:p w14:paraId="277DC5E3">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单泵流量2，8立方米/秒，设计总流量14立方米/秒</w:t>
            </w:r>
          </w:p>
        </w:tc>
        <w:tc>
          <w:tcPr>
            <w:tcW w:w="4182" w:type="dxa"/>
            <w:tcBorders>
              <w:top w:val="single" w:color="auto" w:sz="4" w:space="0"/>
              <w:left w:val="nil"/>
              <w:bottom w:val="single" w:color="auto" w:sz="4" w:space="0"/>
              <w:right w:val="single" w:color="auto" w:sz="4" w:space="0"/>
            </w:tcBorders>
            <w:noWrap/>
            <w:vAlign w:val="center"/>
          </w:tcPr>
          <w:p w14:paraId="377C1A68">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5台立式轴流泵，泵型号：900zLB一70，电机250千瓦。水闸4孔，节制闸，抗旱闸，进水闸，外江闸。配备电动啟闭机5，5千瓦两台，4千瓦两台。管理房，配电房，机房各一座。进入电源10千伏。</w:t>
            </w:r>
          </w:p>
          <w:p w14:paraId="5A39170C">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三湖闸、庙后闸、书脚山闸、化山闸。</w:t>
            </w:r>
          </w:p>
        </w:tc>
        <w:tc>
          <w:tcPr>
            <w:tcW w:w="732" w:type="dxa"/>
            <w:tcBorders>
              <w:top w:val="single" w:color="auto" w:sz="4" w:space="0"/>
              <w:left w:val="single" w:color="auto" w:sz="4" w:space="0"/>
              <w:bottom w:val="single" w:color="000000" w:sz="4" w:space="0"/>
              <w:right w:val="single" w:color="auto" w:sz="4" w:space="0"/>
            </w:tcBorders>
            <w:noWrap/>
            <w:vAlign w:val="center"/>
          </w:tcPr>
          <w:p w14:paraId="697B9A3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2017年</w:t>
            </w:r>
          </w:p>
        </w:tc>
      </w:tr>
      <w:tr w14:paraId="725FFD42">
        <w:tblPrEx>
          <w:tblCellMar>
            <w:top w:w="0" w:type="dxa"/>
            <w:left w:w="108" w:type="dxa"/>
            <w:bottom w:w="0" w:type="dxa"/>
            <w:right w:w="108" w:type="dxa"/>
          </w:tblCellMar>
        </w:tblPrEx>
        <w:trPr>
          <w:trHeight w:val="2799" w:hRule="atLeast"/>
          <w:jc w:val="center"/>
        </w:trPr>
        <w:tc>
          <w:tcPr>
            <w:tcW w:w="607" w:type="dxa"/>
            <w:tcBorders>
              <w:top w:val="nil"/>
              <w:left w:val="single" w:color="auto" w:sz="4" w:space="0"/>
              <w:bottom w:val="single" w:color="auto" w:sz="4" w:space="0"/>
              <w:right w:val="single" w:color="auto" w:sz="4" w:space="0"/>
            </w:tcBorders>
            <w:noWrap/>
            <w:vAlign w:val="center"/>
          </w:tcPr>
          <w:p w14:paraId="215699A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w:t>
            </w:r>
          </w:p>
        </w:tc>
        <w:tc>
          <w:tcPr>
            <w:tcW w:w="819" w:type="dxa"/>
            <w:tcBorders>
              <w:top w:val="nil"/>
              <w:left w:val="nil"/>
              <w:bottom w:val="single" w:color="auto" w:sz="4" w:space="0"/>
              <w:right w:val="single" w:color="auto" w:sz="4" w:space="0"/>
            </w:tcBorders>
            <w:noWrap/>
            <w:vAlign w:val="center"/>
          </w:tcPr>
          <w:p w14:paraId="0286685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小茅山机埠</w:t>
            </w:r>
          </w:p>
        </w:tc>
        <w:tc>
          <w:tcPr>
            <w:tcW w:w="848" w:type="dxa"/>
            <w:tcBorders>
              <w:top w:val="nil"/>
              <w:left w:val="nil"/>
              <w:bottom w:val="single" w:color="auto" w:sz="4" w:space="0"/>
              <w:right w:val="single" w:color="auto" w:sz="4" w:space="0"/>
            </w:tcBorders>
            <w:noWrap/>
            <w:vAlign w:val="center"/>
          </w:tcPr>
          <w:p w14:paraId="7A86BA9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防汛灌溉</w:t>
            </w:r>
          </w:p>
        </w:tc>
        <w:tc>
          <w:tcPr>
            <w:tcW w:w="2308" w:type="dxa"/>
            <w:tcBorders>
              <w:top w:val="single" w:color="auto" w:sz="4" w:space="0"/>
              <w:left w:val="nil"/>
              <w:bottom w:val="single" w:color="auto" w:sz="4" w:space="0"/>
              <w:right w:val="single" w:color="auto" w:sz="4" w:space="0"/>
            </w:tcBorders>
            <w:noWrap/>
            <w:vAlign w:val="center"/>
          </w:tcPr>
          <w:p w14:paraId="072B1B79">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单泵设计流量2.8m³/s，设计排涝总流量16.80m3/s</w:t>
            </w:r>
          </w:p>
        </w:tc>
        <w:tc>
          <w:tcPr>
            <w:tcW w:w="4182" w:type="dxa"/>
            <w:tcBorders>
              <w:top w:val="single" w:color="auto" w:sz="4" w:space="0"/>
              <w:left w:val="nil"/>
              <w:bottom w:val="single" w:color="auto" w:sz="4" w:space="0"/>
              <w:right w:val="single" w:color="auto" w:sz="4" w:space="0"/>
            </w:tcBorders>
            <w:noWrap/>
            <w:vAlign w:val="center"/>
          </w:tcPr>
          <w:p w14:paraId="6DF9EA28">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6台立式轴流泵，型号：900ZLB-2.8-6.8</w:t>
            </w:r>
          </w:p>
          <w:p w14:paraId="595C6E3F">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配套电机功率为280KW。外江采用两座LQ-50t螺杆式启闭机，内河采用两座QPQ-2*16卷扬式启闭机，分别配套电机功率为11KW。</w:t>
            </w:r>
          </w:p>
        </w:tc>
        <w:tc>
          <w:tcPr>
            <w:tcW w:w="732" w:type="dxa"/>
            <w:tcBorders>
              <w:top w:val="nil"/>
              <w:left w:val="nil"/>
              <w:bottom w:val="single" w:color="auto" w:sz="4" w:space="0"/>
              <w:right w:val="single" w:color="auto" w:sz="4" w:space="0"/>
            </w:tcBorders>
            <w:noWrap/>
            <w:vAlign w:val="center"/>
          </w:tcPr>
          <w:p w14:paraId="4D807D3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2018年</w:t>
            </w:r>
          </w:p>
        </w:tc>
      </w:tr>
      <w:tr w14:paraId="7DDAC0F3">
        <w:tblPrEx>
          <w:tblCellMar>
            <w:top w:w="0" w:type="dxa"/>
            <w:left w:w="108" w:type="dxa"/>
            <w:bottom w:w="0" w:type="dxa"/>
            <w:right w:w="108" w:type="dxa"/>
          </w:tblCellMar>
        </w:tblPrEx>
        <w:trPr>
          <w:trHeight w:val="1409" w:hRule="atLeast"/>
          <w:jc w:val="center"/>
        </w:trPr>
        <w:tc>
          <w:tcPr>
            <w:tcW w:w="607" w:type="dxa"/>
            <w:tcBorders>
              <w:top w:val="nil"/>
              <w:left w:val="single" w:color="auto" w:sz="4" w:space="0"/>
              <w:bottom w:val="single" w:color="auto" w:sz="4" w:space="0"/>
              <w:right w:val="single" w:color="auto" w:sz="4" w:space="0"/>
            </w:tcBorders>
            <w:noWrap/>
            <w:vAlign w:val="center"/>
          </w:tcPr>
          <w:p w14:paraId="08A6354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w:t>
            </w:r>
          </w:p>
        </w:tc>
        <w:tc>
          <w:tcPr>
            <w:tcW w:w="819" w:type="dxa"/>
            <w:tcBorders>
              <w:top w:val="nil"/>
              <w:left w:val="nil"/>
              <w:bottom w:val="single" w:color="auto" w:sz="4" w:space="0"/>
              <w:right w:val="single" w:color="auto" w:sz="4" w:space="0"/>
            </w:tcBorders>
            <w:noWrap/>
            <w:vAlign w:val="center"/>
          </w:tcPr>
          <w:p w14:paraId="028F6C6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桃北机埠</w:t>
            </w:r>
          </w:p>
        </w:tc>
        <w:tc>
          <w:tcPr>
            <w:tcW w:w="848" w:type="dxa"/>
            <w:tcBorders>
              <w:top w:val="nil"/>
              <w:left w:val="nil"/>
              <w:bottom w:val="single" w:color="auto" w:sz="4" w:space="0"/>
              <w:right w:val="single" w:color="auto" w:sz="4" w:space="0"/>
            </w:tcBorders>
            <w:noWrap/>
            <w:vAlign w:val="center"/>
          </w:tcPr>
          <w:p w14:paraId="219A23D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防汛灌溉</w:t>
            </w:r>
          </w:p>
        </w:tc>
        <w:tc>
          <w:tcPr>
            <w:tcW w:w="2308" w:type="dxa"/>
            <w:tcBorders>
              <w:top w:val="nil"/>
              <w:left w:val="nil"/>
              <w:bottom w:val="single" w:color="auto" w:sz="4" w:space="0"/>
              <w:right w:val="single" w:color="auto" w:sz="4" w:space="0"/>
            </w:tcBorders>
            <w:noWrap/>
            <w:vAlign w:val="center"/>
          </w:tcPr>
          <w:p w14:paraId="42F888A8">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单泵流量0.66m3/s，翻水总流量3.3m3/s</w:t>
            </w:r>
          </w:p>
        </w:tc>
        <w:tc>
          <w:tcPr>
            <w:tcW w:w="4182" w:type="dxa"/>
            <w:tcBorders>
              <w:top w:val="nil"/>
              <w:left w:val="nil"/>
              <w:bottom w:val="single" w:color="auto" w:sz="4" w:space="0"/>
              <w:right w:val="single" w:color="auto" w:sz="4" w:space="0"/>
            </w:tcBorders>
            <w:noWrap/>
            <w:vAlign w:val="center"/>
          </w:tcPr>
          <w:p w14:paraId="4D9D96F3">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5台立式轴流泵，型号：500ZLB-100S，外自排闸、外江机排闸、内河节制闸均为螺杆式启闭机</w:t>
            </w:r>
          </w:p>
        </w:tc>
        <w:tc>
          <w:tcPr>
            <w:tcW w:w="732" w:type="dxa"/>
            <w:tcBorders>
              <w:top w:val="nil"/>
              <w:left w:val="nil"/>
              <w:bottom w:val="single" w:color="auto" w:sz="4" w:space="0"/>
              <w:right w:val="single" w:color="auto" w:sz="4" w:space="0"/>
            </w:tcBorders>
            <w:noWrap/>
            <w:vAlign w:val="center"/>
          </w:tcPr>
          <w:p w14:paraId="139F14D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1970年</w:t>
            </w:r>
          </w:p>
        </w:tc>
      </w:tr>
      <w:tr w14:paraId="705673E0">
        <w:tblPrEx>
          <w:tblCellMar>
            <w:top w:w="0" w:type="dxa"/>
            <w:left w:w="108" w:type="dxa"/>
            <w:bottom w:w="0" w:type="dxa"/>
            <w:right w:w="108" w:type="dxa"/>
          </w:tblCellMar>
        </w:tblPrEx>
        <w:trPr>
          <w:trHeight w:val="1409" w:hRule="atLeast"/>
          <w:jc w:val="center"/>
        </w:trPr>
        <w:tc>
          <w:tcPr>
            <w:tcW w:w="607" w:type="dxa"/>
            <w:tcBorders>
              <w:top w:val="nil"/>
              <w:left w:val="single" w:color="auto" w:sz="4" w:space="0"/>
              <w:bottom w:val="single" w:color="auto" w:sz="4" w:space="0"/>
              <w:right w:val="single" w:color="auto" w:sz="4" w:space="0"/>
            </w:tcBorders>
            <w:noWrap/>
            <w:vAlign w:val="center"/>
          </w:tcPr>
          <w:p w14:paraId="1F3883F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五</w:t>
            </w:r>
          </w:p>
        </w:tc>
        <w:tc>
          <w:tcPr>
            <w:tcW w:w="819" w:type="dxa"/>
            <w:tcBorders>
              <w:top w:val="nil"/>
              <w:left w:val="nil"/>
              <w:bottom w:val="single" w:color="auto" w:sz="4" w:space="0"/>
              <w:right w:val="single" w:color="auto" w:sz="4" w:space="0"/>
            </w:tcBorders>
            <w:noWrap/>
            <w:vAlign w:val="center"/>
          </w:tcPr>
          <w:p w14:paraId="1C07229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浦阳机埠</w:t>
            </w:r>
          </w:p>
        </w:tc>
        <w:tc>
          <w:tcPr>
            <w:tcW w:w="848" w:type="dxa"/>
            <w:tcBorders>
              <w:top w:val="nil"/>
              <w:left w:val="nil"/>
              <w:bottom w:val="single" w:color="auto" w:sz="4" w:space="0"/>
              <w:right w:val="single" w:color="auto" w:sz="4" w:space="0"/>
            </w:tcBorders>
            <w:noWrap/>
            <w:vAlign w:val="center"/>
          </w:tcPr>
          <w:p w14:paraId="57E5872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防汛灌溉</w:t>
            </w:r>
          </w:p>
        </w:tc>
        <w:tc>
          <w:tcPr>
            <w:tcW w:w="2308" w:type="dxa"/>
            <w:tcBorders>
              <w:top w:val="nil"/>
              <w:left w:val="nil"/>
              <w:bottom w:val="single" w:color="auto" w:sz="4" w:space="0"/>
              <w:right w:val="single" w:color="auto" w:sz="4" w:space="0"/>
            </w:tcBorders>
            <w:noWrap/>
            <w:vAlign w:val="center"/>
          </w:tcPr>
          <w:p w14:paraId="4B064B68">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单泵流量1.6m3/s，翻水总流量4.8m3/s</w:t>
            </w:r>
          </w:p>
        </w:tc>
        <w:tc>
          <w:tcPr>
            <w:tcW w:w="4182" w:type="dxa"/>
            <w:tcBorders>
              <w:top w:val="nil"/>
              <w:left w:val="nil"/>
              <w:bottom w:val="single" w:color="auto" w:sz="4" w:space="0"/>
              <w:right w:val="single" w:color="auto" w:sz="4" w:space="0"/>
            </w:tcBorders>
            <w:noWrap/>
            <w:vAlign w:val="center"/>
          </w:tcPr>
          <w:p w14:paraId="4D2D032B">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3台立式轴流泵，型号：700ZLB-85，外自排闸、外江机排闸为均为螺杆式启闭机，内河节制闸为卷扬式启闭机</w:t>
            </w:r>
          </w:p>
        </w:tc>
        <w:tc>
          <w:tcPr>
            <w:tcW w:w="732" w:type="dxa"/>
            <w:tcBorders>
              <w:top w:val="nil"/>
              <w:left w:val="nil"/>
              <w:bottom w:val="single" w:color="auto" w:sz="4" w:space="0"/>
              <w:right w:val="single" w:color="auto" w:sz="4" w:space="0"/>
            </w:tcBorders>
            <w:noWrap/>
            <w:vAlign w:val="center"/>
          </w:tcPr>
          <w:p w14:paraId="1BA51C7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2019年</w:t>
            </w:r>
          </w:p>
        </w:tc>
      </w:tr>
      <w:tr w14:paraId="7DEB1F3E">
        <w:tblPrEx>
          <w:tblCellMar>
            <w:top w:w="0" w:type="dxa"/>
            <w:left w:w="108" w:type="dxa"/>
            <w:bottom w:w="0" w:type="dxa"/>
            <w:right w:w="108" w:type="dxa"/>
          </w:tblCellMar>
        </w:tblPrEx>
        <w:trPr>
          <w:trHeight w:val="1872" w:hRule="atLeast"/>
          <w:jc w:val="center"/>
        </w:trPr>
        <w:tc>
          <w:tcPr>
            <w:tcW w:w="607" w:type="dxa"/>
            <w:tcBorders>
              <w:top w:val="nil"/>
              <w:left w:val="single" w:color="auto" w:sz="4" w:space="0"/>
              <w:bottom w:val="single" w:color="auto" w:sz="4" w:space="0"/>
              <w:right w:val="single" w:color="auto" w:sz="4" w:space="0"/>
            </w:tcBorders>
            <w:noWrap/>
            <w:vAlign w:val="center"/>
          </w:tcPr>
          <w:p w14:paraId="3AD2958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六</w:t>
            </w:r>
          </w:p>
        </w:tc>
        <w:tc>
          <w:tcPr>
            <w:tcW w:w="819" w:type="dxa"/>
            <w:tcBorders>
              <w:top w:val="nil"/>
              <w:left w:val="single" w:color="auto" w:sz="4" w:space="0"/>
              <w:bottom w:val="single" w:color="auto" w:sz="4" w:space="0"/>
              <w:right w:val="single" w:color="auto" w:sz="4" w:space="0"/>
            </w:tcBorders>
            <w:noWrap/>
            <w:vAlign w:val="center"/>
          </w:tcPr>
          <w:p w14:paraId="70476AA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临江机埠</w:t>
            </w:r>
          </w:p>
        </w:tc>
        <w:tc>
          <w:tcPr>
            <w:tcW w:w="848" w:type="dxa"/>
            <w:tcBorders>
              <w:top w:val="nil"/>
              <w:left w:val="single" w:color="auto" w:sz="4" w:space="0"/>
              <w:bottom w:val="single" w:color="auto" w:sz="4" w:space="0"/>
              <w:right w:val="single" w:color="auto" w:sz="4" w:space="0"/>
            </w:tcBorders>
            <w:noWrap/>
            <w:vAlign w:val="center"/>
          </w:tcPr>
          <w:p w14:paraId="06156E0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防汛灌溉</w:t>
            </w:r>
          </w:p>
        </w:tc>
        <w:tc>
          <w:tcPr>
            <w:tcW w:w="2308" w:type="dxa"/>
            <w:tcBorders>
              <w:top w:val="nil"/>
              <w:left w:val="nil"/>
              <w:bottom w:val="single" w:color="auto" w:sz="4" w:space="0"/>
              <w:right w:val="single" w:color="auto" w:sz="4" w:space="0"/>
            </w:tcBorders>
            <w:noWrap/>
            <w:vAlign w:val="center"/>
          </w:tcPr>
          <w:p w14:paraId="2968B56D">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单泵流量1.6m3/s，设计排水总流量4.8m3/s</w:t>
            </w:r>
          </w:p>
        </w:tc>
        <w:tc>
          <w:tcPr>
            <w:tcW w:w="4182" w:type="dxa"/>
            <w:tcBorders>
              <w:top w:val="nil"/>
              <w:left w:val="nil"/>
              <w:bottom w:val="single" w:color="auto" w:sz="4" w:space="0"/>
              <w:right w:val="single" w:color="auto" w:sz="4" w:space="0"/>
            </w:tcBorders>
            <w:noWrap/>
            <w:vAlign w:val="center"/>
          </w:tcPr>
          <w:p w14:paraId="12E61259">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3台立式轴流泵，型号为700ZLB1.6-5.5，外自排闸、外江机排闸、内河节制闸均为螺杆式启闭机，配3KV电动机</w:t>
            </w:r>
          </w:p>
        </w:tc>
        <w:tc>
          <w:tcPr>
            <w:tcW w:w="732" w:type="dxa"/>
            <w:tcBorders>
              <w:top w:val="nil"/>
              <w:left w:val="single" w:color="auto" w:sz="4" w:space="0"/>
              <w:bottom w:val="single" w:color="auto" w:sz="4" w:space="0"/>
              <w:right w:val="single" w:color="auto" w:sz="4" w:space="0"/>
            </w:tcBorders>
            <w:noWrap/>
            <w:vAlign w:val="center"/>
          </w:tcPr>
          <w:p w14:paraId="51FE7AD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2013年</w:t>
            </w:r>
          </w:p>
        </w:tc>
      </w:tr>
      <w:tr w14:paraId="4CF68151">
        <w:tblPrEx>
          <w:tblCellMar>
            <w:top w:w="0" w:type="dxa"/>
            <w:left w:w="108" w:type="dxa"/>
            <w:bottom w:w="0" w:type="dxa"/>
            <w:right w:w="108" w:type="dxa"/>
          </w:tblCellMar>
        </w:tblPrEx>
        <w:trPr>
          <w:trHeight w:val="1409" w:hRule="atLeast"/>
          <w:jc w:val="center"/>
        </w:trPr>
        <w:tc>
          <w:tcPr>
            <w:tcW w:w="607" w:type="dxa"/>
            <w:tcBorders>
              <w:top w:val="single" w:color="auto" w:sz="4" w:space="0"/>
              <w:left w:val="single" w:color="auto" w:sz="4" w:space="0"/>
              <w:bottom w:val="single" w:color="auto" w:sz="4" w:space="0"/>
              <w:right w:val="single" w:color="auto" w:sz="4" w:space="0"/>
            </w:tcBorders>
            <w:noWrap/>
            <w:vAlign w:val="center"/>
          </w:tcPr>
          <w:p w14:paraId="675C0E0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七</w:t>
            </w:r>
          </w:p>
        </w:tc>
        <w:tc>
          <w:tcPr>
            <w:tcW w:w="819" w:type="dxa"/>
            <w:tcBorders>
              <w:top w:val="single" w:color="auto" w:sz="4" w:space="0"/>
              <w:left w:val="single" w:color="auto" w:sz="4" w:space="0"/>
              <w:bottom w:val="single" w:color="auto" w:sz="4" w:space="0"/>
              <w:right w:val="single" w:color="auto" w:sz="4" w:space="0"/>
            </w:tcBorders>
            <w:noWrap/>
            <w:vAlign w:val="center"/>
          </w:tcPr>
          <w:p w14:paraId="3CB0899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上畈机埠</w:t>
            </w:r>
          </w:p>
        </w:tc>
        <w:tc>
          <w:tcPr>
            <w:tcW w:w="848" w:type="dxa"/>
            <w:tcBorders>
              <w:top w:val="single" w:color="auto" w:sz="4" w:space="0"/>
              <w:left w:val="single" w:color="auto" w:sz="4" w:space="0"/>
              <w:bottom w:val="single" w:color="auto" w:sz="4" w:space="0"/>
              <w:right w:val="single" w:color="auto" w:sz="4" w:space="0"/>
            </w:tcBorders>
            <w:noWrap/>
            <w:vAlign w:val="center"/>
          </w:tcPr>
          <w:p w14:paraId="27FA04C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防汛灌溉</w:t>
            </w:r>
          </w:p>
        </w:tc>
        <w:tc>
          <w:tcPr>
            <w:tcW w:w="2308" w:type="dxa"/>
            <w:tcBorders>
              <w:top w:val="single" w:color="auto" w:sz="4" w:space="0"/>
              <w:left w:val="nil"/>
              <w:bottom w:val="single" w:color="auto" w:sz="4" w:space="0"/>
              <w:right w:val="single" w:color="auto" w:sz="4" w:space="0"/>
            </w:tcBorders>
            <w:noWrap/>
            <w:vAlign w:val="center"/>
          </w:tcPr>
          <w:p w14:paraId="5C3C0654">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单泵流量1.3m3/s，设计排水总流量3.9m3/s</w:t>
            </w:r>
          </w:p>
        </w:tc>
        <w:tc>
          <w:tcPr>
            <w:tcW w:w="4182" w:type="dxa"/>
            <w:tcBorders>
              <w:top w:val="single" w:color="auto" w:sz="4" w:space="0"/>
              <w:left w:val="single" w:color="auto" w:sz="4" w:space="0"/>
              <w:bottom w:val="single" w:color="auto" w:sz="4" w:space="0"/>
              <w:right w:val="single" w:color="auto" w:sz="4" w:space="0"/>
            </w:tcBorders>
            <w:noWrap/>
            <w:vAlign w:val="center"/>
          </w:tcPr>
          <w:p w14:paraId="76E94A9F">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3台潜水轴流泵，泵型号：700QZ-100，外自排闸10T-3.5KV、外江机排闸20T-7.5KV，均为螺杆式启闭</w:t>
            </w:r>
          </w:p>
        </w:tc>
        <w:tc>
          <w:tcPr>
            <w:tcW w:w="732" w:type="dxa"/>
            <w:tcBorders>
              <w:top w:val="single" w:color="auto" w:sz="4" w:space="0"/>
              <w:left w:val="single" w:color="auto" w:sz="4" w:space="0"/>
              <w:bottom w:val="single" w:color="auto" w:sz="4" w:space="0"/>
              <w:right w:val="single" w:color="auto" w:sz="4" w:space="0"/>
            </w:tcBorders>
            <w:noWrap/>
            <w:vAlign w:val="center"/>
          </w:tcPr>
          <w:p w14:paraId="10A54C9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2019年</w:t>
            </w:r>
          </w:p>
        </w:tc>
      </w:tr>
      <w:tr w14:paraId="7536A47F">
        <w:tblPrEx>
          <w:tblCellMar>
            <w:top w:w="0" w:type="dxa"/>
            <w:left w:w="108" w:type="dxa"/>
            <w:bottom w:w="0" w:type="dxa"/>
            <w:right w:w="108" w:type="dxa"/>
          </w:tblCellMar>
        </w:tblPrEx>
        <w:trPr>
          <w:trHeight w:val="1892" w:hRule="atLeast"/>
          <w:jc w:val="center"/>
        </w:trPr>
        <w:tc>
          <w:tcPr>
            <w:tcW w:w="607" w:type="dxa"/>
            <w:tcBorders>
              <w:top w:val="single" w:color="auto" w:sz="4" w:space="0"/>
              <w:left w:val="single" w:color="auto" w:sz="4" w:space="0"/>
              <w:bottom w:val="single" w:color="000000" w:sz="4" w:space="0"/>
              <w:right w:val="single" w:color="auto" w:sz="4" w:space="0"/>
            </w:tcBorders>
            <w:noWrap/>
            <w:vAlign w:val="center"/>
          </w:tcPr>
          <w:p w14:paraId="551E3B9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八</w:t>
            </w:r>
          </w:p>
        </w:tc>
        <w:tc>
          <w:tcPr>
            <w:tcW w:w="819" w:type="dxa"/>
            <w:tcBorders>
              <w:top w:val="single" w:color="auto" w:sz="4" w:space="0"/>
              <w:left w:val="single" w:color="auto" w:sz="4" w:space="0"/>
              <w:bottom w:val="single" w:color="000000" w:sz="4" w:space="0"/>
              <w:right w:val="single" w:color="auto" w:sz="4" w:space="0"/>
            </w:tcBorders>
            <w:noWrap/>
            <w:vAlign w:val="center"/>
          </w:tcPr>
          <w:p w14:paraId="0B4302F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新桃北机埠</w:t>
            </w:r>
          </w:p>
        </w:tc>
        <w:tc>
          <w:tcPr>
            <w:tcW w:w="848" w:type="dxa"/>
            <w:tcBorders>
              <w:top w:val="single" w:color="auto" w:sz="4" w:space="0"/>
              <w:left w:val="single" w:color="auto" w:sz="4" w:space="0"/>
              <w:bottom w:val="single" w:color="000000" w:sz="4" w:space="0"/>
              <w:right w:val="single" w:color="auto" w:sz="4" w:space="0"/>
            </w:tcBorders>
            <w:noWrap/>
            <w:vAlign w:val="center"/>
          </w:tcPr>
          <w:p w14:paraId="16FD435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防汛灌溉</w:t>
            </w:r>
          </w:p>
        </w:tc>
        <w:tc>
          <w:tcPr>
            <w:tcW w:w="2308" w:type="dxa"/>
            <w:tcBorders>
              <w:top w:val="single" w:color="auto" w:sz="4" w:space="0"/>
              <w:left w:val="nil"/>
              <w:bottom w:val="single" w:color="auto" w:sz="4" w:space="0"/>
              <w:right w:val="single" w:color="auto" w:sz="4" w:space="0"/>
            </w:tcBorders>
            <w:noWrap/>
            <w:vAlign w:val="center"/>
          </w:tcPr>
          <w:p w14:paraId="43D60B8D">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单泵流量1.6m3/s，翻水总流量6.4m3/s</w:t>
            </w:r>
          </w:p>
        </w:tc>
        <w:tc>
          <w:tcPr>
            <w:tcW w:w="4182" w:type="dxa"/>
            <w:tcBorders>
              <w:top w:val="single" w:color="auto" w:sz="4" w:space="0"/>
              <w:left w:val="single" w:color="auto" w:sz="4" w:space="0"/>
              <w:bottom w:val="single" w:color="auto" w:sz="4" w:space="0"/>
              <w:right w:val="single" w:color="auto" w:sz="4" w:space="0"/>
            </w:tcBorders>
            <w:noWrap/>
            <w:vAlign w:val="center"/>
          </w:tcPr>
          <w:p w14:paraId="7E9CA0C5">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4台立式轴流泵，型号：700ZLB1.6-5.5，外自排闸、外江机排闸为均为螺杆式启闭机，内河节制闸为螺杆式启闭机</w:t>
            </w:r>
          </w:p>
        </w:tc>
        <w:tc>
          <w:tcPr>
            <w:tcW w:w="732" w:type="dxa"/>
            <w:tcBorders>
              <w:top w:val="single" w:color="auto" w:sz="4" w:space="0"/>
              <w:left w:val="single" w:color="auto" w:sz="4" w:space="0"/>
              <w:bottom w:val="single" w:color="auto" w:sz="4" w:space="0"/>
              <w:right w:val="single" w:color="auto" w:sz="4" w:space="0"/>
            </w:tcBorders>
            <w:noWrap/>
            <w:vAlign w:val="center"/>
          </w:tcPr>
          <w:p w14:paraId="368E1BB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2017年</w:t>
            </w:r>
          </w:p>
        </w:tc>
      </w:tr>
    </w:tbl>
    <w:p w14:paraId="2509DEC8">
      <w:pPr>
        <w:keepNext w:val="0"/>
        <w:keepLines w:val="0"/>
        <w:pageBreakBefore w:val="0"/>
        <w:widowControl/>
        <w:tabs>
          <w:tab w:val="left" w:pos="0"/>
        </w:tabs>
        <w:kinsoku/>
        <w:wordWrap/>
        <w:overflowPunct/>
        <w:topLinePunct w:val="0"/>
        <w:autoSpaceDE/>
        <w:autoSpaceDN/>
        <w:bidi w:val="0"/>
        <w:adjustRightInd/>
        <w:spacing w:line="360" w:lineRule="auto"/>
        <w:ind w:firstLine="48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1.2、机埠设施设备检查保养规定</w:t>
      </w:r>
    </w:p>
    <w:p w14:paraId="233360B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一、总  则</w:t>
      </w:r>
    </w:p>
    <w:p w14:paraId="4E711D2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（一）根据《水闸技术管理规程》、《水利工程管理考核办法（试行）》、《浙江省水闸维修保养技术规程》和《浙江省水闸管理办法》等有关规定，结合本工程实际，制定本标准。</w:t>
      </w:r>
    </w:p>
    <w:p w14:paraId="56F93646">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（二）本标准机埠工程设备设施分为机埠及其它金属结构、闸门启闭机、电气设备与辅助设备以及水工建筑物四大部分。</w:t>
      </w:r>
    </w:p>
    <w:p w14:paraId="422EFC6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（三）本标准涵盖机埠工程设备设施的检查与保养。</w:t>
      </w:r>
    </w:p>
    <w:p w14:paraId="05978E87">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二、水泵</w:t>
      </w:r>
    </w:p>
    <w:p w14:paraId="71DEABF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（一）水泵的经常检查</w:t>
      </w:r>
    </w:p>
    <w:p w14:paraId="0241BFD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水泵要能正常随时启闭，经常检查项目为：</w:t>
      </w:r>
    </w:p>
    <w:p w14:paraId="5ECBEDC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1、水泵表面是否清洁；</w:t>
      </w:r>
    </w:p>
    <w:p w14:paraId="357467D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2、泵体是否有裂缝和锈蚀现象； </w:t>
      </w:r>
    </w:p>
    <w:p w14:paraId="6ED90F8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3、水泵各部螺栓是否紧固；</w:t>
      </w:r>
    </w:p>
    <w:p w14:paraId="5320D6E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4、泵体与管路是否有漏水现象</w:t>
      </w:r>
    </w:p>
    <w:p w14:paraId="15A1B87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5、仪表是否正常、稳定，电流是否超过额定值。</w:t>
      </w:r>
    </w:p>
    <w:p w14:paraId="4AD511C6">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6、有无异常响声</w:t>
      </w:r>
    </w:p>
    <w:p w14:paraId="1D7FB9E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（二）水泵的定期检查</w:t>
      </w:r>
    </w:p>
    <w:p w14:paraId="4B8F898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1、一年二次检查轴承润滑油油质与油位是还否符合要求；</w:t>
      </w:r>
    </w:p>
    <w:p w14:paraId="3EDAA986">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2、机组振动、摆度是否符合标准、稳定良好；</w:t>
      </w:r>
    </w:p>
    <w:p w14:paraId="4312789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3、电源导线是否老化、破损；</w:t>
      </w:r>
    </w:p>
    <w:p w14:paraId="3BBDC68D">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4、一年一次检查泵件部件是磨损、汽蚀。</w:t>
      </w:r>
    </w:p>
    <w:p w14:paraId="564058A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（三）水泵的保养</w:t>
      </w:r>
    </w:p>
    <w:p w14:paraId="18E718C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1、经常清洁水泵表面；</w:t>
      </w:r>
    </w:p>
    <w:p w14:paraId="38E0F92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2、紧固水泵各部螺栓；</w:t>
      </w:r>
    </w:p>
    <w:p w14:paraId="2247BF1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3、更换和添加轴承润滑油；</w:t>
      </w:r>
    </w:p>
    <w:p w14:paraId="46CE18E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4、更换损坏的仪表。</w:t>
      </w:r>
    </w:p>
    <w:p w14:paraId="29264740">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（四）电动机定期检查与定期保养</w:t>
      </w:r>
    </w:p>
    <w:p w14:paraId="7ED94FF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1、清除电动机外壳和风叶灰尘，定子铁芯应无松动，风扇紧固良好；</w:t>
      </w:r>
    </w:p>
    <w:p w14:paraId="6A085B80">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2、检查轴承并清洗换油，如有较大松动、磨损、破碎等现象应及时更换。轴承内的润滑脂应保持在填满空腔内1/2～２/3范围。润滑脂规格、质量应符合要求；</w:t>
      </w:r>
    </w:p>
    <w:p w14:paraId="6AB9500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3、汛期前后测量绕组的绝缘电阻，如低于规定时，应进行烘燥处理，如处理后仍达不到要求，及时汇报；</w:t>
      </w:r>
    </w:p>
    <w:p w14:paraId="2858672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4、电动机外壳接地牢固可靠，接地电阻应符合规范技术要求。</w:t>
      </w:r>
    </w:p>
    <w:p w14:paraId="5F48FA8D">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三、闸门及其它金属结构</w:t>
      </w:r>
    </w:p>
    <w:p w14:paraId="234D87A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（一）闸门及其它金属结构的经常检查</w:t>
      </w:r>
    </w:p>
    <w:p w14:paraId="02A754C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1、止水检查：观察有无磨损和损坏，在闸门启动时有无异常声响，漏水是否正常，止水固定螺栓有否松动、缺失；</w:t>
      </w:r>
    </w:p>
    <w:p w14:paraId="142889A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2、主、侧滚轮检查：在闸门启动过程中滚轮是否转动，在闸门离开水面后是否转动灵活，加油设备是否完好；</w:t>
      </w:r>
    </w:p>
    <w:p w14:paraId="513387E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3、门叶、梁系检查：闸门有无倾斜跑偏现象，表面涂层是否完好，有无龟裂、翘皮、锈斑等现象，是否变形，焊缝有无开裂；</w:t>
      </w:r>
    </w:p>
    <w:p w14:paraId="1AC997A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4、吊耳检查：是否牢固可靠，零件有无裂纹，螺栓有无松动、缺失，销轴固定卡片是否脱落；</w:t>
      </w:r>
    </w:p>
    <w:p w14:paraId="72C927C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5、门槽检查：有无垃圾卡阻，门槽有无锈蚀、损坏，有无啃轨现象，活动门槽安装是否牢固，紧固件是否缺失和松动。</w:t>
      </w:r>
    </w:p>
    <w:p w14:paraId="3956789D">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（二）闸门及其它金属结构的定期检查</w:t>
      </w:r>
    </w:p>
    <w:p w14:paraId="4C220F3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定期检查内容除经常检查内容外，还需重点检查以下项目：</w:t>
      </w:r>
    </w:p>
    <w:p w14:paraId="759A231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（1）销轴、滑块、滚轮磨损是否超标（参照卷杨式启闭机的定期保养章节）；</w:t>
      </w:r>
    </w:p>
    <w:p w14:paraId="6648DC20">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（2）目测后，确认是否采用无损探伤检查焊缝，采用何种无损探伤方法视情况决定。焊缝分类及无损探伤长度占总长的比例应符合《水利工程施工质量检验评定标准（试行）》（DGJ08-90-2000）的有关规定。</w:t>
      </w:r>
    </w:p>
    <w:p w14:paraId="7E0D57D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（三）闸门及其它金属结构的保养</w:t>
      </w:r>
    </w:p>
    <w:p w14:paraId="40595D8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1、闸门清理：清理闸门、门槽上的泥砂、污垢和附着水生物等杂物，保持闸门清洁和涂层完好；</w:t>
      </w:r>
    </w:p>
    <w:p w14:paraId="50B96D6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2、闸门调整：闸门跑偏时应与启闭机配合调整纠偏，侧轮与两侧门槽间隙保持一致；</w:t>
      </w:r>
    </w:p>
    <w:p w14:paraId="5831A20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3、闸门行走支承及导向装置的保养：闸门滚轮、吊耳、轴销等部位应定期注入润滑剂；</w:t>
      </w:r>
    </w:p>
    <w:p w14:paraId="17E5E29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4、闸门止水装置的保养：应紧密贴合于止水座上, 否则应予调整，螺栓应予紧固、补缺； </w:t>
      </w:r>
    </w:p>
    <w:p w14:paraId="37F4B08D">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5、门槽的保养：保持与基体连接牢固、表面平整，及时清除杂物、定期冲洗；</w:t>
      </w:r>
    </w:p>
    <w:p w14:paraId="5686500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四、闸门启闭机</w:t>
      </w:r>
    </w:p>
    <w:p w14:paraId="051AB0A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（一）闸门启闭机的经常检查</w:t>
      </w:r>
    </w:p>
    <w:p w14:paraId="5F06ED9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启闭机应保持完整、清洁、启闭灵活和运用自如，并能准确自如地升降闸门。经常检查应做到：</w:t>
      </w:r>
    </w:p>
    <w:p w14:paraId="4995E36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１、液压式启闭机的经常检查</w:t>
      </w:r>
    </w:p>
    <w:p w14:paraId="2A3233C6">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（1）机械传动要求和卷扬式启闭机相同；</w:t>
      </w:r>
    </w:p>
    <w:p w14:paraId="43F93DA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sz w:val="24"/>
          <w:szCs w:val="24"/>
          <w:lang w:val="en-US" w:eastAsia="zh-CN" w:bidi="ar-SA"/>
        </w:rPr>
      </w:pPr>
      <w:r>
        <w:rPr>
          <w:rFonts w:hint="eastAsia" w:ascii="仿宋" w:hAnsi="仿宋" w:eastAsia="仿宋" w:cs="仿宋"/>
          <w:kern w:val="0"/>
          <w:sz w:val="24"/>
          <w:szCs w:val="24"/>
          <w:highlight w:val="none"/>
        </w:rPr>
        <w:t>（2）液压系统进出油路分色是否规范；</w:t>
      </w:r>
    </w:p>
    <w:p w14:paraId="1943A58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（3）柱塞杆表面镀层有无锈蚀、划痕；柱塞支承与导向轮有无异常磨损，转动是否灵活、运行是否平稳；机架结构是否牢固、顺直，运行时有无侧向与垂直向的明显变形；</w:t>
      </w:r>
    </w:p>
    <w:p w14:paraId="61D5E7F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（4）液压缸的密封垫片和油管接头、阀件以及油箱、管路有无泄漏、渗油现象；油箱内油量是否正常，干燥剂是否有效；</w:t>
      </w:r>
    </w:p>
    <w:p w14:paraId="13472807">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（5）缸体、端盖、活塞杆、支承、轴套及油泵等零件有无损伤或裂纹，缸口有无油垢及灰尘；</w:t>
      </w:r>
    </w:p>
    <w:p w14:paraId="33EC3CA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（6）液压泵站的主泵出油量及压力是否达到设计要求，运行是否平稳，有无异常噪音、串动、爬行、振动；</w:t>
      </w:r>
    </w:p>
    <w:p w14:paraId="69DD3937">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（7）各液压阀动作是否灵活、可靠；溢流阀压力调节是否适当；压力表指示是否准确稳定，压力报警装置是否有效；</w:t>
      </w:r>
    </w:p>
    <w:p w14:paraId="63A22167">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（8）电气限位安全联锁与各种保护装置是否准确，固定是否牢靠；自动回油安全保护装置是否可靠、有效；</w:t>
      </w:r>
    </w:p>
    <w:p w14:paraId="12265A80">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（9）不经常使用的液压式启闭机，应每月启闭二次，检查运行情况是否正常。</w:t>
      </w:r>
    </w:p>
    <w:p w14:paraId="317DA71D">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２、螺杆式启闭机的经常检查</w:t>
      </w:r>
    </w:p>
    <w:p w14:paraId="1752985D">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（1）运行是否平稳，有无冲击声和其它杂音；</w:t>
      </w:r>
    </w:p>
    <w:p w14:paraId="091FCD1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（2）有无渗漏油、缺油，限位是否正确可靠；</w:t>
      </w:r>
    </w:p>
    <w:p w14:paraId="7457F6E6">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（3）各连接件是否紧固，有无松动现象；</w:t>
      </w:r>
    </w:p>
    <w:p w14:paraId="4CE1FD8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（4）螺杆是否弯曲，螺纹磨损是否超标，螺母自由行程是否符合要求；</w:t>
      </w:r>
    </w:p>
    <w:p w14:paraId="5BAF934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（5）手摇部分是否转动灵活平稳、有无卡阻现象，手、电两用机构其电气闭锁装置是否可靠；</w:t>
      </w:r>
    </w:p>
    <w:p w14:paraId="339454C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（6）行程开关是否动作灵敏、准确，高度指示器指示是否准确，电气设备有无异常发热现象；</w:t>
      </w:r>
    </w:p>
    <w:p w14:paraId="0F921DE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（7）不经常使用的螺杆式启闭机，应每月启闭二次，检查运行情况是否正常；操作手动、电动操作切换装置，手感啮合是否良好。</w:t>
      </w:r>
    </w:p>
    <w:p w14:paraId="5A501EE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3、启闭机电动机的经常检查</w:t>
      </w:r>
    </w:p>
    <w:p w14:paraId="72FA46F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（1）外壳是否清洁，有无锈蚀；</w:t>
      </w:r>
    </w:p>
    <w:p w14:paraId="201B94A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（2）接线盒是否有雨水溅入、潮气侵入，接线螺栓是否紧固；</w:t>
      </w:r>
    </w:p>
    <w:p w14:paraId="2F872697">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（3）外壳接地是否可靠；</w:t>
      </w:r>
    </w:p>
    <w:p w14:paraId="16AD25E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（4）运行中有无异常噪声、振动、气味；</w:t>
      </w:r>
    </w:p>
    <w:p w14:paraId="72A4554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（5）观察电流表读数，其数值不能超过额定值，测量电动机运行时三相电流是否对称，允许其不对称值在10%以内。 </w:t>
      </w:r>
    </w:p>
    <w:p w14:paraId="00CFB44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（二）闸门启闭机的经常保养</w:t>
      </w:r>
    </w:p>
    <w:p w14:paraId="3B6B9A2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1、清洁整体启闭机，做到无积灰、无油渍，油漆保养良好无锈蚀，应达到物见本色，漆见光； </w:t>
      </w:r>
    </w:p>
    <w:p w14:paraId="3787B757">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2、对各种紧固螺栓，重点是受力与振动部位的紧固件应及时紧固；</w:t>
      </w:r>
    </w:p>
    <w:p w14:paraId="041F565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3、对启闭设备在运行过程中由于松动、磨损等原因，引起零部件相互关系和工作参数的改变应做到：</w:t>
      </w:r>
    </w:p>
    <w:p w14:paraId="32C40A4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（1）调整双吊点闸门两侧吊点，防止闸门倾斜；</w:t>
      </w:r>
    </w:p>
    <w:p w14:paraId="3C5D1A4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（2）调整液压启闭机各种液压阀，确保动作灵活、正确可靠；溢流阀压力调节适当；压力表指示准确稳定，压力报警装置有效；直通回油阀自动回油安全保护装置可靠、有效；</w:t>
      </w:r>
    </w:p>
    <w:p w14:paraId="5F3DECA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（3）校直弯曲的启闭机螺杆；</w:t>
      </w:r>
    </w:p>
    <w:p w14:paraId="57AAB13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（4）调整电气限位与各种保护装置；</w:t>
      </w:r>
    </w:p>
    <w:p w14:paraId="108FEF70">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（5）校正闸门开度仪的显示开度。</w:t>
      </w:r>
    </w:p>
    <w:p w14:paraId="2669994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4、有相对运动的零部件，应加注润滑剂；自动加油装置做好储油和更换电池工作；</w:t>
      </w:r>
    </w:p>
    <w:p w14:paraId="2586AF1D">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5、电动机外壳接地必须牢固可靠。</w:t>
      </w:r>
    </w:p>
    <w:p w14:paraId="12599EA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（三）启闭机的定期检查与定期保养</w:t>
      </w:r>
    </w:p>
    <w:p w14:paraId="7EA8AEF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１、液压式启闭机定期检查与定期保养</w:t>
      </w:r>
    </w:p>
    <w:p w14:paraId="1394C5F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（1）机械传动、金属结构的定期检查与定期保养要求和卷扬式启闭机相同；</w:t>
      </w:r>
    </w:p>
    <w:p w14:paraId="13C46EE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（2）液压油每年过滤及化验一次，油质应符合要求，油箱每年清洗一次；过滤装置按产品要求定期清洗或更换；</w:t>
      </w:r>
    </w:p>
    <w:p w14:paraId="098BD35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（3）对经常检查中发现的渗油现象，应重点查找原因予以解决；</w:t>
      </w:r>
    </w:p>
    <w:p w14:paraId="552A894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（4）油缸组件、活塞杆有无轻微锈蚀、划痕、毛刺；当发现时，应修平磨光；如发现单面压磨痕迹，则应分析原因后进行处理；活塞环及油封如有较大磨损或老化变形时，要及时汇报；</w:t>
      </w:r>
    </w:p>
    <w:p w14:paraId="0474A0B4">
      <w:pPr>
        <w:keepNext w:val="0"/>
        <w:keepLines w:val="0"/>
        <w:pageBreakBefore w:val="0"/>
        <w:widowControl/>
        <w:tabs>
          <w:tab w:val="left" w:pos="0"/>
        </w:tabs>
        <w:kinsoku/>
        <w:wordWrap/>
        <w:overflowPunct/>
        <w:topLinePunct w:val="0"/>
        <w:autoSpaceDE/>
        <w:autoSpaceDN/>
        <w:bidi w:val="0"/>
        <w:adjustRightInd/>
        <w:snapToGrid/>
        <w:spacing w:after="0" w:line="360" w:lineRule="auto"/>
        <w:ind w:left="239" w:leftChars="114" w:firstLine="307" w:firstLineChars="128"/>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（5）油管及附件有无裂纹、砂眼、焊缝脱落及漏油；当发现时，必须及时报；</w:t>
      </w:r>
    </w:p>
    <w:p w14:paraId="17B9F42C">
      <w:pPr>
        <w:keepNext w:val="0"/>
        <w:keepLines w:val="0"/>
        <w:pageBreakBefore w:val="0"/>
        <w:widowControl/>
        <w:tabs>
          <w:tab w:val="left" w:pos="0"/>
        </w:tabs>
        <w:kinsoku/>
        <w:wordWrap/>
        <w:overflowPunct/>
        <w:topLinePunct w:val="0"/>
        <w:autoSpaceDE/>
        <w:autoSpaceDN/>
        <w:bidi w:val="0"/>
        <w:adjustRightInd/>
        <w:snapToGrid/>
        <w:spacing w:after="0" w:line="360" w:lineRule="auto"/>
        <w:ind w:left="239" w:leftChars="114" w:firstLine="307" w:firstLineChars="128"/>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（6）安全阀在每年汛期前必须校验；</w:t>
      </w:r>
    </w:p>
    <w:p w14:paraId="45AE2A66">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3、螺杆式启闭机定期检查与定期保养</w:t>
      </w:r>
    </w:p>
    <w:p w14:paraId="5F4586B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（1）机械传动、金属结构的定期检查与定期保养要求和卷扬式启闭机相同； </w:t>
      </w:r>
    </w:p>
    <w:p w14:paraId="5716B19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（2）螺杆、螺母有无裂纹或较大磨损，是否超过螺纹厚度的20%；当发现时，应调换；</w:t>
      </w:r>
    </w:p>
    <w:p w14:paraId="7F19F0D0">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（3）螺杆与吊耳连接是否牢靠；当发现时，应予整修；</w:t>
      </w:r>
    </w:p>
    <w:p w14:paraId="63F3876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（4）对蜗轮、蜗杆、扇型齿轮和轴承进行检查保养；</w:t>
      </w:r>
    </w:p>
    <w:p w14:paraId="1D142CD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（5）行程与过力矩保护装置的检查、调整每年一次，必须动作灵敏，保护可靠。</w:t>
      </w:r>
    </w:p>
    <w:p w14:paraId="62BF05E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4、启闭机电动机定期检查与定期保养</w:t>
      </w:r>
    </w:p>
    <w:p w14:paraId="2D810236">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（1）清除电动机外壳和风叶灰尘，定子铁芯应无松动，风扇紧固良好；</w:t>
      </w:r>
    </w:p>
    <w:p w14:paraId="30E9B60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（2）检查轴承并清洗换油，如有较大松动、磨损、破碎等现象应及时更换。轴承内的润滑脂应保持在填满空腔内1/2～２/3范围。润滑脂规格、质量应符合要求；</w:t>
      </w:r>
    </w:p>
    <w:p w14:paraId="3C59004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（3）汛期前后测量绕组的绝缘电阻，如低于规定时，应进行烘燥处理，如处理后仍达不到要求，及时汇报；</w:t>
      </w:r>
    </w:p>
    <w:p w14:paraId="5AE0F6A7">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（4）电动机外壳接地牢固可靠，接地电阻应符合规范技术要求。</w:t>
      </w:r>
    </w:p>
    <w:p w14:paraId="1BF62E2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五、电气设备</w:t>
      </w:r>
    </w:p>
    <w:p w14:paraId="56220E0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（一）电气设备的巡视检查</w:t>
      </w:r>
    </w:p>
    <w:p w14:paraId="48B7F180">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1、变配电间的巡视检查</w:t>
      </w:r>
    </w:p>
    <w:p w14:paraId="2493BC3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（1）“四防一通”设施是否完好；</w:t>
      </w:r>
    </w:p>
    <w:p w14:paraId="6EAFD00D">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（2）应急照明设施是否完好、有效。</w:t>
      </w:r>
    </w:p>
    <w:p w14:paraId="06FD707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2、干式变压器的巡视检查</w:t>
      </w:r>
    </w:p>
    <w:p w14:paraId="699BCAE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（1）声音是否正常；</w:t>
      </w:r>
    </w:p>
    <w:p w14:paraId="0B74FEDD">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（2）电流和温度是否超过允许值；</w:t>
      </w:r>
    </w:p>
    <w:p w14:paraId="4467849D">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（3）套管是否清洁，有无破损裂纹和放电现象；</w:t>
      </w:r>
    </w:p>
    <w:p w14:paraId="4D3A9E4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（4）接地是否良好，一、二次侧引线及各接触点是否紧固、松动，各部分的电气距离是否符合要求；</w:t>
      </w:r>
    </w:p>
    <w:p w14:paraId="77AC0DA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（5）绝缘子是否有裂纹与闪烙痕迹；</w:t>
      </w:r>
    </w:p>
    <w:p w14:paraId="694F6C6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（6）温控装置工作是否正常。</w:t>
      </w:r>
    </w:p>
    <w:p w14:paraId="4EEBA98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3、真空断路器的巡视检查</w:t>
      </w:r>
    </w:p>
    <w:p w14:paraId="420DF0D6">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（1）套管、绝缘拉杆和拉杆绝缘子，有无损坏、裂纹及零件脱落等；</w:t>
      </w:r>
    </w:p>
    <w:p w14:paraId="4024CE2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（2）所有的紧固件有无松动；</w:t>
      </w:r>
    </w:p>
    <w:p w14:paraId="0A9DA30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（3）弹簧操作机构动作是否灵活、准确；</w:t>
      </w:r>
    </w:p>
    <w:p w14:paraId="55898F8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（4）断路器及隔离开关的辅助触点，有无烧毛及氧化；</w:t>
      </w:r>
    </w:p>
    <w:p w14:paraId="0D836C2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（5）脱扣机构动作是否灵活、可靠；</w:t>
      </w:r>
    </w:p>
    <w:p w14:paraId="6F5FCB3D">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（6）真空灭弧室是否有漏气现象。</w:t>
      </w:r>
    </w:p>
    <w:p w14:paraId="581ECEE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4、母排的巡视检查</w:t>
      </w:r>
    </w:p>
    <w:p w14:paraId="6D44999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（1）母排螺栓是否松动，母排接头处是否有氧化层，示温片是否熔化、脱落；</w:t>
      </w:r>
    </w:p>
    <w:p w14:paraId="00779CB7">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（2）铜联接处有无电化腐蚀；</w:t>
      </w:r>
    </w:p>
    <w:p w14:paraId="7627C0A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（3）支持绝缘子、套管是否清洁、有无裂纹及闪烙痕迹。</w:t>
      </w:r>
    </w:p>
    <w:p w14:paraId="6D5BD51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5、二次线路的巡视检查</w:t>
      </w:r>
    </w:p>
    <w:p w14:paraId="431E412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（1）各种元件的标志有无脱落；</w:t>
      </w:r>
    </w:p>
    <w:p w14:paraId="432D517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（2）二次线路接线是否完好，绝缘有无老化；</w:t>
      </w:r>
    </w:p>
    <w:p w14:paraId="476B977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（3）各指示灯是否完好；</w:t>
      </w:r>
    </w:p>
    <w:p w14:paraId="7671DD4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（4）端子与接头的表面有无氧化层，连接是否紧固牢靠，有无松动。</w:t>
      </w:r>
    </w:p>
    <w:p w14:paraId="13E081F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6、互感器的巡视检查</w:t>
      </w:r>
    </w:p>
    <w:p w14:paraId="2FB8DB8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（1）电压、电流指示是否正常；</w:t>
      </w:r>
    </w:p>
    <w:p w14:paraId="5967D04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（2）互感器二次侧及铁芯、接地是否可靠；</w:t>
      </w:r>
    </w:p>
    <w:p w14:paraId="3332143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（3）互感器一、二次接线有无松动、过热现象；</w:t>
      </w:r>
    </w:p>
    <w:p w14:paraId="18249F9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（4）电压互感器的熔断器与熔芯接触是否良好，有无氧化过热现象；</w:t>
      </w:r>
    </w:p>
    <w:p w14:paraId="648B817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（5）电流互感器二次侧是否开路，是否过负荷运行；</w:t>
      </w:r>
    </w:p>
    <w:p w14:paraId="022958E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（6）联接螺栓有无松动；</w:t>
      </w:r>
    </w:p>
    <w:p w14:paraId="4843F38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（7）互感器与母排联接处有无氧化、过热现象。</w:t>
      </w:r>
    </w:p>
    <w:p w14:paraId="7609164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7、配电柜的巡视检查</w:t>
      </w:r>
    </w:p>
    <w:p w14:paraId="2766639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（1）柜体内外与支架涂层是否良好，柜内元器件与接线是否排列整齐，柜内通风散热是否良好；</w:t>
      </w:r>
    </w:p>
    <w:p w14:paraId="31DF3B4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（2）柜内外及电器、端子、电缆与电线的端部标示是否明确、清晰，有无脱色、掉落现象；</w:t>
      </w:r>
    </w:p>
    <w:p w14:paraId="0028A510">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（3）各部位接线有无松动，导线与元器件之间的连接是否牢固可靠，接线绝缘层有无损伤；</w:t>
      </w:r>
    </w:p>
    <w:p w14:paraId="0CF6EAB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（4）柜体与各部位接地是否规范、可靠、完整；</w:t>
      </w:r>
    </w:p>
    <w:p w14:paraId="7A5D9D6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元器件性能是否良好、有无老化，操作机构是否灵活可靠，按钮与开关动作是否可靠，切换装置动作是否正确，接触器、继电器、开关等的触头接触是否紧密良好，二次回路的辅助开关的切换点是否动作准确可靠，各种指示灯是否完好；</w:t>
      </w:r>
    </w:p>
    <w:p w14:paraId="73167B9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（6）各类电气保护装置是否良好，是否保证能在发生故障时切断电源与发出报警信号；</w:t>
      </w:r>
    </w:p>
    <w:p w14:paraId="38B91AA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（7）柜门、控制台板上的电器元件与柜内的连线有无松动、绝缘有无磨损；</w:t>
      </w:r>
    </w:p>
    <w:p w14:paraId="4D84ABA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（8）铠装电缆的钢带与有关电缆的屏蔽层的接地是否良好，橡胶绝缘电缆的外套绝缘保护管是否良好；</w:t>
      </w:r>
    </w:p>
    <w:p w14:paraId="004DCF3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（8）抽屉式配电柜的抽屉进出是否轻便、有无卡阻，机械与电气联锁动作是否正确可靠；</w:t>
      </w:r>
    </w:p>
    <w:p w14:paraId="50983740">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（9）仪表指示是否准确。</w:t>
      </w:r>
    </w:p>
    <w:p w14:paraId="7AF3EBB0">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8、软起动装置的巡视检查</w:t>
      </w:r>
    </w:p>
    <w:p w14:paraId="6191421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（1）外控接口连接线有无松动；</w:t>
      </w:r>
    </w:p>
    <w:p w14:paraId="74083D2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（2）联接螺栓是否松动；</w:t>
      </w:r>
    </w:p>
    <w:p w14:paraId="07E1C3B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（3）工作温度是否正常，散热风扇运行是否良好；</w:t>
      </w:r>
    </w:p>
    <w:p w14:paraId="07A2C55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9、电容补偿柜的巡视检查</w:t>
      </w:r>
    </w:p>
    <w:p w14:paraId="0990682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（1）电容外壳有无生锈、变形、胀肚和渗液现象；</w:t>
      </w:r>
    </w:p>
    <w:p w14:paraId="5F251B8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（2）套管有无裂纹、破损和闪烙痕迹； </w:t>
      </w:r>
    </w:p>
    <w:p w14:paraId="4B6D91E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（3）运行电压、电流不得超过规定的范围，否则必须退出运行；</w:t>
      </w:r>
    </w:p>
    <w:p w14:paraId="69C872F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（4）电容器室应保持通风良好,环境温度有无超过40℃,电容器外壳温度有无超过55℃；</w:t>
      </w:r>
    </w:p>
    <w:p w14:paraId="305933F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（5）电容器组三相间的容量是否平衡，其误差不应超过一相总容量的5％</w:t>
      </w:r>
    </w:p>
    <w:p w14:paraId="2D91974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（6）检查电容器放电装置，其工作应正常。</w:t>
      </w:r>
    </w:p>
    <w:p w14:paraId="12BC049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（7）联接螺栓是否松动；</w:t>
      </w:r>
    </w:p>
    <w:p w14:paraId="4671326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（8）交流接触器工作是否正常；</w:t>
      </w:r>
    </w:p>
    <w:p w14:paraId="1DA4DDC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（9）电抗器温升是否正常；</w:t>
      </w:r>
    </w:p>
    <w:p w14:paraId="37A8390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（10）电流表、功率因数表指示是否准确；</w:t>
      </w:r>
    </w:p>
    <w:p w14:paraId="074140D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（11）自动补偿仪工作是否正常，是否能有效自动补偿</w:t>
      </w:r>
    </w:p>
    <w:p w14:paraId="7EC6D720">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（12）电容外壳接地是否良好。</w:t>
      </w:r>
    </w:p>
    <w:p w14:paraId="1205141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10、直流电源装置的巡视检查</w:t>
      </w:r>
    </w:p>
    <w:p w14:paraId="1E9B9E8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（1）元器件是否接触良好，有无损坏和过热等现象；</w:t>
      </w:r>
    </w:p>
    <w:p w14:paraId="5728804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（2）工作电源与备用电源的自动切换装置是否可靠；</w:t>
      </w:r>
    </w:p>
    <w:p w14:paraId="63E4267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（3）直流绝缘监视装置，正负两极对地电压是否为零；</w:t>
      </w:r>
    </w:p>
    <w:p w14:paraId="7152585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（4）充电装置工作状态、电压、电流以及蓄电池温度是否正常；</w:t>
      </w:r>
    </w:p>
    <w:p w14:paraId="5E0E05B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（5）蓄电池外壳是否完整，有无破裂、漏液；</w:t>
      </w:r>
    </w:p>
    <w:p w14:paraId="2A1F2F2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（6）蓄电池与导线连接处有无腐蚀和松动；</w:t>
      </w:r>
    </w:p>
    <w:p w14:paraId="458453A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（7）蓄电池电解液液面是否低于最低液面线。</w:t>
      </w:r>
    </w:p>
    <w:p w14:paraId="0A7B863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11、闸区照明的巡视检查</w:t>
      </w:r>
    </w:p>
    <w:p w14:paraId="5AF53F4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（1）照明灯工作是否正常；</w:t>
      </w:r>
    </w:p>
    <w:p w14:paraId="6F294AD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（2）各种元器件性能是否良好、有无老化现象；</w:t>
      </w:r>
    </w:p>
    <w:p w14:paraId="406AE38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（3）金属灯杆接地是否良好；</w:t>
      </w:r>
    </w:p>
    <w:p w14:paraId="5DAB253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（4）照明线路运行是否正常。</w:t>
      </w:r>
    </w:p>
    <w:p w14:paraId="5BEF808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（二）电气设备的日常检查与日常保养</w:t>
      </w:r>
    </w:p>
    <w:p w14:paraId="2FD2127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1、变配电间的日常检查与日常保养</w:t>
      </w:r>
    </w:p>
    <w:p w14:paraId="52BBCBC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（1）变配电间做好防火、防汛、防小动物、防雨雪及保持良好通风和足够照明的工作；</w:t>
      </w:r>
    </w:p>
    <w:p w14:paraId="1E58C08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（2）应急照明设备如损坏及时修复。</w:t>
      </w:r>
    </w:p>
    <w:p w14:paraId="223D89F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2、高压配电柜的日常检查与日常保养</w:t>
      </w:r>
    </w:p>
    <w:p w14:paraId="2976CFBD">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（1）配电柜表面清扫；</w:t>
      </w:r>
    </w:p>
    <w:p w14:paraId="02DCA81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（2）更换损坏的指示灯、按钮、表计等电器元件；</w:t>
      </w:r>
    </w:p>
    <w:p w14:paraId="4B5D24D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（3）紧固二次线路接线，清除氧化物；</w:t>
      </w:r>
    </w:p>
    <w:p w14:paraId="5647EAD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（4）二次交直流控制回路应完好；</w:t>
      </w:r>
    </w:p>
    <w:p w14:paraId="2D9998A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（5）清除二次线路端子与接头的表面氧化层，并紧固牢靠，不得有松动。</w:t>
      </w:r>
    </w:p>
    <w:p w14:paraId="1764D90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3、干式变压器的日常检查与日常保养</w:t>
      </w:r>
    </w:p>
    <w:p w14:paraId="2D74F61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（1）清扫变压器间及变压器外罩，保持干式变压器外部清洁、通风良好； </w:t>
      </w:r>
    </w:p>
    <w:p w14:paraId="70BCF65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（2）在潮湿天气干式变压器绕组表面如有凝露水滴产生，要采取措施排除潮气；</w:t>
      </w:r>
    </w:p>
    <w:p w14:paraId="772635A7">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（3）接地必须良好，紧固一、二次侧引线及各接触点，各部分的电气距离应符合要求；</w:t>
      </w:r>
    </w:p>
    <w:p w14:paraId="0283F9E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（4）绝缘子不得有裂纹与闪烙痕迹，发现后及时报告。 </w:t>
      </w:r>
    </w:p>
    <w:p w14:paraId="0E8A8C8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4、低压配电柜的日常检查与日常保养</w:t>
      </w:r>
    </w:p>
    <w:p w14:paraId="3EB7120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（1）配电柜表面清扫，柜内零部件无积尘；</w:t>
      </w:r>
    </w:p>
    <w:p w14:paraId="064D66E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（2）紧固低压配电装置的联接螺栓；</w:t>
      </w:r>
    </w:p>
    <w:p w14:paraId="3A0B6A5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（3）做好闸刀开关、自动空气断路器与交流接触器传动机构的润滑工作，应动作灵活，无卡涩现象，三相同步性良好；</w:t>
      </w:r>
    </w:p>
    <w:p w14:paraId="4D0B4B9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（4）熔断器、闸刀开关、自动空气断路器与交流接触器，触头应接触紧密，无烧毛及过热现象，否则予以修整；</w:t>
      </w:r>
    </w:p>
    <w:p w14:paraId="012E213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（5）及时清除灭弧罩内铜粒子；</w:t>
      </w:r>
    </w:p>
    <w:p w14:paraId="6FF255A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（6）及时更换损坏的指示灯、按钮、表计等电器元件。</w:t>
      </w:r>
    </w:p>
    <w:p w14:paraId="3DE5023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5、软起动装置的日常检查与日常保养</w:t>
      </w:r>
    </w:p>
    <w:p w14:paraId="231AC76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（1）做好日常清洁保养工作；</w:t>
      </w:r>
    </w:p>
    <w:p w14:paraId="181898B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（2）紧固松动的外控接口连接线；</w:t>
      </w:r>
    </w:p>
    <w:p w14:paraId="07C83E9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（3）紧固所有联接螺栓；</w:t>
      </w:r>
    </w:p>
    <w:p w14:paraId="57159287">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（4）校核起动电流倍数的设定，应准确无误。</w:t>
      </w:r>
    </w:p>
    <w:p w14:paraId="62F50A9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6、电容补偿柜的日常检查与日常保养</w:t>
      </w:r>
    </w:p>
    <w:p w14:paraId="384D802D">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（1）做好日常清洁保养工作，保持通风散热畅通；</w:t>
      </w:r>
    </w:p>
    <w:p w14:paraId="12EF810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（2）电容器套管及外壳保持清洁无污垢；</w:t>
      </w:r>
    </w:p>
    <w:p w14:paraId="372CE43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（3）更换有裂纹、破损，闪烙痕迹的套管；</w:t>
      </w:r>
    </w:p>
    <w:p w14:paraId="3C137BC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（4）电容器有外壳变形、渗液现象，应及时调换；</w:t>
      </w:r>
    </w:p>
    <w:p w14:paraId="3BE6931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（5）电容器外壳生锈，应除锈后涂漆;</w:t>
      </w:r>
    </w:p>
    <w:p w14:paraId="0CD34B5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（6）紧固联接螺栓；</w:t>
      </w:r>
    </w:p>
    <w:p w14:paraId="5ED97BA6">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（7）如电抗器、放电指示灯、电压互感器或交流接触器不正常，予以维修或更换；</w:t>
      </w:r>
    </w:p>
    <w:p w14:paraId="39BDBC4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（8）校验电流表、功率因数表。</w:t>
      </w:r>
    </w:p>
    <w:p w14:paraId="51AFF2F7">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7、直流电源装置的日常检查与日常保养</w:t>
      </w:r>
    </w:p>
    <w:p w14:paraId="6F14DD2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（1）整流电源装置</w:t>
      </w:r>
    </w:p>
    <w:p w14:paraId="39D5A4A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①做好日常清洁保养工作，整流装置应清洁无尘垢；</w:t>
      </w:r>
    </w:p>
    <w:p w14:paraId="27192AA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②测量交直流回路的绝缘电阻应符合要求；</w:t>
      </w:r>
    </w:p>
    <w:p w14:paraId="6760401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③元器件应接触良好，更换不良元器件。</w:t>
      </w:r>
    </w:p>
    <w:p w14:paraId="312A7C6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（2）直流系统</w:t>
      </w:r>
    </w:p>
    <w:p w14:paraId="55E0D6C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①做好蓄电池室及蓄电池的日常清洁保养工作，保持室内通风、照明良好，室内温度不低于10℃；</w:t>
      </w:r>
    </w:p>
    <w:p w14:paraId="68856246">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②蓄电池应以浮充电方式运行，并经常处于满充状态；</w:t>
      </w:r>
    </w:p>
    <w:p w14:paraId="161A28D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③测量直流绝缘监视装置，正负两极对地电压应为零；</w:t>
      </w:r>
    </w:p>
    <w:p w14:paraId="067755F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④充电装置工作状态、电压、电流以及蓄电池温度均应正常，否则予以维修。</w:t>
      </w:r>
    </w:p>
    <w:p w14:paraId="02D1C07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（3）蓄电池</w:t>
      </w:r>
    </w:p>
    <w:p w14:paraId="6FFD10A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①电池运行温度宜在10～30℃，最高不得超过45℃。如允许降低容量，则最低温度可低于10℃，但不得低于0℃；</w:t>
      </w:r>
    </w:p>
    <w:p w14:paraId="1E00CD30">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②蓄电池控制的母线电压应保持在220VDC (110VDC)，变动不应超过±2%；</w:t>
      </w:r>
    </w:p>
    <w:p w14:paraId="22CE35C0">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③蓄电池外壳不完整，破裂、漏液，极板硫化、弯曲与短路，予以维修和更换；</w:t>
      </w:r>
    </w:p>
    <w:p w14:paraId="076F7DD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④紧固蓄电池联接线，清除导线腐蚀物，如清除不净予以调换；</w:t>
      </w:r>
    </w:p>
    <w:p w14:paraId="6161690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⑦测量每个蓄电池的电压，如过低或为零，应查明原因进行恢复性处理或更换；</w:t>
      </w:r>
    </w:p>
    <w:p w14:paraId="00551F5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⑩蓄电池发生故障后，应及时处理或调换。</w:t>
      </w:r>
    </w:p>
    <w:p w14:paraId="2D0C4A2D">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8、互感器的日常检查与日常保养</w:t>
      </w:r>
    </w:p>
    <w:p w14:paraId="6758DEB7">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（1）做好互感器的日常清洁保养工作，保持互感器套管清洁无积尘；</w:t>
      </w:r>
    </w:p>
    <w:p w14:paraId="598D31A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（2）校验表计，使指示电压、电流指示正常；</w:t>
      </w:r>
    </w:p>
    <w:p w14:paraId="5375FF4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（3）互感器二次侧及铁芯、接地必须可靠；</w:t>
      </w:r>
    </w:p>
    <w:p w14:paraId="117B261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（4）紧固互感器一、二次接线，清除氧化物；</w:t>
      </w:r>
    </w:p>
    <w:p w14:paraId="5B13E3E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（5）电压互感器的熔断器与熔芯接触良好，二次侧不得短路，不允许超过其最大容量运行；</w:t>
      </w:r>
    </w:p>
    <w:p w14:paraId="6B0C028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（6）电流互感器二次侧不得开路，不允许过负荷运行；</w:t>
      </w:r>
    </w:p>
    <w:p w14:paraId="363A5F5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（7）紧固所有联接螺栓；</w:t>
      </w:r>
    </w:p>
    <w:p w14:paraId="59D4A45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（8）清除互感器与母排联接处氧化层，并涂抹凡士林或导电胶；</w:t>
      </w:r>
    </w:p>
    <w:p w14:paraId="6E9002DD">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9、闸区照明的日常检查与日常保养</w:t>
      </w:r>
    </w:p>
    <w:p w14:paraId="30A1FE6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（1）做好照明灯的日常清洁保养工作，保持灯具内清洁无积尘；</w:t>
      </w:r>
    </w:p>
    <w:p w14:paraId="68CFD79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（2）各种元器件性能良好、无老化现象，否则予以更换；</w:t>
      </w:r>
    </w:p>
    <w:p w14:paraId="669AA8B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（3）金属灯杆接地必须良好；</w:t>
      </w:r>
    </w:p>
    <w:p w14:paraId="199666D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（4）检查照明线路运行正常。</w:t>
      </w:r>
    </w:p>
    <w:p w14:paraId="3474AD2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（三）电气设备的定期检查与定期保养</w:t>
      </w:r>
    </w:p>
    <w:p w14:paraId="0AD1DDF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1、干式变压器的定期检查与定期保养</w:t>
      </w:r>
    </w:p>
    <w:p w14:paraId="428952C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（1）清扫变压器间及变压器外罩，保持干式变压器外部清洁、通风良好； </w:t>
      </w:r>
    </w:p>
    <w:p w14:paraId="2E6A060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（2）接地必须良好，紧固一、二次侧引线及各接触点，各部分的电气距离应符合要求；</w:t>
      </w:r>
    </w:p>
    <w:p w14:paraId="44BD183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（3）绝缘子不得有裂纹与闪烙痕迹，要及时汇报；</w:t>
      </w:r>
    </w:p>
    <w:p w14:paraId="73F43767">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2、高压熔断器、隔离开关及负荷开关的定期检查与定期保养</w:t>
      </w:r>
    </w:p>
    <w:p w14:paraId="4482ED7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（1）做好清洁保养工作，清扫瓷件表面灰尘，擦清刀片、触头和触指上的油污；</w:t>
      </w:r>
    </w:p>
    <w:p w14:paraId="598195E7">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（2）清扫操作机构和转动部分，并添加适量的润滑油；</w:t>
      </w:r>
    </w:p>
    <w:p w14:paraId="3D66494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（3）紧固所有的联接螺栓；</w:t>
      </w:r>
    </w:p>
    <w:p w14:paraId="3280984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sz w:val="24"/>
          <w:szCs w:val="24"/>
          <w:lang w:val="en-US" w:eastAsia="zh-CN" w:bidi="ar-SA"/>
        </w:rPr>
      </w:pPr>
      <w:r>
        <w:rPr>
          <w:rFonts w:hint="eastAsia" w:ascii="仿宋" w:hAnsi="仿宋" w:eastAsia="仿宋" w:cs="仿宋"/>
          <w:kern w:val="0"/>
          <w:sz w:val="24"/>
          <w:szCs w:val="24"/>
          <w:highlight w:val="none"/>
        </w:rPr>
        <w:t>（4）如熔断器支架的夹力不正常，接触部位有氧化过热现象,否则予以调整与清除；</w:t>
      </w:r>
    </w:p>
    <w:p w14:paraId="2CE0199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（5）如绝缘子表面破损、裂纹和闪烙痕迹应更换，绝缘子的铁瓷结合处应牢固；</w:t>
      </w:r>
    </w:p>
    <w:p w14:paraId="7CEB163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（6）调整隔离开关、负荷开关触头间的接触面，使其紧密，清除氧化物及熔化物；</w:t>
      </w:r>
    </w:p>
    <w:p w14:paraId="56A902F7">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（7）隔离开关、负荷开关合闸时，调整三相同期性，分闸时调整张开角度，操作机构适时加注润滑油，使其无卡涩、呆滞现象。</w:t>
      </w:r>
    </w:p>
    <w:p w14:paraId="1DFA6A2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3、真空断路器的定期检查与定期保养</w:t>
      </w:r>
    </w:p>
    <w:p w14:paraId="3755207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（1）做好清洁保养工作，绝缘子、套管外表保持清洁，无积尘；</w:t>
      </w:r>
    </w:p>
    <w:p w14:paraId="5CF43F46">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（2）套管、绝缘拉杆和拉杆绝缘子，如有裂纹、损坏及零件脱落等现象应予以调换和修复；</w:t>
      </w:r>
    </w:p>
    <w:p w14:paraId="27B8918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（3）接触面如有变色及熔化予以清除；</w:t>
      </w:r>
    </w:p>
    <w:p w14:paraId="21B5D1F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（4）紧固所有的紧固件；</w:t>
      </w:r>
    </w:p>
    <w:p w14:paraId="475E620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（5）做好断路器机械部分与操作机构的润滑工作，在操作过程中无卡涩、呆滞现象，电磁操作机构的分、合闸线圈无过热现象，弹簧操作机构动作应灵活、准确；</w:t>
      </w:r>
    </w:p>
    <w:p w14:paraId="313C7E90">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（6）检查真空室的真空度，如真空度不合格则必须及时汇报；调整触头行程，必须达到产品技术要求。</w:t>
      </w:r>
    </w:p>
    <w:p w14:paraId="59B77EF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4、母排的定期检查与定期保养</w:t>
      </w:r>
    </w:p>
    <w:p w14:paraId="7B321C7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（1）做好绝缘子、套管、保护网罩及母排等的清洁工作；</w:t>
      </w:r>
    </w:p>
    <w:p w14:paraId="2EB3EC50">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（2）紧固母排螺栓；</w:t>
      </w:r>
    </w:p>
    <w:p w14:paraId="4285C86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（3）清除铜联接处的电化腐蚀和氧化层；</w:t>
      </w:r>
    </w:p>
    <w:p w14:paraId="5D7F665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（4）绝缘子、套管如有裂纹及闪烙痕迹，必须更换；</w:t>
      </w:r>
    </w:p>
    <w:p w14:paraId="538BECB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（5）母排表面变形和扭曲等现象，应拆下进行校正。</w:t>
      </w:r>
    </w:p>
    <w:p w14:paraId="1AEE80F7">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5、防雷和接地装置的定期检查与定期保养</w:t>
      </w:r>
    </w:p>
    <w:p w14:paraId="4523C6E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（1）每年一次在雷雨季节前对避雷器与接地装置做预防性试验，均必须符合设计要求；</w:t>
      </w:r>
    </w:p>
    <w:p w14:paraId="350A672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（2）检查接地装置各连接点的接触情况与接地线的损伤、折断和锈蚀等情况；</w:t>
      </w:r>
    </w:p>
    <w:p w14:paraId="2EE873E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（3）每五年至少一次对含有酸、碱、盐等化学成分的土壤地带检查地面下500mm以上部位接地体、接地线腐蚀程度；</w:t>
      </w:r>
    </w:p>
    <w:p w14:paraId="1E00DC7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（4）在雷雨季节时，防雷装置的巡视检查每月至少一次；</w:t>
      </w:r>
    </w:p>
    <w:p w14:paraId="1E2B195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（5）避雷针焊接部分应无断裂、锈蚀，接地引下线焊接牢靠；</w:t>
      </w:r>
    </w:p>
    <w:p w14:paraId="609B123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（6）避雷器套瓷管应保持清洁，无破损、无裂纹、无放电闪烙痕迹；</w:t>
      </w:r>
    </w:p>
    <w:p w14:paraId="0EB762B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（7）避雷器接地应牢固，无断股现象和烧伤痕迹；</w:t>
      </w:r>
    </w:p>
    <w:p w14:paraId="4837167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（8）避雷器内部应无异常响声；</w:t>
      </w:r>
    </w:p>
    <w:p w14:paraId="312CB3F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（9）避雷器记数动作应正确；</w:t>
      </w:r>
    </w:p>
    <w:p w14:paraId="2585B8A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（10）雷电后应增加特殊巡视。</w:t>
      </w:r>
    </w:p>
    <w:p w14:paraId="492FB84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6、直流装置电源的定期检查与定期保养</w:t>
      </w:r>
    </w:p>
    <w:p w14:paraId="4A8B702D">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（1）蓄电池每隔3月深度放电后，应进行一次均衡充电；</w:t>
      </w:r>
    </w:p>
    <w:p w14:paraId="554C03F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（2）每年一次进行容量校对性充放电；</w:t>
      </w:r>
    </w:p>
    <w:p w14:paraId="143EB6A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（3）每年一次对蓄电池电解液纯度进行分析；</w:t>
      </w:r>
    </w:p>
    <w:p w14:paraId="187A1D6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（4）蓄电池电解液液面低于产品规定时，应进行补充合适比重的电解液。每年应以实际负荷做一次放电，放电后应进行均衡充电，然后转入浮充电。</w:t>
      </w:r>
    </w:p>
    <w:p w14:paraId="69010B3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7、电容补偿柜的定期检查与定期保养</w:t>
      </w:r>
    </w:p>
    <w:p w14:paraId="0ECB7CA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无功功率补偿装置每年一次定期检查，如有失控必须专业厂家进行修理或调换。</w:t>
      </w:r>
    </w:p>
    <w:p w14:paraId="6BEB6466">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8、电缆线路及桥架的定期检查与定期保养</w:t>
      </w:r>
    </w:p>
    <w:p w14:paraId="12F9DEB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（1）直埋敷设电缆的定期检查与定期保养</w:t>
      </w:r>
    </w:p>
    <w:p w14:paraId="61F31F2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①电缆敷设附近地面应无打桩、挖掘、种植树木或伤及电缆的其他情况；</w:t>
      </w:r>
    </w:p>
    <w:p w14:paraId="3D8C7A5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②电缆标桩应完好无缺；</w:t>
      </w:r>
    </w:p>
    <w:p w14:paraId="64CDAAE6">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③电缆沿线不应堆放重物、腐蚀性物品及搭建临时性建筑；</w:t>
      </w:r>
    </w:p>
    <w:p w14:paraId="54CA24A7">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④室外露出地面电缆和保护钢管不应锈蚀、位移或脱落；</w:t>
      </w:r>
    </w:p>
    <w:p w14:paraId="5387783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⑤引入室内的电缆穿管应封堵严密；</w:t>
      </w:r>
    </w:p>
    <w:p w14:paraId="04EE76F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⑥对挖掘外露的电缆应加强巡视。</w:t>
      </w:r>
    </w:p>
    <w:p w14:paraId="59601E0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（2）沟道敷设电缆的定期检查与定期保养</w:t>
      </w:r>
    </w:p>
    <w:p w14:paraId="6B5CD76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①沟道盖板应完整无缺；</w:t>
      </w:r>
    </w:p>
    <w:p w14:paraId="2382433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②沟道内电缆支架应牢固，无严重锈蚀；</w:t>
      </w:r>
    </w:p>
    <w:p w14:paraId="6B3F3D1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③沟道内应无渗漏水与积水，电缆指示牌应完整、无脱落。</w:t>
      </w:r>
    </w:p>
    <w:p w14:paraId="59C4AA7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（3）电缆终端头与中间接头的定期检查与定期保养</w:t>
      </w:r>
    </w:p>
    <w:p w14:paraId="63F4F9E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①终端头和中间接头不得有龟裂与渗漏油现象；</w:t>
      </w:r>
    </w:p>
    <w:p w14:paraId="57F8072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②接地线应牢固，无断股、脱落现象；</w:t>
      </w:r>
    </w:p>
    <w:p w14:paraId="5182EAF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③潮湿天气应加强巡视终端头绝缘套管，不应有放电闪烙现象；</w:t>
      </w:r>
    </w:p>
    <w:p w14:paraId="589EDAE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④引线联接处应无过热、熔化现象；</w:t>
      </w:r>
    </w:p>
    <w:p w14:paraId="46E8D2E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⑤电缆每年二次检测绝缘电阻与接地电阻。</w:t>
      </w:r>
    </w:p>
    <w:p w14:paraId="787D44D6">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（4）电缆桥架的定期检查与定期保养</w:t>
      </w:r>
    </w:p>
    <w:p w14:paraId="406EBD96">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①电缆桥架间的连接线与接地线应连接牢靠；</w:t>
      </w:r>
    </w:p>
    <w:p w14:paraId="587941F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②钢板电缆桥架应无锈蚀，如有锈蚀则应及时作防腐处理；</w:t>
      </w:r>
    </w:p>
    <w:p w14:paraId="27E1A70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③金属桥架接地电阻应符合规范要求，每年二次检测接地电阻。</w:t>
      </w:r>
    </w:p>
    <w:p w14:paraId="3428C31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9、高压电气设备的预防性试验</w:t>
      </w:r>
    </w:p>
    <w:p w14:paraId="583E5E36">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高压电气设备的预防性试验每二年至少一次，试验项目与要求应符合国家标准《电气设备预防性试验规程》（DL/T596-1996）或上海市供电部门的有关规定。</w:t>
      </w:r>
    </w:p>
    <w:p w14:paraId="5046646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（四）柴油发电机</w:t>
      </w:r>
    </w:p>
    <w:p w14:paraId="7D62F94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1、柴油发电机日常检查</w:t>
      </w:r>
    </w:p>
    <w:p w14:paraId="67FE7D1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（1）机组有无积灰、有无油渍，有无锈蚀；</w:t>
      </w:r>
    </w:p>
    <w:p w14:paraId="1E71F57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（2）机体与基座连接是否牢固；蓄电池电压、电液位是否正常；机油、柴油、水是否充足；</w:t>
      </w:r>
    </w:p>
    <w:p w14:paraId="5B85BD3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（3）运行有无异常声音；</w:t>
      </w:r>
    </w:p>
    <w:p w14:paraId="3D8D28B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（4）外接电源是否断开；</w:t>
      </w:r>
    </w:p>
    <w:p w14:paraId="755990C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（5）不经常使用的柴油发电机，应每月试车二次，检查运行情况是否正常。</w:t>
      </w:r>
    </w:p>
    <w:p w14:paraId="2ED1703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2、柴油发电机的日常保养</w:t>
      </w:r>
    </w:p>
    <w:p w14:paraId="07E66EA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（1）做好柴油发电机日常清洁保养工作；</w:t>
      </w:r>
    </w:p>
    <w:p w14:paraId="1B8FB3E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（2）对各种紧固螺栓，特别是受力振动部位的紧固件应及时紧固；</w:t>
      </w:r>
    </w:p>
    <w:p w14:paraId="01C5175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（3）凡是有相对运动的零部件，均需加注的润滑油，以减少磨损；</w:t>
      </w:r>
    </w:p>
    <w:p w14:paraId="24408F5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（4）观察电流表显示的电流值，其数值不能超过额定值，用钳形表测量电动机运行时各相电流是否对称，允许其不对称值在10%以内；</w:t>
      </w:r>
    </w:p>
    <w:p w14:paraId="36FAAC2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（5）遇低温时提前放空水箱中的冷却水；</w:t>
      </w:r>
    </w:p>
    <w:p w14:paraId="61DD44E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（6）当接到停电通知时，应提前安排人员就位，并给电瓶充足电；</w:t>
      </w:r>
    </w:p>
    <w:p w14:paraId="33A3025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（7）发电机发电前必须切断外接电源，严防发生并网事故。</w:t>
      </w:r>
    </w:p>
    <w:p w14:paraId="7F43976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六、控制系统与仪表</w:t>
      </w:r>
    </w:p>
    <w:p w14:paraId="4F77522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（一）低压控制设备</w:t>
      </w:r>
    </w:p>
    <w:p w14:paraId="64E0A8B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1、低压控制设备的日常检查</w:t>
      </w:r>
    </w:p>
    <w:p w14:paraId="2318995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（1）操作台面是否清洁，有无杂物堆放；语音广播、交通信号灯及电铃是否正常；</w:t>
      </w:r>
    </w:p>
    <w:p w14:paraId="2CA1D2B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（2）电视监控系统清晰运行是否正常；LED电子屏显示系统运行是否正常；</w:t>
      </w:r>
    </w:p>
    <w:p w14:paraId="0E8A808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（3）电压和电流显示是否正常；触摸屏、按钮、开关是否灵敏有效；通讯及超限报警系统是否正常有效。</w:t>
      </w:r>
    </w:p>
    <w:p w14:paraId="5709188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2、低压控制设备的日常保养</w:t>
      </w:r>
    </w:p>
    <w:p w14:paraId="36DBB2C0">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（1）电气零部件保持清洁，无积尘；</w:t>
      </w:r>
    </w:p>
    <w:p w14:paraId="5A43550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（2）紧固零部件的接线螺栓无松动；</w:t>
      </w:r>
    </w:p>
    <w:p w14:paraId="09D8D30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（3）自动空气断路器和交流接触器传动机构应动作灵活，无卡涩现象，三相同步性良好；</w:t>
      </w:r>
    </w:p>
    <w:p w14:paraId="24D11D5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（4）熔断器、自动空气断路器与交流接触器，接触部分与触头应接触紧密，无烧毛及过热现象；</w:t>
      </w:r>
    </w:p>
    <w:p w14:paraId="486BAD4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（5）及时修整接触器烧毛的触头，清除灭弧罩内铜粒子；</w:t>
      </w:r>
    </w:p>
    <w:p w14:paraId="7A649E2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（6）检查线圈的绝缘和温升，应符合产品要求；</w:t>
      </w:r>
    </w:p>
    <w:p w14:paraId="7A7A86A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（7）检查与维护计量表计，清除灰尘与接线端子的氧化尘。</w:t>
      </w:r>
    </w:p>
    <w:p w14:paraId="53A3593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（二）自控系统与仪表</w:t>
      </w:r>
    </w:p>
    <w:p w14:paraId="5F83099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1、自控系统的日常检查</w:t>
      </w:r>
    </w:p>
    <w:p w14:paraId="4F8EC23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（1）自控柜否整洁、操作台面有无杂物堆放；</w:t>
      </w:r>
    </w:p>
    <w:p w14:paraId="0C160EA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（2）是否设置安全等级操作权限；是否擅自安装、使用系统外软件或计算机挪作他用；</w:t>
      </w:r>
    </w:p>
    <w:p w14:paraId="3AD528B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（3）机壳油漆是否保养良好有无锈蚀；系统接地与绝缘是否可靠；现场一次仪表安装与防护装置是否齐全有效；</w:t>
      </w:r>
    </w:p>
    <w:p w14:paraId="5F3E697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（4）数据采集、保存、显示打印与传送是否正常、数据是否准确；电压、电流、水位、闸高传感器是否正常，传感器输出数据是否准确，精度是否满足要求；</w:t>
      </w:r>
    </w:p>
    <w:p w14:paraId="5BD1B98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（5）监控屏幕显示是否清晰，色度亮度与对比度是否正常，切换与调节装置是否操作有效。</w:t>
      </w:r>
    </w:p>
    <w:p w14:paraId="2D24C24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2、自控系统的日常保养</w:t>
      </w:r>
    </w:p>
    <w:p w14:paraId="066DD07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（1）计算机监控系统及其通讯网络系统，应运行正常；</w:t>
      </w:r>
    </w:p>
    <w:p w14:paraId="5D009B5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（2）就地控制系统，运行应正常；</w:t>
      </w:r>
    </w:p>
    <w:p w14:paraId="5D24AC4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（3）自控元件，如执行元件、信号器、传感器等工作应正常；</w:t>
      </w:r>
    </w:p>
    <w:p w14:paraId="2A04336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（4）各级控制应正常、可靠；</w:t>
      </w:r>
    </w:p>
    <w:p w14:paraId="04D34D6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（5）监视系统应正常，调节控制可靠、图像清晰；</w:t>
      </w:r>
    </w:p>
    <w:p w14:paraId="3AD5A3C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（6）显示、音响报警信号系统应正常、可靠；</w:t>
      </w:r>
    </w:p>
    <w:p w14:paraId="6889E840">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（7）UPS电源供电应正常，供电容量、时间符合产品要求；</w:t>
      </w:r>
    </w:p>
    <w:p w14:paraId="16103CC0">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（8）仪表、信道及电源的过电压保护应可靠、有效；</w:t>
      </w:r>
    </w:p>
    <w:p w14:paraId="7158762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（9）如软件修改或重新设置，应将修改中设置前后的软件分别备份，并做好修改记录；</w:t>
      </w:r>
    </w:p>
    <w:p w14:paraId="1D24F2E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（10）对视频监视系统维护保养。清洁摄像头、润滑云台，清除接线端子与线头的氧化物及灰尘；</w:t>
      </w:r>
    </w:p>
    <w:p w14:paraId="1BBFFEA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（11）加强对计算机的网络安全管理，定时杀毒，及时更新杀毒软件；</w:t>
      </w:r>
    </w:p>
    <w:p w14:paraId="400ABEF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（12）定期对运行数据备份，对技术文档应妥善保管；</w:t>
      </w:r>
    </w:p>
    <w:p w14:paraId="1B126126">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（13）每半年一次检查设备的手动、自动与遥控的控制功能以及控制级的优先权；</w:t>
      </w:r>
    </w:p>
    <w:p w14:paraId="156D8D7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（14）每半年一次测试自控系统的故障、声光报警点、保护、自启动及通信等功能；</w:t>
      </w:r>
    </w:p>
    <w:p w14:paraId="26AC4FC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（15）每年至少一次检查与检测自控系统的接地（接零）、防雷与过电压保护设施；</w:t>
      </w:r>
    </w:p>
    <w:p w14:paraId="52E972E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（16）每半年一次检查与维护自控系统供电装置；</w:t>
      </w:r>
    </w:p>
    <w:p w14:paraId="38841F0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（17）每年至少一次检查与维护监控室的防静电设施；</w:t>
      </w:r>
    </w:p>
    <w:p w14:paraId="3911D6E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（18）每半年一次对PLC/RTU 、通信设施、通信接口进行检查与维护及工况、性能校验；</w:t>
      </w:r>
    </w:p>
    <w:p w14:paraId="518E9C1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（19）每半年一次对就地（现场）控制系统各检测点的模拟量及数字量校验。</w:t>
      </w:r>
    </w:p>
    <w:p w14:paraId="70EDCD8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（三）检测仪表</w:t>
      </w:r>
    </w:p>
    <w:p w14:paraId="6273EAF5">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1、检测仪表的日常检查</w:t>
      </w:r>
    </w:p>
    <w:p w14:paraId="528FB98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（1）仪表安装是否牢固，现场保护箱是否完好、有无腐蚀；</w:t>
      </w:r>
    </w:p>
    <w:p w14:paraId="62CDC73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（2）仪表接地是否牢固可靠；</w:t>
      </w:r>
    </w:p>
    <w:p w14:paraId="4DE0ED16">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（3）仪表供电与过电压保护是否可靠；</w:t>
      </w:r>
    </w:p>
    <w:p w14:paraId="2C98F47D">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（4）仪表传感器表面是否保持清洁； </w:t>
      </w:r>
    </w:p>
    <w:p w14:paraId="5AED640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（5）仪表显示是否正常，是否做好记录。</w:t>
      </w:r>
    </w:p>
    <w:p w14:paraId="6F48992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2、检测仪表的日常保养</w:t>
      </w:r>
    </w:p>
    <w:p w14:paraId="3FF3224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（1）做好仪表日常清洁保养工作，保持清洁，无积尘；</w:t>
      </w:r>
    </w:p>
    <w:p w14:paraId="0356C17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（2）紧固仪表，并接地可靠；</w:t>
      </w:r>
    </w:p>
    <w:p w14:paraId="5DB679E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（3）进行零点和量程校正；</w:t>
      </w:r>
    </w:p>
    <w:p w14:paraId="3C8AE7DD">
      <w:pPr>
        <w:keepNext w:val="0"/>
        <w:keepLines w:val="0"/>
        <w:pageBreakBefore w:val="0"/>
        <w:widowControl/>
        <w:tabs>
          <w:tab w:val="left" w:pos="0"/>
        </w:tabs>
        <w:kinsoku/>
        <w:wordWrap/>
        <w:overflowPunct/>
        <w:topLinePunct w:val="0"/>
        <w:autoSpaceDE/>
        <w:autoSpaceDN/>
        <w:bidi w:val="0"/>
        <w:adjustRightInd/>
        <w:snapToGrid/>
        <w:spacing w:after="0" w:line="360"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七、水工建筑物</w:t>
      </w:r>
    </w:p>
    <w:p w14:paraId="2F0D29C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（一）石工建筑物</w:t>
      </w:r>
    </w:p>
    <w:p w14:paraId="6F72788D">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1、石工建筑物的日常检查</w:t>
      </w:r>
    </w:p>
    <w:p w14:paraId="767D8E62">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（1）护坡有无塌陷、滑坡；</w:t>
      </w:r>
    </w:p>
    <w:p w14:paraId="5AA48EB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（2）有无块石散落、缺失等现象；</w:t>
      </w:r>
    </w:p>
    <w:p w14:paraId="170C7750">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（3）垫层有无散失；</w:t>
      </w:r>
    </w:p>
    <w:p w14:paraId="4FEF20DD">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（4）排水、导渗设施是否有效；</w:t>
      </w:r>
    </w:p>
    <w:p w14:paraId="6E4C35D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（5）石墙有无倾斜、滑动；</w:t>
      </w:r>
    </w:p>
    <w:p w14:paraId="3142F50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（6）护底有无损坏。</w:t>
      </w:r>
    </w:p>
    <w:p w14:paraId="6C3364A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2、石工建筑物的日常保养</w:t>
      </w:r>
    </w:p>
    <w:p w14:paraId="4E925BD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（1）砌石护坡、护底遇有松动、塌陷、隆起、底部淘空、垫层散失等现象时，应及时汇报。</w:t>
      </w:r>
    </w:p>
    <w:p w14:paraId="24CCC6F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（2）泵闸的反滤设施、减压井、导渗沟、排水设施应保持畅通，如有堵塞、损坏，应予疏通、修复。</w:t>
      </w:r>
    </w:p>
    <w:p w14:paraId="62A8FA1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（二）混凝土建筑物</w:t>
      </w:r>
    </w:p>
    <w:p w14:paraId="26DF4586">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1、混凝土建筑物的日常检查</w:t>
      </w:r>
    </w:p>
    <w:p w14:paraId="5C08A701">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（1）砼墙上或墙后有无重载堆物；</w:t>
      </w:r>
    </w:p>
    <w:p w14:paraId="3FF5DE6C">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（2）伸缩缝止水是否完好；</w:t>
      </w:r>
    </w:p>
    <w:p w14:paraId="28C43C79">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（3）墙体有无裂缝、渗漏；</w:t>
      </w:r>
    </w:p>
    <w:p w14:paraId="1CCE8F9F">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（4）墙身有无倾斜、滑动现象；</w:t>
      </w:r>
    </w:p>
    <w:p w14:paraId="1C4ED5DD">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（5）有无腐蚀、剥蚀、露筋；</w:t>
      </w:r>
    </w:p>
    <w:p w14:paraId="1E7D0AA8">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（6）空箱进水、排气孔是否通畅；</w:t>
      </w:r>
    </w:p>
    <w:p w14:paraId="77C0AD40">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（7）防护涂料是否完好。</w:t>
      </w:r>
    </w:p>
    <w:p w14:paraId="188A71E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2、混凝土建筑物的日常保养</w:t>
      </w:r>
    </w:p>
    <w:p w14:paraId="545AF1F3">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（1）消力池、门槽范围内的砂石、杂物应定期清除；</w:t>
      </w:r>
    </w:p>
    <w:p w14:paraId="0714248E">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（2）建筑物的进水孔、排水孔、通气孔等应保持畅通。桥面排水孔的泄水应防止沿板和梁漫流。空箱式挡土墙箱内的积淤应适时清除；</w:t>
      </w:r>
    </w:p>
    <w:p w14:paraId="21400C9D">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（3）经常露出水面的底部钢筋混凝土构件，应因地制宜采取适当的保护措施，防止腐蚀和受冻；</w:t>
      </w:r>
    </w:p>
    <w:p w14:paraId="353E483B">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（4）钢筋的混凝土保护层受到侵蚀损坏时；混凝土结构脱壳、剥落和机械损坏时；混凝土结构的渗漏时；伸缩缝填料如有流失时；查明成因应及时汇报。</w:t>
      </w:r>
    </w:p>
    <w:p w14:paraId="011A63F8">
      <w:pPr>
        <w:keepNext w:val="0"/>
        <w:keepLines w:val="0"/>
        <w:pageBreakBefore w:val="0"/>
        <w:widowControl/>
        <w:tabs>
          <w:tab w:val="left" w:pos="0"/>
        </w:tabs>
        <w:kinsoku/>
        <w:wordWrap/>
        <w:overflowPunct/>
        <w:topLinePunct w:val="0"/>
        <w:autoSpaceDE/>
        <w:autoSpaceDN/>
        <w:bidi w:val="0"/>
        <w:adjustRightInd/>
        <w:snapToGrid/>
        <w:spacing w:after="0" w:line="360"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八、机埠设施设备特别检查</w:t>
      </w:r>
    </w:p>
    <w:p w14:paraId="0CCD23EA">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水机埠站设施设备当出现严重自然灾害或重大运行事故后，对泵闸存在的问题与薄弱环节进行重点检查，特别检查不列入设施设备检查率表，检查内容包括：</w:t>
      </w:r>
    </w:p>
    <w:p w14:paraId="056473C6">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（一）特别检查除经常检查项目外，应着重检查泵闸设施设备的受损部位和易损易坏部件。</w:t>
      </w:r>
    </w:p>
    <w:p w14:paraId="4CAC3480">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（二）除以肉眼和简单工具检查外，必要时还应进行仪器探查。</w:t>
      </w:r>
    </w:p>
    <w:p w14:paraId="48BF50DA">
      <w:pPr>
        <w:keepNext w:val="0"/>
        <w:keepLines w:val="0"/>
        <w:pageBreakBefore w:val="0"/>
        <w:widowControl/>
        <w:tabs>
          <w:tab w:val="left" w:pos="0"/>
        </w:tabs>
        <w:kinsoku/>
        <w:wordWrap/>
        <w:overflowPunct/>
        <w:topLinePunct w:val="0"/>
        <w:autoSpaceDE/>
        <w:autoSpaceDN/>
        <w:bidi w:val="0"/>
        <w:adjustRightInd/>
        <w:snapToGrid/>
        <w:spacing w:after="0" w:line="360" w:lineRule="auto"/>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九、设施设备检查保养周期</w:t>
      </w:r>
    </w:p>
    <w:p w14:paraId="7001E344">
      <w:pPr>
        <w:keepNext w:val="0"/>
        <w:keepLines w:val="0"/>
        <w:pageBreakBefore w:val="0"/>
        <w:widowControl/>
        <w:tabs>
          <w:tab w:val="left" w:pos="0"/>
        </w:tabs>
        <w:kinsoku/>
        <w:wordWrap/>
        <w:overflowPunct/>
        <w:topLinePunct w:val="0"/>
        <w:autoSpaceDE/>
        <w:autoSpaceDN/>
        <w:bidi w:val="0"/>
        <w:adjustRightInd/>
        <w:snapToGrid/>
        <w:spacing w:after="0" w:line="360" w:lineRule="auto"/>
        <w:ind w:firstLine="48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（一）设施设备检查周期表</w:t>
      </w:r>
    </w:p>
    <w:tbl>
      <w:tblPr>
        <w:tblStyle w:val="62"/>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273"/>
        <w:gridCol w:w="1329"/>
        <w:gridCol w:w="2322"/>
        <w:gridCol w:w="3053"/>
      </w:tblGrid>
      <w:tr w14:paraId="1848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1" w:type="dxa"/>
            <w:noWrap w:val="0"/>
            <w:vAlign w:val="center"/>
          </w:tcPr>
          <w:p w14:paraId="7CD0FC28">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名称</w:t>
            </w:r>
          </w:p>
        </w:tc>
        <w:tc>
          <w:tcPr>
            <w:tcW w:w="1273" w:type="dxa"/>
            <w:noWrap w:val="0"/>
            <w:vAlign w:val="center"/>
          </w:tcPr>
          <w:p w14:paraId="67F7CFBB">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分 类</w:t>
            </w:r>
          </w:p>
        </w:tc>
        <w:tc>
          <w:tcPr>
            <w:tcW w:w="1329" w:type="dxa"/>
            <w:noWrap w:val="0"/>
            <w:vAlign w:val="center"/>
          </w:tcPr>
          <w:p w14:paraId="62D9BADD">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类 别</w:t>
            </w:r>
          </w:p>
        </w:tc>
        <w:tc>
          <w:tcPr>
            <w:tcW w:w="2322" w:type="dxa"/>
            <w:noWrap w:val="0"/>
            <w:vAlign w:val="top"/>
          </w:tcPr>
          <w:p w14:paraId="425CBA9C">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检查率</w:t>
            </w:r>
          </w:p>
        </w:tc>
        <w:tc>
          <w:tcPr>
            <w:tcW w:w="3053" w:type="dxa"/>
            <w:noWrap w:val="0"/>
            <w:vAlign w:val="top"/>
          </w:tcPr>
          <w:p w14:paraId="7846BD89">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检查具体内容</w:t>
            </w:r>
          </w:p>
        </w:tc>
      </w:tr>
      <w:tr w14:paraId="65AA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81" w:type="dxa"/>
            <w:noWrap w:val="0"/>
            <w:vAlign w:val="center"/>
          </w:tcPr>
          <w:p w14:paraId="5E82A2A7">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水泵</w:t>
            </w:r>
          </w:p>
        </w:tc>
        <w:tc>
          <w:tcPr>
            <w:tcW w:w="1273" w:type="dxa"/>
            <w:noWrap w:val="0"/>
            <w:vAlign w:val="center"/>
          </w:tcPr>
          <w:p w14:paraId="34DF16AA">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主水泵</w:t>
            </w:r>
          </w:p>
        </w:tc>
        <w:tc>
          <w:tcPr>
            <w:tcW w:w="1329" w:type="dxa"/>
            <w:noWrap w:val="0"/>
            <w:vAlign w:val="center"/>
          </w:tcPr>
          <w:p w14:paraId="4B3863C5">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经常检查</w:t>
            </w:r>
          </w:p>
        </w:tc>
        <w:tc>
          <w:tcPr>
            <w:tcW w:w="2322" w:type="dxa"/>
            <w:noWrap w:val="0"/>
            <w:vAlign w:val="center"/>
          </w:tcPr>
          <w:p w14:paraId="65EC2418">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每周一次</w:t>
            </w:r>
          </w:p>
        </w:tc>
        <w:tc>
          <w:tcPr>
            <w:tcW w:w="3053" w:type="dxa"/>
            <w:noWrap w:val="0"/>
            <w:vAlign w:val="center"/>
          </w:tcPr>
          <w:p w14:paraId="17AD07E9">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pacing w:val="-20"/>
                <w:sz w:val="24"/>
                <w:szCs w:val="24"/>
                <w:highlight w:val="none"/>
              </w:rPr>
            </w:pPr>
            <w:r>
              <w:rPr>
                <w:rFonts w:hint="eastAsia" w:ascii="仿宋" w:hAnsi="仿宋" w:eastAsia="仿宋" w:cs="仿宋"/>
                <w:bCs/>
                <w:spacing w:val="-20"/>
                <w:sz w:val="24"/>
                <w:szCs w:val="24"/>
                <w:highlight w:val="none"/>
              </w:rPr>
              <w:t>参照水泵经常检查</w:t>
            </w:r>
          </w:p>
        </w:tc>
      </w:tr>
      <w:tr w14:paraId="4B5F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81" w:type="dxa"/>
            <w:vMerge w:val="restart"/>
            <w:noWrap w:val="0"/>
            <w:vAlign w:val="center"/>
          </w:tcPr>
          <w:p w14:paraId="78F82C71">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闸门</w:t>
            </w:r>
          </w:p>
        </w:tc>
        <w:tc>
          <w:tcPr>
            <w:tcW w:w="1273" w:type="dxa"/>
            <w:vMerge w:val="restart"/>
            <w:noWrap w:val="0"/>
            <w:vAlign w:val="center"/>
          </w:tcPr>
          <w:p w14:paraId="1CE99E38">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闸门及其它金属结构</w:t>
            </w:r>
          </w:p>
        </w:tc>
        <w:tc>
          <w:tcPr>
            <w:tcW w:w="1329" w:type="dxa"/>
            <w:noWrap w:val="0"/>
            <w:vAlign w:val="center"/>
          </w:tcPr>
          <w:p w14:paraId="0708ACEA">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经常检查</w:t>
            </w:r>
          </w:p>
        </w:tc>
        <w:tc>
          <w:tcPr>
            <w:tcW w:w="2322" w:type="dxa"/>
            <w:noWrap w:val="0"/>
            <w:vAlign w:val="center"/>
          </w:tcPr>
          <w:p w14:paraId="42E407F2">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每周一次</w:t>
            </w:r>
          </w:p>
        </w:tc>
        <w:tc>
          <w:tcPr>
            <w:tcW w:w="3053" w:type="dxa"/>
            <w:noWrap w:val="0"/>
            <w:vAlign w:val="center"/>
          </w:tcPr>
          <w:p w14:paraId="73D4E86C">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pacing w:val="-20"/>
                <w:sz w:val="24"/>
                <w:szCs w:val="24"/>
                <w:highlight w:val="none"/>
              </w:rPr>
            </w:pPr>
            <w:r>
              <w:rPr>
                <w:rFonts w:hint="eastAsia" w:ascii="仿宋" w:hAnsi="仿宋" w:eastAsia="仿宋" w:cs="仿宋"/>
                <w:bCs/>
                <w:spacing w:val="-20"/>
                <w:sz w:val="24"/>
                <w:szCs w:val="24"/>
                <w:highlight w:val="none"/>
              </w:rPr>
              <w:t>参照闸门及其它金属结构的经常检查</w:t>
            </w:r>
          </w:p>
        </w:tc>
      </w:tr>
      <w:tr w14:paraId="0B41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81" w:type="dxa"/>
            <w:vMerge w:val="continue"/>
            <w:noWrap w:val="0"/>
            <w:vAlign w:val="center"/>
          </w:tcPr>
          <w:p w14:paraId="1D77648F">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273" w:type="dxa"/>
            <w:vMerge w:val="continue"/>
            <w:noWrap w:val="0"/>
            <w:vAlign w:val="center"/>
          </w:tcPr>
          <w:p w14:paraId="705AE538">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329" w:type="dxa"/>
            <w:noWrap w:val="0"/>
            <w:vAlign w:val="center"/>
          </w:tcPr>
          <w:p w14:paraId="79A049B3">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定期检查</w:t>
            </w:r>
          </w:p>
        </w:tc>
        <w:tc>
          <w:tcPr>
            <w:tcW w:w="2322" w:type="dxa"/>
            <w:noWrap w:val="0"/>
            <w:vAlign w:val="center"/>
          </w:tcPr>
          <w:p w14:paraId="7C43F805">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每年二次</w:t>
            </w:r>
          </w:p>
        </w:tc>
        <w:tc>
          <w:tcPr>
            <w:tcW w:w="3053" w:type="dxa"/>
            <w:noWrap w:val="0"/>
            <w:vAlign w:val="center"/>
          </w:tcPr>
          <w:p w14:paraId="07E56F69">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pacing w:val="-20"/>
                <w:sz w:val="24"/>
                <w:szCs w:val="24"/>
                <w:highlight w:val="none"/>
              </w:rPr>
              <w:t>参照闸门及其它金属结构的定期检查</w:t>
            </w:r>
          </w:p>
        </w:tc>
      </w:tr>
      <w:tr w14:paraId="688C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1" w:type="dxa"/>
            <w:vMerge w:val="restart"/>
            <w:noWrap w:val="0"/>
            <w:vAlign w:val="center"/>
          </w:tcPr>
          <w:p w14:paraId="16E966D5">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启闭机</w:t>
            </w:r>
          </w:p>
        </w:tc>
        <w:tc>
          <w:tcPr>
            <w:tcW w:w="1273" w:type="dxa"/>
            <w:vMerge w:val="restart"/>
            <w:noWrap w:val="0"/>
            <w:vAlign w:val="center"/>
          </w:tcPr>
          <w:p w14:paraId="1B28A085">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闸门启闭机</w:t>
            </w:r>
          </w:p>
        </w:tc>
        <w:tc>
          <w:tcPr>
            <w:tcW w:w="1329" w:type="dxa"/>
            <w:noWrap w:val="0"/>
            <w:vAlign w:val="center"/>
          </w:tcPr>
          <w:p w14:paraId="4077805B">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经常检查</w:t>
            </w:r>
          </w:p>
        </w:tc>
        <w:tc>
          <w:tcPr>
            <w:tcW w:w="2322" w:type="dxa"/>
            <w:noWrap w:val="0"/>
            <w:vAlign w:val="center"/>
          </w:tcPr>
          <w:p w14:paraId="7127115C">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每周一次</w:t>
            </w:r>
          </w:p>
        </w:tc>
        <w:tc>
          <w:tcPr>
            <w:tcW w:w="3053" w:type="dxa"/>
            <w:noWrap w:val="0"/>
            <w:vAlign w:val="center"/>
          </w:tcPr>
          <w:p w14:paraId="097851C8">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参照闸门启闭机的经常检查</w:t>
            </w:r>
          </w:p>
        </w:tc>
      </w:tr>
      <w:tr w14:paraId="3849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81" w:type="dxa"/>
            <w:vMerge w:val="continue"/>
            <w:noWrap w:val="0"/>
            <w:vAlign w:val="center"/>
          </w:tcPr>
          <w:p w14:paraId="4A856D17">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273" w:type="dxa"/>
            <w:vMerge w:val="continue"/>
            <w:noWrap w:val="0"/>
            <w:vAlign w:val="center"/>
          </w:tcPr>
          <w:p w14:paraId="1B64E04B">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329" w:type="dxa"/>
            <w:noWrap w:val="0"/>
            <w:vAlign w:val="center"/>
          </w:tcPr>
          <w:p w14:paraId="34473609">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定期检查</w:t>
            </w:r>
          </w:p>
        </w:tc>
        <w:tc>
          <w:tcPr>
            <w:tcW w:w="2322" w:type="dxa"/>
            <w:noWrap w:val="0"/>
            <w:vAlign w:val="center"/>
          </w:tcPr>
          <w:p w14:paraId="1DE9B37E">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每年二次</w:t>
            </w:r>
          </w:p>
        </w:tc>
        <w:tc>
          <w:tcPr>
            <w:tcW w:w="3053" w:type="dxa"/>
            <w:noWrap w:val="0"/>
            <w:vAlign w:val="center"/>
          </w:tcPr>
          <w:p w14:paraId="1B9841F7">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pacing w:val="-20"/>
                <w:sz w:val="24"/>
                <w:szCs w:val="24"/>
                <w:highlight w:val="none"/>
              </w:rPr>
              <w:t>参照启闭机的定期检查与定期保养</w:t>
            </w:r>
          </w:p>
        </w:tc>
      </w:tr>
      <w:tr w14:paraId="4DEF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1" w:type="dxa"/>
            <w:vMerge w:val="restart"/>
            <w:noWrap w:val="0"/>
            <w:vAlign w:val="center"/>
          </w:tcPr>
          <w:p w14:paraId="755FA43E">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电气设备</w:t>
            </w:r>
          </w:p>
        </w:tc>
        <w:tc>
          <w:tcPr>
            <w:tcW w:w="1273" w:type="dxa"/>
            <w:vMerge w:val="restart"/>
            <w:noWrap w:val="0"/>
            <w:vAlign w:val="center"/>
          </w:tcPr>
          <w:p w14:paraId="07D67802">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高压设备</w:t>
            </w:r>
          </w:p>
        </w:tc>
        <w:tc>
          <w:tcPr>
            <w:tcW w:w="1329" w:type="dxa"/>
            <w:noWrap w:val="0"/>
            <w:vAlign w:val="center"/>
          </w:tcPr>
          <w:p w14:paraId="2B123019">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巡视检查</w:t>
            </w:r>
          </w:p>
        </w:tc>
        <w:tc>
          <w:tcPr>
            <w:tcW w:w="2322" w:type="dxa"/>
            <w:noWrap w:val="0"/>
            <w:vAlign w:val="center"/>
          </w:tcPr>
          <w:p w14:paraId="4E25BC41">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每周一次</w:t>
            </w:r>
          </w:p>
        </w:tc>
        <w:tc>
          <w:tcPr>
            <w:tcW w:w="3053" w:type="dxa"/>
            <w:vMerge w:val="restart"/>
            <w:noWrap w:val="0"/>
            <w:vAlign w:val="center"/>
          </w:tcPr>
          <w:p w14:paraId="12D5E62D">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参照电气设备巡视检查</w:t>
            </w:r>
          </w:p>
        </w:tc>
      </w:tr>
      <w:tr w14:paraId="20CE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81" w:type="dxa"/>
            <w:vMerge w:val="continue"/>
            <w:noWrap w:val="0"/>
            <w:textDirection w:val="tbRlV"/>
            <w:vAlign w:val="center"/>
          </w:tcPr>
          <w:p w14:paraId="4E1576D3">
            <w:pPr>
              <w:keepNext w:val="0"/>
              <w:keepLines w:val="0"/>
              <w:pageBreakBefore w:val="0"/>
              <w:widowControl/>
              <w:kinsoku/>
              <w:wordWrap/>
              <w:overflowPunct/>
              <w:topLinePunct w:val="0"/>
              <w:autoSpaceDE/>
              <w:autoSpaceDN/>
              <w:bidi w:val="0"/>
              <w:adjustRightInd/>
              <w:spacing w:before="120" w:line="360" w:lineRule="auto"/>
              <w:ind w:left="113" w:right="113"/>
              <w:jc w:val="center"/>
              <w:textAlignment w:val="auto"/>
              <w:rPr>
                <w:rFonts w:hint="eastAsia" w:ascii="仿宋" w:hAnsi="仿宋" w:eastAsia="仿宋" w:cs="仿宋"/>
                <w:bCs/>
                <w:sz w:val="24"/>
                <w:szCs w:val="24"/>
                <w:highlight w:val="none"/>
              </w:rPr>
            </w:pPr>
          </w:p>
        </w:tc>
        <w:tc>
          <w:tcPr>
            <w:tcW w:w="1273" w:type="dxa"/>
            <w:vMerge w:val="continue"/>
            <w:noWrap w:val="0"/>
            <w:vAlign w:val="center"/>
          </w:tcPr>
          <w:p w14:paraId="5D1A20A2">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329" w:type="dxa"/>
            <w:noWrap w:val="0"/>
            <w:vAlign w:val="center"/>
          </w:tcPr>
          <w:p w14:paraId="6FFBFB04">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日常检查</w:t>
            </w:r>
          </w:p>
        </w:tc>
        <w:tc>
          <w:tcPr>
            <w:tcW w:w="2322" w:type="dxa"/>
            <w:noWrap w:val="0"/>
            <w:vAlign w:val="center"/>
          </w:tcPr>
          <w:p w14:paraId="5BFA740B">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每月二次</w:t>
            </w:r>
          </w:p>
        </w:tc>
        <w:tc>
          <w:tcPr>
            <w:tcW w:w="3053" w:type="dxa"/>
            <w:vMerge w:val="continue"/>
            <w:noWrap w:val="0"/>
            <w:vAlign w:val="center"/>
          </w:tcPr>
          <w:p w14:paraId="691DD65C">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r>
      <w:tr w14:paraId="3859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81" w:type="dxa"/>
            <w:vMerge w:val="continue"/>
            <w:noWrap w:val="0"/>
            <w:textDirection w:val="tbRlV"/>
            <w:vAlign w:val="center"/>
          </w:tcPr>
          <w:p w14:paraId="0B847A28">
            <w:pPr>
              <w:keepNext w:val="0"/>
              <w:keepLines w:val="0"/>
              <w:pageBreakBefore w:val="0"/>
              <w:widowControl/>
              <w:kinsoku/>
              <w:wordWrap/>
              <w:overflowPunct/>
              <w:topLinePunct w:val="0"/>
              <w:autoSpaceDE/>
              <w:autoSpaceDN/>
              <w:bidi w:val="0"/>
              <w:adjustRightInd/>
              <w:spacing w:before="120" w:line="360" w:lineRule="auto"/>
              <w:ind w:left="113" w:right="113"/>
              <w:jc w:val="center"/>
              <w:textAlignment w:val="auto"/>
              <w:rPr>
                <w:rFonts w:hint="eastAsia" w:ascii="仿宋" w:hAnsi="仿宋" w:eastAsia="仿宋" w:cs="仿宋"/>
                <w:bCs/>
                <w:sz w:val="24"/>
                <w:szCs w:val="24"/>
                <w:highlight w:val="none"/>
              </w:rPr>
            </w:pPr>
          </w:p>
        </w:tc>
        <w:tc>
          <w:tcPr>
            <w:tcW w:w="1273" w:type="dxa"/>
            <w:vMerge w:val="continue"/>
            <w:noWrap w:val="0"/>
            <w:vAlign w:val="center"/>
          </w:tcPr>
          <w:p w14:paraId="36FBBE74">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329" w:type="dxa"/>
            <w:noWrap w:val="0"/>
            <w:vAlign w:val="center"/>
          </w:tcPr>
          <w:p w14:paraId="759478B6">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定期检查</w:t>
            </w:r>
          </w:p>
        </w:tc>
        <w:tc>
          <w:tcPr>
            <w:tcW w:w="2322" w:type="dxa"/>
            <w:noWrap w:val="0"/>
            <w:vAlign w:val="center"/>
          </w:tcPr>
          <w:p w14:paraId="470B9C57">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每年二次</w:t>
            </w:r>
          </w:p>
        </w:tc>
        <w:tc>
          <w:tcPr>
            <w:tcW w:w="3053" w:type="dxa"/>
            <w:vMerge w:val="continue"/>
            <w:noWrap w:val="0"/>
            <w:vAlign w:val="center"/>
          </w:tcPr>
          <w:p w14:paraId="76E1C025">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r>
      <w:tr w14:paraId="318B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noWrap w:val="0"/>
            <w:vAlign w:val="center"/>
          </w:tcPr>
          <w:p w14:paraId="23A986A1">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273" w:type="dxa"/>
            <w:noWrap w:val="0"/>
            <w:vAlign w:val="center"/>
          </w:tcPr>
          <w:p w14:paraId="788DAF96">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电缆</w:t>
            </w:r>
          </w:p>
        </w:tc>
        <w:tc>
          <w:tcPr>
            <w:tcW w:w="1329" w:type="dxa"/>
            <w:noWrap w:val="0"/>
            <w:vAlign w:val="center"/>
          </w:tcPr>
          <w:p w14:paraId="2C96E8B3">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定期检查</w:t>
            </w:r>
          </w:p>
        </w:tc>
        <w:tc>
          <w:tcPr>
            <w:tcW w:w="2322" w:type="dxa"/>
            <w:noWrap w:val="0"/>
            <w:vAlign w:val="center"/>
          </w:tcPr>
          <w:p w14:paraId="07519A47">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每年二次</w:t>
            </w:r>
          </w:p>
        </w:tc>
        <w:tc>
          <w:tcPr>
            <w:tcW w:w="3053" w:type="dxa"/>
            <w:vMerge w:val="restart"/>
            <w:noWrap w:val="0"/>
            <w:vAlign w:val="center"/>
          </w:tcPr>
          <w:p w14:paraId="1AF99C5F">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参照电缆线路及桥架的检查与保养</w:t>
            </w:r>
          </w:p>
        </w:tc>
      </w:tr>
      <w:tr w14:paraId="5F88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noWrap w:val="0"/>
            <w:vAlign w:val="center"/>
          </w:tcPr>
          <w:p w14:paraId="568E3EE5">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273" w:type="dxa"/>
            <w:noWrap w:val="0"/>
            <w:vAlign w:val="center"/>
          </w:tcPr>
          <w:p w14:paraId="2AA3E146">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桥架</w:t>
            </w:r>
          </w:p>
        </w:tc>
        <w:tc>
          <w:tcPr>
            <w:tcW w:w="1329" w:type="dxa"/>
            <w:noWrap w:val="0"/>
            <w:vAlign w:val="center"/>
          </w:tcPr>
          <w:p w14:paraId="7981008D">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定期检查</w:t>
            </w:r>
          </w:p>
        </w:tc>
        <w:tc>
          <w:tcPr>
            <w:tcW w:w="2322" w:type="dxa"/>
            <w:noWrap w:val="0"/>
            <w:vAlign w:val="center"/>
          </w:tcPr>
          <w:p w14:paraId="13DE6AF4">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每年一次</w:t>
            </w:r>
          </w:p>
        </w:tc>
        <w:tc>
          <w:tcPr>
            <w:tcW w:w="3053" w:type="dxa"/>
            <w:vMerge w:val="continue"/>
            <w:noWrap w:val="0"/>
            <w:vAlign w:val="center"/>
          </w:tcPr>
          <w:p w14:paraId="6458810B">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r>
      <w:tr w14:paraId="1605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noWrap w:val="0"/>
            <w:vAlign w:val="center"/>
          </w:tcPr>
          <w:p w14:paraId="6EE03D8D">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273" w:type="dxa"/>
            <w:vMerge w:val="restart"/>
            <w:noWrap w:val="0"/>
            <w:vAlign w:val="center"/>
          </w:tcPr>
          <w:p w14:paraId="03A882A4">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防雷与接地</w:t>
            </w:r>
          </w:p>
        </w:tc>
        <w:tc>
          <w:tcPr>
            <w:tcW w:w="1329" w:type="dxa"/>
            <w:noWrap w:val="0"/>
            <w:vAlign w:val="center"/>
          </w:tcPr>
          <w:p w14:paraId="6706C59E">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定期检查</w:t>
            </w:r>
          </w:p>
        </w:tc>
        <w:tc>
          <w:tcPr>
            <w:tcW w:w="2322" w:type="dxa"/>
            <w:noWrap w:val="0"/>
            <w:vAlign w:val="center"/>
          </w:tcPr>
          <w:p w14:paraId="7839E436">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每年二次</w:t>
            </w:r>
          </w:p>
        </w:tc>
        <w:tc>
          <w:tcPr>
            <w:tcW w:w="3053" w:type="dxa"/>
            <w:noWrap w:val="0"/>
            <w:vAlign w:val="center"/>
          </w:tcPr>
          <w:p w14:paraId="44863856">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参照防雷和接地装置的日常检查与保养</w:t>
            </w:r>
          </w:p>
        </w:tc>
      </w:tr>
      <w:tr w14:paraId="421A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noWrap w:val="0"/>
            <w:vAlign w:val="center"/>
          </w:tcPr>
          <w:p w14:paraId="12987191">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273" w:type="dxa"/>
            <w:vMerge w:val="continue"/>
            <w:noWrap w:val="0"/>
            <w:vAlign w:val="center"/>
          </w:tcPr>
          <w:p w14:paraId="4BF211FC">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3651" w:type="dxa"/>
            <w:gridSpan w:val="2"/>
            <w:noWrap w:val="0"/>
            <w:vAlign w:val="center"/>
          </w:tcPr>
          <w:p w14:paraId="3ABEFAA0">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在雷雨季节时，防雷装置的巡视检查每月一次，雷电后应增加特殊检查</w:t>
            </w:r>
          </w:p>
        </w:tc>
        <w:tc>
          <w:tcPr>
            <w:tcW w:w="3053" w:type="dxa"/>
            <w:noWrap w:val="0"/>
            <w:vAlign w:val="center"/>
          </w:tcPr>
          <w:p w14:paraId="0C6AD510">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r>
      <w:tr w14:paraId="0618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1" w:type="dxa"/>
            <w:vMerge w:val="continue"/>
            <w:noWrap w:val="0"/>
            <w:vAlign w:val="center"/>
          </w:tcPr>
          <w:p w14:paraId="747623DC">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273" w:type="dxa"/>
            <w:vMerge w:val="restart"/>
            <w:noWrap w:val="0"/>
            <w:vAlign w:val="center"/>
          </w:tcPr>
          <w:p w14:paraId="2D8B6329">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低压设备</w:t>
            </w:r>
          </w:p>
        </w:tc>
        <w:tc>
          <w:tcPr>
            <w:tcW w:w="1329" w:type="dxa"/>
            <w:noWrap w:val="0"/>
            <w:vAlign w:val="center"/>
          </w:tcPr>
          <w:p w14:paraId="1129BD1F">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巡视检查</w:t>
            </w:r>
          </w:p>
        </w:tc>
        <w:tc>
          <w:tcPr>
            <w:tcW w:w="2322" w:type="dxa"/>
            <w:noWrap w:val="0"/>
            <w:vAlign w:val="center"/>
          </w:tcPr>
          <w:p w14:paraId="39D903F9">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每天一次</w:t>
            </w:r>
          </w:p>
        </w:tc>
        <w:tc>
          <w:tcPr>
            <w:tcW w:w="3053" w:type="dxa"/>
            <w:vMerge w:val="restart"/>
            <w:noWrap w:val="0"/>
            <w:vAlign w:val="center"/>
          </w:tcPr>
          <w:p w14:paraId="0BCC4AB7">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参照电气设备巡视检查</w:t>
            </w:r>
          </w:p>
        </w:tc>
      </w:tr>
      <w:tr w14:paraId="6541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981" w:type="dxa"/>
            <w:vMerge w:val="continue"/>
            <w:noWrap w:val="0"/>
            <w:vAlign w:val="center"/>
          </w:tcPr>
          <w:p w14:paraId="3D9BAA9F">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273" w:type="dxa"/>
            <w:vMerge w:val="continue"/>
            <w:noWrap w:val="0"/>
            <w:vAlign w:val="center"/>
          </w:tcPr>
          <w:p w14:paraId="4DB2EDF6">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329" w:type="dxa"/>
            <w:noWrap w:val="0"/>
            <w:vAlign w:val="center"/>
          </w:tcPr>
          <w:p w14:paraId="327F8704">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日常检查</w:t>
            </w:r>
          </w:p>
        </w:tc>
        <w:tc>
          <w:tcPr>
            <w:tcW w:w="2322" w:type="dxa"/>
            <w:noWrap w:val="0"/>
            <w:vAlign w:val="center"/>
          </w:tcPr>
          <w:p w14:paraId="23F2FE03">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每周一次</w:t>
            </w:r>
          </w:p>
        </w:tc>
        <w:tc>
          <w:tcPr>
            <w:tcW w:w="3053" w:type="dxa"/>
            <w:vMerge w:val="continue"/>
            <w:noWrap w:val="0"/>
            <w:vAlign w:val="center"/>
          </w:tcPr>
          <w:p w14:paraId="4E69269D">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r>
      <w:tr w14:paraId="1B63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81" w:type="dxa"/>
            <w:vMerge w:val="continue"/>
            <w:noWrap w:val="0"/>
            <w:vAlign w:val="center"/>
          </w:tcPr>
          <w:p w14:paraId="024358C0">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273" w:type="dxa"/>
            <w:vMerge w:val="continue"/>
            <w:noWrap w:val="0"/>
            <w:vAlign w:val="center"/>
          </w:tcPr>
          <w:p w14:paraId="496B5BFB">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329" w:type="dxa"/>
            <w:noWrap w:val="0"/>
            <w:vAlign w:val="center"/>
          </w:tcPr>
          <w:p w14:paraId="386BB3BB">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定期检查</w:t>
            </w:r>
          </w:p>
        </w:tc>
        <w:tc>
          <w:tcPr>
            <w:tcW w:w="2322" w:type="dxa"/>
            <w:noWrap w:val="0"/>
            <w:vAlign w:val="center"/>
          </w:tcPr>
          <w:p w14:paraId="2BF00201">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每年二次</w:t>
            </w:r>
          </w:p>
        </w:tc>
        <w:tc>
          <w:tcPr>
            <w:tcW w:w="3053" w:type="dxa"/>
            <w:vMerge w:val="continue"/>
            <w:noWrap w:val="0"/>
            <w:vAlign w:val="center"/>
          </w:tcPr>
          <w:p w14:paraId="42BB712C">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r>
      <w:tr w14:paraId="1492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noWrap w:val="0"/>
            <w:vAlign w:val="center"/>
          </w:tcPr>
          <w:p w14:paraId="29C313A6">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273" w:type="dxa"/>
            <w:noWrap w:val="0"/>
            <w:vAlign w:val="center"/>
          </w:tcPr>
          <w:p w14:paraId="3A2A1177">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柴油发电机</w:t>
            </w:r>
          </w:p>
        </w:tc>
        <w:tc>
          <w:tcPr>
            <w:tcW w:w="1329" w:type="dxa"/>
            <w:noWrap w:val="0"/>
            <w:vAlign w:val="center"/>
          </w:tcPr>
          <w:p w14:paraId="0B5FAD41">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日常检查</w:t>
            </w:r>
          </w:p>
        </w:tc>
        <w:tc>
          <w:tcPr>
            <w:tcW w:w="2322" w:type="dxa"/>
            <w:noWrap w:val="0"/>
            <w:vAlign w:val="center"/>
          </w:tcPr>
          <w:p w14:paraId="45ACEDB7">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每周一次</w:t>
            </w:r>
          </w:p>
        </w:tc>
        <w:tc>
          <w:tcPr>
            <w:tcW w:w="3053" w:type="dxa"/>
            <w:noWrap w:val="0"/>
            <w:vAlign w:val="center"/>
          </w:tcPr>
          <w:p w14:paraId="246850F0">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参照柴油发电机日常检查</w:t>
            </w:r>
          </w:p>
        </w:tc>
      </w:tr>
      <w:tr w14:paraId="6F4B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81" w:type="dxa"/>
            <w:vMerge w:val="restart"/>
            <w:noWrap w:val="0"/>
            <w:vAlign w:val="center"/>
          </w:tcPr>
          <w:p w14:paraId="15886D38">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控制系统与仪表</w:t>
            </w:r>
          </w:p>
        </w:tc>
        <w:tc>
          <w:tcPr>
            <w:tcW w:w="1273" w:type="dxa"/>
            <w:noWrap w:val="0"/>
            <w:vAlign w:val="center"/>
          </w:tcPr>
          <w:p w14:paraId="70C819A6">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pacing w:val="-20"/>
                <w:sz w:val="24"/>
                <w:szCs w:val="24"/>
                <w:highlight w:val="none"/>
              </w:rPr>
            </w:pPr>
            <w:r>
              <w:rPr>
                <w:rFonts w:hint="eastAsia" w:ascii="仿宋" w:hAnsi="仿宋" w:eastAsia="仿宋" w:cs="仿宋"/>
                <w:bCs/>
                <w:spacing w:val="-20"/>
                <w:sz w:val="24"/>
                <w:szCs w:val="24"/>
                <w:highlight w:val="none"/>
              </w:rPr>
              <w:t>低压控制设备</w:t>
            </w:r>
          </w:p>
        </w:tc>
        <w:tc>
          <w:tcPr>
            <w:tcW w:w="1329" w:type="dxa"/>
            <w:noWrap w:val="0"/>
            <w:vAlign w:val="center"/>
          </w:tcPr>
          <w:p w14:paraId="3CFC851A">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日常检查</w:t>
            </w:r>
          </w:p>
        </w:tc>
        <w:tc>
          <w:tcPr>
            <w:tcW w:w="2322" w:type="dxa"/>
            <w:noWrap w:val="0"/>
            <w:vAlign w:val="center"/>
          </w:tcPr>
          <w:p w14:paraId="1B0A8432">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每周一次</w:t>
            </w:r>
          </w:p>
        </w:tc>
        <w:tc>
          <w:tcPr>
            <w:tcW w:w="3053" w:type="dxa"/>
            <w:noWrap w:val="0"/>
            <w:vAlign w:val="center"/>
          </w:tcPr>
          <w:p w14:paraId="446C0D99">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参照自控系统的日常检查</w:t>
            </w:r>
          </w:p>
        </w:tc>
      </w:tr>
      <w:tr w14:paraId="32AF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noWrap w:val="0"/>
            <w:vAlign w:val="center"/>
          </w:tcPr>
          <w:p w14:paraId="2D202C7A">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273" w:type="dxa"/>
            <w:noWrap w:val="0"/>
            <w:vAlign w:val="center"/>
          </w:tcPr>
          <w:p w14:paraId="24C9942E">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自控系统</w:t>
            </w:r>
          </w:p>
        </w:tc>
        <w:tc>
          <w:tcPr>
            <w:tcW w:w="1329" w:type="dxa"/>
            <w:noWrap w:val="0"/>
            <w:vAlign w:val="center"/>
          </w:tcPr>
          <w:p w14:paraId="38E8E779">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日常检查</w:t>
            </w:r>
          </w:p>
        </w:tc>
        <w:tc>
          <w:tcPr>
            <w:tcW w:w="2322" w:type="dxa"/>
            <w:noWrap w:val="0"/>
            <w:vAlign w:val="center"/>
          </w:tcPr>
          <w:p w14:paraId="1E06186A">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每周一次</w:t>
            </w:r>
          </w:p>
        </w:tc>
        <w:tc>
          <w:tcPr>
            <w:tcW w:w="3053" w:type="dxa"/>
            <w:noWrap w:val="0"/>
            <w:vAlign w:val="center"/>
          </w:tcPr>
          <w:p w14:paraId="7804E4C9">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参照自控系统的日常检查</w:t>
            </w:r>
          </w:p>
        </w:tc>
      </w:tr>
      <w:tr w14:paraId="0C14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continue"/>
            <w:noWrap w:val="0"/>
            <w:vAlign w:val="center"/>
          </w:tcPr>
          <w:p w14:paraId="5E530AE3">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273" w:type="dxa"/>
            <w:noWrap w:val="0"/>
            <w:vAlign w:val="center"/>
          </w:tcPr>
          <w:p w14:paraId="3635E553">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检测仪表</w:t>
            </w:r>
          </w:p>
        </w:tc>
        <w:tc>
          <w:tcPr>
            <w:tcW w:w="1329" w:type="dxa"/>
            <w:noWrap w:val="0"/>
            <w:vAlign w:val="center"/>
          </w:tcPr>
          <w:p w14:paraId="622FB53D">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日常检查</w:t>
            </w:r>
          </w:p>
        </w:tc>
        <w:tc>
          <w:tcPr>
            <w:tcW w:w="2322" w:type="dxa"/>
            <w:noWrap w:val="0"/>
            <w:vAlign w:val="center"/>
          </w:tcPr>
          <w:p w14:paraId="668FE05F">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每周一次</w:t>
            </w:r>
          </w:p>
        </w:tc>
        <w:tc>
          <w:tcPr>
            <w:tcW w:w="3053" w:type="dxa"/>
            <w:noWrap w:val="0"/>
            <w:vAlign w:val="center"/>
          </w:tcPr>
          <w:p w14:paraId="7236D27F">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参照检测仪表的日常检查</w:t>
            </w:r>
          </w:p>
        </w:tc>
      </w:tr>
      <w:tr w14:paraId="762F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1" w:type="dxa"/>
            <w:vMerge w:val="restart"/>
            <w:noWrap w:val="0"/>
            <w:vAlign w:val="center"/>
          </w:tcPr>
          <w:p w14:paraId="133BE3FF">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pacing w:val="-20"/>
                <w:sz w:val="24"/>
                <w:szCs w:val="24"/>
                <w:highlight w:val="none"/>
              </w:rPr>
            </w:pPr>
            <w:r>
              <w:rPr>
                <w:rFonts w:hint="eastAsia" w:ascii="仿宋" w:hAnsi="仿宋" w:eastAsia="仿宋" w:cs="仿宋"/>
                <w:bCs/>
                <w:spacing w:val="-20"/>
                <w:sz w:val="24"/>
                <w:szCs w:val="24"/>
                <w:highlight w:val="none"/>
              </w:rPr>
              <w:t>水工建筑物</w:t>
            </w:r>
          </w:p>
        </w:tc>
        <w:tc>
          <w:tcPr>
            <w:tcW w:w="1273" w:type="dxa"/>
            <w:noWrap w:val="0"/>
            <w:vAlign w:val="center"/>
          </w:tcPr>
          <w:p w14:paraId="6AF9C6B4">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石工建筑物</w:t>
            </w:r>
          </w:p>
        </w:tc>
        <w:tc>
          <w:tcPr>
            <w:tcW w:w="1329" w:type="dxa"/>
            <w:noWrap w:val="0"/>
            <w:vAlign w:val="center"/>
          </w:tcPr>
          <w:p w14:paraId="4A601070">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日常检查</w:t>
            </w:r>
          </w:p>
        </w:tc>
        <w:tc>
          <w:tcPr>
            <w:tcW w:w="2322" w:type="dxa"/>
            <w:noWrap w:val="0"/>
            <w:vAlign w:val="center"/>
          </w:tcPr>
          <w:p w14:paraId="085FD9B6">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每月一次</w:t>
            </w:r>
          </w:p>
        </w:tc>
        <w:tc>
          <w:tcPr>
            <w:tcW w:w="3053" w:type="dxa"/>
            <w:noWrap w:val="0"/>
            <w:vAlign w:val="center"/>
          </w:tcPr>
          <w:p w14:paraId="052E2690">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参照石工建筑物的日常检查</w:t>
            </w:r>
          </w:p>
        </w:tc>
      </w:tr>
      <w:tr w14:paraId="6831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81" w:type="dxa"/>
            <w:vMerge w:val="continue"/>
            <w:noWrap w:val="0"/>
            <w:vAlign w:val="center"/>
          </w:tcPr>
          <w:p w14:paraId="1EC7E37C">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273" w:type="dxa"/>
            <w:noWrap w:val="0"/>
            <w:vAlign w:val="center"/>
          </w:tcPr>
          <w:p w14:paraId="1EEA534F">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pacing w:val="-20"/>
                <w:sz w:val="24"/>
                <w:szCs w:val="24"/>
                <w:highlight w:val="none"/>
              </w:rPr>
              <w:t>混凝土建筑物</w:t>
            </w:r>
          </w:p>
        </w:tc>
        <w:tc>
          <w:tcPr>
            <w:tcW w:w="1329" w:type="dxa"/>
            <w:noWrap w:val="0"/>
            <w:vAlign w:val="center"/>
          </w:tcPr>
          <w:p w14:paraId="4BE2B75D">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日常检查</w:t>
            </w:r>
          </w:p>
        </w:tc>
        <w:tc>
          <w:tcPr>
            <w:tcW w:w="2322" w:type="dxa"/>
            <w:noWrap w:val="0"/>
            <w:vAlign w:val="center"/>
          </w:tcPr>
          <w:p w14:paraId="490099A7">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每月一次</w:t>
            </w:r>
          </w:p>
        </w:tc>
        <w:tc>
          <w:tcPr>
            <w:tcW w:w="3053" w:type="dxa"/>
            <w:noWrap w:val="0"/>
            <w:vAlign w:val="center"/>
          </w:tcPr>
          <w:p w14:paraId="7E5B7063">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参照混凝土建筑物的日常检查</w:t>
            </w:r>
          </w:p>
        </w:tc>
      </w:tr>
      <w:tr w14:paraId="5A08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254" w:type="dxa"/>
            <w:gridSpan w:val="2"/>
            <w:vMerge w:val="restart"/>
            <w:noWrap w:val="0"/>
            <w:vAlign w:val="center"/>
          </w:tcPr>
          <w:p w14:paraId="5B85A212">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pacing w:val="-20"/>
                <w:sz w:val="24"/>
                <w:szCs w:val="24"/>
                <w:highlight w:val="none"/>
              </w:rPr>
            </w:pPr>
            <w:r>
              <w:rPr>
                <w:rFonts w:hint="eastAsia" w:ascii="仿宋" w:hAnsi="仿宋" w:eastAsia="仿宋" w:cs="仿宋"/>
                <w:bCs/>
                <w:sz w:val="24"/>
                <w:szCs w:val="24"/>
                <w:highlight w:val="none"/>
              </w:rPr>
              <w:t>原型观测</w:t>
            </w:r>
          </w:p>
        </w:tc>
        <w:tc>
          <w:tcPr>
            <w:tcW w:w="1329" w:type="dxa"/>
            <w:noWrap w:val="0"/>
            <w:vAlign w:val="center"/>
          </w:tcPr>
          <w:p w14:paraId="5263755E">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巡视检查</w:t>
            </w:r>
          </w:p>
        </w:tc>
        <w:tc>
          <w:tcPr>
            <w:tcW w:w="2322" w:type="dxa"/>
            <w:noWrap w:val="0"/>
            <w:vAlign w:val="center"/>
          </w:tcPr>
          <w:p w14:paraId="47698F93">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每天一次</w:t>
            </w:r>
          </w:p>
        </w:tc>
        <w:tc>
          <w:tcPr>
            <w:tcW w:w="3053" w:type="dxa"/>
            <w:noWrap w:val="0"/>
            <w:vAlign w:val="center"/>
          </w:tcPr>
          <w:p w14:paraId="79B10882">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r>
      <w:tr w14:paraId="1CDE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254" w:type="dxa"/>
            <w:gridSpan w:val="2"/>
            <w:vMerge w:val="continue"/>
            <w:noWrap w:val="0"/>
            <w:vAlign w:val="center"/>
          </w:tcPr>
          <w:p w14:paraId="3724A714">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pacing w:val="-20"/>
                <w:sz w:val="24"/>
                <w:szCs w:val="24"/>
                <w:highlight w:val="none"/>
              </w:rPr>
            </w:pPr>
          </w:p>
        </w:tc>
        <w:tc>
          <w:tcPr>
            <w:tcW w:w="1329" w:type="dxa"/>
            <w:noWrap w:val="0"/>
            <w:vAlign w:val="center"/>
          </w:tcPr>
          <w:p w14:paraId="31A0F534">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日常检查</w:t>
            </w:r>
          </w:p>
        </w:tc>
        <w:tc>
          <w:tcPr>
            <w:tcW w:w="2322" w:type="dxa"/>
            <w:noWrap w:val="0"/>
            <w:vAlign w:val="center"/>
          </w:tcPr>
          <w:p w14:paraId="05D80DA6">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每周一次</w:t>
            </w:r>
          </w:p>
        </w:tc>
        <w:tc>
          <w:tcPr>
            <w:tcW w:w="3053" w:type="dxa"/>
            <w:noWrap w:val="0"/>
            <w:vAlign w:val="center"/>
          </w:tcPr>
          <w:p w14:paraId="35AEC390">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r>
      <w:tr w14:paraId="0D30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254" w:type="dxa"/>
            <w:gridSpan w:val="2"/>
            <w:vMerge w:val="continue"/>
            <w:noWrap w:val="0"/>
            <w:vAlign w:val="center"/>
          </w:tcPr>
          <w:p w14:paraId="4DE7BBDB">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pacing w:val="-20"/>
                <w:sz w:val="24"/>
                <w:szCs w:val="24"/>
                <w:highlight w:val="none"/>
              </w:rPr>
            </w:pPr>
          </w:p>
        </w:tc>
        <w:tc>
          <w:tcPr>
            <w:tcW w:w="1329" w:type="dxa"/>
            <w:noWrap w:val="0"/>
            <w:vAlign w:val="center"/>
          </w:tcPr>
          <w:p w14:paraId="1D26BB92">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定期检查</w:t>
            </w:r>
          </w:p>
        </w:tc>
        <w:tc>
          <w:tcPr>
            <w:tcW w:w="2322" w:type="dxa"/>
            <w:noWrap w:val="0"/>
            <w:vAlign w:val="center"/>
          </w:tcPr>
          <w:p w14:paraId="5B605219">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每年二次</w:t>
            </w:r>
          </w:p>
        </w:tc>
        <w:tc>
          <w:tcPr>
            <w:tcW w:w="3053" w:type="dxa"/>
            <w:noWrap w:val="0"/>
            <w:vAlign w:val="center"/>
          </w:tcPr>
          <w:p w14:paraId="7D296FF9">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r>
    </w:tbl>
    <w:p w14:paraId="42160441">
      <w:pPr>
        <w:keepNext w:val="0"/>
        <w:keepLines w:val="0"/>
        <w:pageBreakBefore w:val="0"/>
        <w:widowControl/>
        <w:kinsoku/>
        <w:wordWrap/>
        <w:overflowPunct/>
        <w:topLinePunct w:val="0"/>
        <w:autoSpaceDE/>
        <w:autoSpaceDN/>
        <w:bidi w:val="0"/>
        <w:adjustRightInd/>
        <w:spacing w:line="360" w:lineRule="auto"/>
        <w:textAlignment w:val="auto"/>
        <w:rPr>
          <w:rFonts w:hint="eastAsia" w:ascii="仿宋" w:hAnsi="仿宋" w:eastAsia="仿宋" w:cs="仿宋"/>
          <w:b/>
          <w:sz w:val="24"/>
          <w:szCs w:val="24"/>
          <w:highlight w:val="none"/>
          <w:shd w:val="pct10" w:color="auto" w:fill="FFFFFF"/>
        </w:rPr>
      </w:pPr>
    </w:p>
    <w:p w14:paraId="4CABA23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（二）设施设备保养周期表</w:t>
      </w:r>
    </w:p>
    <w:tbl>
      <w:tblPr>
        <w:tblStyle w:val="62"/>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603"/>
        <w:gridCol w:w="1426"/>
        <w:gridCol w:w="2135"/>
        <w:gridCol w:w="2998"/>
      </w:tblGrid>
      <w:tr w14:paraId="06C6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35" w:type="dxa"/>
            <w:noWrap w:val="0"/>
            <w:vAlign w:val="center"/>
          </w:tcPr>
          <w:p w14:paraId="218BC25A">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名称</w:t>
            </w:r>
          </w:p>
        </w:tc>
        <w:tc>
          <w:tcPr>
            <w:tcW w:w="1603" w:type="dxa"/>
            <w:noWrap w:val="0"/>
            <w:vAlign w:val="center"/>
          </w:tcPr>
          <w:p w14:paraId="79F85F80">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分 类</w:t>
            </w:r>
          </w:p>
        </w:tc>
        <w:tc>
          <w:tcPr>
            <w:tcW w:w="1426" w:type="dxa"/>
            <w:noWrap w:val="0"/>
            <w:vAlign w:val="center"/>
          </w:tcPr>
          <w:p w14:paraId="595375E2">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类 别</w:t>
            </w:r>
          </w:p>
        </w:tc>
        <w:tc>
          <w:tcPr>
            <w:tcW w:w="2135" w:type="dxa"/>
            <w:noWrap w:val="0"/>
            <w:vAlign w:val="center"/>
          </w:tcPr>
          <w:p w14:paraId="469C25D6">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保养率</w:t>
            </w:r>
          </w:p>
        </w:tc>
        <w:tc>
          <w:tcPr>
            <w:tcW w:w="2998" w:type="dxa"/>
            <w:noWrap w:val="0"/>
            <w:vAlign w:val="center"/>
          </w:tcPr>
          <w:p w14:paraId="5732BCCD">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保养具体内容</w:t>
            </w:r>
          </w:p>
        </w:tc>
      </w:tr>
      <w:tr w14:paraId="442D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35" w:type="dxa"/>
            <w:noWrap w:val="0"/>
            <w:vAlign w:val="center"/>
          </w:tcPr>
          <w:p w14:paraId="76B78B6A">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闸门</w:t>
            </w:r>
          </w:p>
        </w:tc>
        <w:tc>
          <w:tcPr>
            <w:tcW w:w="1603" w:type="dxa"/>
            <w:noWrap w:val="0"/>
            <w:vAlign w:val="center"/>
          </w:tcPr>
          <w:p w14:paraId="419F0475">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闸门及其它金属结构</w:t>
            </w:r>
          </w:p>
        </w:tc>
        <w:tc>
          <w:tcPr>
            <w:tcW w:w="1426" w:type="dxa"/>
            <w:noWrap w:val="0"/>
            <w:vAlign w:val="center"/>
          </w:tcPr>
          <w:p w14:paraId="3FA21CD5">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日常保养</w:t>
            </w:r>
          </w:p>
        </w:tc>
        <w:tc>
          <w:tcPr>
            <w:tcW w:w="2135" w:type="dxa"/>
            <w:noWrap w:val="0"/>
            <w:vAlign w:val="center"/>
          </w:tcPr>
          <w:p w14:paraId="58839A3B">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每月二次</w:t>
            </w:r>
          </w:p>
        </w:tc>
        <w:tc>
          <w:tcPr>
            <w:tcW w:w="2998" w:type="dxa"/>
            <w:noWrap w:val="0"/>
            <w:vAlign w:val="center"/>
          </w:tcPr>
          <w:p w14:paraId="53B7D7F4">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pacing w:val="-20"/>
                <w:sz w:val="24"/>
                <w:szCs w:val="24"/>
                <w:highlight w:val="none"/>
              </w:rPr>
              <w:t>参照闸门及其它金属结构的保养</w:t>
            </w:r>
          </w:p>
        </w:tc>
      </w:tr>
      <w:tr w14:paraId="391C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35" w:type="dxa"/>
            <w:vMerge w:val="restart"/>
            <w:noWrap w:val="0"/>
            <w:vAlign w:val="center"/>
          </w:tcPr>
          <w:p w14:paraId="71EBE95B">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启闭机</w:t>
            </w:r>
          </w:p>
        </w:tc>
        <w:tc>
          <w:tcPr>
            <w:tcW w:w="1603" w:type="dxa"/>
            <w:vMerge w:val="restart"/>
            <w:noWrap w:val="0"/>
            <w:vAlign w:val="center"/>
          </w:tcPr>
          <w:p w14:paraId="2FE40DA0">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闸门启闭机</w:t>
            </w:r>
          </w:p>
        </w:tc>
        <w:tc>
          <w:tcPr>
            <w:tcW w:w="1426" w:type="dxa"/>
            <w:noWrap w:val="0"/>
            <w:vAlign w:val="center"/>
          </w:tcPr>
          <w:p w14:paraId="295D7AC3">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经常保养</w:t>
            </w:r>
          </w:p>
        </w:tc>
        <w:tc>
          <w:tcPr>
            <w:tcW w:w="2135" w:type="dxa"/>
            <w:noWrap w:val="0"/>
            <w:vAlign w:val="center"/>
          </w:tcPr>
          <w:p w14:paraId="3CA0316D">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每周一次</w:t>
            </w:r>
          </w:p>
        </w:tc>
        <w:tc>
          <w:tcPr>
            <w:tcW w:w="2998" w:type="dxa"/>
            <w:noWrap w:val="0"/>
            <w:vAlign w:val="center"/>
          </w:tcPr>
          <w:p w14:paraId="2D59F996">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参照闸门启闭机的经常保养</w:t>
            </w:r>
          </w:p>
        </w:tc>
      </w:tr>
      <w:tr w14:paraId="29AA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35" w:type="dxa"/>
            <w:vMerge w:val="continue"/>
            <w:noWrap w:val="0"/>
            <w:vAlign w:val="center"/>
          </w:tcPr>
          <w:p w14:paraId="7AF9CC0A">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603" w:type="dxa"/>
            <w:vMerge w:val="continue"/>
            <w:noWrap w:val="0"/>
            <w:vAlign w:val="center"/>
          </w:tcPr>
          <w:p w14:paraId="4EE118F8">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426" w:type="dxa"/>
            <w:noWrap w:val="0"/>
            <w:vAlign w:val="center"/>
          </w:tcPr>
          <w:p w14:paraId="30C1B48D">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定期保养</w:t>
            </w:r>
          </w:p>
        </w:tc>
        <w:tc>
          <w:tcPr>
            <w:tcW w:w="2135" w:type="dxa"/>
            <w:noWrap w:val="0"/>
            <w:vAlign w:val="center"/>
          </w:tcPr>
          <w:p w14:paraId="41B054AC">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每年二次</w:t>
            </w:r>
          </w:p>
        </w:tc>
        <w:tc>
          <w:tcPr>
            <w:tcW w:w="2998" w:type="dxa"/>
            <w:noWrap w:val="0"/>
            <w:vAlign w:val="center"/>
          </w:tcPr>
          <w:p w14:paraId="08834050">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参照启闭机的定期检查与定期保养</w:t>
            </w:r>
          </w:p>
        </w:tc>
      </w:tr>
      <w:tr w14:paraId="09A0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35" w:type="dxa"/>
            <w:vMerge w:val="restart"/>
            <w:noWrap w:val="0"/>
            <w:vAlign w:val="center"/>
          </w:tcPr>
          <w:p w14:paraId="79ED0098">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电气设备</w:t>
            </w:r>
          </w:p>
        </w:tc>
        <w:tc>
          <w:tcPr>
            <w:tcW w:w="1603" w:type="dxa"/>
            <w:vMerge w:val="restart"/>
            <w:noWrap w:val="0"/>
            <w:vAlign w:val="center"/>
          </w:tcPr>
          <w:p w14:paraId="6C405D29">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高压设备</w:t>
            </w:r>
          </w:p>
        </w:tc>
        <w:tc>
          <w:tcPr>
            <w:tcW w:w="1426" w:type="dxa"/>
            <w:noWrap w:val="0"/>
            <w:vAlign w:val="center"/>
          </w:tcPr>
          <w:p w14:paraId="584AF8ED">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pacing w:val="-20"/>
                <w:sz w:val="24"/>
                <w:szCs w:val="24"/>
                <w:highlight w:val="none"/>
              </w:rPr>
            </w:pPr>
            <w:r>
              <w:rPr>
                <w:rFonts w:hint="eastAsia" w:ascii="仿宋" w:hAnsi="仿宋" w:eastAsia="仿宋" w:cs="仿宋"/>
                <w:bCs/>
                <w:sz w:val="24"/>
                <w:szCs w:val="24"/>
                <w:highlight w:val="none"/>
              </w:rPr>
              <w:t>日常保养</w:t>
            </w:r>
          </w:p>
        </w:tc>
        <w:tc>
          <w:tcPr>
            <w:tcW w:w="2135" w:type="dxa"/>
            <w:noWrap w:val="0"/>
            <w:vAlign w:val="center"/>
          </w:tcPr>
          <w:p w14:paraId="68CED97F">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每月二次</w:t>
            </w:r>
          </w:p>
        </w:tc>
        <w:tc>
          <w:tcPr>
            <w:tcW w:w="2998" w:type="dxa"/>
            <w:vMerge w:val="restart"/>
            <w:noWrap w:val="0"/>
            <w:vAlign w:val="center"/>
          </w:tcPr>
          <w:p w14:paraId="7A9D9C32">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参照高压设备的日常保养</w:t>
            </w:r>
          </w:p>
        </w:tc>
      </w:tr>
      <w:tr w14:paraId="4356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35" w:type="dxa"/>
            <w:vMerge w:val="continue"/>
            <w:noWrap w:val="0"/>
            <w:textDirection w:val="tbRlV"/>
            <w:vAlign w:val="center"/>
          </w:tcPr>
          <w:p w14:paraId="2BF8B1F8">
            <w:pPr>
              <w:keepNext w:val="0"/>
              <w:keepLines w:val="0"/>
              <w:pageBreakBefore w:val="0"/>
              <w:widowControl/>
              <w:kinsoku/>
              <w:wordWrap/>
              <w:overflowPunct/>
              <w:topLinePunct w:val="0"/>
              <w:autoSpaceDE/>
              <w:autoSpaceDN/>
              <w:bidi w:val="0"/>
              <w:adjustRightInd/>
              <w:spacing w:before="120" w:line="360" w:lineRule="auto"/>
              <w:ind w:left="113" w:right="113"/>
              <w:jc w:val="center"/>
              <w:textAlignment w:val="auto"/>
              <w:rPr>
                <w:rFonts w:hint="eastAsia" w:ascii="仿宋" w:hAnsi="仿宋" w:eastAsia="仿宋" w:cs="仿宋"/>
                <w:bCs/>
                <w:sz w:val="24"/>
                <w:szCs w:val="24"/>
                <w:highlight w:val="none"/>
              </w:rPr>
            </w:pPr>
          </w:p>
        </w:tc>
        <w:tc>
          <w:tcPr>
            <w:tcW w:w="1603" w:type="dxa"/>
            <w:vMerge w:val="continue"/>
            <w:noWrap w:val="0"/>
            <w:vAlign w:val="center"/>
          </w:tcPr>
          <w:p w14:paraId="44C7EFF7">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426" w:type="dxa"/>
            <w:noWrap w:val="0"/>
            <w:vAlign w:val="center"/>
          </w:tcPr>
          <w:p w14:paraId="59A830E1">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定期保养</w:t>
            </w:r>
          </w:p>
        </w:tc>
        <w:tc>
          <w:tcPr>
            <w:tcW w:w="2135" w:type="dxa"/>
            <w:noWrap w:val="0"/>
            <w:vAlign w:val="center"/>
          </w:tcPr>
          <w:p w14:paraId="1953202A">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每年二次</w:t>
            </w:r>
          </w:p>
        </w:tc>
        <w:tc>
          <w:tcPr>
            <w:tcW w:w="2998" w:type="dxa"/>
            <w:vMerge w:val="continue"/>
            <w:noWrap w:val="0"/>
            <w:vAlign w:val="center"/>
          </w:tcPr>
          <w:p w14:paraId="461A5874">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r>
      <w:tr w14:paraId="735F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35" w:type="dxa"/>
            <w:vMerge w:val="continue"/>
            <w:noWrap w:val="0"/>
            <w:vAlign w:val="center"/>
          </w:tcPr>
          <w:p w14:paraId="7707803B">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603" w:type="dxa"/>
            <w:vMerge w:val="continue"/>
            <w:noWrap w:val="0"/>
            <w:vAlign w:val="center"/>
          </w:tcPr>
          <w:p w14:paraId="69CF299A">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3561" w:type="dxa"/>
            <w:gridSpan w:val="2"/>
            <w:noWrap w:val="0"/>
            <w:vAlign w:val="center"/>
          </w:tcPr>
          <w:p w14:paraId="1A9AFC27">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高压电气设备的预防性试验每二年一次</w:t>
            </w:r>
          </w:p>
        </w:tc>
        <w:tc>
          <w:tcPr>
            <w:tcW w:w="2998" w:type="dxa"/>
            <w:vMerge w:val="restart"/>
            <w:noWrap w:val="0"/>
            <w:vAlign w:val="center"/>
          </w:tcPr>
          <w:p w14:paraId="19EAEB19">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参照电缆线路及桥架的检查与保养</w:t>
            </w:r>
          </w:p>
        </w:tc>
      </w:tr>
      <w:tr w14:paraId="6BBD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35" w:type="dxa"/>
            <w:vMerge w:val="continue"/>
            <w:noWrap w:val="0"/>
            <w:vAlign w:val="center"/>
          </w:tcPr>
          <w:p w14:paraId="052C36D5">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603" w:type="dxa"/>
            <w:noWrap w:val="0"/>
            <w:vAlign w:val="center"/>
          </w:tcPr>
          <w:p w14:paraId="77455148">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电缆</w:t>
            </w:r>
          </w:p>
        </w:tc>
        <w:tc>
          <w:tcPr>
            <w:tcW w:w="1426" w:type="dxa"/>
            <w:noWrap w:val="0"/>
            <w:vAlign w:val="center"/>
          </w:tcPr>
          <w:p w14:paraId="61251D59">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定期保养</w:t>
            </w:r>
          </w:p>
        </w:tc>
        <w:tc>
          <w:tcPr>
            <w:tcW w:w="2135" w:type="dxa"/>
            <w:noWrap w:val="0"/>
            <w:vAlign w:val="center"/>
          </w:tcPr>
          <w:p w14:paraId="336FD59F">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每年二次</w:t>
            </w:r>
          </w:p>
        </w:tc>
        <w:tc>
          <w:tcPr>
            <w:tcW w:w="2998" w:type="dxa"/>
            <w:vMerge w:val="continue"/>
            <w:noWrap w:val="0"/>
            <w:vAlign w:val="center"/>
          </w:tcPr>
          <w:p w14:paraId="0931E170">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r>
      <w:tr w14:paraId="0C07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35" w:type="dxa"/>
            <w:vMerge w:val="continue"/>
            <w:noWrap w:val="0"/>
            <w:vAlign w:val="center"/>
          </w:tcPr>
          <w:p w14:paraId="667F66F1">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603" w:type="dxa"/>
            <w:noWrap w:val="0"/>
            <w:vAlign w:val="center"/>
          </w:tcPr>
          <w:p w14:paraId="6A0E51D0">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桥架</w:t>
            </w:r>
          </w:p>
        </w:tc>
        <w:tc>
          <w:tcPr>
            <w:tcW w:w="1426" w:type="dxa"/>
            <w:noWrap w:val="0"/>
            <w:vAlign w:val="center"/>
          </w:tcPr>
          <w:p w14:paraId="61D6AD6F">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定期保养</w:t>
            </w:r>
          </w:p>
        </w:tc>
        <w:tc>
          <w:tcPr>
            <w:tcW w:w="2135" w:type="dxa"/>
            <w:noWrap w:val="0"/>
            <w:vAlign w:val="center"/>
          </w:tcPr>
          <w:p w14:paraId="07312D13">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每年一次</w:t>
            </w:r>
          </w:p>
        </w:tc>
        <w:tc>
          <w:tcPr>
            <w:tcW w:w="2998" w:type="dxa"/>
            <w:vMerge w:val="continue"/>
            <w:noWrap w:val="0"/>
            <w:vAlign w:val="center"/>
          </w:tcPr>
          <w:p w14:paraId="0B613A46">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r>
      <w:tr w14:paraId="5C58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35" w:type="dxa"/>
            <w:vMerge w:val="continue"/>
            <w:noWrap w:val="0"/>
            <w:vAlign w:val="center"/>
          </w:tcPr>
          <w:p w14:paraId="5B4B5275">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603" w:type="dxa"/>
            <w:vMerge w:val="restart"/>
            <w:noWrap w:val="0"/>
            <w:vAlign w:val="center"/>
          </w:tcPr>
          <w:p w14:paraId="7CD3AC01">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防雷与接地</w:t>
            </w:r>
          </w:p>
        </w:tc>
        <w:tc>
          <w:tcPr>
            <w:tcW w:w="1426" w:type="dxa"/>
            <w:noWrap w:val="0"/>
            <w:vAlign w:val="center"/>
          </w:tcPr>
          <w:p w14:paraId="0E01C945">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定期保养</w:t>
            </w:r>
          </w:p>
        </w:tc>
        <w:tc>
          <w:tcPr>
            <w:tcW w:w="2135" w:type="dxa"/>
            <w:noWrap w:val="0"/>
            <w:vAlign w:val="center"/>
          </w:tcPr>
          <w:p w14:paraId="44D7D547">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每年二次</w:t>
            </w:r>
          </w:p>
        </w:tc>
        <w:tc>
          <w:tcPr>
            <w:tcW w:w="2998" w:type="dxa"/>
            <w:vMerge w:val="restart"/>
            <w:noWrap w:val="0"/>
            <w:vAlign w:val="center"/>
          </w:tcPr>
          <w:p w14:paraId="00EFBC2B">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参照防雷和接地装置的日常检查与保养</w:t>
            </w:r>
          </w:p>
        </w:tc>
      </w:tr>
      <w:tr w14:paraId="2B9D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35" w:type="dxa"/>
            <w:vMerge w:val="continue"/>
            <w:noWrap w:val="0"/>
            <w:vAlign w:val="center"/>
          </w:tcPr>
          <w:p w14:paraId="62AFB7FE">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603" w:type="dxa"/>
            <w:vMerge w:val="continue"/>
            <w:noWrap w:val="0"/>
            <w:vAlign w:val="center"/>
          </w:tcPr>
          <w:p w14:paraId="1EC2F61C">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3561" w:type="dxa"/>
            <w:gridSpan w:val="2"/>
            <w:noWrap w:val="0"/>
            <w:vAlign w:val="center"/>
          </w:tcPr>
          <w:p w14:paraId="43EFA108">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每年一次在雷雨季节前对避雷器与接地装置做预防性试验；</w:t>
            </w:r>
          </w:p>
        </w:tc>
        <w:tc>
          <w:tcPr>
            <w:tcW w:w="2998" w:type="dxa"/>
            <w:vMerge w:val="continue"/>
            <w:noWrap w:val="0"/>
            <w:vAlign w:val="center"/>
          </w:tcPr>
          <w:p w14:paraId="63C65A13">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r>
      <w:tr w14:paraId="4875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35" w:type="dxa"/>
            <w:vMerge w:val="continue"/>
            <w:noWrap w:val="0"/>
            <w:vAlign w:val="center"/>
          </w:tcPr>
          <w:p w14:paraId="2DF650AC">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603" w:type="dxa"/>
            <w:vMerge w:val="restart"/>
            <w:noWrap w:val="0"/>
            <w:vAlign w:val="center"/>
          </w:tcPr>
          <w:p w14:paraId="7746CAAC">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pacing w:val="-20"/>
                <w:sz w:val="24"/>
                <w:szCs w:val="24"/>
                <w:highlight w:val="none"/>
              </w:rPr>
            </w:pPr>
            <w:r>
              <w:rPr>
                <w:rFonts w:hint="eastAsia" w:ascii="仿宋" w:hAnsi="仿宋" w:eastAsia="仿宋" w:cs="仿宋"/>
                <w:bCs/>
                <w:spacing w:val="-20"/>
                <w:sz w:val="24"/>
                <w:szCs w:val="24"/>
                <w:highlight w:val="none"/>
              </w:rPr>
              <w:t>低压设备</w:t>
            </w:r>
          </w:p>
        </w:tc>
        <w:tc>
          <w:tcPr>
            <w:tcW w:w="1426" w:type="dxa"/>
            <w:noWrap w:val="0"/>
            <w:vAlign w:val="center"/>
          </w:tcPr>
          <w:p w14:paraId="0F89D80C">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日常保养</w:t>
            </w:r>
          </w:p>
        </w:tc>
        <w:tc>
          <w:tcPr>
            <w:tcW w:w="2135" w:type="dxa"/>
            <w:noWrap w:val="0"/>
            <w:vAlign w:val="center"/>
          </w:tcPr>
          <w:p w14:paraId="5A00240F">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每月二次</w:t>
            </w:r>
          </w:p>
        </w:tc>
        <w:tc>
          <w:tcPr>
            <w:tcW w:w="2998" w:type="dxa"/>
            <w:vMerge w:val="restart"/>
            <w:noWrap w:val="0"/>
            <w:vAlign w:val="center"/>
          </w:tcPr>
          <w:p w14:paraId="24B2176C">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参照低压配电设备的日常保养</w:t>
            </w:r>
          </w:p>
        </w:tc>
      </w:tr>
      <w:tr w14:paraId="038A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35" w:type="dxa"/>
            <w:vMerge w:val="continue"/>
            <w:noWrap w:val="0"/>
            <w:vAlign w:val="center"/>
          </w:tcPr>
          <w:p w14:paraId="4EBAE569">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603" w:type="dxa"/>
            <w:vMerge w:val="continue"/>
            <w:noWrap w:val="0"/>
            <w:vAlign w:val="center"/>
          </w:tcPr>
          <w:p w14:paraId="54761183">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pacing w:val="-20"/>
                <w:sz w:val="24"/>
                <w:szCs w:val="24"/>
                <w:highlight w:val="none"/>
              </w:rPr>
            </w:pPr>
          </w:p>
        </w:tc>
        <w:tc>
          <w:tcPr>
            <w:tcW w:w="1426" w:type="dxa"/>
            <w:noWrap w:val="0"/>
            <w:vAlign w:val="center"/>
          </w:tcPr>
          <w:p w14:paraId="449FDA98">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定期保养</w:t>
            </w:r>
          </w:p>
        </w:tc>
        <w:tc>
          <w:tcPr>
            <w:tcW w:w="2135" w:type="dxa"/>
            <w:noWrap w:val="0"/>
            <w:vAlign w:val="center"/>
          </w:tcPr>
          <w:p w14:paraId="17CDC93B">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每年二次</w:t>
            </w:r>
          </w:p>
        </w:tc>
        <w:tc>
          <w:tcPr>
            <w:tcW w:w="2998" w:type="dxa"/>
            <w:vMerge w:val="continue"/>
            <w:noWrap w:val="0"/>
            <w:vAlign w:val="center"/>
          </w:tcPr>
          <w:p w14:paraId="0381B0B6">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r>
      <w:tr w14:paraId="6B69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35" w:type="dxa"/>
            <w:vMerge w:val="continue"/>
            <w:noWrap w:val="0"/>
            <w:vAlign w:val="center"/>
          </w:tcPr>
          <w:p w14:paraId="02C4325C">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603" w:type="dxa"/>
            <w:noWrap w:val="0"/>
            <w:vAlign w:val="center"/>
          </w:tcPr>
          <w:p w14:paraId="1044C111">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柴油发电机</w:t>
            </w:r>
          </w:p>
        </w:tc>
        <w:tc>
          <w:tcPr>
            <w:tcW w:w="1426" w:type="dxa"/>
            <w:noWrap w:val="0"/>
            <w:vAlign w:val="center"/>
          </w:tcPr>
          <w:p w14:paraId="6B077579">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日常保养</w:t>
            </w:r>
          </w:p>
        </w:tc>
        <w:tc>
          <w:tcPr>
            <w:tcW w:w="2135" w:type="dxa"/>
            <w:noWrap w:val="0"/>
            <w:vAlign w:val="center"/>
          </w:tcPr>
          <w:p w14:paraId="3878C736">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每月一次</w:t>
            </w:r>
          </w:p>
        </w:tc>
        <w:tc>
          <w:tcPr>
            <w:tcW w:w="2998" w:type="dxa"/>
            <w:noWrap w:val="0"/>
            <w:vAlign w:val="center"/>
          </w:tcPr>
          <w:p w14:paraId="091B7ECE">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参照柴油发电机日常保养</w:t>
            </w:r>
          </w:p>
        </w:tc>
      </w:tr>
      <w:tr w14:paraId="39D8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35" w:type="dxa"/>
            <w:vMerge w:val="restart"/>
            <w:noWrap w:val="0"/>
            <w:vAlign w:val="center"/>
          </w:tcPr>
          <w:p w14:paraId="5B601E9D">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控制系统与仪表</w:t>
            </w:r>
          </w:p>
        </w:tc>
        <w:tc>
          <w:tcPr>
            <w:tcW w:w="1603" w:type="dxa"/>
            <w:noWrap w:val="0"/>
            <w:vAlign w:val="center"/>
          </w:tcPr>
          <w:p w14:paraId="061AC80B">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pacing w:val="-20"/>
                <w:sz w:val="24"/>
                <w:szCs w:val="24"/>
                <w:highlight w:val="none"/>
              </w:rPr>
              <w:t>低压控制设备</w:t>
            </w:r>
          </w:p>
        </w:tc>
        <w:tc>
          <w:tcPr>
            <w:tcW w:w="1426" w:type="dxa"/>
            <w:noWrap w:val="0"/>
            <w:vAlign w:val="center"/>
          </w:tcPr>
          <w:p w14:paraId="4C0414EA">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日常保养</w:t>
            </w:r>
          </w:p>
        </w:tc>
        <w:tc>
          <w:tcPr>
            <w:tcW w:w="2135" w:type="dxa"/>
            <w:noWrap w:val="0"/>
            <w:vAlign w:val="center"/>
          </w:tcPr>
          <w:p w14:paraId="50A6034C">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每月二次</w:t>
            </w:r>
          </w:p>
        </w:tc>
        <w:tc>
          <w:tcPr>
            <w:tcW w:w="2998" w:type="dxa"/>
            <w:noWrap w:val="0"/>
            <w:vAlign w:val="center"/>
          </w:tcPr>
          <w:p w14:paraId="4AAE3229">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参照低压控制设备的日常保养</w:t>
            </w:r>
          </w:p>
        </w:tc>
      </w:tr>
      <w:tr w14:paraId="1F30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35" w:type="dxa"/>
            <w:vMerge w:val="continue"/>
            <w:noWrap w:val="0"/>
            <w:vAlign w:val="center"/>
          </w:tcPr>
          <w:p w14:paraId="57F7C194">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603" w:type="dxa"/>
            <w:noWrap w:val="0"/>
            <w:vAlign w:val="center"/>
          </w:tcPr>
          <w:p w14:paraId="5C92E8C5">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自控系统</w:t>
            </w:r>
          </w:p>
        </w:tc>
        <w:tc>
          <w:tcPr>
            <w:tcW w:w="1426" w:type="dxa"/>
            <w:noWrap w:val="0"/>
            <w:vAlign w:val="center"/>
          </w:tcPr>
          <w:p w14:paraId="61740FCA">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日常保养</w:t>
            </w:r>
          </w:p>
        </w:tc>
        <w:tc>
          <w:tcPr>
            <w:tcW w:w="2135" w:type="dxa"/>
            <w:noWrap w:val="0"/>
            <w:vAlign w:val="center"/>
          </w:tcPr>
          <w:p w14:paraId="73100BCD">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每月一次</w:t>
            </w:r>
          </w:p>
        </w:tc>
        <w:tc>
          <w:tcPr>
            <w:tcW w:w="2998" w:type="dxa"/>
            <w:noWrap w:val="0"/>
            <w:vAlign w:val="center"/>
          </w:tcPr>
          <w:p w14:paraId="6E3EF756">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参照自控系统的日常保养</w:t>
            </w:r>
          </w:p>
        </w:tc>
      </w:tr>
      <w:tr w14:paraId="0104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35" w:type="dxa"/>
            <w:vMerge w:val="continue"/>
            <w:noWrap w:val="0"/>
            <w:vAlign w:val="center"/>
          </w:tcPr>
          <w:p w14:paraId="768D8836">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603" w:type="dxa"/>
            <w:noWrap w:val="0"/>
            <w:vAlign w:val="center"/>
          </w:tcPr>
          <w:p w14:paraId="06F4683D">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检测仪表</w:t>
            </w:r>
          </w:p>
        </w:tc>
        <w:tc>
          <w:tcPr>
            <w:tcW w:w="1426" w:type="dxa"/>
            <w:noWrap w:val="0"/>
            <w:vAlign w:val="center"/>
          </w:tcPr>
          <w:p w14:paraId="5AE30B28">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日常保养</w:t>
            </w:r>
          </w:p>
        </w:tc>
        <w:tc>
          <w:tcPr>
            <w:tcW w:w="2135" w:type="dxa"/>
            <w:noWrap w:val="0"/>
            <w:vAlign w:val="center"/>
          </w:tcPr>
          <w:p w14:paraId="0EBFE33B">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每月一次</w:t>
            </w:r>
          </w:p>
        </w:tc>
        <w:tc>
          <w:tcPr>
            <w:tcW w:w="2998" w:type="dxa"/>
            <w:noWrap w:val="0"/>
            <w:vAlign w:val="center"/>
          </w:tcPr>
          <w:p w14:paraId="7EB4CB5E">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参照检测仪表的日常保养</w:t>
            </w:r>
          </w:p>
        </w:tc>
      </w:tr>
      <w:tr w14:paraId="6B98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35" w:type="dxa"/>
            <w:vMerge w:val="restart"/>
            <w:noWrap w:val="0"/>
            <w:vAlign w:val="center"/>
          </w:tcPr>
          <w:p w14:paraId="6FA4B693">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pacing w:val="-20"/>
                <w:sz w:val="24"/>
                <w:szCs w:val="24"/>
                <w:highlight w:val="none"/>
              </w:rPr>
              <w:t>水工建筑物</w:t>
            </w:r>
          </w:p>
        </w:tc>
        <w:tc>
          <w:tcPr>
            <w:tcW w:w="1603" w:type="dxa"/>
            <w:noWrap w:val="0"/>
            <w:vAlign w:val="center"/>
          </w:tcPr>
          <w:p w14:paraId="4CB09F72">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石工建筑物</w:t>
            </w:r>
          </w:p>
        </w:tc>
        <w:tc>
          <w:tcPr>
            <w:tcW w:w="1426" w:type="dxa"/>
            <w:noWrap w:val="0"/>
            <w:vAlign w:val="center"/>
          </w:tcPr>
          <w:p w14:paraId="7AC2F2FD">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日常保养</w:t>
            </w:r>
          </w:p>
        </w:tc>
        <w:tc>
          <w:tcPr>
            <w:tcW w:w="2135" w:type="dxa"/>
            <w:noWrap w:val="0"/>
            <w:vAlign w:val="center"/>
          </w:tcPr>
          <w:p w14:paraId="498E5848">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每年四次</w:t>
            </w:r>
          </w:p>
        </w:tc>
        <w:tc>
          <w:tcPr>
            <w:tcW w:w="2998" w:type="dxa"/>
            <w:noWrap w:val="0"/>
            <w:vAlign w:val="center"/>
          </w:tcPr>
          <w:p w14:paraId="2EFABED2">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参照石工建筑物的日常保养</w:t>
            </w:r>
          </w:p>
        </w:tc>
      </w:tr>
      <w:tr w14:paraId="1F64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035" w:type="dxa"/>
            <w:vMerge w:val="continue"/>
            <w:noWrap w:val="0"/>
            <w:vAlign w:val="center"/>
          </w:tcPr>
          <w:p w14:paraId="63164220">
            <w:pPr>
              <w:keepNext w:val="0"/>
              <w:keepLines w:val="0"/>
              <w:pageBreakBefore w:val="0"/>
              <w:widowControl/>
              <w:kinsoku/>
              <w:wordWrap/>
              <w:overflowPunct/>
              <w:topLinePunct w:val="0"/>
              <w:autoSpaceDE/>
              <w:autoSpaceDN/>
              <w:bidi w:val="0"/>
              <w:adjustRightInd/>
              <w:spacing w:before="120" w:line="360" w:lineRule="auto"/>
              <w:ind w:left="238"/>
              <w:jc w:val="center"/>
              <w:textAlignment w:val="auto"/>
              <w:rPr>
                <w:rFonts w:hint="eastAsia" w:ascii="仿宋" w:hAnsi="仿宋" w:eastAsia="仿宋" w:cs="仿宋"/>
                <w:bCs/>
                <w:sz w:val="24"/>
                <w:szCs w:val="24"/>
                <w:highlight w:val="none"/>
              </w:rPr>
            </w:pPr>
          </w:p>
        </w:tc>
        <w:tc>
          <w:tcPr>
            <w:tcW w:w="1603" w:type="dxa"/>
            <w:noWrap w:val="0"/>
            <w:vAlign w:val="center"/>
          </w:tcPr>
          <w:p w14:paraId="34E279A0">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pacing w:val="-20"/>
                <w:sz w:val="24"/>
                <w:szCs w:val="24"/>
                <w:highlight w:val="none"/>
              </w:rPr>
              <w:t>混凝土建筑物</w:t>
            </w:r>
          </w:p>
        </w:tc>
        <w:tc>
          <w:tcPr>
            <w:tcW w:w="1426" w:type="dxa"/>
            <w:noWrap w:val="0"/>
            <w:vAlign w:val="center"/>
          </w:tcPr>
          <w:p w14:paraId="65C89BF6">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日常保养</w:t>
            </w:r>
          </w:p>
        </w:tc>
        <w:tc>
          <w:tcPr>
            <w:tcW w:w="2135" w:type="dxa"/>
            <w:noWrap w:val="0"/>
            <w:vAlign w:val="center"/>
          </w:tcPr>
          <w:p w14:paraId="24CABE31">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每年四次</w:t>
            </w:r>
          </w:p>
        </w:tc>
        <w:tc>
          <w:tcPr>
            <w:tcW w:w="2998" w:type="dxa"/>
            <w:noWrap w:val="0"/>
            <w:vAlign w:val="center"/>
          </w:tcPr>
          <w:p w14:paraId="098FCC24">
            <w:pPr>
              <w:keepNext w:val="0"/>
              <w:keepLines w:val="0"/>
              <w:pageBreakBefore w:val="0"/>
              <w:widowControl/>
              <w:kinsoku/>
              <w:wordWrap/>
              <w:overflowPunct/>
              <w:topLinePunct w:val="0"/>
              <w:autoSpaceDE/>
              <w:autoSpaceDN/>
              <w:bidi w:val="0"/>
              <w:adjustRightInd/>
              <w:spacing w:before="12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参照混凝土建筑物的日常保养</w:t>
            </w:r>
          </w:p>
        </w:tc>
      </w:tr>
    </w:tbl>
    <w:p w14:paraId="0D8E6178">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十、相关规程与规范</w:t>
      </w:r>
    </w:p>
    <w:p w14:paraId="0B2960D6">
      <w:pPr>
        <w:keepNext w:val="0"/>
        <w:keepLines w:val="0"/>
        <w:pageBreakBefore w:val="0"/>
        <w:widowControl/>
        <w:kinsoku/>
        <w:wordWrap/>
        <w:overflowPunct/>
        <w:topLinePunct w:val="0"/>
        <w:autoSpaceDE/>
        <w:autoSpaceDN/>
        <w:bidi w:val="0"/>
        <w:adjustRightInd/>
        <w:snapToGrid/>
        <w:spacing w:after="0" w:line="360" w:lineRule="auto"/>
        <w:ind w:left="2" w:leftChars="1" w:right="-105" w:rightChars="-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（一）《水利工程施工质量检验评定标准（试行）》（DGJ08-90-2000）；</w:t>
      </w:r>
    </w:p>
    <w:p w14:paraId="26128D17">
      <w:pPr>
        <w:keepNext w:val="0"/>
        <w:keepLines w:val="0"/>
        <w:pageBreakBefore w:val="0"/>
        <w:widowControl/>
        <w:kinsoku/>
        <w:wordWrap/>
        <w:overflowPunct/>
        <w:topLinePunct w:val="0"/>
        <w:autoSpaceDE/>
        <w:autoSpaceDN/>
        <w:bidi w:val="0"/>
        <w:adjustRightInd/>
        <w:snapToGrid/>
        <w:spacing w:after="0" w:line="360" w:lineRule="auto"/>
        <w:ind w:left="2" w:leftChars="1" w:right="-105" w:rightChars="-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（二）《水利水电工程启闭机制造、安装及验收规范》（DC/T5019-94）；</w:t>
      </w:r>
    </w:p>
    <w:p w14:paraId="238A6A02">
      <w:pPr>
        <w:keepNext w:val="0"/>
        <w:keepLines w:val="0"/>
        <w:pageBreakBefore w:val="0"/>
        <w:widowControl/>
        <w:kinsoku/>
        <w:wordWrap/>
        <w:overflowPunct/>
        <w:topLinePunct w:val="0"/>
        <w:autoSpaceDE/>
        <w:autoSpaceDN/>
        <w:bidi w:val="0"/>
        <w:adjustRightInd/>
        <w:snapToGrid/>
        <w:spacing w:after="0" w:line="360" w:lineRule="auto"/>
        <w:ind w:right="-105" w:rightChars="-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（三）《起重机械监督检验规程》国质检（2002）296号；</w:t>
      </w:r>
    </w:p>
    <w:p w14:paraId="4807BAEB">
      <w:pPr>
        <w:keepNext w:val="0"/>
        <w:keepLines w:val="0"/>
        <w:pageBreakBefore w:val="0"/>
        <w:widowControl/>
        <w:kinsoku/>
        <w:wordWrap/>
        <w:overflowPunct/>
        <w:topLinePunct w:val="0"/>
        <w:autoSpaceDE/>
        <w:autoSpaceDN/>
        <w:bidi w:val="0"/>
        <w:adjustRightInd/>
        <w:snapToGrid/>
        <w:spacing w:after="0" w:line="360" w:lineRule="auto"/>
        <w:ind w:right="-105" w:rightChars="-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（四）《电气设备预防性试验规程》（DL/T596-1996）；</w:t>
      </w:r>
    </w:p>
    <w:p w14:paraId="32318919">
      <w:pPr>
        <w:keepNext w:val="0"/>
        <w:keepLines w:val="0"/>
        <w:pageBreakBefore w:val="0"/>
        <w:widowControl/>
        <w:kinsoku/>
        <w:wordWrap/>
        <w:overflowPunct/>
        <w:topLinePunct w:val="0"/>
        <w:autoSpaceDE/>
        <w:autoSpaceDN/>
        <w:bidi w:val="0"/>
        <w:adjustRightInd/>
        <w:snapToGrid/>
        <w:spacing w:after="0" w:line="360" w:lineRule="auto"/>
        <w:ind w:right="-105" w:rightChars="-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（五）《起重机械用钢丝绳检验和报废实用规范》（GB5972）</w:t>
      </w:r>
    </w:p>
    <w:p w14:paraId="044E4334">
      <w:pPr>
        <w:keepNext w:val="0"/>
        <w:keepLines w:val="0"/>
        <w:pageBreakBefore w:val="0"/>
        <w:widowControl/>
        <w:kinsoku/>
        <w:wordWrap/>
        <w:overflowPunct/>
        <w:topLinePunct w:val="0"/>
        <w:autoSpaceDE/>
        <w:autoSpaceDN/>
        <w:bidi w:val="0"/>
        <w:adjustRightInd/>
        <w:snapToGrid/>
        <w:spacing w:after="0" w:line="360" w:lineRule="auto"/>
        <w:ind w:right="-105" w:rightChars="-5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1.3、管理考核办法</w:t>
      </w:r>
    </w:p>
    <w:p w14:paraId="4352B97B">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加强机埠运行外包的工作，达到管理工作的制度化、规范化、标准化目标，确保机埠规范、高效、安全运行，根据《浙江省水闸维修养护技术规程》、《泵站技术管理规程》等，结合机埠管理实际，特制定本考核办法。</w:t>
      </w:r>
    </w:p>
    <w:p w14:paraId="75F8783C">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一、工作目标</w:t>
      </w:r>
    </w:p>
    <w:p w14:paraId="194D0B84">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落实机埠运行外包的管理措施，建立管理责任明确、日常巡查到位、问题发现及时、工程养护规范的机埠管理机制，达到水利工程安全，工作环境优美，行洪排涝畅通、抗旱翻水及时的工作目标，提高机埠运行综合管理水平，充分发挥机埠运行综合效益。</w:t>
      </w:r>
    </w:p>
    <w:p w14:paraId="619FB81F">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二、考核对象</w:t>
      </w:r>
      <w:r>
        <w:rPr>
          <w:rFonts w:hint="eastAsia" w:ascii="仿宋" w:hAnsi="仿宋" w:eastAsia="仿宋" w:cs="仿宋"/>
          <w:b/>
          <w:bCs/>
          <w:sz w:val="24"/>
          <w:szCs w:val="24"/>
          <w:highlight w:val="none"/>
          <w:lang w:eastAsia="zh-CN"/>
        </w:rPr>
        <w:t>：</w:t>
      </w:r>
      <w:r>
        <w:rPr>
          <w:rFonts w:hint="eastAsia" w:ascii="仿宋" w:hAnsi="仿宋" w:eastAsia="仿宋" w:cs="仿宋"/>
          <w:sz w:val="24"/>
          <w:szCs w:val="24"/>
          <w:highlight w:val="none"/>
        </w:rPr>
        <w:t>机埠外包运维服务单位。</w:t>
      </w:r>
    </w:p>
    <w:p w14:paraId="1F1B484F">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三、考核原则</w:t>
      </w:r>
      <w:r>
        <w:rPr>
          <w:rFonts w:hint="eastAsia" w:ascii="仿宋" w:hAnsi="仿宋" w:eastAsia="仿宋" w:cs="仿宋"/>
          <w:b/>
          <w:bCs/>
          <w:sz w:val="24"/>
          <w:szCs w:val="24"/>
          <w:highlight w:val="none"/>
          <w:lang w:eastAsia="zh-CN"/>
        </w:rPr>
        <w:t>：</w:t>
      </w:r>
      <w:r>
        <w:rPr>
          <w:rFonts w:hint="eastAsia" w:ascii="仿宋" w:hAnsi="仿宋" w:eastAsia="仿宋" w:cs="仿宋"/>
          <w:sz w:val="24"/>
          <w:szCs w:val="24"/>
          <w:highlight w:val="none"/>
        </w:rPr>
        <w:t>1、坚持公开、公平、公正的原则；2、坚持月检查、年考评原则；3、坚持定性和定量相结合的原则。</w:t>
      </w:r>
    </w:p>
    <w:p w14:paraId="05B744C4">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四、考核内容</w:t>
      </w:r>
    </w:p>
    <w:p w14:paraId="190CB64C">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实行综合考核，主要内容包括管理机构设置及人员配置、规章制度、防汛预案和防汛责任制、安全生产等内容。（具体见考核表）</w:t>
      </w:r>
    </w:p>
    <w:p w14:paraId="1DB8E448">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五、考核方式</w:t>
      </w:r>
    </w:p>
    <w:p w14:paraId="49FCD20E">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rPr>
        <w:t>1、按月检查,季度考核方式：由浦阳镇人民政府农业农村办公室对机埠的管理情况进行实地检（抽）查，该季度每个机埠的考核平均得分即为被考核单位本季度考核分，对发现的问题以交办单形式抄送给被考核单位，由被考核单位在规定时间内进行整改和落实，整改和落实情况也将作为考核依据进行打分，季度考核在85以下，则该季度不合格；季度考核在85-90分，则该季度合格；季度考核在91-95分，则该季度良好；季度考核在96-100分；则该季度优秀。</w:t>
      </w:r>
    </w:p>
    <w:p w14:paraId="00CA39D3">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2、年考评：由浦阳镇农业农村办对被考核单位每季度得分进行平均算分，年度平均分在85以下，为不合格；平均分在85-90分，为合格；平均分在91-95分，为良好；平均分在96-100分；为优秀。</w:t>
      </w:r>
    </w:p>
    <w:p w14:paraId="182B0B57">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六、奖惩办法</w:t>
      </w:r>
    </w:p>
    <w:p w14:paraId="5325C25D">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1、季度考核有扣分的，按每月每分500元人民币从当季养管费用中予以扣除，扣完为止。</w:t>
      </w:r>
    </w:p>
    <w:p w14:paraId="391E7FFE">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2、凡涉及以下情况的，业主有权单方面中止机埠管理服务合同，并永久取消乙方本项目投标资格：</w:t>
      </w:r>
    </w:p>
    <w:p w14:paraId="64727FFC">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（1）被考核单位季度考核不合格；</w:t>
      </w:r>
    </w:p>
    <w:p w14:paraId="361B84D6">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（2）运维管理队伍中的主要负责人或联系人每月法定工作日被检查发现超过2次不到岗的；</w:t>
      </w:r>
    </w:p>
    <w:p w14:paraId="7FA8DE84">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在水旱灾害预警或发生时，尤其是汛期有排涝或河道有临时换水需求等紧急引排水任务发生时，运维管理队伍主要负责人、联系人或机埠管理人合同期内累计发生2次及以上未能及时响应（镇农办指令发出后1个半小时内未到岗）此类需求的；</w:t>
      </w:r>
    </w:p>
    <w:p w14:paraId="3B3C0004">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运维期内，任一机埠管理人员引排水不符合操作规范造成设备损坏，被发现累计达到2次；或机埠运行需要24小时加班，运维方队伍内被发现出勤不出力、工作敷衍或运维单位人员安排不当造成工作懈怠，累计达到2次；或因此导致延误引排水时机造成群众财产损失累计达到1次的。</w:t>
      </w:r>
    </w:p>
    <w:p w14:paraId="14E25895">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七、考核标准</w:t>
      </w:r>
    </w:p>
    <w:p w14:paraId="63270E05">
      <w:pPr>
        <w:keepNext w:val="0"/>
        <w:keepLines w:val="0"/>
        <w:pageBreakBefore w:val="0"/>
        <w:widowControl/>
        <w:kinsoku/>
        <w:wordWrap/>
        <w:overflowPunct/>
        <w:topLinePunct w:val="0"/>
        <w:autoSpaceDE/>
        <w:autoSpaceDN/>
        <w:bidi w:val="0"/>
        <w:adjustRightInd/>
        <w:snapToGrid/>
        <w:spacing w:after="0" w:line="360" w:lineRule="auto"/>
        <w:ind w:firstLine="480"/>
        <w:jc w:val="center"/>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萧山区浦阳镇人民政府机埠外包管理考核表</w:t>
      </w:r>
    </w:p>
    <w:tbl>
      <w:tblPr>
        <w:tblStyle w:val="62"/>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60"/>
        <w:gridCol w:w="936"/>
        <w:gridCol w:w="3610"/>
        <w:gridCol w:w="708"/>
        <w:gridCol w:w="709"/>
        <w:gridCol w:w="851"/>
      </w:tblGrid>
      <w:tr w14:paraId="54A7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208" w:type="dxa"/>
            <w:gridSpan w:val="7"/>
            <w:tcBorders>
              <w:top w:val="nil"/>
              <w:left w:val="nil"/>
              <w:right w:val="nil"/>
            </w:tcBorders>
            <w:noWrap/>
            <w:vAlign w:val="center"/>
          </w:tcPr>
          <w:p w14:paraId="09AEF5E1">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机埠名称：                  </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 xml:space="preserve">            </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 xml:space="preserve">   考核日期：</w:t>
            </w:r>
          </w:p>
        </w:tc>
      </w:tr>
      <w:tr w14:paraId="2835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noWrap w:val="0"/>
            <w:vAlign w:val="center"/>
          </w:tcPr>
          <w:p w14:paraId="298FB18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考核项目</w:t>
            </w:r>
          </w:p>
        </w:tc>
        <w:tc>
          <w:tcPr>
            <w:tcW w:w="1260" w:type="dxa"/>
            <w:noWrap w:val="0"/>
            <w:vAlign w:val="center"/>
          </w:tcPr>
          <w:p w14:paraId="0087561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考核方式</w:t>
            </w:r>
          </w:p>
        </w:tc>
        <w:tc>
          <w:tcPr>
            <w:tcW w:w="936" w:type="dxa"/>
            <w:noWrap w:val="0"/>
            <w:vAlign w:val="center"/>
          </w:tcPr>
          <w:p w14:paraId="2AE4538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分值</w:t>
            </w:r>
          </w:p>
        </w:tc>
        <w:tc>
          <w:tcPr>
            <w:tcW w:w="3610" w:type="dxa"/>
            <w:noWrap w:val="0"/>
            <w:vAlign w:val="center"/>
          </w:tcPr>
          <w:p w14:paraId="7BCACD5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评分标准</w:t>
            </w:r>
          </w:p>
        </w:tc>
        <w:tc>
          <w:tcPr>
            <w:tcW w:w="708" w:type="dxa"/>
            <w:noWrap/>
            <w:vAlign w:val="center"/>
          </w:tcPr>
          <w:p w14:paraId="460B415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扣分</w:t>
            </w:r>
          </w:p>
        </w:tc>
        <w:tc>
          <w:tcPr>
            <w:tcW w:w="709" w:type="dxa"/>
            <w:noWrap/>
            <w:vAlign w:val="center"/>
          </w:tcPr>
          <w:p w14:paraId="1B0E06D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得分</w:t>
            </w:r>
          </w:p>
        </w:tc>
        <w:tc>
          <w:tcPr>
            <w:tcW w:w="851" w:type="dxa"/>
            <w:noWrap/>
            <w:vAlign w:val="center"/>
          </w:tcPr>
          <w:p w14:paraId="67AB7EB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扣分原因</w:t>
            </w:r>
          </w:p>
        </w:tc>
      </w:tr>
      <w:tr w14:paraId="5104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134" w:type="dxa"/>
            <w:vMerge w:val="restart"/>
            <w:noWrap w:val="0"/>
            <w:vAlign w:val="center"/>
          </w:tcPr>
          <w:p w14:paraId="446C7C4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1、管理机构设置及人员配备（分值15分）</w:t>
            </w:r>
          </w:p>
        </w:tc>
        <w:tc>
          <w:tcPr>
            <w:tcW w:w="1260" w:type="dxa"/>
            <w:vMerge w:val="restart"/>
            <w:noWrap w:val="0"/>
            <w:vAlign w:val="center"/>
          </w:tcPr>
          <w:p w14:paraId="4BA7912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现场考核    查阅记录</w:t>
            </w:r>
          </w:p>
        </w:tc>
        <w:tc>
          <w:tcPr>
            <w:tcW w:w="936" w:type="dxa"/>
            <w:vMerge w:val="restart"/>
            <w:noWrap/>
            <w:vAlign w:val="center"/>
          </w:tcPr>
          <w:p w14:paraId="1B588C1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15</w:t>
            </w:r>
          </w:p>
        </w:tc>
        <w:tc>
          <w:tcPr>
            <w:tcW w:w="3610" w:type="dxa"/>
            <w:noWrap w:val="0"/>
            <w:vAlign w:val="center"/>
          </w:tcPr>
          <w:p w14:paraId="6927F725">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管理机构健全、岗位设置合理、人员配备到位。主管负责人每月出勤20天，每缺勤1天扣0.5分。</w:t>
            </w:r>
          </w:p>
        </w:tc>
        <w:tc>
          <w:tcPr>
            <w:tcW w:w="708" w:type="dxa"/>
            <w:noWrap/>
            <w:vAlign w:val="center"/>
          </w:tcPr>
          <w:p w14:paraId="47DC129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restart"/>
            <w:noWrap/>
            <w:vAlign w:val="center"/>
          </w:tcPr>
          <w:p w14:paraId="1DE98AC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7D0F889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6E2E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134" w:type="dxa"/>
            <w:vMerge w:val="continue"/>
            <w:noWrap w:val="0"/>
            <w:vAlign w:val="center"/>
          </w:tcPr>
          <w:p w14:paraId="27A2D5A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409D7DB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vMerge w:val="continue"/>
            <w:noWrap w:val="0"/>
            <w:vAlign w:val="center"/>
          </w:tcPr>
          <w:p w14:paraId="0C721A1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3610" w:type="dxa"/>
            <w:noWrap w:val="0"/>
            <w:vAlign w:val="center"/>
          </w:tcPr>
          <w:p w14:paraId="6C35D203">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发现运行值班人员无证上岗操作扣1分/次。</w:t>
            </w:r>
          </w:p>
        </w:tc>
        <w:tc>
          <w:tcPr>
            <w:tcW w:w="708" w:type="dxa"/>
            <w:noWrap/>
            <w:vAlign w:val="center"/>
          </w:tcPr>
          <w:p w14:paraId="15A0183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7D96DA5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5806343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3B40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134" w:type="dxa"/>
            <w:noWrap w:val="0"/>
            <w:vAlign w:val="center"/>
          </w:tcPr>
          <w:p w14:paraId="6B97EDB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2、运行规章制度（分值5分）</w:t>
            </w:r>
          </w:p>
        </w:tc>
        <w:tc>
          <w:tcPr>
            <w:tcW w:w="1260" w:type="dxa"/>
            <w:noWrap w:val="0"/>
            <w:vAlign w:val="center"/>
          </w:tcPr>
          <w:p w14:paraId="5E00AD5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现场考核    查阅记录</w:t>
            </w:r>
          </w:p>
        </w:tc>
        <w:tc>
          <w:tcPr>
            <w:tcW w:w="936" w:type="dxa"/>
            <w:noWrap/>
            <w:vAlign w:val="center"/>
          </w:tcPr>
          <w:p w14:paraId="564C8A5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3610" w:type="dxa"/>
            <w:noWrap w:val="0"/>
            <w:vAlign w:val="center"/>
          </w:tcPr>
          <w:p w14:paraId="02A7787C">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根据《浙江省水利工程安全管理条例》以及各项管理规程，健全各项制度，必须落实岗位责任制度、日常维护制度、安全运行制度、应急处理制度，执行效果好。执行不到位，每项扣1分。</w:t>
            </w:r>
          </w:p>
        </w:tc>
        <w:tc>
          <w:tcPr>
            <w:tcW w:w="708" w:type="dxa"/>
            <w:noWrap/>
            <w:vAlign w:val="center"/>
          </w:tcPr>
          <w:p w14:paraId="5158174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noWrap/>
            <w:vAlign w:val="center"/>
          </w:tcPr>
          <w:p w14:paraId="220895C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3A986EE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6DC4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jc w:val="center"/>
        </w:trPr>
        <w:tc>
          <w:tcPr>
            <w:tcW w:w="1134" w:type="dxa"/>
            <w:noWrap w:val="0"/>
            <w:vAlign w:val="center"/>
          </w:tcPr>
          <w:p w14:paraId="722E78F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3、防汛预案和防汛责任制（分值10分）</w:t>
            </w:r>
          </w:p>
        </w:tc>
        <w:tc>
          <w:tcPr>
            <w:tcW w:w="1260" w:type="dxa"/>
            <w:noWrap w:val="0"/>
            <w:vAlign w:val="center"/>
          </w:tcPr>
          <w:p w14:paraId="38BEC81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现场考核    查阅记录</w:t>
            </w:r>
          </w:p>
        </w:tc>
        <w:tc>
          <w:tcPr>
            <w:tcW w:w="936" w:type="dxa"/>
            <w:noWrap/>
            <w:vAlign w:val="center"/>
          </w:tcPr>
          <w:p w14:paraId="1FB56AB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3610" w:type="dxa"/>
            <w:noWrap w:val="0"/>
            <w:vAlign w:val="center"/>
          </w:tcPr>
          <w:p w14:paraId="5E986E51">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建立和落实防汛实施方案，落实防汛责任制，保管维护好抢险工具、器材设备。执行好得10分。执行一般得8分，执行差得6分</w:t>
            </w:r>
          </w:p>
        </w:tc>
        <w:tc>
          <w:tcPr>
            <w:tcW w:w="708" w:type="dxa"/>
            <w:noWrap/>
            <w:vAlign w:val="center"/>
          </w:tcPr>
          <w:p w14:paraId="2F70C47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noWrap/>
            <w:vAlign w:val="center"/>
          </w:tcPr>
          <w:p w14:paraId="699C353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5BE7744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577C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34" w:type="dxa"/>
            <w:noWrap w:val="0"/>
            <w:vAlign w:val="center"/>
          </w:tcPr>
          <w:p w14:paraId="26E2EB8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4、安全生产（分值10分）</w:t>
            </w:r>
          </w:p>
        </w:tc>
        <w:tc>
          <w:tcPr>
            <w:tcW w:w="1260" w:type="dxa"/>
            <w:noWrap w:val="0"/>
            <w:vAlign w:val="center"/>
          </w:tcPr>
          <w:p w14:paraId="725CC71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现场考核    查阅记录</w:t>
            </w:r>
          </w:p>
        </w:tc>
        <w:tc>
          <w:tcPr>
            <w:tcW w:w="936" w:type="dxa"/>
            <w:noWrap/>
            <w:vAlign w:val="center"/>
          </w:tcPr>
          <w:p w14:paraId="694B5B7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3610" w:type="dxa"/>
            <w:noWrap w:val="0"/>
            <w:vAlign w:val="center"/>
          </w:tcPr>
          <w:p w14:paraId="3776E92D">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安全生产组织健全，定期进行安全生产检查，并建立安全生产台账资料,运行安全无事故。如发生人员重伤以上(含）事故，扣10分，一般性事故扣5分；因人为因素造成的设备损坏1—5万元（含）以上扣5分，5—10万元（含）以上扣10分，并根据情节承担相应的赔偿责任。</w:t>
            </w:r>
          </w:p>
        </w:tc>
        <w:tc>
          <w:tcPr>
            <w:tcW w:w="708" w:type="dxa"/>
            <w:noWrap/>
            <w:vAlign w:val="center"/>
          </w:tcPr>
          <w:p w14:paraId="7CA3981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noWrap/>
            <w:vAlign w:val="center"/>
          </w:tcPr>
          <w:p w14:paraId="0B59907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6AD7EB7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7BA7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34" w:type="dxa"/>
            <w:vMerge w:val="restart"/>
            <w:noWrap w:val="0"/>
            <w:vAlign w:val="center"/>
          </w:tcPr>
          <w:p w14:paraId="0777115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5、闸门部分（分值5分）</w:t>
            </w:r>
          </w:p>
        </w:tc>
        <w:tc>
          <w:tcPr>
            <w:tcW w:w="1260" w:type="dxa"/>
            <w:vMerge w:val="restart"/>
            <w:noWrap w:val="0"/>
            <w:vAlign w:val="center"/>
          </w:tcPr>
          <w:p w14:paraId="3F247D3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现场考核    查阅记录</w:t>
            </w:r>
          </w:p>
        </w:tc>
        <w:tc>
          <w:tcPr>
            <w:tcW w:w="936" w:type="dxa"/>
            <w:noWrap w:val="0"/>
            <w:vAlign w:val="center"/>
          </w:tcPr>
          <w:p w14:paraId="2FF6F98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610" w:type="dxa"/>
            <w:noWrap w:val="0"/>
            <w:vAlign w:val="center"/>
          </w:tcPr>
          <w:p w14:paraId="3AD44D3A">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（一）结构完好、启闭无卡阻</w:t>
            </w:r>
          </w:p>
        </w:tc>
        <w:tc>
          <w:tcPr>
            <w:tcW w:w="708" w:type="dxa"/>
            <w:noWrap/>
            <w:vAlign w:val="center"/>
          </w:tcPr>
          <w:p w14:paraId="5B39598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restart"/>
            <w:noWrap/>
            <w:vAlign w:val="center"/>
          </w:tcPr>
          <w:p w14:paraId="79890EF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01AA909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3E64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34" w:type="dxa"/>
            <w:vMerge w:val="continue"/>
            <w:noWrap w:val="0"/>
            <w:vAlign w:val="center"/>
          </w:tcPr>
          <w:p w14:paraId="595CBF8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4EDDD96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15A8066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610" w:type="dxa"/>
            <w:noWrap w:val="0"/>
            <w:vAlign w:val="center"/>
          </w:tcPr>
          <w:p w14:paraId="6370D88B">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（二）润滑良好灵活、准确可靠</w:t>
            </w:r>
          </w:p>
        </w:tc>
        <w:tc>
          <w:tcPr>
            <w:tcW w:w="708" w:type="dxa"/>
            <w:noWrap/>
            <w:vAlign w:val="center"/>
          </w:tcPr>
          <w:p w14:paraId="6776D90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3E6B4DB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677D2C8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6B8E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134" w:type="dxa"/>
            <w:vMerge w:val="continue"/>
            <w:noWrap w:val="0"/>
            <w:vAlign w:val="center"/>
          </w:tcPr>
          <w:p w14:paraId="53A3CF2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119A727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44FF3A1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610" w:type="dxa"/>
            <w:noWrap w:val="0"/>
            <w:vAlign w:val="center"/>
          </w:tcPr>
          <w:p w14:paraId="1872FC83">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（三）无垃圾、杂物</w:t>
            </w:r>
          </w:p>
        </w:tc>
        <w:tc>
          <w:tcPr>
            <w:tcW w:w="708" w:type="dxa"/>
            <w:noWrap/>
            <w:vAlign w:val="center"/>
          </w:tcPr>
          <w:p w14:paraId="63C2BA9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532C168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415509B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1733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34" w:type="dxa"/>
            <w:vMerge w:val="continue"/>
            <w:noWrap w:val="0"/>
            <w:vAlign w:val="center"/>
          </w:tcPr>
          <w:p w14:paraId="304EBD5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01D70A0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6549B7E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3610" w:type="dxa"/>
            <w:noWrap w:val="0"/>
            <w:vAlign w:val="center"/>
          </w:tcPr>
          <w:p w14:paraId="06D34D2E">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（四）按时养护</w:t>
            </w:r>
          </w:p>
        </w:tc>
        <w:tc>
          <w:tcPr>
            <w:tcW w:w="708" w:type="dxa"/>
            <w:noWrap/>
            <w:vAlign w:val="center"/>
          </w:tcPr>
          <w:p w14:paraId="0AEADAD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5ED8599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6FE3AA0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7438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34" w:type="dxa"/>
            <w:vMerge w:val="restart"/>
            <w:noWrap w:val="0"/>
            <w:vAlign w:val="center"/>
          </w:tcPr>
          <w:p w14:paraId="12084F0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6、启闭机部分　　　　（分值11分）</w:t>
            </w:r>
          </w:p>
        </w:tc>
        <w:tc>
          <w:tcPr>
            <w:tcW w:w="1260" w:type="dxa"/>
            <w:vMerge w:val="restart"/>
            <w:noWrap w:val="0"/>
            <w:vAlign w:val="center"/>
          </w:tcPr>
          <w:p w14:paraId="6E4C9D9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现场考核    查阅记录</w:t>
            </w:r>
          </w:p>
        </w:tc>
        <w:tc>
          <w:tcPr>
            <w:tcW w:w="936" w:type="dxa"/>
            <w:noWrap w:val="0"/>
            <w:vAlign w:val="center"/>
          </w:tcPr>
          <w:p w14:paraId="5BD2B00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610" w:type="dxa"/>
            <w:noWrap w:val="0"/>
            <w:vAlign w:val="center"/>
          </w:tcPr>
          <w:p w14:paraId="5DEE9A48">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（一）性能合规、启闭机底座保持紧固</w:t>
            </w:r>
          </w:p>
        </w:tc>
        <w:tc>
          <w:tcPr>
            <w:tcW w:w="708" w:type="dxa"/>
            <w:noWrap/>
            <w:vAlign w:val="center"/>
          </w:tcPr>
          <w:p w14:paraId="0A760D2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restart"/>
            <w:noWrap/>
            <w:vAlign w:val="center"/>
          </w:tcPr>
          <w:p w14:paraId="798688D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50C705C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4C5E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34" w:type="dxa"/>
            <w:vMerge w:val="continue"/>
            <w:noWrap w:val="0"/>
            <w:vAlign w:val="center"/>
          </w:tcPr>
          <w:p w14:paraId="58498D2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3660FA2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70A9CBE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610" w:type="dxa"/>
            <w:noWrap/>
            <w:vAlign w:val="center"/>
          </w:tcPr>
          <w:p w14:paraId="6760ECF6">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（二）设备表面整洁、无油污</w:t>
            </w:r>
          </w:p>
        </w:tc>
        <w:tc>
          <w:tcPr>
            <w:tcW w:w="708" w:type="dxa"/>
            <w:noWrap/>
            <w:vAlign w:val="center"/>
          </w:tcPr>
          <w:p w14:paraId="7329CE7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40BE5B9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0183880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5DDF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34" w:type="dxa"/>
            <w:vMerge w:val="continue"/>
            <w:noWrap w:val="0"/>
            <w:vAlign w:val="center"/>
          </w:tcPr>
          <w:p w14:paraId="66D128B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6F913ED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3A488E5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610" w:type="dxa"/>
            <w:noWrap/>
            <w:vAlign w:val="center"/>
          </w:tcPr>
          <w:p w14:paraId="3FF4C0ED">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（三）开度仪钢丝绳：清洁，无毛刺、锈蚀、断股</w:t>
            </w:r>
          </w:p>
        </w:tc>
        <w:tc>
          <w:tcPr>
            <w:tcW w:w="708" w:type="dxa"/>
            <w:noWrap/>
            <w:vAlign w:val="center"/>
          </w:tcPr>
          <w:p w14:paraId="09C5CBD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1CAA303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5960D99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0513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34" w:type="dxa"/>
            <w:vMerge w:val="continue"/>
            <w:noWrap w:val="0"/>
            <w:vAlign w:val="center"/>
          </w:tcPr>
          <w:p w14:paraId="3B5616F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6DEC2AD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6F28220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3610" w:type="dxa"/>
            <w:noWrap w:val="0"/>
            <w:vAlign w:val="center"/>
          </w:tcPr>
          <w:p w14:paraId="74EFAE57">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（四）齿轮箱、液压油箱加油程度适当，螺杆上油保护到位</w:t>
            </w:r>
          </w:p>
        </w:tc>
        <w:tc>
          <w:tcPr>
            <w:tcW w:w="708" w:type="dxa"/>
            <w:noWrap/>
            <w:vAlign w:val="center"/>
          </w:tcPr>
          <w:p w14:paraId="5ACBEAA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0B7C23B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3855170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506E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4" w:type="dxa"/>
            <w:vMerge w:val="continue"/>
            <w:noWrap w:val="0"/>
            <w:vAlign w:val="center"/>
          </w:tcPr>
          <w:p w14:paraId="413CC2B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40BBA14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4959EC4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3610" w:type="dxa"/>
            <w:noWrap w:val="0"/>
            <w:vAlign w:val="center"/>
          </w:tcPr>
          <w:p w14:paraId="278A2022">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（五）启闭机各类阀件动作可靠、到位</w:t>
            </w:r>
          </w:p>
        </w:tc>
        <w:tc>
          <w:tcPr>
            <w:tcW w:w="708" w:type="dxa"/>
            <w:noWrap/>
            <w:vAlign w:val="center"/>
          </w:tcPr>
          <w:p w14:paraId="30E3BCA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7625DDA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6577E36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5699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34" w:type="dxa"/>
            <w:vMerge w:val="continue"/>
            <w:noWrap w:val="0"/>
            <w:vAlign w:val="center"/>
          </w:tcPr>
          <w:p w14:paraId="478B9B0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43ACC5E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5487229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3610" w:type="dxa"/>
            <w:noWrap/>
            <w:vAlign w:val="center"/>
          </w:tcPr>
          <w:p w14:paraId="25D102FF">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（六）限位行程开关，动作正常、到位</w:t>
            </w:r>
          </w:p>
        </w:tc>
        <w:tc>
          <w:tcPr>
            <w:tcW w:w="708" w:type="dxa"/>
            <w:noWrap/>
            <w:vAlign w:val="center"/>
          </w:tcPr>
          <w:p w14:paraId="60F3FB0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5FCF5D1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15AA067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094A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34" w:type="dxa"/>
            <w:vMerge w:val="continue"/>
            <w:noWrap w:val="0"/>
            <w:vAlign w:val="center"/>
          </w:tcPr>
          <w:p w14:paraId="45301D2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2D34686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0423ABC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3610" w:type="dxa"/>
            <w:noWrap/>
            <w:vAlign w:val="center"/>
          </w:tcPr>
          <w:p w14:paraId="6919AC50">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（七）按时保养</w:t>
            </w:r>
          </w:p>
        </w:tc>
        <w:tc>
          <w:tcPr>
            <w:tcW w:w="708" w:type="dxa"/>
            <w:noWrap/>
            <w:vAlign w:val="center"/>
          </w:tcPr>
          <w:p w14:paraId="741C213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1D0C21B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7663BA9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74293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34" w:type="dxa"/>
            <w:vMerge w:val="restart"/>
            <w:noWrap w:val="0"/>
            <w:vAlign w:val="center"/>
          </w:tcPr>
          <w:p w14:paraId="0683830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7、水泵部分（分值12分）</w:t>
            </w:r>
          </w:p>
        </w:tc>
        <w:tc>
          <w:tcPr>
            <w:tcW w:w="1260" w:type="dxa"/>
            <w:vMerge w:val="restart"/>
            <w:noWrap w:val="0"/>
            <w:vAlign w:val="center"/>
          </w:tcPr>
          <w:p w14:paraId="79EA5FC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现场考核    查阅记录</w:t>
            </w:r>
          </w:p>
        </w:tc>
        <w:tc>
          <w:tcPr>
            <w:tcW w:w="936" w:type="dxa"/>
            <w:noWrap w:val="0"/>
            <w:vAlign w:val="center"/>
          </w:tcPr>
          <w:p w14:paraId="147F385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3610" w:type="dxa"/>
            <w:noWrap w:val="0"/>
            <w:vAlign w:val="center"/>
          </w:tcPr>
          <w:p w14:paraId="6628A602">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（一）运行中不应有损坏或堵塞水泵的杂物进入泵内</w:t>
            </w:r>
          </w:p>
        </w:tc>
        <w:tc>
          <w:tcPr>
            <w:tcW w:w="708" w:type="dxa"/>
            <w:noWrap/>
            <w:vAlign w:val="center"/>
          </w:tcPr>
          <w:p w14:paraId="4639766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restart"/>
            <w:noWrap/>
            <w:vAlign w:val="center"/>
          </w:tcPr>
          <w:p w14:paraId="045DC1E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7ED4CA9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4B1E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34" w:type="dxa"/>
            <w:vMerge w:val="continue"/>
            <w:noWrap w:val="0"/>
            <w:vAlign w:val="center"/>
          </w:tcPr>
          <w:p w14:paraId="26C2E31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0801850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4E3345E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3610" w:type="dxa"/>
            <w:noWrap w:val="0"/>
            <w:vAlign w:val="center"/>
          </w:tcPr>
          <w:p w14:paraId="47DC3BB6">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（二）轴承、定子、齿轮箱的温度应正常。润滑和冷却用的油质、油位。油温和水压、水温均应符合要求</w:t>
            </w:r>
          </w:p>
        </w:tc>
        <w:tc>
          <w:tcPr>
            <w:tcW w:w="708" w:type="dxa"/>
            <w:noWrap/>
            <w:vAlign w:val="center"/>
          </w:tcPr>
          <w:p w14:paraId="6396470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3036388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35495F5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7A19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34" w:type="dxa"/>
            <w:vMerge w:val="continue"/>
            <w:noWrap w:val="0"/>
            <w:vAlign w:val="center"/>
          </w:tcPr>
          <w:p w14:paraId="5E589B4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11A6267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2980A4A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3610" w:type="dxa"/>
            <w:noWrap w:val="0"/>
            <w:vAlign w:val="center"/>
          </w:tcPr>
          <w:p w14:paraId="6D1DA945">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（三）水泵监测仪表应处于正常状态</w:t>
            </w:r>
          </w:p>
        </w:tc>
        <w:tc>
          <w:tcPr>
            <w:tcW w:w="708" w:type="dxa"/>
            <w:noWrap/>
            <w:vAlign w:val="center"/>
          </w:tcPr>
          <w:p w14:paraId="17D0248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7F8D131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50B54A8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6BE8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34" w:type="dxa"/>
            <w:vMerge w:val="continue"/>
            <w:noWrap w:val="0"/>
            <w:vAlign w:val="center"/>
          </w:tcPr>
          <w:p w14:paraId="39882E0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615845A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7A75E8F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3610" w:type="dxa"/>
            <w:noWrap w:val="0"/>
            <w:vAlign w:val="center"/>
          </w:tcPr>
          <w:p w14:paraId="63626201">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（四）设备表面整洁、无油污</w:t>
            </w:r>
          </w:p>
        </w:tc>
        <w:tc>
          <w:tcPr>
            <w:tcW w:w="708" w:type="dxa"/>
            <w:noWrap/>
            <w:vAlign w:val="center"/>
          </w:tcPr>
          <w:p w14:paraId="1578957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510D936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596D4C3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3449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134" w:type="dxa"/>
            <w:vMerge w:val="continue"/>
            <w:noWrap w:val="0"/>
            <w:vAlign w:val="center"/>
          </w:tcPr>
          <w:p w14:paraId="02CE306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0E67C1B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5CFEA96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3610" w:type="dxa"/>
            <w:noWrap w:val="0"/>
            <w:vAlign w:val="center"/>
          </w:tcPr>
          <w:p w14:paraId="0BEA4A08">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（五）拦污栅前的污物应及时清除</w:t>
            </w:r>
          </w:p>
        </w:tc>
        <w:tc>
          <w:tcPr>
            <w:tcW w:w="708" w:type="dxa"/>
            <w:noWrap/>
            <w:vAlign w:val="center"/>
          </w:tcPr>
          <w:p w14:paraId="62529DC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7DCDBEC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1E6D026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0F5F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34" w:type="dxa"/>
            <w:vMerge w:val="continue"/>
            <w:noWrap w:val="0"/>
            <w:vAlign w:val="center"/>
          </w:tcPr>
          <w:p w14:paraId="5349C0F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0C9A386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0B2A4A7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3610" w:type="dxa"/>
            <w:noWrap w:val="0"/>
            <w:vAlign w:val="center"/>
          </w:tcPr>
          <w:p w14:paraId="1001F908">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（六）按时保养</w:t>
            </w:r>
          </w:p>
        </w:tc>
        <w:tc>
          <w:tcPr>
            <w:tcW w:w="708" w:type="dxa"/>
            <w:noWrap/>
            <w:vAlign w:val="center"/>
          </w:tcPr>
          <w:p w14:paraId="311DF6E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3D3F9E4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7804F5E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3DFD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34" w:type="dxa"/>
            <w:vMerge w:val="restart"/>
            <w:noWrap w:val="0"/>
            <w:vAlign w:val="center"/>
          </w:tcPr>
          <w:p w14:paraId="263F414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8、动力及操作控制系统（分值11分）</w:t>
            </w:r>
          </w:p>
        </w:tc>
        <w:tc>
          <w:tcPr>
            <w:tcW w:w="1260" w:type="dxa"/>
            <w:vMerge w:val="restart"/>
            <w:noWrap w:val="0"/>
            <w:vAlign w:val="center"/>
          </w:tcPr>
          <w:p w14:paraId="3447F33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现场考核    查阅记录</w:t>
            </w:r>
          </w:p>
        </w:tc>
        <w:tc>
          <w:tcPr>
            <w:tcW w:w="936" w:type="dxa"/>
            <w:noWrap w:val="0"/>
            <w:vAlign w:val="center"/>
          </w:tcPr>
          <w:p w14:paraId="028B269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610" w:type="dxa"/>
            <w:noWrap/>
            <w:vAlign w:val="center"/>
          </w:tcPr>
          <w:p w14:paraId="6B8A488F">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（一）指示(仪表)正常；整洁；</w:t>
            </w:r>
          </w:p>
        </w:tc>
        <w:tc>
          <w:tcPr>
            <w:tcW w:w="708" w:type="dxa"/>
            <w:noWrap/>
            <w:vAlign w:val="center"/>
          </w:tcPr>
          <w:p w14:paraId="35B031F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restart"/>
            <w:noWrap/>
            <w:vAlign w:val="center"/>
          </w:tcPr>
          <w:p w14:paraId="74D2C00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7487FDB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2C6E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34" w:type="dxa"/>
            <w:vMerge w:val="continue"/>
            <w:noWrap w:val="0"/>
            <w:vAlign w:val="center"/>
          </w:tcPr>
          <w:p w14:paraId="790EF6E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2E87F22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36EAE20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610" w:type="dxa"/>
            <w:noWrap/>
            <w:vAlign w:val="center"/>
          </w:tcPr>
          <w:p w14:paraId="191D1B25">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（二）线路紧固；无灰尘；</w:t>
            </w:r>
          </w:p>
        </w:tc>
        <w:tc>
          <w:tcPr>
            <w:tcW w:w="708" w:type="dxa"/>
            <w:noWrap/>
            <w:vAlign w:val="center"/>
          </w:tcPr>
          <w:p w14:paraId="577BC12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220AF3D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3A2EFC8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3BE7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4" w:type="dxa"/>
            <w:vMerge w:val="continue"/>
            <w:noWrap w:val="0"/>
            <w:vAlign w:val="center"/>
          </w:tcPr>
          <w:p w14:paraId="7AD1877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3EDDDBC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066DC49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610" w:type="dxa"/>
            <w:noWrap/>
            <w:vAlign w:val="center"/>
          </w:tcPr>
          <w:p w14:paraId="3D923EAD">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（三）照明、信号灯完好（有光源损坏扣本项全部分值）</w:t>
            </w:r>
          </w:p>
        </w:tc>
        <w:tc>
          <w:tcPr>
            <w:tcW w:w="708" w:type="dxa"/>
            <w:noWrap/>
            <w:vAlign w:val="center"/>
          </w:tcPr>
          <w:p w14:paraId="39A02D4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2D7F516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5140E9C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3BDB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34" w:type="dxa"/>
            <w:vMerge w:val="continue"/>
            <w:noWrap w:val="0"/>
            <w:vAlign w:val="center"/>
          </w:tcPr>
          <w:p w14:paraId="257C7DF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366DCB8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650EF70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3610" w:type="dxa"/>
            <w:noWrap/>
            <w:vAlign w:val="center"/>
          </w:tcPr>
          <w:p w14:paraId="7BB71360">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（四）规范使用电器，不乱拉乱拖电线；保险丝按规定使用</w:t>
            </w:r>
          </w:p>
        </w:tc>
        <w:tc>
          <w:tcPr>
            <w:tcW w:w="708" w:type="dxa"/>
            <w:noWrap/>
            <w:vAlign w:val="center"/>
          </w:tcPr>
          <w:p w14:paraId="168DBF7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0F0BD4D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3E3E5E6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5148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34" w:type="dxa"/>
            <w:vMerge w:val="continue"/>
            <w:noWrap w:val="0"/>
            <w:vAlign w:val="center"/>
          </w:tcPr>
          <w:p w14:paraId="5895DEC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669772D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3F083E5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3610" w:type="dxa"/>
            <w:noWrap/>
            <w:vAlign w:val="center"/>
          </w:tcPr>
          <w:p w14:paraId="7DB35488">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（五）发电机组机组（常、备电源切换）安全可靠</w:t>
            </w:r>
          </w:p>
        </w:tc>
        <w:tc>
          <w:tcPr>
            <w:tcW w:w="708" w:type="dxa"/>
            <w:noWrap/>
            <w:vAlign w:val="center"/>
          </w:tcPr>
          <w:p w14:paraId="5C3C9F7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3D9B4C9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7B613A8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3361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4" w:type="dxa"/>
            <w:vMerge w:val="continue"/>
            <w:noWrap w:val="0"/>
            <w:vAlign w:val="center"/>
          </w:tcPr>
          <w:p w14:paraId="6D65E8C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4ABB833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5AF7BF5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3610" w:type="dxa"/>
            <w:noWrap/>
            <w:vAlign w:val="center"/>
          </w:tcPr>
          <w:p w14:paraId="5F5261C5">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（六）行车（含平板车）行走正常，制动可靠，外表清洁</w:t>
            </w:r>
          </w:p>
        </w:tc>
        <w:tc>
          <w:tcPr>
            <w:tcW w:w="708" w:type="dxa"/>
            <w:noWrap/>
            <w:vAlign w:val="center"/>
          </w:tcPr>
          <w:p w14:paraId="774D572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59A23C9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0A8971D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1D87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1134" w:type="dxa"/>
            <w:vMerge w:val="continue"/>
            <w:noWrap w:val="0"/>
            <w:vAlign w:val="center"/>
          </w:tcPr>
          <w:p w14:paraId="7056910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76814F9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1913813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3610" w:type="dxa"/>
            <w:noWrap/>
            <w:vAlign w:val="center"/>
          </w:tcPr>
          <w:p w14:paraId="7872EE0E">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（七）按时保养</w:t>
            </w:r>
          </w:p>
        </w:tc>
        <w:tc>
          <w:tcPr>
            <w:tcW w:w="708" w:type="dxa"/>
            <w:noWrap/>
            <w:vAlign w:val="center"/>
          </w:tcPr>
          <w:p w14:paraId="7DC64B7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02E0AB0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5B85A81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7F80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34" w:type="dxa"/>
            <w:vMerge w:val="restart"/>
            <w:noWrap w:val="0"/>
            <w:vAlign w:val="center"/>
          </w:tcPr>
          <w:p w14:paraId="72E978C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9、自动控制及监视系统（分值4分）</w:t>
            </w:r>
          </w:p>
        </w:tc>
        <w:tc>
          <w:tcPr>
            <w:tcW w:w="1260" w:type="dxa"/>
            <w:vMerge w:val="restart"/>
            <w:noWrap w:val="0"/>
            <w:vAlign w:val="center"/>
          </w:tcPr>
          <w:p w14:paraId="4AFA77E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现场考核    查阅记录</w:t>
            </w:r>
          </w:p>
        </w:tc>
        <w:tc>
          <w:tcPr>
            <w:tcW w:w="936" w:type="dxa"/>
            <w:noWrap w:val="0"/>
            <w:vAlign w:val="center"/>
          </w:tcPr>
          <w:p w14:paraId="6781E86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610" w:type="dxa"/>
            <w:noWrap/>
            <w:vAlign w:val="center"/>
          </w:tcPr>
          <w:p w14:paraId="7F0433FE">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（一）维护到位；整洁、无灰尘</w:t>
            </w:r>
          </w:p>
        </w:tc>
        <w:tc>
          <w:tcPr>
            <w:tcW w:w="708" w:type="dxa"/>
            <w:noWrap/>
            <w:vAlign w:val="center"/>
          </w:tcPr>
          <w:p w14:paraId="3C78CEE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restart"/>
            <w:noWrap/>
            <w:vAlign w:val="center"/>
          </w:tcPr>
          <w:p w14:paraId="0651BEC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6655060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033F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34" w:type="dxa"/>
            <w:vMerge w:val="continue"/>
            <w:noWrap w:val="0"/>
            <w:vAlign w:val="center"/>
          </w:tcPr>
          <w:p w14:paraId="3EF2176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7194F81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03D8BB5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610" w:type="dxa"/>
            <w:noWrap/>
            <w:vAlign w:val="center"/>
          </w:tcPr>
          <w:p w14:paraId="0A4A6FA3">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（二）记录真实、全面</w:t>
            </w:r>
          </w:p>
        </w:tc>
        <w:tc>
          <w:tcPr>
            <w:tcW w:w="708" w:type="dxa"/>
            <w:noWrap/>
            <w:vAlign w:val="center"/>
          </w:tcPr>
          <w:p w14:paraId="722E9C4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1B6AD46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68585AF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6C0D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34" w:type="dxa"/>
            <w:vMerge w:val="continue"/>
            <w:noWrap w:val="0"/>
            <w:vAlign w:val="center"/>
          </w:tcPr>
          <w:p w14:paraId="3BCB579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67206CC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145F62C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610" w:type="dxa"/>
            <w:noWrap/>
            <w:vAlign w:val="center"/>
          </w:tcPr>
          <w:p w14:paraId="66D70112">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（三）按规定操作</w:t>
            </w:r>
          </w:p>
        </w:tc>
        <w:tc>
          <w:tcPr>
            <w:tcW w:w="708" w:type="dxa"/>
            <w:noWrap/>
            <w:vAlign w:val="center"/>
          </w:tcPr>
          <w:p w14:paraId="01A9531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79416B7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2378E1F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0196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4" w:type="dxa"/>
            <w:vMerge w:val="continue"/>
            <w:noWrap w:val="0"/>
            <w:vAlign w:val="center"/>
          </w:tcPr>
          <w:p w14:paraId="76D4DDB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5914C2B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182F41E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610" w:type="dxa"/>
            <w:noWrap/>
            <w:vAlign w:val="center"/>
          </w:tcPr>
          <w:p w14:paraId="12C7B7CA">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（四）控制室电脑不得移作它用，保证控制软件正常运行。</w:t>
            </w:r>
          </w:p>
        </w:tc>
        <w:tc>
          <w:tcPr>
            <w:tcW w:w="708" w:type="dxa"/>
            <w:noWrap/>
            <w:vAlign w:val="center"/>
          </w:tcPr>
          <w:p w14:paraId="6FEF5D9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581CB0F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5CBBC76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097C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134" w:type="dxa"/>
            <w:noWrap w:val="0"/>
            <w:vAlign w:val="center"/>
          </w:tcPr>
          <w:p w14:paraId="38B8924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10、档案管理（分值10分）</w:t>
            </w:r>
          </w:p>
        </w:tc>
        <w:tc>
          <w:tcPr>
            <w:tcW w:w="1260" w:type="dxa"/>
            <w:noWrap w:val="0"/>
            <w:vAlign w:val="center"/>
          </w:tcPr>
          <w:p w14:paraId="767F7B3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现场考核    查阅记录</w:t>
            </w:r>
          </w:p>
        </w:tc>
        <w:tc>
          <w:tcPr>
            <w:tcW w:w="936" w:type="dxa"/>
            <w:noWrap/>
            <w:vAlign w:val="center"/>
          </w:tcPr>
          <w:p w14:paraId="4EB786E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w:t>
            </w:r>
          </w:p>
        </w:tc>
        <w:tc>
          <w:tcPr>
            <w:tcW w:w="3610" w:type="dxa"/>
            <w:noWrap w:val="0"/>
            <w:vAlign w:val="center"/>
          </w:tcPr>
          <w:p w14:paraId="78074ED4">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档案管理制度健全、有专人管理，档案资料齐全、完好、按时归档。值班、巡查、运行、维修、保养、安全生产台账不健全，每项扣1分</w:t>
            </w:r>
          </w:p>
        </w:tc>
        <w:tc>
          <w:tcPr>
            <w:tcW w:w="708" w:type="dxa"/>
            <w:noWrap/>
            <w:vAlign w:val="center"/>
          </w:tcPr>
          <w:p w14:paraId="6B8D346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noWrap/>
            <w:vAlign w:val="center"/>
          </w:tcPr>
          <w:p w14:paraId="52F05D0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3C62318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5D1D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4" w:type="dxa"/>
            <w:vMerge w:val="restart"/>
            <w:noWrap w:val="0"/>
            <w:vAlign w:val="center"/>
          </w:tcPr>
          <w:p w14:paraId="0579A83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11、其它（分值7分）</w:t>
            </w:r>
          </w:p>
        </w:tc>
        <w:tc>
          <w:tcPr>
            <w:tcW w:w="1260" w:type="dxa"/>
            <w:vMerge w:val="restart"/>
            <w:noWrap w:val="0"/>
            <w:vAlign w:val="center"/>
          </w:tcPr>
          <w:p w14:paraId="247BCA0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现场考核    查阅记录</w:t>
            </w:r>
          </w:p>
        </w:tc>
        <w:tc>
          <w:tcPr>
            <w:tcW w:w="936" w:type="dxa"/>
            <w:noWrap w:val="0"/>
            <w:vAlign w:val="center"/>
          </w:tcPr>
          <w:p w14:paraId="310ED78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610" w:type="dxa"/>
            <w:noWrap/>
            <w:vAlign w:val="center"/>
          </w:tcPr>
          <w:p w14:paraId="440D42CA">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（一）设施用房及周边环境：整洁，无杂物</w:t>
            </w:r>
          </w:p>
        </w:tc>
        <w:tc>
          <w:tcPr>
            <w:tcW w:w="708" w:type="dxa"/>
            <w:noWrap/>
            <w:vAlign w:val="center"/>
          </w:tcPr>
          <w:p w14:paraId="6D006EE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restart"/>
            <w:noWrap/>
            <w:vAlign w:val="center"/>
          </w:tcPr>
          <w:p w14:paraId="3258897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75895E3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3F3E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4" w:type="dxa"/>
            <w:vMerge w:val="continue"/>
            <w:noWrap w:val="0"/>
            <w:vAlign w:val="center"/>
          </w:tcPr>
          <w:p w14:paraId="4E3FF78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09007A2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4F53E33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610" w:type="dxa"/>
            <w:noWrap w:val="0"/>
            <w:vAlign w:val="center"/>
          </w:tcPr>
          <w:p w14:paraId="2626D6E6">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（二）养护记录表：完整、规范、真实</w:t>
            </w:r>
          </w:p>
        </w:tc>
        <w:tc>
          <w:tcPr>
            <w:tcW w:w="708" w:type="dxa"/>
            <w:noWrap/>
            <w:vAlign w:val="center"/>
          </w:tcPr>
          <w:p w14:paraId="324ECA7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03F5F6A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5C547D5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422F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34" w:type="dxa"/>
            <w:vMerge w:val="continue"/>
            <w:noWrap w:val="0"/>
            <w:vAlign w:val="center"/>
          </w:tcPr>
          <w:p w14:paraId="118C1A6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048953F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2B1F835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610" w:type="dxa"/>
            <w:noWrap w:val="0"/>
            <w:vAlign w:val="center"/>
          </w:tcPr>
          <w:p w14:paraId="65C1A59F">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（三）设施配件及实物摆放整齐</w:t>
            </w:r>
          </w:p>
        </w:tc>
        <w:tc>
          <w:tcPr>
            <w:tcW w:w="708" w:type="dxa"/>
            <w:noWrap/>
            <w:vAlign w:val="center"/>
          </w:tcPr>
          <w:p w14:paraId="0CF97FD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1BF2E14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15F7A6C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697A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34" w:type="dxa"/>
            <w:vMerge w:val="continue"/>
            <w:noWrap w:val="0"/>
            <w:vAlign w:val="center"/>
          </w:tcPr>
          <w:p w14:paraId="2E3406C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109C0FC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5003E3E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610" w:type="dxa"/>
            <w:noWrap w:val="0"/>
            <w:vAlign w:val="center"/>
          </w:tcPr>
          <w:p w14:paraId="67210490">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（四）设施完好；故障及时报修，并做好记录</w:t>
            </w:r>
          </w:p>
        </w:tc>
        <w:tc>
          <w:tcPr>
            <w:tcW w:w="708" w:type="dxa"/>
            <w:noWrap/>
            <w:vAlign w:val="center"/>
          </w:tcPr>
          <w:p w14:paraId="6E89973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3F7E40B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5A808BB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3920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34" w:type="dxa"/>
            <w:vMerge w:val="continue"/>
            <w:noWrap w:val="0"/>
            <w:vAlign w:val="center"/>
          </w:tcPr>
          <w:p w14:paraId="50F0FD3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55E0468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018026B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610" w:type="dxa"/>
            <w:noWrap w:val="0"/>
            <w:vAlign w:val="center"/>
          </w:tcPr>
          <w:p w14:paraId="5B328A9D">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（五）作业时按规定使用安全用具、灭火器具完好并放置合理</w:t>
            </w:r>
          </w:p>
        </w:tc>
        <w:tc>
          <w:tcPr>
            <w:tcW w:w="708" w:type="dxa"/>
            <w:noWrap/>
            <w:vAlign w:val="center"/>
          </w:tcPr>
          <w:p w14:paraId="58A1045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4B0F826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307359E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7D96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4" w:type="dxa"/>
            <w:vMerge w:val="continue"/>
            <w:noWrap w:val="0"/>
            <w:vAlign w:val="center"/>
          </w:tcPr>
          <w:p w14:paraId="5DE1111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1260" w:type="dxa"/>
            <w:vMerge w:val="continue"/>
            <w:noWrap w:val="0"/>
            <w:vAlign w:val="center"/>
          </w:tcPr>
          <w:p w14:paraId="32A6936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936" w:type="dxa"/>
            <w:noWrap w:val="0"/>
            <w:vAlign w:val="center"/>
          </w:tcPr>
          <w:p w14:paraId="7F09B68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3610" w:type="dxa"/>
            <w:noWrap/>
            <w:vAlign w:val="center"/>
          </w:tcPr>
          <w:p w14:paraId="740D0103">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（六）严格执行调度指令</w:t>
            </w:r>
          </w:p>
        </w:tc>
        <w:tc>
          <w:tcPr>
            <w:tcW w:w="708" w:type="dxa"/>
            <w:noWrap/>
            <w:vAlign w:val="center"/>
          </w:tcPr>
          <w:p w14:paraId="2863E65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vMerge w:val="continue"/>
            <w:noWrap w:val="0"/>
            <w:vAlign w:val="center"/>
          </w:tcPr>
          <w:p w14:paraId="6E2D8A2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088CAD8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r w14:paraId="2C67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940" w:type="dxa"/>
            <w:gridSpan w:val="4"/>
            <w:noWrap/>
            <w:vAlign w:val="center"/>
          </w:tcPr>
          <w:p w14:paraId="371934D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考核得分汇总</w:t>
            </w:r>
          </w:p>
        </w:tc>
        <w:tc>
          <w:tcPr>
            <w:tcW w:w="708" w:type="dxa"/>
            <w:noWrap/>
            <w:vAlign w:val="center"/>
          </w:tcPr>
          <w:p w14:paraId="1CE83A8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709" w:type="dxa"/>
            <w:noWrap/>
            <w:vAlign w:val="center"/>
          </w:tcPr>
          <w:p w14:paraId="3191F77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c>
          <w:tcPr>
            <w:tcW w:w="851" w:type="dxa"/>
            <w:noWrap/>
            <w:vAlign w:val="center"/>
          </w:tcPr>
          <w:p w14:paraId="5A123C5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Cs/>
                <w:sz w:val="24"/>
                <w:szCs w:val="24"/>
                <w:highlight w:val="none"/>
              </w:rPr>
            </w:pPr>
          </w:p>
        </w:tc>
      </w:tr>
    </w:tbl>
    <w:p w14:paraId="2521FF0C">
      <w:pPr>
        <w:keepNext w:val="0"/>
        <w:keepLines w:val="0"/>
        <w:pageBreakBefore w:val="0"/>
        <w:widowControl/>
        <w:kinsoku/>
        <w:wordWrap/>
        <w:overflowPunct/>
        <w:topLinePunct w:val="0"/>
        <w:autoSpaceDE/>
        <w:autoSpaceDN/>
        <w:bidi w:val="0"/>
        <w:adjustRightInd/>
        <w:spacing w:after="0" w:line="360" w:lineRule="auto"/>
        <w:ind w:right="-105" w:rightChars="-5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1.4、其他需求</w:t>
      </w:r>
    </w:p>
    <w:p w14:paraId="3327C683">
      <w:pPr>
        <w:keepNext w:val="0"/>
        <w:keepLines w:val="0"/>
        <w:pageBreakBefore w:val="0"/>
        <w:widowControl/>
        <w:tabs>
          <w:tab w:val="left" w:pos="0"/>
        </w:tabs>
        <w:kinsoku/>
        <w:wordWrap/>
        <w:overflowPunct/>
        <w:topLinePunct w:val="0"/>
        <w:autoSpaceDE/>
        <w:autoSpaceDN/>
        <w:bidi w:val="0"/>
        <w:adjustRightInd/>
        <w:spacing w:after="0" w:line="360" w:lineRule="auto"/>
        <w:ind w:firstLine="480"/>
        <w:jc w:val="left"/>
        <w:textAlignment w:val="auto"/>
        <w:rPr>
          <w:rFonts w:hint="eastAsia" w:ascii="仿宋" w:hAnsi="仿宋" w:eastAsia="仿宋" w:cs="仿宋"/>
          <w:color w:val="0000FF"/>
          <w:kern w:val="0"/>
          <w:sz w:val="24"/>
          <w:szCs w:val="24"/>
          <w:highlight w:val="none"/>
        </w:rPr>
      </w:pPr>
      <w:r>
        <w:rPr>
          <w:rFonts w:hint="eastAsia" w:ascii="仿宋" w:hAnsi="仿宋" w:eastAsia="仿宋" w:cs="仿宋"/>
          <w:kern w:val="0"/>
          <w:sz w:val="24"/>
          <w:szCs w:val="24"/>
          <w:highlight w:val="none"/>
        </w:rPr>
        <w:t>▲（1）投标方需组建一支不低于11人（含2名现有的机埠管理员）的运维管理队伍，指定队伍中的1名人员（不得指定2名现有的机埠管理员）为运维管理队伍的主要负责人，负责与镇农办日常联络</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接受、传达和执行镇农办机埠运维管养指令，指定队伍中的1名人员负责管理和运维浦阳镇机埠标准化管理网络平台。服务期间在需要时投标方需提供防汛排涝、落水救援等服务</w:t>
      </w:r>
      <w:r>
        <w:rPr>
          <w:rFonts w:hint="eastAsia" w:ascii="仿宋" w:hAnsi="仿宋" w:eastAsia="仿宋" w:cs="仿宋"/>
          <w:color w:val="auto"/>
          <w:kern w:val="0"/>
          <w:sz w:val="24"/>
          <w:szCs w:val="24"/>
          <w:highlight w:val="none"/>
        </w:rPr>
        <w:t>。</w:t>
      </w:r>
    </w:p>
    <w:p w14:paraId="5B1C3D77">
      <w:pPr>
        <w:keepNext w:val="0"/>
        <w:keepLines w:val="0"/>
        <w:pageBreakBefore w:val="0"/>
        <w:widowControl/>
        <w:tabs>
          <w:tab w:val="left" w:pos="0"/>
        </w:tabs>
        <w:kinsoku/>
        <w:wordWrap/>
        <w:overflowPunct/>
        <w:topLinePunct w:val="0"/>
        <w:autoSpaceDE/>
        <w:autoSpaceDN/>
        <w:bidi w:val="0"/>
        <w:adjustRightInd/>
        <w:spacing w:after="0" w:line="360" w:lineRule="auto"/>
        <w:ind w:firstLine="48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▲（2）该运维管理队伍需提供具体名单（2名现有机埠管理员除外），该名单即为项目实际配备人员，中标后如要更换人员，须经</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同意。</w:t>
      </w:r>
    </w:p>
    <w:p w14:paraId="07FE0987">
      <w:pPr>
        <w:keepNext w:val="0"/>
        <w:keepLines w:val="0"/>
        <w:pageBreakBefore w:val="0"/>
        <w:widowControl/>
        <w:tabs>
          <w:tab w:val="left" w:pos="0"/>
        </w:tabs>
        <w:kinsoku/>
        <w:wordWrap/>
        <w:overflowPunct/>
        <w:topLinePunct w:val="0"/>
        <w:autoSpaceDE/>
        <w:autoSpaceDN/>
        <w:bidi w:val="0"/>
        <w:adjustRightInd/>
        <w:spacing w:after="0" w:line="360" w:lineRule="auto"/>
        <w:ind w:firstLine="480"/>
        <w:jc w:val="left"/>
        <w:textAlignment w:val="auto"/>
        <w:rPr>
          <w:rFonts w:hint="eastAsia" w:ascii="仿宋" w:hAnsi="仿宋" w:eastAsia="仿宋" w:cs="仿宋"/>
          <w:color w:val="auto"/>
        </w:rPr>
      </w:pPr>
      <w:r>
        <w:rPr>
          <w:rFonts w:hint="eastAsia" w:ascii="仿宋" w:hAnsi="仿宋" w:eastAsia="仿宋" w:cs="仿宋"/>
          <w:kern w:val="0"/>
          <w:sz w:val="24"/>
          <w:szCs w:val="24"/>
          <w:highlight w:val="none"/>
        </w:rPr>
        <w:t>（3）运维管理队伍需按要求定期开展各类机埠及全镇各级河道的巡查任务，熟练使用相关巡查APP，认真查找问题并汇总上报。</w:t>
      </w:r>
    </w:p>
    <w:p w14:paraId="7CFF5940">
      <w:pPr>
        <w:rPr>
          <w:rFonts w:hint="eastAsia" w:ascii="仿宋" w:hAnsi="仿宋" w:eastAsia="仿宋" w:cs="仿宋"/>
          <w:b/>
          <w:bCs/>
          <w:sz w:val="28"/>
          <w:szCs w:val="36"/>
        </w:rPr>
      </w:pPr>
      <w:r>
        <w:rPr>
          <w:rFonts w:hint="eastAsia" w:ascii="仿宋" w:hAnsi="仿宋" w:eastAsia="仿宋" w:cs="仿宋"/>
          <w:b/>
          <w:bCs/>
          <w:color w:val="auto"/>
          <w:sz w:val="28"/>
          <w:szCs w:val="36"/>
        </w:rPr>
        <w:t>2、商务需求：</w:t>
      </w:r>
    </w:p>
    <w:p w14:paraId="4A75740C">
      <w:pPr>
        <w:keepNext w:val="0"/>
        <w:keepLines w:val="0"/>
        <w:pageBreakBefore w:val="0"/>
        <w:widowControl/>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▲2.1服务期：2年（具体起止日期以合同为准）。</w:t>
      </w:r>
    </w:p>
    <w:p w14:paraId="27E4B53C">
      <w:pPr>
        <w:keepNext w:val="0"/>
        <w:keepLines w:val="0"/>
        <w:pageBreakBefore w:val="0"/>
        <w:widowControl/>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2.2付款方式：根据考核情况，每半年支付已完成的半年度运维费用。</w:t>
      </w:r>
    </w:p>
    <w:p w14:paraId="15B82CF3">
      <w:pPr>
        <w:keepNext w:val="0"/>
        <w:keepLines w:val="0"/>
        <w:pageBreakBefore w:val="0"/>
        <w:widowControl/>
        <w:kinsoku/>
        <w:wordWrap/>
        <w:overflowPunct/>
        <w:topLinePunct w:val="0"/>
        <w:autoSpaceDE/>
        <w:autoSpaceDN/>
        <w:bidi w:val="0"/>
        <w:adjustRightInd/>
        <w:spacing w:after="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2.3如中标单位在服务期内违反合同约定，采购人有权提前终止合同，中标单位下年度不得参与投标。</w:t>
      </w:r>
    </w:p>
    <w:p w14:paraId="46936F97">
      <w:pPr>
        <w:pStyle w:val="128"/>
        <w:keepNext w:val="0"/>
        <w:keepLines w:val="0"/>
        <w:pageBreakBefore w:val="0"/>
        <w:widowControl/>
        <w:kinsoku/>
        <w:wordWrap/>
        <w:overflowPunct/>
        <w:topLinePunct w:val="0"/>
        <w:autoSpaceDE/>
        <w:autoSpaceDN/>
        <w:bidi w:val="0"/>
        <w:adjustRightInd/>
        <w:snapToGrid w:val="0"/>
        <w:spacing w:before="0" w:after="0" w:line="360" w:lineRule="auto"/>
        <w:ind w:firstLine="480"/>
        <w:textAlignment w:val="auto"/>
        <w:rPr>
          <w:rFonts w:hint="eastAsia" w:ascii="仿宋" w:hAnsi="仿宋" w:eastAsia="仿宋" w:cs="仿宋"/>
          <w:sz w:val="24"/>
          <w:szCs w:val="24"/>
          <w:highlight w:val="none"/>
        </w:rPr>
      </w:pPr>
      <w:r>
        <w:rPr>
          <w:rFonts w:hint="eastAsia" w:ascii="仿宋" w:hAnsi="仿宋" w:eastAsia="仿宋" w:cs="仿宋"/>
          <w:bCs/>
          <w:sz w:val="24"/>
          <w:szCs w:val="24"/>
          <w:highlight w:val="none"/>
        </w:rPr>
        <w:t>2.4</w:t>
      </w:r>
      <w:r>
        <w:rPr>
          <w:rFonts w:hint="eastAsia" w:ascii="仿宋" w:hAnsi="仿宋" w:eastAsia="仿宋" w:cs="仿宋"/>
          <w:sz w:val="24"/>
          <w:szCs w:val="24"/>
          <w:highlight w:val="none"/>
        </w:rPr>
        <w:t>合同履行完毕后，在未找到接替单位前，中标人应延续1-2个月的服务，费用按原合同签订的标准，按月度费用标准支付。合同期满后，妥善处理退场移交、人员安置，如果出现劳资纠纷，责任在中标单位。</w:t>
      </w:r>
    </w:p>
    <w:p w14:paraId="3EEF24C2">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注：</w:t>
      </w:r>
    </w:p>
    <w:p w14:paraId="3CA09077">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1、如有附图，仅作参考。</w:t>
      </w:r>
    </w:p>
    <w:p w14:paraId="7AC2E2CB">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2、打▲内容为实质性要求，不允许有负偏离，否则将以涉及无效投标条款作无效投标。</w:t>
      </w:r>
    </w:p>
    <w:p w14:paraId="2A0F96B2">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3、中标人所提供的货物、服务须与投标承诺一致，不得以次充好、偷工减料，若在项目验收中发现有上述情况，将向有关部门举报，根据相关规定进行处理。</w:t>
      </w:r>
    </w:p>
    <w:p w14:paraId="68C90E92">
      <w:pPr>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14:paraId="025B9402">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26" w:name="_Toc184312070"/>
      <w:bookmarkEnd w:id="26"/>
      <w:bookmarkStart w:id="27" w:name="_Toc184312129"/>
      <w:bookmarkEnd w:id="27"/>
      <w:bookmarkStart w:id="28" w:name="_Toc184313287"/>
      <w:bookmarkEnd w:id="28"/>
      <w:bookmarkStart w:id="29" w:name="_Toc184308093"/>
      <w:bookmarkEnd w:id="29"/>
      <w:bookmarkStart w:id="30" w:name="_Toc184310278"/>
      <w:bookmarkEnd w:id="30"/>
      <w:bookmarkStart w:id="31" w:name="_Toc184313306"/>
      <w:bookmarkEnd w:id="31"/>
      <w:bookmarkStart w:id="32" w:name="_Toc184310296"/>
      <w:bookmarkEnd w:id="32"/>
      <w:bookmarkStart w:id="33" w:name="_Toc184313296"/>
      <w:bookmarkEnd w:id="33"/>
      <w:bookmarkStart w:id="34" w:name="_Toc184313244"/>
      <w:bookmarkEnd w:id="34"/>
      <w:bookmarkStart w:id="35" w:name="_Toc184313300"/>
      <w:bookmarkEnd w:id="35"/>
      <w:bookmarkStart w:id="36" w:name="_Toc184313271"/>
      <w:bookmarkEnd w:id="36"/>
      <w:bookmarkStart w:id="37" w:name="_Toc184312094"/>
      <w:bookmarkEnd w:id="37"/>
      <w:bookmarkStart w:id="38" w:name="_Toc184312096"/>
      <w:bookmarkEnd w:id="38"/>
      <w:bookmarkStart w:id="39" w:name="_Toc184313245"/>
      <w:bookmarkEnd w:id="39"/>
      <w:bookmarkStart w:id="40" w:name="_Toc184313253"/>
      <w:bookmarkEnd w:id="40"/>
      <w:bookmarkStart w:id="41" w:name="_Toc184310292"/>
      <w:bookmarkEnd w:id="41"/>
      <w:bookmarkStart w:id="42" w:name="_Toc184310300"/>
      <w:bookmarkEnd w:id="42"/>
      <w:bookmarkStart w:id="43" w:name="_Toc184314427"/>
      <w:bookmarkEnd w:id="43"/>
      <w:bookmarkStart w:id="44" w:name="_Toc184310304"/>
      <w:bookmarkEnd w:id="44"/>
      <w:bookmarkStart w:id="45" w:name="_Toc184312100"/>
      <w:bookmarkEnd w:id="45"/>
      <w:bookmarkStart w:id="46" w:name="_Toc184310337"/>
      <w:bookmarkEnd w:id="46"/>
      <w:bookmarkStart w:id="47" w:name="_Toc184310331"/>
      <w:bookmarkEnd w:id="47"/>
      <w:bookmarkStart w:id="48" w:name="_Toc184310280"/>
      <w:bookmarkEnd w:id="48"/>
      <w:bookmarkStart w:id="49" w:name="_Toc184310297"/>
      <w:bookmarkEnd w:id="49"/>
      <w:bookmarkStart w:id="50" w:name="_Toc184313262"/>
      <w:bookmarkEnd w:id="50"/>
      <w:bookmarkStart w:id="51" w:name="_Toc184314414"/>
      <w:bookmarkEnd w:id="51"/>
      <w:bookmarkStart w:id="52" w:name="_Toc184308059"/>
      <w:bookmarkEnd w:id="52"/>
      <w:bookmarkStart w:id="53" w:name="_Toc184314466"/>
      <w:bookmarkEnd w:id="53"/>
      <w:bookmarkStart w:id="54" w:name="_Toc184310336"/>
      <w:bookmarkEnd w:id="54"/>
      <w:bookmarkStart w:id="55" w:name="_Toc184308099"/>
      <w:bookmarkEnd w:id="55"/>
      <w:bookmarkStart w:id="56" w:name="_Toc184310293"/>
      <w:bookmarkEnd w:id="56"/>
      <w:bookmarkStart w:id="57" w:name="_Toc184310319"/>
      <w:bookmarkEnd w:id="57"/>
      <w:bookmarkStart w:id="58" w:name="_Toc184314431"/>
      <w:bookmarkEnd w:id="58"/>
      <w:bookmarkStart w:id="59" w:name="_Toc184310327"/>
      <w:bookmarkEnd w:id="59"/>
      <w:bookmarkStart w:id="60" w:name="_Toc184312069"/>
      <w:bookmarkEnd w:id="60"/>
      <w:bookmarkStart w:id="61" w:name="_Toc184310314"/>
      <w:bookmarkEnd w:id="61"/>
      <w:bookmarkStart w:id="62" w:name="_Toc184308072"/>
      <w:bookmarkEnd w:id="62"/>
      <w:bookmarkStart w:id="63" w:name="_Toc184314481"/>
      <w:bookmarkEnd w:id="63"/>
      <w:bookmarkStart w:id="64" w:name="_Toc184312112"/>
      <w:bookmarkEnd w:id="64"/>
      <w:bookmarkStart w:id="65" w:name="_Toc184312137"/>
      <w:bookmarkEnd w:id="65"/>
      <w:bookmarkStart w:id="66" w:name="_Toc184314428"/>
      <w:bookmarkEnd w:id="66"/>
      <w:bookmarkStart w:id="67" w:name="_Toc184312077"/>
      <w:bookmarkEnd w:id="67"/>
      <w:bookmarkStart w:id="68" w:name="_Toc184313269"/>
      <w:bookmarkEnd w:id="68"/>
      <w:bookmarkStart w:id="69" w:name="_Toc184310339"/>
      <w:bookmarkEnd w:id="69"/>
      <w:bookmarkStart w:id="70" w:name="_Toc184313272"/>
      <w:bookmarkEnd w:id="70"/>
      <w:bookmarkStart w:id="71" w:name="_Toc184313277"/>
      <w:bookmarkEnd w:id="71"/>
      <w:bookmarkStart w:id="72" w:name="_Toc184314479"/>
      <w:bookmarkEnd w:id="72"/>
      <w:bookmarkStart w:id="73" w:name="_Toc184308056"/>
      <w:bookmarkEnd w:id="73"/>
      <w:bookmarkStart w:id="74" w:name="_Toc184312123"/>
      <w:bookmarkEnd w:id="74"/>
      <w:bookmarkStart w:id="75" w:name="_Toc184308096"/>
      <w:bookmarkEnd w:id="75"/>
      <w:bookmarkStart w:id="76" w:name="_Toc184308102"/>
      <w:bookmarkEnd w:id="76"/>
      <w:bookmarkStart w:id="77" w:name="_Toc184313238"/>
      <w:bookmarkEnd w:id="77"/>
      <w:bookmarkStart w:id="78" w:name="_Toc184310272"/>
      <w:bookmarkEnd w:id="78"/>
      <w:bookmarkStart w:id="79" w:name="_Toc184313256"/>
      <w:bookmarkEnd w:id="79"/>
      <w:bookmarkStart w:id="80" w:name="_Toc184312130"/>
      <w:bookmarkEnd w:id="80"/>
      <w:bookmarkStart w:id="81" w:name="_Toc184312080"/>
      <w:bookmarkEnd w:id="81"/>
      <w:bookmarkStart w:id="82" w:name="_Toc184308061"/>
      <w:bookmarkEnd w:id="82"/>
      <w:bookmarkStart w:id="83" w:name="_Toc184312133"/>
      <w:bookmarkEnd w:id="83"/>
      <w:bookmarkStart w:id="84" w:name="_Toc184314457"/>
      <w:bookmarkEnd w:id="84"/>
      <w:bookmarkStart w:id="85" w:name="_Toc184310330"/>
      <w:bookmarkEnd w:id="85"/>
      <w:bookmarkStart w:id="86" w:name="_Toc184312116"/>
      <w:bookmarkEnd w:id="86"/>
      <w:bookmarkStart w:id="87" w:name="_Toc184310344"/>
      <w:bookmarkEnd w:id="87"/>
      <w:bookmarkStart w:id="88" w:name="_Toc184312091"/>
      <w:bookmarkEnd w:id="88"/>
      <w:bookmarkStart w:id="89" w:name="_Toc184310326"/>
      <w:bookmarkEnd w:id="89"/>
      <w:bookmarkStart w:id="90" w:name="_Toc184308043"/>
      <w:bookmarkEnd w:id="90"/>
      <w:bookmarkStart w:id="91" w:name="_Toc184312135"/>
      <w:bookmarkEnd w:id="91"/>
      <w:bookmarkStart w:id="92" w:name="_Toc184308044"/>
      <w:bookmarkEnd w:id="92"/>
      <w:bookmarkStart w:id="93" w:name="_Toc184314437"/>
      <w:bookmarkEnd w:id="93"/>
      <w:bookmarkStart w:id="94" w:name="_Toc184314464"/>
      <w:bookmarkEnd w:id="94"/>
      <w:bookmarkStart w:id="95" w:name="_Toc184313285"/>
      <w:bookmarkEnd w:id="95"/>
      <w:bookmarkStart w:id="96" w:name="_Toc184310295"/>
      <w:bookmarkEnd w:id="96"/>
      <w:bookmarkStart w:id="97" w:name="_Toc184313240"/>
      <w:bookmarkEnd w:id="97"/>
      <w:bookmarkStart w:id="98" w:name="_Toc184308107"/>
      <w:bookmarkEnd w:id="98"/>
      <w:bookmarkStart w:id="99" w:name="_Toc184308068"/>
      <w:bookmarkEnd w:id="99"/>
      <w:bookmarkStart w:id="100" w:name="_Toc184310281"/>
      <w:bookmarkEnd w:id="100"/>
      <w:bookmarkStart w:id="101" w:name="_Toc184313249"/>
      <w:bookmarkEnd w:id="101"/>
      <w:bookmarkStart w:id="102" w:name="_Toc184310310"/>
      <w:bookmarkEnd w:id="102"/>
      <w:bookmarkStart w:id="103" w:name="_Toc184312099"/>
      <w:bookmarkEnd w:id="103"/>
      <w:bookmarkStart w:id="104" w:name="_Toc184312109"/>
      <w:bookmarkEnd w:id="104"/>
      <w:bookmarkStart w:id="105" w:name="_Toc184312138"/>
      <w:bookmarkEnd w:id="105"/>
      <w:bookmarkStart w:id="106" w:name="_Toc184313250"/>
      <w:bookmarkEnd w:id="106"/>
      <w:bookmarkStart w:id="107" w:name="_Toc184312118"/>
      <w:bookmarkEnd w:id="107"/>
      <w:bookmarkStart w:id="108" w:name="_Toc184313278"/>
      <w:bookmarkEnd w:id="108"/>
      <w:bookmarkStart w:id="109" w:name="_Toc184308052"/>
      <w:bookmarkEnd w:id="109"/>
      <w:bookmarkStart w:id="110" w:name="_Toc184308082"/>
      <w:bookmarkEnd w:id="110"/>
      <w:bookmarkStart w:id="111" w:name="_Toc184312075"/>
      <w:bookmarkEnd w:id="111"/>
      <w:bookmarkStart w:id="112" w:name="_Toc184313295"/>
      <w:bookmarkEnd w:id="112"/>
      <w:bookmarkStart w:id="113" w:name="_Toc184308036"/>
      <w:bookmarkEnd w:id="113"/>
      <w:bookmarkStart w:id="114" w:name="_Toc184312110"/>
      <w:bookmarkEnd w:id="114"/>
      <w:bookmarkStart w:id="115" w:name="_Toc184313247"/>
      <w:bookmarkEnd w:id="115"/>
      <w:bookmarkStart w:id="116" w:name="_Toc184308046"/>
      <w:bookmarkEnd w:id="116"/>
      <w:bookmarkStart w:id="117" w:name="_Toc184310311"/>
      <w:bookmarkEnd w:id="117"/>
      <w:bookmarkStart w:id="118" w:name="_Toc184314411"/>
      <w:bookmarkEnd w:id="118"/>
      <w:bookmarkStart w:id="119" w:name="_Toc184313282"/>
      <w:bookmarkEnd w:id="119"/>
      <w:bookmarkStart w:id="120" w:name="_Toc184314460"/>
      <w:bookmarkEnd w:id="120"/>
      <w:bookmarkStart w:id="121" w:name="_Toc184310294"/>
      <w:bookmarkEnd w:id="121"/>
      <w:bookmarkStart w:id="122" w:name="_Toc184312084"/>
      <w:bookmarkEnd w:id="122"/>
      <w:bookmarkStart w:id="123" w:name="_Toc184310291"/>
      <w:bookmarkEnd w:id="123"/>
      <w:bookmarkStart w:id="124" w:name="_Toc184314453"/>
      <w:bookmarkEnd w:id="124"/>
      <w:bookmarkStart w:id="125" w:name="_Toc184313310"/>
      <w:bookmarkEnd w:id="125"/>
      <w:bookmarkStart w:id="126" w:name="_Toc184314424"/>
      <w:bookmarkEnd w:id="126"/>
      <w:bookmarkStart w:id="127" w:name="_Toc184312136"/>
      <w:bookmarkEnd w:id="127"/>
      <w:bookmarkStart w:id="128" w:name="_Toc184314480"/>
      <w:bookmarkEnd w:id="128"/>
      <w:bookmarkStart w:id="129" w:name="_Toc184308050"/>
      <w:bookmarkEnd w:id="129"/>
      <w:bookmarkStart w:id="130" w:name="_Toc184310320"/>
      <w:bookmarkEnd w:id="130"/>
      <w:bookmarkStart w:id="131" w:name="_Toc184314416"/>
      <w:bookmarkEnd w:id="131"/>
      <w:bookmarkStart w:id="132" w:name="_Toc184308089"/>
      <w:bookmarkEnd w:id="132"/>
      <w:bookmarkStart w:id="133" w:name="_Toc184312073"/>
      <w:bookmarkEnd w:id="133"/>
      <w:bookmarkStart w:id="134" w:name="_Toc184314445"/>
      <w:bookmarkEnd w:id="134"/>
      <w:bookmarkStart w:id="135" w:name="_Toc184313248"/>
      <w:bookmarkEnd w:id="135"/>
      <w:bookmarkStart w:id="136" w:name="_Toc184313266"/>
      <w:bookmarkEnd w:id="136"/>
      <w:bookmarkStart w:id="137" w:name="_Toc184312105"/>
      <w:bookmarkEnd w:id="137"/>
      <w:bookmarkStart w:id="138" w:name="_Toc184310303"/>
      <w:bookmarkEnd w:id="138"/>
      <w:bookmarkStart w:id="139" w:name="_Toc184312131"/>
      <w:bookmarkEnd w:id="139"/>
      <w:bookmarkStart w:id="140" w:name="_Toc184308041"/>
      <w:bookmarkEnd w:id="140"/>
      <w:bookmarkStart w:id="141" w:name="_Toc184314473"/>
      <w:bookmarkEnd w:id="141"/>
      <w:bookmarkStart w:id="142" w:name="_Toc184312108"/>
      <w:bookmarkEnd w:id="142"/>
      <w:bookmarkStart w:id="143" w:name="_Toc184312107"/>
      <w:bookmarkEnd w:id="143"/>
      <w:bookmarkStart w:id="144" w:name="_Toc184312128"/>
      <w:bookmarkEnd w:id="144"/>
      <w:bookmarkStart w:id="145" w:name="_Toc184308097"/>
      <w:bookmarkEnd w:id="145"/>
      <w:bookmarkStart w:id="146" w:name="_Toc184313303"/>
      <w:bookmarkEnd w:id="146"/>
      <w:bookmarkStart w:id="147" w:name="_Toc184310315"/>
      <w:bookmarkEnd w:id="147"/>
      <w:bookmarkStart w:id="148" w:name="_Toc184310285"/>
      <w:bookmarkEnd w:id="148"/>
      <w:bookmarkStart w:id="149" w:name="_Toc184314429"/>
      <w:bookmarkEnd w:id="149"/>
      <w:bookmarkStart w:id="150" w:name="_Toc184308065"/>
      <w:bookmarkEnd w:id="150"/>
      <w:bookmarkStart w:id="151" w:name="_Toc184314442"/>
      <w:bookmarkEnd w:id="151"/>
      <w:bookmarkStart w:id="152" w:name="_Toc184310298"/>
      <w:bookmarkEnd w:id="152"/>
      <w:bookmarkStart w:id="153" w:name="_Toc184314410"/>
      <w:bookmarkEnd w:id="153"/>
      <w:bookmarkStart w:id="154" w:name="_Toc184314451"/>
      <w:bookmarkEnd w:id="154"/>
      <w:bookmarkStart w:id="155" w:name="_Toc184314423"/>
      <w:bookmarkEnd w:id="155"/>
      <w:bookmarkStart w:id="156" w:name="_Toc184313281"/>
      <w:bookmarkEnd w:id="156"/>
      <w:bookmarkStart w:id="157" w:name="_Toc184313267"/>
      <w:bookmarkEnd w:id="157"/>
      <w:bookmarkStart w:id="158" w:name="_Toc184313279"/>
      <w:bookmarkEnd w:id="158"/>
      <w:bookmarkStart w:id="159" w:name="_Toc184310277"/>
      <w:bookmarkEnd w:id="159"/>
      <w:bookmarkStart w:id="160" w:name="_Toc184308058"/>
      <w:bookmarkEnd w:id="160"/>
      <w:bookmarkStart w:id="161" w:name="_Toc184312122"/>
      <w:bookmarkEnd w:id="161"/>
      <w:bookmarkStart w:id="162" w:name="_Toc184312125"/>
      <w:bookmarkEnd w:id="162"/>
      <w:bookmarkStart w:id="163" w:name="_Toc184314422"/>
      <w:bookmarkEnd w:id="163"/>
      <w:bookmarkStart w:id="164" w:name="_Toc184308069"/>
      <w:bookmarkEnd w:id="164"/>
      <w:bookmarkStart w:id="165" w:name="_Toc184308053"/>
      <w:bookmarkEnd w:id="165"/>
      <w:bookmarkStart w:id="166" w:name="_Toc184312103"/>
      <w:bookmarkEnd w:id="166"/>
      <w:bookmarkStart w:id="167" w:name="_Toc184308086"/>
      <w:bookmarkEnd w:id="167"/>
      <w:bookmarkStart w:id="168" w:name="_Toc184308081"/>
      <w:bookmarkEnd w:id="168"/>
      <w:bookmarkStart w:id="169" w:name="_Toc184310313"/>
      <w:bookmarkEnd w:id="169"/>
      <w:bookmarkStart w:id="170" w:name="_Toc184310343"/>
      <w:bookmarkEnd w:id="170"/>
      <w:bookmarkStart w:id="171" w:name="_Toc184310299"/>
      <w:bookmarkEnd w:id="171"/>
      <w:bookmarkStart w:id="172" w:name="_Toc184312124"/>
      <w:bookmarkEnd w:id="172"/>
      <w:bookmarkStart w:id="173" w:name="_Toc184314450"/>
      <w:bookmarkEnd w:id="173"/>
      <w:bookmarkStart w:id="174" w:name="_Toc184312098"/>
      <w:bookmarkEnd w:id="174"/>
      <w:bookmarkStart w:id="175" w:name="_Toc184308101"/>
      <w:bookmarkEnd w:id="175"/>
      <w:bookmarkStart w:id="176" w:name="_Toc184314426"/>
      <w:bookmarkEnd w:id="176"/>
      <w:bookmarkStart w:id="177" w:name="_Toc184308103"/>
      <w:bookmarkEnd w:id="177"/>
      <w:bookmarkStart w:id="178" w:name="_Toc184312117"/>
      <w:bookmarkEnd w:id="178"/>
      <w:bookmarkStart w:id="179" w:name="_Toc184312067"/>
      <w:bookmarkEnd w:id="179"/>
      <w:bookmarkStart w:id="180" w:name="_Toc184314441"/>
      <w:bookmarkEnd w:id="180"/>
      <w:bookmarkStart w:id="181" w:name="_Toc184308042"/>
      <w:bookmarkEnd w:id="181"/>
      <w:bookmarkStart w:id="182" w:name="_Toc184310275"/>
      <w:bookmarkEnd w:id="182"/>
      <w:bookmarkStart w:id="183" w:name="_Toc184312074"/>
      <w:bookmarkEnd w:id="183"/>
      <w:bookmarkStart w:id="184" w:name="_Toc184314469"/>
      <w:bookmarkEnd w:id="184"/>
      <w:bookmarkStart w:id="185" w:name="_Toc184310276"/>
      <w:bookmarkEnd w:id="185"/>
      <w:bookmarkStart w:id="186" w:name="_Toc184308063"/>
      <w:bookmarkEnd w:id="186"/>
      <w:bookmarkStart w:id="187" w:name="_Toc184312089"/>
      <w:bookmarkEnd w:id="187"/>
      <w:bookmarkStart w:id="188" w:name="_Toc184314443"/>
      <w:bookmarkEnd w:id="188"/>
      <w:bookmarkStart w:id="189" w:name="_Toc184308087"/>
      <w:bookmarkEnd w:id="189"/>
      <w:bookmarkStart w:id="190" w:name="_Toc184314418"/>
      <w:bookmarkEnd w:id="190"/>
      <w:bookmarkStart w:id="191" w:name="_Toc184314439"/>
      <w:bookmarkEnd w:id="191"/>
      <w:bookmarkStart w:id="192" w:name="_Toc184308104"/>
      <w:bookmarkEnd w:id="192"/>
      <w:bookmarkStart w:id="193" w:name="_Toc184314433"/>
      <w:bookmarkEnd w:id="193"/>
      <w:bookmarkStart w:id="194" w:name="_Toc184310301"/>
      <w:bookmarkEnd w:id="194"/>
      <w:bookmarkStart w:id="195" w:name="_Toc184310340"/>
      <w:bookmarkEnd w:id="195"/>
      <w:bookmarkStart w:id="196" w:name="_Toc184310308"/>
      <w:bookmarkEnd w:id="196"/>
      <w:bookmarkStart w:id="197" w:name="_Toc184312101"/>
      <w:bookmarkEnd w:id="197"/>
      <w:bookmarkStart w:id="198" w:name="_Toc184312132"/>
      <w:bookmarkEnd w:id="198"/>
      <w:bookmarkStart w:id="199" w:name="_Toc184308062"/>
      <w:bookmarkEnd w:id="199"/>
      <w:bookmarkStart w:id="200" w:name="_Toc184308092"/>
      <w:bookmarkEnd w:id="200"/>
      <w:bookmarkStart w:id="201" w:name="_Toc184314420"/>
      <w:bookmarkEnd w:id="201"/>
      <w:bookmarkStart w:id="202" w:name="_Toc184313291"/>
      <w:bookmarkEnd w:id="202"/>
      <w:bookmarkStart w:id="203" w:name="_Toc184308037"/>
      <w:bookmarkEnd w:id="203"/>
      <w:bookmarkStart w:id="204" w:name="_Toc184314425"/>
      <w:bookmarkEnd w:id="204"/>
      <w:bookmarkStart w:id="205" w:name="_Toc184312102"/>
      <w:bookmarkEnd w:id="205"/>
      <w:bookmarkStart w:id="206" w:name="_Toc184308094"/>
      <w:bookmarkEnd w:id="206"/>
      <w:bookmarkStart w:id="207" w:name="_Toc184313289"/>
      <w:bookmarkEnd w:id="207"/>
      <w:bookmarkStart w:id="208" w:name="_Toc184314421"/>
      <w:bookmarkEnd w:id="208"/>
      <w:bookmarkStart w:id="209" w:name="_Toc184310324"/>
      <w:bookmarkEnd w:id="209"/>
      <w:bookmarkStart w:id="210" w:name="_Toc184310305"/>
      <w:bookmarkEnd w:id="210"/>
      <w:bookmarkStart w:id="211" w:name="_Toc184314476"/>
      <w:bookmarkEnd w:id="211"/>
      <w:bookmarkStart w:id="212" w:name="_Toc184314478"/>
      <w:bookmarkEnd w:id="212"/>
      <w:bookmarkStart w:id="213" w:name="_Toc184310341"/>
      <w:bookmarkEnd w:id="213"/>
      <w:bookmarkStart w:id="214" w:name="_Toc184314432"/>
      <w:bookmarkEnd w:id="214"/>
      <w:bookmarkStart w:id="215" w:name="_Toc184308088"/>
      <w:bookmarkEnd w:id="215"/>
      <w:bookmarkStart w:id="216" w:name="_Toc184312076"/>
      <w:bookmarkEnd w:id="216"/>
      <w:bookmarkStart w:id="217" w:name="_Toc184314435"/>
      <w:bookmarkEnd w:id="217"/>
      <w:bookmarkStart w:id="218" w:name="_Toc184312093"/>
      <w:bookmarkEnd w:id="218"/>
      <w:bookmarkStart w:id="219" w:name="_Toc184313288"/>
      <w:bookmarkEnd w:id="219"/>
      <w:bookmarkStart w:id="220" w:name="_Toc184308064"/>
      <w:bookmarkEnd w:id="220"/>
      <w:bookmarkStart w:id="221" w:name="_Toc184313293"/>
      <w:bookmarkEnd w:id="221"/>
      <w:bookmarkStart w:id="222" w:name="_Toc184313297"/>
      <w:bookmarkEnd w:id="222"/>
      <w:bookmarkStart w:id="223" w:name="_Toc184314436"/>
      <w:bookmarkEnd w:id="223"/>
      <w:bookmarkStart w:id="224" w:name="_Toc184314438"/>
      <w:bookmarkEnd w:id="224"/>
      <w:bookmarkStart w:id="225" w:name="_Toc184308080"/>
      <w:bookmarkEnd w:id="225"/>
      <w:bookmarkStart w:id="226" w:name="_Toc184310334"/>
      <w:bookmarkEnd w:id="226"/>
      <w:bookmarkStart w:id="227" w:name="_Toc184308106"/>
      <w:bookmarkEnd w:id="227"/>
      <w:bookmarkStart w:id="228" w:name="_Toc184310335"/>
      <w:bookmarkEnd w:id="228"/>
      <w:bookmarkStart w:id="229" w:name="_Toc184308045"/>
      <w:bookmarkEnd w:id="229"/>
      <w:bookmarkStart w:id="230" w:name="_Toc184310333"/>
      <w:bookmarkEnd w:id="230"/>
      <w:bookmarkStart w:id="231" w:name="_Toc184314440"/>
      <w:bookmarkEnd w:id="231"/>
      <w:bookmarkStart w:id="232" w:name="_Toc184314470"/>
      <w:bookmarkEnd w:id="232"/>
      <w:bookmarkStart w:id="233" w:name="_Toc184314474"/>
      <w:bookmarkEnd w:id="233"/>
      <w:bookmarkStart w:id="234" w:name="_Toc184308066"/>
      <w:bookmarkEnd w:id="234"/>
      <w:bookmarkStart w:id="235" w:name="_Toc184310342"/>
      <w:bookmarkEnd w:id="235"/>
      <w:bookmarkStart w:id="236" w:name="_Toc184308054"/>
      <w:bookmarkEnd w:id="236"/>
      <w:bookmarkStart w:id="237" w:name="_Toc184312113"/>
      <w:bookmarkEnd w:id="237"/>
      <w:bookmarkStart w:id="238" w:name="_Toc184313302"/>
      <w:bookmarkEnd w:id="238"/>
      <w:bookmarkStart w:id="239" w:name="_Toc184310289"/>
      <w:bookmarkEnd w:id="239"/>
      <w:bookmarkStart w:id="240" w:name="_Toc184308055"/>
      <w:bookmarkEnd w:id="240"/>
      <w:bookmarkStart w:id="241" w:name="_Toc184313301"/>
      <w:bookmarkEnd w:id="241"/>
      <w:bookmarkStart w:id="242" w:name="_Toc184312071"/>
      <w:bookmarkEnd w:id="242"/>
      <w:bookmarkStart w:id="243" w:name="_Toc184314456"/>
      <w:bookmarkEnd w:id="243"/>
      <w:bookmarkStart w:id="244" w:name="_Toc184310338"/>
      <w:bookmarkEnd w:id="244"/>
      <w:bookmarkStart w:id="245" w:name="_Toc184314467"/>
      <w:bookmarkEnd w:id="245"/>
      <w:bookmarkStart w:id="246" w:name="_Toc184312068"/>
      <w:bookmarkEnd w:id="246"/>
      <w:bookmarkStart w:id="247" w:name="_Toc184310317"/>
      <w:bookmarkEnd w:id="247"/>
      <w:bookmarkStart w:id="248" w:name="_Toc184313243"/>
      <w:bookmarkEnd w:id="248"/>
      <w:bookmarkStart w:id="249" w:name="_Toc184308067"/>
      <w:bookmarkEnd w:id="249"/>
      <w:bookmarkStart w:id="250" w:name="_Toc184314412"/>
      <w:bookmarkEnd w:id="250"/>
      <w:bookmarkStart w:id="251" w:name="_Toc184312095"/>
      <w:bookmarkEnd w:id="251"/>
      <w:bookmarkStart w:id="252" w:name="_Toc184312111"/>
      <w:bookmarkEnd w:id="252"/>
      <w:bookmarkStart w:id="253" w:name="_Toc184314446"/>
      <w:bookmarkEnd w:id="253"/>
      <w:bookmarkStart w:id="254" w:name="_Toc184314454"/>
      <w:bookmarkEnd w:id="254"/>
      <w:bookmarkStart w:id="255" w:name="_Toc184312097"/>
      <w:bookmarkEnd w:id="255"/>
      <w:bookmarkStart w:id="256" w:name="_Toc184313264"/>
      <w:bookmarkEnd w:id="256"/>
      <w:bookmarkStart w:id="257" w:name="_Toc184312078"/>
      <w:bookmarkEnd w:id="257"/>
      <w:bookmarkStart w:id="258" w:name="_Toc184313263"/>
      <w:bookmarkEnd w:id="258"/>
      <w:bookmarkStart w:id="259" w:name="_Toc184310316"/>
      <w:bookmarkEnd w:id="259"/>
      <w:bookmarkStart w:id="260" w:name="_Toc184310309"/>
      <w:bookmarkEnd w:id="260"/>
      <w:bookmarkStart w:id="261" w:name="_Toc184310286"/>
      <w:bookmarkEnd w:id="261"/>
      <w:bookmarkStart w:id="262" w:name="_Toc184314462"/>
      <w:bookmarkEnd w:id="262"/>
      <w:bookmarkStart w:id="263" w:name="_Toc184310279"/>
      <w:bookmarkEnd w:id="263"/>
      <w:bookmarkStart w:id="264" w:name="_Toc184308091"/>
      <w:bookmarkEnd w:id="264"/>
      <w:bookmarkStart w:id="265" w:name="_Toc184314417"/>
      <w:bookmarkEnd w:id="265"/>
      <w:bookmarkStart w:id="266" w:name="_Toc184312120"/>
      <w:bookmarkEnd w:id="266"/>
      <w:bookmarkStart w:id="267" w:name="_Toc184314415"/>
      <w:bookmarkEnd w:id="267"/>
      <w:bookmarkStart w:id="268" w:name="_Toc184312121"/>
      <w:bookmarkEnd w:id="268"/>
      <w:bookmarkStart w:id="269" w:name="_Toc184312081"/>
      <w:bookmarkEnd w:id="269"/>
      <w:bookmarkStart w:id="270" w:name="_Toc184310328"/>
      <w:bookmarkEnd w:id="270"/>
      <w:bookmarkStart w:id="271" w:name="_Toc184313275"/>
      <w:bookmarkEnd w:id="271"/>
      <w:bookmarkStart w:id="272" w:name="_Toc184312087"/>
      <w:bookmarkEnd w:id="272"/>
      <w:bookmarkStart w:id="273" w:name="_Toc184313257"/>
      <w:bookmarkEnd w:id="273"/>
      <w:bookmarkStart w:id="274" w:name="_Toc184312126"/>
      <w:bookmarkEnd w:id="274"/>
      <w:bookmarkStart w:id="275" w:name="_Toc184313241"/>
      <w:bookmarkEnd w:id="275"/>
      <w:bookmarkStart w:id="276" w:name="_Toc184314461"/>
      <w:bookmarkEnd w:id="276"/>
      <w:bookmarkStart w:id="277" w:name="_Toc184313265"/>
      <w:bookmarkEnd w:id="277"/>
      <w:bookmarkStart w:id="278" w:name="_Toc184308075"/>
      <w:bookmarkEnd w:id="278"/>
      <w:bookmarkStart w:id="279" w:name="_Toc184312114"/>
      <w:bookmarkEnd w:id="279"/>
      <w:bookmarkStart w:id="280" w:name="_Toc184313242"/>
      <w:bookmarkEnd w:id="280"/>
      <w:bookmarkStart w:id="281" w:name="_Toc184312104"/>
      <w:bookmarkEnd w:id="281"/>
      <w:bookmarkStart w:id="282" w:name="_Toc184314444"/>
      <w:bookmarkEnd w:id="282"/>
      <w:bookmarkStart w:id="283" w:name="_Toc184310332"/>
      <w:bookmarkEnd w:id="283"/>
      <w:bookmarkStart w:id="284" w:name="_Toc184314472"/>
      <w:bookmarkEnd w:id="284"/>
      <w:bookmarkStart w:id="285" w:name="_Toc184308074"/>
      <w:bookmarkEnd w:id="285"/>
      <w:bookmarkStart w:id="286" w:name="_Toc184313298"/>
      <w:bookmarkEnd w:id="286"/>
      <w:bookmarkStart w:id="287" w:name="_Toc184312090"/>
      <w:bookmarkEnd w:id="287"/>
      <w:bookmarkStart w:id="288" w:name="_Toc184313274"/>
      <w:bookmarkEnd w:id="288"/>
      <w:bookmarkStart w:id="289" w:name="_Toc184314430"/>
      <w:bookmarkEnd w:id="289"/>
      <w:bookmarkStart w:id="290" w:name="_Toc184308090"/>
      <w:bookmarkEnd w:id="290"/>
      <w:bookmarkStart w:id="291" w:name="_Toc184313252"/>
      <w:bookmarkEnd w:id="291"/>
      <w:bookmarkStart w:id="292" w:name="_Toc184308040"/>
      <w:bookmarkEnd w:id="292"/>
      <w:bookmarkStart w:id="293" w:name="_Toc184313294"/>
      <w:bookmarkEnd w:id="293"/>
      <w:bookmarkStart w:id="294" w:name="_Toc184312086"/>
      <w:bookmarkEnd w:id="294"/>
      <w:bookmarkStart w:id="295" w:name="_Toc184312079"/>
      <w:bookmarkEnd w:id="295"/>
      <w:bookmarkStart w:id="296" w:name="_Toc184314465"/>
      <w:bookmarkEnd w:id="296"/>
      <w:bookmarkStart w:id="297" w:name="_Toc184308083"/>
      <w:bookmarkEnd w:id="297"/>
      <w:bookmarkStart w:id="298" w:name="_Toc184310282"/>
      <w:bookmarkEnd w:id="298"/>
      <w:bookmarkStart w:id="299" w:name="_Toc184314468"/>
      <w:bookmarkEnd w:id="299"/>
      <w:bookmarkStart w:id="300" w:name="_Toc184314434"/>
      <w:bookmarkEnd w:id="300"/>
      <w:bookmarkStart w:id="301" w:name="_Toc184310318"/>
      <w:bookmarkEnd w:id="301"/>
      <w:bookmarkStart w:id="302" w:name="_Toc184313261"/>
      <w:bookmarkEnd w:id="302"/>
      <w:bookmarkStart w:id="303" w:name="_Toc184310312"/>
      <w:bookmarkEnd w:id="303"/>
      <w:bookmarkStart w:id="304" w:name="_Toc184313273"/>
      <w:bookmarkEnd w:id="304"/>
      <w:bookmarkStart w:id="305" w:name="_Toc184313283"/>
      <w:bookmarkEnd w:id="305"/>
      <w:bookmarkStart w:id="306" w:name="_Toc184312106"/>
      <w:bookmarkEnd w:id="306"/>
      <w:bookmarkStart w:id="307" w:name="_Toc184308060"/>
      <w:bookmarkEnd w:id="307"/>
      <w:bookmarkStart w:id="308" w:name="_Toc184310302"/>
      <w:bookmarkEnd w:id="308"/>
      <w:bookmarkStart w:id="309" w:name="_Toc184308048"/>
      <w:bookmarkEnd w:id="309"/>
      <w:bookmarkStart w:id="310" w:name="_Toc184312083"/>
      <w:bookmarkEnd w:id="310"/>
      <w:bookmarkStart w:id="311" w:name="_Toc184313307"/>
      <w:bookmarkEnd w:id="311"/>
      <w:bookmarkStart w:id="312" w:name="_Toc184312072"/>
      <w:bookmarkEnd w:id="312"/>
      <w:bookmarkStart w:id="313" w:name="_Toc184312092"/>
      <w:bookmarkEnd w:id="313"/>
      <w:bookmarkStart w:id="314" w:name="_Toc184308077"/>
      <w:bookmarkEnd w:id="314"/>
      <w:bookmarkStart w:id="315" w:name="_Toc184310323"/>
      <w:bookmarkEnd w:id="315"/>
      <w:bookmarkStart w:id="316" w:name="_Toc184308084"/>
      <w:bookmarkEnd w:id="316"/>
      <w:bookmarkStart w:id="317" w:name="_Toc184308105"/>
      <w:bookmarkEnd w:id="317"/>
      <w:bookmarkStart w:id="318" w:name="_Toc184314471"/>
      <w:bookmarkEnd w:id="318"/>
      <w:bookmarkStart w:id="319" w:name="_Toc184312139"/>
      <w:bookmarkEnd w:id="319"/>
      <w:bookmarkStart w:id="320" w:name="_Toc184310284"/>
      <w:bookmarkEnd w:id="320"/>
      <w:bookmarkStart w:id="321" w:name="_Toc184308051"/>
      <w:bookmarkEnd w:id="321"/>
      <w:bookmarkStart w:id="322" w:name="_Toc184313258"/>
      <w:bookmarkEnd w:id="322"/>
      <w:bookmarkStart w:id="323" w:name="_Toc184312085"/>
      <w:bookmarkEnd w:id="323"/>
      <w:bookmarkStart w:id="324" w:name="_Toc184313239"/>
      <w:bookmarkEnd w:id="324"/>
      <w:bookmarkStart w:id="325" w:name="_Toc184308098"/>
      <w:bookmarkEnd w:id="325"/>
      <w:bookmarkStart w:id="326" w:name="_Toc184313255"/>
      <w:bookmarkEnd w:id="326"/>
      <w:bookmarkStart w:id="327" w:name="_Toc184310325"/>
      <w:bookmarkEnd w:id="327"/>
      <w:bookmarkStart w:id="328" w:name="_Toc184313304"/>
      <w:bookmarkEnd w:id="328"/>
      <w:bookmarkStart w:id="329" w:name="_Toc184313254"/>
      <w:bookmarkEnd w:id="329"/>
      <w:bookmarkStart w:id="330" w:name="_Toc184314458"/>
      <w:bookmarkEnd w:id="330"/>
      <w:bookmarkStart w:id="331" w:name="_Toc184308078"/>
      <w:bookmarkEnd w:id="331"/>
      <w:bookmarkStart w:id="332" w:name="_Toc184308057"/>
      <w:bookmarkEnd w:id="332"/>
      <w:bookmarkStart w:id="333" w:name="_Toc184313299"/>
      <w:bookmarkEnd w:id="333"/>
      <w:bookmarkStart w:id="334" w:name="_Toc184310274"/>
      <w:bookmarkEnd w:id="334"/>
      <w:bookmarkStart w:id="335" w:name="_Toc184308108"/>
      <w:bookmarkEnd w:id="335"/>
      <w:bookmarkStart w:id="336" w:name="_Toc184313292"/>
      <w:bookmarkEnd w:id="336"/>
      <w:bookmarkStart w:id="337" w:name="_Toc184308100"/>
      <w:bookmarkEnd w:id="337"/>
      <w:bookmarkStart w:id="338" w:name="_Toc184314449"/>
      <w:bookmarkEnd w:id="338"/>
      <w:bookmarkStart w:id="339" w:name="_Toc184312134"/>
      <w:bookmarkEnd w:id="339"/>
      <w:bookmarkStart w:id="340" w:name="_Toc184313284"/>
      <w:bookmarkEnd w:id="340"/>
      <w:bookmarkStart w:id="341" w:name="_Toc184313286"/>
      <w:bookmarkEnd w:id="341"/>
      <w:bookmarkStart w:id="342" w:name="_Toc184314447"/>
      <w:bookmarkEnd w:id="342"/>
      <w:bookmarkStart w:id="343" w:name="_Toc184313251"/>
      <w:bookmarkEnd w:id="343"/>
      <w:bookmarkStart w:id="344" w:name="_Toc184310322"/>
      <w:bookmarkEnd w:id="344"/>
      <w:bookmarkStart w:id="345" w:name="_Toc184314448"/>
      <w:bookmarkEnd w:id="345"/>
      <w:bookmarkStart w:id="346" w:name="_Toc184310273"/>
      <w:bookmarkEnd w:id="346"/>
      <w:bookmarkStart w:id="347" w:name="_Toc184314477"/>
      <w:bookmarkEnd w:id="347"/>
      <w:bookmarkStart w:id="348" w:name="_Toc184313290"/>
      <w:bookmarkEnd w:id="348"/>
      <w:bookmarkStart w:id="349" w:name="_Toc184314452"/>
      <w:bookmarkEnd w:id="349"/>
      <w:bookmarkStart w:id="350" w:name="_Toc184308073"/>
      <w:bookmarkEnd w:id="350"/>
      <w:bookmarkStart w:id="351" w:name="_Toc184314463"/>
      <w:bookmarkEnd w:id="351"/>
      <w:bookmarkStart w:id="352" w:name="_Toc184312115"/>
      <w:bookmarkEnd w:id="352"/>
      <w:bookmarkStart w:id="353" w:name="_Toc184314455"/>
      <w:bookmarkEnd w:id="353"/>
      <w:bookmarkStart w:id="354" w:name="_Toc184313246"/>
      <w:bookmarkEnd w:id="354"/>
      <w:bookmarkStart w:id="355" w:name="_Toc184308071"/>
      <w:bookmarkEnd w:id="355"/>
      <w:bookmarkStart w:id="356" w:name="_Toc184312127"/>
      <w:bookmarkEnd w:id="356"/>
      <w:bookmarkStart w:id="357" w:name="_Toc184308047"/>
      <w:bookmarkEnd w:id="357"/>
      <w:bookmarkStart w:id="358" w:name="_Toc184314482"/>
      <w:bookmarkEnd w:id="358"/>
      <w:bookmarkStart w:id="359" w:name="_Toc184310307"/>
      <w:bookmarkEnd w:id="359"/>
      <w:bookmarkStart w:id="360" w:name="_Toc184314419"/>
      <w:bookmarkEnd w:id="360"/>
      <w:bookmarkStart w:id="361" w:name="_Toc184314475"/>
      <w:bookmarkEnd w:id="361"/>
      <w:bookmarkStart w:id="362" w:name="_Toc184313308"/>
      <w:bookmarkEnd w:id="362"/>
      <w:bookmarkStart w:id="363" w:name="_Toc184313309"/>
      <w:bookmarkEnd w:id="363"/>
      <w:bookmarkStart w:id="364" w:name="_Toc184313270"/>
      <w:bookmarkEnd w:id="364"/>
      <w:bookmarkStart w:id="365" w:name="_Toc184312119"/>
      <w:bookmarkEnd w:id="365"/>
      <w:bookmarkStart w:id="366" w:name="_Toc184308039"/>
      <w:bookmarkEnd w:id="366"/>
      <w:bookmarkStart w:id="367" w:name="_Toc184312088"/>
      <w:bookmarkEnd w:id="367"/>
      <w:bookmarkStart w:id="368" w:name="_Toc184313305"/>
      <w:bookmarkEnd w:id="368"/>
      <w:bookmarkStart w:id="369" w:name="_Toc184313280"/>
      <w:bookmarkEnd w:id="369"/>
      <w:bookmarkStart w:id="370" w:name="_Toc184314413"/>
      <w:bookmarkEnd w:id="370"/>
      <w:bookmarkStart w:id="371" w:name="_Toc184310329"/>
      <w:bookmarkEnd w:id="371"/>
      <w:bookmarkStart w:id="372" w:name="_Toc184310306"/>
      <w:bookmarkEnd w:id="372"/>
      <w:bookmarkStart w:id="373" w:name="_Toc184310288"/>
      <w:bookmarkEnd w:id="373"/>
      <w:bookmarkStart w:id="374" w:name="_Toc184312082"/>
      <w:bookmarkEnd w:id="374"/>
      <w:bookmarkStart w:id="375" w:name="_Toc184308038"/>
      <w:bookmarkEnd w:id="375"/>
      <w:bookmarkStart w:id="376" w:name="_Toc184313260"/>
      <w:bookmarkEnd w:id="376"/>
      <w:bookmarkStart w:id="377" w:name="_Toc184308079"/>
      <w:bookmarkEnd w:id="377"/>
      <w:bookmarkStart w:id="378" w:name="_Toc184308076"/>
      <w:bookmarkEnd w:id="378"/>
      <w:bookmarkStart w:id="379" w:name="_Toc184308095"/>
      <w:bookmarkEnd w:id="379"/>
      <w:bookmarkStart w:id="380" w:name="_Toc184310283"/>
      <w:bookmarkEnd w:id="380"/>
      <w:bookmarkStart w:id="381" w:name="_Toc184310287"/>
      <w:bookmarkEnd w:id="381"/>
      <w:bookmarkStart w:id="382" w:name="_Toc184310321"/>
      <w:bookmarkEnd w:id="382"/>
      <w:bookmarkStart w:id="383" w:name="_Toc184308049"/>
      <w:bookmarkEnd w:id="383"/>
      <w:bookmarkStart w:id="384" w:name="_Toc184313259"/>
      <w:bookmarkEnd w:id="384"/>
      <w:bookmarkStart w:id="385" w:name="_Toc184308070"/>
      <w:bookmarkEnd w:id="385"/>
      <w:bookmarkStart w:id="386" w:name="_Toc184310290"/>
      <w:bookmarkEnd w:id="386"/>
      <w:bookmarkStart w:id="387" w:name="_Toc184308085"/>
      <w:bookmarkEnd w:id="387"/>
      <w:bookmarkStart w:id="388" w:name="_Toc184314459"/>
      <w:bookmarkEnd w:id="388"/>
      <w:bookmarkStart w:id="389" w:name="_Toc184313268"/>
      <w:bookmarkEnd w:id="389"/>
      <w:bookmarkStart w:id="390" w:name="_Toc184313276"/>
      <w:bookmarkEnd w:id="390"/>
      <w:r>
        <w:rPr>
          <w:rFonts w:hint="eastAsia" w:ascii="仿宋" w:hAnsi="仿宋" w:eastAsia="仿宋" w:cs="仿宋"/>
          <w:b/>
          <w:color w:val="auto"/>
          <w:sz w:val="36"/>
          <w:szCs w:val="36"/>
        </w:rPr>
        <w:t>评标办法</w:t>
      </w:r>
    </w:p>
    <w:p w14:paraId="74789F03">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14:paraId="78F8F0A7">
      <w:pPr>
        <w:pStyle w:val="3"/>
        <w:keepNext/>
        <w:keepLines/>
        <w:pageBreakBefore w:val="0"/>
        <w:widowControl w:val="0"/>
        <w:kinsoku/>
        <w:wordWrap/>
        <w:overflowPunct/>
        <w:topLinePunct w:val="0"/>
        <w:autoSpaceDE/>
        <w:autoSpaceDN/>
        <w:bidi w:val="0"/>
        <w:adjustRightInd w:val="0"/>
        <w:snapToGrid/>
        <w:spacing w:before="0" w:after="0" w:line="360" w:lineRule="auto"/>
        <w:ind w:left="0" w:firstLine="0"/>
        <w:textAlignment w:val="auto"/>
        <w:rPr>
          <w:rFonts w:hint="eastAsia"/>
        </w:rPr>
      </w:pPr>
      <w:r>
        <w:rPr>
          <w:rFonts w:hint="eastAsia" w:ascii="仿宋" w:hAnsi="仿宋" w:eastAsia="仿宋" w:cs="仿宋"/>
          <w:b/>
          <w:bCs/>
          <w:color w:val="auto"/>
          <w:kern w:val="2"/>
          <w:sz w:val="24"/>
          <w:szCs w:val="24"/>
          <w:lang w:val="en-US" w:eastAsia="zh-CN" w:bidi="ar-SA"/>
        </w:rPr>
        <w:t>商务技术分（80分）</w:t>
      </w:r>
    </w:p>
    <w:tbl>
      <w:tblPr>
        <w:tblStyle w:val="63"/>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823"/>
        <w:gridCol w:w="714"/>
        <w:gridCol w:w="5275"/>
        <w:gridCol w:w="870"/>
        <w:gridCol w:w="1033"/>
      </w:tblGrid>
      <w:tr w14:paraId="4149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Align w:val="center"/>
          </w:tcPr>
          <w:p w14:paraId="04CF81B8">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center"/>
              <w:textAlignment w:val="auto"/>
              <w:rPr>
                <w:rFonts w:hint="eastAsia" w:ascii="仿宋" w:hAnsi="仿宋" w:eastAsia="仿宋" w:cs="仿宋"/>
                <w:color w:val="auto"/>
                <w:sz w:val="24"/>
                <w:szCs w:val="24"/>
                <w:highlight w:val="none"/>
              </w:rPr>
            </w:pPr>
          </w:p>
        </w:tc>
        <w:tc>
          <w:tcPr>
            <w:tcW w:w="823" w:type="dxa"/>
            <w:vAlign w:val="center"/>
          </w:tcPr>
          <w:p w14:paraId="5691ED72">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989" w:type="dxa"/>
            <w:gridSpan w:val="2"/>
            <w:vAlign w:val="center"/>
          </w:tcPr>
          <w:p w14:paraId="47258372">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870" w:type="dxa"/>
            <w:vAlign w:val="center"/>
          </w:tcPr>
          <w:p w14:paraId="548777AA">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分值区间</w:t>
            </w:r>
          </w:p>
        </w:tc>
        <w:tc>
          <w:tcPr>
            <w:tcW w:w="1033" w:type="dxa"/>
            <w:vAlign w:val="center"/>
          </w:tcPr>
          <w:p w14:paraId="2666D83D">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主客观分</w:t>
            </w:r>
          </w:p>
        </w:tc>
      </w:tr>
      <w:tr w14:paraId="02DA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Merge w:val="restart"/>
            <w:vAlign w:val="center"/>
          </w:tcPr>
          <w:p w14:paraId="7E6B0CAD">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商务资信分（</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eastAsia="zh-CN"/>
              </w:rPr>
              <w:t>分）</w:t>
            </w:r>
          </w:p>
        </w:tc>
        <w:tc>
          <w:tcPr>
            <w:tcW w:w="823" w:type="dxa"/>
            <w:vAlign w:val="center"/>
          </w:tcPr>
          <w:p w14:paraId="2DDC7382">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989" w:type="dxa"/>
            <w:gridSpan w:val="2"/>
            <w:vAlign w:val="center"/>
          </w:tcPr>
          <w:p w14:paraId="21B216C7">
            <w:pPr>
              <w:keepNext w:val="0"/>
              <w:keepLines w:val="0"/>
              <w:pageBreakBefore w:val="0"/>
              <w:widowControl/>
              <w:kinsoku/>
              <w:wordWrap/>
              <w:overflowPunct/>
              <w:topLinePunct w:val="0"/>
              <w:bidi w:val="0"/>
              <w:adjustRightInd/>
              <w:snapToGrid/>
              <w:spacing w:after="0" w:line="360" w:lineRule="auto"/>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rPr>
              <w:t>投标人具有质量管理体系认证、环境管理体系认证、职业健康安全管理体系认证</w:t>
            </w:r>
            <w:r>
              <w:rPr>
                <w:rFonts w:hint="eastAsia" w:ascii="仿宋" w:hAnsi="仿宋" w:eastAsia="仿宋" w:cs="仿宋"/>
                <w:b w:val="0"/>
                <w:bCs/>
                <w:color w:val="auto"/>
                <w:kern w:val="0"/>
                <w:sz w:val="24"/>
                <w:szCs w:val="24"/>
                <w:highlight w:val="none"/>
                <w:lang w:eastAsia="zh-CN"/>
              </w:rPr>
              <w:t>，每项得</w:t>
            </w:r>
            <w:r>
              <w:rPr>
                <w:rFonts w:hint="eastAsia" w:ascii="仿宋" w:hAnsi="仿宋" w:eastAsia="仿宋" w:cs="仿宋"/>
                <w:b w:val="0"/>
                <w:bCs/>
                <w:color w:val="auto"/>
                <w:kern w:val="0"/>
                <w:sz w:val="24"/>
                <w:szCs w:val="24"/>
                <w:highlight w:val="none"/>
                <w:lang w:val="en-US" w:eastAsia="zh-CN"/>
              </w:rPr>
              <w:t>2分，最高得6分。</w:t>
            </w:r>
          </w:p>
          <w:p w14:paraId="707B1D83">
            <w:pPr>
              <w:keepNext w:val="0"/>
              <w:keepLines w:val="0"/>
              <w:pageBreakBefore w:val="0"/>
              <w:widowControl/>
              <w:kinsoku/>
              <w:wordWrap/>
              <w:overflowPunct/>
              <w:topLinePunct w:val="0"/>
              <w:bidi w:val="0"/>
              <w:adjustRightInd/>
              <w:snapToGrid/>
              <w:spacing w:after="0" w:line="360" w:lineRule="auto"/>
              <w:jc w:val="both"/>
              <w:textAlignment w:val="auto"/>
              <w:rPr>
                <w:rFonts w:hint="eastAsia" w:ascii="仿宋" w:hAnsi="仿宋" w:eastAsia="仿宋" w:cs="仿宋"/>
                <w:b w:val="0"/>
                <w:bCs/>
                <w:snapToGrid w:val="0"/>
                <w:color w:val="auto"/>
                <w:kern w:val="0"/>
                <w:sz w:val="24"/>
                <w:szCs w:val="24"/>
                <w:highlight w:val="none"/>
                <w:lang w:val="zh-CN" w:eastAsia="zh-CN" w:bidi="ar-SA"/>
              </w:rPr>
            </w:pPr>
            <w:r>
              <w:rPr>
                <w:rFonts w:hint="eastAsia" w:ascii="仿宋" w:hAnsi="仿宋" w:eastAsia="仿宋" w:cs="仿宋"/>
                <w:b w:val="0"/>
                <w:bCs/>
                <w:color w:val="auto"/>
                <w:kern w:val="0"/>
                <w:sz w:val="24"/>
                <w:szCs w:val="24"/>
                <w:highlight w:val="none"/>
                <w:lang w:val="en-US" w:eastAsia="zh-CN" w:bidi="ar-SA"/>
              </w:rPr>
              <w:t>（投标文件中须提供清晰可辨的证书扫描件并加盖投标人公章，</w:t>
            </w:r>
            <w:r>
              <w:rPr>
                <w:rFonts w:hint="eastAsia" w:ascii="仿宋" w:hAnsi="仿宋" w:eastAsia="仿宋" w:cs="仿宋"/>
                <w:color w:val="auto"/>
                <w:sz w:val="24"/>
                <w:szCs w:val="24"/>
                <w:highlight w:val="none"/>
                <w:shd w:val="clear" w:color="auto" w:fill="auto"/>
                <w:lang w:val="en-US" w:eastAsia="zh-CN"/>
              </w:rPr>
              <w:t>否则不得分</w:t>
            </w:r>
            <w:r>
              <w:rPr>
                <w:rFonts w:hint="eastAsia" w:ascii="仿宋" w:hAnsi="仿宋" w:eastAsia="仿宋" w:cs="仿宋"/>
                <w:b w:val="0"/>
                <w:bCs/>
                <w:color w:val="auto"/>
                <w:kern w:val="0"/>
                <w:sz w:val="24"/>
                <w:szCs w:val="24"/>
                <w:highlight w:val="none"/>
                <w:lang w:val="en-US" w:eastAsia="zh-CN" w:bidi="ar-SA"/>
              </w:rPr>
              <w:t>）</w:t>
            </w:r>
          </w:p>
        </w:tc>
        <w:tc>
          <w:tcPr>
            <w:tcW w:w="870" w:type="dxa"/>
            <w:vAlign w:val="center"/>
          </w:tcPr>
          <w:p w14:paraId="52F4C21E">
            <w:pPr>
              <w:keepNext w:val="0"/>
              <w:keepLines w:val="0"/>
              <w:pageBreakBefore w:val="0"/>
              <w:widowControl/>
              <w:kinsoku/>
              <w:wordWrap/>
              <w:overflowPunct/>
              <w:topLinePunct w:val="0"/>
              <w:bidi w:val="0"/>
              <w:adjustRightInd w:val="0"/>
              <w:snapToGrid/>
              <w:spacing w:line="300" w:lineRule="exact"/>
              <w:jc w:val="center"/>
              <w:textAlignment w:val="auto"/>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0-6</w:t>
            </w:r>
          </w:p>
        </w:tc>
        <w:tc>
          <w:tcPr>
            <w:tcW w:w="1033" w:type="dxa"/>
            <w:vAlign w:val="center"/>
          </w:tcPr>
          <w:p w14:paraId="6BC36473">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6FDF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877" w:type="dxa"/>
            <w:vMerge w:val="continue"/>
            <w:vAlign w:val="center"/>
          </w:tcPr>
          <w:p w14:paraId="2A1CB567">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lang w:eastAsia="zh-CN"/>
              </w:rPr>
            </w:pPr>
          </w:p>
        </w:tc>
        <w:tc>
          <w:tcPr>
            <w:tcW w:w="823" w:type="dxa"/>
            <w:vAlign w:val="center"/>
          </w:tcPr>
          <w:p w14:paraId="7BB8097D">
            <w:pPr>
              <w:keepNext w:val="0"/>
              <w:keepLines w:val="0"/>
              <w:pageBreakBefore w:val="0"/>
              <w:widowControl/>
              <w:kinsoku/>
              <w:wordWrap/>
              <w:overflowPunct/>
              <w:topLinePunct w:val="0"/>
              <w:bidi w:val="0"/>
              <w:adjustRightInd w:val="0"/>
              <w:snapToGrid/>
              <w:spacing w:line="300" w:lineRule="exact"/>
              <w:jc w:val="center"/>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2</w:t>
            </w:r>
          </w:p>
        </w:tc>
        <w:tc>
          <w:tcPr>
            <w:tcW w:w="5989" w:type="dxa"/>
            <w:gridSpan w:val="2"/>
            <w:vAlign w:val="center"/>
          </w:tcPr>
          <w:p w14:paraId="6422CABD">
            <w:pPr>
              <w:widowControl/>
              <w:spacing w:line="360" w:lineRule="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项目组成员中具有闸门运行工资格证书的，每个得0.5分，最多得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分。项目组成员中具有电工作业证书的，每个得1分，最多得3分。</w:t>
            </w:r>
            <w:r>
              <w:rPr>
                <w:rFonts w:hint="eastAsia" w:ascii="仿宋" w:hAnsi="仿宋" w:eastAsia="仿宋" w:cs="仿宋"/>
                <w:i w:val="0"/>
                <w:iCs w:val="0"/>
                <w:color w:val="000000" w:themeColor="text1"/>
                <w:sz w:val="24"/>
                <w:szCs w:val="24"/>
                <w:highlight w:val="none"/>
                <w14:textFill>
                  <w14:solidFill>
                    <w14:schemeClr w14:val="tx1"/>
                  </w14:solidFill>
                </w14:textFill>
              </w:rPr>
              <w:t>项目组成员</w:t>
            </w:r>
            <w:r>
              <w:rPr>
                <w:rFonts w:hint="eastAsia" w:ascii="仿宋" w:hAnsi="仿宋" w:eastAsia="仿宋" w:cs="仿宋"/>
                <w:color w:val="000000" w:themeColor="text1"/>
                <w:sz w:val="24"/>
                <w:szCs w:val="24"/>
                <w:highlight w:val="none"/>
                <w14:textFill>
                  <w14:solidFill>
                    <w14:schemeClr w14:val="tx1"/>
                  </w14:solidFill>
                </w14:textFill>
              </w:rPr>
              <w:t>中具有国家级潜水证的，每个1分，最多2分。（提供相关人员的证书和劳动合同复印件</w:t>
            </w:r>
            <w:r>
              <w:rPr>
                <w:rFonts w:hint="eastAsia" w:ascii="仿宋" w:hAnsi="仿宋" w:eastAsia="仿宋" w:cs="仿宋"/>
                <w:b w:val="0"/>
                <w:bCs/>
                <w:color w:val="000000" w:themeColor="text1"/>
                <w:kern w:val="0"/>
                <w:sz w:val="24"/>
                <w:szCs w:val="24"/>
                <w:highlight w:val="none"/>
                <w:lang w:val="en-US" w:eastAsia="zh-CN" w:bidi="ar-SA"/>
                <w14:textFill>
                  <w14:solidFill>
                    <w14:schemeClr w14:val="tx1"/>
                  </w14:solidFill>
                </w14:textFill>
              </w:rPr>
              <w:t>并加盖投标人公章</w:t>
            </w:r>
            <w:r>
              <w:rPr>
                <w:rFonts w:hint="eastAsia" w:ascii="仿宋" w:hAnsi="仿宋" w:eastAsia="仿宋" w:cs="仿宋"/>
                <w:color w:val="000000" w:themeColor="text1"/>
                <w:sz w:val="24"/>
                <w:szCs w:val="24"/>
                <w:highlight w:val="none"/>
                <w14:textFill>
                  <w14:solidFill>
                    <w14:schemeClr w14:val="tx1"/>
                  </w14:solidFill>
                </w14:textFill>
              </w:rPr>
              <w:t>，否则不得分）</w:t>
            </w:r>
          </w:p>
        </w:tc>
        <w:tc>
          <w:tcPr>
            <w:tcW w:w="870" w:type="dxa"/>
            <w:vAlign w:val="center"/>
          </w:tcPr>
          <w:p w14:paraId="24DFFCAD">
            <w:pPr>
              <w:widowControl/>
              <w:spacing w:line="360" w:lineRule="auto"/>
              <w:jc w:val="center"/>
              <w:rPr>
                <w:rFonts w:hint="eastAsia" w:ascii="仿宋" w:hAnsi="仿宋" w:eastAsia="仿宋" w:cs="仿宋"/>
                <w:color w:val="auto"/>
                <w:sz w:val="24"/>
                <w:szCs w:val="24"/>
                <w:highlight w:val="none"/>
                <w:shd w:val="clear" w:color="auto" w:fill="auto"/>
                <w:lang w:val="en-US" w:eastAsia="zh-CN" w:bidi="ar-SA"/>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p>
        </w:tc>
        <w:tc>
          <w:tcPr>
            <w:tcW w:w="1033" w:type="dxa"/>
            <w:vAlign w:val="center"/>
          </w:tcPr>
          <w:p w14:paraId="7B17A3EA">
            <w:pPr>
              <w:widowControl/>
              <w:spacing w:line="360" w:lineRule="auto"/>
              <w:jc w:val="center"/>
              <w:rPr>
                <w:rFonts w:hint="eastAsia" w:ascii="仿宋" w:hAnsi="仿宋" w:eastAsia="仿宋" w:cs="仿宋"/>
                <w:color w:val="auto"/>
                <w:sz w:val="24"/>
                <w:szCs w:val="24"/>
                <w:highlight w:val="none"/>
                <w:shd w:val="clear" w:color="auto" w:fill="auto"/>
                <w:lang w:val="en-US" w:eastAsia="zh-CN" w:bidi="ar-SA"/>
              </w:rPr>
            </w:pPr>
            <w:r>
              <w:rPr>
                <w:rFonts w:hint="eastAsia" w:ascii="仿宋" w:hAnsi="仿宋" w:eastAsia="仿宋" w:cs="仿宋"/>
                <w:sz w:val="24"/>
                <w:szCs w:val="24"/>
              </w:rPr>
              <w:t>客观分</w:t>
            </w:r>
          </w:p>
        </w:tc>
      </w:tr>
      <w:tr w14:paraId="45C2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restart"/>
            <w:vAlign w:val="center"/>
          </w:tcPr>
          <w:p w14:paraId="065BE978">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技术分（</w:t>
            </w:r>
            <w:r>
              <w:rPr>
                <w:rFonts w:hint="eastAsia" w:ascii="仿宋" w:hAnsi="仿宋" w:eastAsia="仿宋" w:cs="仿宋"/>
                <w:color w:val="auto"/>
                <w:sz w:val="24"/>
                <w:szCs w:val="24"/>
                <w:highlight w:val="none"/>
                <w:lang w:val="en-US" w:eastAsia="zh-CN"/>
              </w:rPr>
              <w:t>64</w:t>
            </w:r>
            <w:r>
              <w:rPr>
                <w:rFonts w:hint="eastAsia" w:ascii="仿宋" w:hAnsi="仿宋" w:eastAsia="仿宋" w:cs="仿宋"/>
                <w:color w:val="auto"/>
                <w:sz w:val="24"/>
                <w:szCs w:val="24"/>
                <w:highlight w:val="none"/>
                <w:lang w:eastAsia="zh-CN"/>
              </w:rPr>
              <w:t>）</w:t>
            </w:r>
          </w:p>
        </w:tc>
        <w:tc>
          <w:tcPr>
            <w:tcW w:w="823" w:type="dxa"/>
            <w:vAlign w:val="center"/>
          </w:tcPr>
          <w:p w14:paraId="12C96E9F">
            <w:pPr>
              <w:spacing w:after="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color w:val="auto"/>
                <w:kern w:val="0"/>
                <w:sz w:val="24"/>
                <w:szCs w:val="24"/>
                <w:highlight w:val="none"/>
                <w:lang w:val="en-US" w:eastAsia="zh-CN"/>
              </w:rPr>
              <w:t>3</w:t>
            </w:r>
          </w:p>
        </w:tc>
        <w:tc>
          <w:tcPr>
            <w:tcW w:w="714" w:type="dxa"/>
            <w:vMerge w:val="restart"/>
            <w:vAlign w:val="center"/>
          </w:tcPr>
          <w:p w14:paraId="18E5B707">
            <w:pPr>
              <w:widowControl/>
              <w:spacing w:line="360" w:lineRule="auto"/>
              <w:rPr>
                <w:rFonts w:hint="eastAsia" w:ascii="仿宋" w:hAnsi="仿宋" w:eastAsia="仿宋" w:cs="仿宋"/>
                <w:color w:val="auto"/>
                <w:sz w:val="24"/>
                <w:szCs w:val="24"/>
                <w:highlight w:val="yellow"/>
                <w:lang w:val="en-US" w:eastAsia="zh-CN"/>
              </w:rPr>
            </w:pPr>
            <w:r>
              <w:rPr>
                <w:rFonts w:hint="eastAsia" w:ascii="仿宋" w:hAnsi="仿宋" w:eastAsia="仿宋" w:cs="仿宋"/>
                <w:color w:val="000000"/>
                <w:sz w:val="24"/>
                <w:szCs w:val="24"/>
                <w:highlight w:val="none"/>
              </w:rPr>
              <w:t>实施方案</w:t>
            </w:r>
          </w:p>
        </w:tc>
        <w:tc>
          <w:tcPr>
            <w:tcW w:w="5275" w:type="dxa"/>
            <w:vAlign w:val="center"/>
          </w:tcPr>
          <w:p w14:paraId="06010BD8">
            <w:pPr>
              <w:autoSpaceDE w:val="0"/>
              <w:autoSpaceDN w:val="0"/>
              <w:spacing w:after="0" w:line="360" w:lineRule="auto"/>
              <w:rPr>
                <w:rFonts w:hint="eastAsia" w:ascii="仿宋" w:hAnsi="仿宋" w:eastAsia="仿宋" w:cs="仿宋"/>
                <w:color w:val="auto"/>
                <w:sz w:val="24"/>
                <w:szCs w:val="24"/>
                <w:highlight w:val="yellow"/>
                <w:lang w:val="en-US" w:eastAsia="zh-CN"/>
              </w:rPr>
            </w:pPr>
            <w:r>
              <w:rPr>
                <w:rFonts w:hint="eastAsia" w:ascii="仿宋" w:hAnsi="仿宋" w:eastAsia="仿宋" w:cs="仿宋"/>
                <w:color w:val="000000"/>
                <w:sz w:val="24"/>
                <w:szCs w:val="24"/>
                <w:highlight w:val="none"/>
              </w:rPr>
              <w:t>服务目标及具体实施管理方案。</w:t>
            </w:r>
            <w:r>
              <w:rPr>
                <w:rFonts w:hint="eastAsia" w:ascii="仿宋" w:hAnsi="仿宋" w:eastAsia="仿宋" w:cs="仿宋"/>
                <w:b w:val="0"/>
                <w:bCs w:val="0"/>
                <w:color w:val="auto"/>
                <w:kern w:val="2"/>
                <w:sz w:val="24"/>
                <w:szCs w:val="24"/>
                <w:lang w:val="en-US" w:eastAsia="zh-CN" w:bidi="ar-SA"/>
              </w:rPr>
              <w:t>（</w:t>
            </w:r>
            <w:r>
              <w:rPr>
                <w:rFonts w:hint="eastAsia" w:ascii="仿宋" w:hAnsi="仿宋" w:eastAsia="仿宋" w:cs="仿宋"/>
                <w:color w:val="auto"/>
                <w:sz w:val="24"/>
              </w:rPr>
              <w:t>方案整体</w:t>
            </w:r>
            <w:r>
              <w:rPr>
                <w:rFonts w:hint="eastAsia" w:ascii="仿宋" w:hAnsi="仿宋" w:eastAsia="仿宋" w:cs="仿宋"/>
                <w:color w:val="auto"/>
                <w:spacing w:val="-6"/>
                <w:sz w:val="24"/>
              </w:rPr>
              <w:t>详细、合理、全面的得5分；</w:t>
            </w:r>
            <w:r>
              <w:rPr>
                <w:rFonts w:hint="eastAsia" w:ascii="仿宋" w:hAnsi="仿宋" w:eastAsia="仿宋" w:cs="仿宋"/>
                <w:color w:val="auto"/>
                <w:sz w:val="24"/>
              </w:rPr>
              <w:t>方案</w:t>
            </w:r>
            <w:r>
              <w:rPr>
                <w:rFonts w:hint="eastAsia" w:ascii="仿宋" w:hAnsi="仿宋" w:eastAsia="仿宋" w:cs="仿宋"/>
                <w:color w:val="auto"/>
                <w:spacing w:val="-6"/>
                <w:sz w:val="24"/>
              </w:rPr>
              <w:t>整体</w:t>
            </w:r>
            <w:r>
              <w:rPr>
                <w:rFonts w:hint="eastAsia" w:ascii="仿宋" w:hAnsi="仿宋" w:eastAsia="仿宋" w:cs="仿宋"/>
                <w:color w:val="auto"/>
                <w:sz w:val="24"/>
              </w:rPr>
              <w:t>略有不足之处</w:t>
            </w:r>
            <w:r>
              <w:rPr>
                <w:rFonts w:hint="eastAsia" w:ascii="仿宋" w:hAnsi="仿宋" w:eastAsia="仿宋" w:cs="仿宋"/>
                <w:color w:val="auto"/>
                <w:spacing w:val="-6"/>
                <w:sz w:val="24"/>
              </w:rPr>
              <w:t>的得4分；</w:t>
            </w:r>
            <w:r>
              <w:rPr>
                <w:rFonts w:hint="eastAsia" w:ascii="仿宋" w:hAnsi="仿宋" w:eastAsia="仿宋" w:cs="仿宋"/>
                <w:color w:val="auto"/>
                <w:sz w:val="24"/>
              </w:rPr>
              <w:t>方案</w:t>
            </w:r>
            <w:r>
              <w:rPr>
                <w:rFonts w:hint="eastAsia" w:ascii="仿宋" w:hAnsi="仿宋" w:eastAsia="仿宋" w:cs="仿宋"/>
                <w:color w:val="auto"/>
                <w:spacing w:val="-6"/>
                <w:sz w:val="24"/>
              </w:rPr>
              <w:t>整体基本详细、合理、全面的得3分；</w:t>
            </w:r>
            <w:r>
              <w:rPr>
                <w:rFonts w:hint="eastAsia" w:ascii="仿宋" w:hAnsi="仿宋" w:eastAsia="仿宋" w:cs="仿宋"/>
                <w:color w:val="auto"/>
                <w:sz w:val="24"/>
              </w:rPr>
              <w:t>方案</w:t>
            </w:r>
            <w:r>
              <w:rPr>
                <w:rFonts w:hint="eastAsia" w:ascii="仿宋" w:hAnsi="仿宋" w:eastAsia="仿宋" w:cs="仿宋"/>
                <w:color w:val="auto"/>
                <w:spacing w:val="-6"/>
                <w:sz w:val="24"/>
              </w:rPr>
              <w:t>整体</w:t>
            </w:r>
            <w:r>
              <w:rPr>
                <w:rFonts w:hint="eastAsia" w:ascii="仿宋" w:hAnsi="仿宋" w:eastAsia="仿宋" w:cs="仿宋"/>
                <w:color w:val="auto"/>
                <w:sz w:val="24"/>
              </w:rPr>
              <w:t>不具备实施性</w:t>
            </w:r>
            <w:r>
              <w:rPr>
                <w:rFonts w:hint="eastAsia" w:ascii="仿宋" w:hAnsi="仿宋" w:eastAsia="仿宋" w:cs="仿宋"/>
                <w:color w:val="auto"/>
                <w:spacing w:val="-6"/>
                <w:sz w:val="24"/>
              </w:rPr>
              <w:t>的得2分；</w:t>
            </w:r>
            <w:r>
              <w:rPr>
                <w:rFonts w:hint="eastAsia" w:ascii="仿宋" w:hAnsi="仿宋" w:eastAsia="仿宋" w:cs="仿宋"/>
                <w:color w:val="auto"/>
                <w:sz w:val="24"/>
              </w:rPr>
              <w:t>方案</w:t>
            </w:r>
            <w:r>
              <w:rPr>
                <w:rFonts w:hint="eastAsia" w:ascii="仿宋" w:hAnsi="仿宋" w:eastAsia="仿宋" w:cs="仿宋"/>
                <w:color w:val="auto"/>
                <w:spacing w:val="-6"/>
                <w:sz w:val="24"/>
              </w:rPr>
              <w:t>整体存在重大缺陷的得1分；</w:t>
            </w:r>
            <w:r>
              <w:rPr>
                <w:rFonts w:hint="eastAsia" w:ascii="仿宋" w:hAnsi="仿宋" w:eastAsia="仿宋" w:cs="仿宋"/>
                <w:color w:val="auto"/>
                <w:sz w:val="24"/>
              </w:rPr>
              <w:t>未提供的不得分。）</w:t>
            </w:r>
          </w:p>
        </w:tc>
        <w:tc>
          <w:tcPr>
            <w:tcW w:w="870" w:type="dxa"/>
            <w:vAlign w:val="center"/>
          </w:tcPr>
          <w:p w14:paraId="417C419C">
            <w:pPr>
              <w:adjustRightInd w:val="0"/>
              <w:spacing w:after="0" w:line="360" w:lineRule="exact"/>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rPr>
              <w:t>0-5</w:t>
            </w:r>
          </w:p>
        </w:tc>
        <w:tc>
          <w:tcPr>
            <w:tcW w:w="1033" w:type="dxa"/>
            <w:vAlign w:val="center"/>
          </w:tcPr>
          <w:p w14:paraId="37416F9D">
            <w:pPr>
              <w:adjustRightInd w:val="0"/>
              <w:spacing w:after="0" w:line="360" w:lineRule="exact"/>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rPr>
              <w:t>主观分</w:t>
            </w:r>
          </w:p>
        </w:tc>
      </w:tr>
      <w:tr w14:paraId="4C13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continue"/>
            <w:vAlign w:val="center"/>
          </w:tcPr>
          <w:p w14:paraId="4EDDF273">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823" w:type="dxa"/>
            <w:vAlign w:val="center"/>
          </w:tcPr>
          <w:p w14:paraId="362DAA4A">
            <w:pPr>
              <w:spacing w:after="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w:t>
            </w:r>
          </w:p>
        </w:tc>
        <w:tc>
          <w:tcPr>
            <w:tcW w:w="714" w:type="dxa"/>
            <w:vMerge w:val="continue"/>
            <w:vAlign w:val="center"/>
          </w:tcPr>
          <w:p w14:paraId="62B4F905">
            <w:pPr>
              <w:widowControl/>
              <w:spacing w:line="360" w:lineRule="auto"/>
              <w:rPr>
                <w:rFonts w:hint="eastAsia" w:ascii="仿宋" w:hAnsi="仿宋" w:eastAsia="仿宋" w:cs="仿宋"/>
                <w:b w:val="0"/>
                <w:bCs/>
                <w:color w:val="auto"/>
                <w:sz w:val="24"/>
                <w:szCs w:val="24"/>
                <w:highlight w:val="none"/>
                <w:u w:val="none"/>
                <w:lang w:eastAsia="zh-CN"/>
              </w:rPr>
            </w:pPr>
          </w:p>
        </w:tc>
        <w:tc>
          <w:tcPr>
            <w:tcW w:w="5275" w:type="dxa"/>
            <w:vAlign w:val="center"/>
          </w:tcPr>
          <w:p w14:paraId="2BB73E14">
            <w:pPr>
              <w:autoSpaceDE w:val="0"/>
              <w:autoSpaceDN w:val="0"/>
              <w:spacing w:after="0" w:line="360" w:lineRule="auto"/>
              <w:rPr>
                <w:rFonts w:hint="eastAsia" w:ascii="仿宋" w:hAnsi="仿宋" w:eastAsia="仿宋" w:cs="仿宋"/>
                <w:b w:val="0"/>
                <w:bCs/>
                <w:color w:val="auto"/>
                <w:sz w:val="24"/>
                <w:szCs w:val="24"/>
                <w:highlight w:val="none"/>
                <w:u w:val="none"/>
                <w:lang w:eastAsia="zh-CN"/>
              </w:rPr>
            </w:pPr>
            <w:r>
              <w:rPr>
                <w:rFonts w:hint="eastAsia" w:ascii="仿宋" w:hAnsi="仿宋" w:eastAsia="仿宋" w:cs="仿宋"/>
                <w:color w:val="000000"/>
                <w:sz w:val="24"/>
                <w:szCs w:val="24"/>
                <w:highlight w:val="none"/>
              </w:rPr>
              <w:t>日常养护、监测、运维服务操作规程等方案。</w:t>
            </w:r>
            <w:r>
              <w:rPr>
                <w:rFonts w:hint="eastAsia" w:ascii="仿宋" w:hAnsi="仿宋" w:eastAsia="仿宋" w:cs="仿宋"/>
                <w:b w:val="0"/>
                <w:bCs w:val="0"/>
                <w:color w:val="auto"/>
                <w:kern w:val="2"/>
                <w:sz w:val="24"/>
                <w:szCs w:val="24"/>
                <w:lang w:val="en-US" w:eastAsia="zh-CN" w:bidi="ar-SA"/>
              </w:rPr>
              <w:t>（</w:t>
            </w:r>
            <w:r>
              <w:rPr>
                <w:rFonts w:hint="eastAsia" w:ascii="仿宋" w:hAnsi="仿宋" w:eastAsia="仿宋" w:cs="仿宋"/>
                <w:color w:val="auto"/>
                <w:sz w:val="24"/>
              </w:rPr>
              <w:t>方案整体</w:t>
            </w:r>
            <w:r>
              <w:rPr>
                <w:rFonts w:hint="eastAsia" w:ascii="仿宋" w:hAnsi="仿宋" w:eastAsia="仿宋" w:cs="仿宋"/>
                <w:color w:val="auto"/>
                <w:spacing w:val="-6"/>
                <w:sz w:val="24"/>
              </w:rPr>
              <w:t>详细、合理、全面的得5分；</w:t>
            </w:r>
            <w:r>
              <w:rPr>
                <w:rFonts w:hint="eastAsia" w:ascii="仿宋" w:hAnsi="仿宋" w:eastAsia="仿宋" w:cs="仿宋"/>
                <w:color w:val="auto"/>
                <w:sz w:val="24"/>
              </w:rPr>
              <w:t>方案</w:t>
            </w:r>
            <w:r>
              <w:rPr>
                <w:rFonts w:hint="eastAsia" w:ascii="仿宋" w:hAnsi="仿宋" w:eastAsia="仿宋" w:cs="仿宋"/>
                <w:color w:val="auto"/>
                <w:spacing w:val="-6"/>
                <w:sz w:val="24"/>
              </w:rPr>
              <w:t>整体</w:t>
            </w:r>
            <w:r>
              <w:rPr>
                <w:rFonts w:hint="eastAsia" w:ascii="仿宋" w:hAnsi="仿宋" w:eastAsia="仿宋" w:cs="仿宋"/>
                <w:color w:val="auto"/>
                <w:sz w:val="24"/>
              </w:rPr>
              <w:t>略有不足之处</w:t>
            </w:r>
            <w:r>
              <w:rPr>
                <w:rFonts w:hint="eastAsia" w:ascii="仿宋" w:hAnsi="仿宋" w:eastAsia="仿宋" w:cs="仿宋"/>
                <w:color w:val="auto"/>
                <w:spacing w:val="-6"/>
                <w:sz w:val="24"/>
              </w:rPr>
              <w:t>的得4分；</w:t>
            </w:r>
            <w:r>
              <w:rPr>
                <w:rFonts w:hint="eastAsia" w:ascii="仿宋" w:hAnsi="仿宋" w:eastAsia="仿宋" w:cs="仿宋"/>
                <w:color w:val="auto"/>
                <w:sz w:val="24"/>
              </w:rPr>
              <w:t>方案</w:t>
            </w:r>
            <w:r>
              <w:rPr>
                <w:rFonts w:hint="eastAsia" w:ascii="仿宋" w:hAnsi="仿宋" w:eastAsia="仿宋" w:cs="仿宋"/>
                <w:color w:val="auto"/>
                <w:spacing w:val="-6"/>
                <w:sz w:val="24"/>
              </w:rPr>
              <w:t>整体基本详细、合理、全面的得3分；</w:t>
            </w:r>
            <w:r>
              <w:rPr>
                <w:rFonts w:hint="eastAsia" w:ascii="仿宋" w:hAnsi="仿宋" w:eastAsia="仿宋" w:cs="仿宋"/>
                <w:color w:val="auto"/>
                <w:sz w:val="24"/>
              </w:rPr>
              <w:t>方案</w:t>
            </w:r>
            <w:r>
              <w:rPr>
                <w:rFonts w:hint="eastAsia" w:ascii="仿宋" w:hAnsi="仿宋" w:eastAsia="仿宋" w:cs="仿宋"/>
                <w:color w:val="auto"/>
                <w:spacing w:val="-6"/>
                <w:sz w:val="24"/>
              </w:rPr>
              <w:t>整体</w:t>
            </w:r>
            <w:r>
              <w:rPr>
                <w:rFonts w:hint="eastAsia" w:ascii="仿宋" w:hAnsi="仿宋" w:eastAsia="仿宋" w:cs="仿宋"/>
                <w:color w:val="auto"/>
                <w:sz w:val="24"/>
              </w:rPr>
              <w:t>不具备实施性</w:t>
            </w:r>
            <w:r>
              <w:rPr>
                <w:rFonts w:hint="eastAsia" w:ascii="仿宋" w:hAnsi="仿宋" w:eastAsia="仿宋" w:cs="仿宋"/>
                <w:color w:val="auto"/>
                <w:spacing w:val="-6"/>
                <w:sz w:val="24"/>
              </w:rPr>
              <w:t>的得2分；</w:t>
            </w:r>
            <w:r>
              <w:rPr>
                <w:rFonts w:hint="eastAsia" w:ascii="仿宋" w:hAnsi="仿宋" w:eastAsia="仿宋" w:cs="仿宋"/>
                <w:color w:val="auto"/>
                <w:sz w:val="24"/>
              </w:rPr>
              <w:t>方案</w:t>
            </w:r>
            <w:r>
              <w:rPr>
                <w:rFonts w:hint="eastAsia" w:ascii="仿宋" w:hAnsi="仿宋" w:eastAsia="仿宋" w:cs="仿宋"/>
                <w:color w:val="auto"/>
                <w:spacing w:val="-6"/>
                <w:sz w:val="24"/>
              </w:rPr>
              <w:t>整体存在重大缺陷的得1分；</w:t>
            </w:r>
            <w:r>
              <w:rPr>
                <w:rFonts w:hint="eastAsia" w:ascii="仿宋" w:hAnsi="仿宋" w:eastAsia="仿宋" w:cs="仿宋"/>
                <w:color w:val="auto"/>
                <w:sz w:val="24"/>
              </w:rPr>
              <w:t>未提供的不得分。）</w:t>
            </w:r>
          </w:p>
        </w:tc>
        <w:tc>
          <w:tcPr>
            <w:tcW w:w="870" w:type="dxa"/>
            <w:vAlign w:val="center"/>
          </w:tcPr>
          <w:p w14:paraId="7D4CA860">
            <w:pPr>
              <w:adjustRightInd w:val="0"/>
              <w:spacing w:after="0" w:line="360" w:lineRule="exact"/>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rPr>
              <w:t>0-</w:t>
            </w:r>
            <w:r>
              <w:rPr>
                <w:rFonts w:hint="eastAsia" w:ascii="仿宋" w:hAnsi="仿宋" w:eastAsia="仿宋" w:cs="仿宋"/>
                <w:color w:val="000000"/>
                <w:sz w:val="24"/>
                <w:szCs w:val="24"/>
                <w:highlight w:val="none"/>
                <w:lang w:val="en-US" w:eastAsia="zh-CN"/>
              </w:rPr>
              <w:t>5</w:t>
            </w:r>
          </w:p>
        </w:tc>
        <w:tc>
          <w:tcPr>
            <w:tcW w:w="1033" w:type="dxa"/>
            <w:vAlign w:val="center"/>
          </w:tcPr>
          <w:p w14:paraId="48465895">
            <w:pPr>
              <w:adjustRightInd w:val="0"/>
              <w:spacing w:after="0" w:line="360" w:lineRule="exact"/>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rPr>
              <w:t>主观分</w:t>
            </w:r>
          </w:p>
        </w:tc>
      </w:tr>
      <w:tr w14:paraId="2339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77" w:type="dxa"/>
            <w:vMerge w:val="continue"/>
            <w:vAlign w:val="center"/>
          </w:tcPr>
          <w:p w14:paraId="11F4EE60">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823" w:type="dxa"/>
            <w:vAlign w:val="center"/>
          </w:tcPr>
          <w:p w14:paraId="23F333A3">
            <w:pPr>
              <w:spacing w:after="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p>
        </w:tc>
        <w:tc>
          <w:tcPr>
            <w:tcW w:w="714" w:type="dxa"/>
            <w:vMerge w:val="continue"/>
            <w:vAlign w:val="center"/>
          </w:tcPr>
          <w:p w14:paraId="3BF931BB">
            <w:pPr>
              <w:widowControl/>
              <w:spacing w:line="360" w:lineRule="auto"/>
              <w:rPr>
                <w:rFonts w:hint="eastAsia" w:ascii="仿宋" w:hAnsi="仿宋" w:eastAsia="仿宋" w:cs="仿宋"/>
                <w:b w:val="0"/>
                <w:bCs/>
                <w:color w:val="auto"/>
                <w:sz w:val="24"/>
                <w:szCs w:val="24"/>
                <w:highlight w:val="none"/>
                <w:u w:val="none"/>
                <w:lang w:eastAsia="zh-CN"/>
              </w:rPr>
            </w:pPr>
          </w:p>
        </w:tc>
        <w:tc>
          <w:tcPr>
            <w:tcW w:w="5275" w:type="dxa"/>
            <w:vAlign w:val="center"/>
          </w:tcPr>
          <w:p w14:paraId="47567428">
            <w:pPr>
              <w:autoSpaceDE w:val="0"/>
              <w:autoSpaceDN w:val="0"/>
              <w:spacing w:after="0" w:line="360" w:lineRule="auto"/>
              <w:rPr>
                <w:rFonts w:hint="eastAsia" w:ascii="仿宋" w:hAnsi="仿宋" w:eastAsia="仿宋" w:cs="仿宋"/>
                <w:b w:val="0"/>
                <w:bCs/>
                <w:color w:val="auto"/>
                <w:sz w:val="24"/>
                <w:szCs w:val="24"/>
                <w:highlight w:val="none"/>
                <w:u w:val="none"/>
                <w:lang w:eastAsia="zh-CN"/>
              </w:rPr>
            </w:pPr>
            <w:r>
              <w:rPr>
                <w:rFonts w:hint="eastAsia" w:ascii="仿宋" w:hAnsi="仿宋" w:eastAsia="仿宋" w:cs="仿宋"/>
                <w:color w:val="000000"/>
                <w:sz w:val="24"/>
                <w:szCs w:val="24"/>
                <w:highlight w:val="none"/>
              </w:rPr>
              <w:t>实施团队管理架构、组织设计</w:t>
            </w:r>
            <w:r>
              <w:rPr>
                <w:rFonts w:hint="eastAsia" w:ascii="仿宋" w:hAnsi="仿宋" w:eastAsia="仿宋" w:cs="仿宋"/>
                <w:color w:val="000000"/>
                <w:sz w:val="24"/>
                <w:szCs w:val="24"/>
                <w:highlight w:val="none"/>
                <w:lang w:val="en-US" w:eastAsia="zh-CN"/>
              </w:rPr>
              <w:t>方案</w:t>
            </w:r>
            <w:r>
              <w:rPr>
                <w:rFonts w:hint="eastAsia" w:ascii="仿宋" w:hAnsi="仿宋" w:eastAsia="仿宋" w:cs="仿宋"/>
                <w:color w:val="000000"/>
                <w:sz w:val="24"/>
                <w:szCs w:val="24"/>
                <w:highlight w:val="none"/>
              </w:rPr>
              <w:t>。</w:t>
            </w:r>
            <w:r>
              <w:rPr>
                <w:rFonts w:hint="eastAsia" w:ascii="仿宋" w:hAnsi="仿宋" w:eastAsia="仿宋" w:cs="仿宋"/>
                <w:b w:val="0"/>
                <w:bCs w:val="0"/>
                <w:color w:val="auto"/>
                <w:kern w:val="2"/>
                <w:sz w:val="24"/>
                <w:szCs w:val="24"/>
                <w:lang w:val="en-US" w:eastAsia="zh-CN" w:bidi="ar-SA"/>
              </w:rPr>
              <w:t>（</w:t>
            </w:r>
            <w:r>
              <w:rPr>
                <w:rFonts w:hint="eastAsia" w:ascii="仿宋" w:hAnsi="仿宋" w:eastAsia="仿宋" w:cs="仿宋"/>
                <w:color w:val="auto"/>
                <w:sz w:val="24"/>
              </w:rPr>
              <w:t>方案整体</w:t>
            </w:r>
            <w:r>
              <w:rPr>
                <w:rFonts w:hint="eastAsia" w:ascii="仿宋" w:hAnsi="仿宋" w:eastAsia="仿宋" w:cs="仿宋"/>
                <w:color w:val="auto"/>
                <w:spacing w:val="-6"/>
                <w:sz w:val="24"/>
              </w:rPr>
              <w:t>详细、合理、全面的得5分；</w:t>
            </w:r>
            <w:r>
              <w:rPr>
                <w:rFonts w:hint="eastAsia" w:ascii="仿宋" w:hAnsi="仿宋" w:eastAsia="仿宋" w:cs="仿宋"/>
                <w:color w:val="auto"/>
                <w:sz w:val="24"/>
              </w:rPr>
              <w:t>方案</w:t>
            </w:r>
            <w:r>
              <w:rPr>
                <w:rFonts w:hint="eastAsia" w:ascii="仿宋" w:hAnsi="仿宋" w:eastAsia="仿宋" w:cs="仿宋"/>
                <w:color w:val="auto"/>
                <w:spacing w:val="-6"/>
                <w:sz w:val="24"/>
              </w:rPr>
              <w:t>整体</w:t>
            </w:r>
            <w:r>
              <w:rPr>
                <w:rFonts w:hint="eastAsia" w:ascii="仿宋" w:hAnsi="仿宋" w:eastAsia="仿宋" w:cs="仿宋"/>
                <w:color w:val="auto"/>
                <w:sz w:val="24"/>
              </w:rPr>
              <w:t>略有不足之处</w:t>
            </w:r>
            <w:r>
              <w:rPr>
                <w:rFonts w:hint="eastAsia" w:ascii="仿宋" w:hAnsi="仿宋" w:eastAsia="仿宋" w:cs="仿宋"/>
                <w:color w:val="auto"/>
                <w:spacing w:val="-6"/>
                <w:sz w:val="24"/>
              </w:rPr>
              <w:t>的得4分；</w:t>
            </w:r>
            <w:r>
              <w:rPr>
                <w:rFonts w:hint="eastAsia" w:ascii="仿宋" w:hAnsi="仿宋" w:eastAsia="仿宋" w:cs="仿宋"/>
                <w:color w:val="auto"/>
                <w:sz w:val="24"/>
              </w:rPr>
              <w:t>方案</w:t>
            </w:r>
            <w:r>
              <w:rPr>
                <w:rFonts w:hint="eastAsia" w:ascii="仿宋" w:hAnsi="仿宋" w:eastAsia="仿宋" w:cs="仿宋"/>
                <w:color w:val="auto"/>
                <w:spacing w:val="-6"/>
                <w:sz w:val="24"/>
              </w:rPr>
              <w:t>整体基本详细、合理、全面的得3分；</w:t>
            </w:r>
            <w:r>
              <w:rPr>
                <w:rFonts w:hint="eastAsia" w:ascii="仿宋" w:hAnsi="仿宋" w:eastAsia="仿宋" w:cs="仿宋"/>
                <w:color w:val="auto"/>
                <w:sz w:val="24"/>
              </w:rPr>
              <w:t>方案</w:t>
            </w:r>
            <w:r>
              <w:rPr>
                <w:rFonts w:hint="eastAsia" w:ascii="仿宋" w:hAnsi="仿宋" w:eastAsia="仿宋" w:cs="仿宋"/>
                <w:color w:val="auto"/>
                <w:spacing w:val="-6"/>
                <w:sz w:val="24"/>
              </w:rPr>
              <w:t>整体</w:t>
            </w:r>
            <w:r>
              <w:rPr>
                <w:rFonts w:hint="eastAsia" w:ascii="仿宋" w:hAnsi="仿宋" w:eastAsia="仿宋" w:cs="仿宋"/>
                <w:color w:val="auto"/>
                <w:sz w:val="24"/>
              </w:rPr>
              <w:t>不具备实施性</w:t>
            </w:r>
            <w:r>
              <w:rPr>
                <w:rFonts w:hint="eastAsia" w:ascii="仿宋" w:hAnsi="仿宋" w:eastAsia="仿宋" w:cs="仿宋"/>
                <w:color w:val="auto"/>
                <w:spacing w:val="-6"/>
                <w:sz w:val="24"/>
              </w:rPr>
              <w:t>的得2分；</w:t>
            </w:r>
            <w:r>
              <w:rPr>
                <w:rFonts w:hint="eastAsia" w:ascii="仿宋" w:hAnsi="仿宋" w:eastAsia="仿宋" w:cs="仿宋"/>
                <w:color w:val="auto"/>
                <w:sz w:val="24"/>
              </w:rPr>
              <w:t>方案</w:t>
            </w:r>
            <w:r>
              <w:rPr>
                <w:rFonts w:hint="eastAsia" w:ascii="仿宋" w:hAnsi="仿宋" w:eastAsia="仿宋" w:cs="仿宋"/>
                <w:color w:val="auto"/>
                <w:spacing w:val="-6"/>
                <w:sz w:val="24"/>
              </w:rPr>
              <w:t>整体存在重大缺陷的得1分；</w:t>
            </w:r>
            <w:r>
              <w:rPr>
                <w:rFonts w:hint="eastAsia" w:ascii="仿宋" w:hAnsi="仿宋" w:eastAsia="仿宋" w:cs="仿宋"/>
                <w:color w:val="auto"/>
                <w:sz w:val="24"/>
              </w:rPr>
              <w:t>未提供的不得分。）</w:t>
            </w:r>
          </w:p>
        </w:tc>
        <w:tc>
          <w:tcPr>
            <w:tcW w:w="870" w:type="dxa"/>
            <w:vAlign w:val="center"/>
          </w:tcPr>
          <w:p w14:paraId="020947C2">
            <w:pPr>
              <w:adjustRightInd w:val="0"/>
              <w:spacing w:after="0" w:line="360" w:lineRule="exact"/>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rPr>
              <w:t>0-5</w:t>
            </w:r>
          </w:p>
        </w:tc>
        <w:tc>
          <w:tcPr>
            <w:tcW w:w="1033" w:type="dxa"/>
            <w:vAlign w:val="center"/>
          </w:tcPr>
          <w:p w14:paraId="20E880BD">
            <w:pPr>
              <w:adjustRightInd w:val="0"/>
              <w:spacing w:after="0" w:line="360" w:lineRule="exact"/>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rPr>
              <w:t>主观分</w:t>
            </w:r>
          </w:p>
        </w:tc>
      </w:tr>
      <w:tr w14:paraId="1EEE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continue"/>
            <w:vAlign w:val="center"/>
          </w:tcPr>
          <w:p w14:paraId="5FE62338">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823" w:type="dxa"/>
            <w:vAlign w:val="center"/>
          </w:tcPr>
          <w:p w14:paraId="051A7771">
            <w:pPr>
              <w:spacing w:after="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6</w:t>
            </w:r>
          </w:p>
        </w:tc>
        <w:tc>
          <w:tcPr>
            <w:tcW w:w="714" w:type="dxa"/>
            <w:vMerge w:val="continue"/>
            <w:vAlign w:val="center"/>
          </w:tcPr>
          <w:p w14:paraId="61310059">
            <w:pPr>
              <w:widowControl/>
              <w:spacing w:line="360" w:lineRule="auto"/>
              <w:rPr>
                <w:rFonts w:hint="eastAsia" w:ascii="仿宋" w:hAnsi="仿宋" w:eastAsia="仿宋" w:cs="仿宋"/>
                <w:b w:val="0"/>
                <w:bCs/>
                <w:color w:val="auto"/>
                <w:sz w:val="24"/>
                <w:szCs w:val="24"/>
                <w:highlight w:val="none"/>
                <w:u w:val="none"/>
                <w:lang w:eastAsia="zh-CN"/>
              </w:rPr>
            </w:pPr>
          </w:p>
        </w:tc>
        <w:tc>
          <w:tcPr>
            <w:tcW w:w="5275" w:type="dxa"/>
            <w:vAlign w:val="center"/>
          </w:tcPr>
          <w:p w14:paraId="0EA108A9">
            <w:pPr>
              <w:autoSpaceDE w:val="0"/>
              <w:autoSpaceDN w:val="0"/>
              <w:spacing w:after="0" w:line="360" w:lineRule="auto"/>
              <w:rPr>
                <w:rFonts w:hint="eastAsia" w:ascii="仿宋" w:hAnsi="仿宋" w:eastAsia="仿宋" w:cs="仿宋"/>
                <w:b w:val="0"/>
                <w:bCs/>
                <w:color w:val="auto"/>
                <w:sz w:val="24"/>
                <w:szCs w:val="24"/>
                <w:highlight w:val="none"/>
                <w:u w:val="none"/>
                <w:lang w:eastAsia="zh-CN"/>
              </w:rPr>
            </w:pPr>
            <w:r>
              <w:rPr>
                <w:rFonts w:hint="eastAsia" w:ascii="仿宋" w:hAnsi="仿宋" w:eastAsia="仿宋" w:cs="仿宋"/>
                <w:color w:val="000000"/>
                <w:sz w:val="24"/>
                <w:szCs w:val="24"/>
                <w:highlight w:val="none"/>
              </w:rPr>
              <w:t>安全管理、培训制度、培训计划。</w:t>
            </w:r>
            <w:r>
              <w:rPr>
                <w:rFonts w:hint="eastAsia" w:ascii="仿宋" w:hAnsi="仿宋" w:eastAsia="仿宋" w:cs="仿宋"/>
                <w:b w:val="0"/>
                <w:bCs w:val="0"/>
                <w:color w:val="auto"/>
                <w:kern w:val="2"/>
                <w:sz w:val="24"/>
                <w:szCs w:val="24"/>
                <w:lang w:val="en-US" w:eastAsia="zh-CN" w:bidi="ar-SA"/>
              </w:rPr>
              <w:t>（</w:t>
            </w:r>
            <w:r>
              <w:rPr>
                <w:rFonts w:hint="eastAsia" w:ascii="仿宋" w:hAnsi="仿宋" w:eastAsia="仿宋" w:cs="仿宋"/>
                <w:color w:val="auto"/>
                <w:sz w:val="24"/>
              </w:rPr>
              <w:t>方案整体</w:t>
            </w:r>
            <w:r>
              <w:rPr>
                <w:rFonts w:hint="eastAsia" w:ascii="仿宋" w:hAnsi="仿宋" w:eastAsia="仿宋" w:cs="仿宋"/>
                <w:color w:val="auto"/>
                <w:spacing w:val="-6"/>
                <w:sz w:val="24"/>
              </w:rPr>
              <w:t>详细、合理、全面的得5分；</w:t>
            </w:r>
            <w:r>
              <w:rPr>
                <w:rFonts w:hint="eastAsia" w:ascii="仿宋" w:hAnsi="仿宋" w:eastAsia="仿宋" w:cs="仿宋"/>
                <w:color w:val="auto"/>
                <w:sz w:val="24"/>
              </w:rPr>
              <w:t>方案</w:t>
            </w:r>
            <w:r>
              <w:rPr>
                <w:rFonts w:hint="eastAsia" w:ascii="仿宋" w:hAnsi="仿宋" w:eastAsia="仿宋" w:cs="仿宋"/>
                <w:color w:val="auto"/>
                <w:spacing w:val="-6"/>
                <w:sz w:val="24"/>
              </w:rPr>
              <w:t>整体</w:t>
            </w:r>
            <w:r>
              <w:rPr>
                <w:rFonts w:hint="eastAsia" w:ascii="仿宋" w:hAnsi="仿宋" w:eastAsia="仿宋" w:cs="仿宋"/>
                <w:color w:val="auto"/>
                <w:sz w:val="24"/>
              </w:rPr>
              <w:t>略有不足之处</w:t>
            </w:r>
            <w:r>
              <w:rPr>
                <w:rFonts w:hint="eastAsia" w:ascii="仿宋" w:hAnsi="仿宋" w:eastAsia="仿宋" w:cs="仿宋"/>
                <w:color w:val="auto"/>
                <w:spacing w:val="-6"/>
                <w:sz w:val="24"/>
              </w:rPr>
              <w:t>的得4分；</w:t>
            </w:r>
            <w:r>
              <w:rPr>
                <w:rFonts w:hint="eastAsia" w:ascii="仿宋" w:hAnsi="仿宋" w:eastAsia="仿宋" w:cs="仿宋"/>
                <w:color w:val="auto"/>
                <w:sz w:val="24"/>
              </w:rPr>
              <w:t>方案</w:t>
            </w:r>
            <w:r>
              <w:rPr>
                <w:rFonts w:hint="eastAsia" w:ascii="仿宋" w:hAnsi="仿宋" w:eastAsia="仿宋" w:cs="仿宋"/>
                <w:color w:val="auto"/>
                <w:spacing w:val="-6"/>
                <w:sz w:val="24"/>
              </w:rPr>
              <w:t>整体基本详细、合理、全面的得3分；</w:t>
            </w:r>
            <w:r>
              <w:rPr>
                <w:rFonts w:hint="eastAsia" w:ascii="仿宋" w:hAnsi="仿宋" w:eastAsia="仿宋" w:cs="仿宋"/>
                <w:color w:val="auto"/>
                <w:sz w:val="24"/>
              </w:rPr>
              <w:t>方案</w:t>
            </w:r>
            <w:r>
              <w:rPr>
                <w:rFonts w:hint="eastAsia" w:ascii="仿宋" w:hAnsi="仿宋" w:eastAsia="仿宋" w:cs="仿宋"/>
                <w:color w:val="auto"/>
                <w:spacing w:val="-6"/>
                <w:sz w:val="24"/>
              </w:rPr>
              <w:t>整体</w:t>
            </w:r>
            <w:r>
              <w:rPr>
                <w:rFonts w:hint="eastAsia" w:ascii="仿宋" w:hAnsi="仿宋" w:eastAsia="仿宋" w:cs="仿宋"/>
                <w:color w:val="auto"/>
                <w:sz w:val="24"/>
              </w:rPr>
              <w:t>不具备实施性</w:t>
            </w:r>
            <w:r>
              <w:rPr>
                <w:rFonts w:hint="eastAsia" w:ascii="仿宋" w:hAnsi="仿宋" w:eastAsia="仿宋" w:cs="仿宋"/>
                <w:color w:val="auto"/>
                <w:spacing w:val="-6"/>
                <w:sz w:val="24"/>
              </w:rPr>
              <w:t>的得2分；</w:t>
            </w:r>
            <w:r>
              <w:rPr>
                <w:rFonts w:hint="eastAsia" w:ascii="仿宋" w:hAnsi="仿宋" w:eastAsia="仿宋" w:cs="仿宋"/>
                <w:color w:val="auto"/>
                <w:sz w:val="24"/>
              </w:rPr>
              <w:t>方案</w:t>
            </w:r>
            <w:r>
              <w:rPr>
                <w:rFonts w:hint="eastAsia" w:ascii="仿宋" w:hAnsi="仿宋" w:eastAsia="仿宋" w:cs="仿宋"/>
                <w:color w:val="auto"/>
                <w:spacing w:val="-6"/>
                <w:sz w:val="24"/>
              </w:rPr>
              <w:t>整体存在重大缺陷的得1分；</w:t>
            </w:r>
            <w:r>
              <w:rPr>
                <w:rFonts w:hint="eastAsia" w:ascii="仿宋" w:hAnsi="仿宋" w:eastAsia="仿宋" w:cs="仿宋"/>
                <w:color w:val="auto"/>
                <w:sz w:val="24"/>
              </w:rPr>
              <w:t>未提供的不得分。）</w:t>
            </w:r>
          </w:p>
        </w:tc>
        <w:tc>
          <w:tcPr>
            <w:tcW w:w="870" w:type="dxa"/>
            <w:vAlign w:val="center"/>
          </w:tcPr>
          <w:p w14:paraId="4A141075">
            <w:pPr>
              <w:adjustRightInd w:val="0"/>
              <w:spacing w:after="0" w:line="360" w:lineRule="exact"/>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rPr>
              <w:t>0-</w:t>
            </w:r>
            <w:r>
              <w:rPr>
                <w:rFonts w:hint="eastAsia" w:ascii="仿宋" w:hAnsi="仿宋" w:eastAsia="仿宋" w:cs="仿宋"/>
                <w:color w:val="000000"/>
                <w:sz w:val="24"/>
                <w:szCs w:val="24"/>
                <w:highlight w:val="none"/>
                <w:lang w:val="en-US" w:eastAsia="zh-CN"/>
              </w:rPr>
              <w:t>5</w:t>
            </w:r>
          </w:p>
        </w:tc>
        <w:tc>
          <w:tcPr>
            <w:tcW w:w="1033" w:type="dxa"/>
            <w:vAlign w:val="center"/>
          </w:tcPr>
          <w:p w14:paraId="6EB435DB">
            <w:pPr>
              <w:adjustRightInd w:val="0"/>
              <w:spacing w:after="0" w:line="360" w:lineRule="exact"/>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rPr>
              <w:t>主观分</w:t>
            </w:r>
          </w:p>
        </w:tc>
      </w:tr>
      <w:tr w14:paraId="0302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continue"/>
            <w:vAlign w:val="center"/>
          </w:tcPr>
          <w:p w14:paraId="575CDA58">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823" w:type="dxa"/>
            <w:vAlign w:val="center"/>
          </w:tcPr>
          <w:p w14:paraId="7F2CE63B">
            <w:pPr>
              <w:spacing w:after="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7</w:t>
            </w:r>
          </w:p>
        </w:tc>
        <w:tc>
          <w:tcPr>
            <w:tcW w:w="714" w:type="dxa"/>
            <w:vMerge w:val="continue"/>
            <w:vAlign w:val="center"/>
          </w:tcPr>
          <w:p w14:paraId="78315D43">
            <w:pPr>
              <w:widowControl/>
              <w:spacing w:line="360" w:lineRule="auto"/>
              <w:rPr>
                <w:rFonts w:hint="eastAsia" w:ascii="仿宋" w:hAnsi="仿宋" w:eastAsia="仿宋" w:cs="仿宋"/>
                <w:b w:val="0"/>
                <w:bCs/>
                <w:color w:val="auto"/>
                <w:sz w:val="24"/>
                <w:szCs w:val="24"/>
                <w:highlight w:val="none"/>
                <w:u w:val="none"/>
                <w:lang w:eastAsia="zh-CN"/>
              </w:rPr>
            </w:pPr>
          </w:p>
        </w:tc>
        <w:tc>
          <w:tcPr>
            <w:tcW w:w="5275" w:type="dxa"/>
            <w:vAlign w:val="center"/>
          </w:tcPr>
          <w:p w14:paraId="13AFD985">
            <w:pPr>
              <w:autoSpaceDE w:val="0"/>
              <w:autoSpaceDN w:val="0"/>
              <w:spacing w:after="0" w:line="360" w:lineRule="auto"/>
              <w:rPr>
                <w:rFonts w:hint="eastAsia" w:ascii="仿宋" w:hAnsi="仿宋" w:eastAsia="仿宋" w:cs="仿宋"/>
                <w:b w:val="0"/>
                <w:bCs/>
                <w:color w:val="auto"/>
                <w:sz w:val="24"/>
                <w:szCs w:val="24"/>
                <w:highlight w:val="none"/>
                <w:u w:val="none"/>
                <w:lang w:eastAsia="zh-CN"/>
              </w:rPr>
            </w:pPr>
            <w:r>
              <w:rPr>
                <w:rFonts w:hint="eastAsia" w:ascii="仿宋" w:hAnsi="仿宋" w:eastAsia="仿宋" w:cs="仿宋"/>
                <w:color w:val="000000"/>
                <w:sz w:val="24"/>
                <w:szCs w:val="24"/>
                <w:highlight w:val="none"/>
              </w:rPr>
              <w:t>安全检查、安全监督实施方案。</w:t>
            </w:r>
            <w:r>
              <w:rPr>
                <w:rFonts w:hint="eastAsia" w:ascii="仿宋" w:hAnsi="仿宋" w:eastAsia="仿宋" w:cs="仿宋"/>
                <w:b w:val="0"/>
                <w:bCs w:val="0"/>
                <w:color w:val="auto"/>
                <w:kern w:val="2"/>
                <w:sz w:val="24"/>
                <w:szCs w:val="24"/>
                <w:lang w:val="en-US" w:eastAsia="zh-CN" w:bidi="ar-SA"/>
              </w:rPr>
              <w:t>（</w:t>
            </w:r>
            <w:r>
              <w:rPr>
                <w:rFonts w:hint="eastAsia" w:ascii="仿宋" w:hAnsi="仿宋" w:eastAsia="仿宋" w:cs="仿宋"/>
                <w:color w:val="auto"/>
                <w:sz w:val="24"/>
              </w:rPr>
              <w:t>方案整体</w:t>
            </w:r>
            <w:r>
              <w:rPr>
                <w:rFonts w:hint="eastAsia" w:ascii="仿宋" w:hAnsi="仿宋" w:eastAsia="仿宋" w:cs="仿宋"/>
                <w:color w:val="auto"/>
                <w:spacing w:val="-6"/>
                <w:sz w:val="24"/>
              </w:rPr>
              <w:t>详细、合理、全面的得5分；</w:t>
            </w:r>
            <w:r>
              <w:rPr>
                <w:rFonts w:hint="eastAsia" w:ascii="仿宋" w:hAnsi="仿宋" w:eastAsia="仿宋" w:cs="仿宋"/>
                <w:color w:val="auto"/>
                <w:sz w:val="24"/>
              </w:rPr>
              <w:t>方案</w:t>
            </w:r>
            <w:r>
              <w:rPr>
                <w:rFonts w:hint="eastAsia" w:ascii="仿宋" w:hAnsi="仿宋" w:eastAsia="仿宋" w:cs="仿宋"/>
                <w:color w:val="auto"/>
                <w:spacing w:val="-6"/>
                <w:sz w:val="24"/>
              </w:rPr>
              <w:t>整体</w:t>
            </w:r>
            <w:r>
              <w:rPr>
                <w:rFonts w:hint="eastAsia" w:ascii="仿宋" w:hAnsi="仿宋" w:eastAsia="仿宋" w:cs="仿宋"/>
                <w:color w:val="auto"/>
                <w:sz w:val="24"/>
              </w:rPr>
              <w:t>略有不足之处</w:t>
            </w:r>
            <w:r>
              <w:rPr>
                <w:rFonts w:hint="eastAsia" w:ascii="仿宋" w:hAnsi="仿宋" w:eastAsia="仿宋" w:cs="仿宋"/>
                <w:color w:val="auto"/>
                <w:spacing w:val="-6"/>
                <w:sz w:val="24"/>
              </w:rPr>
              <w:t>的得4分；</w:t>
            </w:r>
            <w:r>
              <w:rPr>
                <w:rFonts w:hint="eastAsia" w:ascii="仿宋" w:hAnsi="仿宋" w:eastAsia="仿宋" w:cs="仿宋"/>
                <w:color w:val="auto"/>
                <w:sz w:val="24"/>
              </w:rPr>
              <w:t>方案</w:t>
            </w:r>
            <w:r>
              <w:rPr>
                <w:rFonts w:hint="eastAsia" w:ascii="仿宋" w:hAnsi="仿宋" w:eastAsia="仿宋" w:cs="仿宋"/>
                <w:color w:val="auto"/>
                <w:spacing w:val="-6"/>
                <w:sz w:val="24"/>
              </w:rPr>
              <w:t>整体基本详细、合理、全面的得3分；</w:t>
            </w:r>
            <w:r>
              <w:rPr>
                <w:rFonts w:hint="eastAsia" w:ascii="仿宋" w:hAnsi="仿宋" w:eastAsia="仿宋" w:cs="仿宋"/>
                <w:color w:val="auto"/>
                <w:sz w:val="24"/>
              </w:rPr>
              <w:t>方案</w:t>
            </w:r>
            <w:r>
              <w:rPr>
                <w:rFonts w:hint="eastAsia" w:ascii="仿宋" w:hAnsi="仿宋" w:eastAsia="仿宋" w:cs="仿宋"/>
                <w:color w:val="auto"/>
                <w:spacing w:val="-6"/>
                <w:sz w:val="24"/>
              </w:rPr>
              <w:t>整体</w:t>
            </w:r>
            <w:r>
              <w:rPr>
                <w:rFonts w:hint="eastAsia" w:ascii="仿宋" w:hAnsi="仿宋" w:eastAsia="仿宋" w:cs="仿宋"/>
                <w:color w:val="auto"/>
                <w:sz w:val="24"/>
              </w:rPr>
              <w:t>不具备实施性</w:t>
            </w:r>
            <w:r>
              <w:rPr>
                <w:rFonts w:hint="eastAsia" w:ascii="仿宋" w:hAnsi="仿宋" w:eastAsia="仿宋" w:cs="仿宋"/>
                <w:color w:val="auto"/>
                <w:spacing w:val="-6"/>
                <w:sz w:val="24"/>
              </w:rPr>
              <w:t>的得2分；</w:t>
            </w:r>
            <w:r>
              <w:rPr>
                <w:rFonts w:hint="eastAsia" w:ascii="仿宋" w:hAnsi="仿宋" w:eastAsia="仿宋" w:cs="仿宋"/>
                <w:color w:val="auto"/>
                <w:sz w:val="24"/>
              </w:rPr>
              <w:t>方案</w:t>
            </w:r>
            <w:r>
              <w:rPr>
                <w:rFonts w:hint="eastAsia" w:ascii="仿宋" w:hAnsi="仿宋" w:eastAsia="仿宋" w:cs="仿宋"/>
                <w:color w:val="auto"/>
                <w:spacing w:val="-6"/>
                <w:sz w:val="24"/>
              </w:rPr>
              <w:t>整体存在重大缺陷的得1分；</w:t>
            </w:r>
            <w:r>
              <w:rPr>
                <w:rFonts w:hint="eastAsia" w:ascii="仿宋" w:hAnsi="仿宋" w:eastAsia="仿宋" w:cs="仿宋"/>
                <w:color w:val="auto"/>
                <w:sz w:val="24"/>
              </w:rPr>
              <w:t>未提供的不得分。）</w:t>
            </w:r>
          </w:p>
        </w:tc>
        <w:tc>
          <w:tcPr>
            <w:tcW w:w="870" w:type="dxa"/>
            <w:vAlign w:val="center"/>
          </w:tcPr>
          <w:p w14:paraId="2163DBAD">
            <w:pPr>
              <w:adjustRightInd w:val="0"/>
              <w:spacing w:after="0" w:line="360" w:lineRule="exact"/>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rPr>
              <w:t>0-</w:t>
            </w:r>
            <w:r>
              <w:rPr>
                <w:rFonts w:hint="eastAsia" w:ascii="仿宋" w:hAnsi="仿宋" w:eastAsia="仿宋" w:cs="仿宋"/>
                <w:color w:val="000000"/>
                <w:sz w:val="24"/>
                <w:szCs w:val="24"/>
                <w:highlight w:val="none"/>
                <w:lang w:val="en-US" w:eastAsia="zh-CN"/>
              </w:rPr>
              <w:t>5</w:t>
            </w:r>
          </w:p>
        </w:tc>
        <w:tc>
          <w:tcPr>
            <w:tcW w:w="1033" w:type="dxa"/>
            <w:vAlign w:val="center"/>
          </w:tcPr>
          <w:p w14:paraId="669D6A21">
            <w:pPr>
              <w:adjustRightInd w:val="0"/>
              <w:spacing w:after="0" w:line="360" w:lineRule="exact"/>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szCs w:val="24"/>
                <w:highlight w:val="none"/>
              </w:rPr>
              <w:t>主观分</w:t>
            </w:r>
          </w:p>
        </w:tc>
      </w:tr>
      <w:tr w14:paraId="22B9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877" w:type="dxa"/>
            <w:vMerge w:val="continue"/>
            <w:vAlign w:val="center"/>
          </w:tcPr>
          <w:p w14:paraId="6DF7F902">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823" w:type="dxa"/>
            <w:vAlign w:val="center"/>
          </w:tcPr>
          <w:p w14:paraId="2EA2FE5B">
            <w:pPr>
              <w:spacing w:after="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8</w:t>
            </w:r>
          </w:p>
        </w:tc>
        <w:tc>
          <w:tcPr>
            <w:tcW w:w="714" w:type="dxa"/>
            <w:vMerge w:val="continue"/>
            <w:vAlign w:val="center"/>
          </w:tcPr>
          <w:p w14:paraId="3F7F0D73">
            <w:pPr>
              <w:widowControl/>
              <w:spacing w:line="360" w:lineRule="auto"/>
              <w:rPr>
                <w:rFonts w:hint="eastAsia" w:ascii="仿宋" w:hAnsi="仿宋" w:eastAsia="仿宋" w:cs="仿宋"/>
                <w:b w:val="0"/>
                <w:bCs/>
                <w:color w:val="auto"/>
                <w:sz w:val="24"/>
                <w:szCs w:val="24"/>
                <w:highlight w:val="none"/>
                <w:u w:val="none"/>
                <w:lang w:eastAsia="zh-CN"/>
              </w:rPr>
            </w:pPr>
          </w:p>
        </w:tc>
        <w:tc>
          <w:tcPr>
            <w:tcW w:w="5275" w:type="dxa"/>
            <w:vAlign w:val="center"/>
          </w:tcPr>
          <w:p w14:paraId="05C9C4EA">
            <w:pPr>
              <w:autoSpaceDE w:val="0"/>
              <w:autoSpaceDN w:val="0"/>
              <w:spacing w:after="0"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信息化管理、调度指令信息反馈方案。</w:t>
            </w:r>
            <w:r>
              <w:rPr>
                <w:rFonts w:hint="eastAsia" w:ascii="仿宋" w:hAnsi="仿宋" w:eastAsia="仿宋" w:cs="仿宋"/>
                <w:b w:val="0"/>
                <w:bCs w:val="0"/>
                <w:color w:val="auto"/>
                <w:kern w:val="2"/>
                <w:sz w:val="24"/>
                <w:szCs w:val="24"/>
                <w:lang w:val="en-US" w:eastAsia="zh-CN" w:bidi="ar-SA"/>
              </w:rPr>
              <w:t>（</w:t>
            </w:r>
            <w:r>
              <w:rPr>
                <w:rFonts w:hint="eastAsia" w:ascii="仿宋" w:hAnsi="仿宋" w:eastAsia="仿宋" w:cs="仿宋"/>
                <w:color w:val="auto"/>
                <w:sz w:val="24"/>
              </w:rPr>
              <w:t>方案整体</w:t>
            </w:r>
            <w:r>
              <w:rPr>
                <w:rFonts w:hint="eastAsia" w:ascii="仿宋" w:hAnsi="仿宋" w:eastAsia="仿宋" w:cs="仿宋"/>
                <w:color w:val="auto"/>
                <w:spacing w:val="-6"/>
                <w:sz w:val="24"/>
              </w:rPr>
              <w:t>详细、合理、全面的得5分；</w:t>
            </w:r>
            <w:r>
              <w:rPr>
                <w:rFonts w:hint="eastAsia" w:ascii="仿宋" w:hAnsi="仿宋" w:eastAsia="仿宋" w:cs="仿宋"/>
                <w:color w:val="auto"/>
                <w:sz w:val="24"/>
              </w:rPr>
              <w:t>方案</w:t>
            </w:r>
            <w:r>
              <w:rPr>
                <w:rFonts w:hint="eastAsia" w:ascii="仿宋" w:hAnsi="仿宋" w:eastAsia="仿宋" w:cs="仿宋"/>
                <w:color w:val="auto"/>
                <w:spacing w:val="-6"/>
                <w:sz w:val="24"/>
              </w:rPr>
              <w:t>整体</w:t>
            </w:r>
            <w:r>
              <w:rPr>
                <w:rFonts w:hint="eastAsia" w:ascii="仿宋" w:hAnsi="仿宋" w:eastAsia="仿宋" w:cs="仿宋"/>
                <w:color w:val="auto"/>
                <w:sz w:val="24"/>
              </w:rPr>
              <w:t>略有不足之处</w:t>
            </w:r>
            <w:r>
              <w:rPr>
                <w:rFonts w:hint="eastAsia" w:ascii="仿宋" w:hAnsi="仿宋" w:eastAsia="仿宋" w:cs="仿宋"/>
                <w:color w:val="auto"/>
                <w:spacing w:val="-6"/>
                <w:sz w:val="24"/>
              </w:rPr>
              <w:t>的得4分；</w:t>
            </w:r>
            <w:r>
              <w:rPr>
                <w:rFonts w:hint="eastAsia" w:ascii="仿宋" w:hAnsi="仿宋" w:eastAsia="仿宋" w:cs="仿宋"/>
                <w:color w:val="auto"/>
                <w:sz w:val="24"/>
              </w:rPr>
              <w:t>方案</w:t>
            </w:r>
            <w:r>
              <w:rPr>
                <w:rFonts w:hint="eastAsia" w:ascii="仿宋" w:hAnsi="仿宋" w:eastAsia="仿宋" w:cs="仿宋"/>
                <w:color w:val="auto"/>
                <w:spacing w:val="-6"/>
                <w:sz w:val="24"/>
              </w:rPr>
              <w:t>整体基本详细、合理、全面的得3分；</w:t>
            </w:r>
            <w:r>
              <w:rPr>
                <w:rFonts w:hint="eastAsia" w:ascii="仿宋" w:hAnsi="仿宋" w:eastAsia="仿宋" w:cs="仿宋"/>
                <w:color w:val="auto"/>
                <w:sz w:val="24"/>
              </w:rPr>
              <w:t>方案</w:t>
            </w:r>
            <w:r>
              <w:rPr>
                <w:rFonts w:hint="eastAsia" w:ascii="仿宋" w:hAnsi="仿宋" w:eastAsia="仿宋" w:cs="仿宋"/>
                <w:color w:val="auto"/>
                <w:spacing w:val="-6"/>
                <w:sz w:val="24"/>
              </w:rPr>
              <w:t>整体</w:t>
            </w:r>
            <w:r>
              <w:rPr>
                <w:rFonts w:hint="eastAsia" w:ascii="仿宋" w:hAnsi="仿宋" w:eastAsia="仿宋" w:cs="仿宋"/>
                <w:color w:val="auto"/>
                <w:sz w:val="24"/>
              </w:rPr>
              <w:t>不具备实施性</w:t>
            </w:r>
            <w:r>
              <w:rPr>
                <w:rFonts w:hint="eastAsia" w:ascii="仿宋" w:hAnsi="仿宋" w:eastAsia="仿宋" w:cs="仿宋"/>
                <w:color w:val="auto"/>
                <w:spacing w:val="-6"/>
                <w:sz w:val="24"/>
              </w:rPr>
              <w:t>的得2分；</w:t>
            </w:r>
            <w:r>
              <w:rPr>
                <w:rFonts w:hint="eastAsia" w:ascii="仿宋" w:hAnsi="仿宋" w:eastAsia="仿宋" w:cs="仿宋"/>
                <w:color w:val="auto"/>
                <w:sz w:val="24"/>
              </w:rPr>
              <w:t>方案</w:t>
            </w:r>
            <w:r>
              <w:rPr>
                <w:rFonts w:hint="eastAsia" w:ascii="仿宋" w:hAnsi="仿宋" w:eastAsia="仿宋" w:cs="仿宋"/>
                <w:color w:val="auto"/>
                <w:spacing w:val="-6"/>
                <w:sz w:val="24"/>
              </w:rPr>
              <w:t>整体存在重大缺陷的得1分；</w:t>
            </w:r>
            <w:r>
              <w:rPr>
                <w:rFonts w:hint="eastAsia" w:ascii="仿宋" w:hAnsi="仿宋" w:eastAsia="仿宋" w:cs="仿宋"/>
                <w:color w:val="auto"/>
                <w:sz w:val="24"/>
              </w:rPr>
              <w:t>未提供的不得分。）</w:t>
            </w:r>
          </w:p>
        </w:tc>
        <w:tc>
          <w:tcPr>
            <w:tcW w:w="870" w:type="dxa"/>
            <w:vAlign w:val="center"/>
          </w:tcPr>
          <w:p w14:paraId="06BB60CD">
            <w:pPr>
              <w:autoSpaceDE w:val="0"/>
              <w:autoSpaceDN w:val="0"/>
              <w:spacing w:after="0"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0-5</w:t>
            </w:r>
          </w:p>
        </w:tc>
        <w:tc>
          <w:tcPr>
            <w:tcW w:w="1033" w:type="dxa"/>
            <w:vAlign w:val="center"/>
          </w:tcPr>
          <w:p w14:paraId="24279A5B">
            <w:pPr>
              <w:autoSpaceDE w:val="0"/>
              <w:autoSpaceDN w:val="0"/>
              <w:spacing w:after="0"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主观分</w:t>
            </w:r>
          </w:p>
        </w:tc>
      </w:tr>
      <w:tr w14:paraId="1430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 w:type="dxa"/>
            <w:vMerge w:val="continue"/>
            <w:vAlign w:val="center"/>
          </w:tcPr>
          <w:p w14:paraId="48158D0F">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823" w:type="dxa"/>
            <w:vAlign w:val="center"/>
          </w:tcPr>
          <w:p w14:paraId="37A0ED19">
            <w:pPr>
              <w:spacing w:after="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9</w:t>
            </w:r>
          </w:p>
        </w:tc>
        <w:tc>
          <w:tcPr>
            <w:tcW w:w="5989" w:type="dxa"/>
            <w:gridSpan w:val="2"/>
            <w:vAlign w:val="center"/>
          </w:tcPr>
          <w:p w14:paraId="523C9F14">
            <w:pPr>
              <w:widowControl/>
              <w:spacing w:line="360" w:lineRule="auto"/>
              <w:rPr>
                <w:rFonts w:hint="eastAsia" w:ascii="仿宋" w:hAnsi="仿宋" w:eastAsia="仿宋" w:cs="仿宋"/>
                <w:b w:val="0"/>
                <w:bCs/>
                <w:color w:val="auto"/>
                <w:sz w:val="24"/>
                <w:szCs w:val="24"/>
                <w:highlight w:val="none"/>
                <w:u w:val="none"/>
                <w:lang w:val="en-US" w:eastAsia="zh-CN" w:bidi="ar-SA"/>
              </w:rPr>
            </w:pPr>
            <w:r>
              <w:rPr>
                <w:rFonts w:hint="eastAsia" w:ascii="仿宋" w:hAnsi="仿宋" w:eastAsia="仿宋" w:cs="仿宋"/>
                <w:sz w:val="24"/>
                <w:szCs w:val="24"/>
              </w:rPr>
              <w:t>投标方案中提供或使用主要设备的优劣：具有机动手抬泵5台、橡皮艇2艘、排涝车1辆，满足以上要求的得8分；少一样扣2分，扣</w:t>
            </w:r>
            <w:r>
              <w:rPr>
                <w:rFonts w:hint="eastAsia" w:ascii="仿宋" w:hAnsi="仿宋" w:eastAsia="仿宋" w:cs="仿宋"/>
                <w:sz w:val="24"/>
                <w:szCs w:val="24"/>
                <w:lang w:val="en-US" w:eastAsia="zh-CN"/>
              </w:rPr>
              <w:t>完</w:t>
            </w:r>
            <w:r>
              <w:rPr>
                <w:rFonts w:hint="eastAsia" w:ascii="仿宋" w:hAnsi="仿宋" w:eastAsia="仿宋" w:cs="仿宋"/>
                <w:sz w:val="24"/>
                <w:szCs w:val="24"/>
              </w:rPr>
              <w:t>为止（提供车辆登记证</w:t>
            </w:r>
            <w:r>
              <w:rPr>
                <w:rFonts w:hint="eastAsia" w:ascii="仿宋" w:hAnsi="仿宋" w:eastAsia="仿宋" w:cs="仿宋"/>
                <w:sz w:val="24"/>
                <w:szCs w:val="24"/>
                <w:lang w:val="en-US" w:eastAsia="zh-CN"/>
              </w:rPr>
              <w:t>复印件并加盖投标人公章</w:t>
            </w:r>
            <w:r>
              <w:rPr>
                <w:rFonts w:hint="eastAsia" w:ascii="仿宋" w:hAnsi="仿宋" w:eastAsia="仿宋" w:cs="仿宋"/>
                <w:sz w:val="24"/>
                <w:szCs w:val="24"/>
              </w:rPr>
              <w:t>或购买凭证</w:t>
            </w:r>
            <w:r>
              <w:rPr>
                <w:rFonts w:hint="eastAsia" w:ascii="仿宋" w:hAnsi="仿宋" w:eastAsia="仿宋" w:cs="仿宋"/>
                <w:sz w:val="24"/>
                <w:szCs w:val="24"/>
                <w:lang w:val="en-US" w:eastAsia="zh-CN"/>
              </w:rPr>
              <w:t>复印件并加盖投标人公章</w:t>
            </w:r>
            <w:r>
              <w:rPr>
                <w:rFonts w:hint="eastAsia" w:ascii="仿宋" w:hAnsi="仿宋" w:eastAsia="仿宋" w:cs="仿宋"/>
                <w:sz w:val="24"/>
                <w:szCs w:val="24"/>
              </w:rPr>
              <w:t>或其他相关证明材料</w:t>
            </w:r>
            <w:r>
              <w:rPr>
                <w:rFonts w:hint="eastAsia" w:ascii="仿宋" w:hAnsi="仿宋" w:eastAsia="仿宋" w:cs="仿宋"/>
                <w:sz w:val="24"/>
                <w:szCs w:val="24"/>
                <w:lang w:val="en-US" w:eastAsia="zh-CN"/>
              </w:rPr>
              <w:t>复印件并加盖投标人公章</w:t>
            </w:r>
            <w:r>
              <w:rPr>
                <w:rFonts w:hint="eastAsia" w:ascii="仿宋" w:hAnsi="仿宋" w:eastAsia="仿宋" w:cs="仿宋"/>
                <w:sz w:val="24"/>
                <w:szCs w:val="24"/>
              </w:rPr>
              <w:t>）。</w:t>
            </w:r>
          </w:p>
        </w:tc>
        <w:tc>
          <w:tcPr>
            <w:tcW w:w="870" w:type="dxa"/>
            <w:vAlign w:val="center"/>
          </w:tcPr>
          <w:p w14:paraId="14845D29">
            <w:pPr>
              <w:widowControl/>
              <w:spacing w:line="240" w:lineRule="auto"/>
              <w:jc w:val="center"/>
              <w:rPr>
                <w:rFonts w:hint="eastAsia" w:ascii="仿宋" w:hAnsi="仿宋" w:eastAsia="仿宋" w:cs="仿宋"/>
                <w:color w:val="auto"/>
                <w:sz w:val="24"/>
                <w:szCs w:val="24"/>
                <w:highlight w:val="none"/>
                <w:u w:val="none"/>
                <w:shd w:val="clear" w:color="auto" w:fill="auto"/>
                <w:lang w:val="en-US" w:eastAsia="zh-CN" w:bidi="ar-SA"/>
              </w:rPr>
            </w:pPr>
            <w:r>
              <w:rPr>
                <w:rFonts w:hint="eastAsia" w:ascii="仿宋" w:hAnsi="仿宋" w:eastAsia="仿宋" w:cs="仿宋"/>
                <w:color w:val="auto"/>
                <w:sz w:val="24"/>
                <w:szCs w:val="24"/>
                <w:highlight w:val="none"/>
                <w:u w:val="none"/>
                <w:shd w:val="clear" w:color="auto" w:fill="auto"/>
                <w:lang w:val="en-US" w:eastAsia="zh-CN"/>
              </w:rPr>
              <w:t>0-8</w:t>
            </w:r>
          </w:p>
        </w:tc>
        <w:tc>
          <w:tcPr>
            <w:tcW w:w="1033" w:type="dxa"/>
            <w:vAlign w:val="center"/>
          </w:tcPr>
          <w:p w14:paraId="0C66CF71">
            <w:pPr>
              <w:widowControl/>
              <w:spacing w:line="240" w:lineRule="auto"/>
              <w:jc w:val="center"/>
              <w:rPr>
                <w:rFonts w:hint="eastAsia" w:ascii="仿宋" w:hAnsi="仿宋" w:eastAsia="仿宋" w:cs="仿宋"/>
                <w:color w:val="auto"/>
                <w:kern w:val="0"/>
                <w:sz w:val="24"/>
                <w:szCs w:val="24"/>
                <w:highlight w:val="none"/>
                <w:shd w:val="clear" w:color="auto" w:fill="auto"/>
                <w:lang w:val="en-US" w:eastAsia="zh-CN" w:bidi="ar-SA"/>
              </w:rPr>
            </w:pPr>
            <w:r>
              <w:rPr>
                <w:rFonts w:hint="eastAsia" w:ascii="仿宋" w:hAnsi="仿宋" w:eastAsia="仿宋" w:cs="仿宋"/>
                <w:color w:val="auto"/>
                <w:kern w:val="0"/>
                <w:sz w:val="24"/>
                <w:szCs w:val="24"/>
                <w:highlight w:val="none"/>
                <w:shd w:val="clear" w:color="auto" w:fill="auto"/>
                <w:lang w:val="en-US" w:eastAsia="zh-CN"/>
              </w:rPr>
              <w:t>客观分</w:t>
            </w:r>
          </w:p>
        </w:tc>
      </w:tr>
      <w:tr w14:paraId="16ED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877" w:type="dxa"/>
            <w:vMerge w:val="continue"/>
            <w:vAlign w:val="center"/>
          </w:tcPr>
          <w:p w14:paraId="6C3D07D6">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823" w:type="dxa"/>
            <w:vAlign w:val="center"/>
          </w:tcPr>
          <w:p w14:paraId="2B7A5A56">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989" w:type="dxa"/>
            <w:gridSpan w:val="2"/>
            <w:vAlign w:val="center"/>
          </w:tcPr>
          <w:p w14:paraId="6ED744B7">
            <w:pPr>
              <w:widowControl/>
              <w:spacing w:line="360" w:lineRule="auto"/>
              <w:rPr>
                <w:rFonts w:hint="eastAsia" w:ascii="仿宋" w:hAnsi="仿宋" w:eastAsia="仿宋" w:cs="仿宋"/>
                <w:sz w:val="24"/>
                <w:szCs w:val="24"/>
                <w:lang w:eastAsia="zh-CN"/>
              </w:rPr>
            </w:pPr>
            <w:r>
              <w:rPr>
                <w:rFonts w:hint="eastAsia" w:ascii="仿宋" w:hAnsi="仿宋" w:eastAsia="仿宋" w:cs="仿宋"/>
                <w:sz w:val="24"/>
                <w:szCs w:val="24"/>
              </w:rPr>
              <w:t>项目负责人及技术力量安排等（综合评定）</w:t>
            </w:r>
            <w:r>
              <w:rPr>
                <w:rFonts w:hint="eastAsia" w:ascii="仿宋" w:hAnsi="仿宋" w:eastAsia="仿宋" w:cs="仿宋"/>
                <w:sz w:val="24"/>
                <w:szCs w:val="24"/>
                <w:lang w:eastAsia="zh-CN"/>
              </w:rPr>
              <w:t>。</w:t>
            </w:r>
          </w:p>
          <w:p w14:paraId="186EEA84">
            <w:pPr>
              <w:widowControl/>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人员安排到位、技术过硬、经验丰富的得3分，人员安排较到位、技术较过硬、丰富的得2分，人员安排不到位、技术一般的得1分，不提供的不得分。</w:t>
            </w:r>
          </w:p>
        </w:tc>
        <w:tc>
          <w:tcPr>
            <w:tcW w:w="870" w:type="dxa"/>
            <w:vAlign w:val="center"/>
          </w:tcPr>
          <w:p w14:paraId="3EB93D31">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0-3</w:t>
            </w:r>
          </w:p>
        </w:tc>
        <w:tc>
          <w:tcPr>
            <w:tcW w:w="1033" w:type="dxa"/>
            <w:vAlign w:val="center"/>
          </w:tcPr>
          <w:p w14:paraId="3EAA726D">
            <w:pPr>
              <w:widowControl/>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主观分</w:t>
            </w:r>
          </w:p>
        </w:tc>
      </w:tr>
      <w:tr w14:paraId="2052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Merge w:val="continue"/>
            <w:vAlign w:val="center"/>
          </w:tcPr>
          <w:p w14:paraId="3015FF2E">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823" w:type="dxa"/>
            <w:vAlign w:val="center"/>
          </w:tcPr>
          <w:p w14:paraId="792C8359">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5989" w:type="dxa"/>
            <w:gridSpan w:val="2"/>
            <w:vAlign w:val="center"/>
          </w:tcPr>
          <w:p w14:paraId="585BB29F">
            <w:pPr>
              <w:widowControl/>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项目负责人具有防汛、排涝、抗台类似工作经验的，每个得1分，最多3分。（提供业主证明材料复印件</w:t>
            </w:r>
            <w:r>
              <w:rPr>
                <w:rFonts w:hint="eastAsia" w:ascii="仿宋" w:hAnsi="仿宋" w:eastAsia="仿宋" w:cs="仿宋"/>
                <w:b w:val="0"/>
                <w:bCs/>
                <w:color w:val="auto"/>
                <w:kern w:val="0"/>
                <w:sz w:val="24"/>
                <w:szCs w:val="24"/>
                <w:highlight w:val="none"/>
                <w:lang w:val="en-US" w:eastAsia="zh-CN" w:bidi="ar-SA"/>
              </w:rPr>
              <w:t>并加盖投标人公章</w:t>
            </w:r>
            <w:r>
              <w:rPr>
                <w:rFonts w:hint="eastAsia" w:ascii="仿宋" w:hAnsi="仿宋" w:eastAsia="仿宋" w:cs="仿宋"/>
                <w:sz w:val="24"/>
                <w:szCs w:val="24"/>
              </w:rPr>
              <w:t>，否则不得分）</w:t>
            </w:r>
          </w:p>
        </w:tc>
        <w:tc>
          <w:tcPr>
            <w:tcW w:w="870" w:type="dxa"/>
            <w:vAlign w:val="center"/>
          </w:tcPr>
          <w:p w14:paraId="0A45562B">
            <w:pPr>
              <w:widowControl/>
              <w:spacing w:line="240" w:lineRule="auto"/>
              <w:jc w:val="center"/>
              <w:rPr>
                <w:rFonts w:hint="eastAsia" w:ascii="仿宋" w:hAnsi="仿宋" w:eastAsia="仿宋" w:cs="仿宋"/>
                <w:b w:val="0"/>
                <w:bCs/>
                <w:color w:val="auto"/>
                <w:sz w:val="24"/>
                <w:szCs w:val="24"/>
                <w:highlight w:val="none"/>
                <w:u w:val="none"/>
                <w:lang w:val="en-US" w:eastAsia="zh-CN" w:bidi="ar-SA"/>
              </w:rPr>
            </w:pPr>
            <w:r>
              <w:rPr>
                <w:rFonts w:hint="eastAsia" w:ascii="仿宋" w:hAnsi="仿宋" w:eastAsia="仿宋" w:cs="仿宋"/>
                <w:b w:val="0"/>
                <w:bCs/>
                <w:color w:val="auto"/>
                <w:sz w:val="24"/>
                <w:szCs w:val="24"/>
                <w:highlight w:val="none"/>
                <w:u w:val="none"/>
                <w:lang w:val="en-US" w:eastAsia="zh-CN" w:bidi="ar-SA"/>
              </w:rPr>
              <w:t>0-3</w:t>
            </w:r>
          </w:p>
        </w:tc>
        <w:tc>
          <w:tcPr>
            <w:tcW w:w="1033" w:type="dxa"/>
            <w:vAlign w:val="center"/>
          </w:tcPr>
          <w:p w14:paraId="450933DC">
            <w:pPr>
              <w:widowControl/>
              <w:spacing w:line="24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客观分</w:t>
            </w:r>
          </w:p>
        </w:tc>
      </w:tr>
      <w:tr w14:paraId="6BC5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7" w:type="dxa"/>
            <w:vMerge w:val="continue"/>
            <w:vAlign w:val="center"/>
          </w:tcPr>
          <w:p w14:paraId="7C2C1F7D">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823" w:type="dxa"/>
            <w:vAlign w:val="center"/>
          </w:tcPr>
          <w:p w14:paraId="3D1588CB">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5989" w:type="dxa"/>
            <w:gridSpan w:val="2"/>
            <w:vAlign w:val="center"/>
          </w:tcPr>
          <w:p w14:paraId="14AAC40A">
            <w:pPr>
              <w:widowControl/>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对本项目的合理化建议（综合评定）</w:t>
            </w:r>
            <w:r>
              <w:rPr>
                <w:rFonts w:hint="eastAsia" w:ascii="仿宋" w:hAnsi="仿宋" w:eastAsia="仿宋" w:cs="仿宋"/>
                <w:b w:val="0"/>
                <w:bCs w:val="0"/>
                <w:color w:val="auto"/>
                <w:kern w:val="2"/>
                <w:sz w:val="24"/>
                <w:szCs w:val="24"/>
                <w:lang w:val="en-US" w:eastAsia="zh-CN" w:bidi="ar-SA"/>
              </w:rPr>
              <w:t>（</w:t>
            </w:r>
            <w:r>
              <w:rPr>
                <w:rFonts w:hint="eastAsia" w:ascii="仿宋" w:hAnsi="仿宋" w:eastAsia="仿宋" w:cs="仿宋"/>
                <w:color w:val="auto"/>
                <w:sz w:val="24"/>
                <w:lang w:val="en-US" w:eastAsia="zh-CN"/>
              </w:rPr>
              <w:t>项目建议</w:t>
            </w:r>
            <w:r>
              <w:rPr>
                <w:rFonts w:hint="eastAsia" w:ascii="仿宋" w:hAnsi="仿宋" w:eastAsia="仿宋" w:cs="仿宋"/>
                <w:color w:val="auto"/>
                <w:sz w:val="24"/>
              </w:rPr>
              <w:t>整体</w:t>
            </w:r>
            <w:r>
              <w:rPr>
                <w:rFonts w:hint="eastAsia" w:ascii="仿宋" w:hAnsi="仿宋" w:eastAsia="仿宋" w:cs="仿宋"/>
                <w:color w:val="auto"/>
                <w:spacing w:val="-6"/>
                <w:sz w:val="24"/>
              </w:rPr>
              <w:t>详细、合理、全面的得5分；</w:t>
            </w:r>
            <w:r>
              <w:rPr>
                <w:rFonts w:hint="eastAsia" w:ascii="仿宋" w:hAnsi="仿宋" w:eastAsia="仿宋" w:cs="仿宋"/>
                <w:color w:val="auto"/>
                <w:sz w:val="24"/>
                <w:lang w:val="en-US" w:eastAsia="zh-CN"/>
              </w:rPr>
              <w:t>项目建议</w:t>
            </w:r>
            <w:r>
              <w:rPr>
                <w:rFonts w:hint="eastAsia" w:ascii="仿宋" w:hAnsi="仿宋" w:eastAsia="仿宋" w:cs="仿宋"/>
                <w:color w:val="auto"/>
                <w:spacing w:val="-6"/>
                <w:sz w:val="24"/>
              </w:rPr>
              <w:t>整体</w:t>
            </w:r>
            <w:r>
              <w:rPr>
                <w:rFonts w:hint="eastAsia" w:ascii="仿宋" w:hAnsi="仿宋" w:eastAsia="仿宋" w:cs="仿宋"/>
                <w:color w:val="auto"/>
                <w:sz w:val="24"/>
              </w:rPr>
              <w:t>略有不足之处</w:t>
            </w:r>
            <w:r>
              <w:rPr>
                <w:rFonts w:hint="eastAsia" w:ascii="仿宋" w:hAnsi="仿宋" w:eastAsia="仿宋" w:cs="仿宋"/>
                <w:color w:val="auto"/>
                <w:spacing w:val="-6"/>
                <w:sz w:val="24"/>
              </w:rPr>
              <w:t>的得4分；</w:t>
            </w:r>
            <w:r>
              <w:rPr>
                <w:rFonts w:hint="eastAsia" w:ascii="仿宋" w:hAnsi="仿宋" w:eastAsia="仿宋" w:cs="仿宋"/>
                <w:color w:val="auto"/>
                <w:sz w:val="24"/>
                <w:lang w:val="en-US" w:eastAsia="zh-CN"/>
              </w:rPr>
              <w:t>项目建议</w:t>
            </w:r>
            <w:r>
              <w:rPr>
                <w:rFonts w:hint="eastAsia" w:ascii="仿宋" w:hAnsi="仿宋" w:eastAsia="仿宋" w:cs="仿宋"/>
                <w:color w:val="auto"/>
                <w:spacing w:val="-6"/>
                <w:sz w:val="24"/>
              </w:rPr>
              <w:t>整体基本详细、合理、全面的得3分；</w:t>
            </w:r>
            <w:r>
              <w:rPr>
                <w:rFonts w:hint="eastAsia" w:ascii="仿宋" w:hAnsi="仿宋" w:eastAsia="仿宋" w:cs="仿宋"/>
                <w:color w:val="auto"/>
                <w:sz w:val="24"/>
                <w:lang w:val="en-US" w:eastAsia="zh-CN"/>
              </w:rPr>
              <w:t>项目建议</w:t>
            </w:r>
            <w:r>
              <w:rPr>
                <w:rFonts w:hint="eastAsia" w:ascii="仿宋" w:hAnsi="仿宋" w:eastAsia="仿宋" w:cs="仿宋"/>
                <w:color w:val="auto"/>
                <w:spacing w:val="-6"/>
                <w:sz w:val="24"/>
              </w:rPr>
              <w:t>整体</w:t>
            </w:r>
            <w:r>
              <w:rPr>
                <w:rFonts w:hint="eastAsia" w:ascii="仿宋" w:hAnsi="仿宋" w:eastAsia="仿宋" w:cs="仿宋"/>
                <w:color w:val="auto"/>
                <w:sz w:val="24"/>
              </w:rPr>
              <w:t>不具备实施性</w:t>
            </w:r>
            <w:r>
              <w:rPr>
                <w:rFonts w:hint="eastAsia" w:ascii="仿宋" w:hAnsi="仿宋" w:eastAsia="仿宋" w:cs="仿宋"/>
                <w:color w:val="auto"/>
                <w:spacing w:val="-6"/>
                <w:sz w:val="24"/>
              </w:rPr>
              <w:t>的得2分；</w:t>
            </w:r>
            <w:r>
              <w:rPr>
                <w:rFonts w:hint="eastAsia" w:ascii="仿宋" w:hAnsi="仿宋" w:eastAsia="仿宋" w:cs="仿宋"/>
                <w:color w:val="auto"/>
                <w:sz w:val="24"/>
                <w:lang w:val="en-US" w:eastAsia="zh-CN"/>
              </w:rPr>
              <w:t>项目建议</w:t>
            </w:r>
            <w:r>
              <w:rPr>
                <w:rFonts w:hint="eastAsia" w:ascii="仿宋" w:hAnsi="仿宋" w:eastAsia="仿宋" w:cs="仿宋"/>
                <w:color w:val="auto"/>
                <w:spacing w:val="-6"/>
                <w:sz w:val="24"/>
              </w:rPr>
              <w:t>整体存在重大缺陷的得1分；</w:t>
            </w:r>
            <w:r>
              <w:rPr>
                <w:rFonts w:hint="eastAsia" w:ascii="仿宋" w:hAnsi="仿宋" w:eastAsia="仿宋" w:cs="仿宋"/>
                <w:color w:val="auto"/>
                <w:sz w:val="24"/>
              </w:rPr>
              <w:t>未提供的不得分。）</w:t>
            </w:r>
          </w:p>
        </w:tc>
        <w:tc>
          <w:tcPr>
            <w:tcW w:w="870" w:type="dxa"/>
            <w:vAlign w:val="center"/>
          </w:tcPr>
          <w:p w14:paraId="65B97E8E">
            <w:pPr>
              <w:widowControl/>
              <w:spacing w:line="240" w:lineRule="auto"/>
              <w:jc w:val="center"/>
              <w:rPr>
                <w:rFonts w:hint="eastAsia" w:ascii="仿宋" w:hAnsi="仿宋" w:eastAsia="仿宋" w:cs="仿宋"/>
                <w:b w:val="0"/>
                <w:bCs/>
                <w:color w:val="auto"/>
                <w:sz w:val="24"/>
                <w:szCs w:val="24"/>
                <w:highlight w:val="none"/>
                <w:u w:val="none"/>
                <w:lang w:val="en-US" w:eastAsia="zh-CN" w:bidi="ar-SA"/>
              </w:rPr>
            </w:pPr>
            <w:r>
              <w:rPr>
                <w:rFonts w:hint="eastAsia" w:ascii="仿宋" w:hAnsi="仿宋" w:eastAsia="仿宋" w:cs="仿宋"/>
                <w:b w:val="0"/>
                <w:bCs/>
                <w:color w:val="auto"/>
                <w:sz w:val="24"/>
                <w:szCs w:val="24"/>
                <w:highlight w:val="none"/>
                <w:u w:val="none"/>
                <w:lang w:val="en-US" w:eastAsia="zh-CN" w:bidi="ar-SA"/>
              </w:rPr>
              <w:t>0-5</w:t>
            </w:r>
          </w:p>
        </w:tc>
        <w:tc>
          <w:tcPr>
            <w:tcW w:w="1033" w:type="dxa"/>
            <w:vAlign w:val="center"/>
          </w:tcPr>
          <w:p w14:paraId="3EFB19F5">
            <w:pPr>
              <w:widowControl/>
              <w:spacing w:line="240" w:lineRule="auto"/>
              <w:jc w:val="center"/>
              <w:rPr>
                <w:rFonts w:hint="eastAsia" w:ascii="仿宋" w:hAnsi="仿宋" w:eastAsia="仿宋" w:cs="仿宋"/>
                <w:b w:val="0"/>
                <w:bCs/>
                <w:color w:val="auto"/>
                <w:sz w:val="24"/>
                <w:szCs w:val="24"/>
                <w:highlight w:val="none"/>
                <w:u w:val="none"/>
                <w:lang w:val="en-US" w:eastAsia="zh-CN" w:bidi="ar-SA"/>
              </w:rPr>
            </w:pPr>
            <w:r>
              <w:rPr>
                <w:rFonts w:hint="eastAsia" w:ascii="仿宋" w:hAnsi="仿宋" w:eastAsia="仿宋" w:cs="仿宋"/>
                <w:b w:val="0"/>
                <w:bCs/>
                <w:color w:val="auto"/>
                <w:kern w:val="0"/>
                <w:sz w:val="24"/>
                <w:szCs w:val="24"/>
                <w:highlight w:val="none"/>
              </w:rPr>
              <w:t>主观分</w:t>
            </w:r>
          </w:p>
        </w:tc>
      </w:tr>
      <w:tr w14:paraId="3F82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Merge w:val="continue"/>
            <w:vAlign w:val="center"/>
          </w:tcPr>
          <w:p w14:paraId="516FC304">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rPr>
            </w:pPr>
          </w:p>
          <w:p w14:paraId="4570A748">
            <w:pPr>
              <w:pStyle w:val="4"/>
              <w:rPr>
                <w:rFonts w:hint="eastAsia" w:ascii="仿宋" w:hAnsi="仿宋" w:eastAsia="仿宋" w:cs="仿宋"/>
              </w:rPr>
            </w:pPr>
          </w:p>
          <w:p w14:paraId="42E1B247">
            <w:pPr>
              <w:rPr>
                <w:rFonts w:hint="eastAsia" w:ascii="仿宋" w:hAnsi="仿宋" w:eastAsia="仿宋" w:cs="仿宋"/>
              </w:rPr>
            </w:pPr>
          </w:p>
          <w:p w14:paraId="61615BF1">
            <w:pPr>
              <w:pStyle w:val="4"/>
              <w:rPr>
                <w:rFonts w:hint="eastAsia" w:ascii="仿宋" w:hAnsi="仿宋" w:eastAsia="仿宋" w:cs="仿宋"/>
              </w:rPr>
            </w:pPr>
          </w:p>
          <w:p w14:paraId="1663F7AA">
            <w:pPr>
              <w:rPr>
                <w:rFonts w:hint="eastAsia" w:ascii="仿宋" w:hAnsi="仿宋" w:eastAsia="仿宋" w:cs="仿宋"/>
              </w:rPr>
            </w:pPr>
          </w:p>
          <w:p w14:paraId="4D0FC5F1">
            <w:pPr>
              <w:pStyle w:val="4"/>
              <w:rPr>
                <w:rFonts w:hint="eastAsia" w:ascii="仿宋" w:hAnsi="仿宋" w:eastAsia="仿宋" w:cs="仿宋"/>
              </w:rPr>
            </w:pPr>
          </w:p>
        </w:tc>
        <w:tc>
          <w:tcPr>
            <w:tcW w:w="823" w:type="dxa"/>
            <w:vAlign w:val="center"/>
          </w:tcPr>
          <w:p w14:paraId="3DD2B19E">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5989" w:type="dxa"/>
            <w:gridSpan w:val="2"/>
            <w:vAlign w:val="center"/>
          </w:tcPr>
          <w:p w14:paraId="3CF95C5B">
            <w:pPr>
              <w:widowControl/>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服务质量保证情况（根据质保期限、可实现程度、提供优惠等情况综合评定）</w:t>
            </w:r>
            <w:r>
              <w:rPr>
                <w:rFonts w:hint="eastAsia" w:ascii="仿宋" w:hAnsi="仿宋" w:eastAsia="仿宋" w:cs="仿宋"/>
                <w:b w:val="0"/>
                <w:bCs w:val="0"/>
                <w:color w:val="auto"/>
                <w:kern w:val="2"/>
                <w:sz w:val="24"/>
                <w:szCs w:val="24"/>
                <w:lang w:val="en-US" w:eastAsia="zh-CN" w:bidi="ar-SA"/>
              </w:rPr>
              <w:t>（</w:t>
            </w:r>
            <w:r>
              <w:rPr>
                <w:rFonts w:hint="eastAsia" w:ascii="仿宋" w:hAnsi="仿宋" w:eastAsia="仿宋" w:cs="仿宋"/>
                <w:color w:val="auto"/>
                <w:sz w:val="24"/>
              </w:rPr>
              <w:t>方案整体</w:t>
            </w:r>
            <w:r>
              <w:rPr>
                <w:rFonts w:hint="eastAsia" w:ascii="仿宋" w:hAnsi="仿宋" w:eastAsia="仿宋" w:cs="仿宋"/>
                <w:color w:val="auto"/>
                <w:spacing w:val="-6"/>
                <w:sz w:val="24"/>
              </w:rPr>
              <w:t>详细、合理、全面的得5分；</w:t>
            </w:r>
            <w:r>
              <w:rPr>
                <w:rFonts w:hint="eastAsia" w:ascii="仿宋" w:hAnsi="仿宋" w:eastAsia="仿宋" w:cs="仿宋"/>
                <w:color w:val="auto"/>
                <w:sz w:val="24"/>
              </w:rPr>
              <w:t>方案</w:t>
            </w:r>
            <w:r>
              <w:rPr>
                <w:rFonts w:hint="eastAsia" w:ascii="仿宋" w:hAnsi="仿宋" w:eastAsia="仿宋" w:cs="仿宋"/>
                <w:color w:val="auto"/>
                <w:spacing w:val="-6"/>
                <w:sz w:val="24"/>
              </w:rPr>
              <w:t>整体</w:t>
            </w:r>
            <w:r>
              <w:rPr>
                <w:rFonts w:hint="eastAsia" w:ascii="仿宋" w:hAnsi="仿宋" w:eastAsia="仿宋" w:cs="仿宋"/>
                <w:color w:val="auto"/>
                <w:sz w:val="24"/>
              </w:rPr>
              <w:t>略有不足之处</w:t>
            </w:r>
            <w:r>
              <w:rPr>
                <w:rFonts w:hint="eastAsia" w:ascii="仿宋" w:hAnsi="仿宋" w:eastAsia="仿宋" w:cs="仿宋"/>
                <w:color w:val="auto"/>
                <w:spacing w:val="-6"/>
                <w:sz w:val="24"/>
              </w:rPr>
              <w:t>的得4分；</w:t>
            </w:r>
            <w:r>
              <w:rPr>
                <w:rFonts w:hint="eastAsia" w:ascii="仿宋" w:hAnsi="仿宋" w:eastAsia="仿宋" w:cs="仿宋"/>
                <w:color w:val="auto"/>
                <w:sz w:val="24"/>
              </w:rPr>
              <w:t>方案</w:t>
            </w:r>
            <w:r>
              <w:rPr>
                <w:rFonts w:hint="eastAsia" w:ascii="仿宋" w:hAnsi="仿宋" w:eastAsia="仿宋" w:cs="仿宋"/>
                <w:color w:val="auto"/>
                <w:spacing w:val="-6"/>
                <w:sz w:val="24"/>
              </w:rPr>
              <w:t>整体基本详细、合理、全面的得3分；</w:t>
            </w:r>
            <w:r>
              <w:rPr>
                <w:rFonts w:hint="eastAsia" w:ascii="仿宋" w:hAnsi="仿宋" w:eastAsia="仿宋" w:cs="仿宋"/>
                <w:color w:val="auto"/>
                <w:sz w:val="24"/>
              </w:rPr>
              <w:t>方案</w:t>
            </w:r>
            <w:r>
              <w:rPr>
                <w:rFonts w:hint="eastAsia" w:ascii="仿宋" w:hAnsi="仿宋" w:eastAsia="仿宋" w:cs="仿宋"/>
                <w:color w:val="auto"/>
                <w:spacing w:val="-6"/>
                <w:sz w:val="24"/>
              </w:rPr>
              <w:t>整体</w:t>
            </w:r>
            <w:r>
              <w:rPr>
                <w:rFonts w:hint="eastAsia" w:ascii="仿宋" w:hAnsi="仿宋" w:eastAsia="仿宋" w:cs="仿宋"/>
                <w:color w:val="auto"/>
                <w:sz w:val="24"/>
              </w:rPr>
              <w:t>不具备实施性</w:t>
            </w:r>
            <w:r>
              <w:rPr>
                <w:rFonts w:hint="eastAsia" w:ascii="仿宋" w:hAnsi="仿宋" w:eastAsia="仿宋" w:cs="仿宋"/>
                <w:color w:val="auto"/>
                <w:spacing w:val="-6"/>
                <w:sz w:val="24"/>
              </w:rPr>
              <w:t>的得2分；</w:t>
            </w:r>
            <w:r>
              <w:rPr>
                <w:rFonts w:hint="eastAsia" w:ascii="仿宋" w:hAnsi="仿宋" w:eastAsia="仿宋" w:cs="仿宋"/>
                <w:color w:val="auto"/>
                <w:sz w:val="24"/>
              </w:rPr>
              <w:t>方案</w:t>
            </w:r>
            <w:r>
              <w:rPr>
                <w:rFonts w:hint="eastAsia" w:ascii="仿宋" w:hAnsi="仿宋" w:eastAsia="仿宋" w:cs="仿宋"/>
                <w:color w:val="auto"/>
                <w:spacing w:val="-6"/>
                <w:sz w:val="24"/>
              </w:rPr>
              <w:t>整体存在重大缺陷的得1分；</w:t>
            </w:r>
            <w:r>
              <w:rPr>
                <w:rFonts w:hint="eastAsia" w:ascii="仿宋" w:hAnsi="仿宋" w:eastAsia="仿宋" w:cs="仿宋"/>
                <w:color w:val="auto"/>
                <w:sz w:val="24"/>
              </w:rPr>
              <w:t>未提供的不得分。）</w:t>
            </w:r>
          </w:p>
        </w:tc>
        <w:tc>
          <w:tcPr>
            <w:tcW w:w="870" w:type="dxa"/>
            <w:vAlign w:val="center"/>
          </w:tcPr>
          <w:p w14:paraId="01980D5B">
            <w:pPr>
              <w:widowControl/>
              <w:spacing w:line="240" w:lineRule="auto"/>
              <w:jc w:val="center"/>
              <w:rPr>
                <w:rFonts w:hint="eastAsia" w:ascii="仿宋" w:hAnsi="仿宋" w:eastAsia="仿宋" w:cs="仿宋"/>
                <w:b w:val="0"/>
                <w:bCs/>
                <w:color w:val="auto"/>
                <w:sz w:val="24"/>
                <w:szCs w:val="24"/>
                <w:highlight w:val="none"/>
                <w:u w:val="none"/>
                <w:lang w:val="en-US" w:eastAsia="zh-CN" w:bidi="ar-SA"/>
              </w:rPr>
            </w:pPr>
            <w:r>
              <w:rPr>
                <w:rFonts w:hint="eastAsia" w:ascii="仿宋" w:hAnsi="仿宋" w:eastAsia="仿宋" w:cs="仿宋"/>
                <w:b w:val="0"/>
                <w:bCs/>
                <w:color w:val="auto"/>
                <w:sz w:val="24"/>
                <w:szCs w:val="24"/>
                <w:highlight w:val="none"/>
                <w:u w:val="none"/>
                <w:lang w:val="en-US" w:eastAsia="zh-CN" w:bidi="ar-SA"/>
              </w:rPr>
              <w:t>0-5</w:t>
            </w:r>
          </w:p>
        </w:tc>
        <w:tc>
          <w:tcPr>
            <w:tcW w:w="1033" w:type="dxa"/>
            <w:vAlign w:val="center"/>
          </w:tcPr>
          <w:p w14:paraId="04E4BCB9">
            <w:pPr>
              <w:widowControl/>
              <w:spacing w:line="240" w:lineRule="auto"/>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主观分</w:t>
            </w:r>
          </w:p>
        </w:tc>
      </w:tr>
      <w:tr w14:paraId="3B36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Merge w:val="continue"/>
            <w:vAlign w:val="center"/>
          </w:tcPr>
          <w:p w14:paraId="2510A8E9">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823" w:type="dxa"/>
            <w:vAlign w:val="center"/>
          </w:tcPr>
          <w:p w14:paraId="153EB9F3">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5989" w:type="dxa"/>
            <w:gridSpan w:val="2"/>
            <w:vAlign w:val="center"/>
          </w:tcPr>
          <w:p w14:paraId="420233EA">
            <w:pPr>
              <w:widowControl/>
              <w:spacing w:line="360" w:lineRule="auto"/>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sz w:val="24"/>
                <w:szCs w:val="24"/>
              </w:rPr>
              <w:t>服务承诺（根据服务能力、售后服务方案、措施、响应等情况综合评定）</w:t>
            </w:r>
            <w:r>
              <w:rPr>
                <w:rFonts w:hint="eastAsia" w:ascii="仿宋" w:hAnsi="仿宋" w:eastAsia="仿宋" w:cs="仿宋"/>
                <w:b w:val="0"/>
                <w:bCs w:val="0"/>
                <w:color w:val="auto"/>
                <w:kern w:val="2"/>
                <w:sz w:val="24"/>
                <w:szCs w:val="24"/>
                <w:lang w:val="en-US" w:eastAsia="zh-CN" w:bidi="ar-SA"/>
              </w:rPr>
              <w:t>（</w:t>
            </w:r>
            <w:r>
              <w:rPr>
                <w:rFonts w:hint="eastAsia" w:ascii="仿宋" w:hAnsi="仿宋" w:eastAsia="仿宋" w:cs="仿宋"/>
                <w:color w:val="auto"/>
                <w:sz w:val="24"/>
              </w:rPr>
              <w:t>方案整体</w:t>
            </w:r>
            <w:r>
              <w:rPr>
                <w:rFonts w:hint="eastAsia" w:ascii="仿宋" w:hAnsi="仿宋" w:eastAsia="仿宋" w:cs="仿宋"/>
                <w:color w:val="auto"/>
                <w:spacing w:val="-6"/>
                <w:sz w:val="24"/>
              </w:rPr>
              <w:t>详细、合理、全面的得5分；</w:t>
            </w:r>
            <w:r>
              <w:rPr>
                <w:rFonts w:hint="eastAsia" w:ascii="仿宋" w:hAnsi="仿宋" w:eastAsia="仿宋" w:cs="仿宋"/>
                <w:color w:val="auto"/>
                <w:sz w:val="24"/>
              </w:rPr>
              <w:t>方案</w:t>
            </w:r>
            <w:r>
              <w:rPr>
                <w:rFonts w:hint="eastAsia" w:ascii="仿宋" w:hAnsi="仿宋" w:eastAsia="仿宋" w:cs="仿宋"/>
                <w:color w:val="auto"/>
                <w:spacing w:val="-6"/>
                <w:sz w:val="24"/>
              </w:rPr>
              <w:t>整体</w:t>
            </w:r>
            <w:r>
              <w:rPr>
                <w:rFonts w:hint="eastAsia" w:ascii="仿宋" w:hAnsi="仿宋" w:eastAsia="仿宋" w:cs="仿宋"/>
                <w:color w:val="auto"/>
                <w:sz w:val="24"/>
              </w:rPr>
              <w:t>略有不足之处</w:t>
            </w:r>
            <w:r>
              <w:rPr>
                <w:rFonts w:hint="eastAsia" w:ascii="仿宋" w:hAnsi="仿宋" w:eastAsia="仿宋" w:cs="仿宋"/>
                <w:color w:val="auto"/>
                <w:spacing w:val="-6"/>
                <w:sz w:val="24"/>
              </w:rPr>
              <w:t>的得4分；</w:t>
            </w:r>
            <w:r>
              <w:rPr>
                <w:rFonts w:hint="eastAsia" w:ascii="仿宋" w:hAnsi="仿宋" w:eastAsia="仿宋" w:cs="仿宋"/>
                <w:color w:val="auto"/>
                <w:sz w:val="24"/>
              </w:rPr>
              <w:t>方案</w:t>
            </w:r>
            <w:r>
              <w:rPr>
                <w:rFonts w:hint="eastAsia" w:ascii="仿宋" w:hAnsi="仿宋" w:eastAsia="仿宋" w:cs="仿宋"/>
                <w:color w:val="auto"/>
                <w:spacing w:val="-6"/>
                <w:sz w:val="24"/>
              </w:rPr>
              <w:t>整体基本详细、合理、全面的得3分；</w:t>
            </w:r>
            <w:r>
              <w:rPr>
                <w:rFonts w:hint="eastAsia" w:ascii="仿宋" w:hAnsi="仿宋" w:eastAsia="仿宋" w:cs="仿宋"/>
                <w:color w:val="auto"/>
                <w:sz w:val="24"/>
              </w:rPr>
              <w:t>方案</w:t>
            </w:r>
            <w:r>
              <w:rPr>
                <w:rFonts w:hint="eastAsia" w:ascii="仿宋" w:hAnsi="仿宋" w:eastAsia="仿宋" w:cs="仿宋"/>
                <w:color w:val="auto"/>
                <w:spacing w:val="-6"/>
                <w:sz w:val="24"/>
              </w:rPr>
              <w:t>整体</w:t>
            </w:r>
            <w:r>
              <w:rPr>
                <w:rFonts w:hint="eastAsia" w:ascii="仿宋" w:hAnsi="仿宋" w:eastAsia="仿宋" w:cs="仿宋"/>
                <w:color w:val="auto"/>
                <w:sz w:val="24"/>
              </w:rPr>
              <w:t>不具备实施性</w:t>
            </w:r>
            <w:r>
              <w:rPr>
                <w:rFonts w:hint="eastAsia" w:ascii="仿宋" w:hAnsi="仿宋" w:eastAsia="仿宋" w:cs="仿宋"/>
                <w:color w:val="auto"/>
                <w:spacing w:val="-6"/>
                <w:sz w:val="24"/>
              </w:rPr>
              <w:t>的得2分；</w:t>
            </w:r>
            <w:r>
              <w:rPr>
                <w:rFonts w:hint="eastAsia" w:ascii="仿宋" w:hAnsi="仿宋" w:eastAsia="仿宋" w:cs="仿宋"/>
                <w:color w:val="auto"/>
                <w:sz w:val="24"/>
              </w:rPr>
              <w:t>方案</w:t>
            </w:r>
            <w:r>
              <w:rPr>
                <w:rFonts w:hint="eastAsia" w:ascii="仿宋" w:hAnsi="仿宋" w:eastAsia="仿宋" w:cs="仿宋"/>
                <w:color w:val="auto"/>
                <w:spacing w:val="-6"/>
                <w:sz w:val="24"/>
              </w:rPr>
              <w:t>整体存在重大缺陷的得1分；</w:t>
            </w:r>
            <w:r>
              <w:rPr>
                <w:rFonts w:hint="eastAsia" w:ascii="仿宋" w:hAnsi="仿宋" w:eastAsia="仿宋" w:cs="仿宋"/>
                <w:color w:val="auto"/>
                <w:sz w:val="24"/>
              </w:rPr>
              <w:t>未提供的不得分。）</w:t>
            </w:r>
          </w:p>
        </w:tc>
        <w:tc>
          <w:tcPr>
            <w:tcW w:w="870" w:type="dxa"/>
            <w:vAlign w:val="center"/>
          </w:tcPr>
          <w:p w14:paraId="3955E260">
            <w:pPr>
              <w:widowControl/>
              <w:spacing w:line="240" w:lineRule="auto"/>
              <w:jc w:val="center"/>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0-5</w:t>
            </w:r>
          </w:p>
        </w:tc>
        <w:tc>
          <w:tcPr>
            <w:tcW w:w="1033" w:type="dxa"/>
            <w:vAlign w:val="center"/>
          </w:tcPr>
          <w:p w14:paraId="7202677B">
            <w:pPr>
              <w:widowControl/>
              <w:spacing w:line="24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color w:val="auto"/>
                <w:kern w:val="0"/>
                <w:sz w:val="24"/>
                <w:szCs w:val="24"/>
                <w:highlight w:val="none"/>
                <w:shd w:val="clear" w:color="auto" w:fill="auto"/>
              </w:rPr>
              <w:t>主观分</w:t>
            </w:r>
          </w:p>
        </w:tc>
      </w:tr>
      <w:tr w14:paraId="36BF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Merge w:val="continue"/>
            <w:vAlign w:val="center"/>
          </w:tcPr>
          <w:p w14:paraId="26520F1A">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auto"/>
                <w:sz w:val="24"/>
                <w:szCs w:val="24"/>
                <w:highlight w:val="none"/>
              </w:rPr>
            </w:pPr>
          </w:p>
        </w:tc>
        <w:tc>
          <w:tcPr>
            <w:tcW w:w="823" w:type="dxa"/>
            <w:vAlign w:val="center"/>
          </w:tcPr>
          <w:p w14:paraId="3A6F9CB1">
            <w:pPr>
              <w:keepNext w:val="0"/>
              <w:keepLines w:val="0"/>
              <w:pageBreakBefore w:val="0"/>
              <w:widowControl/>
              <w:kinsoku/>
              <w:wordWrap/>
              <w:overflowPunct/>
              <w:topLinePunct w:val="0"/>
              <w:autoSpaceDE/>
              <w:autoSpaceDN/>
              <w:bidi w:val="0"/>
              <w:adjustRightInd/>
              <w:snapToGrid/>
              <w:spacing w:after="0" w:line="360" w:lineRule="auto"/>
              <w:ind w:left="0"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5989" w:type="dxa"/>
            <w:gridSpan w:val="2"/>
            <w:vAlign w:val="center"/>
          </w:tcPr>
          <w:p w14:paraId="54DD3F97">
            <w:pPr>
              <w:widowControl/>
              <w:spacing w:line="360" w:lineRule="auto"/>
              <w:rPr>
                <w:rFonts w:hint="eastAsia" w:ascii="仿宋" w:hAnsi="仿宋" w:eastAsia="仿宋" w:cs="仿宋"/>
                <w:sz w:val="24"/>
                <w:szCs w:val="24"/>
              </w:rPr>
            </w:pPr>
            <w:r>
              <w:rPr>
                <w:rFonts w:hint="eastAsia" w:ascii="仿宋" w:hAnsi="仿宋" w:eastAsia="仿宋" w:cs="仿宋"/>
                <w:color w:val="000000"/>
                <w:sz w:val="24"/>
                <w:szCs w:val="24"/>
                <w:highlight w:val="none"/>
              </w:rPr>
              <w:t>应急预案：对突发事件（包括发生台风、暴雨等灾害性天气及其它突发事件）时的应急预案及相应的措施等进行综合评审；</w:t>
            </w:r>
            <w:r>
              <w:rPr>
                <w:rFonts w:hint="eastAsia" w:ascii="仿宋" w:hAnsi="仿宋" w:eastAsia="仿宋" w:cs="仿宋"/>
                <w:b w:val="0"/>
                <w:bCs w:val="0"/>
                <w:color w:val="auto"/>
                <w:kern w:val="2"/>
                <w:sz w:val="24"/>
                <w:szCs w:val="24"/>
                <w:lang w:val="en-US" w:eastAsia="zh-CN" w:bidi="ar-SA"/>
              </w:rPr>
              <w:t>（</w:t>
            </w:r>
            <w:r>
              <w:rPr>
                <w:rFonts w:hint="eastAsia" w:ascii="仿宋" w:hAnsi="仿宋" w:eastAsia="仿宋" w:cs="仿宋"/>
                <w:color w:val="auto"/>
                <w:sz w:val="24"/>
              </w:rPr>
              <w:t>方案整体</w:t>
            </w:r>
            <w:r>
              <w:rPr>
                <w:rFonts w:hint="eastAsia" w:ascii="仿宋" w:hAnsi="仿宋" w:eastAsia="仿宋" w:cs="仿宋"/>
                <w:color w:val="auto"/>
                <w:spacing w:val="-6"/>
                <w:sz w:val="24"/>
              </w:rPr>
              <w:t>详细、合理、全面的得5分；</w:t>
            </w:r>
            <w:r>
              <w:rPr>
                <w:rFonts w:hint="eastAsia" w:ascii="仿宋" w:hAnsi="仿宋" w:eastAsia="仿宋" w:cs="仿宋"/>
                <w:color w:val="auto"/>
                <w:sz w:val="24"/>
              </w:rPr>
              <w:t>方案</w:t>
            </w:r>
            <w:r>
              <w:rPr>
                <w:rFonts w:hint="eastAsia" w:ascii="仿宋" w:hAnsi="仿宋" w:eastAsia="仿宋" w:cs="仿宋"/>
                <w:color w:val="auto"/>
                <w:spacing w:val="-6"/>
                <w:sz w:val="24"/>
              </w:rPr>
              <w:t>整体</w:t>
            </w:r>
            <w:r>
              <w:rPr>
                <w:rFonts w:hint="eastAsia" w:ascii="仿宋" w:hAnsi="仿宋" w:eastAsia="仿宋" w:cs="仿宋"/>
                <w:color w:val="auto"/>
                <w:sz w:val="24"/>
              </w:rPr>
              <w:t>略有不足之处</w:t>
            </w:r>
            <w:r>
              <w:rPr>
                <w:rFonts w:hint="eastAsia" w:ascii="仿宋" w:hAnsi="仿宋" w:eastAsia="仿宋" w:cs="仿宋"/>
                <w:color w:val="auto"/>
                <w:spacing w:val="-6"/>
                <w:sz w:val="24"/>
              </w:rPr>
              <w:t>的得4分；</w:t>
            </w:r>
            <w:r>
              <w:rPr>
                <w:rFonts w:hint="eastAsia" w:ascii="仿宋" w:hAnsi="仿宋" w:eastAsia="仿宋" w:cs="仿宋"/>
                <w:color w:val="auto"/>
                <w:sz w:val="24"/>
              </w:rPr>
              <w:t>方案</w:t>
            </w:r>
            <w:r>
              <w:rPr>
                <w:rFonts w:hint="eastAsia" w:ascii="仿宋" w:hAnsi="仿宋" w:eastAsia="仿宋" w:cs="仿宋"/>
                <w:color w:val="auto"/>
                <w:spacing w:val="-6"/>
                <w:sz w:val="24"/>
              </w:rPr>
              <w:t>整体基本详细、合理、全面的得3分；</w:t>
            </w:r>
            <w:r>
              <w:rPr>
                <w:rFonts w:hint="eastAsia" w:ascii="仿宋" w:hAnsi="仿宋" w:eastAsia="仿宋" w:cs="仿宋"/>
                <w:color w:val="auto"/>
                <w:sz w:val="24"/>
              </w:rPr>
              <w:t>方案</w:t>
            </w:r>
            <w:r>
              <w:rPr>
                <w:rFonts w:hint="eastAsia" w:ascii="仿宋" w:hAnsi="仿宋" w:eastAsia="仿宋" w:cs="仿宋"/>
                <w:color w:val="auto"/>
                <w:spacing w:val="-6"/>
                <w:sz w:val="24"/>
              </w:rPr>
              <w:t>整体</w:t>
            </w:r>
            <w:r>
              <w:rPr>
                <w:rFonts w:hint="eastAsia" w:ascii="仿宋" w:hAnsi="仿宋" w:eastAsia="仿宋" w:cs="仿宋"/>
                <w:color w:val="auto"/>
                <w:sz w:val="24"/>
              </w:rPr>
              <w:t>不具备实施性</w:t>
            </w:r>
            <w:r>
              <w:rPr>
                <w:rFonts w:hint="eastAsia" w:ascii="仿宋" w:hAnsi="仿宋" w:eastAsia="仿宋" w:cs="仿宋"/>
                <w:color w:val="auto"/>
                <w:spacing w:val="-6"/>
                <w:sz w:val="24"/>
              </w:rPr>
              <w:t>的得2分；</w:t>
            </w:r>
            <w:r>
              <w:rPr>
                <w:rFonts w:hint="eastAsia" w:ascii="仿宋" w:hAnsi="仿宋" w:eastAsia="仿宋" w:cs="仿宋"/>
                <w:color w:val="auto"/>
                <w:sz w:val="24"/>
              </w:rPr>
              <w:t>方案</w:t>
            </w:r>
            <w:r>
              <w:rPr>
                <w:rFonts w:hint="eastAsia" w:ascii="仿宋" w:hAnsi="仿宋" w:eastAsia="仿宋" w:cs="仿宋"/>
                <w:color w:val="auto"/>
                <w:spacing w:val="-6"/>
                <w:sz w:val="24"/>
              </w:rPr>
              <w:t>整体存在重大缺陷的得1分；</w:t>
            </w:r>
            <w:r>
              <w:rPr>
                <w:rFonts w:hint="eastAsia" w:ascii="仿宋" w:hAnsi="仿宋" w:eastAsia="仿宋" w:cs="仿宋"/>
                <w:color w:val="auto"/>
                <w:sz w:val="24"/>
              </w:rPr>
              <w:t>未提供的不得分。）</w:t>
            </w:r>
          </w:p>
        </w:tc>
        <w:tc>
          <w:tcPr>
            <w:tcW w:w="870" w:type="dxa"/>
            <w:vAlign w:val="center"/>
          </w:tcPr>
          <w:p w14:paraId="414243B9">
            <w:pPr>
              <w:widowControl/>
              <w:spacing w:line="240" w:lineRule="auto"/>
              <w:jc w:val="center"/>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0-5</w:t>
            </w:r>
          </w:p>
        </w:tc>
        <w:tc>
          <w:tcPr>
            <w:tcW w:w="1033" w:type="dxa"/>
            <w:vAlign w:val="center"/>
          </w:tcPr>
          <w:p w14:paraId="647D0ED8">
            <w:pPr>
              <w:widowControl/>
              <w:spacing w:line="240" w:lineRule="auto"/>
              <w:jc w:val="center"/>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lang w:eastAsia="zh-CN"/>
              </w:rPr>
              <w:t>主观分</w:t>
            </w:r>
          </w:p>
        </w:tc>
      </w:tr>
    </w:tbl>
    <w:p w14:paraId="5A8C59C0">
      <w:pPr>
        <w:pStyle w:val="3"/>
        <w:keepNext/>
        <w:keepLines/>
        <w:pageBreakBefore w:val="0"/>
        <w:widowControl w:val="0"/>
        <w:kinsoku/>
        <w:wordWrap/>
        <w:overflowPunct/>
        <w:topLinePunct w:val="0"/>
        <w:autoSpaceDE/>
        <w:autoSpaceDN/>
        <w:bidi w:val="0"/>
        <w:adjustRightInd w:val="0"/>
        <w:snapToGrid/>
        <w:spacing w:before="0" w:after="0" w:line="360" w:lineRule="auto"/>
        <w:ind w:left="0" w:firstLine="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价格分（20分）</w:t>
      </w:r>
    </w:p>
    <w:tbl>
      <w:tblPr>
        <w:tblStyle w:val="63"/>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15"/>
        <w:gridCol w:w="7417"/>
      </w:tblGrid>
      <w:tr w14:paraId="6C7B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09" w:type="dxa"/>
            <w:vAlign w:val="center"/>
          </w:tcPr>
          <w:p w14:paraId="36C9DA8C">
            <w:pPr>
              <w:jc w:val="center"/>
              <w:rPr>
                <w:rFonts w:hint="eastAsia" w:ascii="仿宋" w:hAnsi="仿宋" w:eastAsia="仿宋" w:cs="仿宋"/>
                <w:color w:val="auto"/>
                <w:kern w:val="0"/>
                <w:sz w:val="24"/>
              </w:rPr>
            </w:pPr>
            <w:r>
              <w:rPr>
                <w:rFonts w:hint="eastAsia" w:ascii="仿宋" w:hAnsi="仿宋" w:eastAsia="仿宋" w:cs="仿宋"/>
                <w:color w:val="auto"/>
                <w:kern w:val="0"/>
                <w:sz w:val="24"/>
              </w:rPr>
              <w:t>价格分</w:t>
            </w:r>
          </w:p>
        </w:tc>
        <w:tc>
          <w:tcPr>
            <w:tcW w:w="1215" w:type="dxa"/>
            <w:vAlign w:val="center"/>
          </w:tcPr>
          <w:p w14:paraId="2BE7792C">
            <w:pP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价格权值=0.</w:t>
            </w:r>
            <w:r>
              <w:rPr>
                <w:rFonts w:hint="eastAsia" w:ascii="仿宋" w:hAnsi="仿宋" w:eastAsia="仿宋" w:cs="仿宋"/>
                <w:color w:val="auto"/>
                <w:kern w:val="0"/>
                <w:sz w:val="24"/>
                <w:lang w:val="en-US" w:eastAsia="zh-CN"/>
              </w:rPr>
              <w:t>20</w:t>
            </w:r>
          </w:p>
        </w:tc>
        <w:tc>
          <w:tcPr>
            <w:tcW w:w="7417" w:type="dxa"/>
          </w:tcPr>
          <w:p w14:paraId="52025439">
            <w:pPr>
              <w:spacing w:line="360" w:lineRule="auto"/>
              <w:rPr>
                <w:rFonts w:hint="eastAsia" w:ascii="仿宋" w:hAnsi="仿宋" w:eastAsia="仿宋" w:cs="仿宋"/>
                <w:color w:val="auto"/>
                <w:sz w:val="24"/>
              </w:rPr>
            </w:pPr>
            <w:r>
              <w:rPr>
                <w:rFonts w:hint="eastAsia" w:ascii="仿宋" w:hAnsi="仿宋" w:eastAsia="仿宋" w:cs="仿宋"/>
                <w:color w:val="auto"/>
                <w:sz w:val="24"/>
              </w:rPr>
              <w:t>最低有效投标价格为评标基准价</w:t>
            </w:r>
          </w:p>
          <w:p w14:paraId="3FFE388D">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投标报价得分=(评标基准价／投标报价)×价格权值×100 </w:t>
            </w:r>
          </w:p>
          <w:p w14:paraId="1A5D99CB">
            <w:pPr>
              <w:spacing w:line="360" w:lineRule="auto"/>
              <w:rPr>
                <w:rFonts w:hint="eastAsia" w:ascii="仿宋" w:hAnsi="仿宋" w:eastAsia="仿宋" w:cs="仿宋"/>
                <w:color w:val="auto"/>
                <w:sz w:val="24"/>
              </w:rPr>
            </w:pPr>
            <w:r>
              <w:rPr>
                <w:rFonts w:hint="eastAsia" w:ascii="仿宋" w:hAnsi="仿宋" w:eastAsia="仿宋" w:cs="仿宋"/>
                <w:color w:val="auto"/>
                <w:sz w:val="24"/>
              </w:rPr>
              <w:t>（计算得分保留小数点后2位）</w:t>
            </w:r>
          </w:p>
          <w:p w14:paraId="7295B7D9">
            <w:pPr>
              <w:spacing w:line="360" w:lineRule="auto"/>
              <w:rPr>
                <w:rFonts w:hint="eastAsia" w:ascii="仿宋" w:hAnsi="仿宋" w:eastAsia="仿宋" w:cs="仿宋"/>
                <w:color w:val="auto"/>
                <w:sz w:val="24"/>
              </w:rPr>
            </w:pPr>
            <w:r>
              <w:rPr>
                <w:rFonts w:hint="eastAsia" w:ascii="仿宋" w:hAnsi="仿宋" w:eastAsia="仿宋" w:cs="仿宋"/>
                <w:color w:val="auto"/>
                <w:sz w:val="24"/>
              </w:rPr>
              <w:t>评标过程中，不得去掉报价中的最高报价和最低报价。</w:t>
            </w:r>
          </w:p>
          <w:p w14:paraId="0859A05C">
            <w:pPr>
              <w:spacing w:line="360" w:lineRule="auto"/>
              <w:rPr>
                <w:rFonts w:hint="eastAsia" w:ascii="仿宋" w:hAnsi="仿宋" w:eastAsia="仿宋" w:cs="仿宋"/>
                <w:color w:val="auto"/>
                <w:kern w:val="0"/>
                <w:sz w:val="24"/>
              </w:rPr>
            </w:pPr>
            <w:r>
              <w:rPr>
                <w:rFonts w:hint="eastAsia" w:ascii="仿宋" w:hAnsi="仿宋" w:eastAsia="仿宋" w:cs="仿宋"/>
                <w:color w:val="auto"/>
                <w:sz w:val="24"/>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auto"/>
                <w:sz w:val="24"/>
                <w:u w:val="single"/>
              </w:rPr>
              <w:t>10%</w:t>
            </w:r>
            <w:r>
              <w:rPr>
                <w:rFonts w:hint="eastAsia" w:ascii="仿宋" w:hAnsi="仿宋" w:eastAsia="仿宋" w:cs="仿宋"/>
                <w:color w:val="auto"/>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w:t>
            </w:r>
            <w:r>
              <w:rPr>
                <w:rFonts w:hint="eastAsia" w:ascii="仿宋" w:hAnsi="仿宋" w:eastAsia="仿宋" w:cs="仿宋"/>
                <w:color w:val="auto"/>
                <w:sz w:val="24"/>
                <w:u w:val="single"/>
              </w:rPr>
              <w:t>30%</w:t>
            </w:r>
            <w:r>
              <w:rPr>
                <w:rFonts w:hint="eastAsia" w:ascii="仿宋" w:hAnsi="仿宋" w:eastAsia="仿宋" w:cs="仿宋"/>
                <w:color w:val="auto"/>
                <w:sz w:val="24"/>
              </w:rPr>
              <w:t>以上的，对联合体或者大中型企业的报价给予</w:t>
            </w:r>
            <w:r>
              <w:rPr>
                <w:rFonts w:hint="eastAsia" w:ascii="仿宋" w:hAnsi="仿宋" w:eastAsia="仿宋" w:cs="仿宋"/>
                <w:color w:val="auto"/>
                <w:sz w:val="24"/>
                <w:u w:val="single"/>
              </w:rPr>
              <w:t>4%</w:t>
            </w:r>
            <w:r>
              <w:rPr>
                <w:rFonts w:hint="eastAsia" w:ascii="仿宋" w:hAnsi="仿宋" w:eastAsia="仿宋" w:cs="仿宋"/>
                <w:color w:val="auto"/>
                <w:sz w:val="24"/>
              </w:rPr>
              <w:t>的扣除，用扣除后的价格参加评审。</w:t>
            </w:r>
          </w:p>
        </w:tc>
      </w:tr>
      <w:bookmarkEnd w:id="25"/>
    </w:tbl>
    <w:p w14:paraId="64200B34">
      <w:pPr>
        <w:spacing w:line="360" w:lineRule="auto"/>
        <w:rPr>
          <w:rFonts w:hint="eastAsia" w:ascii="仿宋" w:hAnsi="仿宋" w:eastAsia="仿宋" w:cs="仿宋"/>
          <w:color w:val="auto"/>
          <w:sz w:val="24"/>
        </w:rPr>
      </w:pPr>
      <w:bookmarkStart w:id="391" w:name="第五部分"/>
      <w:bookmarkStart w:id="392" w:name="_Toc86217003"/>
      <w:r>
        <w:rPr>
          <w:rFonts w:hint="eastAsia" w:ascii="仿宋" w:hAnsi="仿宋" w:eastAsia="仿宋" w:cs="仿宋"/>
          <w:color w:val="auto"/>
          <w:sz w:val="20"/>
          <w:szCs w:val="20"/>
          <w:shd w:val="clear" w:color="auto" w:fill="FFFFFF"/>
        </w:rPr>
        <w:t>*</w:t>
      </w:r>
      <w:r>
        <w:rPr>
          <w:rFonts w:hint="eastAsia" w:ascii="仿宋" w:hAnsi="仿宋" w:eastAsia="仿宋" w:cs="仿宋"/>
          <w:color w:val="auto"/>
          <w:sz w:val="24"/>
        </w:rPr>
        <w:t xml:space="preserve">备注：1、投标人编制投标文件（商务技术文件部分）时，建议按此目录（序号和内容）提供评标标准相应的商务技术资料。 </w:t>
      </w:r>
    </w:p>
    <w:p w14:paraId="71809E4F">
      <w:pPr>
        <w:spacing w:line="360" w:lineRule="auto"/>
        <w:rPr>
          <w:rFonts w:hint="eastAsia" w:ascii="仿宋" w:hAnsi="仿宋" w:eastAsia="仿宋" w:cs="仿宋"/>
          <w:color w:val="auto"/>
          <w:sz w:val="24"/>
        </w:rPr>
      </w:pPr>
      <w:r>
        <w:rPr>
          <w:rFonts w:hint="eastAsia" w:ascii="仿宋" w:hAnsi="仿宋" w:eastAsia="仿宋" w:cs="仿宋"/>
          <w:color w:val="auto"/>
          <w:sz w:val="24"/>
        </w:rPr>
        <w:t>2、评分条款中涉及的业绩、荣誉、人员、社保等分公司均有效。涉及社保、劳动关系证明关系的，如人员为法人代表，则无需提供相关证明，提供营业执照及身份证。</w:t>
      </w:r>
    </w:p>
    <w:p w14:paraId="3780DA42">
      <w:pPr>
        <w:spacing w:line="360" w:lineRule="auto"/>
        <w:rPr>
          <w:rFonts w:hint="eastAsia" w:ascii="仿宋" w:hAnsi="仿宋" w:eastAsia="仿宋" w:cs="仿宋"/>
          <w:color w:val="auto"/>
          <w:sz w:val="24"/>
        </w:rPr>
      </w:pPr>
      <w:r>
        <w:rPr>
          <w:rFonts w:hint="eastAsia" w:ascii="仿宋" w:hAnsi="仿宋" w:eastAsia="仿宋" w:cs="仿宋"/>
          <w:color w:val="auto"/>
          <w:sz w:val="24"/>
        </w:rPr>
        <w:t>3、投标文件中如附有外文资料，必须逐一对应翻译成中文并加盖投标人公章后附在相关外文资料后面，否则外文资料不予认可。</w:t>
      </w:r>
    </w:p>
    <w:p w14:paraId="04E8BCA3">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3C2C1128">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5CDF2477">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191EE32C">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44D34CD6">
      <w:pPr>
        <w:spacing w:line="360" w:lineRule="auto"/>
        <w:outlineLvl w:val="0"/>
        <w:rPr>
          <w:rFonts w:hint="eastAsia" w:ascii="仿宋" w:hAnsi="仿宋" w:eastAsia="仿宋" w:cs="仿宋"/>
          <w:b/>
          <w:color w:val="auto"/>
          <w:sz w:val="32"/>
          <w:szCs w:val="32"/>
        </w:rPr>
      </w:pPr>
      <w:r>
        <w:rPr>
          <w:rFonts w:hint="eastAsia" w:ascii="仿宋" w:hAnsi="仿宋" w:eastAsia="仿宋" w:cs="仿宋"/>
          <w:b/>
          <w:color w:val="auto"/>
          <w:sz w:val="32"/>
          <w:szCs w:val="32"/>
        </w:rPr>
        <w:t>三、评标程序</w:t>
      </w:r>
    </w:p>
    <w:p w14:paraId="149E3B9F">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51973FCC">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26EE66FA">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7F433AF4">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52CC5BD0">
      <w:pPr>
        <w:pStyle w:val="128"/>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5D693860">
      <w:pPr>
        <w:pStyle w:val="12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09915A63">
      <w:pPr>
        <w:pStyle w:val="12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2701DB69">
      <w:pPr>
        <w:pStyle w:val="12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39C53B9B">
      <w:pPr>
        <w:pStyle w:val="12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1A919DCE">
      <w:pPr>
        <w:pStyle w:val="12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7F75991">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06E39110">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7192B7C6">
      <w:pPr>
        <w:pStyle w:val="12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96C86F3">
      <w:pPr>
        <w:pStyle w:val="12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9C1EF3A">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4AC3F22">
      <w:pPr>
        <w:spacing w:line="36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6BD080A">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w:t>
      </w:r>
      <w:r>
        <w:rPr>
          <w:rFonts w:hint="eastAsia" w:ascii="仿宋" w:hAnsi="仿宋" w:eastAsia="仿宋" w:cs="仿宋"/>
          <w:bCs/>
          <w:color w:val="auto"/>
          <w:kern w:val="0"/>
          <w:sz w:val="24"/>
        </w:rPr>
        <w:t>6</w:t>
      </w:r>
      <w:r>
        <w:rPr>
          <w:rFonts w:hint="eastAsia" w:ascii="仿宋" w:hAnsi="仿宋" w:eastAsia="仿宋" w:cs="仿宋"/>
          <w:b/>
          <w:color w:val="auto"/>
          <w:kern w:val="0"/>
          <w:sz w:val="24"/>
        </w:rPr>
        <w:t>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8FB2E7F">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4E89049D">
      <w:pPr>
        <w:pStyle w:val="128"/>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8F837A4">
      <w:pPr>
        <w:pStyle w:val="24"/>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有下列情形之一的，投标无效：</w:t>
      </w:r>
    </w:p>
    <w:p w14:paraId="0C791198">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1A5AB840">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45C77840">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08384AF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1A7D44A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1EA3B3E7">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263AF756">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14:paraId="10E1644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0D038B0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4E7F84C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536A481A">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4E34500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082A134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4.2.13投标人未提供样品或提供的样品不满足采购需求实质性条件的，投标无效；</w:t>
      </w:r>
    </w:p>
    <w:p w14:paraId="47D66278">
      <w:pPr>
        <w:spacing w:line="360" w:lineRule="auto"/>
        <w:ind w:firstLine="480" w:firstLineChars="200"/>
        <w:rPr>
          <w:rFonts w:hint="eastAsia" w:ascii="仿宋" w:hAnsi="仿宋" w:eastAsia="仿宋" w:cs="仿宋"/>
        </w:rPr>
      </w:pPr>
      <w:r>
        <w:rPr>
          <w:rFonts w:hint="eastAsia" w:ascii="仿宋" w:hAnsi="仿宋" w:eastAsia="仿宋" w:cs="仿宋"/>
          <w:kern w:val="0"/>
          <w:sz w:val="24"/>
        </w:rPr>
        <w:t>4.2.14 投标文件不满足招标文件的实质性要求的；</w:t>
      </w:r>
    </w:p>
    <w:p w14:paraId="4E7AEC1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4.2.15法律、法规、规章（适用本市的）及省级以上规范性文件（适用本市的）规定的其他无效情形。</w:t>
      </w:r>
    </w:p>
    <w:p w14:paraId="207BDF97">
      <w:pPr>
        <w:pStyle w:val="24"/>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0F65EE10">
      <w:pPr>
        <w:pStyle w:val="24"/>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3AEE9FD5">
      <w:pPr>
        <w:pStyle w:val="24"/>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1A27947E">
      <w:pPr>
        <w:pStyle w:val="24"/>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1C40E8D5">
      <w:pPr>
        <w:pStyle w:val="24"/>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0B30BC91">
      <w:pPr>
        <w:pStyle w:val="24"/>
        <w:snapToGrid w:val="0"/>
        <w:spacing w:line="360" w:lineRule="auto"/>
        <w:rPr>
          <w:rFonts w:hint="eastAsia" w:ascii="仿宋" w:hAnsi="仿宋" w:eastAsia="仿宋" w:cs="仿宋"/>
        </w:rPr>
      </w:pPr>
      <w:r>
        <w:rPr>
          <w:rFonts w:hint="eastAsia" w:ascii="仿宋" w:hAnsi="仿宋" w:eastAsia="仿宋" w:cs="仿宋"/>
        </w:rPr>
        <w:t>废标后，采购代理机构应当将废标理由通知所有投标人。</w:t>
      </w:r>
    </w:p>
    <w:p w14:paraId="2317ECA9">
      <w:pPr>
        <w:pStyle w:val="24"/>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EEE8D91">
      <w:pPr>
        <w:pStyle w:val="24"/>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2D92CDC3">
      <w:pPr>
        <w:pStyle w:val="24"/>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41BE2D96">
      <w:pPr>
        <w:pStyle w:val="24"/>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54763802">
      <w:pPr>
        <w:pStyle w:val="24"/>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108B0C17">
      <w:pPr>
        <w:pStyle w:val="24"/>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05FAEA5C">
      <w:pPr>
        <w:spacing w:line="360" w:lineRule="auto"/>
        <w:ind w:firstLine="420"/>
        <w:outlineLvl w:val="0"/>
        <w:rPr>
          <w:rFonts w:hint="eastAsia" w:ascii="仿宋" w:hAnsi="仿宋" w:eastAsia="仿宋" w:cs="仿宋"/>
        </w:rPr>
      </w:pPr>
      <w:r>
        <w:rPr>
          <w:rFonts w:hint="eastAsia" w:ascii="仿宋" w:hAnsi="仿宋" w:eastAsia="仿宋" w:cs="仿宋"/>
        </w:rPr>
        <w:t>7.</w:t>
      </w:r>
      <w:r>
        <w:rPr>
          <w:rFonts w:hint="eastAsia" w:ascii="仿宋" w:hAnsi="仿宋" w:eastAsia="仿宋" w:cs="仿宋"/>
          <w:sz w:val="24"/>
        </w:rPr>
        <w:t>5政府采购当事人有其他违反政府采购法或者政府采购法实施条例等法律法规规定的行为，经改正后仍然影响或者可能影响中标结果或者依法被认定为中标无效的，依照7.1-7.4规定处理。</w:t>
      </w:r>
    </w:p>
    <w:p w14:paraId="12559C5A">
      <w:pPr>
        <w:rPr>
          <w:rFonts w:hint="eastAsia" w:ascii="仿宋" w:hAnsi="仿宋" w:eastAsia="仿宋" w:cs="仿宋"/>
        </w:rPr>
      </w:pPr>
      <w:r>
        <w:rPr>
          <w:rFonts w:hint="eastAsia" w:ascii="仿宋" w:hAnsi="仿宋" w:eastAsia="仿宋" w:cs="仿宋"/>
        </w:rPr>
        <w:br w:type="page"/>
      </w:r>
    </w:p>
    <w:p w14:paraId="27657293">
      <w:pPr>
        <w:numPr>
          <w:ilvl w:val="0"/>
          <w:numId w:val="9"/>
        </w:num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拟签订的合同文本</w:t>
      </w:r>
    </w:p>
    <w:p w14:paraId="6220889A">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57F1411C">
      <w:pPr>
        <w:pStyle w:val="2"/>
        <w:ind w:left="0" w:firstLine="0"/>
        <w:rPr>
          <w:rFonts w:hint="eastAsia" w:ascii="仿宋" w:hAnsi="仿宋" w:eastAsia="仿宋" w:cs="仿宋"/>
        </w:rPr>
      </w:pPr>
    </w:p>
    <w:p w14:paraId="4E844B2B">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1C561971">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14:paraId="7B5AB1E9">
      <w:pPr>
        <w:pStyle w:val="699"/>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3B5A8B23">
      <w:pPr>
        <w:spacing w:before="120" w:line="22" w:lineRule="atLeast"/>
        <w:rPr>
          <w:rFonts w:hint="eastAsia" w:ascii="仿宋" w:hAnsi="仿宋" w:eastAsia="仿宋" w:cs="仿宋"/>
          <w:sz w:val="24"/>
        </w:rPr>
      </w:pPr>
    </w:p>
    <w:p w14:paraId="0F5C70E4">
      <w:pPr>
        <w:pStyle w:val="2"/>
        <w:rPr>
          <w:rFonts w:hint="eastAsia" w:ascii="仿宋" w:hAnsi="仿宋" w:eastAsia="仿宋" w:cs="仿宋"/>
        </w:rPr>
      </w:pPr>
    </w:p>
    <w:p w14:paraId="22C833E9">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3837E31">
      <w:pPr>
        <w:pStyle w:val="596"/>
        <w:spacing w:before="120" w:line="22" w:lineRule="atLeast"/>
        <w:rPr>
          <w:rFonts w:hint="eastAsia" w:ascii="仿宋" w:hAnsi="仿宋" w:eastAsia="仿宋" w:cs="仿宋"/>
          <w:szCs w:val="24"/>
        </w:rPr>
      </w:pPr>
    </w:p>
    <w:p w14:paraId="1D171077">
      <w:pPr>
        <w:pStyle w:val="596"/>
        <w:spacing w:before="120" w:line="22" w:lineRule="atLeast"/>
        <w:rPr>
          <w:rFonts w:hint="eastAsia" w:ascii="仿宋" w:hAnsi="仿宋" w:eastAsia="仿宋" w:cs="仿宋"/>
          <w:szCs w:val="24"/>
        </w:rPr>
      </w:pPr>
    </w:p>
    <w:p w14:paraId="43CED7E9">
      <w:pPr>
        <w:rPr>
          <w:rFonts w:hint="eastAsia" w:ascii="仿宋" w:hAnsi="仿宋" w:eastAsia="仿宋" w:cs="仿宋"/>
          <w:sz w:val="24"/>
        </w:rPr>
      </w:pPr>
    </w:p>
    <w:p w14:paraId="181E57AF">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473A73ED">
      <w:pPr>
        <w:spacing w:before="120" w:line="22" w:lineRule="atLeast"/>
        <w:rPr>
          <w:rFonts w:hint="eastAsia" w:ascii="仿宋" w:hAnsi="仿宋" w:eastAsia="仿宋" w:cs="仿宋"/>
          <w:sz w:val="24"/>
        </w:rPr>
      </w:pPr>
    </w:p>
    <w:p w14:paraId="3EFDFC4E">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1CC2FC66">
      <w:pPr>
        <w:spacing w:before="120" w:line="22" w:lineRule="atLeast"/>
        <w:rPr>
          <w:rFonts w:hint="eastAsia" w:ascii="仿宋" w:hAnsi="仿宋" w:eastAsia="仿宋" w:cs="仿宋"/>
          <w:sz w:val="24"/>
        </w:rPr>
      </w:pPr>
    </w:p>
    <w:p w14:paraId="3AF5FB70">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51CAACDF">
      <w:pPr>
        <w:spacing w:before="120" w:line="22" w:lineRule="atLeast"/>
        <w:rPr>
          <w:rFonts w:hint="eastAsia" w:ascii="仿宋" w:hAnsi="仿宋" w:eastAsia="仿宋" w:cs="仿宋"/>
          <w:sz w:val="24"/>
        </w:rPr>
      </w:pPr>
    </w:p>
    <w:p w14:paraId="57F26202">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7322B54">
      <w:pPr>
        <w:rPr>
          <w:rFonts w:hint="eastAsia" w:ascii="仿宋" w:hAnsi="仿宋" w:eastAsia="仿宋" w:cs="仿宋"/>
          <w:b/>
          <w:sz w:val="24"/>
        </w:rPr>
      </w:pPr>
      <w:r>
        <w:rPr>
          <w:rFonts w:hint="eastAsia" w:ascii="仿宋" w:hAnsi="仿宋" w:eastAsia="仿宋" w:cs="仿宋"/>
          <w:b/>
          <w:sz w:val="24"/>
        </w:rPr>
        <w:br w:type="page"/>
      </w:r>
    </w:p>
    <w:p w14:paraId="64CC0C95">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 </w:t>
      </w:r>
      <w:r>
        <w:rPr>
          <w:rFonts w:hint="eastAsia" w:ascii="仿宋" w:hAnsi="仿宋" w:eastAsia="仿宋" w:cs="仿宋"/>
          <w:sz w:val="24"/>
        </w:rPr>
        <w:t>为该项目中标或者成交供应商。现于中标或者成交通知书发出之日起10个工作日内，按照采购文件确定的事项签订本合同。</w:t>
      </w:r>
    </w:p>
    <w:p w14:paraId="4F1DD22E">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050F0F7D">
      <w:pPr>
        <w:spacing w:line="560" w:lineRule="exact"/>
        <w:ind w:firstLine="482" w:firstLineChars="200"/>
        <w:outlineLvl w:val="0"/>
        <w:rPr>
          <w:rFonts w:hint="eastAsia" w:ascii="仿宋" w:hAnsi="仿宋" w:eastAsia="仿宋" w:cs="仿宋"/>
          <w:sz w:val="24"/>
        </w:rPr>
      </w:pPr>
      <w:bookmarkStart w:id="393" w:name="_Toc28855"/>
      <w:bookmarkStart w:id="394" w:name="_Toc20421"/>
      <w:bookmarkStart w:id="395" w:name="_Toc19273"/>
      <w:bookmarkStart w:id="396" w:name="_Toc15367"/>
      <w:bookmarkStart w:id="397" w:name="_Toc22967"/>
      <w:r>
        <w:rPr>
          <w:rFonts w:hint="eastAsia" w:ascii="仿宋" w:hAnsi="仿宋" w:eastAsia="仿宋" w:cs="仿宋"/>
          <w:b/>
          <w:sz w:val="24"/>
        </w:rPr>
        <w:t>1.1 合同组成部分</w:t>
      </w:r>
      <w:bookmarkEnd w:id="393"/>
      <w:bookmarkEnd w:id="394"/>
      <w:bookmarkEnd w:id="395"/>
      <w:bookmarkEnd w:id="396"/>
      <w:bookmarkEnd w:id="397"/>
    </w:p>
    <w:p w14:paraId="7FA455C7">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FDFF5AC">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2F9E170B">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0E14D0F2">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2BE10DEB">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17C2DDC9">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26D803BB">
      <w:pPr>
        <w:spacing w:line="560" w:lineRule="exact"/>
        <w:ind w:firstLine="482" w:firstLineChars="200"/>
        <w:outlineLvl w:val="0"/>
        <w:rPr>
          <w:rFonts w:hint="eastAsia" w:ascii="仿宋" w:hAnsi="仿宋" w:eastAsia="仿宋" w:cs="仿宋"/>
          <w:b/>
          <w:sz w:val="24"/>
        </w:rPr>
      </w:pPr>
      <w:bookmarkStart w:id="398" w:name="_Toc6773"/>
      <w:bookmarkStart w:id="399" w:name="_Toc18585"/>
      <w:bookmarkStart w:id="400" w:name="_Toc6311"/>
      <w:bookmarkStart w:id="401" w:name="_Toc2918"/>
      <w:bookmarkStart w:id="402" w:name="_Toc22185"/>
      <w:r>
        <w:rPr>
          <w:rFonts w:hint="eastAsia" w:ascii="仿宋" w:hAnsi="仿宋" w:eastAsia="仿宋" w:cs="仿宋"/>
          <w:b/>
          <w:sz w:val="24"/>
        </w:rPr>
        <w:t>1.2 标的</w:t>
      </w:r>
      <w:bookmarkEnd w:id="398"/>
      <w:bookmarkEnd w:id="399"/>
      <w:bookmarkEnd w:id="400"/>
      <w:bookmarkEnd w:id="401"/>
      <w:bookmarkEnd w:id="402"/>
    </w:p>
    <w:p w14:paraId="34FDF982">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14:paraId="37D7D1F3">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31B3FC55">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19F5739B">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55048295">
      <w:pPr>
        <w:pStyle w:val="95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（是/否）涉及货物。若涉及货物的的，则：</w:t>
      </w:r>
    </w:p>
    <w:p w14:paraId="75CA8957">
      <w:pPr>
        <w:spacing w:line="560" w:lineRule="exact"/>
        <w:ind w:firstLine="480" w:firstLineChars="200"/>
        <w:rPr>
          <w:rFonts w:hint="eastAsia" w:ascii="仿宋" w:hAnsi="仿宋" w:eastAsia="仿宋" w:cs="仿宋"/>
          <w:sz w:val="24"/>
          <w:u w:val="single"/>
        </w:rPr>
      </w:pPr>
      <w:bookmarkStart w:id="403" w:name="_Toc5635"/>
      <w:bookmarkStart w:id="404" w:name="_Toc13918"/>
      <w:bookmarkStart w:id="405" w:name="_Toc4929"/>
      <w:bookmarkStart w:id="406" w:name="_Toc1386"/>
      <w:bookmarkStart w:id="407" w:name="_Toc21124"/>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672D6E84">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14:paraId="114A59F3">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14:paraId="505F6048">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1.3 价款</w:t>
      </w:r>
      <w:bookmarkEnd w:id="403"/>
      <w:bookmarkEnd w:id="404"/>
      <w:bookmarkEnd w:id="405"/>
      <w:bookmarkEnd w:id="406"/>
      <w:bookmarkEnd w:id="407"/>
    </w:p>
    <w:p w14:paraId="575074C8">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14:paraId="2635254A">
      <w:pPr>
        <w:spacing w:line="560" w:lineRule="exact"/>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465C60C0">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D8A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48B74A">
            <w:pPr>
              <w:pStyle w:val="317"/>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33F8B49D">
            <w:pPr>
              <w:pStyle w:val="317"/>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4DD97D64">
            <w:pPr>
              <w:pStyle w:val="317"/>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2C31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520937">
            <w:pPr>
              <w:pStyle w:val="317"/>
              <w:spacing w:line="560" w:lineRule="exact"/>
              <w:ind w:firstLine="200"/>
              <w:jc w:val="center"/>
              <w:rPr>
                <w:rFonts w:hint="eastAsia" w:ascii="仿宋" w:hAnsi="仿宋" w:eastAsia="仿宋" w:cs="仿宋"/>
                <w:sz w:val="24"/>
                <w:szCs w:val="24"/>
              </w:rPr>
            </w:pPr>
          </w:p>
        </w:tc>
        <w:tc>
          <w:tcPr>
            <w:tcW w:w="3402" w:type="dxa"/>
            <w:vAlign w:val="center"/>
          </w:tcPr>
          <w:p w14:paraId="515F71EE">
            <w:pPr>
              <w:pStyle w:val="317"/>
              <w:spacing w:line="560" w:lineRule="exact"/>
              <w:ind w:firstLine="200"/>
              <w:jc w:val="center"/>
              <w:rPr>
                <w:rFonts w:hint="eastAsia" w:ascii="仿宋" w:hAnsi="仿宋" w:eastAsia="仿宋" w:cs="仿宋"/>
                <w:sz w:val="24"/>
                <w:szCs w:val="24"/>
              </w:rPr>
            </w:pPr>
          </w:p>
        </w:tc>
        <w:tc>
          <w:tcPr>
            <w:tcW w:w="2552" w:type="dxa"/>
            <w:vAlign w:val="center"/>
          </w:tcPr>
          <w:p w14:paraId="6A09C623">
            <w:pPr>
              <w:pStyle w:val="317"/>
              <w:spacing w:line="560" w:lineRule="exact"/>
              <w:ind w:firstLine="200"/>
              <w:jc w:val="center"/>
              <w:rPr>
                <w:rFonts w:hint="eastAsia" w:ascii="仿宋" w:hAnsi="仿宋" w:eastAsia="仿宋" w:cs="仿宋"/>
                <w:sz w:val="24"/>
                <w:szCs w:val="24"/>
              </w:rPr>
            </w:pPr>
          </w:p>
        </w:tc>
      </w:tr>
      <w:tr w14:paraId="1874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DE2BBF">
            <w:pPr>
              <w:pStyle w:val="317"/>
              <w:spacing w:line="560" w:lineRule="exact"/>
              <w:ind w:firstLine="200"/>
              <w:jc w:val="center"/>
              <w:rPr>
                <w:rFonts w:hint="eastAsia" w:ascii="仿宋" w:hAnsi="仿宋" w:eastAsia="仿宋" w:cs="仿宋"/>
                <w:sz w:val="24"/>
                <w:szCs w:val="24"/>
              </w:rPr>
            </w:pPr>
          </w:p>
        </w:tc>
        <w:tc>
          <w:tcPr>
            <w:tcW w:w="3402" w:type="dxa"/>
            <w:vAlign w:val="center"/>
          </w:tcPr>
          <w:p w14:paraId="573C2295">
            <w:pPr>
              <w:pStyle w:val="317"/>
              <w:spacing w:line="560" w:lineRule="exact"/>
              <w:ind w:firstLine="200"/>
              <w:jc w:val="center"/>
              <w:rPr>
                <w:rFonts w:hint="eastAsia" w:ascii="仿宋" w:hAnsi="仿宋" w:eastAsia="仿宋" w:cs="仿宋"/>
                <w:sz w:val="24"/>
                <w:szCs w:val="24"/>
              </w:rPr>
            </w:pPr>
          </w:p>
        </w:tc>
        <w:tc>
          <w:tcPr>
            <w:tcW w:w="2552" w:type="dxa"/>
            <w:vAlign w:val="center"/>
          </w:tcPr>
          <w:p w14:paraId="3DE36E46">
            <w:pPr>
              <w:pStyle w:val="317"/>
              <w:spacing w:line="560" w:lineRule="exact"/>
              <w:ind w:firstLine="200"/>
              <w:jc w:val="center"/>
              <w:rPr>
                <w:rFonts w:hint="eastAsia" w:ascii="仿宋" w:hAnsi="仿宋" w:eastAsia="仿宋" w:cs="仿宋"/>
                <w:sz w:val="24"/>
                <w:szCs w:val="24"/>
              </w:rPr>
            </w:pPr>
          </w:p>
        </w:tc>
      </w:tr>
      <w:tr w14:paraId="0AF6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11E002">
            <w:pPr>
              <w:pStyle w:val="317"/>
              <w:spacing w:line="560" w:lineRule="exact"/>
              <w:ind w:firstLine="200"/>
              <w:jc w:val="center"/>
              <w:rPr>
                <w:rFonts w:hint="eastAsia" w:ascii="仿宋" w:hAnsi="仿宋" w:eastAsia="仿宋" w:cs="仿宋"/>
                <w:sz w:val="24"/>
                <w:szCs w:val="24"/>
              </w:rPr>
            </w:pPr>
          </w:p>
        </w:tc>
        <w:tc>
          <w:tcPr>
            <w:tcW w:w="3402" w:type="dxa"/>
            <w:vAlign w:val="center"/>
          </w:tcPr>
          <w:p w14:paraId="4FEF5B1D">
            <w:pPr>
              <w:pStyle w:val="317"/>
              <w:spacing w:line="560" w:lineRule="exact"/>
              <w:ind w:firstLine="200"/>
              <w:jc w:val="center"/>
              <w:rPr>
                <w:rFonts w:hint="eastAsia" w:ascii="仿宋" w:hAnsi="仿宋" w:eastAsia="仿宋" w:cs="仿宋"/>
                <w:sz w:val="24"/>
                <w:szCs w:val="24"/>
              </w:rPr>
            </w:pPr>
          </w:p>
        </w:tc>
        <w:tc>
          <w:tcPr>
            <w:tcW w:w="2552" w:type="dxa"/>
            <w:vAlign w:val="center"/>
          </w:tcPr>
          <w:p w14:paraId="60A5AB37">
            <w:pPr>
              <w:pStyle w:val="317"/>
              <w:spacing w:line="560" w:lineRule="exact"/>
              <w:ind w:firstLine="200"/>
              <w:jc w:val="center"/>
              <w:rPr>
                <w:rFonts w:hint="eastAsia" w:ascii="仿宋" w:hAnsi="仿宋" w:eastAsia="仿宋" w:cs="仿宋"/>
                <w:sz w:val="24"/>
                <w:szCs w:val="24"/>
              </w:rPr>
            </w:pPr>
          </w:p>
        </w:tc>
      </w:tr>
      <w:tr w14:paraId="4C40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7A0254C">
            <w:pPr>
              <w:pStyle w:val="317"/>
              <w:spacing w:line="560" w:lineRule="exact"/>
              <w:ind w:firstLine="200"/>
              <w:jc w:val="center"/>
              <w:rPr>
                <w:rFonts w:hint="eastAsia" w:ascii="仿宋" w:hAnsi="仿宋" w:eastAsia="仿宋" w:cs="仿宋"/>
                <w:sz w:val="24"/>
                <w:szCs w:val="24"/>
              </w:rPr>
            </w:pPr>
          </w:p>
        </w:tc>
        <w:tc>
          <w:tcPr>
            <w:tcW w:w="3402" w:type="dxa"/>
            <w:vAlign w:val="center"/>
          </w:tcPr>
          <w:p w14:paraId="32F79F68">
            <w:pPr>
              <w:pStyle w:val="317"/>
              <w:spacing w:line="560" w:lineRule="exact"/>
              <w:ind w:firstLine="200"/>
              <w:jc w:val="center"/>
              <w:rPr>
                <w:rFonts w:hint="eastAsia" w:ascii="仿宋" w:hAnsi="仿宋" w:eastAsia="仿宋" w:cs="仿宋"/>
                <w:sz w:val="24"/>
                <w:szCs w:val="24"/>
              </w:rPr>
            </w:pPr>
          </w:p>
        </w:tc>
        <w:tc>
          <w:tcPr>
            <w:tcW w:w="2552" w:type="dxa"/>
            <w:vAlign w:val="center"/>
          </w:tcPr>
          <w:p w14:paraId="0E43723B">
            <w:pPr>
              <w:pStyle w:val="317"/>
              <w:spacing w:line="560" w:lineRule="exact"/>
              <w:ind w:firstLine="200"/>
              <w:jc w:val="center"/>
              <w:rPr>
                <w:rFonts w:hint="eastAsia" w:ascii="仿宋" w:hAnsi="仿宋" w:eastAsia="仿宋" w:cs="仿宋"/>
                <w:sz w:val="24"/>
                <w:szCs w:val="24"/>
              </w:rPr>
            </w:pPr>
          </w:p>
        </w:tc>
      </w:tr>
      <w:tr w14:paraId="74C4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F1BED4A">
            <w:pPr>
              <w:pStyle w:val="317"/>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2C9F8CDE">
            <w:pPr>
              <w:pStyle w:val="317"/>
              <w:spacing w:line="560" w:lineRule="exact"/>
              <w:ind w:firstLine="200"/>
              <w:jc w:val="center"/>
              <w:rPr>
                <w:rFonts w:hint="eastAsia" w:ascii="仿宋" w:hAnsi="仿宋" w:eastAsia="仿宋" w:cs="仿宋"/>
                <w:sz w:val="24"/>
                <w:szCs w:val="24"/>
              </w:rPr>
            </w:pPr>
          </w:p>
        </w:tc>
      </w:tr>
    </w:tbl>
    <w:p w14:paraId="5342C74F">
      <w:pPr>
        <w:spacing w:line="560" w:lineRule="exact"/>
        <w:ind w:firstLine="480" w:firstLineChars="200"/>
        <w:rPr>
          <w:rFonts w:hint="eastAsia" w:ascii="仿宋" w:hAnsi="仿宋" w:eastAsia="仿宋" w:cs="仿宋"/>
          <w:sz w:val="24"/>
        </w:rPr>
      </w:pPr>
      <w:bookmarkStart w:id="408" w:name="_Toc30506"/>
      <w:bookmarkStart w:id="409" w:name="_Toc26916"/>
      <w:bookmarkStart w:id="410" w:name="_Toc30158"/>
      <w:bookmarkStart w:id="411" w:name="_Toc14993"/>
      <w:bookmarkStart w:id="412" w:name="_Toc3654"/>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14AC5F23">
      <w:pPr>
        <w:pStyle w:val="2"/>
        <w:rPr>
          <w:rFonts w:hint="eastAsia" w:ascii="仿宋" w:hAnsi="仿宋" w:eastAsia="仿宋" w:cs="仿宋"/>
          <w:lang w:val="en-US"/>
        </w:rPr>
      </w:pPr>
      <w:r>
        <w:rPr>
          <w:rFonts w:hint="eastAsia" w:ascii="仿宋" w:hAnsi="仿宋" w:eastAsia="仿宋" w:cs="仿宋"/>
          <w:sz w:val="24"/>
          <w:lang w:val="en-US"/>
        </w:rPr>
        <w:t xml:space="preserve">    </w:t>
      </w:r>
      <w:r>
        <w:rPr>
          <w:rFonts w:hint="eastAsia" w:ascii="仿宋" w:hAnsi="仿宋" w:eastAsia="仿宋" w:cs="仿宋"/>
          <w:b w:val="0"/>
          <w:bCs w:val="0"/>
          <w:sz w:val="24"/>
          <w:lang w:val="en-US"/>
        </w:rPr>
        <w:t>1.3.3其他计价方式：</w:t>
      </w:r>
      <w:r>
        <w:rPr>
          <w:rFonts w:hint="eastAsia" w:ascii="仿宋" w:hAnsi="仿宋" w:eastAsia="仿宋" w:cs="仿宋"/>
          <w:b w:val="0"/>
          <w:bCs w:val="0"/>
          <w:sz w:val="24"/>
          <w:u w:val="single"/>
          <w:lang w:val="en-US"/>
        </w:rPr>
        <w:t xml:space="preserve">                   </w:t>
      </w:r>
      <w:r>
        <w:rPr>
          <w:rFonts w:hint="eastAsia" w:ascii="仿宋" w:hAnsi="仿宋" w:eastAsia="仿宋" w:cs="仿宋"/>
          <w:b w:val="0"/>
          <w:bCs w:val="0"/>
          <w:sz w:val="24"/>
        </w:rPr>
        <w:t>。</w:t>
      </w:r>
    </w:p>
    <w:bookmarkEnd w:id="408"/>
    <w:bookmarkEnd w:id="409"/>
    <w:bookmarkEnd w:id="410"/>
    <w:bookmarkEnd w:id="411"/>
    <w:bookmarkEnd w:id="412"/>
    <w:p w14:paraId="2F134413">
      <w:pPr>
        <w:pStyle w:val="957"/>
        <w:spacing w:before="0" w:beforeAutospacing="0" w:after="0" w:afterAutospacing="0" w:line="360" w:lineRule="auto"/>
        <w:ind w:firstLine="480"/>
        <w:rPr>
          <w:rFonts w:hint="eastAsia" w:ascii="仿宋" w:hAnsi="仿宋" w:eastAsia="仿宋" w:cs="仿宋"/>
          <w:b/>
        </w:rPr>
      </w:pPr>
      <w:bookmarkStart w:id="413" w:name="_Toc31421"/>
      <w:bookmarkStart w:id="414" w:name="_Toc8772"/>
      <w:bookmarkStart w:id="415" w:name="_Toc3625"/>
      <w:bookmarkStart w:id="416" w:name="_Toc4760"/>
      <w:bookmarkStart w:id="417" w:name="_Toc11108"/>
      <w:r>
        <w:rPr>
          <w:rFonts w:hint="eastAsia" w:ascii="仿宋" w:hAnsi="仿宋" w:eastAsia="仿宋" w:cs="仿宋"/>
          <w:b/>
        </w:rPr>
        <w:t>1.4履约保证金</w:t>
      </w:r>
    </w:p>
    <w:p w14:paraId="2827A215">
      <w:pPr>
        <w:pStyle w:val="95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38992970">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5E170DDE">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149AB301">
      <w:pPr>
        <w:pStyle w:val="2"/>
        <w:tabs>
          <w:tab w:val="left" w:pos="0"/>
        </w:tabs>
        <w:spacing w:line="560" w:lineRule="exact"/>
        <w:ind w:left="0" w:firstLine="480" w:firstLineChars="200"/>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77B5BD8">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1.4.4甲方在项目验收结束后及时退还履约保证金。甲方在项目通过验收之日起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560C3E5F">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1.5预付款</w:t>
      </w:r>
    </w:p>
    <w:p w14:paraId="7766E7D3">
      <w:pPr>
        <w:pStyle w:val="95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2149FA97">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EA49CBA">
      <w:pPr>
        <w:pStyle w:val="95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52319172">
      <w:pPr>
        <w:pStyle w:val="957"/>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72EE6207">
      <w:pPr>
        <w:pStyle w:val="957"/>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6EE4BAAF">
      <w:pPr>
        <w:pStyle w:val="95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71A190">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5907B569">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bookmarkEnd w:id="413"/>
      <w:bookmarkEnd w:id="414"/>
      <w:bookmarkEnd w:id="415"/>
      <w:bookmarkEnd w:id="416"/>
      <w:bookmarkEnd w:id="417"/>
    </w:p>
    <w:p w14:paraId="3EF0F744">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3EB4DEC2">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572C5882">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434F88E6">
      <w:pPr>
        <w:spacing w:line="560" w:lineRule="exact"/>
        <w:ind w:firstLine="480" w:firstLineChars="200"/>
        <w:outlineLvl w:val="0"/>
        <w:rPr>
          <w:rFonts w:hint="eastAsia" w:ascii="仿宋" w:hAnsi="仿宋" w:eastAsia="仿宋" w:cs="仿宋"/>
          <w:bCs/>
          <w:sz w:val="24"/>
        </w:rPr>
      </w:pPr>
      <w:bookmarkStart w:id="418" w:name="_Toc2375"/>
      <w:bookmarkStart w:id="419" w:name="_Toc8586"/>
      <w:bookmarkStart w:id="420" w:name="_Toc5698"/>
      <w:bookmarkStart w:id="421" w:name="_Toc24662"/>
      <w:bookmarkStart w:id="422" w:name="_Toc3079"/>
      <w:r>
        <w:rPr>
          <w:rFonts w:hint="eastAsia" w:ascii="仿宋" w:hAnsi="仿宋" w:eastAsia="仿宋" w:cs="仿宋"/>
          <w:bCs/>
          <w:sz w:val="24"/>
        </w:rPr>
        <w:t>1.7.4若服务涉及货物的，则货物的：</w:t>
      </w:r>
    </w:p>
    <w:p w14:paraId="0F10E2AE">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5B0AB3EB">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270B20AF">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516B02D4">
      <w:pPr>
        <w:spacing w:line="560" w:lineRule="exact"/>
        <w:ind w:firstLine="482" w:firstLineChars="200"/>
        <w:outlineLvl w:val="0"/>
        <w:rPr>
          <w:rFonts w:hint="eastAsia" w:ascii="仿宋" w:hAnsi="仿宋" w:eastAsia="仿宋" w:cs="仿宋"/>
          <w:sz w:val="24"/>
          <w:u w:val="single"/>
        </w:rPr>
      </w:pPr>
      <w:r>
        <w:rPr>
          <w:rFonts w:hint="eastAsia" w:ascii="仿宋" w:hAnsi="仿宋" w:eastAsia="仿宋" w:cs="仿宋"/>
          <w:b/>
          <w:sz w:val="24"/>
        </w:rPr>
        <w:t>1.8违约责任</w:t>
      </w:r>
      <w:bookmarkEnd w:id="418"/>
      <w:bookmarkEnd w:id="419"/>
      <w:bookmarkEnd w:id="420"/>
      <w:bookmarkEnd w:id="421"/>
      <w:bookmarkEnd w:id="422"/>
    </w:p>
    <w:p w14:paraId="22954A04">
      <w:pPr>
        <w:spacing w:line="56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6B55CF04">
      <w:pPr>
        <w:pStyle w:val="2"/>
        <w:ind w:left="0" w:firstLine="480" w:firstLineChars="2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0.0</w:t>
      </w:r>
      <w:r>
        <w:rPr>
          <w:rFonts w:hint="eastAsia" w:ascii="仿宋" w:hAnsi="仿宋" w:eastAsia="仿宋" w:cs="仿宋"/>
          <w:b w:val="0"/>
          <w:bCs w:val="0"/>
          <w:sz w:val="24"/>
          <w:szCs w:val="24"/>
          <w:lang w:val="en-US"/>
        </w:rPr>
        <w:t xml:space="preserve">5（可根据情况修改）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%计算，最高限额为本合同总价的</w:t>
      </w:r>
      <w:r>
        <w:rPr>
          <w:rFonts w:hint="eastAsia" w:ascii="仿宋" w:hAnsi="仿宋" w:eastAsia="仿宋" w:cs="仿宋"/>
          <w:b w:val="0"/>
          <w:bCs w:val="0"/>
          <w:sz w:val="24"/>
          <w:szCs w:val="24"/>
          <w:u w:val="single"/>
          <w:lang w:val="en-US"/>
        </w:rPr>
        <w:t xml:space="preserve">  20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74F41A8D">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w:t>
      </w:r>
      <w:r>
        <w:rPr>
          <w:rFonts w:hint="eastAsia" w:ascii="仿宋" w:hAnsi="仿宋" w:eastAsia="仿宋" w:cs="仿宋"/>
          <w:kern w:val="0"/>
          <w:sz w:val="24"/>
          <w:u w:val="single"/>
        </w:rPr>
        <w:t>（可根据情况修改）</w:t>
      </w:r>
      <w:r>
        <w:rPr>
          <w:rFonts w:hint="eastAsia" w:ascii="仿宋" w:hAnsi="仿宋" w:eastAsia="仿宋" w:cs="仿宋"/>
          <w:sz w:val="24"/>
          <w:u w:val="single"/>
        </w:rPr>
        <w:t xml:space="preserve">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07C32F1D">
      <w:pPr>
        <w:spacing w:line="560" w:lineRule="exact"/>
        <w:ind w:firstLine="480" w:firstLineChars="200"/>
        <w:rPr>
          <w:rFonts w:hint="eastAsia" w:ascii="仿宋" w:hAnsi="仿宋" w:eastAsia="仿宋" w:cs="仿宋"/>
          <w:sz w:val="24"/>
        </w:rPr>
      </w:pPr>
      <w:bookmarkStart w:id="423" w:name="_Toc9497"/>
      <w:bookmarkStart w:id="424" w:name="_Toc26807"/>
      <w:bookmarkStart w:id="425" w:name="_Toc18683"/>
      <w:bookmarkStart w:id="426" w:name="_Toc30329"/>
      <w:bookmarkStart w:id="427" w:name="_Toc32454"/>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74CF7D">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D178A6D">
      <w:pPr>
        <w:spacing w:line="560" w:lineRule="exact"/>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9EA173F">
      <w:pPr>
        <w:spacing w:line="560" w:lineRule="exact"/>
        <w:ind w:right="-420" w:rightChars="-200" w:firstLine="480" w:firstLineChars="200"/>
        <w:rPr>
          <w:rFonts w:hint="eastAsia"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23"/>
    <w:bookmarkEnd w:id="424"/>
    <w:bookmarkEnd w:id="425"/>
    <w:bookmarkEnd w:id="426"/>
    <w:bookmarkEnd w:id="427"/>
    <w:p w14:paraId="79BB74CD">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1.9合同争议的解决</w:t>
      </w:r>
    </w:p>
    <w:p w14:paraId="72B133E5">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052DC9FC">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03369453">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69018D54">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2.0 合同生效</w:t>
      </w:r>
    </w:p>
    <w:p w14:paraId="0F4E9D78">
      <w:pPr>
        <w:spacing w:line="560" w:lineRule="exact"/>
        <w:ind w:firstLine="480" w:firstLineChars="200"/>
        <w:rPr>
          <w:rFonts w:hint="eastAsia" w:ascii="仿宋" w:hAnsi="仿宋" w:eastAsia="仿宋" w:cs="仿宋"/>
          <w:sz w:val="24"/>
          <w:lang w:val="zh-CN"/>
        </w:rPr>
      </w:pPr>
      <w:r>
        <w:rPr>
          <w:rFonts w:hint="eastAsia" w:ascii="仿宋" w:hAnsi="仿宋" w:eastAsia="仿宋" w:cs="仿宋"/>
          <w:sz w:val="24"/>
        </w:rPr>
        <w:t>本合同自双方当事人盖章签字时生效。</w:t>
      </w:r>
    </w:p>
    <w:p w14:paraId="7A04E2FE">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3E9A84B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763BC1A5">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25F100CD">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75D76EC3">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0985D81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3BD5C9AC">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122F081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25A8EEE6">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7D9BD07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7820D88E">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0FD87A92">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02B79E79">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0ECE5D66">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14B9A944">
      <w:pPr>
        <w:pStyle w:val="699"/>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565C72E7">
      <w:pPr>
        <w:spacing w:line="560" w:lineRule="exact"/>
        <w:ind w:firstLine="482" w:firstLineChars="200"/>
        <w:outlineLvl w:val="0"/>
        <w:rPr>
          <w:rFonts w:hint="eastAsia" w:ascii="仿宋" w:hAnsi="仿宋" w:eastAsia="仿宋" w:cs="仿宋"/>
          <w:b/>
          <w:sz w:val="24"/>
        </w:rPr>
      </w:pPr>
      <w:bookmarkStart w:id="428" w:name="_Toc31297"/>
      <w:bookmarkStart w:id="429" w:name="_Toc14021"/>
      <w:bookmarkStart w:id="430" w:name="_Toc5228"/>
      <w:bookmarkStart w:id="431" w:name="_Toc25079"/>
      <w:bookmarkStart w:id="432" w:name="_Toc19680"/>
      <w:r>
        <w:rPr>
          <w:rFonts w:hint="eastAsia" w:ascii="仿宋" w:hAnsi="仿宋" w:eastAsia="仿宋" w:cs="仿宋"/>
          <w:b/>
          <w:sz w:val="24"/>
        </w:rPr>
        <w:t>2.1 定义</w:t>
      </w:r>
      <w:bookmarkEnd w:id="428"/>
      <w:bookmarkEnd w:id="429"/>
      <w:bookmarkEnd w:id="430"/>
      <w:bookmarkEnd w:id="431"/>
      <w:bookmarkEnd w:id="432"/>
    </w:p>
    <w:p w14:paraId="212331FE">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6BF3BF7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0A6E954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09B72717">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52C0990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4F038BF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8021B1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14:paraId="22CCE250">
      <w:pPr>
        <w:spacing w:line="560" w:lineRule="exact"/>
        <w:ind w:firstLine="482" w:firstLineChars="200"/>
        <w:outlineLvl w:val="0"/>
        <w:rPr>
          <w:rFonts w:hint="eastAsia" w:ascii="仿宋" w:hAnsi="仿宋" w:eastAsia="仿宋" w:cs="仿宋"/>
          <w:b/>
          <w:sz w:val="24"/>
        </w:rPr>
      </w:pPr>
      <w:bookmarkStart w:id="433" w:name="_Toc23289"/>
      <w:bookmarkStart w:id="434" w:name="_Toc3769"/>
      <w:bookmarkStart w:id="435" w:name="_Toc19539"/>
      <w:bookmarkStart w:id="436" w:name="_Toc31402"/>
      <w:bookmarkStart w:id="437" w:name="_Toc16752"/>
      <w:r>
        <w:rPr>
          <w:rFonts w:hint="eastAsia" w:ascii="仿宋" w:hAnsi="仿宋" w:eastAsia="仿宋" w:cs="仿宋"/>
          <w:b/>
          <w:sz w:val="24"/>
        </w:rPr>
        <w:t>2.2 技术规范</w:t>
      </w:r>
      <w:bookmarkEnd w:id="433"/>
      <w:bookmarkEnd w:id="434"/>
      <w:bookmarkEnd w:id="435"/>
      <w:bookmarkEnd w:id="436"/>
      <w:bookmarkEnd w:id="437"/>
    </w:p>
    <w:p w14:paraId="077DD8F1">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DABA912">
      <w:pPr>
        <w:spacing w:line="560" w:lineRule="exact"/>
        <w:ind w:firstLine="482" w:firstLineChars="200"/>
        <w:outlineLvl w:val="0"/>
        <w:rPr>
          <w:rFonts w:hint="eastAsia" w:ascii="仿宋" w:hAnsi="仿宋" w:eastAsia="仿宋" w:cs="仿宋"/>
          <w:b/>
          <w:sz w:val="24"/>
        </w:rPr>
      </w:pPr>
      <w:bookmarkStart w:id="438" w:name="_Toc12412"/>
      <w:bookmarkStart w:id="439" w:name="_Toc4133"/>
      <w:bookmarkStart w:id="440" w:name="_Toc13673"/>
      <w:bookmarkStart w:id="441" w:name="_Toc9161"/>
      <w:bookmarkStart w:id="442" w:name="_Toc27945"/>
      <w:r>
        <w:rPr>
          <w:rFonts w:hint="eastAsia" w:ascii="仿宋" w:hAnsi="仿宋" w:eastAsia="仿宋" w:cs="仿宋"/>
          <w:b/>
          <w:sz w:val="24"/>
        </w:rPr>
        <w:t>2.3 知识产权</w:t>
      </w:r>
      <w:bookmarkEnd w:id="438"/>
      <w:bookmarkEnd w:id="439"/>
      <w:bookmarkEnd w:id="440"/>
      <w:bookmarkEnd w:id="441"/>
      <w:bookmarkEnd w:id="442"/>
    </w:p>
    <w:p w14:paraId="6FA5D045">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657B3A8">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7EFBCBFC">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420A473B">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8862096">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3A5E381F">
      <w:pPr>
        <w:spacing w:line="560" w:lineRule="exact"/>
        <w:ind w:firstLine="482" w:firstLineChars="200"/>
        <w:outlineLvl w:val="0"/>
        <w:rPr>
          <w:rFonts w:hint="eastAsia" w:ascii="仿宋" w:hAnsi="仿宋" w:eastAsia="仿宋" w:cs="仿宋"/>
          <w:b/>
          <w:sz w:val="24"/>
        </w:rPr>
      </w:pPr>
      <w:bookmarkStart w:id="443" w:name="_Toc15447"/>
      <w:bookmarkStart w:id="444" w:name="_Toc22011"/>
      <w:bookmarkStart w:id="445" w:name="_Toc26555"/>
      <w:bookmarkStart w:id="446" w:name="_Toc32670"/>
      <w:bookmarkStart w:id="447" w:name="_Toc31233"/>
      <w:r>
        <w:rPr>
          <w:rFonts w:hint="eastAsia" w:ascii="仿宋" w:hAnsi="仿宋" w:eastAsia="仿宋" w:cs="仿宋"/>
          <w:b/>
          <w:sz w:val="24"/>
        </w:rPr>
        <w:t>2.5 结算方式和付款条件</w:t>
      </w:r>
      <w:bookmarkEnd w:id="443"/>
      <w:bookmarkEnd w:id="444"/>
      <w:bookmarkEnd w:id="445"/>
      <w:bookmarkEnd w:id="446"/>
      <w:bookmarkEnd w:id="447"/>
    </w:p>
    <w:p w14:paraId="215D771D">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03E3ADC7">
      <w:pPr>
        <w:spacing w:line="560" w:lineRule="exact"/>
        <w:ind w:firstLine="482" w:firstLineChars="200"/>
        <w:outlineLvl w:val="0"/>
        <w:rPr>
          <w:rFonts w:hint="eastAsia" w:ascii="仿宋" w:hAnsi="仿宋" w:eastAsia="仿宋" w:cs="仿宋"/>
          <w:b/>
          <w:sz w:val="24"/>
        </w:rPr>
      </w:pPr>
      <w:bookmarkStart w:id="448" w:name="_Toc18990"/>
      <w:bookmarkStart w:id="449" w:name="_Toc16163"/>
      <w:bookmarkStart w:id="450" w:name="_Toc13154"/>
      <w:bookmarkStart w:id="451" w:name="_Toc13467"/>
      <w:bookmarkStart w:id="452" w:name="_Toc30507"/>
      <w:r>
        <w:rPr>
          <w:rFonts w:hint="eastAsia" w:ascii="仿宋" w:hAnsi="仿宋" w:eastAsia="仿宋" w:cs="仿宋"/>
          <w:b/>
          <w:sz w:val="24"/>
        </w:rPr>
        <w:t>2.6 技术资料和保密义务</w:t>
      </w:r>
      <w:bookmarkEnd w:id="448"/>
      <w:bookmarkEnd w:id="449"/>
      <w:bookmarkEnd w:id="450"/>
      <w:bookmarkEnd w:id="451"/>
      <w:bookmarkEnd w:id="452"/>
    </w:p>
    <w:p w14:paraId="22F97BBA">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0F3E6C03">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32D2021A">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FAF32B1">
      <w:pPr>
        <w:spacing w:line="560" w:lineRule="exact"/>
        <w:ind w:firstLine="482" w:firstLineChars="200"/>
        <w:outlineLvl w:val="0"/>
        <w:rPr>
          <w:rFonts w:hint="eastAsia" w:ascii="仿宋" w:hAnsi="仿宋" w:eastAsia="仿宋" w:cs="仿宋"/>
          <w:b/>
          <w:sz w:val="24"/>
        </w:rPr>
      </w:pPr>
      <w:bookmarkStart w:id="453" w:name="_Toc19069"/>
      <w:r>
        <w:rPr>
          <w:rFonts w:hint="eastAsia" w:ascii="仿宋" w:hAnsi="仿宋" w:eastAsia="仿宋" w:cs="仿宋"/>
          <w:b/>
          <w:sz w:val="24"/>
        </w:rPr>
        <w:t>2.7 质量保证</w:t>
      </w:r>
      <w:bookmarkEnd w:id="453"/>
    </w:p>
    <w:p w14:paraId="310A20BD">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6CC95A97">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6EE85D17">
      <w:pPr>
        <w:spacing w:line="560" w:lineRule="exact"/>
        <w:ind w:firstLine="482" w:firstLineChars="200"/>
        <w:outlineLvl w:val="0"/>
        <w:rPr>
          <w:rFonts w:hint="eastAsia" w:ascii="仿宋" w:hAnsi="仿宋" w:eastAsia="仿宋" w:cs="仿宋"/>
          <w:b/>
          <w:sz w:val="24"/>
        </w:rPr>
      </w:pPr>
      <w:bookmarkStart w:id="454" w:name="_Toc22267"/>
      <w:r>
        <w:rPr>
          <w:rFonts w:hint="eastAsia" w:ascii="仿宋" w:hAnsi="仿宋" w:eastAsia="仿宋" w:cs="仿宋"/>
          <w:b/>
          <w:sz w:val="24"/>
        </w:rPr>
        <w:t>2.8 延迟履行</w:t>
      </w:r>
      <w:bookmarkEnd w:id="454"/>
    </w:p>
    <w:p w14:paraId="7791F79F">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8C979AB">
      <w:pPr>
        <w:spacing w:line="560" w:lineRule="exact"/>
        <w:ind w:firstLine="482" w:firstLineChars="200"/>
        <w:outlineLvl w:val="0"/>
        <w:rPr>
          <w:rFonts w:hint="eastAsia" w:ascii="仿宋" w:hAnsi="仿宋" w:eastAsia="仿宋" w:cs="仿宋"/>
          <w:b/>
          <w:sz w:val="24"/>
        </w:rPr>
      </w:pPr>
      <w:bookmarkStart w:id="455" w:name="_Toc10611"/>
      <w:r>
        <w:rPr>
          <w:rFonts w:hint="eastAsia" w:ascii="仿宋" w:hAnsi="仿宋" w:eastAsia="仿宋" w:cs="仿宋"/>
          <w:b/>
          <w:sz w:val="24"/>
        </w:rPr>
        <w:t>2.9 合同变更</w:t>
      </w:r>
      <w:bookmarkEnd w:id="455"/>
    </w:p>
    <w:p w14:paraId="58A5FD6E">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08A8C3B0">
      <w:pPr>
        <w:spacing w:line="560" w:lineRule="exact"/>
        <w:ind w:firstLine="482" w:firstLineChars="200"/>
        <w:outlineLvl w:val="0"/>
        <w:rPr>
          <w:rFonts w:hint="eastAsia" w:ascii="仿宋" w:hAnsi="仿宋" w:eastAsia="仿宋" w:cs="仿宋"/>
          <w:b/>
          <w:sz w:val="24"/>
        </w:rPr>
      </w:pPr>
      <w:bookmarkStart w:id="456" w:name="_Toc42"/>
      <w:bookmarkStart w:id="457" w:name="_Toc26689"/>
      <w:bookmarkStart w:id="458" w:name="_Toc10663"/>
      <w:bookmarkStart w:id="459" w:name="_Toc21830"/>
      <w:bookmarkStart w:id="460" w:name="_Toc23368"/>
      <w:r>
        <w:rPr>
          <w:rFonts w:hint="eastAsia" w:ascii="仿宋" w:hAnsi="仿宋" w:eastAsia="仿宋" w:cs="仿宋"/>
          <w:b/>
          <w:sz w:val="24"/>
        </w:rPr>
        <w:t>2.10 合同转让和分包</w:t>
      </w:r>
      <w:bookmarkEnd w:id="456"/>
      <w:bookmarkEnd w:id="457"/>
      <w:bookmarkEnd w:id="458"/>
      <w:bookmarkEnd w:id="459"/>
      <w:bookmarkEnd w:id="460"/>
    </w:p>
    <w:p w14:paraId="19C72F4C">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A5EE58B">
      <w:pPr>
        <w:spacing w:line="560" w:lineRule="exact"/>
        <w:ind w:firstLine="482" w:firstLineChars="200"/>
        <w:outlineLvl w:val="0"/>
        <w:rPr>
          <w:rFonts w:hint="eastAsia" w:ascii="仿宋" w:hAnsi="仿宋" w:eastAsia="仿宋" w:cs="仿宋"/>
          <w:b/>
          <w:sz w:val="24"/>
        </w:rPr>
      </w:pPr>
      <w:bookmarkStart w:id="461" w:name="_Toc32494"/>
      <w:bookmarkStart w:id="462" w:name="_Toc25571"/>
      <w:bookmarkStart w:id="463" w:name="_Toc4720"/>
      <w:bookmarkStart w:id="464" w:name="_Toc14371"/>
      <w:bookmarkStart w:id="465" w:name="_Toc26633"/>
      <w:r>
        <w:rPr>
          <w:rFonts w:hint="eastAsia" w:ascii="仿宋" w:hAnsi="仿宋" w:eastAsia="仿宋" w:cs="仿宋"/>
          <w:b/>
          <w:sz w:val="24"/>
        </w:rPr>
        <w:t>2.11 不可抗力</w:t>
      </w:r>
      <w:bookmarkEnd w:id="461"/>
      <w:bookmarkEnd w:id="462"/>
      <w:bookmarkEnd w:id="463"/>
      <w:bookmarkEnd w:id="464"/>
      <w:bookmarkEnd w:id="465"/>
    </w:p>
    <w:p w14:paraId="33CDD0F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7720045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2CB6F42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7E79FBC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6E7E1C0C">
      <w:pPr>
        <w:spacing w:line="560" w:lineRule="exact"/>
        <w:ind w:firstLine="482" w:firstLineChars="200"/>
        <w:outlineLvl w:val="0"/>
        <w:rPr>
          <w:rFonts w:hint="eastAsia" w:ascii="仿宋" w:hAnsi="仿宋" w:eastAsia="仿宋" w:cs="仿宋"/>
          <w:b/>
          <w:sz w:val="24"/>
        </w:rPr>
      </w:pPr>
      <w:bookmarkStart w:id="466" w:name="_Toc25783"/>
      <w:bookmarkStart w:id="467" w:name="_Toc3638"/>
      <w:bookmarkStart w:id="468" w:name="_Toc24465"/>
      <w:bookmarkStart w:id="469" w:name="_Toc14115"/>
      <w:bookmarkStart w:id="470" w:name="_Toc23854"/>
      <w:r>
        <w:rPr>
          <w:rFonts w:hint="eastAsia" w:ascii="仿宋" w:hAnsi="仿宋" w:eastAsia="仿宋" w:cs="仿宋"/>
          <w:b/>
          <w:sz w:val="24"/>
        </w:rPr>
        <w:t>2.12 税费</w:t>
      </w:r>
      <w:bookmarkEnd w:id="466"/>
      <w:bookmarkEnd w:id="467"/>
      <w:bookmarkEnd w:id="468"/>
      <w:bookmarkEnd w:id="469"/>
      <w:bookmarkEnd w:id="470"/>
    </w:p>
    <w:p w14:paraId="2B473A7A">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51B76449">
      <w:pPr>
        <w:spacing w:line="560" w:lineRule="exact"/>
        <w:ind w:firstLine="482" w:firstLineChars="200"/>
        <w:outlineLvl w:val="0"/>
        <w:rPr>
          <w:rFonts w:hint="eastAsia" w:ascii="仿宋" w:hAnsi="仿宋" w:eastAsia="仿宋" w:cs="仿宋"/>
          <w:b/>
          <w:sz w:val="24"/>
        </w:rPr>
      </w:pPr>
      <w:bookmarkStart w:id="471" w:name="_Toc30105"/>
      <w:bookmarkStart w:id="472" w:name="_Toc7315"/>
      <w:bookmarkStart w:id="473" w:name="_Toc14814"/>
      <w:bookmarkStart w:id="474" w:name="_Toc25525"/>
      <w:bookmarkStart w:id="475" w:name="_Toc26883"/>
      <w:r>
        <w:rPr>
          <w:rFonts w:hint="eastAsia" w:ascii="仿宋" w:hAnsi="仿宋" w:eastAsia="仿宋" w:cs="仿宋"/>
          <w:b/>
          <w:sz w:val="24"/>
        </w:rPr>
        <w:t>2.13 乙方破产</w:t>
      </w:r>
      <w:bookmarkEnd w:id="471"/>
      <w:bookmarkEnd w:id="472"/>
      <w:bookmarkEnd w:id="473"/>
      <w:bookmarkEnd w:id="474"/>
      <w:bookmarkEnd w:id="475"/>
    </w:p>
    <w:p w14:paraId="159A7CC4">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11D9F35">
      <w:pPr>
        <w:spacing w:line="560" w:lineRule="exact"/>
        <w:ind w:firstLine="482" w:firstLineChars="200"/>
        <w:outlineLvl w:val="0"/>
        <w:rPr>
          <w:rFonts w:hint="eastAsia" w:ascii="仿宋" w:hAnsi="仿宋" w:eastAsia="仿宋" w:cs="仿宋"/>
          <w:b/>
          <w:sz w:val="24"/>
        </w:rPr>
      </w:pPr>
      <w:bookmarkStart w:id="476" w:name="_Toc23323"/>
      <w:bookmarkStart w:id="477" w:name="_Toc2016"/>
      <w:bookmarkStart w:id="478" w:name="_Toc1123"/>
      <w:r>
        <w:rPr>
          <w:rFonts w:hint="eastAsia" w:ascii="仿宋" w:hAnsi="仿宋" w:eastAsia="仿宋" w:cs="仿宋"/>
          <w:b/>
          <w:sz w:val="24"/>
        </w:rPr>
        <w:t>2.14 合同中止、终止</w:t>
      </w:r>
      <w:bookmarkEnd w:id="476"/>
      <w:bookmarkEnd w:id="477"/>
      <w:bookmarkEnd w:id="478"/>
    </w:p>
    <w:p w14:paraId="734A73E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0CFF48F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358FDE7D">
      <w:pPr>
        <w:spacing w:line="560" w:lineRule="exact"/>
        <w:ind w:firstLine="482" w:firstLineChars="200"/>
        <w:outlineLvl w:val="0"/>
        <w:rPr>
          <w:rFonts w:hint="eastAsia" w:ascii="仿宋" w:hAnsi="仿宋" w:eastAsia="仿宋" w:cs="仿宋"/>
          <w:b/>
          <w:sz w:val="24"/>
        </w:rPr>
      </w:pPr>
      <w:bookmarkStart w:id="479" w:name="_Toc14525"/>
      <w:bookmarkStart w:id="480" w:name="_Toc17363"/>
      <w:bookmarkStart w:id="481" w:name="_Toc1969"/>
      <w:r>
        <w:rPr>
          <w:rFonts w:hint="eastAsia" w:ascii="仿宋" w:hAnsi="仿宋" w:eastAsia="仿宋" w:cs="仿宋"/>
          <w:b/>
          <w:sz w:val="24"/>
        </w:rPr>
        <w:t>2.15 检验和验收</w:t>
      </w:r>
      <w:bookmarkEnd w:id="479"/>
      <w:bookmarkEnd w:id="480"/>
      <w:bookmarkEnd w:id="481"/>
    </w:p>
    <w:p w14:paraId="31037F82">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7C8C657E">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C83FD34">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47B4DF8B">
      <w:pPr>
        <w:spacing w:line="560" w:lineRule="exact"/>
        <w:ind w:firstLine="482" w:firstLineChars="200"/>
        <w:outlineLvl w:val="0"/>
        <w:rPr>
          <w:rFonts w:hint="eastAsia" w:ascii="仿宋" w:hAnsi="仿宋" w:eastAsia="仿宋" w:cs="仿宋"/>
          <w:b/>
          <w:sz w:val="24"/>
        </w:rPr>
      </w:pPr>
      <w:bookmarkStart w:id="482" w:name="_Toc25198"/>
      <w:bookmarkStart w:id="483" w:name="_Toc31892"/>
      <w:bookmarkStart w:id="484" w:name="_Toc9808"/>
      <w:bookmarkStart w:id="485" w:name="_Toc12666"/>
      <w:bookmarkStart w:id="486" w:name="_Toc2308"/>
      <w:r>
        <w:rPr>
          <w:rFonts w:hint="eastAsia" w:ascii="仿宋" w:hAnsi="仿宋" w:eastAsia="仿宋" w:cs="仿宋"/>
          <w:b/>
          <w:sz w:val="24"/>
        </w:rPr>
        <w:t>2.16 通知和送达</w:t>
      </w:r>
      <w:bookmarkEnd w:id="482"/>
      <w:bookmarkEnd w:id="483"/>
      <w:bookmarkEnd w:id="484"/>
      <w:bookmarkEnd w:id="485"/>
      <w:bookmarkEnd w:id="486"/>
    </w:p>
    <w:p w14:paraId="2A84ED18">
      <w:pPr>
        <w:spacing w:line="560" w:lineRule="exact"/>
        <w:ind w:firstLine="480" w:firstLineChars="200"/>
        <w:rPr>
          <w:rFonts w:hint="eastAsia" w:ascii="仿宋" w:hAnsi="仿宋" w:eastAsia="仿宋" w:cs="仿宋"/>
          <w:sz w:val="24"/>
        </w:rPr>
      </w:pPr>
      <w:bookmarkStart w:id="487" w:name="_Toc27674"/>
      <w:bookmarkStart w:id="488" w:name="_Toc18401"/>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7ADC101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7"/>
      <w:bookmarkEnd w:id="488"/>
    </w:p>
    <w:p w14:paraId="6AB17AF8">
      <w:pPr>
        <w:spacing w:line="560" w:lineRule="exact"/>
        <w:ind w:firstLine="482" w:firstLineChars="200"/>
        <w:outlineLvl w:val="0"/>
        <w:rPr>
          <w:rFonts w:hint="eastAsia" w:ascii="仿宋" w:hAnsi="仿宋" w:eastAsia="仿宋" w:cs="仿宋"/>
          <w:b/>
          <w:sz w:val="24"/>
        </w:rPr>
      </w:pPr>
      <w:bookmarkStart w:id="489" w:name="_Toc28906"/>
      <w:bookmarkStart w:id="490" w:name="_Toc20808"/>
      <w:bookmarkStart w:id="491" w:name="_Toc5063"/>
      <w:bookmarkStart w:id="492" w:name="_Toc12254"/>
      <w:bookmarkStart w:id="493" w:name="_Toc27644"/>
      <w:r>
        <w:rPr>
          <w:rFonts w:hint="eastAsia" w:ascii="仿宋" w:hAnsi="仿宋" w:eastAsia="仿宋" w:cs="仿宋"/>
          <w:b/>
          <w:sz w:val="24"/>
        </w:rPr>
        <w:t>2.17 合同使用的文字和适用的法律</w:t>
      </w:r>
      <w:bookmarkEnd w:id="489"/>
      <w:bookmarkEnd w:id="490"/>
      <w:bookmarkEnd w:id="491"/>
      <w:bookmarkEnd w:id="492"/>
      <w:bookmarkEnd w:id="493"/>
    </w:p>
    <w:p w14:paraId="43820AA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5E2E1AC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31296808">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2.18 计量单位</w:t>
      </w:r>
    </w:p>
    <w:p w14:paraId="02EE4604">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7CBF2720">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2.19合同份数</w:t>
      </w:r>
    </w:p>
    <w:p w14:paraId="7B178B91">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7160ADB9">
      <w:pPr>
        <w:spacing w:line="360" w:lineRule="auto"/>
        <w:jc w:val="center"/>
        <w:outlineLvl w:val="0"/>
        <w:rPr>
          <w:rFonts w:hint="eastAsia" w:ascii="仿宋" w:hAnsi="仿宋" w:eastAsia="仿宋" w:cs="仿宋"/>
          <w:b/>
          <w:sz w:val="24"/>
        </w:rPr>
      </w:pPr>
      <w:r>
        <w:rPr>
          <w:rFonts w:hint="eastAsia" w:ascii="仿宋" w:hAnsi="仿宋" w:eastAsia="仿宋" w:cs="仿宋"/>
          <w:b/>
          <w:sz w:val="24"/>
        </w:rPr>
        <w:t>第三部分  合同专用条款</w:t>
      </w:r>
    </w:p>
    <w:p w14:paraId="5D976118">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481D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0AE4947">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8149" w:type="dxa"/>
            <w:vAlign w:val="center"/>
          </w:tcPr>
          <w:p w14:paraId="4B7E526C">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26491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DF3B3A">
            <w:pPr>
              <w:spacing w:line="360" w:lineRule="auto"/>
              <w:rPr>
                <w:rFonts w:hint="eastAsia" w:ascii="仿宋" w:hAnsi="仿宋" w:eastAsia="仿宋" w:cs="仿宋"/>
                <w:sz w:val="24"/>
              </w:rPr>
            </w:pPr>
            <w:r>
              <w:rPr>
                <w:rFonts w:hint="eastAsia" w:ascii="仿宋" w:hAnsi="仿宋" w:eastAsia="仿宋" w:cs="仿宋"/>
                <w:sz w:val="24"/>
              </w:rPr>
              <w:t>1.3.2</w:t>
            </w:r>
          </w:p>
        </w:tc>
        <w:tc>
          <w:tcPr>
            <w:tcW w:w="8149" w:type="dxa"/>
            <w:vAlign w:val="center"/>
          </w:tcPr>
          <w:p w14:paraId="52645D07">
            <w:pPr>
              <w:spacing w:line="360" w:lineRule="auto"/>
              <w:rPr>
                <w:rFonts w:hint="eastAsia" w:ascii="仿宋" w:hAnsi="仿宋" w:eastAsia="仿宋" w:cs="仿宋"/>
                <w:sz w:val="24"/>
              </w:rPr>
            </w:pPr>
          </w:p>
        </w:tc>
      </w:tr>
      <w:tr w14:paraId="5F1A6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C6539F">
            <w:pPr>
              <w:spacing w:line="360" w:lineRule="auto"/>
              <w:rPr>
                <w:rFonts w:hint="eastAsia" w:ascii="仿宋" w:hAnsi="仿宋" w:eastAsia="仿宋" w:cs="仿宋"/>
                <w:sz w:val="24"/>
              </w:rPr>
            </w:pPr>
            <w:r>
              <w:rPr>
                <w:rFonts w:hint="eastAsia" w:ascii="仿宋" w:hAnsi="仿宋" w:eastAsia="仿宋" w:cs="仿宋"/>
                <w:sz w:val="24"/>
              </w:rPr>
              <w:t>1.4.2</w:t>
            </w:r>
          </w:p>
        </w:tc>
        <w:tc>
          <w:tcPr>
            <w:tcW w:w="8149" w:type="dxa"/>
            <w:vAlign w:val="center"/>
          </w:tcPr>
          <w:p w14:paraId="2962CDFE">
            <w:pPr>
              <w:spacing w:line="360" w:lineRule="auto"/>
              <w:rPr>
                <w:rFonts w:hint="eastAsia" w:ascii="仿宋" w:hAnsi="仿宋" w:eastAsia="仿宋" w:cs="仿宋"/>
                <w:sz w:val="24"/>
              </w:rPr>
            </w:pPr>
          </w:p>
        </w:tc>
      </w:tr>
      <w:tr w14:paraId="5F447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0766BE">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8149" w:type="dxa"/>
            <w:vAlign w:val="center"/>
          </w:tcPr>
          <w:p w14:paraId="7DF84FED">
            <w:pPr>
              <w:spacing w:line="360" w:lineRule="auto"/>
              <w:rPr>
                <w:rFonts w:hint="eastAsia" w:ascii="仿宋" w:hAnsi="仿宋" w:eastAsia="仿宋" w:cs="仿宋"/>
                <w:sz w:val="24"/>
              </w:rPr>
            </w:pPr>
          </w:p>
        </w:tc>
      </w:tr>
      <w:tr w14:paraId="2B76D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700F18">
            <w:pPr>
              <w:spacing w:line="360" w:lineRule="auto"/>
              <w:rPr>
                <w:rFonts w:hint="eastAsia" w:ascii="仿宋" w:hAnsi="仿宋" w:eastAsia="仿宋" w:cs="仿宋"/>
                <w:sz w:val="24"/>
              </w:rPr>
            </w:pPr>
            <w:r>
              <w:rPr>
                <w:rFonts w:hint="eastAsia" w:ascii="仿宋" w:hAnsi="仿宋" w:eastAsia="仿宋" w:cs="仿宋"/>
                <w:sz w:val="24"/>
              </w:rPr>
              <w:t>1.5.2</w:t>
            </w:r>
          </w:p>
        </w:tc>
        <w:tc>
          <w:tcPr>
            <w:tcW w:w="8149" w:type="dxa"/>
            <w:vAlign w:val="center"/>
          </w:tcPr>
          <w:p w14:paraId="60205B34">
            <w:pPr>
              <w:spacing w:line="360" w:lineRule="auto"/>
              <w:rPr>
                <w:rFonts w:hint="eastAsia" w:ascii="仿宋" w:hAnsi="仿宋" w:eastAsia="仿宋" w:cs="仿宋"/>
                <w:sz w:val="24"/>
              </w:rPr>
            </w:pPr>
          </w:p>
        </w:tc>
      </w:tr>
      <w:tr w14:paraId="69CC7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843CA4">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8149" w:type="dxa"/>
            <w:vAlign w:val="center"/>
          </w:tcPr>
          <w:p w14:paraId="68639231">
            <w:pPr>
              <w:spacing w:line="360" w:lineRule="auto"/>
              <w:rPr>
                <w:rFonts w:hint="eastAsia" w:ascii="仿宋" w:hAnsi="仿宋" w:eastAsia="仿宋" w:cs="仿宋"/>
                <w:sz w:val="24"/>
              </w:rPr>
            </w:pPr>
          </w:p>
        </w:tc>
      </w:tr>
      <w:tr w14:paraId="0156A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184E6E">
            <w:pPr>
              <w:spacing w:line="360" w:lineRule="auto"/>
              <w:rPr>
                <w:rFonts w:hint="eastAsia" w:ascii="仿宋" w:hAnsi="仿宋" w:eastAsia="仿宋" w:cs="仿宋"/>
                <w:sz w:val="24"/>
              </w:rPr>
            </w:pPr>
            <w:r>
              <w:rPr>
                <w:rFonts w:hint="eastAsia" w:ascii="仿宋" w:hAnsi="仿宋" w:eastAsia="仿宋" w:cs="仿宋"/>
                <w:sz w:val="24"/>
              </w:rPr>
              <w:t>1.6.2</w:t>
            </w:r>
          </w:p>
        </w:tc>
        <w:tc>
          <w:tcPr>
            <w:tcW w:w="8149" w:type="dxa"/>
            <w:vAlign w:val="center"/>
          </w:tcPr>
          <w:p w14:paraId="28728EC3">
            <w:pPr>
              <w:spacing w:line="360" w:lineRule="auto"/>
              <w:rPr>
                <w:rFonts w:hint="eastAsia" w:ascii="仿宋" w:hAnsi="仿宋" w:eastAsia="仿宋" w:cs="仿宋"/>
                <w:sz w:val="24"/>
              </w:rPr>
            </w:pPr>
          </w:p>
        </w:tc>
      </w:tr>
      <w:tr w14:paraId="039E0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22233D">
            <w:pPr>
              <w:spacing w:line="360" w:lineRule="auto"/>
              <w:rPr>
                <w:rFonts w:hint="eastAsia" w:ascii="仿宋" w:hAnsi="仿宋" w:eastAsia="仿宋" w:cs="仿宋"/>
                <w:sz w:val="24"/>
              </w:rPr>
            </w:pPr>
            <w:r>
              <w:rPr>
                <w:rFonts w:hint="eastAsia" w:ascii="仿宋" w:hAnsi="仿宋" w:eastAsia="仿宋" w:cs="仿宋"/>
                <w:sz w:val="24"/>
              </w:rPr>
              <w:t>1.7.1</w:t>
            </w:r>
          </w:p>
        </w:tc>
        <w:tc>
          <w:tcPr>
            <w:tcW w:w="8149" w:type="dxa"/>
            <w:vAlign w:val="center"/>
          </w:tcPr>
          <w:p w14:paraId="61BF7A20">
            <w:pPr>
              <w:spacing w:line="360" w:lineRule="auto"/>
              <w:rPr>
                <w:rFonts w:hint="eastAsia" w:ascii="仿宋" w:hAnsi="仿宋" w:eastAsia="仿宋" w:cs="仿宋"/>
                <w:sz w:val="24"/>
              </w:rPr>
            </w:pPr>
          </w:p>
        </w:tc>
      </w:tr>
      <w:tr w14:paraId="2FF59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5CBC5B">
            <w:pPr>
              <w:spacing w:line="360" w:lineRule="auto"/>
              <w:rPr>
                <w:rFonts w:hint="eastAsia" w:ascii="仿宋" w:hAnsi="仿宋" w:eastAsia="仿宋" w:cs="仿宋"/>
                <w:sz w:val="24"/>
              </w:rPr>
            </w:pPr>
            <w:r>
              <w:rPr>
                <w:rFonts w:hint="eastAsia" w:ascii="仿宋" w:hAnsi="仿宋" w:eastAsia="仿宋" w:cs="仿宋"/>
                <w:sz w:val="24"/>
              </w:rPr>
              <w:t>1.7.2</w:t>
            </w:r>
          </w:p>
        </w:tc>
        <w:tc>
          <w:tcPr>
            <w:tcW w:w="8149" w:type="dxa"/>
            <w:vAlign w:val="center"/>
          </w:tcPr>
          <w:p w14:paraId="25BAB3DB">
            <w:pPr>
              <w:spacing w:line="360" w:lineRule="auto"/>
              <w:rPr>
                <w:rFonts w:hint="eastAsia" w:ascii="仿宋" w:hAnsi="仿宋" w:eastAsia="仿宋" w:cs="仿宋"/>
                <w:sz w:val="24"/>
              </w:rPr>
            </w:pPr>
          </w:p>
        </w:tc>
      </w:tr>
      <w:tr w14:paraId="0D99C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C2DABE">
            <w:pPr>
              <w:spacing w:line="360" w:lineRule="auto"/>
              <w:rPr>
                <w:rFonts w:hint="eastAsia" w:ascii="仿宋" w:hAnsi="仿宋" w:eastAsia="仿宋" w:cs="仿宋"/>
                <w:sz w:val="24"/>
              </w:rPr>
            </w:pPr>
            <w:r>
              <w:rPr>
                <w:rFonts w:hint="eastAsia" w:ascii="仿宋" w:hAnsi="仿宋" w:eastAsia="仿宋" w:cs="仿宋"/>
                <w:sz w:val="24"/>
              </w:rPr>
              <w:t>1.7.3</w:t>
            </w:r>
          </w:p>
        </w:tc>
        <w:tc>
          <w:tcPr>
            <w:tcW w:w="8149" w:type="dxa"/>
            <w:vAlign w:val="center"/>
          </w:tcPr>
          <w:p w14:paraId="508AE1A0">
            <w:pPr>
              <w:spacing w:line="360" w:lineRule="auto"/>
              <w:rPr>
                <w:rFonts w:hint="eastAsia" w:ascii="仿宋" w:hAnsi="仿宋" w:eastAsia="仿宋" w:cs="仿宋"/>
                <w:sz w:val="24"/>
              </w:rPr>
            </w:pPr>
          </w:p>
        </w:tc>
      </w:tr>
      <w:tr w14:paraId="11A39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D7E852">
            <w:pPr>
              <w:spacing w:line="360" w:lineRule="auto"/>
              <w:rPr>
                <w:rFonts w:hint="eastAsia" w:ascii="仿宋" w:hAnsi="仿宋" w:eastAsia="仿宋" w:cs="仿宋"/>
                <w:sz w:val="24"/>
              </w:rPr>
            </w:pPr>
            <w:r>
              <w:rPr>
                <w:rFonts w:hint="eastAsia" w:ascii="仿宋" w:hAnsi="仿宋" w:eastAsia="仿宋" w:cs="仿宋"/>
                <w:sz w:val="24"/>
              </w:rPr>
              <w:t>1.7.4.1</w:t>
            </w:r>
          </w:p>
        </w:tc>
        <w:tc>
          <w:tcPr>
            <w:tcW w:w="8149" w:type="dxa"/>
            <w:vAlign w:val="center"/>
          </w:tcPr>
          <w:p w14:paraId="38B08308">
            <w:pPr>
              <w:spacing w:line="360" w:lineRule="auto"/>
              <w:rPr>
                <w:rFonts w:hint="eastAsia" w:ascii="仿宋" w:hAnsi="仿宋" w:eastAsia="仿宋" w:cs="仿宋"/>
                <w:sz w:val="24"/>
              </w:rPr>
            </w:pPr>
          </w:p>
        </w:tc>
      </w:tr>
      <w:tr w14:paraId="168FB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6F6591B">
            <w:pPr>
              <w:spacing w:line="360" w:lineRule="auto"/>
              <w:rPr>
                <w:rFonts w:hint="eastAsia" w:ascii="仿宋" w:hAnsi="仿宋" w:eastAsia="仿宋" w:cs="仿宋"/>
                <w:sz w:val="24"/>
              </w:rPr>
            </w:pPr>
            <w:r>
              <w:rPr>
                <w:rFonts w:hint="eastAsia" w:ascii="仿宋" w:hAnsi="仿宋" w:eastAsia="仿宋" w:cs="仿宋"/>
                <w:sz w:val="24"/>
              </w:rPr>
              <w:t>1.7.4.2</w:t>
            </w:r>
          </w:p>
        </w:tc>
        <w:tc>
          <w:tcPr>
            <w:tcW w:w="8149" w:type="dxa"/>
            <w:vAlign w:val="center"/>
          </w:tcPr>
          <w:p w14:paraId="05C589FB">
            <w:pPr>
              <w:spacing w:line="360" w:lineRule="auto"/>
              <w:rPr>
                <w:rFonts w:hint="eastAsia" w:ascii="仿宋" w:hAnsi="仿宋" w:eastAsia="仿宋" w:cs="仿宋"/>
                <w:sz w:val="24"/>
              </w:rPr>
            </w:pPr>
          </w:p>
        </w:tc>
      </w:tr>
      <w:tr w14:paraId="3527A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580E38">
            <w:pPr>
              <w:spacing w:line="360" w:lineRule="auto"/>
              <w:rPr>
                <w:rFonts w:hint="eastAsia" w:ascii="仿宋" w:hAnsi="仿宋" w:eastAsia="仿宋" w:cs="仿宋"/>
                <w:sz w:val="24"/>
              </w:rPr>
            </w:pPr>
            <w:r>
              <w:rPr>
                <w:rFonts w:hint="eastAsia" w:ascii="仿宋" w:hAnsi="仿宋" w:eastAsia="仿宋" w:cs="仿宋"/>
                <w:sz w:val="24"/>
              </w:rPr>
              <w:t>1.7.4.3</w:t>
            </w:r>
          </w:p>
        </w:tc>
        <w:tc>
          <w:tcPr>
            <w:tcW w:w="8149" w:type="dxa"/>
            <w:vAlign w:val="center"/>
          </w:tcPr>
          <w:p w14:paraId="68470D01">
            <w:pPr>
              <w:spacing w:line="360" w:lineRule="auto"/>
              <w:rPr>
                <w:rFonts w:hint="eastAsia" w:ascii="仿宋" w:hAnsi="仿宋" w:eastAsia="仿宋" w:cs="仿宋"/>
                <w:sz w:val="24"/>
              </w:rPr>
            </w:pPr>
          </w:p>
        </w:tc>
      </w:tr>
      <w:tr w14:paraId="3712F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CD724B">
            <w:pPr>
              <w:spacing w:line="360" w:lineRule="auto"/>
              <w:rPr>
                <w:rFonts w:hint="eastAsia" w:ascii="仿宋" w:hAnsi="仿宋" w:eastAsia="仿宋" w:cs="仿宋"/>
                <w:sz w:val="24"/>
              </w:rPr>
            </w:pPr>
            <w:r>
              <w:rPr>
                <w:rFonts w:hint="eastAsia" w:ascii="仿宋" w:hAnsi="仿宋" w:eastAsia="仿宋" w:cs="仿宋"/>
                <w:sz w:val="24"/>
              </w:rPr>
              <w:t>1.8.7</w:t>
            </w:r>
          </w:p>
        </w:tc>
        <w:tc>
          <w:tcPr>
            <w:tcW w:w="8149" w:type="dxa"/>
            <w:vAlign w:val="center"/>
          </w:tcPr>
          <w:p w14:paraId="449BA444">
            <w:pPr>
              <w:spacing w:line="360" w:lineRule="auto"/>
              <w:rPr>
                <w:rFonts w:hint="eastAsia" w:ascii="仿宋" w:hAnsi="仿宋" w:eastAsia="仿宋" w:cs="仿宋"/>
                <w:sz w:val="24"/>
              </w:rPr>
            </w:pPr>
          </w:p>
        </w:tc>
      </w:tr>
      <w:tr w14:paraId="659D0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874AC8">
            <w:pPr>
              <w:spacing w:line="360" w:lineRule="auto"/>
              <w:rPr>
                <w:rFonts w:hint="eastAsia" w:ascii="仿宋" w:hAnsi="仿宋" w:eastAsia="仿宋" w:cs="仿宋"/>
                <w:sz w:val="24"/>
              </w:rPr>
            </w:pPr>
            <w:r>
              <w:rPr>
                <w:rFonts w:hint="eastAsia" w:ascii="仿宋" w:hAnsi="仿宋" w:eastAsia="仿宋" w:cs="仿宋"/>
                <w:sz w:val="24"/>
              </w:rPr>
              <w:t>1.9.1</w:t>
            </w:r>
          </w:p>
        </w:tc>
        <w:tc>
          <w:tcPr>
            <w:tcW w:w="8149" w:type="dxa"/>
            <w:vAlign w:val="center"/>
          </w:tcPr>
          <w:p w14:paraId="67EB2FD9">
            <w:pPr>
              <w:spacing w:line="360" w:lineRule="auto"/>
              <w:rPr>
                <w:rFonts w:hint="eastAsia" w:ascii="仿宋" w:hAnsi="仿宋" w:eastAsia="仿宋" w:cs="仿宋"/>
                <w:sz w:val="24"/>
              </w:rPr>
            </w:pPr>
          </w:p>
        </w:tc>
      </w:tr>
      <w:tr w14:paraId="75879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E3D358">
            <w:pPr>
              <w:spacing w:line="360" w:lineRule="auto"/>
              <w:rPr>
                <w:rFonts w:hint="eastAsia" w:ascii="仿宋" w:hAnsi="仿宋" w:eastAsia="仿宋" w:cs="仿宋"/>
                <w:sz w:val="24"/>
              </w:rPr>
            </w:pPr>
            <w:r>
              <w:rPr>
                <w:rFonts w:hint="eastAsia" w:ascii="仿宋" w:hAnsi="仿宋" w:eastAsia="仿宋" w:cs="仿宋"/>
                <w:sz w:val="24"/>
              </w:rPr>
              <w:t>1.9.2</w:t>
            </w:r>
          </w:p>
        </w:tc>
        <w:tc>
          <w:tcPr>
            <w:tcW w:w="8149" w:type="dxa"/>
            <w:vAlign w:val="center"/>
          </w:tcPr>
          <w:p w14:paraId="6DC4F317">
            <w:pPr>
              <w:spacing w:line="360" w:lineRule="auto"/>
              <w:rPr>
                <w:rFonts w:hint="eastAsia" w:ascii="仿宋" w:hAnsi="仿宋" w:eastAsia="仿宋" w:cs="仿宋"/>
                <w:sz w:val="24"/>
              </w:rPr>
            </w:pPr>
          </w:p>
        </w:tc>
      </w:tr>
      <w:tr w14:paraId="60E04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D1C7B8">
            <w:pPr>
              <w:spacing w:line="360" w:lineRule="auto"/>
              <w:rPr>
                <w:rFonts w:hint="eastAsia" w:ascii="仿宋" w:hAnsi="仿宋" w:eastAsia="仿宋" w:cs="仿宋"/>
                <w:sz w:val="24"/>
              </w:rPr>
            </w:pPr>
            <w:r>
              <w:rPr>
                <w:rFonts w:hint="eastAsia" w:ascii="仿宋" w:hAnsi="仿宋" w:eastAsia="仿宋" w:cs="仿宋"/>
                <w:sz w:val="24"/>
              </w:rPr>
              <w:t>2.3.2</w:t>
            </w:r>
          </w:p>
        </w:tc>
        <w:tc>
          <w:tcPr>
            <w:tcW w:w="8149" w:type="dxa"/>
            <w:vAlign w:val="center"/>
          </w:tcPr>
          <w:p w14:paraId="54E2E081">
            <w:pPr>
              <w:spacing w:line="360" w:lineRule="auto"/>
              <w:ind w:left="-420" w:leftChars="-200" w:right="-420" w:rightChars="-200" w:firstLine="480" w:firstLineChars="200"/>
              <w:rPr>
                <w:rFonts w:hint="eastAsia" w:ascii="仿宋" w:hAnsi="仿宋" w:eastAsia="仿宋" w:cs="仿宋"/>
                <w:sz w:val="24"/>
              </w:rPr>
            </w:pPr>
          </w:p>
        </w:tc>
      </w:tr>
      <w:tr w14:paraId="2494E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261DE5">
            <w:pPr>
              <w:spacing w:line="360" w:lineRule="auto"/>
              <w:rPr>
                <w:rFonts w:hint="eastAsia" w:ascii="仿宋" w:hAnsi="仿宋" w:eastAsia="仿宋" w:cs="仿宋"/>
                <w:sz w:val="24"/>
              </w:rPr>
            </w:pPr>
            <w:r>
              <w:rPr>
                <w:rFonts w:hint="eastAsia" w:ascii="仿宋" w:hAnsi="仿宋" w:eastAsia="仿宋" w:cs="仿宋"/>
                <w:sz w:val="24"/>
              </w:rPr>
              <w:t>2.5</w:t>
            </w:r>
          </w:p>
        </w:tc>
        <w:tc>
          <w:tcPr>
            <w:tcW w:w="8149" w:type="dxa"/>
            <w:vAlign w:val="center"/>
          </w:tcPr>
          <w:p w14:paraId="32307077">
            <w:pPr>
              <w:spacing w:line="360" w:lineRule="auto"/>
              <w:ind w:left="-420" w:leftChars="-200" w:right="-420" w:rightChars="-200" w:firstLine="480" w:firstLineChars="200"/>
              <w:rPr>
                <w:rFonts w:hint="eastAsia" w:ascii="仿宋" w:hAnsi="仿宋" w:eastAsia="仿宋" w:cs="仿宋"/>
                <w:sz w:val="24"/>
              </w:rPr>
            </w:pPr>
          </w:p>
        </w:tc>
      </w:tr>
      <w:tr w14:paraId="4D561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CCB369">
            <w:pPr>
              <w:spacing w:line="360" w:lineRule="auto"/>
              <w:rPr>
                <w:rFonts w:hint="eastAsia" w:ascii="仿宋" w:hAnsi="仿宋" w:eastAsia="仿宋" w:cs="仿宋"/>
                <w:sz w:val="24"/>
              </w:rPr>
            </w:pPr>
            <w:r>
              <w:rPr>
                <w:rFonts w:hint="eastAsia" w:ascii="仿宋" w:hAnsi="仿宋" w:eastAsia="仿宋" w:cs="仿宋"/>
                <w:sz w:val="24"/>
              </w:rPr>
              <w:t>2.11.3</w:t>
            </w:r>
          </w:p>
        </w:tc>
        <w:tc>
          <w:tcPr>
            <w:tcW w:w="8149" w:type="dxa"/>
            <w:vAlign w:val="center"/>
          </w:tcPr>
          <w:p w14:paraId="4B997972">
            <w:pPr>
              <w:spacing w:line="360" w:lineRule="auto"/>
              <w:rPr>
                <w:rFonts w:hint="eastAsia" w:ascii="仿宋" w:hAnsi="仿宋" w:eastAsia="仿宋" w:cs="仿宋"/>
                <w:sz w:val="24"/>
              </w:rPr>
            </w:pPr>
          </w:p>
        </w:tc>
      </w:tr>
      <w:tr w14:paraId="5201C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A324AE6">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8149" w:type="dxa"/>
          </w:tcPr>
          <w:p w14:paraId="7618B614">
            <w:pPr>
              <w:spacing w:line="360" w:lineRule="auto"/>
              <w:rPr>
                <w:rFonts w:hint="eastAsia" w:ascii="仿宋" w:hAnsi="仿宋" w:eastAsia="仿宋" w:cs="仿宋"/>
                <w:sz w:val="24"/>
              </w:rPr>
            </w:pPr>
          </w:p>
        </w:tc>
      </w:tr>
      <w:tr w14:paraId="01F74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755C81">
            <w:pPr>
              <w:spacing w:line="360" w:lineRule="auto"/>
              <w:rPr>
                <w:rFonts w:hint="eastAsia" w:ascii="仿宋" w:hAnsi="仿宋" w:eastAsia="仿宋" w:cs="仿宋"/>
                <w:sz w:val="24"/>
              </w:rPr>
            </w:pPr>
            <w:r>
              <w:rPr>
                <w:rFonts w:hint="eastAsia" w:ascii="仿宋" w:hAnsi="仿宋" w:eastAsia="仿宋" w:cs="仿宋"/>
                <w:sz w:val="24"/>
              </w:rPr>
              <w:t>2.15.1</w:t>
            </w:r>
          </w:p>
        </w:tc>
        <w:tc>
          <w:tcPr>
            <w:tcW w:w="8149" w:type="dxa"/>
            <w:vAlign w:val="center"/>
          </w:tcPr>
          <w:p w14:paraId="70F26057">
            <w:pPr>
              <w:spacing w:line="360" w:lineRule="auto"/>
              <w:rPr>
                <w:rFonts w:hint="eastAsia" w:ascii="仿宋" w:hAnsi="仿宋" w:eastAsia="仿宋" w:cs="仿宋"/>
                <w:sz w:val="24"/>
              </w:rPr>
            </w:pPr>
          </w:p>
        </w:tc>
      </w:tr>
      <w:tr w14:paraId="2BB9D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D16871">
            <w:pPr>
              <w:spacing w:line="360" w:lineRule="auto"/>
              <w:rPr>
                <w:rFonts w:hint="eastAsia" w:ascii="仿宋" w:hAnsi="仿宋" w:eastAsia="仿宋" w:cs="仿宋"/>
                <w:sz w:val="24"/>
              </w:rPr>
            </w:pPr>
            <w:r>
              <w:rPr>
                <w:rFonts w:hint="eastAsia" w:ascii="仿宋" w:hAnsi="仿宋" w:eastAsia="仿宋" w:cs="仿宋"/>
                <w:sz w:val="24"/>
              </w:rPr>
              <w:t>2.15.3</w:t>
            </w:r>
          </w:p>
        </w:tc>
        <w:tc>
          <w:tcPr>
            <w:tcW w:w="8149" w:type="dxa"/>
            <w:vAlign w:val="center"/>
          </w:tcPr>
          <w:p w14:paraId="6D9AC468">
            <w:pPr>
              <w:spacing w:line="360" w:lineRule="auto"/>
              <w:rPr>
                <w:rFonts w:hint="eastAsia" w:ascii="仿宋" w:hAnsi="仿宋" w:eastAsia="仿宋" w:cs="仿宋"/>
                <w:sz w:val="24"/>
              </w:rPr>
            </w:pPr>
          </w:p>
        </w:tc>
      </w:tr>
      <w:tr w14:paraId="6F3BC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6E646DB5">
            <w:pPr>
              <w:spacing w:line="360" w:lineRule="auto"/>
              <w:rPr>
                <w:rFonts w:hint="eastAsia" w:ascii="仿宋" w:hAnsi="仿宋" w:eastAsia="仿宋" w:cs="仿宋"/>
                <w:sz w:val="24"/>
              </w:rPr>
            </w:pPr>
            <w:r>
              <w:rPr>
                <w:rFonts w:hint="eastAsia" w:ascii="仿宋" w:hAnsi="仿宋" w:eastAsia="仿宋" w:cs="仿宋"/>
                <w:sz w:val="24"/>
              </w:rPr>
              <w:t>2.19</w:t>
            </w:r>
          </w:p>
        </w:tc>
        <w:tc>
          <w:tcPr>
            <w:tcW w:w="8149" w:type="dxa"/>
          </w:tcPr>
          <w:p w14:paraId="09E6D6CE">
            <w:pPr>
              <w:spacing w:line="360" w:lineRule="auto"/>
              <w:rPr>
                <w:rFonts w:hint="eastAsia" w:ascii="仿宋" w:hAnsi="仿宋" w:eastAsia="仿宋" w:cs="仿宋"/>
                <w:sz w:val="24"/>
              </w:rPr>
            </w:pPr>
          </w:p>
        </w:tc>
      </w:tr>
    </w:tbl>
    <w:p w14:paraId="76570172">
      <w:pPr>
        <w:rPr>
          <w:rFonts w:hint="eastAsia" w:ascii="仿宋" w:hAnsi="仿宋" w:eastAsia="仿宋" w:cs="仿宋"/>
          <w:b/>
          <w:sz w:val="36"/>
          <w:szCs w:val="20"/>
        </w:rPr>
      </w:pPr>
      <w:r>
        <w:rPr>
          <w:rFonts w:hint="eastAsia" w:ascii="仿宋" w:hAnsi="仿宋" w:eastAsia="仿宋" w:cs="仿宋"/>
          <w:b/>
          <w:sz w:val="36"/>
          <w:szCs w:val="20"/>
        </w:rPr>
        <w:br w:type="page"/>
      </w:r>
    </w:p>
    <w:p w14:paraId="26E8EB1C">
      <w:pPr>
        <w:widowControl/>
        <w:adjustRightInd/>
        <w:jc w:val="center"/>
        <w:rPr>
          <w:rFonts w:hint="eastAsia" w:ascii="仿宋" w:hAnsi="仿宋" w:eastAsia="仿宋" w:cs="仿宋"/>
          <w:b/>
          <w:sz w:val="36"/>
          <w:szCs w:val="20"/>
        </w:rPr>
      </w:pPr>
      <w:r>
        <w:rPr>
          <w:rFonts w:hint="eastAsia" w:ascii="仿宋" w:hAnsi="仿宋" w:eastAsia="仿宋" w:cs="仿宋"/>
          <w:b/>
          <w:sz w:val="36"/>
          <w:szCs w:val="20"/>
        </w:rPr>
        <w:t>第六部分</w:t>
      </w:r>
      <w:bookmarkEnd w:id="391"/>
      <w:r>
        <w:rPr>
          <w:rFonts w:hint="eastAsia" w:ascii="仿宋" w:hAnsi="仿宋" w:eastAsia="仿宋" w:cs="仿宋"/>
          <w:b/>
          <w:sz w:val="36"/>
          <w:szCs w:val="20"/>
        </w:rPr>
        <w:t xml:space="preserve"> </w:t>
      </w:r>
      <w:bookmarkEnd w:id="392"/>
      <w:r>
        <w:rPr>
          <w:rFonts w:hint="eastAsia" w:ascii="仿宋" w:hAnsi="仿宋" w:eastAsia="仿宋" w:cs="仿宋"/>
          <w:b/>
          <w:sz w:val="36"/>
          <w:szCs w:val="20"/>
        </w:rPr>
        <w:t>应提交的有关格式范例</w:t>
      </w:r>
    </w:p>
    <w:p w14:paraId="62265DB1">
      <w:pPr>
        <w:spacing w:line="360" w:lineRule="auto"/>
        <w:jc w:val="center"/>
        <w:outlineLvl w:val="0"/>
        <w:rPr>
          <w:rFonts w:hint="eastAsia" w:ascii="仿宋" w:hAnsi="仿宋" w:eastAsia="仿宋" w:cs="仿宋"/>
          <w:b/>
          <w:kern w:val="0"/>
          <w:sz w:val="36"/>
          <w:szCs w:val="36"/>
        </w:rPr>
      </w:pPr>
    </w:p>
    <w:p w14:paraId="4311E833">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35F2B58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A49A213">
      <w:pPr>
        <w:spacing w:line="360" w:lineRule="auto"/>
        <w:jc w:val="center"/>
        <w:outlineLvl w:val="0"/>
        <w:rPr>
          <w:rFonts w:hint="eastAsia" w:ascii="仿宋" w:hAnsi="仿宋" w:eastAsia="仿宋" w:cs="仿宋"/>
          <w:b/>
          <w:kern w:val="0"/>
          <w:sz w:val="36"/>
          <w:szCs w:val="36"/>
        </w:rPr>
      </w:pPr>
    </w:p>
    <w:p w14:paraId="10324D37">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786A8857">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384445AB">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0EF4C937">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01461F4B">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2DC0D0AA">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一、 符合参加政府采购活动应当具备的一般条件的承诺函</w:t>
      </w:r>
    </w:p>
    <w:p w14:paraId="6EF5C735">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1221769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3C120291">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2401B7E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2A04D67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00F275C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69FBD4C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4062002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78F7DE1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64119F8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6B8F56E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3DC2CD4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57BA35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40290BEF">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3548D5A2">
      <w:pPr>
        <w:snapToGrid w:val="0"/>
        <w:spacing w:line="360" w:lineRule="auto"/>
        <w:rPr>
          <w:rFonts w:hint="eastAsia" w:ascii="仿宋" w:hAnsi="仿宋" w:eastAsia="仿宋" w:cs="仿宋"/>
          <w:b/>
          <w:kern w:val="0"/>
          <w:sz w:val="32"/>
          <w:szCs w:val="32"/>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5514FF5">
      <w:pPr>
        <w:snapToGrid w:val="0"/>
        <w:spacing w:line="360" w:lineRule="auto"/>
        <w:ind w:right="480" w:firstLine="559" w:firstLineChars="233"/>
        <w:jc w:val="left"/>
        <w:rPr>
          <w:rFonts w:hint="eastAsia" w:ascii="仿宋" w:hAnsi="仿宋" w:eastAsia="仿宋" w:cs="仿宋"/>
        </w:rPr>
      </w:pPr>
      <w:r>
        <w:rPr>
          <w:rFonts w:hint="eastAsia" w:ascii="仿宋" w:hAnsi="仿宋" w:eastAsia="仿宋" w:cs="仿宋"/>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CE666EE">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4B1C6CBA">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6E53D919">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7A746744">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766F394A">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40174C92">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r>
        <w:rPr>
          <w:rFonts w:hint="eastAsia" w:ascii="仿宋" w:hAnsi="仿宋" w:eastAsia="仿宋" w:cs="仿宋"/>
          <w:b/>
          <w:sz w:val="24"/>
        </w:rPr>
        <w:t xml:space="preserve">    </w:t>
      </w:r>
    </w:p>
    <w:p w14:paraId="406BF56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16857813">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7DD24319">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F32CF85">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5F8D5616">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6D952EDD">
      <w:pPr>
        <w:spacing w:line="360" w:lineRule="auto"/>
        <w:jc w:val="center"/>
        <w:outlineLvl w:val="0"/>
        <w:rPr>
          <w:rFonts w:hint="eastAsia" w:ascii="仿宋" w:hAnsi="仿宋" w:eastAsia="仿宋" w:cs="仿宋"/>
          <w:b/>
          <w:kern w:val="0"/>
          <w:sz w:val="24"/>
        </w:rPr>
      </w:pPr>
    </w:p>
    <w:p w14:paraId="58D1047C">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4C28D04F">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4AB06884">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2DD7BEF2">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5694CE04">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4CED7371">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1830AD43">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32D16181">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56414A9F">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14:paraId="2D8ADCB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5056F15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0075DD4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51981EB9">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1CE7DB6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5E86F39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494" w:name="_Hlk101257010"/>
      <w:r>
        <w:rPr>
          <w:rFonts w:hint="eastAsia" w:ascii="仿宋" w:hAnsi="仿宋" w:eastAsia="仿宋" w:cs="仿宋"/>
          <w:sz w:val="24"/>
        </w:rPr>
        <w:t>（如果有)</w:t>
      </w:r>
      <w:bookmarkEnd w:id="494"/>
      <w:r>
        <w:rPr>
          <w:rFonts w:hint="eastAsia" w:ascii="仿宋" w:hAnsi="仿宋" w:eastAsia="仿宋" w:cs="仿宋"/>
          <w:snapToGrid w:val="0"/>
          <w:kern w:val="28"/>
          <w:sz w:val="24"/>
          <w:szCs w:val="20"/>
        </w:rPr>
        <w:t>；</w:t>
      </w:r>
    </w:p>
    <w:p w14:paraId="156B7B1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14:paraId="4C92E1A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14:paraId="7DF146AB">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4DD2454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33AFBD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6AF627B9">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14:paraId="24227C6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444A83D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742F3A82">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3539F4E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28DF0B1D">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2AB1D7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3C3102E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279420C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14:paraId="3EA1AB4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527EAE6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03E525D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95D5E3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12CC016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3D851F9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7C909B3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939DD43">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23A8E065">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4E8D6DCC">
      <w:pPr>
        <w:snapToGrid w:val="0"/>
        <w:spacing w:line="360" w:lineRule="auto"/>
        <w:ind w:left="420" w:leftChars="200" w:firstLine="4200" w:firstLineChars="1750"/>
        <w:rPr>
          <w:rFonts w:hint="eastAsia" w:ascii="仿宋" w:hAnsi="仿宋" w:eastAsia="仿宋" w:cs="仿宋"/>
          <w:kern w:val="0"/>
          <w:sz w:val="24"/>
          <w:u w:val="single"/>
        </w:rPr>
      </w:pPr>
    </w:p>
    <w:p w14:paraId="5B2BBAC0">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E18E4C3">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96112A3">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2966F05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注：▲供应商委派不在本单位缴纳社保的人员作为授权代表（代理人）的，应当在投标（响应）文件中，说明具体原因、授权代表缴纳社保的单位，并附列该授权代表缴纳社保清单。</w:t>
      </w:r>
    </w:p>
    <w:p w14:paraId="5EE0A966">
      <w:pPr>
        <w:jc w:val="center"/>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64E7A7E0">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7CEF36B">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7639E02E">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5B551480">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55C593C7">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56FE99E6">
      <w:pPr>
        <w:snapToGrid w:val="0"/>
        <w:spacing w:line="360" w:lineRule="auto"/>
        <w:rPr>
          <w:rFonts w:hint="eastAsia" w:ascii="仿宋" w:hAnsi="仿宋" w:eastAsia="仿宋" w:cs="仿宋"/>
          <w:sz w:val="24"/>
        </w:rPr>
      </w:pPr>
      <w:r>
        <w:rPr>
          <w:rFonts w:hint="eastAsia" w:ascii="仿宋" w:hAnsi="仿宋" w:eastAsia="仿宋" w:cs="仿宋"/>
          <w:kern w:val="0"/>
          <w:sz w:val="24"/>
          <w:lang w:val="zh-CN"/>
        </w:rPr>
        <w:t xml:space="preserve">                                                 签发日期：  年  月   日</w:t>
      </w:r>
    </w:p>
    <w:p w14:paraId="66506C0B">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2EBB4724">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76FE6704">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411A1FD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0E287BD5">
      <w:pPr>
        <w:snapToGrid w:val="0"/>
        <w:spacing w:line="360" w:lineRule="auto"/>
        <w:rPr>
          <w:rFonts w:hint="eastAsia" w:ascii="仿宋" w:hAnsi="仿宋" w:eastAsia="仿宋" w:cs="仿宋"/>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71C475E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EB17F7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A8E8588">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8BE5625">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622D424">
      <w:pP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2E8C8EBF">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5184C339">
      <w:pPr>
        <w:pStyle w:val="146"/>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4C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D9D6EC8">
            <w:pPr>
              <w:pStyle w:val="146"/>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51AF33D9">
            <w:pPr>
              <w:pStyle w:val="146"/>
              <w:adjustRightInd w:val="0"/>
              <w:spacing w:line="360" w:lineRule="auto"/>
              <w:rPr>
                <w:rFonts w:hint="eastAsia" w:ascii="仿宋" w:hAnsi="仿宋" w:eastAsia="仿宋" w:cs="仿宋"/>
                <w:bCs/>
                <w:sz w:val="24"/>
              </w:rPr>
            </w:pPr>
          </w:p>
        </w:tc>
      </w:tr>
    </w:tbl>
    <w:p w14:paraId="692A425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1BCE2E5A">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1E950518">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3A485FC">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C74B0BA">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0588290C">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257F8C9B">
      <w:pPr>
        <w:snapToGrid w:val="0"/>
        <w:spacing w:line="360" w:lineRule="auto"/>
        <w:rPr>
          <w:rFonts w:hint="eastAsia" w:ascii="仿宋" w:hAnsi="仿宋" w:eastAsia="仿宋" w:cs="仿宋"/>
          <w:kern w:val="0"/>
          <w:sz w:val="24"/>
        </w:rPr>
      </w:pPr>
    </w:p>
    <w:p w14:paraId="3B96E9E3">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14:paraId="5C34C4F8">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EA3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5BD1710">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0BA52664">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37CCFB19">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10E20860">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0D0B5D8C">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4536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65E34F">
            <w:pPr>
              <w:jc w:val="center"/>
              <w:rPr>
                <w:rFonts w:hint="eastAsia" w:ascii="仿宋" w:hAnsi="仿宋" w:eastAsia="仿宋" w:cs="仿宋"/>
                <w:sz w:val="24"/>
              </w:rPr>
            </w:pPr>
            <w:r>
              <w:rPr>
                <w:rFonts w:hint="eastAsia" w:ascii="仿宋" w:hAnsi="仿宋" w:eastAsia="仿宋" w:cs="仿宋"/>
                <w:sz w:val="24"/>
              </w:rPr>
              <w:t>1</w:t>
            </w:r>
          </w:p>
        </w:tc>
        <w:tc>
          <w:tcPr>
            <w:tcW w:w="4991" w:type="dxa"/>
          </w:tcPr>
          <w:p w14:paraId="246C5398">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0CC9F647">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6799ADB2">
            <w:pPr>
              <w:rPr>
                <w:rFonts w:hint="eastAsia" w:ascii="仿宋" w:hAnsi="仿宋" w:eastAsia="仿宋" w:cs="仿宋"/>
                <w:sz w:val="24"/>
              </w:rPr>
            </w:pPr>
          </w:p>
          <w:p w14:paraId="518F33C3">
            <w:pPr>
              <w:rPr>
                <w:rFonts w:hint="eastAsia" w:ascii="仿宋" w:hAnsi="仿宋" w:eastAsia="仿宋" w:cs="仿宋"/>
                <w:sz w:val="24"/>
              </w:rPr>
            </w:pPr>
            <w:r>
              <w:rPr>
                <w:rFonts w:hint="eastAsia" w:ascii="仿宋" w:hAnsi="仿宋" w:eastAsia="仿宋" w:cs="仿宋"/>
                <w:sz w:val="24"/>
              </w:rPr>
              <w:t>见投标文件</w:t>
            </w:r>
          </w:p>
          <w:p w14:paraId="379A43B5">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4845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727CF2">
            <w:pPr>
              <w:jc w:val="center"/>
              <w:rPr>
                <w:rFonts w:hint="eastAsia" w:ascii="仿宋" w:hAnsi="仿宋" w:eastAsia="仿宋" w:cs="仿宋"/>
                <w:sz w:val="24"/>
              </w:rPr>
            </w:pPr>
            <w:r>
              <w:rPr>
                <w:rFonts w:hint="eastAsia" w:ascii="仿宋" w:hAnsi="仿宋" w:eastAsia="仿宋" w:cs="仿宋"/>
                <w:sz w:val="24"/>
              </w:rPr>
              <w:t>2</w:t>
            </w:r>
          </w:p>
        </w:tc>
        <w:tc>
          <w:tcPr>
            <w:tcW w:w="4991" w:type="dxa"/>
          </w:tcPr>
          <w:p w14:paraId="456B0D97">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4826CE8F">
            <w:pPr>
              <w:rPr>
                <w:rFonts w:hint="eastAsia" w:ascii="仿宋" w:hAnsi="仿宋" w:eastAsia="仿宋" w:cs="仿宋"/>
                <w:sz w:val="24"/>
              </w:rPr>
            </w:pPr>
            <w:r>
              <w:rPr>
                <w:rFonts w:hint="eastAsia" w:ascii="仿宋" w:hAnsi="仿宋" w:eastAsia="仿宋" w:cs="仿宋"/>
                <w:sz w:val="24"/>
              </w:rPr>
              <w:t>投标函</w:t>
            </w:r>
          </w:p>
        </w:tc>
        <w:tc>
          <w:tcPr>
            <w:tcW w:w="1418" w:type="dxa"/>
          </w:tcPr>
          <w:p w14:paraId="20F8A891">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4FA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066603">
            <w:pPr>
              <w:jc w:val="center"/>
              <w:rPr>
                <w:rFonts w:hint="eastAsia" w:ascii="仿宋" w:hAnsi="仿宋" w:eastAsia="仿宋" w:cs="仿宋"/>
                <w:sz w:val="24"/>
              </w:rPr>
            </w:pPr>
            <w:r>
              <w:rPr>
                <w:rFonts w:hint="eastAsia" w:ascii="仿宋" w:hAnsi="仿宋" w:eastAsia="仿宋" w:cs="仿宋"/>
                <w:sz w:val="24"/>
              </w:rPr>
              <w:t>3</w:t>
            </w:r>
          </w:p>
        </w:tc>
        <w:tc>
          <w:tcPr>
            <w:tcW w:w="4991" w:type="dxa"/>
          </w:tcPr>
          <w:p w14:paraId="4B0BB692">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538CAA39">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31CCD319">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78015513">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A2864FA">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2D505068">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203E79DE">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CB57AEB">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F14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517055">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85986FF">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14:paraId="6952AB7B">
            <w:pPr>
              <w:spacing w:line="360" w:lineRule="auto"/>
              <w:jc w:val="center"/>
              <w:rPr>
                <w:rFonts w:hint="eastAsia" w:ascii="仿宋" w:hAnsi="仿宋" w:eastAsia="仿宋" w:cs="仿宋"/>
                <w:b/>
                <w:sz w:val="24"/>
              </w:rPr>
            </w:pPr>
          </w:p>
          <w:p w14:paraId="5888D72E">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EC84368">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CA17212">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E76C633">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4A69AFA">
            <w:pPr>
              <w:spacing w:line="360" w:lineRule="auto"/>
              <w:jc w:val="center"/>
              <w:rPr>
                <w:rFonts w:hint="eastAsia" w:ascii="仿宋" w:hAnsi="仿宋" w:eastAsia="仿宋" w:cs="仿宋"/>
                <w:b/>
                <w:sz w:val="24"/>
              </w:rPr>
            </w:pPr>
          </w:p>
          <w:p w14:paraId="5F08B826">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57D9C57C">
            <w:pPr>
              <w:spacing w:line="360" w:lineRule="auto"/>
              <w:jc w:val="center"/>
              <w:rPr>
                <w:rFonts w:hint="eastAsia" w:ascii="仿宋" w:hAnsi="仿宋" w:eastAsia="仿宋" w:cs="仿宋"/>
                <w:b/>
                <w:sz w:val="24"/>
              </w:rPr>
            </w:pPr>
          </w:p>
        </w:tc>
      </w:tr>
      <w:tr w14:paraId="4939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FFDFF4">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3096BBA">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6008CE2">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E78798F">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EABB14C">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A8E8AF1">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B4D92E2">
            <w:pPr>
              <w:spacing w:line="360" w:lineRule="auto"/>
              <w:jc w:val="center"/>
              <w:rPr>
                <w:rFonts w:hint="eastAsia" w:ascii="仿宋" w:hAnsi="仿宋" w:eastAsia="仿宋" w:cs="仿宋"/>
                <w:sz w:val="24"/>
              </w:rPr>
            </w:pPr>
          </w:p>
        </w:tc>
      </w:tr>
      <w:tr w14:paraId="1304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3DF5F2">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3838F1C">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61086F2">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CE8C015">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BF83596">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F7414EE">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0861A53">
            <w:pPr>
              <w:spacing w:line="360" w:lineRule="auto"/>
              <w:jc w:val="center"/>
              <w:rPr>
                <w:rFonts w:hint="eastAsia" w:ascii="仿宋" w:hAnsi="仿宋" w:eastAsia="仿宋" w:cs="仿宋"/>
                <w:sz w:val="24"/>
              </w:rPr>
            </w:pPr>
          </w:p>
        </w:tc>
      </w:tr>
      <w:tr w14:paraId="14FB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E29CBA">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6B88ECC">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650C988">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8AFF4DF">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E518358">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8CBFD82">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1C4D0E0">
            <w:pPr>
              <w:spacing w:line="360" w:lineRule="auto"/>
              <w:jc w:val="center"/>
              <w:rPr>
                <w:rFonts w:hint="eastAsia" w:ascii="仿宋" w:hAnsi="仿宋" w:eastAsia="仿宋" w:cs="仿宋"/>
                <w:sz w:val="24"/>
              </w:rPr>
            </w:pPr>
          </w:p>
        </w:tc>
      </w:tr>
    </w:tbl>
    <w:p w14:paraId="4E9B19C8">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7084DF2">
      <w:pPr>
        <w:jc w:val="center"/>
        <w:rPr>
          <w:rFonts w:hint="eastAsia" w:ascii="仿宋" w:hAnsi="仿宋" w:eastAsia="仿宋" w:cs="仿宋"/>
          <w:b/>
          <w:kern w:val="0"/>
          <w:sz w:val="32"/>
          <w:szCs w:val="32"/>
        </w:rPr>
      </w:pPr>
    </w:p>
    <w:p w14:paraId="61748259">
      <w:pPr>
        <w:jc w:val="center"/>
        <w:rPr>
          <w:rFonts w:hint="eastAsia" w:ascii="仿宋" w:hAnsi="仿宋" w:eastAsia="仿宋" w:cs="仿宋"/>
          <w:b/>
          <w:kern w:val="0"/>
          <w:sz w:val="32"/>
          <w:szCs w:val="32"/>
        </w:rPr>
      </w:pPr>
    </w:p>
    <w:p w14:paraId="5ACABA6F">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7D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6BB56C">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5DEE4360">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3003DE29">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7852EDFA">
            <w:pPr>
              <w:jc w:val="center"/>
              <w:rPr>
                <w:rFonts w:hint="eastAsia" w:ascii="仿宋" w:hAnsi="仿宋" w:eastAsia="仿宋" w:cs="仿宋"/>
                <w:b/>
                <w:bCs/>
                <w:sz w:val="24"/>
              </w:rPr>
            </w:pPr>
            <w:r>
              <w:rPr>
                <w:rFonts w:hint="eastAsia" w:ascii="仿宋" w:hAnsi="仿宋" w:eastAsia="仿宋" w:cs="仿宋"/>
                <w:b/>
                <w:bCs/>
                <w:sz w:val="24"/>
              </w:rPr>
              <w:t>偏离说明</w:t>
            </w:r>
          </w:p>
        </w:tc>
      </w:tr>
      <w:tr w14:paraId="3801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F48ED2">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605FB981">
            <w:pPr>
              <w:jc w:val="center"/>
              <w:rPr>
                <w:rFonts w:hint="eastAsia" w:ascii="仿宋" w:hAnsi="仿宋" w:eastAsia="仿宋" w:cs="仿宋"/>
                <w:b/>
                <w:kern w:val="0"/>
                <w:sz w:val="32"/>
                <w:szCs w:val="32"/>
              </w:rPr>
            </w:pPr>
          </w:p>
        </w:tc>
        <w:tc>
          <w:tcPr>
            <w:tcW w:w="3546" w:type="dxa"/>
          </w:tcPr>
          <w:p w14:paraId="0E11256F">
            <w:pPr>
              <w:jc w:val="center"/>
              <w:rPr>
                <w:rFonts w:hint="eastAsia" w:ascii="仿宋" w:hAnsi="仿宋" w:eastAsia="仿宋" w:cs="仿宋"/>
                <w:b/>
                <w:kern w:val="0"/>
                <w:sz w:val="32"/>
                <w:szCs w:val="32"/>
              </w:rPr>
            </w:pPr>
          </w:p>
        </w:tc>
        <w:tc>
          <w:tcPr>
            <w:tcW w:w="1276" w:type="dxa"/>
          </w:tcPr>
          <w:p w14:paraId="7D6A8C8E">
            <w:pPr>
              <w:jc w:val="center"/>
              <w:rPr>
                <w:rFonts w:hint="eastAsia" w:ascii="仿宋" w:hAnsi="仿宋" w:eastAsia="仿宋" w:cs="仿宋"/>
                <w:b/>
                <w:kern w:val="0"/>
                <w:sz w:val="32"/>
                <w:szCs w:val="32"/>
              </w:rPr>
            </w:pPr>
          </w:p>
        </w:tc>
      </w:tr>
      <w:tr w14:paraId="793A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926FA8">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48203AA6">
            <w:pPr>
              <w:jc w:val="center"/>
              <w:rPr>
                <w:rFonts w:hint="eastAsia" w:ascii="仿宋" w:hAnsi="仿宋" w:eastAsia="仿宋" w:cs="仿宋"/>
                <w:b/>
                <w:kern w:val="0"/>
                <w:sz w:val="32"/>
                <w:szCs w:val="32"/>
              </w:rPr>
            </w:pPr>
          </w:p>
        </w:tc>
        <w:tc>
          <w:tcPr>
            <w:tcW w:w="3546" w:type="dxa"/>
          </w:tcPr>
          <w:p w14:paraId="239D9F27">
            <w:pPr>
              <w:jc w:val="center"/>
              <w:rPr>
                <w:rFonts w:hint="eastAsia" w:ascii="仿宋" w:hAnsi="仿宋" w:eastAsia="仿宋" w:cs="仿宋"/>
                <w:b/>
                <w:kern w:val="0"/>
                <w:sz w:val="32"/>
                <w:szCs w:val="32"/>
              </w:rPr>
            </w:pPr>
          </w:p>
        </w:tc>
        <w:tc>
          <w:tcPr>
            <w:tcW w:w="1276" w:type="dxa"/>
          </w:tcPr>
          <w:p w14:paraId="5B4BBE29">
            <w:pPr>
              <w:jc w:val="center"/>
              <w:rPr>
                <w:rFonts w:hint="eastAsia" w:ascii="仿宋" w:hAnsi="仿宋" w:eastAsia="仿宋" w:cs="仿宋"/>
                <w:b/>
                <w:kern w:val="0"/>
                <w:sz w:val="32"/>
                <w:szCs w:val="32"/>
              </w:rPr>
            </w:pPr>
          </w:p>
        </w:tc>
      </w:tr>
      <w:tr w14:paraId="1E04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573EB9">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148DC341">
            <w:pPr>
              <w:jc w:val="center"/>
              <w:rPr>
                <w:rFonts w:hint="eastAsia" w:ascii="仿宋" w:hAnsi="仿宋" w:eastAsia="仿宋" w:cs="仿宋"/>
                <w:b/>
                <w:kern w:val="0"/>
                <w:sz w:val="32"/>
                <w:szCs w:val="32"/>
              </w:rPr>
            </w:pPr>
          </w:p>
        </w:tc>
        <w:tc>
          <w:tcPr>
            <w:tcW w:w="3546" w:type="dxa"/>
          </w:tcPr>
          <w:p w14:paraId="66A5EF6B">
            <w:pPr>
              <w:jc w:val="center"/>
              <w:rPr>
                <w:rFonts w:hint="eastAsia" w:ascii="仿宋" w:hAnsi="仿宋" w:eastAsia="仿宋" w:cs="仿宋"/>
                <w:b/>
                <w:kern w:val="0"/>
                <w:sz w:val="32"/>
                <w:szCs w:val="32"/>
              </w:rPr>
            </w:pPr>
          </w:p>
        </w:tc>
        <w:tc>
          <w:tcPr>
            <w:tcW w:w="1276" w:type="dxa"/>
          </w:tcPr>
          <w:p w14:paraId="3FE96CBE">
            <w:pPr>
              <w:jc w:val="center"/>
              <w:rPr>
                <w:rFonts w:hint="eastAsia" w:ascii="仿宋" w:hAnsi="仿宋" w:eastAsia="仿宋" w:cs="仿宋"/>
                <w:b/>
                <w:kern w:val="0"/>
                <w:sz w:val="32"/>
                <w:szCs w:val="32"/>
              </w:rPr>
            </w:pPr>
          </w:p>
        </w:tc>
      </w:tr>
    </w:tbl>
    <w:p w14:paraId="196E3DBA">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15EC8F6F">
      <w:pPr>
        <w:jc w:val="center"/>
        <w:rPr>
          <w:rFonts w:hint="eastAsia" w:ascii="仿宋" w:hAnsi="仿宋" w:eastAsia="仿宋" w:cs="仿宋"/>
          <w:b/>
          <w:kern w:val="0"/>
          <w:sz w:val="32"/>
          <w:szCs w:val="32"/>
        </w:rPr>
      </w:pPr>
    </w:p>
    <w:p w14:paraId="647A8397">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1C01B15">
      <w:pPr>
        <w:rPr>
          <w:rFonts w:hint="eastAsia" w:ascii="仿宋" w:hAnsi="仿宋" w:eastAsia="仿宋" w:cs="仿宋"/>
          <w:b/>
          <w:bCs/>
          <w:sz w:val="32"/>
          <w:szCs w:val="32"/>
        </w:rPr>
      </w:pPr>
      <w:r>
        <w:rPr>
          <w:rFonts w:hint="eastAsia" w:ascii="仿宋" w:hAnsi="仿宋" w:eastAsia="仿宋" w:cs="仿宋"/>
          <w:b/>
          <w:bCs/>
          <w:sz w:val="32"/>
          <w:szCs w:val="32"/>
        </w:rPr>
        <w:br w:type="page"/>
      </w:r>
    </w:p>
    <w:p w14:paraId="320D5502">
      <w:pPr>
        <w:widowControl/>
        <w:adjustRightInd/>
        <w:jc w:val="center"/>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53AB2DB6">
      <w:pPr>
        <w:snapToGrid w:val="0"/>
        <w:spacing w:line="360" w:lineRule="auto"/>
        <w:rPr>
          <w:rFonts w:hint="eastAsia" w:ascii="仿宋" w:hAnsi="仿宋" w:eastAsia="仿宋" w:cs="仿宋"/>
          <w:sz w:val="24"/>
        </w:rPr>
      </w:pPr>
    </w:p>
    <w:p w14:paraId="185553E5">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72952DB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14FA704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55F5FDE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4C5E3BB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17987A6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0F81097E">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3B9A323A">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7493418D">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4C599772">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7A165136">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053B62E1">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20F3723">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3C9D61C">
      <w:pPr>
        <w:spacing w:line="360" w:lineRule="auto"/>
        <w:jc w:val="center"/>
        <w:rPr>
          <w:rFonts w:hint="eastAsia" w:ascii="仿宋" w:hAnsi="仿宋" w:eastAsia="仿宋" w:cs="仿宋"/>
          <w:b/>
          <w:bCs/>
          <w:sz w:val="24"/>
        </w:rPr>
      </w:pPr>
    </w:p>
    <w:p w14:paraId="5E1CA220">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872C8F5">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4180A79A">
      <w:pPr>
        <w:jc w:val="center"/>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AA860D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BF1850B">
      <w:pPr>
        <w:spacing w:line="360" w:lineRule="auto"/>
        <w:jc w:val="center"/>
        <w:outlineLvl w:val="0"/>
        <w:rPr>
          <w:rFonts w:hint="eastAsia" w:ascii="仿宋" w:hAnsi="仿宋" w:eastAsia="仿宋" w:cs="仿宋"/>
          <w:b/>
          <w:kern w:val="0"/>
          <w:sz w:val="36"/>
          <w:szCs w:val="36"/>
        </w:rPr>
      </w:pPr>
    </w:p>
    <w:p w14:paraId="1DF7F4D7">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0C0D58F6">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14:paraId="783CCD84">
      <w:pPr>
        <w:rPr>
          <w:rFonts w:hint="eastAsia" w:ascii="仿宋" w:hAnsi="仿宋" w:eastAsia="仿宋" w:cs="仿宋"/>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仿宋" w:hAnsi="仿宋" w:eastAsia="仿宋" w:cs="仿宋"/>
          <w:kern w:val="2"/>
          <w:sz w:val="32"/>
          <w:szCs w:val="32"/>
        </w:rPr>
        <w:br w:type="page"/>
      </w:r>
    </w:p>
    <w:p w14:paraId="132B802E">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05D47997">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6DA26C85">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14:paraId="65A12DC8">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54A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CD7BE9A">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14:paraId="44E2EA72">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268" w:type="dxa"/>
          </w:tcPr>
          <w:p w14:paraId="546D94DA">
            <w:pPr>
              <w:spacing w:line="360" w:lineRule="auto"/>
              <w:jc w:val="center"/>
              <w:rPr>
                <w:rFonts w:hint="eastAsia" w:ascii="仿宋" w:hAnsi="仿宋" w:eastAsia="仿宋" w:cs="仿宋"/>
                <w:b/>
                <w:sz w:val="24"/>
              </w:rPr>
            </w:pPr>
          </w:p>
          <w:p w14:paraId="13008A9D">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410" w:type="dxa"/>
            <w:vAlign w:val="center"/>
          </w:tcPr>
          <w:p w14:paraId="022D0CB7">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268" w:type="dxa"/>
            <w:vAlign w:val="center"/>
          </w:tcPr>
          <w:p w14:paraId="5287A9F4">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2126" w:type="dxa"/>
            <w:vAlign w:val="center"/>
          </w:tcPr>
          <w:p w14:paraId="036F512E">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2127" w:type="dxa"/>
          </w:tcPr>
          <w:p w14:paraId="208CD24D">
            <w:pPr>
              <w:spacing w:line="360" w:lineRule="auto"/>
              <w:jc w:val="center"/>
              <w:rPr>
                <w:rFonts w:hint="eastAsia" w:ascii="仿宋" w:hAnsi="仿宋" w:eastAsia="仿宋" w:cs="仿宋"/>
                <w:b/>
                <w:sz w:val="24"/>
              </w:rPr>
            </w:pPr>
          </w:p>
          <w:p w14:paraId="3D56B8B1">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2126" w:type="dxa"/>
            <w:vAlign w:val="center"/>
          </w:tcPr>
          <w:p w14:paraId="0B16D54C">
            <w:pPr>
              <w:spacing w:line="360" w:lineRule="auto"/>
              <w:jc w:val="center"/>
              <w:rPr>
                <w:rFonts w:hint="eastAsia" w:ascii="仿宋" w:hAnsi="仿宋" w:eastAsia="仿宋" w:cs="仿宋"/>
                <w:b/>
                <w:sz w:val="24"/>
              </w:rPr>
            </w:pPr>
          </w:p>
          <w:p w14:paraId="7D289300">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50388A87">
            <w:pPr>
              <w:spacing w:line="360" w:lineRule="auto"/>
              <w:jc w:val="center"/>
              <w:rPr>
                <w:rFonts w:hint="eastAsia" w:ascii="仿宋" w:hAnsi="仿宋" w:eastAsia="仿宋" w:cs="仿宋"/>
                <w:b/>
                <w:sz w:val="24"/>
              </w:rPr>
            </w:pPr>
          </w:p>
        </w:tc>
      </w:tr>
      <w:tr w14:paraId="0B68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5D7082D">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92" w:type="dxa"/>
            <w:vAlign w:val="center"/>
          </w:tcPr>
          <w:p w14:paraId="2E98DE93">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14:paraId="509B1439">
            <w:pPr>
              <w:snapToGrid w:val="0"/>
              <w:spacing w:line="360" w:lineRule="auto"/>
              <w:jc w:val="center"/>
              <w:rPr>
                <w:rFonts w:hint="eastAsia" w:ascii="仿宋" w:hAnsi="仿宋" w:eastAsia="仿宋" w:cs="仿宋"/>
                <w:sz w:val="24"/>
              </w:rPr>
            </w:pPr>
          </w:p>
        </w:tc>
        <w:tc>
          <w:tcPr>
            <w:tcW w:w="2410" w:type="dxa"/>
            <w:vAlign w:val="center"/>
          </w:tcPr>
          <w:p w14:paraId="0E205E86">
            <w:pPr>
              <w:snapToGrid w:val="0"/>
              <w:spacing w:line="360" w:lineRule="auto"/>
              <w:jc w:val="center"/>
              <w:rPr>
                <w:rFonts w:hint="eastAsia" w:ascii="仿宋" w:hAnsi="仿宋" w:eastAsia="仿宋" w:cs="仿宋"/>
                <w:sz w:val="24"/>
              </w:rPr>
            </w:pPr>
          </w:p>
        </w:tc>
        <w:tc>
          <w:tcPr>
            <w:tcW w:w="2268" w:type="dxa"/>
            <w:vAlign w:val="center"/>
          </w:tcPr>
          <w:p w14:paraId="2D0EF2B4">
            <w:pPr>
              <w:snapToGrid w:val="0"/>
              <w:spacing w:line="360" w:lineRule="auto"/>
              <w:jc w:val="center"/>
              <w:rPr>
                <w:rFonts w:hint="eastAsia" w:ascii="仿宋" w:hAnsi="仿宋" w:eastAsia="仿宋" w:cs="仿宋"/>
                <w:sz w:val="24"/>
              </w:rPr>
            </w:pPr>
          </w:p>
        </w:tc>
        <w:tc>
          <w:tcPr>
            <w:tcW w:w="2126" w:type="dxa"/>
            <w:vAlign w:val="center"/>
          </w:tcPr>
          <w:p w14:paraId="0E353143">
            <w:pPr>
              <w:spacing w:line="360" w:lineRule="auto"/>
              <w:jc w:val="center"/>
              <w:rPr>
                <w:rFonts w:hint="eastAsia" w:ascii="仿宋" w:hAnsi="仿宋" w:eastAsia="仿宋" w:cs="仿宋"/>
                <w:sz w:val="24"/>
              </w:rPr>
            </w:pPr>
          </w:p>
        </w:tc>
        <w:tc>
          <w:tcPr>
            <w:tcW w:w="2127" w:type="dxa"/>
          </w:tcPr>
          <w:p w14:paraId="77C95F93">
            <w:pPr>
              <w:spacing w:line="360" w:lineRule="auto"/>
              <w:jc w:val="center"/>
              <w:rPr>
                <w:rFonts w:hint="eastAsia" w:ascii="仿宋" w:hAnsi="仿宋" w:eastAsia="仿宋" w:cs="仿宋"/>
                <w:sz w:val="24"/>
              </w:rPr>
            </w:pPr>
          </w:p>
        </w:tc>
        <w:tc>
          <w:tcPr>
            <w:tcW w:w="2126" w:type="dxa"/>
            <w:vAlign w:val="center"/>
          </w:tcPr>
          <w:p w14:paraId="6DA82AC2">
            <w:pPr>
              <w:spacing w:line="360" w:lineRule="auto"/>
              <w:jc w:val="center"/>
              <w:rPr>
                <w:rFonts w:hint="eastAsia" w:ascii="仿宋" w:hAnsi="仿宋" w:eastAsia="仿宋" w:cs="仿宋"/>
                <w:sz w:val="24"/>
              </w:rPr>
            </w:pPr>
          </w:p>
        </w:tc>
      </w:tr>
      <w:tr w14:paraId="11FB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4688F5">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92" w:type="dxa"/>
            <w:vAlign w:val="center"/>
          </w:tcPr>
          <w:p w14:paraId="1ADB02FB">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268" w:type="dxa"/>
            <w:vAlign w:val="center"/>
          </w:tcPr>
          <w:p w14:paraId="519E00BE">
            <w:pPr>
              <w:snapToGrid w:val="0"/>
              <w:spacing w:line="360" w:lineRule="auto"/>
              <w:jc w:val="center"/>
              <w:rPr>
                <w:rFonts w:hint="eastAsia" w:ascii="仿宋" w:hAnsi="仿宋" w:eastAsia="仿宋" w:cs="仿宋"/>
                <w:sz w:val="24"/>
              </w:rPr>
            </w:pPr>
          </w:p>
        </w:tc>
        <w:tc>
          <w:tcPr>
            <w:tcW w:w="2410" w:type="dxa"/>
            <w:vAlign w:val="center"/>
          </w:tcPr>
          <w:p w14:paraId="168166EB">
            <w:pPr>
              <w:snapToGrid w:val="0"/>
              <w:spacing w:line="360" w:lineRule="auto"/>
              <w:jc w:val="center"/>
              <w:rPr>
                <w:rFonts w:hint="eastAsia" w:ascii="仿宋" w:hAnsi="仿宋" w:eastAsia="仿宋" w:cs="仿宋"/>
                <w:sz w:val="24"/>
              </w:rPr>
            </w:pPr>
          </w:p>
        </w:tc>
        <w:tc>
          <w:tcPr>
            <w:tcW w:w="2268" w:type="dxa"/>
            <w:vAlign w:val="center"/>
          </w:tcPr>
          <w:p w14:paraId="61725D06">
            <w:pPr>
              <w:snapToGrid w:val="0"/>
              <w:spacing w:line="360" w:lineRule="auto"/>
              <w:jc w:val="center"/>
              <w:rPr>
                <w:rFonts w:hint="eastAsia" w:ascii="仿宋" w:hAnsi="仿宋" w:eastAsia="仿宋" w:cs="仿宋"/>
                <w:sz w:val="24"/>
              </w:rPr>
            </w:pPr>
          </w:p>
        </w:tc>
        <w:tc>
          <w:tcPr>
            <w:tcW w:w="2126" w:type="dxa"/>
            <w:vAlign w:val="center"/>
          </w:tcPr>
          <w:p w14:paraId="3F1964B0">
            <w:pPr>
              <w:spacing w:line="360" w:lineRule="auto"/>
              <w:jc w:val="center"/>
              <w:rPr>
                <w:rFonts w:hint="eastAsia" w:ascii="仿宋" w:hAnsi="仿宋" w:eastAsia="仿宋" w:cs="仿宋"/>
                <w:sz w:val="24"/>
              </w:rPr>
            </w:pPr>
          </w:p>
        </w:tc>
        <w:tc>
          <w:tcPr>
            <w:tcW w:w="2127" w:type="dxa"/>
          </w:tcPr>
          <w:p w14:paraId="7E29963C">
            <w:pPr>
              <w:spacing w:line="360" w:lineRule="auto"/>
              <w:jc w:val="center"/>
              <w:rPr>
                <w:rFonts w:hint="eastAsia" w:ascii="仿宋" w:hAnsi="仿宋" w:eastAsia="仿宋" w:cs="仿宋"/>
                <w:sz w:val="24"/>
              </w:rPr>
            </w:pPr>
          </w:p>
        </w:tc>
        <w:tc>
          <w:tcPr>
            <w:tcW w:w="2126" w:type="dxa"/>
            <w:vAlign w:val="center"/>
          </w:tcPr>
          <w:p w14:paraId="70616B3C">
            <w:pPr>
              <w:spacing w:line="360" w:lineRule="auto"/>
              <w:jc w:val="center"/>
              <w:rPr>
                <w:rFonts w:hint="eastAsia" w:ascii="仿宋" w:hAnsi="仿宋" w:eastAsia="仿宋" w:cs="仿宋"/>
                <w:sz w:val="24"/>
              </w:rPr>
            </w:pPr>
          </w:p>
        </w:tc>
      </w:tr>
      <w:tr w14:paraId="6ACD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79F5F22">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92" w:type="dxa"/>
            <w:vAlign w:val="center"/>
          </w:tcPr>
          <w:p w14:paraId="44DE2B11">
            <w:pPr>
              <w:snapToGrid w:val="0"/>
              <w:spacing w:line="360" w:lineRule="auto"/>
              <w:jc w:val="center"/>
              <w:rPr>
                <w:rFonts w:hint="eastAsia" w:ascii="仿宋" w:hAnsi="仿宋" w:eastAsia="仿宋" w:cs="仿宋"/>
                <w:sz w:val="24"/>
              </w:rPr>
            </w:pPr>
          </w:p>
        </w:tc>
        <w:tc>
          <w:tcPr>
            <w:tcW w:w="2268" w:type="dxa"/>
            <w:vAlign w:val="center"/>
          </w:tcPr>
          <w:p w14:paraId="737B16FB">
            <w:pPr>
              <w:snapToGrid w:val="0"/>
              <w:spacing w:line="360" w:lineRule="auto"/>
              <w:jc w:val="center"/>
              <w:rPr>
                <w:rFonts w:hint="eastAsia" w:ascii="仿宋" w:hAnsi="仿宋" w:eastAsia="仿宋" w:cs="仿宋"/>
                <w:sz w:val="24"/>
              </w:rPr>
            </w:pPr>
          </w:p>
        </w:tc>
        <w:tc>
          <w:tcPr>
            <w:tcW w:w="2410" w:type="dxa"/>
            <w:vAlign w:val="center"/>
          </w:tcPr>
          <w:p w14:paraId="2F408E71">
            <w:pPr>
              <w:snapToGrid w:val="0"/>
              <w:spacing w:line="360" w:lineRule="auto"/>
              <w:jc w:val="center"/>
              <w:rPr>
                <w:rFonts w:hint="eastAsia" w:ascii="仿宋" w:hAnsi="仿宋" w:eastAsia="仿宋" w:cs="仿宋"/>
                <w:sz w:val="24"/>
              </w:rPr>
            </w:pPr>
          </w:p>
        </w:tc>
        <w:tc>
          <w:tcPr>
            <w:tcW w:w="2268" w:type="dxa"/>
            <w:vAlign w:val="center"/>
          </w:tcPr>
          <w:p w14:paraId="6C009EE9">
            <w:pPr>
              <w:snapToGrid w:val="0"/>
              <w:spacing w:line="360" w:lineRule="auto"/>
              <w:jc w:val="center"/>
              <w:rPr>
                <w:rFonts w:hint="eastAsia" w:ascii="仿宋" w:hAnsi="仿宋" w:eastAsia="仿宋" w:cs="仿宋"/>
                <w:sz w:val="24"/>
              </w:rPr>
            </w:pPr>
          </w:p>
        </w:tc>
        <w:tc>
          <w:tcPr>
            <w:tcW w:w="2126" w:type="dxa"/>
            <w:vAlign w:val="center"/>
          </w:tcPr>
          <w:p w14:paraId="129AD36B">
            <w:pPr>
              <w:spacing w:line="360" w:lineRule="auto"/>
              <w:jc w:val="center"/>
              <w:rPr>
                <w:rFonts w:hint="eastAsia" w:ascii="仿宋" w:hAnsi="仿宋" w:eastAsia="仿宋" w:cs="仿宋"/>
                <w:sz w:val="24"/>
              </w:rPr>
            </w:pPr>
          </w:p>
        </w:tc>
        <w:tc>
          <w:tcPr>
            <w:tcW w:w="2127" w:type="dxa"/>
          </w:tcPr>
          <w:p w14:paraId="132A753A">
            <w:pPr>
              <w:spacing w:line="360" w:lineRule="auto"/>
              <w:jc w:val="center"/>
              <w:rPr>
                <w:rFonts w:hint="eastAsia" w:ascii="仿宋" w:hAnsi="仿宋" w:eastAsia="仿宋" w:cs="仿宋"/>
                <w:sz w:val="24"/>
              </w:rPr>
            </w:pPr>
          </w:p>
        </w:tc>
        <w:tc>
          <w:tcPr>
            <w:tcW w:w="2126" w:type="dxa"/>
            <w:vAlign w:val="center"/>
          </w:tcPr>
          <w:p w14:paraId="2EE3F0E2">
            <w:pPr>
              <w:spacing w:line="360" w:lineRule="auto"/>
              <w:jc w:val="center"/>
              <w:rPr>
                <w:rFonts w:hint="eastAsia" w:ascii="仿宋" w:hAnsi="仿宋" w:eastAsia="仿宋" w:cs="仿宋"/>
                <w:sz w:val="24"/>
              </w:rPr>
            </w:pPr>
          </w:p>
        </w:tc>
      </w:tr>
      <w:tr w14:paraId="191A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19A137F">
            <w:pPr>
              <w:spacing w:line="360" w:lineRule="auto"/>
              <w:jc w:val="center"/>
              <w:rPr>
                <w:rFonts w:hint="eastAsia" w:ascii="仿宋" w:hAnsi="仿宋" w:eastAsia="仿宋" w:cs="仿宋"/>
                <w:sz w:val="24"/>
              </w:rPr>
            </w:pPr>
          </w:p>
        </w:tc>
        <w:tc>
          <w:tcPr>
            <w:tcW w:w="992" w:type="dxa"/>
            <w:vAlign w:val="center"/>
          </w:tcPr>
          <w:p w14:paraId="58A797B2">
            <w:pPr>
              <w:snapToGrid w:val="0"/>
              <w:spacing w:line="360" w:lineRule="auto"/>
              <w:jc w:val="center"/>
              <w:rPr>
                <w:rFonts w:hint="eastAsia" w:ascii="仿宋" w:hAnsi="仿宋" w:eastAsia="仿宋" w:cs="仿宋"/>
                <w:sz w:val="24"/>
              </w:rPr>
            </w:pPr>
          </w:p>
        </w:tc>
        <w:tc>
          <w:tcPr>
            <w:tcW w:w="2268" w:type="dxa"/>
            <w:vAlign w:val="center"/>
          </w:tcPr>
          <w:p w14:paraId="19EABDA1">
            <w:pPr>
              <w:snapToGrid w:val="0"/>
              <w:spacing w:line="360" w:lineRule="auto"/>
              <w:jc w:val="center"/>
              <w:rPr>
                <w:rFonts w:hint="eastAsia" w:ascii="仿宋" w:hAnsi="仿宋" w:eastAsia="仿宋" w:cs="仿宋"/>
                <w:sz w:val="24"/>
              </w:rPr>
            </w:pPr>
          </w:p>
        </w:tc>
        <w:tc>
          <w:tcPr>
            <w:tcW w:w="2410" w:type="dxa"/>
            <w:vAlign w:val="center"/>
          </w:tcPr>
          <w:p w14:paraId="37DEAA16">
            <w:pPr>
              <w:snapToGrid w:val="0"/>
              <w:spacing w:line="360" w:lineRule="auto"/>
              <w:jc w:val="center"/>
              <w:rPr>
                <w:rFonts w:hint="eastAsia" w:ascii="仿宋" w:hAnsi="仿宋" w:eastAsia="仿宋" w:cs="仿宋"/>
                <w:sz w:val="24"/>
              </w:rPr>
            </w:pPr>
          </w:p>
        </w:tc>
        <w:tc>
          <w:tcPr>
            <w:tcW w:w="2268" w:type="dxa"/>
            <w:vAlign w:val="center"/>
          </w:tcPr>
          <w:p w14:paraId="7F3FCE3B">
            <w:pPr>
              <w:snapToGrid w:val="0"/>
              <w:spacing w:line="360" w:lineRule="auto"/>
              <w:jc w:val="center"/>
              <w:rPr>
                <w:rFonts w:hint="eastAsia" w:ascii="仿宋" w:hAnsi="仿宋" w:eastAsia="仿宋" w:cs="仿宋"/>
                <w:sz w:val="24"/>
              </w:rPr>
            </w:pPr>
          </w:p>
        </w:tc>
        <w:tc>
          <w:tcPr>
            <w:tcW w:w="2126" w:type="dxa"/>
            <w:vAlign w:val="center"/>
          </w:tcPr>
          <w:p w14:paraId="51ABC2B1">
            <w:pPr>
              <w:spacing w:line="360" w:lineRule="auto"/>
              <w:jc w:val="center"/>
              <w:rPr>
                <w:rFonts w:hint="eastAsia" w:ascii="仿宋" w:hAnsi="仿宋" w:eastAsia="仿宋" w:cs="仿宋"/>
                <w:sz w:val="24"/>
              </w:rPr>
            </w:pPr>
          </w:p>
        </w:tc>
        <w:tc>
          <w:tcPr>
            <w:tcW w:w="2127" w:type="dxa"/>
          </w:tcPr>
          <w:p w14:paraId="10C61A46">
            <w:pPr>
              <w:spacing w:line="360" w:lineRule="auto"/>
              <w:jc w:val="center"/>
              <w:rPr>
                <w:rFonts w:hint="eastAsia" w:ascii="仿宋" w:hAnsi="仿宋" w:eastAsia="仿宋" w:cs="仿宋"/>
                <w:sz w:val="24"/>
              </w:rPr>
            </w:pPr>
          </w:p>
        </w:tc>
        <w:tc>
          <w:tcPr>
            <w:tcW w:w="2126" w:type="dxa"/>
            <w:vAlign w:val="center"/>
          </w:tcPr>
          <w:p w14:paraId="40C12C91">
            <w:pPr>
              <w:spacing w:line="360" w:lineRule="auto"/>
              <w:jc w:val="center"/>
              <w:rPr>
                <w:rFonts w:hint="eastAsia" w:ascii="仿宋" w:hAnsi="仿宋" w:eastAsia="仿宋" w:cs="仿宋"/>
                <w:sz w:val="24"/>
              </w:rPr>
            </w:pPr>
          </w:p>
        </w:tc>
      </w:tr>
      <w:tr w14:paraId="6997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AC8CD9C">
            <w:pPr>
              <w:spacing w:line="360" w:lineRule="auto"/>
              <w:jc w:val="center"/>
              <w:rPr>
                <w:rFonts w:hint="eastAsia" w:ascii="仿宋" w:hAnsi="仿宋" w:eastAsia="仿宋" w:cs="仿宋"/>
                <w:sz w:val="24"/>
              </w:rPr>
            </w:pPr>
          </w:p>
        </w:tc>
        <w:tc>
          <w:tcPr>
            <w:tcW w:w="992" w:type="dxa"/>
            <w:vAlign w:val="center"/>
          </w:tcPr>
          <w:p w14:paraId="41A0EA1A">
            <w:pPr>
              <w:snapToGrid w:val="0"/>
              <w:spacing w:line="360" w:lineRule="auto"/>
              <w:jc w:val="center"/>
              <w:rPr>
                <w:rFonts w:hint="eastAsia" w:ascii="仿宋" w:hAnsi="仿宋" w:eastAsia="仿宋" w:cs="仿宋"/>
                <w:sz w:val="24"/>
              </w:rPr>
            </w:pPr>
          </w:p>
        </w:tc>
        <w:tc>
          <w:tcPr>
            <w:tcW w:w="2268" w:type="dxa"/>
            <w:vAlign w:val="center"/>
          </w:tcPr>
          <w:p w14:paraId="79037DCE">
            <w:pPr>
              <w:snapToGrid w:val="0"/>
              <w:spacing w:line="360" w:lineRule="auto"/>
              <w:jc w:val="center"/>
              <w:rPr>
                <w:rFonts w:hint="eastAsia" w:ascii="仿宋" w:hAnsi="仿宋" w:eastAsia="仿宋" w:cs="仿宋"/>
                <w:sz w:val="24"/>
              </w:rPr>
            </w:pPr>
          </w:p>
        </w:tc>
        <w:tc>
          <w:tcPr>
            <w:tcW w:w="2410" w:type="dxa"/>
            <w:vAlign w:val="center"/>
          </w:tcPr>
          <w:p w14:paraId="2C451EB7">
            <w:pPr>
              <w:snapToGrid w:val="0"/>
              <w:spacing w:line="360" w:lineRule="auto"/>
              <w:jc w:val="center"/>
              <w:rPr>
                <w:rFonts w:hint="eastAsia" w:ascii="仿宋" w:hAnsi="仿宋" w:eastAsia="仿宋" w:cs="仿宋"/>
                <w:sz w:val="24"/>
              </w:rPr>
            </w:pPr>
          </w:p>
        </w:tc>
        <w:tc>
          <w:tcPr>
            <w:tcW w:w="2268" w:type="dxa"/>
            <w:vAlign w:val="center"/>
          </w:tcPr>
          <w:p w14:paraId="79A89DDF">
            <w:pPr>
              <w:snapToGrid w:val="0"/>
              <w:spacing w:line="360" w:lineRule="auto"/>
              <w:jc w:val="center"/>
              <w:rPr>
                <w:rFonts w:hint="eastAsia" w:ascii="仿宋" w:hAnsi="仿宋" w:eastAsia="仿宋" w:cs="仿宋"/>
                <w:sz w:val="24"/>
              </w:rPr>
            </w:pPr>
          </w:p>
        </w:tc>
        <w:tc>
          <w:tcPr>
            <w:tcW w:w="2126" w:type="dxa"/>
            <w:vAlign w:val="center"/>
          </w:tcPr>
          <w:p w14:paraId="09AA9B98">
            <w:pPr>
              <w:spacing w:line="360" w:lineRule="auto"/>
              <w:jc w:val="center"/>
              <w:rPr>
                <w:rFonts w:hint="eastAsia" w:ascii="仿宋" w:hAnsi="仿宋" w:eastAsia="仿宋" w:cs="仿宋"/>
                <w:sz w:val="24"/>
              </w:rPr>
            </w:pPr>
          </w:p>
        </w:tc>
        <w:tc>
          <w:tcPr>
            <w:tcW w:w="2127" w:type="dxa"/>
          </w:tcPr>
          <w:p w14:paraId="629C9CBF">
            <w:pPr>
              <w:spacing w:line="360" w:lineRule="auto"/>
              <w:jc w:val="center"/>
              <w:rPr>
                <w:rFonts w:hint="eastAsia" w:ascii="仿宋" w:hAnsi="仿宋" w:eastAsia="仿宋" w:cs="仿宋"/>
                <w:sz w:val="24"/>
              </w:rPr>
            </w:pPr>
          </w:p>
        </w:tc>
        <w:tc>
          <w:tcPr>
            <w:tcW w:w="2126" w:type="dxa"/>
            <w:vAlign w:val="center"/>
          </w:tcPr>
          <w:p w14:paraId="236FE63D">
            <w:pPr>
              <w:spacing w:line="360" w:lineRule="auto"/>
              <w:jc w:val="center"/>
              <w:rPr>
                <w:rFonts w:hint="eastAsia" w:ascii="仿宋" w:hAnsi="仿宋" w:eastAsia="仿宋" w:cs="仿宋"/>
                <w:sz w:val="24"/>
              </w:rPr>
            </w:pPr>
          </w:p>
        </w:tc>
      </w:tr>
      <w:tr w14:paraId="4582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69011CA">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8647" w:type="dxa"/>
            <w:gridSpan w:val="4"/>
          </w:tcPr>
          <w:p w14:paraId="2492503A">
            <w:pPr>
              <w:spacing w:line="360" w:lineRule="auto"/>
              <w:jc w:val="center"/>
              <w:rPr>
                <w:rFonts w:hint="eastAsia" w:ascii="仿宋" w:hAnsi="仿宋" w:eastAsia="仿宋" w:cs="仿宋"/>
                <w:sz w:val="24"/>
              </w:rPr>
            </w:pPr>
          </w:p>
        </w:tc>
      </w:tr>
      <w:tr w14:paraId="587C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AD9E26F">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8647" w:type="dxa"/>
            <w:gridSpan w:val="4"/>
          </w:tcPr>
          <w:p w14:paraId="37459100">
            <w:pPr>
              <w:spacing w:line="360" w:lineRule="auto"/>
              <w:jc w:val="center"/>
              <w:rPr>
                <w:rFonts w:hint="eastAsia" w:ascii="仿宋" w:hAnsi="仿宋" w:eastAsia="仿宋" w:cs="仿宋"/>
                <w:sz w:val="24"/>
              </w:rPr>
            </w:pPr>
          </w:p>
        </w:tc>
      </w:tr>
    </w:tbl>
    <w:p w14:paraId="7C048AD8">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5CF9FC95">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14:paraId="0B3C1737">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09C6C27B">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292A1AF7">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FE2DCBE">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5、特别说明：▲供应商报价低于项目预算50%的，应当在报价文件中详细阐述不影响产品质量或者诚信履约的具体原因，未做阐述说明的，投标无效。</w:t>
      </w:r>
    </w:p>
    <w:p w14:paraId="5367B5C5">
      <w:pPr>
        <w:rPr>
          <w:rFonts w:hint="eastAsia" w:ascii="仿宋" w:hAnsi="仿宋" w:eastAsia="仿宋" w:cs="仿宋"/>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仿宋" w:hAnsi="仿宋" w:eastAsia="仿宋" w:cs="仿宋"/>
          <w:kern w:val="2"/>
          <w:sz w:val="32"/>
          <w:szCs w:val="32"/>
        </w:rPr>
        <w:br w:type="page"/>
      </w:r>
    </w:p>
    <w:p w14:paraId="0CA1F1C5">
      <w:pPr>
        <w:pStyle w:val="690"/>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650163ED">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4EF7C99">
      <w:pPr>
        <w:rPr>
          <w:rFonts w:hint="eastAsia" w:ascii="仿宋" w:hAnsi="仿宋" w:eastAsia="仿宋" w:cs="仿宋"/>
        </w:rPr>
      </w:pPr>
      <w:r>
        <w:rPr>
          <w:rFonts w:hint="eastAsia" w:ascii="仿宋" w:hAnsi="仿宋" w:eastAsia="仿宋" w:cs="仿宋"/>
          <w:b/>
          <w:sz w:val="24"/>
        </w:rPr>
        <w:br w:type="page"/>
      </w:r>
    </w:p>
    <w:p w14:paraId="6604DDA6">
      <w:pPr>
        <w:pStyle w:val="3"/>
        <w:keepNext w:val="0"/>
        <w:keepLines w:val="0"/>
        <w:pageBreakBefore/>
        <w:widowControl/>
        <w:spacing w:before="100" w:beforeAutospacing="1" w:after="100" w:afterAutospacing="1" w:line="360" w:lineRule="auto"/>
        <w:jc w:val="center"/>
        <w:rPr>
          <w:rFonts w:hint="eastAsia" w:ascii="仿宋" w:hAnsi="仿宋" w:eastAsia="仿宋" w:cs="仿宋"/>
          <w:sz w:val="32"/>
          <w:szCs w:val="32"/>
        </w:rPr>
      </w:pPr>
      <w:r>
        <w:rPr>
          <w:rFonts w:hint="eastAsia" w:ascii="仿宋" w:hAnsi="仿宋" w:eastAsia="仿宋" w:cs="仿宋"/>
          <w:sz w:val="32"/>
          <w:szCs w:val="32"/>
        </w:rPr>
        <w:t>附件</w:t>
      </w:r>
    </w:p>
    <w:p w14:paraId="363C94C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3FB08DB8">
      <w:pPr>
        <w:spacing w:line="360" w:lineRule="auto"/>
        <w:jc w:val="center"/>
        <w:rPr>
          <w:rFonts w:hint="eastAsia" w:ascii="仿宋" w:hAnsi="仿宋" w:eastAsia="仿宋" w:cs="仿宋"/>
          <w:b/>
          <w:spacing w:val="6"/>
          <w:sz w:val="32"/>
          <w:szCs w:val="32"/>
        </w:rPr>
      </w:pPr>
      <w:bookmarkStart w:id="495" w:name="OLE_LINK13"/>
      <w:bookmarkStart w:id="496" w:name="OLE_LINK14"/>
      <w:r>
        <w:rPr>
          <w:rFonts w:hint="eastAsia" w:ascii="仿宋" w:hAnsi="仿宋" w:eastAsia="仿宋" w:cs="仿宋"/>
          <w:b/>
          <w:spacing w:val="6"/>
          <w:sz w:val="32"/>
          <w:szCs w:val="32"/>
        </w:rPr>
        <w:t>残疾人福利性单位声明函</w:t>
      </w:r>
    </w:p>
    <w:bookmarkEnd w:id="495"/>
    <w:bookmarkEnd w:id="496"/>
    <w:p w14:paraId="71F9447A">
      <w:pPr>
        <w:spacing w:line="360" w:lineRule="auto"/>
        <w:rPr>
          <w:rFonts w:hint="eastAsia" w:ascii="仿宋" w:hAnsi="仿宋" w:eastAsia="仿宋" w:cs="仿宋"/>
          <w:b/>
          <w:spacing w:val="6"/>
          <w:sz w:val="30"/>
          <w:szCs w:val="30"/>
        </w:rPr>
      </w:pPr>
    </w:p>
    <w:p w14:paraId="56DF87D0">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（项目名称）</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14:paraId="3CB25C44">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07870945">
      <w:pPr>
        <w:spacing w:line="360" w:lineRule="auto"/>
        <w:ind w:firstLine="480" w:firstLineChars="200"/>
        <w:rPr>
          <w:rFonts w:hint="eastAsia" w:ascii="仿宋" w:hAnsi="仿宋" w:eastAsia="仿宋" w:cs="仿宋"/>
          <w:sz w:val="24"/>
        </w:rPr>
      </w:pPr>
    </w:p>
    <w:p w14:paraId="7E5B3AAE">
      <w:pPr>
        <w:spacing w:line="360" w:lineRule="auto"/>
        <w:ind w:firstLine="480" w:firstLineChars="200"/>
        <w:rPr>
          <w:rFonts w:hint="eastAsia" w:ascii="仿宋" w:hAnsi="仿宋" w:eastAsia="仿宋" w:cs="仿宋"/>
          <w:sz w:val="24"/>
        </w:rPr>
      </w:pPr>
    </w:p>
    <w:p w14:paraId="563D4E9D">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168F21BA">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04A30275">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6E77B4E0">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780E40E2">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6A7E166">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18970AF6">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E28EA5D">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9206981">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3DC3A539">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C1DC2A2">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308B79B">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2A409B06">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7C50AE45">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346D99E">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E1E525F">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666063FC">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644AC622">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2AF57384">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3A2AAF3">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61FE4B24">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79FD33A">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D6CD6A3">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6332BB64">
      <w:pPr>
        <w:snapToGrid w:val="0"/>
        <w:spacing w:line="360" w:lineRule="auto"/>
        <w:rPr>
          <w:rFonts w:hint="eastAsia" w:ascii="仿宋" w:hAnsi="仿宋" w:eastAsia="仿宋" w:cs="仿宋"/>
          <w:sz w:val="24"/>
        </w:rPr>
      </w:pPr>
      <w:r>
        <w:rPr>
          <w:rFonts w:hint="eastAsia" w:ascii="仿宋" w:hAnsi="仿宋" w:eastAsia="仿宋" w:cs="仿宋"/>
          <w:sz w:val="24"/>
        </w:rPr>
        <w:t>……</w:t>
      </w:r>
    </w:p>
    <w:p w14:paraId="39905749">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26B307FB">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1E09BD5F">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25E21CAE">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45C514D">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5D0AE0C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76FF14D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1F8A68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28FCB82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02DAEC5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0C7FCBD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B4A6703">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156C281F">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3CD3906B">
      <w:pPr>
        <w:spacing w:line="360" w:lineRule="auto"/>
        <w:jc w:val="center"/>
        <w:rPr>
          <w:rFonts w:hint="eastAsia" w:ascii="仿宋" w:hAnsi="仿宋" w:eastAsia="仿宋" w:cs="仿宋"/>
          <w:b/>
          <w:sz w:val="24"/>
        </w:rPr>
      </w:pPr>
    </w:p>
    <w:p w14:paraId="0014B02E">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3B42B73">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4271B5EF">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1EF7B620">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F307D7A">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32B6F0D">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644107F">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8FA6DF5">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66E423F1">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F9DA52F">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ADD1217">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85652B2">
      <w:pPr>
        <w:spacing w:line="360" w:lineRule="auto"/>
        <w:rPr>
          <w:rFonts w:hint="eastAsia" w:ascii="仿宋" w:hAnsi="仿宋" w:eastAsia="仿宋" w:cs="仿宋"/>
          <w:sz w:val="24"/>
        </w:rPr>
      </w:pPr>
      <w:r>
        <w:rPr>
          <w:rFonts w:hint="eastAsia" w:ascii="仿宋" w:hAnsi="仿宋" w:eastAsia="仿宋" w:cs="仿宋"/>
          <w:sz w:val="24"/>
        </w:rPr>
        <w:t>被投诉人2</w:t>
      </w:r>
    </w:p>
    <w:p w14:paraId="43FFAF75">
      <w:pPr>
        <w:spacing w:line="360" w:lineRule="auto"/>
        <w:rPr>
          <w:rFonts w:hint="eastAsia" w:ascii="仿宋" w:hAnsi="仿宋" w:eastAsia="仿宋" w:cs="仿宋"/>
          <w:sz w:val="24"/>
          <w:u w:val="dotted"/>
        </w:rPr>
      </w:pPr>
      <w:r>
        <w:rPr>
          <w:rFonts w:hint="eastAsia" w:ascii="仿宋" w:hAnsi="仿宋" w:eastAsia="仿宋" w:cs="仿宋"/>
          <w:sz w:val="24"/>
        </w:rPr>
        <w:t>……</w:t>
      </w:r>
    </w:p>
    <w:p w14:paraId="5F7AF905">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6128204">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CDFE678">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15470EE">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76B7FED4">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5B68B62F">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2A88065">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5087025">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4A5EC73D">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2EDC786">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DF2A171">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66BCEE7F">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F9D43B7">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26179DCC">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47CBA49B">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5329C04">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6ABB7DB">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923CE6B">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B18084D">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CACC422">
      <w:pPr>
        <w:spacing w:line="360" w:lineRule="auto"/>
        <w:rPr>
          <w:rFonts w:hint="eastAsia" w:ascii="仿宋" w:hAnsi="仿宋" w:eastAsia="仿宋" w:cs="仿宋"/>
          <w:sz w:val="24"/>
          <w:u w:val="dotted"/>
        </w:rPr>
      </w:pPr>
      <w:r>
        <w:rPr>
          <w:rFonts w:hint="eastAsia" w:ascii="仿宋" w:hAnsi="仿宋" w:eastAsia="仿宋" w:cs="仿宋"/>
          <w:sz w:val="24"/>
        </w:rPr>
        <w:t>投诉事项2</w:t>
      </w:r>
      <w:r>
        <w:rPr>
          <w:rFonts w:hint="eastAsia" w:ascii="仿宋" w:hAnsi="仿宋" w:eastAsia="仿宋" w:cs="仿宋"/>
          <w:sz w:val="24"/>
          <w:lang w:eastAsia="zh-CN"/>
        </w:rPr>
        <w:t>：</w:t>
      </w:r>
      <w:r>
        <w:rPr>
          <w:rFonts w:hint="eastAsia" w:ascii="仿宋" w:hAnsi="仿宋" w:eastAsia="仿宋" w:cs="仿宋"/>
          <w:sz w:val="24"/>
        </w:rPr>
        <w:t>……</w:t>
      </w:r>
    </w:p>
    <w:p w14:paraId="2CFD8185">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6F8C3648">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465132A">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58DFB31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BDB72EE">
      <w:pPr>
        <w:spacing w:line="360" w:lineRule="auto"/>
        <w:rPr>
          <w:rFonts w:hint="eastAsia" w:ascii="仿宋" w:hAnsi="仿宋" w:eastAsia="仿宋" w:cs="仿宋"/>
          <w:b/>
          <w:sz w:val="24"/>
        </w:rPr>
      </w:pPr>
      <w:r>
        <w:rPr>
          <w:rFonts w:hint="eastAsia" w:ascii="仿宋" w:hAnsi="仿宋" w:eastAsia="仿宋" w:cs="仿宋"/>
          <w:sz w:val="24"/>
        </w:rPr>
        <w:t xml:space="preserve">日期：    </w:t>
      </w:r>
    </w:p>
    <w:p w14:paraId="49EA1514">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0F52687E">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3C8C18E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B61BF1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4F19CE9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731CA47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1BC91C9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3F326D9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35CC0E85">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7C2C2121">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2180B2F0">
      <w:pPr>
        <w:spacing w:line="360" w:lineRule="auto"/>
        <w:rPr>
          <w:rFonts w:hint="eastAsia" w:ascii="仿宋" w:hAnsi="仿宋" w:eastAsia="仿宋" w:cs="仿宋"/>
          <w:sz w:val="24"/>
          <w:u w:val="single"/>
        </w:rPr>
      </w:pPr>
    </w:p>
    <w:p w14:paraId="2A228F2A">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14:paraId="578A49B7">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0ECAF318">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1D32EB9F">
      <w:pPr>
        <w:spacing w:line="360" w:lineRule="auto"/>
        <w:ind w:firstLine="494"/>
        <w:rPr>
          <w:rFonts w:hint="eastAsia" w:ascii="仿宋" w:hAnsi="仿宋" w:eastAsia="仿宋" w:cs="仿宋"/>
          <w:sz w:val="24"/>
        </w:rPr>
      </w:pPr>
    </w:p>
    <w:p w14:paraId="1AF51EAB">
      <w:pPr>
        <w:spacing w:line="360" w:lineRule="auto"/>
        <w:ind w:firstLine="494"/>
        <w:rPr>
          <w:rFonts w:hint="eastAsia" w:ascii="仿宋" w:hAnsi="仿宋" w:eastAsia="仿宋" w:cs="仿宋"/>
          <w:sz w:val="24"/>
        </w:rPr>
      </w:pPr>
    </w:p>
    <w:p w14:paraId="4A2C2EC5">
      <w:pPr>
        <w:spacing w:line="360" w:lineRule="auto"/>
        <w:rPr>
          <w:rFonts w:hint="eastAsia" w:ascii="仿宋" w:hAnsi="仿宋" w:eastAsia="仿宋" w:cs="仿宋"/>
          <w:sz w:val="24"/>
        </w:rPr>
      </w:pPr>
    </w:p>
    <w:p w14:paraId="65DDE68F">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7BFC78AE">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1BA00366">
      <w:pPr>
        <w:rPr>
          <w:rFonts w:hint="eastAsia" w:ascii="仿宋" w:hAnsi="仿宋" w:eastAsia="仿宋" w:cs="仿宋"/>
          <w:sz w:val="24"/>
        </w:rPr>
      </w:pPr>
      <w:r>
        <w:rPr>
          <w:rFonts w:hint="eastAsia" w:ascii="仿宋" w:hAnsi="仿宋" w:eastAsia="仿宋" w:cs="仿宋"/>
          <w:b/>
          <w:bCs/>
          <w:sz w:val="24"/>
        </w:rPr>
        <w:t>附：</w:t>
      </w:r>
    </w:p>
    <w:p w14:paraId="54E39697">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2A958E39">
      <w:pPr>
        <w:autoSpaceDE w:val="0"/>
        <w:autoSpaceDN w:val="0"/>
        <w:jc w:val="center"/>
        <w:rPr>
          <w:rFonts w:hint="eastAsia" w:ascii="仿宋" w:hAnsi="仿宋" w:eastAsia="仿宋" w:cs="仿宋"/>
          <w:b/>
          <w:spacing w:val="6"/>
          <w:sz w:val="32"/>
          <w:szCs w:val="32"/>
        </w:rPr>
      </w:pPr>
    </w:p>
    <w:p w14:paraId="078AA34E">
      <w:pPr>
        <w:autoSpaceDE w:val="0"/>
        <w:autoSpaceDN w:val="0"/>
        <w:jc w:val="center"/>
        <w:rPr>
          <w:rFonts w:hint="eastAsia" w:ascii="仿宋" w:hAnsi="仿宋" w:eastAsia="仿宋" w:cs="仿宋"/>
          <w:b/>
          <w:spacing w:val="6"/>
          <w:sz w:val="32"/>
          <w:szCs w:val="32"/>
        </w:rPr>
      </w:pPr>
    </w:p>
    <w:p w14:paraId="50DA996E">
      <w:pPr>
        <w:autoSpaceDE w:val="0"/>
        <w:autoSpaceDN w:val="0"/>
        <w:jc w:val="center"/>
        <w:rPr>
          <w:rFonts w:hint="eastAsia" w:ascii="仿宋" w:hAnsi="仿宋" w:eastAsia="仿宋" w:cs="仿宋"/>
          <w:b/>
          <w:spacing w:val="6"/>
          <w:sz w:val="32"/>
          <w:szCs w:val="32"/>
        </w:rPr>
      </w:pPr>
    </w:p>
    <w:p w14:paraId="0C27C60F">
      <w:pPr>
        <w:autoSpaceDE w:val="0"/>
        <w:autoSpaceDN w:val="0"/>
        <w:jc w:val="center"/>
        <w:rPr>
          <w:rFonts w:hint="eastAsia" w:ascii="仿宋" w:hAnsi="仿宋" w:eastAsia="仿宋" w:cs="仿宋"/>
          <w:b/>
          <w:spacing w:val="6"/>
          <w:sz w:val="32"/>
          <w:szCs w:val="32"/>
        </w:rPr>
      </w:pPr>
    </w:p>
    <w:p w14:paraId="0C0EA769">
      <w:pPr>
        <w:autoSpaceDE w:val="0"/>
        <w:autoSpaceDN w:val="0"/>
        <w:jc w:val="center"/>
        <w:rPr>
          <w:rFonts w:hint="eastAsia" w:ascii="仿宋" w:hAnsi="仿宋" w:eastAsia="仿宋" w:cs="仿宋"/>
          <w:b/>
          <w:spacing w:val="6"/>
          <w:sz w:val="32"/>
          <w:szCs w:val="32"/>
        </w:rPr>
      </w:pPr>
    </w:p>
    <w:p w14:paraId="0EB02722">
      <w:pPr>
        <w:autoSpaceDE w:val="0"/>
        <w:autoSpaceDN w:val="0"/>
        <w:jc w:val="center"/>
        <w:rPr>
          <w:rFonts w:hint="eastAsia" w:ascii="仿宋" w:hAnsi="仿宋" w:eastAsia="仿宋" w:cs="仿宋"/>
          <w:b/>
          <w:spacing w:val="6"/>
          <w:sz w:val="32"/>
          <w:szCs w:val="32"/>
        </w:rPr>
      </w:pPr>
    </w:p>
    <w:p w14:paraId="4B9D245B">
      <w:pPr>
        <w:autoSpaceDE w:val="0"/>
        <w:autoSpaceDN w:val="0"/>
        <w:jc w:val="center"/>
        <w:rPr>
          <w:rFonts w:hint="eastAsia" w:ascii="仿宋" w:hAnsi="仿宋" w:eastAsia="仿宋" w:cs="仿宋"/>
          <w:b/>
          <w:spacing w:val="6"/>
          <w:sz w:val="32"/>
          <w:szCs w:val="32"/>
        </w:rPr>
      </w:pPr>
    </w:p>
    <w:p w14:paraId="6A3C2737">
      <w:pPr>
        <w:autoSpaceDE w:val="0"/>
        <w:autoSpaceDN w:val="0"/>
        <w:jc w:val="center"/>
        <w:rPr>
          <w:rFonts w:hint="eastAsia" w:ascii="仿宋" w:hAnsi="仿宋" w:eastAsia="仿宋" w:cs="仿宋"/>
          <w:b/>
          <w:spacing w:val="6"/>
          <w:sz w:val="32"/>
          <w:szCs w:val="32"/>
        </w:rPr>
      </w:pPr>
    </w:p>
    <w:p w14:paraId="700DC7F8">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25835FF4">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3016BBD4">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22C3E2D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4BC3428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0349AD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1FA1F4F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65A6705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49467B9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F64BD4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2AA0109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23508377">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497" w:name="_Hlk101131882"/>
      <w:r>
        <w:rPr>
          <w:rFonts w:hint="eastAsia" w:ascii="仿宋" w:hAnsi="仿宋" w:eastAsia="仿宋" w:cs="仿宋"/>
          <w:kern w:val="0"/>
          <w:sz w:val="24"/>
          <w:u w:val="single"/>
        </w:rPr>
        <w:t>联合体成员X,……</w:t>
      </w:r>
      <w:bookmarkEnd w:id="497"/>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498"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498"/>
      <w:r>
        <w:rPr>
          <w:rFonts w:hint="eastAsia" w:ascii="仿宋" w:hAnsi="仿宋" w:eastAsia="仿宋" w:cs="仿宋"/>
          <w:b/>
          <w:kern w:val="0"/>
          <w:sz w:val="24"/>
          <w:lang w:val="zh-CN"/>
        </w:rPr>
        <w:t>）</w:t>
      </w:r>
    </w:p>
    <w:p w14:paraId="1FF3B401">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499"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499"/>
    </w:p>
    <w:p w14:paraId="13CF835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061B953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A93A28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30350B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635200E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74896EF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106E206">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C21469F">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632C8606">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6276E9B9">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95F3976">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6E5DC0CB">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28999355">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1A3E1F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22355AE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316995D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3AED3C1">
      <w:pPr>
        <w:pStyle w:val="2"/>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14:paraId="2E697C5B">
      <w:pPr>
        <w:rPr>
          <w:rFonts w:hint="eastAsia" w:ascii="仿宋" w:hAnsi="仿宋" w:eastAsia="仿宋" w:cs="仿宋"/>
        </w:rPr>
      </w:pPr>
      <w:r>
        <w:rPr>
          <w:rFonts w:hint="eastAsia" w:ascii="仿宋" w:hAnsi="仿宋" w:eastAsia="仿宋" w:cs="仿宋"/>
          <w:lang w:val="zh-CN"/>
        </w:rPr>
        <w:t xml:space="preserve"> </w:t>
      </w:r>
    </w:p>
    <w:p w14:paraId="3E73899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533F24FF">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1F92D881">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6405F8D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608338B3">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763A3C7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5B23FDB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28A1B3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265C6E0A">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7C72ED19">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12C1778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36B457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5E8C2EE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5C9BEE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14:paraId="56B67EA6">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19BEAA4F">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5A42F3A1">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3E23849">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CB08141">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8BB2109">
      <w:pPr>
        <w:rPr>
          <w:rFonts w:hint="eastAsia" w:ascii="仿宋" w:hAnsi="仿宋" w:eastAsia="仿宋" w:cs="仿宋"/>
          <w:b/>
          <w:sz w:val="36"/>
          <w:szCs w:val="20"/>
        </w:rPr>
      </w:pPr>
      <w:r>
        <w:rPr>
          <w:rFonts w:hint="eastAsia" w:ascii="仿宋" w:hAnsi="仿宋" w:eastAsia="仿宋" w:cs="仿宋"/>
          <w:b/>
          <w:sz w:val="36"/>
          <w:szCs w:val="20"/>
        </w:rPr>
        <w:br w:type="page"/>
      </w:r>
    </w:p>
    <w:p w14:paraId="27A4D138">
      <w:pPr>
        <w:spacing w:line="360" w:lineRule="auto"/>
        <w:jc w:val="left"/>
        <w:outlineLvl w:val="0"/>
        <w:rPr>
          <w:rFonts w:hint="eastAsia" w:ascii="仿宋" w:hAnsi="仿宋" w:eastAsia="仿宋" w:cs="仿宋"/>
          <w:b/>
          <w:sz w:val="32"/>
          <w:szCs w:val="18"/>
        </w:rPr>
      </w:pPr>
      <w:r>
        <w:rPr>
          <w:rFonts w:hint="eastAsia" w:ascii="仿宋" w:hAnsi="仿宋" w:eastAsia="仿宋" w:cs="仿宋"/>
          <w:b/>
          <w:sz w:val="32"/>
          <w:szCs w:val="18"/>
        </w:rPr>
        <w:t>附件7：中小企业声明函</w:t>
      </w:r>
    </w:p>
    <w:p w14:paraId="324ED0BD">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7AB5DB55">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14:paraId="533BF2DF">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1D1F456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0DCC2B1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2D22F297">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59808ED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70E6909">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70D2C2FA">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44D8C595">
      <w:pPr>
        <w:spacing w:line="360" w:lineRule="auto"/>
        <w:jc w:val="lef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从业人员、营业收入、资产总额填报上一年度数据</w:t>
      </w:r>
      <w:r>
        <w:rPr>
          <w:rFonts w:hint="eastAsia" w:ascii="仿宋" w:hAnsi="仿宋" w:eastAsia="仿宋" w:cs="仿宋"/>
          <w:color w:val="auto"/>
          <w:sz w:val="18"/>
          <w:szCs w:val="18"/>
          <w:lang w:eastAsia="zh-CN"/>
        </w:rPr>
        <w:t>。</w:t>
      </w:r>
    </w:p>
    <w:p w14:paraId="37EB0381">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注：</w:t>
      </w:r>
    </w:p>
    <w:p w14:paraId="4F0B963C">
      <w:pPr>
        <w:numPr>
          <w:ilvl w:val="0"/>
          <w:numId w:val="10"/>
        </w:numPr>
        <w:spacing w:line="360" w:lineRule="auto"/>
        <w:ind w:right="420" w:firstLine="480" w:firstLineChars="200"/>
        <w:rPr>
          <w:rFonts w:hint="eastAsia" w:ascii="仿宋" w:hAnsi="仿宋" w:eastAsia="仿宋" w:cs="仿宋"/>
          <w:b/>
          <w:bCs/>
          <w:color w:val="auto"/>
          <w:sz w:val="24"/>
          <w:shd w:val="clear" w:color="auto" w:fill="auto"/>
          <w:lang w:eastAsia="zh-CN"/>
        </w:rPr>
      </w:pPr>
      <w:r>
        <w:rPr>
          <w:rFonts w:hint="eastAsia" w:ascii="仿宋" w:hAnsi="仿宋" w:eastAsia="仿宋" w:cs="仿宋"/>
          <w:color w:val="auto"/>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仿宋" w:hAnsi="仿宋" w:eastAsia="仿宋" w:cs="仿宋"/>
          <w:color w:val="FF0000"/>
          <w:sz w:val="24"/>
        </w:rPr>
        <w:t>④企业类型填写错误的，声明函无效</w:t>
      </w:r>
      <w:r>
        <w:rPr>
          <w:rFonts w:hint="eastAsia" w:ascii="仿宋" w:hAnsi="仿宋" w:eastAsia="仿宋" w:cs="仿宋"/>
          <w:color w:val="FF0000"/>
          <w:sz w:val="24"/>
          <w:lang w:eastAsia="zh-CN"/>
        </w:rPr>
        <w:t>。</w:t>
      </w:r>
    </w:p>
    <w:p w14:paraId="2DC8BFE5">
      <w:pPr>
        <w:rPr>
          <w:rFonts w:hint="eastAsia" w:ascii="仿宋" w:hAnsi="仿宋" w:eastAsia="仿宋" w:cs="仿宋"/>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仿宋" w:hAnsi="仿宋" w:eastAsia="仿宋" w:cs="仿宋"/>
        </w:rPr>
        <w:br w:type="page"/>
      </w:r>
    </w:p>
    <w:p w14:paraId="117F5B85">
      <w:pPr>
        <w:pStyle w:val="2"/>
        <w:rPr>
          <w:rFonts w:hint="eastAsia" w:ascii="仿宋" w:hAnsi="仿宋" w:eastAsia="仿宋" w:cs="仿宋"/>
          <w:sz w:val="24"/>
        </w:rPr>
      </w:pPr>
      <w:r>
        <w:rPr>
          <w:rFonts w:hint="eastAsia" w:ascii="仿宋" w:hAnsi="仿宋" w:eastAsia="仿宋" w:cs="仿宋"/>
        </w:rPr>
        <w:t>附件</w:t>
      </w:r>
      <w:r>
        <w:rPr>
          <w:rFonts w:hint="eastAsia" w:ascii="仿宋" w:hAnsi="仿宋" w:eastAsia="仿宋" w:cs="仿宋"/>
          <w:lang w:val="en-US"/>
        </w:rPr>
        <w:t>8</w:t>
      </w:r>
      <w:r>
        <w:rPr>
          <w:rFonts w:hint="eastAsia" w:ascii="仿宋" w:hAnsi="仿宋" w:eastAsia="仿宋" w:cs="仿宋"/>
        </w:rPr>
        <w:t>样品（演示）授权委托书</w:t>
      </w:r>
    </w:p>
    <w:p w14:paraId="6D55B740">
      <w:pPr>
        <w:jc w:val="center"/>
        <w:rPr>
          <w:rFonts w:hint="eastAsia" w:ascii="仿宋" w:hAnsi="仿宋" w:eastAsia="仿宋" w:cs="仿宋"/>
          <w:sz w:val="40"/>
        </w:rPr>
      </w:pPr>
      <w:r>
        <w:rPr>
          <w:rFonts w:hint="eastAsia" w:ascii="仿宋" w:hAnsi="仿宋" w:eastAsia="仿宋" w:cs="仿宋"/>
          <w:sz w:val="40"/>
        </w:rPr>
        <w:t>样品（演示）授权委托书</w:t>
      </w:r>
    </w:p>
    <w:p w14:paraId="33E3E159">
      <w:pPr>
        <w:jc w:val="center"/>
        <w:rPr>
          <w:rFonts w:hint="eastAsia" w:ascii="仿宋" w:hAnsi="仿宋" w:eastAsia="仿宋" w:cs="仿宋"/>
          <w:sz w:val="40"/>
        </w:rPr>
      </w:pPr>
    </w:p>
    <w:p w14:paraId="2E4AF7FC">
      <w:pPr>
        <w:snapToGrid w:val="0"/>
        <w:spacing w:line="360" w:lineRule="auto"/>
        <w:rPr>
          <w:rFonts w:hint="eastAsia" w:ascii="仿宋" w:hAnsi="仿宋" w:eastAsia="仿宋" w:cs="仿宋"/>
        </w:rPr>
      </w:pPr>
      <w:r>
        <w:rPr>
          <w:rFonts w:hint="eastAsia" w:ascii="仿宋" w:hAnsi="仿宋" w:eastAsia="仿宋" w:cs="仿宋"/>
        </w:rPr>
        <w:t>XXX（单位名称或采购机构名称）</w:t>
      </w:r>
      <w:r>
        <w:rPr>
          <w:rFonts w:hint="eastAsia" w:ascii="仿宋" w:hAnsi="仿宋" w:eastAsia="仿宋" w:cs="仿宋"/>
          <w:lang w:val="zh-CN"/>
        </w:rPr>
        <w:t>：</w:t>
      </w:r>
    </w:p>
    <w:p w14:paraId="1C29CAC9">
      <w:pPr>
        <w:snapToGrid w:val="0"/>
        <w:spacing w:line="360" w:lineRule="auto"/>
        <w:ind w:left="254" w:leftChars="121" w:firstLine="420" w:firstLineChars="200"/>
        <w:rPr>
          <w:rFonts w:hint="eastAsia" w:ascii="仿宋" w:hAnsi="仿宋" w:eastAsia="仿宋" w:cs="仿宋"/>
          <w:u w:val="single"/>
          <w:lang w:val="zh-CN"/>
        </w:rPr>
      </w:pPr>
      <w:r>
        <w:rPr>
          <w:rFonts w:hint="eastAsia" w:ascii="仿宋" w:hAnsi="仿宋" w:eastAsia="仿宋" w:cs="仿宋"/>
          <w:lang w:val="zh-CN"/>
        </w:rPr>
        <w:t>兹委派</w:t>
      </w:r>
      <w:r>
        <w:rPr>
          <w:rFonts w:hint="eastAsia" w:ascii="仿宋" w:hAnsi="仿宋" w:eastAsia="仿宋" w:cs="仿宋"/>
          <w:u w:val="single"/>
          <w:lang w:val="zh-CN"/>
        </w:rPr>
        <w:t xml:space="preserve">                </w:t>
      </w:r>
      <w:r>
        <w:rPr>
          <w:rFonts w:hint="eastAsia" w:ascii="仿宋" w:hAnsi="仿宋" w:eastAsia="仿宋" w:cs="仿宋"/>
          <w:lang w:val="zh-CN"/>
        </w:rPr>
        <w:t>先生/女士，身份证号：</w:t>
      </w:r>
      <w:r>
        <w:rPr>
          <w:rFonts w:hint="eastAsia" w:ascii="仿宋" w:hAnsi="仿宋" w:eastAsia="仿宋" w:cs="仿宋"/>
          <w:u w:val="single"/>
          <w:lang w:val="zh-CN"/>
        </w:rPr>
        <w:t xml:space="preserve">                   </w:t>
      </w:r>
    </w:p>
    <w:p w14:paraId="3A6434E3">
      <w:pPr>
        <w:snapToGrid w:val="0"/>
        <w:spacing w:line="360" w:lineRule="auto"/>
        <w:ind w:left="254" w:leftChars="121" w:firstLine="420" w:firstLineChars="200"/>
        <w:rPr>
          <w:rFonts w:hint="eastAsia" w:ascii="仿宋" w:hAnsi="仿宋" w:eastAsia="仿宋" w:cs="仿宋"/>
        </w:rPr>
      </w:pPr>
      <w:r>
        <w:rPr>
          <w:rFonts w:hint="eastAsia" w:ascii="仿宋" w:hAnsi="仿宋" w:eastAsia="仿宋" w:cs="仿宋"/>
          <w:lang w:val="zh-CN"/>
        </w:rPr>
        <w:t>手机：</w:t>
      </w:r>
      <w:r>
        <w:rPr>
          <w:rFonts w:hint="eastAsia" w:ascii="仿宋" w:hAnsi="仿宋" w:eastAsia="仿宋" w:cs="仿宋"/>
          <w:u w:val="single"/>
          <w:lang w:val="zh-CN"/>
        </w:rPr>
        <w:t xml:space="preserve">             </w:t>
      </w:r>
      <w:r>
        <w:rPr>
          <w:rFonts w:hint="eastAsia" w:ascii="仿宋" w:hAnsi="仿宋" w:eastAsia="仿宋" w:cs="仿宋"/>
          <w:lang w:val="zh-CN"/>
        </w:rPr>
        <w:t>，代表我公司前来递交</w:t>
      </w:r>
      <w:r>
        <w:rPr>
          <w:rFonts w:hint="eastAsia" w:ascii="仿宋" w:hAnsi="仿宋" w:eastAsia="仿宋" w:cs="仿宋"/>
          <w:u w:val="single"/>
          <w:lang w:val="zh-CN"/>
        </w:rPr>
        <w:t xml:space="preserve">                           采购项目</w:t>
      </w:r>
      <w:r>
        <w:rPr>
          <w:rFonts w:hint="eastAsia" w:ascii="仿宋" w:hAnsi="仿宋" w:eastAsia="仿宋" w:cs="仿宋"/>
          <w:lang w:val="zh-CN"/>
        </w:rPr>
        <w:t>【项目编号：              】（标项号：  ）投标样品或参加演示，并全权负责标后取回样品等其他处理事宜。</w:t>
      </w:r>
    </w:p>
    <w:p w14:paraId="5E19A32C">
      <w:pPr>
        <w:snapToGrid w:val="0"/>
        <w:spacing w:line="360" w:lineRule="auto"/>
        <w:rPr>
          <w:rFonts w:hint="eastAsia" w:ascii="仿宋" w:hAnsi="仿宋" w:eastAsia="仿宋" w:cs="仿宋"/>
          <w:lang w:val="zh-CN"/>
        </w:rPr>
      </w:pPr>
      <w:r>
        <w:rPr>
          <w:rFonts w:hint="eastAsia" w:ascii="仿宋" w:hAnsi="仿宋" w:eastAsia="仿宋" w:cs="仿宋"/>
          <w:lang w:val="zh-CN"/>
        </w:rPr>
        <w:t xml:space="preserve">  </w:t>
      </w:r>
    </w:p>
    <w:p w14:paraId="4A321DCE">
      <w:pPr>
        <w:snapToGrid w:val="0"/>
        <w:spacing w:line="360" w:lineRule="auto"/>
        <w:rPr>
          <w:rFonts w:hint="eastAsia" w:ascii="仿宋" w:hAnsi="仿宋" w:eastAsia="仿宋" w:cs="仿宋"/>
        </w:rPr>
      </w:pPr>
      <w:r>
        <w:rPr>
          <w:rFonts w:hint="eastAsia" w:ascii="仿宋" w:hAnsi="仿宋" w:eastAsia="仿宋" w:cs="仿宋"/>
          <w:lang w:val="zh-CN"/>
        </w:rPr>
        <w:t xml:space="preserve">    特此告知。</w:t>
      </w:r>
    </w:p>
    <w:p w14:paraId="4FAEC412">
      <w:pPr>
        <w:snapToGrid w:val="0"/>
        <w:spacing w:line="360" w:lineRule="auto"/>
        <w:rPr>
          <w:rFonts w:hint="eastAsia" w:ascii="仿宋" w:hAnsi="仿宋" w:eastAsia="仿宋" w:cs="仿宋"/>
        </w:rPr>
      </w:pPr>
      <w:r>
        <w:rPr>
          <w:rFonts w:hint="eastAsia" w:ascii="仿宋" w:hAnsi="仿宋" w:eastAsia="仿宋" w:cs="仿宋"/>
          <w:lang w:val="zh-CN"/>
        </w:rPr>
        <w:t xml:space="preserve">                                                  投标人名称(公章)：</w:t>
      </w:r>
    </w:p>
    <w:p w14:paraId="089B0B17">
      <w:pPr>
        <w:snapToGrid w:val="0"/>
        <w:spacing w:line="360" w:lineRule="auto"/>
        <w:rPr>
          <w:rFonts w:hint="eastAsia" w:ascii="仿宋" w:hAnsi="仿宋" w:eastAsia="仿宋" w:cs="仿宋"/>
        </w:rPr>
      </w:pPr>
      <w:r>
        <w:rPr>
          <w:rFonts w:hint="eastAsia" w:ascii="仿宋" w:hAnsi="仿宋" w:eastAsia="仿宋" w:cs="仿宋"/>
          <w:lang w:val="zh-CN"/>
        </w:rPr>
        <w:t xml:space="preserve">                                                  </w:t>
      </w:r>
    </w:p>
    <w:p w14:paraId="46A20F96">
      <w:pPr>
        <w:snapToGrid w:val="0"/>
        <w:spacing w:line="360" w:lineRule="auto"/>
        <w:ind w:right="240"/>
        <w:jc w:val="right"/>
        <w:rPr>
          <w:rFonts w:hint="eastAsia" w:ascii="仿宋" w:hAnsi="仿宋" w:eastAsia="仿宋" w:cs="仿宋"/>
          <w:lang w:val="zh-CN"/>
        </w:rPr>
      </w:pPr>
      <w:r>
        <w:rPr>
          <w:rFonts w:hint="eastAsia" w:ascii="仿宋" w:hAnsi="仿宋" w:eastAsia="仿宋" w:cs="仿宋"/>
          <w:lang w:val="zh-CN"/>
        </w:rPr>
        <w:t>签发日期：  年  月   日</w:t>
      </w:r>
    </w:p>
    <w:p w14:paraId="3CED54BF">
      <w:pPr>
        <w:snapToGrid w:val="0"/>
        <w:spacing w:line="360" w:lineRule="auto"/>
        <w:ind w:right="240"/>
        <w:jc w:val="right"/>
        <w:rPr>
          <w:rFonts w:hint="eastAsia" w:ascii="仿宋" w:hAnsi="仿宋" w:eastAsia="仿宋" w:cs="仿宋"/>
          <w:lang w:val="zh-CN"/>
        </w:rPr>
      </w:pPr>
    </w:p>
    <w:p w14:paraId="545A5658">
      <w:pPr>
        <w:snapToGrid w:val="0"/>
        <w:spacing w:line="360" w:lineRule="auto"/>
        <w:ind w:right="1920"/>
        <w:rPr>
          <w:rFonts w:hint="eastAsia" w:ascii="仿宋" w:hAnsi="仿宋" w:eastAsia="仿宋" w:cs="仿宋"/>
          <w:lang w:val="zh-CN"/>
        </w:rPr>
      </w:pPr>
    </w:p>
    <w:p w14:paraId="2051BA26">
      <w:pPr>
        <w:snapToGrid w:val="0"/>
        <w:spacing w:line="360" w:lineRule="auto"/>
        <w:ind w:right="240"/>
        <w:jc w:val="right"/>
        <w:rPr>
          <w:rFonts w:hint="eastAsia" w:ascii="仿宋" w:hAnsi="仿宋" w:eastAsia="仿宋" w:cs="仿宋"/>
          <w:lang w:val="zh-CN"/>
        </w:rPr>
      </w:pPr>
    </w:p>
    <w:p w14:paraId="26E6C910">
      <w:pPr>
        <w:snapToGrid w:val="0"/>
        <w:spacing w:line="360" w:lineRule="auto"/>
        <w:ind w:right="240"/>
        <w:rPr>
          <w:rFonts w:hint="eastAsia" w:ascii="仿宋" w:hAnsi="仿宋" w:eastAsia="仿宋" w:cs="仿宋"/>
          <w:lang w:val="zh-CN"/>
        </w:rPr>
      </w:pPr>
      <w:r>
        <w:rPr>
          <w:rFonts w:hint="eastAsia" w:ascii="仿宋" w:hAnsi="仿宋" w:eastAsia="仿宋" w:cs="仿宋"/>
        </w:rPr>
        <w:t>受委托人</w:t>
      </w:r>
      <w:r>
        <w:rPr>
          <w:rFonts w:hint="eastAsia" w:ascii="仿宋" w:hAnsi="仿宋" w:eastAsia="仿宋" w:cs="仿宋"/>
          <w:lang w:val="zh-CN"/>
        </w:rPr>
        <w:t>身份证复印件：</w:t>
      </w:r>
    </w:p>
    <w:p w14:paraId="67D90C60">
      <w:pPr>
        <w:snapToGrid w:val="0"/>
        <w:spacing w:line="360" w:lineRule="auto"/>
        <w:ind w:right="240"/>
        <w:rPr>
          <w:rFonts w:hint="eastAsia" w:ascii="仿宋" w:hAnsi="仿宋" w:eastAsia="仿宋" w:cs="仿宋"/>
          <w:lang w:val="zh-CN"/>
        </w:rPr>
      </w:pPr>
    </w:p>
    <w:p w14:paraId="1FC3D015">
      <w:pPr>
        <w:snapToGrid w:val="0"/>
        <w:spacing w:line="360" w:lineRule="auto"/>
        <w:ind w:right="240"/>
        <w:rPr>
          <w:rFonts w:hint="eastAsia" w:ascii="仿宋" w:hAnsi="仿宋" w:eastAsia="仿宋" w:cs="仿宋"/>
          <w:lang w:val="zh-CN"/>
        </w:rPr>
      </w:pPr>
      <w:r>
        <w:rPr>
          <w:rFonts w:hint="eastAsia" w:ascii="仿宋" w:hAnsi="仿宋" w:eastAsia="仿宋" w:cs="仿宋"/>
          <w:lang w:val="zh-CN"/>
        </w:rPr>
        <w:t>说明：本委托书在有样品或演示时由受委托人携带至指定地点。</w:t>
      </w:r>
    </w:p>
    <w:p w14:paraId="28C70E34">
      <w:pPr>
        <w:spacing w:line="360" w:lineRule="auto"/>
        <w:rPr>
          <w:rFonts w:hint="eastAsia" w:ascii="仿宋" w:hAnsi="仿宋" w:eastAsia="仿宋" w:cs="仿宋"/>
          <w:bCs/>
          <w:sz w:val="24"/>
        </w:rPr>
      </w:pPr>
      <w:r>
        <w:rPr>
          <w:rFonts w:hint="eastAsia" w:ascii="仿宋" w:hAnsi="仿宋" w:eastAsia="仿宋" w:cs="仿宋"/>
          <w:b/>
        </w:rPr>
        <w:t>同时有样品和演示的，可委托不同人员。</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0BE50">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28AED">
    <w:pPr>
      <w:pStyle w:val="39"/>
      <w:framePr w:wrap="around" w:vAnchor="text" w:hAnchor="margin" w:xAlign="right" w:y="1"/>
      <w:rPr>
        <w:rStyle w:val="72"/>
      </w:rPr>
    </w:pPr>
    <w:r>
      <w:fldChar w:fldCharType="begin"/>
    </w:r>
    <w:r>
      <w:rPr>
        <w:rStyle w:val="72"/>
      </w:rPr>
      <w:instrText xml:space="preserve">PAGE  </w:instrText>
    </w:r>
    <w:r>
      <w:fldChar w:fldCharType="end"/>
    </w:r>
  </w:p>
  <w:p w14:paraId="7A156A8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FE21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131845147"/>
    <w:bookmarkStart w:id="501" w:name="_Toc36110187"/>
    <w:bookmarkStart w:id="502" w:name="_Toc164085800"/>
    <w:bookmarkStart w:id="503" w:name="_Toc91899912"/>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D11A2">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208A3">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FF7EC6"/>
    <w:multiLevelType w:val="singleLevel"/>
    <w:tmpl w:val="57FF7EC6"/>
    <w:lvl w:ilvl="0" w:tentative="0">
      <w:start w:val="15"/>
      <w:numFmt w:val="decimal"/>
      <w:suff w:val="space"/>
      <w:lvlText w:val="%1."/>
      <w:lvlJc w:val="left"/>
    </w:lvl>
  </w:abstractNum>
  <w:abstractNum w:abstractNumId="9">
    <w:nsid w:val="75BE8EC7"/>
    <w:multiLevelType w:val="singleLevel"/>
    <w:tmpl w:val="75BE8EC7"/>
    <w:lvl w:ilvl="0" w:tentative="0">
      <w:start w:val="1"/>
      <w:numFmt w:val="decimal"/>
      <w:suff w:val="nothing"/>
      <w:lvlText w:val="%1、"/>
      <w:lvlJc w:val="left"/>
    </w:lvl>
  </w:abstractNum>
  <w:num w:numId="1">
    <w:abstractNumId w:val="2"/>
  </w:num>
  <w:num w:numId="2">
    <w:abstractNumId w:val="6"/>
  </w:num>
  <w:num w:numId="3">
    <w:abstractNumId w:val="5"/>
  </w:num>
  <w:num w:numId="4">
    <w:abstractNumId w:val="8"/>
  </w:num>
  <w:num w:numId="5">
    <w:abstractNumId w:val="4"/>
  </w:num>
  <w:num w:numId="6">
    <w:abstractNumId w:val="1"/>
  </w:num>
  <w:num w:numId="7">
    <w:abstractNumId w:val="0"/>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2C8"/>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3D766E"/>
    <w:rsid w:val="05A16594"/>
    <w:rsid w:val="05A7762D"/>
    <w:rsid w:val="060E5941"/>
    <w:rsid w:val="06110FAF"/>
    <w:rsid w:val="06493CA7"/>
    <w:rsid w:val="065A6178"/>
    <w:rsid w:val="066F1CF3"/>
    <w:rsid w:val="06930BB8"/>
    <w:rsid w:val="07245D42"/>
    <w:rsid w:val="07264C62"/>
    <w:rsid w:val="0764344E"/>
    <w:rsid w:val="07707B05"/>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22EA4"/>
    <w:rsid w:val="0A5B7E63"/>
    <w:rsid w:val="0AA374A5"/>
    <w:rsid w:val="0AAB7649"/>
    <w:rsid w:val="0ABC5606"/>
    <w:rsid w:val="0ACA2B63"/>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36999"/>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3366E3"/>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841FCD"/>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162F0"/>
    <w:rsid w:val="2FD25781"/>
    <w:rsid w:val="2FDC745C"/>
    <w:rsid w:val="2FFD7934"/>
    <w:rsid w:val="30733ACD"/>
    <w:rsid w:val="308C3862"/>
    <w:rsid w:val="309379D8"/>
    <w:rsid w:val="30A0584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3F12F68"/>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C4FC4"/>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6C03B1"/>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DB5B06"/>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51623"/>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1AED"/>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82FE6"/>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0073C"/>
    <w:rsid w:val="611D2366"/>
    <w:rsid w:val="61421856"/>
    <w:rsid w:val="614B7400"/>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D6B7E"/>
    <w:rsid w:val="67BE71AA"/>
    <w:rsid w:val="67D90273"/>
    <w:rsid w:val="67DE5875"/>
    <w:rsid w:val="67E55852"/>
    <w:rsid w:val="67EB1AB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FAD64"/>
    <w:rsid w:val="706849FD"/>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F1D33"/>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557FE"/>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734334"/>
    <w:rsid w:val="7A8C56DC"/>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E5EC0"/>
    <w:rsid w:val="7DB57A34"/>
    <w:rsid w:val="7DE60973"/>
    <w:rsid w:val="7DEF0916"/>
    <w:rsid w:val="7E1E5218"/>
    <w:rsid w:val="7E9A4E1F"/>
    <w:rsid w:val="7EA7723A"/>
    <w:rsid w:val="7EEFE9D4"/>
    <w:rsid w:val="7EF56FBB"/>
    <w:rsid w:val="7F0768EB"/>
    <w:rsid w:val="7F143BEC"/>
    <w:rsid w:val="7F715AF2"/>
    <w:rsid w:val="7F886E69"/>
    <w:rsid w:val="7F9FFA82"/>
    <w:rsid w:val="7FA50B2A"/>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8"/>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96</Pages>
  <Words>9387</Words>
  <Characters>10290</Characters>
  <Lines>295</Lines>
  <Paragraphs>83</Paragraphs>
  <TotalTime>8</TotalTime>
  <ScaleCrop>false</ScaleCrop>
  <LinksUpToDate>false</LinksUpToDate>
  <CharactersWithSpaces>10607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招标代理</cp:lastModifiedBy>
  <cp:lastPrinted>2024-10-21T09:29:00Z</cp:lastPrinted>
  <dcterms:modified xsi:type="dcterms:W3CDTF">2024-12-24T03:29:30Z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7CC3B7853223100FD2031667E0B452C8</vt:lpwstr>
  </property>
</Properties>
</file>