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99510">
      <w:pPr>
        <w:spacing w:line="360" w:lineRule="auto"/>
        <w:jc w:val="center"/>
        <w:rPr>
          <w:rFonts w:hint="eastAsia" w:ascii="宋体" w:hAnsi="宋体" w:eastAsia="宋体" w:cs="Times New Roman"/>
          <w:b/>
          <w:sz w:val="36"/>
          <w:szCs w:val="36"/>
        </w:rPr>
      </w:pPr>
      <w:r>
        <w:rPr>
          <w:rFonts w:hint="eastAsia" w:ascii="宋体" w:hAnsi="宋体"/>
          <w:b/>
          <w:sz w:val="36"/>
          <w:szCs w:val="36"/>
        </w:rPr>
        <w:t>浙江鑫润工程管理有</w:t>
      </w:r>
      <w:r>
        <w:rPr>
          <w:rFonts w:hint="eastAsia" w:ascii="宋体" w:hAnsi="宋体" w:eastAsia="宋体" w:cs="Times New Roman"/>
          <w:b/>
          <w:sz w:val="36"/>
          <w:szCs w:val="36"/>
        </w:rPr>
        <w:t>限公司关于</w:t>
      </w:r>
      <w:r>
        <w:rPr>
          <w:rFonts w:hint="eastAsia" w:ascii="宋体" w:hAnsi="宋体" w:eastAsia="宋体" w:cs="Times New Roman"/>
          <w:b/>
          <w:sz w:val="36"/>
          <w:szCs w:val="36"/>
          <w:lang w:eastAsia="zh-CN"/>
        </w:rPr>
        <w:t>德清县文化和广电旅游体育局</w:t>
      </w:r>
      <w:r>
        <w:rPr>
          <w:rFonts w:hint="eastAsia" w:ascii="宋体" w:hAnsi="宋体" w:eastAsia="宋体" w:cs="Times New Roman"/>
          <w:b/>
          <w:sz w:val="36"/>
          <w:szCs w:val="36"/>
          <w:lang w:val="en-US" w:eastAsia="zh-CN"/>
        </w:rPr>
        <w:t>（</w:t>
      </w:r>
      <w:r>
        <w:rPr>
          <w:rFonts w:hint="eastAsia" w:ascii="宋体" w:hAnsi="宋体" w:cs="Times New Roman"/>
          <w:b/>
          <w:sz w:val="36"/>
          <w:szCs w:val="36"/>
          <w:lang w:val="en-US" w:eastAsia="zh-CN"/>
        </w:rPr>
        <w:t>含</w:t>
      </w:r>
      <w:r>
        <w:rPr>
          <w:rFonts w:hint="eastAsia" w:ascii="宋体" w:hAnsi="宋体" w:eastAsia="宋体" w:cs="Times New Roman"/>
          <w:b/>
          <w:sz w:val="36"/>
          <w:szCs w:val="36"/>
          <w:lang w:val="en-US" w:eastAsia="zh-CN"/>
        </w:rPr>
        <w:t>下属单位）</w:t>
      </w:r>
      <w:r>
        <w:rPr>
          <w:rFonts w:hint="eastAsia" w:ascii="宋体" w:hAnsi="宋体" w:eastAsia="宋体" w:cs="Times New Roman"/>
          <w:b/>
          <w:sz w:val="36"/>
          <w:szCs w:val="36"/>
        </w:rPr>
        <w:t>202</w:t>
      </w:r>
      <w:r>
        <w:rPr>
          <w:rFonts w:hint="eastAsia" w:ascii="宋体" w:hAnsi="宋体" w:cs="Times New Roman"/>
          <w:b/>
          <w:sz w:val="36"/>
          <w:szCs w:val="36"/>
          <w:lang w:val="en-US" w:eastAsia="zh-CN"/>
        </w:rPr>
        <w:t>5</w:t>
      </w:r>
      <w:r>
        <w:rPr>
          <w:rFonts w:hint="eastAsia" w:ascii="宋体" w:hAnsi="宋体" w:eastAsia="宋体" w:cs="Times New Roman"/>
          <w:b/>
          <w:sz w:val="36"/>
          <w:szCs w:val="36"/>
        </w:rPr>
        <w:t>年</w:t>
      </w:r>
      <w:r>
        <w:rPr>
          <w:rFonts w:hint="eastAsia" w:ascii="宋体" w:hAnsi="宋体" w:eastAsia="宋体" w:cs="Times New Roman"/>
          <w:b/>
          <w:sz w:val="36"/>
          <w:szCs w:val="36"/>
          <w:lang w:eastAsia="zh-CN"/>
        </w:rPr>
        <w:t>职工疗休养采购项目</w:t>
      </w:r>
    </w:p>
    <w:p w14:paraId="3F400AE4">
      <w:pPr>
        <w:spacing w:after="100" w:afterAutospacing="1" w:line="700" w:lineRule="exact"/>
        <w:ind w:right="-290" w:rightChars="-138"/>
        <w:jc w:val="center"/>
        <w:rPr>
          <w:rFonts w:ascii="宋体" w:hAnsi="宋体"/>
          <w:b/>
          <w:color w:val="auto"/>
          <w:sz w:val="48"/>
          <w:szCs w:val="48"/>
        </w:rPr>
      </w:pPr>
      <w:r>
        <w:rPr>
          <w:rFonts w:hint="eastAsia" w:ascii="宋体" w:hAnsi="宋体"/>
          <w:b/>
          <w:color w:val="auto"/>
          <w:sz w:val="24"/>
          <w:szCs w:val="24"/>
        </w:rPr>
        <w:t>德财</w:t>
      </w:r>
      <w:r>
        <w:rPr>
          <w:rFonts w:hint="eastAsia" w:ascii="宋体" w:hAnsi="宋体"/>
          <w:b/>
          <w:color w:val="auto"/>
          <w:sz w:val="24"/>
          <w:szCs w:val="24"/>
          <w:lang w:val="en-US" w:eastAsia="zh-CN"/>
        </w:rPr>
        <w:t>采</w:t>
      </w:r>
      <w:r>
        <w:rPr>
          <w:rFonts w:hint="eastAsia" w:ascii="宋体" w:hAnsi="宋体"/>
          <w:b/>
          <w:color w:val="auto"/>
          <w:sz w:val="24"/>
          <w:szCs w:val="24"/>
        </w:rPr>
        <w:t>确</w:t>
      </w:r>
      <w:r>
        <w:rPr>
          <w:rFonts w:hint="eastAsia" w:ascii="宋体" w:hAnsi="宋体"/>
          <w:b/>
          <w:color w:val="auto"/>
          <w:sz w:val="24"/>
          <w:szCs w:val="24"/>
          <w:lang w:val="en-US" w:eastAsia="zh-CN"/>
        </w:rPr>
        <w:t>临</w:t>
      </w:r>
      <w:r>
        <w:rPr>
          <w:rFonts w:hint="eastAsia" w:ascii="宋体" w:hAnsi="宋体"/>
          <w:b/>
          <w:color w:val="auto"/>
          <w:sz w:val="24"/>
          <w:szCs w:val="24"/>
        </w:rPr>
        <w:t>[202</w:t>
      </w:r>
      <w:r>
        <w:rPr>
          <w:rFonts w:hint="eastAsia" w:ascii="宋体" w:hAnsi="宋体"/>
          <w:b/>
          <w:color w:val="auto"/>
          <w:sz w:val="24"/>
          <w:szCs w:val="24"/>
          <w:lang w:val="en-US" w:eastAsia="zh-CN"/>
        </w:rPr>
        <w:t>5</w:t>
      </w:r>
      <w:r>
        <w:rPr>
          <w:rFonts w:hint="eastAsia" w:ascii="宋体" w:hAnsi="宋体"/>
          <w:b/>
          <w:color w:val="auto"/>
          <w:sz w:val="24"/>
          <w:szCs w:val="24"/>
        </w:rPr>
        <w:t>]</w:t>
      </w:r>
      <w:r>
        <w:rPr>
          <w:rFonts w:hint="eastAsia" w:ascii="宋体" w:hAnsi="宋体"/>
          <w:b/>
          <w:color w:val="auto"/>
          <w:sz w:val="24"/>
          <w:szCs w:val="24"/>
          <w:lang w:val="en-US" w:eastAsia="zh-CN"/>
        </w:rPr>
        <w:t>214</w:t>
      </w:r>
      <w:r>
        <w:rPr>
          <w:rFonts w:hint="eastAsia" w:ascii="宋体" w:hAnsi="宋体"/>
          <w:b/>
          <w:color w:val="auto"/>
          <w:sz w:val="24"/>
          <w:szCs w:val="24"/>
        </w:rPr>
        <w:t>号</w:t>
      </w:r>
    </w:p>
    <w:p w14:paraId="3C1FE88D">
      <w:pPr>
        <w:spacing w:line="1000" w:lineRule="exact"/>
        <w:jc w:val="center"/>
        <w:rPr>
          <w:rFonts w:ascii="宋体" w:hAnsi="宋体"/>
          <w:b/>
          <w:sz w:val="52"/>
          <w:szCs w:val="52"/>
        </w:rPr>
      </w:pPr>
      <w:r>
        <w:rPr>
          <w:rFonts w:hint="eastAsia" w:ascii="宋体" w:hAnsi="宋体"/>
          <w:b/>
          <w:sz w:val="52"/>
          <w:szCs w:val="52"/>
        </w:rPr>
        <w:t>竞</w:t>
      </w:r>
    </w:p>
    <w:p w14:paraId="42A6343B">
      <w:pPr>
        <w:spacing w:line="1000" w:lineRule="exact"/>
        <w:jc w:val="center"/>
        <w:rPr>
          <w:rFonts w:ascii="宋体" w:hAnsi="宋体"/>
          <w:b/>
          <w:sz w:val="52"/>
          <w:szCs w:val="52"/>
        </w:rPr>
      </w:pPr>
      <w:r>
        <w:rPr>
          <w:rFonts w:hint="eastAsia" w:ascii="宋体" w:hAnsi="宋体"/>
          <w:b/>
          <w:sz w:val="52"/>
          <w:szCs w:val="52"/>
        </w:rPr>
        <w:t>争</w:t>
      </w:r>
    </w:p>
    <w:p w14:paraId="5981D34A">
      <w:pPr>
        <w:spacing w:line="1000" w:lineRule="exact"/>
        <w:jc w:val="center"/>
        <w:rPr>
          <w:rFonts w:ascii="宋体" w:hAnsi="宋体"/>
          <w:b/>
          <w:sz w:val="52"/>
          <w:szCs w:val="52"/>
        </w:rPr>
      </w:pPr>
      <w:r>
        <w:rPr>
          <w:rFonts w:hint="eastAsia" w:ascii="宋体" w:hAnsi="宋体"/>
          <w:b/>
          <w:sz w:val="52"/>
          <w:szCs w:val="52"/>
        </w:rPr>
        <w:t>性</w:t>
      </w:r>
    </w:p>
    <w:p w14:paraId="680FBC98">
      <w:pPr>
        <w:spacing w:line="1000" w:lineRule="exact"/>
        <w:jc w:val="center"/>
        <w:rPr>
          <w:rFonts w:ascii="宋体" w:hAnsi="宋体"/>
          <w:b/>
          <w:sz w:val="52"/>
          <w:szCs w:val="52"/>
        </w:rPr>
      </w:pPr>
      <w:r>
        <w:rPr>
          <w:rFonts w:hint="eastAsia" w:ascii="宋体" w:hAnsi="宋体"/>
          <w:b/>
          <w:sz w:val="52"/>
          <w:szCs w:val="52"/>
        </w:rPr>
        <w:t>磋</w:t>
      </w:r>
    </w:p>
    <w:p w14:paraId="780B597F">
      <w:pPr>
        <w:spacing w:line="1000" w:lineRule="exact"/>
        <w:jc w:val="center"/>
        <w:rPr>
          <w:rFonts w:ascii="宋体" w:hAnsi="宋体"/>
          <w:b/>
          <w:sz w:val="52"/>
          <w:szCs w:val="52"/>
        </w:rPr>
      </w:pPr>
      <w:r>
        <w:rPr>
          <w:rFonts w:hint="eastAsia" w:ascii="宋体" w:hAnsi="宋体"/>
          <w:b/>
          <w:sz w:val="52"/>
          <w:szCs w:val="52"/>
        </w:rPr>
        <w:t>商</w:t>
      </w:r>
    </w:p>
    <w:p w14:paraId="249020F5">
      <w:pPr>
        <w:spacing w:line="1000" w:lineRule="exact"/>
        <w:jc w:val="center"/>
        <w:rPr>
          <w:rFonts w:ascii="宋体" w:hAnsi="宋体"/>
          <w:b/>
          <w:sz w:val="52"/>
          <w:szCs w:val="52"/>
        </w:rPr>
      </w:pPr>
      <w:r>
        <w:rPr>
          <w:rFonts w:hint="eastAsia" w:ascii="宋体" w:hAnsi="宋体"/>
          <w:b/>
          <w:sz w:val="52"/>
          <w:szCs w:val="52"/>
        </w:rPr>
        <w:t>文</w:t>
      </w:r>
    </w:p>
    <w:p w14:paraId="24484258">
      <w:pPr>
        <w:spacing w:afterLines="150" w:line="1000" w:lineRule="exact"/>
        <w:jc w:val="center"/>
        <w:rPr>
          <w:rFonts w:ascii="宋体" w:hAnsi="宋体"/>
          <w:b/>
          <w:sz w:val="52"/>
          <w:szCs w:val="52"/>
        </w:rPr>
      </w:pPr>
      <w:r>
        <w:rPr>
          <w:rFonts w:hint="eastAsia" w:ascii="宋体" w:hAnsi="宋体"/>
          <w:b/>
          <w:sz w:val="52"/>
          <w:szCs w:val="52"/>
        </w:rPr>
        <w:t>件</w:t>
      </w:r>
    </w:p>
    <w:p w14:paraId="4A302873">
      <w:pPr>
        <w:spacing w:line="360" w:lineRule="auto"/>
        <w:rPr>
          <w:rFonts w:ascii="宋体" w:hAnsi="宋体"/>
          <w:b/>
          <w:sz w:val="28"/>
          <w:szCs w:val="28"/>
        </w:rPr>
      </w:pPr>
    </w:p>
    <w:p w14:paraId="7C5B1828">
      <w:pPr>
        <w:spacing w:line="360" w:lineRule="auto"/>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rPr>
        <w:t>项目编号：ZJXRDQ-202</w:t>
      </w:r>
      <w:r>
        <w:rPr>
          <w:rFonts w:hint="eastAsia" w:ascii="宋体" w:hAnsi="宋体" w:cs="Times New Roman"/>
          <w:b/>
          <w:color w:val="auto"/>
          <w:sz w:val="24"/>
          <w:szCs w:val="24"/>
          <w:lang w:val="en-US" w:eastAsia="zh-CN"/>
        </w:rPr>
        <w:t>5</w:t>
      </w:r>
      <w:r>
        <w:rPr>
          <w:rFonts w:hint="eastAsia" w:ascii="宋体" w:hAnsi="宋体" w:eastAsia="宋体" w:cs="Times New Roman"/>
          <w:b/>
          <w:color w:val="auto"/>
          <w:sz w:val="24"/>
          <w:szCs w:val="24"/>
        </w:rPr>
        <w:t>-JC</w:t>
      </w:r>
      <w:r>
        <w:rPr>
          <w:rFonts w:hint="eastAsia" w:ascii="宋体" w:hAnsi="宋体" w:cs="Times New Roman"/>
          <w:b/>
          <w:color w:val="auto"/>
          <w:sz w:val="24"/>
          <w:szCs w:val="24"/>
          <w:lang w:val="en-US" w:eastAsia="zh-CN"/>
        </w:rPr>
        <w:t>07</w:t>
      </w:r>
    </w:p>
    <w:p w14:paraId="5F5C773B">
      <w:pPr>
        <w:spacing w:line="360" w:lineRule="auto"/>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项目名称：</w:t>
      </w:r>
      <w:r>
        <w:rPr>
          <w:rFonts w:hint="eastAsia" w:ascii="宋体" w:hAnsi="宋体" w:eastAsia="宋体" w:cs="Times New Roman"/>
          <w:b/>
          <w:color w:val="auto"/>
          <w:sz w:val="24"/>
          <w:szCs w:val="24"/>
          <w:lang w:val="en-US" w:eastAsia="zh-CN"/>
        </w:rPr>
        <w:t>德清县文化和广电旅游体育局（</w:t>
      </w:r>
      <w:r>
        <w:rPr>
          <w:rFonts w:hint="eastAsia" w:ascii="宋体" w:hAnsi="宋体" w:cs="Times New Roman"/>
          <w:b/>
          <w:color w:val="auto"/>
          <w:sz w:val="24"/>
          <w:szCs w:val="24"/>
          <w:lang w:val="en-US" w:eastAsia="zh-CN"/>
        </w:rPr>
        <w:t>含</w:t>
      </w:r>
      <w:r>
        <w:rPr>
          <w:rFonts w:hint="eastAsia" w:ascii="宋体" w:hAnsi="宋体" w:eastAsia="宋体" w:cs="Times New Roman"/>
          <w:b/>
          <w:color w:val="auto"/>
          <w:sz w:val="24"/>
          <w:szCs w:val="24"/>
          <w:lang w:val="en-US" w:eastAsia="zh-CN"/>
        </w:rPr>
        <w:t>下属单位）202</w:t>
      </w:r>
      <w:r>
        <w:rPr>
          <w:rFonts w:hint="eastAsia" w:ascii="宋体" w:hAnsi="宋体" w:cs="Times New Roman"/>
          <w:b/>
          <w:color w:val="auto"/>
          <w:sz w:val="24"/>
          <w:szCs w:val="24"/>
          <w:lang w:val="en-US" w:eastAsia="zh-CN"/>
        </w:rPr>
        <w:t>5</w:t>
      </w:r>
      <w:r>
        <w:rPr>
          <w:rFonts w:hint="eastAsia" w:ascii="宋体" w:hAnsi="宋体" w:eastAsia="宋体" w:cs="Times New Roman"/>
          <w:b/>
          <w:color w:val="auto"/>
          <w:sz w:val="24"/>
          <w:szCs w:val="24"/>
          <w:lang w:val="en-US" w:eastAsia="zh-CN"/>
        </w:rPr>
        <w:t>年职工疗休养采购项目</w:t>
      </w:r>
    </w:p>
    <w:p w14:paraId="068FF1E6">
      <w:pPr>
        <w:spacing w:line="360" w:lineRule="auto"/>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采购单位：</w:t>
      </w:r>
      <w:r>
        <w:rPr>
          <w:rFonts w:hint="eastAsia" w:ascii="宋体" w:hAnsi="宋体" w:eastAsia="宋体" w:cs="Times New Roman"/>
          <w:b/>
          <w:color w:val="auto"/>
          <w:sz w:val="24"/>
          <w:szCs w:val="24"/>
          <w:lang w:val="en-US" w:eastAsia="zh-CN"/>
        </w:rPr>
        <w:t>德清县文化和广电旅游体育局</w:t>
      </w:r>
    </w:p>
    <w:p w14:paraId="30036A72">
      <w:pPr>
        <w:spacing w:line="360" w:lineRule="auto"/>
        <w:rPr>
          <w:rFonts w:ascii="宋体" w:hAnsi="宋体"/>
          <w:b/>
          <w:color w:val="auto"/>
          <w:sz w:val="28"/>
          <w:szCs w:val="28"/>
        </w:rPr>
      </w:pPr>
      <w:r>
        <w:rPr>
          <w:rFonts w:hint="eastAsia" w:ascii="宋体" w:hAnsi="宋体" w:eastAsia="宋体" w:cs="Times New Roman"/>
          <w:b/>
          <w:color w:val="auto"/>
          <w:sz w:val="24"/>
          <w:szCs w:val="24"/>
        </w:rPr>
        <w:t>采购代理机构：浙江鑫润工程管理有限公司</w:t>
      </w:r>
    </w:p>
    <w:p w14:paraId="4E9DD4A7">
      <w:pPr>
        <w:spacing w:line="800" w:lineRule="exact"/>
        <w:jc w:val="center"/>
        <w:rPr>
          <w:rFonts w:ascii="宋体" w:hAnsi="宋体"/>
          <w:b/>
          <w:color w:val="auto"/>
          <w:sz w:val="44"/>
          <w:szCs w:val="44"/>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2</w:t>
      </w:r>
      <w:r>
        <w:rPr>
          <w:rFonts w:hint="eastAsia" w:ascii="宋体" w:hAnsi="宋体"/>
          <w:b/>
          <w:color w:val="auto"/>
          <w:sz w:val="32"/>
          <w:szCs w:val="32"/>
        </w:rPr>
        <w:t>月</w:t>
      </w:r>
    </w:p>
    <w:p w14:paraId="2D1FE65C">
      <w:pPr>
        <w:spacing w:beforeLines="50" w:afterLines="50" w:line="360" w:lineRule="auto"/>
        <w:jc w:val="center"/>
        <w:rPr>
          <w:rFonts w:hint="eastAsia" w:ascii="宋体" w:hAnsi="宋体"/>
          <w:b/>
          <w:color w:val="000000"/>
          <w:sz w:val="44"/>
          <w:szCs w:val="44"/>
        </w:rPr>
      </w:pPr>
    </w:p>
    <w:p w14:paraId="13C31B46">
      <w:pPr>
        <w:spacing w:beforeLines="50" w:afterLines="50" w:line="360" w:lineRule="auto"/>
        <w:jc w:val="center"/>
        <w:rPr>
          <w:rFonts w:hint="eastAsia" w:ascii="宋体" w:hAnsi="宋体"/>
          <w:b/>
          <w:color w:val="000000"/>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linePitch="312" w:charSpace="0"/>
        </w:sectPr>
      </w:pPr>
    </w:p>
    <w:p w14:paraId="5CEAA82F">
      <w:pPr>
        <w:spacing w:beforeLines="50" w:afterLines="50" w:line="360" w:lineRule="auto"/>
        <w:jc w:val="center"/>
        <w:rPr>
          <w:rFonts w:ascii="宋体" w:hAnsi="宋体"/>
          <w:b/>
          <w:color w:val="000000"/>
          <w:sz w:val="44"/>
          <w:szCs w:val="44"/>
        </w:rPr>
      </w:pPr>
      <w:r>
        <w:rPr>
          <w:rFonts w:hint="eastAsia" w:ascii="宋体" w:hAnsi="宋体"/>
          <w:b/>
          <w:color w:val="000000"/>
          <w:sz w:val="44"/>
          <w:szCs w:val="44"/>
        </w:rPr>
        <w:t>目 录</w:t>
      </w:r>
    </w:p>
    <w:p w14:paraId="5B60D309">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竞争性磋商公告</w:t>
      </w:r>
    </w:p>
    <w:p w14:paraId="4FEE6FED">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竞争性磋商须知</w:t>
      </w:r>
    </w:p>
    <w:p w14:paraId="35BB9DB0">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6069EFA6">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评分办法及标准</w:t>
      </w:r>
    </w:p>
    <w:p w14:paraId="60FD23FA">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合同主要条款</w:t>
      </w:r>
    </w:p>
    <w:p w14:paraId="09371E88">
      <w:pPr>
        <w:numPr>
          <w:ilvl w:val="0"/>
          <w:numId w:val="21"/>
        </w:numPr>
        <w:spacing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2D9CD2F1">
      <w:pPr>
        <w:rPr>
          <w:rFonts w:ascii="Times New Roman" w:hAnsi="Times New Roman"/>
          <w:szCs w:val="20"/>
        </w:rPr>
      </w:pPr>
    </w:p>
    <w:p w14:paraId="4941985F">
      <w:pPr>
        <w:keepNext/>
        <w:keepLines/>
        <w:spacing w:line="360" w:lineRule="auto"/>
        <w:jc w:val="center"/>
        <w:outlineLvl w:val="0"/>
        <w:rPr>
          <w:rFonts w:ascii="宋体" w:hAnsi="宋体"/>
          <w:b/>
          <w:kern w:val="44"/>
          <w:sz w:val="36"/>
          <w:szCs w:val="20"/>
        </w:rPr>
        <w:sectPr>
          <w:footerReference r:id="rId8" w:type="first"/>
          <w:footerReference r:id="rId7" w:type="default"/>
          <w:pgSz w:w="11906" w:h="16838"/>
          <w:pgMar w:top="1440" w:right="1080" w:bottom="1440" w:left="1080" w:header="851" w:footer="992" w:gutter="0"/>
          <w:pgNumType w:fmt="decimal" w:start="1"/>
          <w:cols w:space="720" w:num="1"/>
          <w:titlePg/>
          <w:docGrid w:linePitch="312" w:charSpace="0"/>
        </w:sectPr>
      </w:pPr>
    </w:p>
    <w:p w14:paraId="3484800E">
      <w:pPr>
        <w:keepNext/>
        <w:keepLines/>
        <w:numPr>
          <w:ilvl w:val="0"/>
          <w:numId w:val="22"/>
        </w:numPr>
        <w:spacing w:line="360" w:lineRule="auto"/>
        <w:jc w:val="center"/>
        <w:outlineLvl w:val="0"/>
        <w:rPr>
          <w:rFonts w:ascii="宋体" w:hAnsi="宋体"/>
          <w:b/>
          <w:kern w:val="44"/>
          <w:sz w:val="36"/>
          <w:szCs w:val="20"/>
        </w:rPr>
      </w:pPr>
      <w:bookmarkStart w:id="0" w:name="_Toc142378971"/>
      <w:bookmarkStart w:id="1" w:name="_Toc177981178"/>
      <w:bookmarkStart w:id="2" w:name="_Toc154458218"/>
      <w:r>
        <w:rPr>
          <w:rFonts w:hint="eastAsia" w:ascii="宋体" w:hAnsi="宋体"/>
          <w:b/>
          <w:kern w:val="44"/>
          <w:sz w:val="36"/>
          <w:szCs w:val="20"/>
        </w:rPr>
        <w:t>竞争性磋商公告</w:t>
      </w:r>
      <w:bookmarkEnd w:id="0"/>
      <w:bookmarkEnd w:id="1"/>
      <w:bookmarkEnd w:id="2"/>
    </w:p>
    <w:p w14:paraId="58CE4821">
      <w:pPr>
        <w:keepNext/>
        <w:keepLines/>
        <w:spacing w:line="360" w:lineRule="auto"/>
        <w:ind w:firstLine="420" w:firstLineChars="200"/>
        <w:outlineLvl w:val="0"/>
        <w:rPr>
          <w:rFonts w:ascii="宋体" w:hAnsi="宋体"/>
          <w:color w:val="auto"/>
          <w:szCs w:val="21"/>
          <w:highlight w:val="none"/>
        </w:rPr>
      </w:pPr>
      <w:r>
        <w:rPr>
          <w:rFonts w:hint="eastAsia" w:ascii="宋体" w:hAnsi="宋体"/>
          <w:color w:val="auto"/>
          <w:szCs w:val="21"/>
        </w:rPr>
        <w:t>浙</w:t>
      </w:r>
      <w:r>
        <w:rPr>
          <w:rFonts w:hint="eastAsia" w:ascii="宋体" w:hAnsi="宋体"/>
          <w:color w:val="auto"/>
          <w:szCs w:val="21"/>
          <w:highlight w:val="none"/>
        </w:rPr>
        <w:t>江鑫润工程管理有限公司受</w:t>
      </w:r>
      <w:r>
        <w:rPr>
          <w:rFonts w:hint="eastAsia" w:ascii="宋体" w:hAnsi="宋体" w:eastAsia="宋体" w:cs="Times New Roman"/>
          <w:b/>
          <w:bCs/>
          <w:color w:val="auto"/>
          <w:szCs w:val="21"/>
          <w:highlight w:val="none"/>
          <w:lang w:val="en-US" w:eastAsia="zh-CN"/>
        </w:rPr>
        <w:t>德清县文化和广电旅游体育局</w:t>
      </w:r>
      <w:r>
        <w:rPr>
          <w:rFonts w:hint="eastAsia" w:ascii="宋体" w:hAnsi="宋体"/>
          <w:color w:val="auto"/>
          <w:szCs w:val="21"/>
          <w:highlight w:val="none"/>
        </w:rPr>
        <w:t>的委托，就其所需的</w:t>
      </w:r>
      <w:r>
        <w:rPr>
          <w:rFonts w:hint="eastAsia" w:ascii="宋体" w:hAnsi="宋体" w:eastAsia="宋体" w:cs="Times New Roman"/>
          <w:b/>
          <w:bCs/>
          <w:color w:val="auto"/>
          <w:szCs w:val="21"/>
          <w:highlight w:val="none"/>
          <w:lang w:val="en-US" w:eastAsia="zh-CN"/>
        </w:rPr>
        <w:t>德清县文化和广电旅游体育局（</w:t>
      </w:r>
      <w:r>
        <w:rPr>
          <w:rFonts w:hint="eastAsia" w:ascii="宋体" w:hAnsi="宋体" w:cs="Times New Roman"/>
          <w:b/>
          <w:bCs/>
          <w:color w:val="auto"/>
          <w:szCs w:val="21"/>
          <w:highlight w:val="none"/>
          <w:lang w:val="en-US" w:eastAsia="zh-CN"/>
        </w:rPr>
        <w:t>含</w:t>
      </w:r>
      <w:r>
        <w:rPr>
          <w:rFonts w:hint="eastAsia" w:ascii="宋体" w:hAnsi="宋体" w:eastAsia="宋体" w:cs="Times New Roman"/>
          <w:b/>
          <w:bCs/>
          <w:color w:val="auto"/>
          <w:szCs w:val="21"/>
          <w:highlight w:val="none"/>
          <w:lang w:val="en-US" w:eastAsia="zh-CN"/>
        </w:rPr>
        <w:t>下属单位）202</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lang w:val="en-US" w:eastAsia="zh-CN"/>
        </w:rPr>
        <w:t>年职工疗休养采购项目</w:t>
      </w:r>
      <w:r>
        <w:rPr>
          <w:rFonts w:hint="eastAsia" w:ascii="宋体" w:hAnsi="宋体"/>
          <w:color w:val="auto"/>
          <w:szCs w:val="21"/>
          <w:highlight w:val="none"/>
        </w:rPr>
        <w:t>组织竞争性磋商采购。欢迎符合资格要求，能提供优质售后服务的国内供应商参加磋商。</w:t>
      </w:r>
    </w:p>
    <w:p w14:paraId="159D0A4A">
      <w:pPr>
        <w:widowControl/>
        <w:spacing w:line="360" w:lineRule="auto"/>
        <w:jc w:val="left"/>
        <w:rPr>
          <w:rFonts w:ascii="宋体" w:hAnsi="宋体" w:cs="宋体"/>
          <w:b/>
          <w:bCs/>
          <w:color w:val="auto"/>
          <w:kern w:val="0"/>
          <w:szCs w:val="21"/>
          <w:highlight w:val="none"/>
        </w:rPr>
      </w:pPr>
      <w:r>
        <w:rPr>
          <w:rFonts w:hint="eastAsia" w:ascii="宋体" w:hAnsi="宋体"/>
          <w:b/>
          <w:bCs/>
          <w:color w:val="auto"/>
          <w:szCs w:val="21"/>
          <w:highlight w:val="none"/>
        </w:rPr>
        <w:t>一、采购项目的名称、内容、用途：</w:t>
      </w:r>
    </w:p>
    <w:p w14:paraId="369035A8">
      <w:pPr>
        <w:widowControl/>
        <w:spacing w:line="360" w:lineRule="auto"/>
        <w:ind w:firstLine="420" w:firstLineChars="200"/>
        <w:rPr>
          <w:rFonts w:ascii="宋体" w:hAnsi="宋体" w:cs="宋体"/>
          <w:b w:val="0"/>
          <w:bCs w:val="0"/>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项目名称：</w:t>
      </w:r>
      <w:r>
        <w:rPr>
          <w:rFonts w:hint="eastAsia" w:ascii="宋体" w:hAnsi="宋体" w:eastAsia="宋体" w:cs="Times New Roman"/>
          <w:b w:val="0"/>
          <w:bCs w:val="0"/>
          <w:color w:val="auto"/>
          <w:szCs w:val="21"/>
          <w:highlight w:val="none"/>
          <w:lang w:val="en-US" w:eastAsia="zh-CN"/>
        </w:rPr>
        <w:t>德清县文化和广电旅游体育局（</w:t>
      </w:r>
      <w:r>
        <w:rPr>
          <w:rFonts w:hint="eastAsia" w:ascii="宋体" w:hAnsi="宋体" w:cs="Times New Roman"/>
          <w:b w:val="0"/>
          <w:bCs w:val="0"/>
          <w:color w:val="auto"/>
          <w:szCs w:val="21"/>
          <w:highlight w:val="none"/>
          <w:lang w:val="en-US" w:eastAsia="zh-CN"/>
        </w:rPr>
        <w:t>含</w:t>
      </w:r>
      <w:r>
        <w:rPr>
          <w:rFonts w:hint="eastAsia" w:ascii="宋体" w:hAnsi="宋体" w:eastAsia="宋体" w:cs="Times New Roman"/>
          <w:b w:val="0"/>
          <w:bCs w:val="0"/>
          <w:color w:val="auto"/>
          <w:szCs w:val="21"/>
          <w:highlight w:val="none"/>
          <w:lang w:val="en-US" w:eastAsia="zh-CN"/>
        </w:rPr>
        <w:t>下属单位）202</w:t>
      </w:r>
      <w:r>
        <w:rPr>
          <w:rFonts w:hint="eastAsia" w:ascii="宋体" w:hAnsi="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val="en-US" w:eastAsia="zh-CN"/>
        </w:rPr>
        <w:t>年职工疗休养采购项目</w:t>
      </w:r>
    </w:p>
    <w:p w14:paraId="3911A0B4">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2.采购方式：竞争性磋商</w:t>
      </w:r>
    </w:p>
    <w:p w14:paraId="653566BA">
      <w:pPr>
        <w:widowControl/>
        <w:spacing w:line="360" w:lineRule="auto"/>
        <w:ind w:firstLine="420" w:firstLineChars="2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3.采购编号：ZJXR</w:t>
      </w:r>
      <w:r>
        <w:rPr>
          <w:rFonts w:ascii="宋体" w:hAnsi="宋体" w:cs="Arial"/>
          <w:bCs/>
          <w:color w:val="auto"/>
          <w:szCs w:val="21"/>
          <w:highlight w:val="none"/>
        </w:rPr>
        <w:t>DQ-202</w:t>
      </w:r>
      <w:r>
        <w:rPr>
          <w:rFonts w:hint="eastAsia" w:ascii="宋体" w:hAnsi="宋体" w:cs="Arial"/>
          <w:bCs/>
          <w:color w:val="auto"/>
          <w:szCs w:val="21"/>
          <w:highlight w:val="none"/>
          <w:lang w:val="en-US" w:eastAsia="zh-CN"/>
        </w:rPr>
        <w:t>5</w:t>
      </w:r>
      <w:r>
        <w:rPr>
          <w:rFonts w:ascii="宋体" w:hAnsi="宋体" w:cs="Arial"/>
          <w:bCs/>
          <w:color w:val="auto"/>
          <w:szCs w:val="21"/>
          <w:highlight w:val="none"/>
        </w:rPr>
        <w:t>-</w:t>
      </w:r>
      <w:r>
        <w:rPr>
          <w:rFonts w:hint="eastAsia" w:ascii="宋体" w:hAnsi="宋体" w:cs="Arial"/>
          <w:bCs/>
          <w:color w:val="auto"/>
          <w:szCs w:val="21"/>
          <w:highlight w:val="none"/>
        </w:rPr>
        <w:t>JC</w:t>
      </w:r>
      <w:r>
        <w:rPr>
          <w:rFonts w:hint="eastAsia" w:ascii="宋体" w:hAnsi="宋体" w:cs="Arial"/>
          <w:bCs/>
          <w:color w:val="auto"/>
          <w:szCs w:val="21"/>
          <w:highlight w:val="none"/>
          <w:lang w:val="en-US" w:eastAsia="zh-CN"/>
        </w:rPr>
        <w:t>07</w:t>
      </w:r>
    </w:p>
    <w:p w14:paraId="751C6351">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w:t>
      </w:r>
      <w:r>
        <w:rPr>
          <w:rFonts w:ascii="宋体" w:hAnsi="宋体" w:cs="宋体"/>
          <w:bCs/>
          <w:color w:val="auto"/>
          <w:kern w:val="0"/>
          <w:szCs w:val="21"/>
          <w:highlight w:val="none"/>
        </w:rPr>
        <w:t>项目内容：</w:t>
      </w:r>
    </w:p>
    <w:tbl>
      <w:tblPr>
        <w:tblStyle w:val="62"/>
        <w:tblW w:w="1005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155"/>
        <w:gridCol w:w="1380"/>
        <w:gridCol w:w="2812"/>
        <w:gridCol w:w="961"/>
      </w:tblGrid>
      <w:tr w14:paraId="30D4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noWrap/>
            <w:vAlign w:val="center"/>
          </w:tcPr>
          <w:p w14:paraId="541DA1B3">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标项</w:t>
            </w:r>
          </w:p>
        </w:tc>
        <w:tc>
          <w:tcPr>
            <w:tcW w:w="4155" w:type="dxa"/>
            <w:noWrap/>
            <w:vAlign w:val="center"/>
          </w:tcPr>
          <w:p w14:paraId="3B6AE394">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采购内容</w:t>
            </w:r>
          </w:p>
        </w:tc>
        <w:tc>
          <w:tcPr>
            <w:tcW w:w="1380" w:type="dxa"/>
            <w:noWrap/>
            <w:vAlign w:val="center"/>
          </w:tcPr>
          <w:p w14:paraId="2E0CC74A">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数量</w:t>
            </w:r>
          </w:p>
        </w:tc>
        <w:tc>
          <w:tcPr>
            <w:tcW w:w="2812" w:type="dxa"/>
            <w:noWrap/>
            <w:vAlign w:val="center"/>
          </w:tcPr>
          <w:p w14:paraId="3ADC5098">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预算金额（人民币）</w:t>
            </w:r>
          </w:p>
        </w:tc>
        <w:tc>
          <w:tcPr>
            <w:tcW w:w="961" w:type="dxa"/>
            <w:noWrap/>
            <w:vAlign w:val="center"/>
          </w:tcPr>
          <w:p w14:paraId="71EC29C6">
            <w:pPr>
              <w:widowControl/>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备注</w:t>
            </w:r>
          </w:p>
        </w:tc>
      </w:tr>
      <w:tr w14:paraId="14C3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0" w:type="dxa"/>
            <w:noWrap/>
            <w:vAlign w:val="center"/>
          </w:tcPr>
          <w:p w14:paraId="37B8D94B">
            <w:pPr>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一</w:t>
            </w:r>
          </w:p>
        </w:tc>
        <w:tc>
          <w:tcPr>
            <w:tcW w:w="4155" w:type="dxa"/>
            <w:noWrap/>
            <w:vAlign w:val="center"/>
          </w:tcPr>
          <w:p w14:paraId="6AA5FC8C">
            <w:pPr>
              <w:widowControl/>
              <w:spacing w:line="360" w:lineRule="auto"/>
              <w:jc w:val="center"/>
              <w:rPr>
                <w:rFonts w:ascii="宋体" w:hAnsi="宋体" w:cs="Arial"/>
                <w:b/>
                <w:color w:val="auto"/>
                <w:szCs w:val="21"/>
                <w:highlight w:val="none"/>
              </w:rPr>
            </w:pPr>
            <w:r>
              <w:rPr>
                <w:rFonts w:hint="eastAsia" w:ascii="宋体" w:hAnsi="宋体" w:eastAsia="宋体" w:cs="Times New Roman"/>
                <w:b/>
                <w:bCs/>
                <w:color w:val="auto"/>
                <w:szCs w:val="21"/>
                <w:highlight w:val="none"/>
                <w:lang w:val="en-US" w:eastAsia="zh-CN"/>
              </w:rPr>
              <w:t>德清县文化和广电旅游体育局（</w:t>
            </w:r>
            <w:r>
              <w:rPr>
                <w:rFonts w:hint="eastAsia" w:ascii="宋体" w:hAnsi="宋体" w:cs="Times New Roman"/>
                <w:b/>
                <w:bCs/>
                <w:color w:val="auto"/>
                <w:szCs w:val="21"/>
                <w:highlight w:val="none"/>
                <w:lang w:val="en-US" w:eastAsia="zh-CN"/>
              </w:rPr>
              <w:t>含</w:t>
            </w:r>
            <w:r>
              <w:rPr>
                <w:rFonts w:hint="eastAsia" w:ascii="宋体" w:hAnsi="宋体" w:eastAsia="宋体" w:cs="Times New Roman"/>
                <w:b/>
                <w:bCs/>
                <w:color w:val="auto"/>
                <w:szCs w:val="21"/>
                <w:highlight w:val="none"/>
                <w:lang w:val="en-US" w:eastAsia="zh-CN"/>
              </w:rPr>
              <w:t>下属单位）202</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lang w:val="en-US" w:eastAsia="zh-CN"/>
              </w:rPr>
              <w:t>年职工疗休养采购项目</w:t>
            </w:r>
          </w:p>
        </w:tc>
        <w:tc>
          <w:tcPr>
            <w:tcW w:w="1380" w:type="dxa"/>
            <w:noWrap/>
            <w:vAlign w:val="center"/>
          </w:tcPr>
          <w:p w14:paraId="42F87FA3">
            <w:pPr>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lang w:val="en-US" w:eastAsia="zh-CN"/>
              </w:rPr>
              <w:t xml:space="preserve">  110</w:t>
            </w:r>
            <w:r>
              <w:rPr>
                <w:rFonts w:hint="eastAsia" w:ascii="宋体" w:hAnsi="宋体" w:cs="Arial"/>
                <w:b/>
                <w:bCs/>
                <w:color w:val="auto"/>
                <w:szCs w:val="21"/>
                <w:highlight w:val="none"/>
              </w:rPr>
              <w:t>人</w:t>
            </w:r>
          </w:p>
        </w:tc>
        <w:tc>
          <w:tcPr>
            <w:tcW w:w="2812" w:type="dxa"/>
            <w:noWrap/>
            <w:vAlign w:val="center"/>
          </w:tcPr>
          <w:p w14:paraId="48453176">
            <w:pPr>
              <w:spacing w:line="360" w:lineRule="auto"/>
              <w:jc w:val="center"/>
              <w:rPr>
                <w:rFonts w:ascii="宋体" w:hAnsi="宋体"/>
                <w:b/>
                <w:bCs/>
                <w:color w:val="auto"/>
                <w:szCs w:val="21"/>
                <w:highlight w:val="none"/>
              </w:rPr>
            </w:pPr>
            <w:r>
              <w:rPr>
                <w:rFonts w:hint="eastAsia" w:ascii="宋体" w:hAnsi="宋体" w:cs="Arial"/>
                <w:b/>
                <w:bCs/>
                <w:color w:val="auto"/>
                <w:szCs w:val="21"/>
                <w:highlight w:val="none"/>
                <w:lang w:val="en-US" w:eastAsia="zh-CN"/>
              </w:rPr>
              <w:t xml:space="preserve"> 33</w:t>
            </w:r>
            <w:r>
              <w:rPr>
                <w:rFonts w:hint="eastAsia" w:ascii="宋体" w:hAnsi="宋体" w:cs="Arial"/>
                <w:b/>
                <w:bCs/>
                <w:color w:val="auto"/>
                <w:szCs w:val="21"/>
                <w:highlight w:val="none"/>
              </w:rPr>
              <w:t>万元</w:t>
            </w:r>
          </w:p>
        </w:tc>
        <w:tc>
          <w:tcPr>
            <w:tcW w:w="961" w:type="dxa"/>
            <w:noWrap/>
            <w:vAlign w:val="center"/>
          </w:tcPr>
          <w:p w14:paraId="2A9153A5">
            <w:pPr>
              <w:widowControl/>
              <w:spacing w:line="360" w:lineRule="auto"/>
              <w:jc w:val="center"/>
              <w:rPr>
                <w:rFonts w:ascii="宋体" w:hAnsi="宋体" w:cs="Arial"/>
                <w:b/>
                <w:bCs/>
                <w:color w:val="auto"/>
                <w:szCs w:val="21"/>
                <w:highlight w:val="none"/>
              </w:rPr>
            </w:pPr>
          </w:p>
        </w:tc>
      </w:tr>
    </w:tbl>
    <w:p w14:paraId="70E4E560">
      <w:pPr>
        <w:widowControl/>
        <w:spacing w:line="360" w:lineRule="auto"/>
        <w:rPr>
          <w:rFonts w:ascii="宋体" w:hAnsi="宋体"/>
          <w:b/>
          <w:bCs/>
          <w:szCs w:val="21"/>
        </w:rPr>
      </w:pPr>
      <w:r>
        <w:rPr>
          <w:rFonts w:hint="eastAsia" w:ascii="宋体" w:hAnsi="宋体" w:cs="宋体"/>
          <w:b/>
          <w:kern w:val="0"/>
          <w:szCs w:val="21"/>
        </w:rPr>
        <w:t>详见第三章   采购内容及技术要求</w:t>
      </w:r>
    </w:p>
    <w:p w14:paraId="6681A268">
      <w:pPr>
        <w:widowControl/>
        <w:spacing w:line="360" w:lineRule="auto"/>
        <w:jc w:val="left"/>
        <w:rPr>
          <w:rFonts w:ascii="宋体" w:hAnsi="宋体"/>
          <w:b/>
          <w:bCs/>
          <w:szCs w:val="21"/>
        </w:rPr>
      </w:pPr>
      <w:r>
        <w:rPr>
          <w:rFonts w:hint="eastAsia" w:ascii="宋体" w:hAnsi="宋体"/>
          <w:b/>
          <w:bCs/>
          <w:szCs w:val="21"/>
        </w:rPr>
        <w:t>二、</w:t>
      </w:r>
      <w:r>
        <w:rPr>
          <w:rFonts w:ascii="宋体" w:hAnsi="宋体"/>
          <w:b/>
          <w:bCs/>
          <w:szCs w:val="21"/>
        </w:rPr>
        <w:t>供应商资格要求：</w:t>
      </w:r>
    </w:p>
    <w:p w14:paraId="7907BF8A">
      <w:pPr>
        <w:widowControl/>
        <w:spacing w:line="360" w:lineRule="auto"/>
        <w:ind w:firstLine="420" w:firstLineChars="200"/>
        <w:jc w:val="left"/>
        <w:rPr>
          <w:rFonts w:ascii="宋体" w:hAnsi="宋体"/>
          <w:szCs w:val="21"/>
        </w:rPr>
      </w:pPr>
      <w:r>
        <w:rPr>
          <w:rFonts w:hint="eastAsia" w:ascii="宋体" w:hAnsi="宋体"/>
          <w:szCs w:val="21"/>
        </w:rPr>
        <w:t>A.</w:t>
      </w:r>
      <w:r>
        <w:rPr>
          <w:rFonts w:hint="eastAsia" w:ascii="宋体" w:hAnsi="宋体"/>
          <w:color w:val="000000"/>
          <w:szCs w:val="21"/>
        </w:rPr>
        <w:t>符合《中华人民共和国政府采购法》第二十二条的要求、财库【2016】125号《关于在政府采购活动中查询及使用信用记录有关问题的通知》；</w:t>
      </w:r>
    </w:p>
    <w:p w14:paraId="02F65341">
      <w:pPr>
        <w:spacing w:line="360" w:lineRule="auto"/>
        <w:ind w:firstLine="420" w:firstLineChars="200"/>
        <w:rPr>
          <w:rFonts w:ascii="宋体" w:hAnsi="宋体"/>
          <w:szCs w:val="21"/>
        </w:rPr>
      </w:pPr>
      <w:r>
        <w:rPr>
          <w:rFonts w:hint="eastAsia" w:ascii="宋体" w:hAnsi="宋体"/>
          <w:color w:val="000000"/>
          <w:szCs w:val="21"/>
          <w:lang w:val="zh-CN"/>
        </w:rPr>
        <w:t>B.</w:t>
      </w:r>
      <w:r>
        <w:rPr>
          <w:rFonts w:hint="eastAsia" w:ascii="宋体" w:hAnsi="宋体"/>
          <w:szCs w:val="21"/>
        </w:rPr>
        <w:t>拟磋商响应方必须是在中华人民共和国境内注册，且能提供本项目所要求服务内容的供应</w:t>
      </w:r>
      <w:r>
        <w:rPr>
          <w:rFonts w:hint="eastAsia" w:ascii="宋体" w:hAnsi="宋体"/>
          <w:color w:val="000000"/>
          <w:szCs w:val="21"/>
        </w:rPr>
        <w:t>商</w:t>
      </w:r>
      <w:r>
        <w:rPr>
          <w:rFonts w:hint="eastAsia" w:ascii="宋体" w:hAnsi="宋体"/>
          <w:szCs w:val="21"/>
        </w:rPr>
        <w:t>；（银行、保险、石油石化、电力、电信等特殊行业可以总公司所设立的区域性分支机构参与投标，但必须获得总公司（总机构）授权或其他有效财产证明材料）；</w:t>
      </w:r>
    </w:p>
    <w:p w14:paraId="045E1678">
      <w:pPr>
        <w:widowControl/>
        <w:spacing w:line="360" w:lineRule="auto"/>
        <w:ind w:firstLine="420" w:firstLineChars="200"/>
        <w:jc w:val="left"/>
        <w:rPr>
          <w:rFonts w:ascii="宋体" w:hAnsi="宋体"/>
          <w:szCs w:val="21"/>
          <w:lang w:val="zh-CN"/>
        </w:rPr>
      </w:pPr>
      <w:r>
        <w:rPr>
          <w:rFonts w:hint="eastAsia" w:ascii="宋体" w:hAnsi="宋体"/>
          <w:szCs w:val="21"/>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47E9A963">
      <w:pPr>
        <w:widowControl/>
        <w:spacing w:line="360" w:lineRule="auto"/>
        <w:jc w:val="left"/>
        <w:rPr>
          <w:rFonts w:ascii="宋体" w:hAnsi="宋体" w:cs="Arial"/>
          <w:b/>
          <w:color w:val="000000"/>
          <w:szCs w:val="21"/>
        </w:rPr>
      </w:pPr>
      <w:r>
        <w:rPr>
          <w:rFonts w:hint="eastAsia" w:ascii="宋体" w:hAnsi="宋体" w:cs="Arial"/>
          <w:b/>
          <w:color w:val="000000"/>
          <w:szCs w:val="21"/>
        </w:rPr>
        <w:t>三、项目报名方式，采购文件公告期限，采购文件依法获取方式及时间:</w:t>
      </w:r>
    </w:p>
    <w:p w14:paraId="26C60721">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1.本项目报名方式只接受浙江省政府采购网（政采云平台）网上报名，不接受供应商现场报名，供应商须在浙江省政府采购网（政采云平台）注册成为浙江省政府采购供应商方可进行网上报名；</w:t>
      </w:r>
    </w:p>
    <w:p w14:paraId="71F4B833">
      <w:pPr>
        <w:widowControl/>
        <w:spacing w:line="360" w:lineRule="auto"/>
        <w:ind w:firstLine="472" w:firstLineChars="225"/>
        <w:jc w:val="left"/>
        <w:rPr>
          <w:rFonts w:ascii="宋体" w:hAnsi="宋体"/>
          <w:color w:val="FF0000"/>
          <w:szCs w:val="21"/>
        </w:rPr>
      </w:pPr>
      <w:r>
        <w:rPr>
          <w:rFonts w:hint="eastAsia" w:ascii="宋体" w:hAnsi="宋体"/>
          <w:color w:val="000000"/>
          <w:szCs w:val="21"/>
        </w:rPr>
        <w:t>2.本项目采购文件公告期限：</w:t>
      </w:r>
      <w:r>
        <w:rPr>
          <w:rFonts w:hint="eastAsia" w:ascii="宋体" w:hAnsi="宋体"/>
          <w:b/>
          <w:bCs/>
          <w:color w:val="auto"/>
          <w:szCs w:val="21"/>
        </w:rPr>
        <w:t>202</w:t>
      </w: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val="en-US" w:eastAsia="zh-CN"/>
        </w:rPr>
        <w:t>2</w:t>
      </w:r>
      <w:r>
        <w:rPr>
          <w:rFonts w:hint="eastAsia" w:ascii="宋体" w:hAnsi="宋体"/>
          <w:b/>
          <w:bCs/>
          <w:color w:val="auto"/>
          <w:szCs w:val="21"/>
        </w:rPr>
        <w:t>-</w:t>
      </w:r>
      <w:r>
        <w:rPr>
          <w:rFonts w:hint="eastAsia" w:ascii="宋体" w:hAnsi="宋体"/>
          <w:b/>
          <w:bCs/>
          <w:color w:val="auto"/>
          <w:szCs w:val="21"/>
          <w:lang w:val="en-US" w:eastAsia="zh-CN"/>
        </w:rPr>
        <w:t>26</w:t>
      </w:r>
      <w:r>
        <w:rPr>
          <w:rFonts w:hint="eastAsia" w:ascii="宋体" w:hAnsi="宋体"/>
          <w:b/>
          <w:bCs/>
          <w:color w:val="auto"/>
          <w:szCs w:val="21"/>
        </w:rPr>
        <w:t>至202</w:t>
      </w: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val="en-US" w:eastAsia="zh-CN"/>
        </w:rPr>
        <w:t>3</w:t>
      </w:r>
      <w:r>
        <w:rPr>
          <w:rFonts w:hint="eastAsia" w:ascii="宋体" w:hAnsi="宋体"/>
          <w:b/>
          <w:bCs/>
          <w:color w:val="auto"/>
          <w:szCs w:val="21"/>
        </w:rPr>
        <w:t>-</w:t>
      </w:r>
      <w:r>
        <w:rPr>
          <w:rFonts w:hint="eastAsia" w:ascii="宋体" w:hAnsi="宋体"/>
          <w:b/>
          <w:bCs/>
          <w:color w:val="auto"/>
          <w:szCs w:val="21"/>
          <w:lang w:val="en-US" w:eastAsia="zh-CN"/>
        </w:rPr>
        <w:t xml:space="preserve">2 </w:t>
      </w:r>
      <w:r>
        <w:rPr>
          <w:rFonts w:hint="eastAsia" w:ascii="宋体" w:hAnsi="宋体"/>
          <w:b/>
          <w:bCs/>
          <w:color w:val="auto"/>
          <w:szCs w:val="21"/>
        </w:rPr>
        <w:t>(</w:t>
      </w:r>
      <w:r>
        <w:rPr>
          <w:rFonts w:hint="eastAsia" w:ascii="宋体" w:hAnsi="宋体"/>
          <w:b/>
          <w:color w:val="000000"/>
          <w:szCs w:val="21"/>
        </w:rPr>
        <w:t>采购文件公告期限届满后允许潜在供应商网上报名并依法获取采购文件, 供应商未按规定时间要求提出质疑的，则视同认可采购文件，但法律法规及规范性文件有明确规定的除外)</w:t>
      </w:r>
    </w:p>
    <w:p w14:paraId="49B6EDE6">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3.采购公告附件中的采购文件仅供阅览使用，供应商网上报名成功后可依法获取（下载）采购文件。</w:t>
      </w:r>
    </w:p>
    <w:p w14:paraId="46D409F2">
      <w:pPr>
        <w:widowControl/>
        <w:spacing w:line="360" w:lineRule="auto"/>
        <w:jc w:val="left"/>
        <w:rPr>
          <w:rFonts w:ascii="宋体" w:hAnsi="宋体"/>
          <w:b/>
          <w:bCs/>
          <w:szCs w:val="21"/>
        </w:rPr>
      </w:pPr>
      <w:r>
        <w:rPr>
          <w:rFonts w:hint="eastAsia" w:ascii="宋体" w:hAnsi="宋体"/>
          <w:b/>
          <w:bCs/>
          <w:szCs w:val="21"/>
        </w:rPr>
        <w:t>四、采购响应截止时间资格审查时应提供以下资料：</w:t>
      </w:r>
      <w:r>
        <w:rPr>
          <w:rFonts w:hint="eastAsia" w:ascii="宋体" w:hAnsi="宋体" w:cs="Arial"/>
          <w:b/>
          <w:color w:val="000000"/>
          <w:szCs w:val="21"/>
        </w:rPr>
        <w:t>【</w:t>
      </w:r>
      <w:r>
        <w:rPr>
          <w:rFonts w:hint="eastAsia" w:ascii="宋体" w:hAnsi="宋体"/>
          <w:b/>
          <w:color w:val="000000"/>
          <w:szCs w:val="21"/>
        </w:rPr>
        <w:t>供应商是否具有竞标资格由评审小组在评标时进行审查确认,</w:t>
      </w:r>
      <w:r>
        <w:rPr>
          <w:rFonts w:hint="eastAsia" w:ascii="宋体" w:hAnsi="宋体"/>
          <w:b/>
          <w:bCs/>
          <w:color w:val="000000"/>
          <w:szCs w:val="21"/>
        </w:rPr>
        <w:t xml:space="preserve"> 竞标截止时间止</w:t>
      </w:r>
      <w:r>
        <w:rPr>
          <w:rFonts w:hint="eastAsia" w:ascii="宋体" w:hAnsi="宋体"/>
          <w:b/>
          <w:color w:val="000000"/>
          <w:szCs w:val="21"/>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r>
        <w:rPr>
          <w:rFonts w:hint="eastAsia" w:ascii="宋体" w:hAnsi="宋体" w:cs="Arial"/>
          <w:b/>
          <w:color w:val="000000"/>
          <w:szCs w:val="21"/>
        </w:rPr>
        <w:t>】</w:t>
      </w:r>
    </w:p>
    <w:p w14:paraId="7DE663DE">
      <w:pPr>
        <w:widowControl/>
        <w:spacing w:line="360" w:lineRule="auto"/>
        <w:ind w:firstLine="472" w:firstLineChars="224"/>
        <w:jc w:val="left"/>
        <w:rPr>
          <w:rFonts w:ascii="宋体" w:hAnsi="宋体"/>
          <w:b/>
          <w:bCs/>
          <w:szCs w:val="21"/>
        </w:rPr>
      </w:pPr>
      <w:r>
        <w:rPr>
          <w:rFonts w:hint="eastAsia" w:ascii="宋体" w:hAnsi="宋体"/>
          <w:b/>
          <w:bCs/>
          <w:szCs w:val="21"/>
        </w:rPr>
        <w:t>A.磋商响应方的有效工商营业执照或法人证书复印件加盖公章；</w:t>
      </w:r>
    </w:p>
    <w:p w14:paraId="3619EB46">
      <w:pPr>
        <w:widowControl/>
        <w:spacing w:line="360" w:lineRule="auto"/>
        <w:ind w:firstLine="472" w:firstLineChars="224"/>
        <w:jc w:val="left"/>
        <w:rPr>
          <w:rFonts w:ascii="宋体" w:hAnsi="宋体"/>
          <w:b/>
          <w:bCs/>
          <w:szCs w:val="21"/>
        </w:rPr>
      </w:pPr>
      <w:r>
        <w:rPr>
          <w:rFonts w:hint="eastAsia" w:ascii="宋体" w:hAnsi="宋体"/>
          <w:b/>
          <w:bCs/>
          <w:szCs w:val="21"/>
        </w:rPr>
        <w:t>B.</w:t>
      </w:r>
      <w:r>
        <w:rPr>
          <w:rFonts w:hint="eastAsia" w:ascii="宋体" w:hAnsi="宋体"/>
          <w:b/>
          <w:szCs w:val="21"/>
        </w:rPr>
        <w:t>磋商响应方的</w:t>
      </w:r>
      <w:r>
        <w:rPr>
          <w:rFonts w:ascii="宋体" w:hAnsi="宋体"/>
          <w:b/>
          <w:szCs w:val="21"/>
        </w:rPr>
        <w:t>承诺函</w:t>
      </w:r>
      <w:r>
        <w:rPr>
          <w:rFonts w:hint="eastAsia" w:ascii="宋体" w:hAnsi="宋体"/>
          <w:b/>
          <w:szCs w:val="21"/>
        </w:rPr>
        <w:t>原件（格式见采购文件附件）；</w:t>
      </w:r>
    </w:p>
    <w:p w14:paraId="34EBF836">
      <w:pPr>
        <w:widowControl/>
        <w:spacing w:line="360" w:lineRule="auto"/>
        <w:ind w:firstLine="472" w:firstLineChars="224"/>
        <w:jc w:val="left"/>
        <w:rPr>
          <w:rFonts w:ascii="宋体" w:hAnsi="宋体"/>
          <w:b/>
          <w:bCs/>
          <w:szCs w:val="21"/>
        </w:rPr>
      </w:pPr>
      <w:r>
        <w:rPr>
          <w:rFonts w:hint="eastAsia" w:ascii="宋体" w:hAnsi="宋体"/>
          <w:b/>
          <w:bCs/>
          <w:szCs w:val="21"/>
        </w:rPr>
        <w:t>C.法定代表人授权书原件、被授权人身份证复印件一份（格式见采购文件附件）；</w:t>
      </w:r>
    </w:p>
    <w:p w14:paraId="77B02F0A">
      <w:pPr>
        <w:widowControl/>
        <w:spacing w:line="360" w:lineRule="auto"/>
        <w:ind w:firstLine="472" w:firstLineChars="224"/>
        <w:jc w:val="left"/>
        <w:rPr>
          <w:rFonts w:ascii="宋体" w:hAnsi="宋体"/>
          <w:b/>
          <w:bCs/>
          <w:szCs w:val="21"/>
        </w:rPr>
      </w:pPr>
      <w:r>
        <w:rPr>
          <w:rFonts w:hint="eastAsia" w:ascii="宋体" w:hAnsi="宋体"/>
          <w:b/>
          <w:bCs/>
          <w:szCs w:val="21"/>
        </w:rPr>
        <w:t>D.</w:t>
      </w:r>
      <w:r>
        <w:rPr>
          <w:rFonts w:hint="eastAsia" w:ascii="宋体" w:hAnsi="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49019693">
      <w:pPr>
        <w:widowControl/>
        <w:spacing w:line="360" w:lineRule="auto"/>
        <w:jc w:val="left"/>
        <w:rPr>
          <w:rFonts w:ascii="宋体" w:hAnsi="宋体"/>
          <w:b/>
          <w:bCs/>
          <w:szCs w:val="21"/>
        </w:rPr>
      </w:pPr>
      <w:r>
        <w:rPr>
          <w:rFonts w:hint="eastAsia" w:ascii="宋体" w:hAnsi="宋体"/>
          <w:b/>
          <w:bCs/>
          <w:szCs w:val="21"/>
        </w:rPr>
        <w:t>五、磋商答疑时间及现场勘查事项：</w:t>
      </w:r>
    </w:p>
    <w:p w14:paraId="1F5A6236">
      <w:pPr>
        <w:widowControl/>
        <w:spacing w:line="360" w:lineRule="auto"/>
        <w:ind w:firstLine="420" w:firstLineChars="200"/>
        <w:jc w:val="left"/>
        <w:rPr>
          <w:rFonts w:ascii="宋体" w:hAnsi="宋体"/>
          <w:color w:val="auto"/>
          <w:szCs w:val="21"/>
        </w:rPr>
      </w:pPr>
      <w:r>
        <w:rPr>
          <w:rFonts w:hint="eastAsia" w:ascii="宋体" w:hAnsi="宋体"/>
          <w:szCs w:val="21"/>
        </w:rPr>
        <w:t>1、任何要求澄清或质疑采购文件内容的磋商响应方，均应</w:t>
      </w:r>
      <w:r>
        <w:rPr>
          <w:rFonts w:hint="eastAsia" w:ascii="宋体" w:hAnsi="宋体"/>
          <w:color w:val="auto"/>
          <w:szCs w:val="21"/>
        </w:rPr>
        <w:t>在</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w:t>
      </w:r>
      <w:r>
        <w:rPr>
          <w:rFonts w:hint="eastAsia" w:ascii="宋体" w:hAnsi="宋体"/>
          <w:color w:val="auto"/>
          <w:szCs w:val="21"/>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7BB761A1">
      <w:pPr>
        <w:widowControl/>
        <w:spacing w:line="360" w:lineRule="auto"/>
        <w:ind w:left="420"/>
        <w:jc w:val="left"/>
        <w:rPr>
          <w:rFonts w:ascii="宋体" w:hAnsi="宋体"/>
          <w:color w:val="auto"/>
          <w:szCs w:val="21"/>
        </w:rPr>
      </w:pPr>
      <w:r>
        <w:rPr>
          <w:rFonts w:hint="eastAsia" w:ascii="宋体" w:hAnsi="宋体"/>
          <w:color w:val="auto"/>
          <w:szCs w:val="21"/>
        </w:rPr>
        <w:t>2、本项目建议供应商报名完成后自行联系采购人进行现场考察,不进行集中考察。</w:t>
      </w:r>
    </w:p>
    <w:p w14:paraId="609D6284">
      <w:pPr>
        <w:widowControl/>
        <w:spacing w:line="360" w:lineRule="auto"/>
        <w:jc w:val="left"/>
        <w:rPr>
          <w:rFonts w:ascii="宋体" w:hAnsi="宋体"/>
          <w:b/>
          <w:bCs/>
          <w:color w:val="auto"/>
          <w:szCs w:val="21"/>
        </w:rPr>
      </w:pPr>
      <w:r>
        <w:rPr>
          <w:rFonts w:hint="eastAsia" w:ascii="宋体" w:hAnsi="宋体"/>
          <w:b/>
          <w:bCs/>
          <w:color w:val="auto"/>
          <w:szCs w:val="21"/>
        </w:rPr>
        <w:t>六、磋商的</w:t>
      </w:r>
      <w:r>
        <w:rPr>
          <w:rFonts w:ascii="宋体" w:hAnsi="宋体"/>
          <w:b/>
          <w:bCs/>
          <w:color w:val="auto"/>
          <w:szCs w:val="21"/>
        </w:rPr>
        <w:t>时间及地点</w:t>
      </w:r>
      <w:r>
        <w:rPr>
          <w:rFonts w:hint="eastAsia" w:ascii="宋体" w:hAnsi="宋体"/>
          <w:b/>
          <w:bCs/>
          <w:color w:val="auto"/>
          <w:szCs w:val="21"/>
        </w:rPr>
        <w:t>：</w:t>
      </w:r>
    </w:p>
    <w:p w14:paraId="61B02696">
      <w:pPr>
        <w:widowControl/>
        <w:spacing w:line="360" w:lineRule="auto"/>
        <w:ind w:left="420"/>
        <w:jc w:val="left"/>
        <w:rPr>
          <w:rFonts w:ascii="宋体" w:hAnsi="宋体"/>
          <w:color w:val="auto"/>
          <w:szCs w:val="21"/>
        </w:rPr>
      </w:pPr>
      <w:r>
        <w:rPr>
          <w:rFonts w:hint="eastAsia" w:ascii="宋体" w:hAnsi="宋体"/>
          <w:color w:val="auto"/>
          <w:szCs w:val="21"/>
        </w:rPr>
        <w:t>1.递交采购响应电子备份文件时间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日，9:00～9:30（北京时间）；</w:t>
      </w:r>
    </w:p>
    <w:p w14:paraId="0E9DC326">
      <w:pPr>
        <w:widowControl/>
        <w:spacing w:line="360" w:lineRule="auto"/>
        <w:ind w:left="420"/>
        <w:jc w:val="left"/>
        <w:rPr>
          <w:rFonts w:ascii="宋体" w:hAnsi="宋体"/>
          <w:color w:val="auto"/>
          <w:szCs w:val="21"/>
        </w:rPr>
      </w:pPr>
      <w:r>
        <w:rPr>
          <w:rFonts w:hint="eastAsia" w:ascii="宋体" w:hAnsi="宋体"/>
          <w:color w:val="auto"/>
          <w:szCs w:val="21"/>
        </w:rPr>
        <w:t>2.采购响应电子备份文件递交截止时间：202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日，9:30止（北京时间）；</w:t>
      </w:r>
    </w:p>
    <w:p w14:paraId="2463B8EC">
      <w:pPr>
        <w:widowControl/>
        <w:spacing w:line="360" w:lineRule="auto"/>
        <w:ind w:left="420"/>
        <w:jc w:val="left"/>
        <w:rPr>
          <w:rFonts w:ascii="宋体" w:hAnsi="宋体"/>
          <w:color w:val="auto"/>
          <w:szCs w:val="21"/>
        </w:rPr>
      </w:pPr>
      <w:r>
        <w:rPr>
          <w:rFonts w:hint="eastAsia" w:ascii="宋体" w:hAnsi="宋体"/>
          <w:color w:val="auto"/>
          <w:szCs w:val="21"/>
        </w:rPr>
        <w:t>3.磋商时间：202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 xml:space="preserve">10 </w:t>
      </w:r>
      <w:r>
        <w:rPr>
          <w:rFonts w:hint="eastAsia" w:ascii="宋体" w:hAnsi="宋体"/>
          <w:color w:val="auto"/>
          <w:szCs w:val="21"/>
        </w:rPr>
        <w:t>日，9:30正（北京时间）；</w:t>
      </w:r>
    </w:p>
    <w:p w14:paraId="18674D2A">
      <w:pPr>
        <w:widowControl/>
        <w:spacing w:line="360" w:lineRule="auto"/>
        <w:ind w:left="479" w:leftChars="228"/>
        <w:jc w:val="left"/>
        <w:rPr>
          <w:rFonts w:ascii="宋体" w:hAnsi="宋体"/>
          <w:color w:val="auto"/>
          <w:szCs w:val="21"/>
        </w:rPr>
      </w:pPr>
      <w:r>
        <w:rPr>
          <w:rFonts w:hint="eastAsia" w:ascii="宋体" w:hAnsi="宋体"/>
          <w:color w:val="auto"/>
          <w:szCs w:val="21"/>
        </w:rPr>
        <w:t>4.采购响应文件递交及磋商地点：德清县武康街道永安街169号公共资源交易中心二楼</w:t>
      </w:r>
      <w:r>
        <w:rPr>
          <w:rFonts w:hint="eastAsia" w:ascii="宋体" w:hAnsi="宋体"/>
          <w:color w:val="auto"/>
          <w:szCs w:val="21"/>
        </w:rPr>
        <w:t>20</w:t>
      </w:r>
      <w:r>
        <w:rPr>
          <w:rFonts w:hint="eastAsia" w:ascii="宋体" w:hAnsi="宋体"/>
          <w:color w:val="auto"/>
          <w:szCs w:val="21"/>
          <w:lang w:val="en-US" w:eastAsia="zh-CN"/>
        </w:rPr>
        <w:t>2</w:t>
      </w:r>
      <w:r>
        <w:rPr>
          <w:rFonts w:hint="eastAsia" w:ascii="宋体" w:hAnsi="宋体"/>
          <w:color w:val="auto"/>
          <w:szCs w:val="21"/>
        </w:rPr>
        <w:t>开标室；</w:t>
      </w:r>
    </w:p>
    <w:p w14:paraId="603A339E">
      <w:pPr>
        <w:widowControl/>
        <w:spacing w:line="360" w:lineRule="auto"/>
        <w:ind w:firstLine="422" w:firstLineChars="200"/>
        <w:jc w:val="left"/>
        <w:rPr>
          <w:rFonts w:ascii="宋体" w:hAnsi="宋体"/>
          <w:b/>
          <w:szCs w:val="21"/>
        </w:rPr>
      </w:pPr>
      <w:r>
        <w:rPr>
          <w:rFonts w:hint="eastAsia" w:ascii="宋体" w:hAnsi="宋体"/>
          <w:b/>
          <w:szCs w:val="21"/>
        </w:rPr>
        <w:t>5.</w:t>
      </w:r>
      <w:r>
        <w:rPr>
          <w:rFonts w:ascii="宋体" w:hAnsi="宋体"/>
          <w:b/>
          <w:szCs w:val="21"/>
        </w:rPr>
        <w:t>供应商报名</w:t>
      </w:r>
      <w:r>
        <w:rPr>
          <w:rFonts w:hint="eastAsia" w:ascii="宋体" w:hAnsi="宋体"/>
          <w:b/>
          <w:szCs w:val="21"/>
        </w:rPr>
        <w:t>成功并获取采购文件后，</w:t>
      </w:r>
      <w:r>
        <w:rPr>
          <w:rFonts w:ascii="宋体" w:hAnsi="宋体"/>
          <w:b/>
          <w:szCs w:val="21"/>
        </w:rPr>
        <w:t>不得无故放弃磋商</w:t>
      </w:r>
      <w:r>
        <w:rPr>
          <w:rFonts w:hint="eastAsia" w:ascii="宋体" w:hAnsi="宋体"/>
          <w:b/>
          <w:szCs w:val="21"/>
        </w:rPr>
        <w:t>，</w:t>
      </w:r>
      <w:r>
        <w:rPr>
          <w:rFonts w:ascii="宋体" w:hAnsi="宋体"/>
          <w:b/>
          <w:szCs w:val="21"/>
        </w:rPr>
        <w:t>确有特殊情况不能参加磋商的</w:t>
      </w:r>
      <w:r>
        <w:rPr>
          <w:rFonts w:hint="eastAsia" w:ascii="宋体" w:hAnsi="宋体"/>
          <w:b/>
          <w:szCs w:val="21"/>
        </w:rPr>
        <w:t>，应在磋商截止时间2天前以书面形式陈述原因，以（信函、传真加盖磋商单位公章）等方式通知本代理机构，如在规定期内未收到磋商响应方书面函件，则视为磋商响应方同意参加磋商。</w:t>
      </w:r>
    </w:p>
    <w:p w14:paraId="57050E32">
      <w:pPr>
        <w:widowControl/>
        <w:spacing w:line="360" w:lineRule="auto"/>
        <w:jc w:val="left"/>
        <w:rPr>
          <w:rFonts w:ascii="宋体" w:hAnsi="宋体"/>
          <w:szCs w:val="21"/>
        </w:rPr>
      </w:pPr>
      <w:r>
        <w:rPr>
          <w:rFonts w:hint="eastAsia" w:ascii="宋体" w:hAnsi="宋体"/>
          <w:b/>
          <w:bCs/>
          <w:szCs w:val="21"/>
        </w:rPr>
        <w:t>七、磋商保证金：本项目不需要缴纳磋商保证金。</w:t>
      </w:r>
    </w:p>
    <w:p w14:paraId="19A07D0A">
      <w:pPr>
        <w:widowControl/>
        <w:spacing w:line="360" w:lineRule="auto"/>
        <w:jc w:val="left"/>
        <w:rPr>
          <w:rFonts w:ascii="宋体" w:hAnsi="宋体"/>
          <w:b/>
          <w:bCs/>
          <w:szCs w:val="21"/>
        </w:rPr>
      </w:pPr>
      <w:r>
        <w:rPr>
          <w:rFonts w:hint="eastAsia" w:ascii="宋体" w:hAnsi="宋体"/>
          <w:b/>
          <w:bCs/>
          <w:szCs w:val="21"/>
        </w:rPr>
        <w:t>八、竞标说明</w:t>
      </w:r>
    </w:p>
    <w:p w14:paraId="3A2230D3">
      <w:pPr>
        <w:widowControl/>
        <w:spacing w:line="360" w:lineRule="auto"/>
        <w:ind w:left="142" w:firstLine="247" w:firstLineChars="117"/>
        <w:jc w:val="left"/>
        <w:rPr>
          <w:rFonts w:ascii="宋体" w:hAnsi="宋体"/>
          <w:b/>
          <w:bCs/>
          <w:szCs w:val="21"/>
        </w:rPr>
      </w:pPr>
      <w:r>
        <w:rPr>
          <w:rFonts w:hint="eastAsia" w:ascii="宋体" w:hAnsi="宋体"/>
          <w:b/>
          <w:bCs/>
          <w:szCs w:val="21"/>
        </w:rPr>
        <w:t>1、本项目实行电子竞标，应按照本项目采购文件和政采云平台的要求编制、加密并递交磋商响应文件。供应商在使用系统进行竞标的过程中遇到涉及平台使用的任何问题，可致电政采云平台技术支持热线咨询，联系方式：</w:t>
      </w:r>
      <w:r>
        <w:rPr>
          <w:rFonts w:hint="eastAsia" w:ascii="宋体" w:hAnsi="宋体"/>
          <w:b/>
          <w:bCs/>
          <w:szCs w:val="21"/>
          <w:lang w:val="en-US" w:eastAsia="zh-CN"/>
        </w:rPr>
        <w:t>95763</w:t>
      </w:r>
      <w:r>
        <w:rPr>
          <w:rFonts w:hint="eastAsia" w:ascii="宋体" w:hAnsi="宋体"/>
          <w:b/>
          <w:bCs/>
          <w:szCs w:val="21"/>
        </w:rPr>
        <w:t>。</w:t>
      </w:r>
    </w:p>
    <w:p w14:paraId="0E18B8AF">
      <w:pPr>
        <w:widowControl/>
        <w:spacing w:line="360" w:lineRule="auto"/>
        <w:ind w:left="142" w:firstLine="247" w:firstLineChars="117"/>
        <w:jc w:val="left"/>
        <w:rPr>
          <w:rFonts w:ascii="宋体" w:hAnsi="宋体"/>
          <w:b/>
          <w:bCs/>
          <w:szCs w:val="21"/>
        </w:rPr>
      </w:pPr>
      <w:r>
        <w:rPr>
          <w:rFonts w:hint="eastAsia" w:ascii="宋体" w:hAnsi="宋体"/>
          <w:b/>
          <w:bCs/>
          <w:szCs w:val="21"/>
        </w:rPr>
        <w:t>2、供应商应在提交磋商响应文件前完成CA数字证书办理。（办理流程详见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b/>
          <w:bCs/>
          <w:szCs w:val="21"/>
        </w:rPr>
        <w:t>http://www.zjzfcg.gov.cn/bidClientTemplate/2019-05</w:t>
      </w:r>
      <w:bookmarkStart w:id="3" w:name="_Hlt12345974"/>
      <w:bookmarkStart w:id="4" w:name="_Hlt12345973"/>
      <w:r>
        <w:rPr>
          <w:rFonts w:hint="eastAsia" w:ascii="宋体" w:hAnsi="宋体"/>
          <w:b/>
          <w:bCs/>
          <w:szCs w:val="21"/>
        </w:rPr>
        <w:t>-</w:t>
      </w:r>
      <w:bookmarkEnd w:id="3"/>
      <w:bookmarkEnd w:id="4"/>
      <w:r>
        <w:rPr>
          <w:rFonts w:hint="eastAsia" w:ascii="宋体" w:hAnsi="宋体"/>
          <w:b/>
          <w:bCs/>
          <w:szCs w:val="21"/>
        </w:rPr>
        <w:t>27/12945.html</w:t>
      </w:r>
      <w:r>
        <w:rPr>
          <w:rFonts w:hint="eastAsia" w:ascii="宋体" w:hAnsi="宋体"/>
          <w:b/>
          <w:bCs/>
          <w:szCs w:val="21"/>
        </w:rPr>
        <w:fldChar w:fldCharType="end"/>
      </w:r>
      <w:r>
        <w:rPr>
          <w:rFonts w:hint="eastAsia" w:ascii="宋体" w:hAnsi="宋体"/>
          <w:b/>
          <w:bCs/>
          <w:szCs w:val="21"/>
        </w:rPr>
        <w:t>）。完成CA数字证书办理预计一至两周，建议各供应商抓紧时间办理。</w:t>
      </w:r>
    </w:p>
    <w:p w14:paraId="537980EB">
      <w:pPr>
        <w:widowControl/>
        <w:spacing w:line="360" w:lineRule="auto"/>
        <w:ind w:left="142" w:firstLine="247" w:firstLineChars="117"/>
        <w:jc w:val="left"/>
        <w:rPr>
          <w:rFonts w:ascii="宋体" w:hAnsi="宋体"/>
          <w:b/>
          <w:bCs/>
          <w:szCs w:val="21"/>
        </w:rPr>
      </w:pPr>
      <w:r>
        <w:rPr>
          <w:rFonts w:hint="eastAsia" w:ascii="宋体" w:hAnsi="宋体"/>
          <w:b/>
          <w:bCs/>
          <w:szCs w:val="21"/>
        </w:rPr>
        <w:t>3、供应商通过政采云平台电子投标工具制作磋商响应文件，电子投标工具请供应商自行前往浙江省政府采购网下载并安装，（下载网址：</w:t>
      </w:r>
      <w:r>
        <w:rPr>
          <w:rFonts w:ascii="宋体" w:hAnsi="宋体"/>
          <w:b/>
          <w:bCs/>
          <w:szCs w:val="21"/>
        </w:rPr>
        <w:t>http://www.zjzfcg.gov.cn/bidClientTemplate/2019-09-24/12975.html</w:t>
      </w:r>
      <w:r>
        <w:rPr>
          <w:rFonts w:hint="eastAsia" w:ascii="宋体" w:hAnsi="宋体"/>
          <w:b/>
          <w:bCs/>
          <w:szCs w:val="21"/>
        </w:rPr>
        <w:t>），供应商电子交易操作指南详见网址：</w:t>
      </w:r>
      <w:r>
        <w:rPr>
          <w:rFonts w:ascii="宋体" w:hAnsi="宋体"/>
          <w:b/>
          <w:bCs/>
          <w:szCs w:val="21"/>
        </w:rPr>
        <w:t>https://help.zcygov.cn/web/site_2/2018/12-28/2573.html</w:t>
      </w:r>
      <w:r>
        <w:rPr>
          <w:rFonts w:hint="eastAsia" w:ascii="宋体" w:hAnsi="宋体"/>
          <w:b/>
          <w:bCs/>
          <w:szCs w:val="21"/>
        </w:rPr>
        <w:t>）。</w:t>
      </w:r>
    </w:p>
    <w:p w14:paraId="0470A0CA">
      <w:pPr>
        <w:widowControl/>
        <w:spacing w:line="360" w:lineRule="auto"/>
        <w:ind w:left="142" w:firstLine="247" w:firstLineChars="117"/>
        <w:jc w:val="left"/>
        <w:rPr>
          <w:rFonts w:ascii="宋体" w:hAnsi="宋体"/>
          <w:b/>
          <w:bCs/>
          <w:szCs w:val="21"/>
        </w:rPr>
      </w:pPr>
      <w:r>
        <w:rPr>
          <w:rFonts w:hint="eastAsia" w:ascii="宋体" w:hAnsi="宋体"/>
          <w:b/>
          <w:bCs/>
          <w:szCs w:val="21"/>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200174B3">
      <w:pPr>
        <w:widowControl/>
        <w:spacing w:line="360" w:lineRule="auto"/>
        <w:ind w:left="142" w:firstLine="247" w:firstLineChars="117"/>
        <w:jc w:val="left"/>
        <w:rPr>
          <w:rFonts w:ascii="宋体" w:hAnsi="宋体"/>
          <w:b/>
          <w:bCs/>
          <w:szCs w:val="21"/>
        </w:rPr>
      </w:pPr>
      <w:r>
        <w:rPr>
          <w:rFonts w:hint="eastAsia" w:ascii="宋体" w:hAnsi="宋体"/>
          <w:b/>
          <w:bCs/>
          <w:szCs w:val="21"/>
        </w:rPr>
        <w:t>供应商应当在磋商响应截止时间前将备份电子磋商响应文件按要求密封送交到德清县公共资源交易中心</w:t>
      </w:r>
      <w:r>
        <w:rPr>
          <w:rFonts w:hint="eastAsia" w:ascii="宋体" w:hAnsi="宋体"/>
          <w:b/>
          <w:bCs/>
          <w:color w:val="auto"/>
          <w:szCs w:val="21"/>
        </w:rPr>
        <w:t>20</w:t>
      </w:r>
      <w:r>
        <w:rPr>
          <w:rFonts w:hint="eastAsia" w:ascii="宋体" w:hAnsi="宋体"/>
          <w:b/>
          <w:bCs/>
          <w:color w:val="auto"/>
          <w:szCs w:val="21"/>
          <w:lang w:val="en-US" w:eastAsia="zh-CN"/>
        </w:rPr>
        <w:t>2</w:t>
      </w:r>
      <w:r>
        <w:rPr>
          <w:rFonts w:hint="eastAsia" w:ascii="宋体" w:hAnsi="宋体"/>
          <w:b/>
          <w:bCs/>
          <w:szCs w:val="21"/>
        </w:rPr>
        <w:t>开标室（德清县武康街道永安街169号二楼），</w:t>
      </w:r>
      <w:r>
        <w:rPr>
          <w:rFonts w:hint="eastAsia" w:cs="宋体"/>
          <w:b/>
          <w:szCs w:val="21"/>
        </w:rPr>
        <w:t>如需邮寄，请在开标截止时间前24小时邮寄到浙江鑫润工程管理有限公司德清分公司（德清县武康街道五里牌路70号商会大厦5楼505室），</w:t>
      </w:r>
      <w:r>
        <w:rPr>
          <w:rFonts w:hint="eastAsia" w:ascii="宋体" w:hAnsi="宋体"/>
          <w:b/>
          <w:bCs/>
          <w:szCs w:val="21"/>
        </w:rPr>
        <w:t>逾期送达或未按要求密封将被拒收。如供应商未在磋商响应截止时间前完成电子磋商响应文件的传输递交，其备份电子磋商响应文件无效。</w:t>
      </w:r>
    </w:p>
    <w:p w14:paraId="0C9D5D52">
      <w:pPr>
        <w:widowControl/>
        <w:spacing w:line="360" w:lineRule="auto"/>
        <w:ind w:left="142"/>
        <w:jc w:val="left"/>
        <w:rPr>
          <w:rFonts w:ascii="宋体" w:hAnsi="宋体"/>
          <w:b/>
          <w:bCs/>
          <w:szCs w:val="21"/>
        </w:rPr>
      </w:pPr>
      <w:r>
        <w:rPr>
          <w:rFonts w:hint="eastAsia" w:ascii="宋体" w:hAnsi="宋体"/>
          <w:b/>
          <w:bCs/>
          <w:szCs w:val="21"/>
        </w:rPr>
        <w:t>九、</w:t>
      </w:r>
      <w:r>
        <w:rPr>
          <w:rFonts w:ascii="宋体" w:hAnsi="宋体"/>
          <w:b/>
          <w:bCs/>
          <w:szCs w:val="21"/>
        </w:rPr>
        <w:t>采购人、采购代理公司的名称、地址和联系方式</w:t>
      </w:r>
      <w:r>
        <w:rPr>
          <w:rFonts w:hint="eastAsia" w:ascii="宋体" w:hAnsi="宋体"/>
          <w:b/>
          <w:bCs/>
          <w:szCs w:val="21"/>
        </w:rPr>
        <w:t>：</w:t>
      </w:r>
    </w:p>
    <w:p w14:paraId="77206C10">
      <w:pPr>
        <w:snapToGrid w:val="0"/>
        <w:spacing w:before="120" w:beforeLines="50" w:after="120" w:afterLines="50" w:line="360" w:lineRule="auto"/>
        <w:ind w:firstLine="472" w:firstLineChars="225"/>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1、采购人名称：</w:t>
      </w:r>
      <w:r>
        <w:rPr>
          <w:rFonts w:hint="eastAsia" w:ascii="宋体" w:hAnsi="宋体" w:cs="宋体"/>
          <w:bCs/>
          <w:kern w:val="0"/>
          <w:sz w:val="21"/>
          <w:szCs w:val="21"/>
          <w:lang w:val="en-US" w:eastAsia="zh-CN"/>
        </w:rPr>
        <w:t>德清县文化和广电旅游体育局</w:t>
      </w:r>
    </w:p>
    <w:p w14:paraId="0E0C4DC4">
      <w:pPr>
        <w:snapToGrid w:val="0"/>
        <w:spacing w:before="120" w:beforeLines="50" w:after="120" w:afterLines="50" w:line="360" w:lineRule="auto"/>
        <w:ind w:firstLine="472" w:firstLineChars="225"/>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联系人：</w:t>
      </w:r>
      <w:r>
        <w:rPr>
          <w:rFonts w:hint="eastAsia" w:ascii="宋体" w:hAnsi="宋体" w:cs="Times New Roman"/>
          <w:sz w:val="21"/>
          <w:szCs w:val="21"/>
          <w:highlight w:val="none"/>
          <w:lang w:val="en-US" w:eastAsia="zh-CN"/>
        </w:rPr>
        <w:t>邬先生</w:t>
      </w:r>
    </w:p>
    <w:p w14:paraId="0223B915">
      <w:pPr>
        <w:snapToGrid w:val="0"/>
        <w:spacing w:beforeLines="50" w:afterLines="50" w:line="360" w:lineRule="auto"/>
        <w:ind w:firstLine="472" w:firstLineChars="225"/>
        <w:rPr>
          <w:rFonts w:hint="eastAsia" w:ascii="宋体" w:hAnsi="宋体" w:cs="Arial"/>
          <w:sz w:val="21"/>
          <w:szCs w:val="21"/>
        </w:rPr>
      </w:pPr>
      <w:r>
        <w:rPr>
          <w:rFonts w:hint="eastAsia" w:ascii="宋体" w:hAnsi="宋体" w:eastAsia="宋体" w:cs="Times New Roman"/>
          <w:color w:val="auto"/>
          <w:sz w:val="21"/>
          <w:szCs w:val="21"/>
          <w:highlight w:val="none"/>
        </w:rPr>
        <w:t>联系电话：</w:t>
      </w:r>
      <w:r>
        <w:rPr>
          <w:rFonts w:hint="eastAsia" w:ascii="宋体" w:hAnsi="宋体" w:cs="Times New Roman"/>
          <w:color w:val="auto"/>
          <w:sz w:val="21"/>
          <w:szCs w:val="21"/>
          <w:highlight w:val="none"/>
          <w:lang w:val="en-US" w:eastAsia="zh-CN"/>
        </w:rPr>
        <w:t>0572-8060429</w:t>
      </w:r>
      <w:r>
        <w:rPr>
          <w:rFonts w:hint="eastAsia" w:ascii="宋体" w:hAnsi="宋体" w:cs="Arial"/>
          <w:sz w:val="21"/>
          <w:szCs w:val="21"/>
        </w:rPr>
        <w:t xml:space="preserve"> </w:t>
      </w:r>
    </w:p>
    <w:p w14:paraId="6512E20D">
      <w:pPr>
        <w:snapToGrid w:val="0"/>
        <w:spacing w:beforeLines="50" w:afterLines="50" w:line="360" w:lineRule="auto"/>
        <w:ind w:firstLine="472" w:firstLineChars="225"/>
        <w:rPr>
          <w:rFonts w:hint="default" w:ascii="宋体" w:hAnsi="宋体" w:cs="Arial"/>
          <w:sz w:val="21"/>
          <w:szCs w:val="21"/>
          <w:lang w:val="en-US"/>
        </w:rPr>
      </w:pPr>
      <w:r>
        <w:rPr>
          <w:rFonts w:hint="eastAsia" w:ascii="宋体" w:hAnsi="宋体" w:cs="Arial"/>
          <w:sz w:val="21"/>
          <w:szCs w:val="21"/>
        </w:rPr>
        <w:t>地址：</w:t>
      </w:r>
      <w:r>
        <w:rPr>
          <w:rFonts w:hint="eastAsia" w:ascii="宋体" w:hAnsi="宋体" w:cs="Arial"/>
          <w:sz w:val="21"/>
          <w:szCs w:val="21"/>
          <w:lang w:eastAsia="zh-CN"/>
        </w:rPr>
        <w:t>德清县武康街道千秋街</w:t>
      </w:r>
      <w:r>
        <w:rPr>
          <w:rFonts w:hint="eastAsia" w:ascii="宋体" w:hAnsi="宋体" w:cs="Arial"/>
          <w:sz w:val="21"/>
          <w:szCs w:val="21"/>
          <w:lang w:val="en-US" w:eastAsia="zh-CN"/>
        </w:rPr>
        <w:t>528号</w:t>
      </w:r>
    </w:p>
    <w:p w14:paraId="7EA40794">
      <w:pPr>
        <w:snapToGrid w:val="0"/>
        <w:spacing w:beforeLines="50" w:afterLines="50" w:line="360" w:lineRule="auto"/>
        <w:ind w:firstLine="472" w:firstLineChars="225"/>
        <w:rPr>
          <w:rFonts w:ascii="宋体" w:hAnsi="宋体" w:cs="Arial"/>
          <w:szCs w:val="21"/>
        </w:rPr>
      </w:pPr>
      <w:r>
        <w:rPr>
          <w:rFonts w:hint="eastAsia" w:ascii="宋体" w:hAnsi="宋体" w:cs="Arial"/>
          <w:szCs w:val="21"/>
        </w:rPr>
        <w:t>2、采购代理公司名称：浙江鑫润工程管理有限公司</w:t>
      </w:r>
    </w:p>
    <w:p w14:paraId="67C9BB06">
      <w:pPr>
        <w:snapToGrid w:val="0"/>
        <w:spacing w:beforeLines="50" w:afterLines="50" w:line="360" w:lineRule="auto"/>
        <w:ind w:firstLine="472" w:firstLineChars="225"/>
        <w:rPr>
          <w:rFonts w:ascii="宋体" w:hAnsi="宋体" w:cs="Arial"/>
          <w:color w:val="000000"/>
          <w:szCs w:val="21"/>
        </w:rPr>
      </w:pPr>
      <w:r>
        <w:rPr>
          <w:rFonts w:hint="eastAsia" w:ascii="宋体" w:hAnsi="宋体" w:cs="Arial"/>
          <w:color w:val="000000"/>
          <w:szCs w:val="21"/>
        </w:rPr>
        <w:t>联系人：姚燕虹 联系电话：0572-8299115</w:t>
      </w:r>
    </w:p>
    <w:p w14:paraId="26F01129">
      <w:pPr>
        <w:pStyle w:val="73"/>
        <w:spacing w:line="360" w:lineRule="auto"/>
        <w:ind w:firstLine="420" w:firstLineChars="200"/>
        <w:rPr>
          <w:rFonts w:hAnsi="宋体" w:cs="Arial"/>
          <w:color w:val="000000"/>
          <w:szCs w:val="21"/>
        </w:rPr>
      </w:pPr>
      <w:r>
        <w:rPr>
          <w:rFonts w:hint="eastAsia" w:hAnsi="宋体" w:cs="Arial"/>
          <w:color w:val="000000"/>
          <w:szCs w:val="21"/>
        </w:rPr>
        <w:t>质疑受理人：俞晓俊  质疑联系电话：0572-8299115</w:t>
      </w:r>
    </w:p>
    <w:p w14:paraId="6909CDEB">
      <w:pPr>
        <w:snapToGrid w:val="0"/>
        <w:spacing w:beforeLines="50" w:afterLines="50" w:line="360" w:lineRule="auto"/>
        <w:ind w:firstLine="472" w:firstLineChars="225"/>
        <w:rPr>
          <w:rFonts w:ascii="宋体" w:hAnsi="宋体" w:cs="Arial"/>
          <w:color w:val="000000"/>
          <w:szCs w:val="21"/>
        </w:rPr>
      </w:pPr>
      <w:r>
        <w:rPr>
          <w:rFonts w:hint="eastAsia" w:ascii="宋体" w:hAnsi="宋体" w:cs="Arial"/>
          <w:color w:val="000000"/>
          <w:szCs w:val="21"/>
        </w:rPr>
        <w:t>地址：</w:t>
      </w:r>
      <w:r>
        <w:rPr>
          <w:rFonts w:hint="eastAsia" w:ascii="宋体" w:hAnsi="宋体" w:cs="宋体"/>
          <w:kern w:val="0"/>
          <w:szCs w:val="21"/>
        </w:rPr>
        <w:t>德清县武康镇五里牌路70号商会大厦5楼505室</w:t>
      </w:r>
    </w:p>
    <w:p w14:paraId="2BE7FEB9">
      <w:pPr>
        <w:snapToGrid w:val="0"/>
        <w:spacing w:beforeLines="50" w:afterLines="50" w:line="360" w:lineRule="auto"/>
        <w:ind w:firstLine="472" w:firstLineChars="225"/>
        <w:rPr>
          <w:rFonts w:ascii="宋体" w:hAnsi="宋体" w:cs="Arial"/>
          <w:szCs w:val="21"/>
        </w:rPr>
      </w:pPr>
      <w:r>
        <w:rPr>
          <w:rFonts w:hint="eastAsia" w:ascii="宋体" w:hAnsi="宋体" w:cs="Arial"/>
          <w:szCs w:val="21"/>
        </w:rPr>
        <w:t>3、政府采购监督管理部门名称：德清县财政局</w:t>
      </w:r>
    </w:p>
    <w:p w14:paraId="16459B99">
      <w:pPr>
        <w:snapToGrid w:val="0"/>
        <w:spacing w:beforeLines="50" w:afterLines="50" w:line="360" w:lineRule="auto"/>
        <w:ind w:firstLine="472" w:firstLineChars="225"/>
        <w:rPr>
          <w:rFonts w:ascii="宋体" w:hAnsi="宋体" w:cs="Arial"/>
          <w:szCs w:val="21"/>
        </w:rPr>
      </w:pPr>
      <w:r>
        <w:rPr>
          <w:rFonts w:hint="eastAsia" w:ascii="宋体" w:hAnsi="宋体" w:cs="Arial"/>
          <w:szCs w:val="21"/>
        </w:rPr>
        <w:t>联系人：姚女士监督投诉电话/传真：0572-</w:t>
      </w:r>
      <w:r>
        <w:rPr>
          <w:rFonts w:ascii="宋体" w:hAnsi="宋体" w:cs="Arial"/>
          <w:szCs w:val="21"/>
        </w:rPr>
        <w:t>8280</w:t>
      </w:r>
      <w:r>
        <w:rPr>
          <w:rFonts w:hint="eastAsia" w:ascii="宋体" w:hAnsi="宋体" w:cs="Arial"/>
          <w:szCs w:val="21"/>
        </w:rPr>
        <w:t>257</w:t>
      </w:r>
    </w:p>
    <w:p w14:paraId="5D13AF61">
      <w:pPr>
        <w:snapToGrid w:val="0"/>
        <w:spacing w:beforeLines="50" w:afterLines="50" w:line="360" w:lineRule="auto"/>
        <w:ind w:firstLine="472" w:firstLineChars="225"/>
        <w:rPr>
          <w:rFonts w:ascii="宋体" w:hAnsi="宋体" w:cs="Arial"/>
          <w:szCs w:val="21"/>
        </w:rPr>
      </w:pPr>
      <w:r>
        <w:rPr>
          <w:rFonts w:hint="eastAsia" w:ascii="宋体" w:hAnsi="宋体" w:cs="Arial"/>
          <w:szCs w:val="21"/>
        </w:rPr>
        <w:t>地址：德清县舞阳街228号</w:t>
      </w:r>
    </w:p>
    <w:p w14:paraId="3D5F8EBF">
      <w:pPr>
        <w:widowControl/>
        <w:spacing w:line="360" w:lineRule="auto"/>
        <w:ind w:left="142"/>
        <w:jc w:val="left"/>
        <w:rPr>
          <w:rFonts w:ascii="宋体" w:hAnsi="宋体"/>
          <w:b/>
          <w:bCs/>
          <w:szCs w:val="21"/>
        </w:rPr>
      </w:pPr>
      <w:r>
        <w:rPr>
          <w:rFonts w:hint="eastAsia" w:ascii="宋体" w:hAnsi="宋体"/>
          <w:b/>
          <w:bCs/>
          <w:szCs w:val="21"/>
        </w:rPr>
        <w:t>十、本次采购项目相关信息发布媒体：</w:t>
      </w:r>
    </w:p>
    <w:p w14:paraId="303948A2">
      <w:pPr>
        <w:widowControl/>
        <w:spacing w:line="360" w:lineRule="auto"/>
        <w:ind w:left="420"/>
        <w:jc w:val="left"/>
        <w:rPr>
          <w:rFonts w:ascii="宋体" w:hAnsi="宋体" w:cs="宋体"/>
          <w:kern w:val="0"/>
          <w:szCs w:val="21"/>
        </w:rPr>
      </w:pPr>
      <w:r>
        <w:rPr>
          <w:rFonts w:hint="eastAsia" w:ascii="宋体" w:hAnsi="宋体" w:cs="宋体"/>
          <w:kern w:val="0"/>
          <w:szCs w:val="21"/>
        </w:rPr>
        <w:t>1.浙江省政府采购网：</w:t>
      </w:r>
      <w:r>
        <w:fldChar w:fldCharType="begin"/>
      </w:r>
      <w:r>
        <w:instrText xml:space="preserve"> HYPERLINK "http://www.zjzfcg.gov.cn" </w:instrText>
      </w:r>
      <w:r>
        <w:fldChar w:fldCharType="separate"/>
      </w:r>
      <w:r>
        <w:rPr>
          <w:rFonts w:ascii="宋体" w:hAnsi="宋体" w:cs="宋体"/>
          <w:kern w:val="0"/>
          <w:szCs w:val="21"/>
          <w:u w:val="single"/>
        </w:rPr>
        <w:t>http://www.zjzfcg.gov.cn</w:t>
      </w:r>
      <w:r>
        <w:rPr>
          <w:rFonts w:ascii="宋体" w:hAnsi="宋体" w:cs="宋体"/>
          <w:kern w:val="0"/>
          <w:szCs w:val="21"/>
          <w:u w:val="single"/>
        </w:rPr>
        <w:fldChar w:fldCharType="end"/>
      </w:r>
    </w:p>
    <w:p w14:paraId="4D63152B">
      <w:pPr>
        <w:widowControl/>
        <w:spacing w:line="360" w:lineRule="auto"/>
        <w:ind w:left="420"/>
        <w:jc w:val="left"/>
        <w:rPr>
          <w:rFonts w:ascii="宋体" w:hAnsi="宋体" w:cs="宋体"/>
          <w:kern w:val="0"/>
          <w:szCs w:val="21"/>
        </w:rPr>
      </w:pPr>
      <w:r>
        <w:rPr>
          <w:rFonts w:hint="eastAsia" w:ascii="宋体" w:hAnsi="宋体" w:cs="宋体"/>
          <w:kern w:val="0"/>
          <w:szCs w:val="21"/>
        </w:rPr>
        <w:t>2.德清县公共资源交易网：</w:t>
      </w:r>
      <w:r>
        <w:fldChar w:fldCharType="begin"/>
      </w:r>
      <w:r>
        <w:instrText xml:space="preserve"> HYPERLINK "http://www.dqztb.gov.cn" </w:instrText>
      </w:r>
      <w:r>
        <w:fldChar w:fldCharType="separate"/>
      </w:r>
      <w:r>
        <w:rPr>
          <w:rFonts w:ascii="宋体" w:hAnsi="宋体" w:cs="宋体"/>
          <w:kern w:val="0"/>
          <w:szCs w:val="21"/>
          <w:u w:val="single"/>
        </w:rPr>
        <w:t>http://www.dqztb.gov.cn</w:t>
      </w:r>
      <w:r>
        <w:rPr>
          <w:rFonts w:ascii="宋体" w:hAnsi="宋体" w:cs="宋体"/>
          <w:kern w:val="0"/>
          <w:szCs w:val="21"/>
          <w:u w:val="single"/>
        </w:rPr>
        <w:fldChar w:fldCharType="end"/>
      </w:r>
    </w:p>
    <w:p w14:paraId="7C34D920">
      <w:pPr>
        <w:widowControl/>
        <w:spacing w:line="360" w:lineRule="auto"/>
        <w:ind w:left="142"/>
        <w:jc w:val="left"/>
        <w:rPr>
          <w:rFonts w:ascii="宋体" w:hAnsi="宋体"/>
          <w:b/>
          <w:bCs/>
          <w:szCs w:val="21"/>
        </w:rPr>
      </w:pPr>
      <w:r>
        <w:rPr>
          <w:rFonts w:hint="eastAsia" w:ascii="宋体" w:hAnsi="宋体"/>
          <w:b/>
          <w:bCs/>
          <w:szCs w:val="21"/>
        </w:rPr>
        <w:t>十一、本磋商文件的解释权归本代理机构所有。</w:t>
      </w:r>
    </w:p>
    <w:p w14:paraId="0611FD26">
      <w:pPr>
        <w:wordWrap w:val="0"/>
        <w:spacing w:line="360" w:lineRule="auto"/>
        <w:ind w:firstLine="4533" w:firstLineChars="2150"/>
        <w:jc w:val="right"/>
        <w:rPr>
          <w:rFonts w:ascii="宋体" w:hAnsi="宋体" w:cs="宋体"/>
          <w:b/>
          <w:color w:val="FF0000"/>
          <w:kern w:val="0"/>
          <w:szCs w:val="21"/>
        </w:rPr>
      </w:pPr>
    </w:p>
    <w:p w14:paraId="05D33204">
      <w:pPr>
        <w:wordWrap w:val="0"/>
        <w:spacing w:line="360" w:lineRule="auto"/>
        <w:jc w:val="right"/>
        <w:rPr>
          <w:rFonts w:ascii="宋体" w:hAnsi="宋体"/>
          <w:b/>
          <w:kern w:val="44"/>
          <w:sz w:val="36"/>
          <w:szCs w:val="20"/>
        </w:rPr>
      </w:pPr>
      <w:r>
        <w:rPr>
          <w:rFonts w:ascii="宋体" w:hAnsi="宋体" w:cs="宋体"/>
          <w:b/>
          <w:color w:val="auto"/>
          <w:kern w:val="0"/>
          <w:szCs w:val="21"/>
        </w:rPr>
        <w:t>202</w:t>
      </w:r>
      <w:r>
        <w:rPr>
          <w:rFonts w:hint="eastAsia" w:ascii="宋体" w:hAnsi="宋体" w:cs="宋体"/>
          <w:b/>
          <w:color w:val="auto"/>
          <w:kern w:val="0"/>
          <w:szCs w:val="21"/>
          <w:lang w:val="en-US" w:eastAsia="zh-CN"/>
        </w:rPr>
        <w:t>5</w:t>
      </w:r>
      <w:r>
        <w:rPr>
          <w:rFonts w:ascii="宋体" w:hAnsi="宋体" w:cs="宋体"/>
          <w:b/>
          <w:color w:val="auto"/>
          <w:kern w:val="0"/>
          <w:szCs w:val="21"/>
        </w:rPr>
        <w:t>年</w:t>
      </w:r>
      <w:r>
        <w:rPr>
          <w:rFonts w:hint="eastAsia" w:ascii="宋体" w:hAnsi="宋体" w:cs="宋体"/>
          <w:b/>
          <w:color w:val="auto"/>
          <w:kern w:val="0"/>
          <w:szCs w:val="21"/>
          <w:lang w:val="en-US" w:eastAsia="zh-CN"/>
        </w:rPr>
        <w:t>2</w:t>
      </w:r>
      <w:r>
        <w:rPr>
          <w:rFonts w:ascii="宋体" w:hAnsi="宋体" w:cs="宋体"/>
          <w:b/>
          <w:color w:val="auto"/>
          <w:kern w:val="0"/>
          <w:szCs w:val="21"/>
        </w:rPr>
        <w:t>月</w:t>
      </w:r>
      <w:r>
        <w:rPr>
          <w:rFonts w:hint="eastAsia" w:ascii="宋体" w:hAnsi="宋体" w:cs="宋体"/>
          <w:b/>
          <w:color w:val="auto"/>
          <w:kern w:val="0"/>
          <w:szCs w:val="21"/>
          <w:lang w:val="en-US" w:eastAsia="zh-CN"/>
        </w:rPr>
        <w:t>25</w:t>
      </w:r>
      <w:r>
        <w:rPr>
          <w:rFonts w:ascii="宋体" w:hAnsi="宋体" w:cs="宋体"/>
          <w:b/>
          <w:color w:val="auto"/>
          <w:kern w:val="0"/>
          <w:szCs w:val="21"/>
        </w:rPr>
        <w:t>日</w:t>
      </w:r>
      <w:r>
        <w:rPr>
          <w:rFonts w:ascii="宋体" w:hAnsi="宋体"/>
          <w:b/>
          <w:color w:val="auto"/>
          <w:szCs w:val="21"/>
        </w:rPr>
        <w:br w:type="page"/>
      </w:r>
      <w:r>
        <w:rPr>
          <w:rFonts w:hint="eastAsia" w:ascii="宋体" w:hAnsi="宋体"/>
          <w:b/>
          <w:kern w:val="44"/>
          <w:sz w:val="36"/>
          <w:szCs w:val="20"/>
        </w:rPr>
        <w:t xml:space="preserve">第二章 竞争性磋商须知                </w:t>
      </w:r>
    </w:p>
    <w:tbl>
      <w:tblPr>
        <w:tblStyle w:val="62"/>
        <w:tblW w:w="10296" w:type="dxa"/>
        <w:tblInd w:w="-2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570"/>
      </w:tblGrid>
      <w:tr w14:paraId="3435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26" w:type="dxa"/>
            <w:tcBorders>
              <w:top w:val="single" w:color="auto" w:sz="4" w:space="0"/>
              <w:left w:val="single" w:color="auto" w:sz="4" w:space="0"/>
              <w:bottom w:val="single" w:color="auto" w:sz="4" w:space="0"/>
              <w:right w:val="single" w:color="auto" w:sz="4" w:space="0"/>
            </w:tcBorders>
            <w:vAlign w:val="center"/>
          </w:tcPr>
          <w:p w14:paraId="08D1A93C">
            <w:pPr>
              <w:snapToGrid w:val="0"/>
              <w:spacing w:line="360" w:lineRule="auto"/>
              <w:jc w:val="center"/>
              <w:rPr>
                <w:rFonts w:ascii="宋体" w:hAnsi="宋体"/>
                <w:b/>
                <w:bCs/>
                <w:color w:val="000000"/>
                <w:szCs w:val="21"/>
              </w:rPr>
            </w:pPr>
            <w:r>
              <w:rPr>
                <w:rFonts w:hint="eastAsia" w:ascii="宋体" w:hAnsi="宋体"/>
                <w:b/>
                <w:bCs/>
                <w:color w:val="000000"/>
                <w:szCs w:val="21"/>
              </w:rPr>
              <w:t>序号</w:t>
            </w:r>
          </w:p>
        </w:tc>
        <w:tc>
          <w:tcPr>
            <w:tcW w:w="9570" w:type="dxa"/>
            <w:tcBorders>
              <w:top w:val="single" w:color="auto" w:sz="4" w:space="0"/>
              <w:left w:val="single" w:color="auto" w:sz="4" w:space="0"/>
              <w:bottom w:val="single" w:color="auto" w:sz="4" w:space="0"/>
              <w:right w:val="single" w:color="auto" w:sz="4" w:space="0"/>
            </w:tcBorders>
            <w:vAlign w:val="center"/>
          </w:tcPr>
          <w:p w14:paraId="10AEC80D">
            <w:pPr>
              <w:snapToGrid w:val="0"/>
              <w:spacing w:line="360" w:lineRule="auto"/>
              <w:jc w:val="center"/>
              <w:rPr>
                <w:rFonts w:ascii="宋体" w:hAnsi="宋体"/>
                <w:b/>
                <w:bCs/>
                <w:color w:val="000000"/>
                <w:szCs w:val="21"/>
              </w:rPr>
            </w:pPr>
            <w:r>
              <w:rPr>
                <w:rFonts w:hint="eastAsia" w:ascii="宋体" w:hAnsi="宋体"/>
                <w:b/>
                <w:bCs/>
                <w:color w:val="000000"/>
                <w:szCs w:val="21"/>
              </w:rPr>
              <w:t>内容、要求</w:t>
            </w:r>
          </w:p>
        </w:tc>
      </w:tr>
      <w:tr w14:paraId="14E3A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26" w:type="dxa"/>
            <w:tcBorders>
              <w:top w:val="single" w:color="auto" w:sz="4" w:space="0"/>
              <w:left w:val="single" w:color="auto" w:sz="4" w:space="0"/>
              <w:bottom w:val="single" w:color="auto" w:sz="4" w:space="0"/>
              <w:right w:val="single" w:color="auto" w:sz="4" w:space="0"/>
            </w:tcBorders>
            <w:vAlign w:val="center"/>
          </w:tcPr>
          <w:p w14:paraId="3920043B">
            <w:pPr>
              <w:snapToGrid w:val="0"/>
              <w:spacing w:line="360" w:lineRule="auto"/>
              <w:jc w:val="center"/>
              <w:rPr>
                <w:rFonts w:ascii="宋体" w:hAnsi="宋体"/>
                <w:color w:val="000000"/>
                <w:szCs w:val="21"/>
              </w:rPr>
            </w:pPr>
            <w:r>
              <w:rPr>
                <w:rFonts w:ascii="宋体" w:hAnsi="宋体"/>
                <w:color w:val="000000"/>
                <w:szCs w:val="21"/>
              </w:rPr>
              <w:t>1</w:t>
            </w:r>
          </w:p>
        </w:tc>
        <w:tc>
          <w:tcPr>
            <w:tcW w:w="9570" w:type="dxa"/>
            <w:tcBorders>
              <w:top w:val="single" w:color="auto" w:sz="4" w:space="0"/>
              <w:left w:val="single" w:color="auto" w:sz="4" w:space="0"/>
              <w:bottom w:val="single" w:color="auto" w:sz="4" w:space="0"/>
              <w:right w:val="single" w:color="auto" w:sz="4" w:space="0"/>
            </w:tcBorders>
            <w:vAlign w:val="center"/>
          </w:tcPr>
          <w:p w14:paraId="0AA27E2E">
            <w:pPr>
              <w:widowControl/>
              <w:spacing w:line="360" w:lineRule="auto"/>
              <w:rPr>
                <w:rFonts w:ascii="宋体" w:hAnsi="宋体"/>
                <w:color w:val="auto"/>
                <w:szCs w:val="21"/>
              </w:rPr>
            </w:pPr>
            <w:r>
              <w:rPr>
                <w:rFonts w:hint="eastAsia" w:ascii="宋体" w:hAnsi="宋体"/>
                <w:color w:val="auto"/>
                <w:szCs w:val="21"/>
              </w:rPr>
              <w:t>项目名称：</w:t>
            </w:r>
            <w:r>
              <w:rPr>
                <w:rFonts w:hint="eastAsia" w:ascii="宋体" w:hAnsi="宋体" w:eastAsia="宋体" w:cs="Times New Roman"/>
                <w:b w:val="0"/>
                <w:bCs w:val="0"/>
                <w:color w:val="auto"/>
                <w:szCs w:val="21"/>
                <w:lang w:val="en-US" w:eastAsia="zh-CN"/>
              </w:rPr>
              <w:t>德清县文化和广电旅游体育局（</w:t>
            </w:r>
            <w:r>
              <w:rPr>
                <w:rFonts w:hint="eastAsia" w:ascii="宋体" w:hAnsi="宋体" w:cs="Times New Roman"/>
                <w:b w:val="0"/>
                <w:bCs w:val="0"/>
                <w:color w:val="auto"/>
                <w:szCs w:val="21"/>
                <w:lang w:val="en-US" w:eastAsia="zh-CN"/>
              </w:rPr>
              <w:t>含</w:t>
            </w:r>
            <w:r>
              <w:rPr>
                <w:rFonts w:hint="eastAsia" w:ascii="宋体" w:hAnsi="宋体" w:eastAsia="宋体" w:cs="Times New Roman"/>
                <w:b w:val="0"/>
                <w:bCs w:val="0"/>
                <w:color w:val="auto"/>
                <w:szCs w:val="21"/>
                <w:lang w:val="en-US" w:eastAsia="zh-CN"/>
              </w:rPr>
              <w:t>下属单位）202</w:t>
            </w:r>
            <w:r>
              <w:rPr>
                <w:rFonts w:hint="eastAsia" w:ascii="宋体" w:hAnsi="宋体" w:cs="Times New Roman"/>
                <w:b w:val="0"/>
                <w:bCs w:val="0"/>
                <w:color w:val="auto"/>
                <w:szCs w:val="21"/>
                <w:lang w:val="en-US" w:eastAsia="zh-CN"/>
              </w:rPr>
              <w:t>5</w:t>
            </w:r>
            <w:r>
              <w:rPr>
                <w:rFonts w:hint="eastAsia" w:ascii="宋体" w:hAnsi="宋体" w:eastAsia="宋体" w:cs="Times New Roman"/>
                <w:b w:val="0"/>
                <w:bCs w:val="0"/>
                <w:color w:val="auto"/>
                <w:szCs w:val="21"/>
                <w:lang w:val="en-US" w:eastAsia="zh-CN"/>
              </w:rPr>
              <w:t>年职工疗休养采购项目</w:t>
            </w:r>
          </w:p>
        </w:tc>
      </w:tr>
      <w:tr w14:paraId="58A8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6" w:type="dxa"/>
            <w:tcBorders>
              <w:top w:val="single" w:color="auto" w:sz="4" w:space="0"/>
              <w:left w:val="single" w:color="auto" w:sz="4" w:space="0"/>
              <w:bottom w:val="single" w:color="auto" w:sz="4" w:space="0"/>
              <w:right w:val="single" w:color="auto" w:sz="4" w:space="0"/>
            </w:tcBorders>
            <w:vAlign w:val="center"/>
          </w:tcPr>
          <w:p w14:paraId="63074C24">
            <w:pPr>
              <w:snapToGrid w:val="0"/>
              <w:spacing w:line="360" w:lineRule="auto"/>
              <w:jc w:val="center"/>
              <w:rPr>
                <w:rFonts w:ascii="宋体" w:hAnsi="宋体"/>
                <w:color w:val="000000"/>
                <w:szCs w:val="21"/>
              </w:rPr>
            </w:pPr>
            <w:r>
              <w:rPr>
                <w:rFonts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14:paraId="55CE576C">
            <w:pPr>
              <w:snapToGrid w:val="0"/>
              <w:spacing w:line="360" w:lineRule="auto"/>
              <w:rPr>
                <w:rFonts w:ascii="宋体" w:hAnsi="宋体"/>
                <w:color w:val="auto"/>
                <w:szCs w:val="21"/>
              </w:rPr>
            </w:pPr>
            <w:r>
              <w:rPr>
                <w:rFonts w:hint="eastAsia" w:ascii="宋体" w:hAnsi="宋体"/>
                <w:color w:val="auto"/>
                <w:szCs w:val="21"/>
              </w:rPr>
              <w:t>采购数量及单位：</w:t>
            </w:r>
            <w:r>
              <w:rPr>
                <w:rFonts w:hint="eastAsia" w:ascii="宋体" w:hAnsi="宋体"/>
                <w:b/>
                <w:color w:val="auto"/>
                <w:szCs w:val="21"/>
                <w:lang w:val="zh-CN"/>
              </w:rPr>
              <w:t>详见第三章内容</w:t>
            </w:r>
          </w:p>
        </w:tc>
      </w:tr>
      <w:tr w14:paraId="4B49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26" w:type="dxa"/>
            <w:tcBorders>
              <w:top w:val="single" w:color="auto" w:sz="4" w:space="0"/>
              <w:left w:val="single" w:color="auto" w:sz="4" w:space="0"/>
              <w:bottom w:val="single" w:color="auto" w:sz="4" w:space="0"/>
              <w:right w:val="single" w:color="auto" w:sz="4" w:space="0"/>
            </w:tcBorders>
            <w:vAlign w:val="center"/>
          </w:tcPr>
          <w:p w14:paraId="7BA17E88">
            <w:pPr>
              <w:snapToGrid w:val="0"/>
              <w:spacing w:line="360" w:lineRule="auto"/>
              <w:jc w:val="center"/>
              <w:rPr>
                <w:rFonts w:ascii="宋体" w:hAnsi="宋体"/>
                <w:color w:val="000000"/>
                <w:szCs w:val="21"/>
              </w:rPr>
            </w:pPr>
            <w:r>
              <w:rPr>
                <w:rFonts w:ascii="宋体" w:hAnsi="宋体"/>
                <w:color w:val="000000"/>
                <w:szCs w:val="21"/>
              </w:rPr>
              <w:t>3</w:t>
            </w:r>
          </w:p>
        </w:tc>
        <w:tc>
          <w:tcPr>
            <w:tcW w:w="9570" w:type="dxa"/>
            <w:tcBorders>
              <w:top w:val="single" w:color="auto" w:sz="4" w:space="0"/>
              <w:left w:val="single" w:color="auto" w:sz="4" w:space="0"/>
              <w:bottom w:val="single" w:color="auto" w:sz="4" w:space="0"/>
              <w:right w:val="single" w:color="auto" w:sz="4" w:space="0"/>
            </w:tcBorders>
            <w:vAlign w:val="center"/>
          </w:tcPr>
          <w:p w14:paraId="74965865">
            <w:pPr>
              <w:snapToGrid w:val="0"/>
              <w:spacing w:line="360" w:lineRule="auto"/>
              <w:rPr>
                <w:rFonts w:ascii="宋体" w:hAnsi="宋体"/>
                <w:color w:val="auto"/>
                <w:szCs w:val="21"/>
              </w:rPr>
            </w:pPr>
            <w:r>
              <w:rPr>
                <w:rFonts w:hint="eastAsia" w:ascii="宋体" w:hAnsi="宋体"/>
                <w:color w:val="auto"/>
                <w:szCs w:val="21"/>
              </w:rPr>
              <w:t>磋商报价及费用：</w:t>
            </w:r>
            <w:r>
              <w:rPr>
                <w:rFonts w:ascii="宋体" w:hAnsi="宋体"/>
                <w:color w:val="auto"/>
                <w:szCs w:val="21"/>
              </w:rPr>
              <w:t>1</w:t>
            </w:r>
            <w:r>
              <w:rPr>
                <w:rFonts w:hint="eastAsia" w:ascii="宋体" w:hAnsi="宋体"/>
                <w:color w:val="auto"/>
                <w:szCs w:val="21"/>
              </w:rPr>
              <w:t>、本竞争性磋商项目报价以人民币为结算货币。</w:t>
            </w:r>
          </w:p>
          <w:p w14:paraId="514B4992">
            <w:pPr>
              <w:snapToGrid w:val="0"/>
              <w:spacing w:line="360" w:lineRule="auto"/>
              <w:rPr>
                <w:rFonts w:ascii="宋体" w:hAnsi="宋体"/>
                <w:color w:val="auto"/>
                <w:szCs w:val="21"/>
              </w:rPr>
            </w:pPr>
            <w:r>
              <w:rPr>
                <w:rFonts w:ascii="宋体" w:hAnsi="宋体"/>
                <w:color w:val="auto"/>
                <w:szCs w:val="21"/>
              </w:rPr>
              <w:t>2</w:t>
            </w:r>
            <w:r>
              <w:rPr>
                <w:rFonts w:hint="eastAsia" w:ascii="宋体" w:hAnsi="宋体"/>
                <w:color w:val="auto"/>
                <w:szCs w:val="21"/>
              </w:rPr>
              <w:t>、不论磋商结果如何，磋商响应方均应自行承担所有与磋商有关的全部费用。</w:t>
            </w:r>
          </w:p>
          <w:p w14:paraId="27CE1FFA">
            <w:pPr>
              <w:snapToGrid w:val="0"/>
              <w:spacing w:line="360" w:lineRule="auto"/>
              <w:rPr>
                <w:rFonts w:ascii="宋体" w:hAnsi="宋体"/>
                <w:color w:val="auto"/>
                <w:szCs w:val="21"/>
              </w:rPr>
            </w:pPr>
            <w:r>
              <w:rPr>
                <w:rFonts w:hint="eastAsia" w:ascii="宋体" w:hAnsi="宋体"/>
                <w:b/>
                <w:bCs/>
                <w:color w:val="auto"/>
                <w:szCs w:val="21"/>
              </w:rPr>
              <w:t>3、本项目招代理服务费捌仟元整（8000元），</w:t>
            </w:r>
            <w:r>
              <w:rPr>
                <w:rFonts w:hint="eastAsia" w:ascii="宋体" w:hAnsi="宋体" w:cs="宋体"/>
                <w:b/>
                <w:bCs/>
                <w:color w:val="auto"/>
                <w:szCs w:val="21"/>
              </w:rPr>
              <w:t>该费用由招标代理公司在签发中标通知书时向采购单位收取。</w:t>
            </w:r>
          </w:p>
        </w:tc>
      </w:tr>
      <w:tr w14:paraId="1DF40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726" w:type="dxa"/>
            <w:tcBorders>
              <w:top w:val="single" w:color="auto" w:sz="4" w:space="0"/>
              <w:left w:val="single" w:color="auto" w:sz="4" w:space="0"/>
              <w:bottom w:val="single" w:color="auto" w:sz="4" w:space="0"/>
              <w:right w:val="single" w:color="auto" w:sz="4" w:space="0"/>
            </w:tcBorders>
            <w:vAlign w:val="center"/>
          </w:tcPr>
          <w:p w14:paraId="2C7C854A">
            <w:pPr>
              <w:snapToGrid w:val="0"/>
              <w:spacing w:line="360" w:lineRule="auto"/>
              <w:jc w:val="center"/>
              <w:rPr>
                <w:rFonts w:ascii="宋体" w:hAnsi="宋体"/>
                <w:color w:val="000000"/>
                <w:szCs w:val="21"/>
              </w:rPr>
            </w:pPr>
            <w:r>
              <w:rPr>
                <w:rFonts w:ascii="宋体" w:hAnsi="宋体"/>
                <w:color w:val="000000"/>
                <w:szCs w:val="21"/>
              </w:rPr>
              <w:t>4</w:t>
            </w:r>
          </w:p>
        </w:tc>
        <w:tc>
          <w:tcPr>
            <w:tcW w:w="9570" w:type="dxa"/>
            <w:tcBorders>
              <w:top w:val="single" w:color="auto" w:sz="4" w:space="0"/>
              <w:left w:val="single" w:color="auto" w:sz="4" w:space="0"/>
              <w:bottom w:val="single" w:color="auto" w:sz="4" w:space="0"/>
              <w:right w:val="single" w:color="auto" w:sz="4" w:space="0"/>
            </w:tcBorders>
            <w:vAlign w:val="center"/>
          </w:tcPr>
          <w:p w14:paraId="01AC806D">
            <w:pPr>
              <w:snapToGrid w:val="0"/>
              <w:spacing w:line="360" w:lineRule="auto"/>
              <w:rPr>
                <w:rFonts w:ascii="宋体" w:hAnsi="宋体"/>
                <w:szCs w:val="21"/>
              </w:rPr>
            </w:pPr>
            <w:r>
              <w:rPr>
                <w:rFonts w:hint="eastAsia" w:ascii="宋体" w:hAnsi="宋体"/>
                <w:szCs w:val="21"/>
              </w:rPr>
              <w:t>答疑与澄清：如磋商响应方如认为采购文件表述不清晰、存在歧视性、排他性或者其他违法内容的，应当于</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w:t>
            </w:r>
            <w:r>
              <w:rPr>
                <w:rFonts w:hint="eastAsia" w:ascii="宋体" w:hAnsi="宋体"/>
                <w:szCs w:val="21"/>
              </w:rPr>
              <w:t>下午4点前，以书面形式要求采购单位作出书面解释、澄清或者向采购单位提出书面质疑</w:t>
            </w:r>
            <w:r>
              <w:rPr>
                <w:rFonts w:hint="eastAsia" w:ascii="宋体" w:hAnsi="宋体"/>
                <w:b/>
                <w:szCs w:val="21"/>
              </w:rPr>
              <w:t>（逾期将不再受理），</w:t>
            </w:r>
            <w:r>
              <w:rPr>
                <w:rFonts w:hint="eastAsia" w:ascii="宋体" w:hAnsi="宋体"/>
                <w:szCs w:val="21"/>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688D3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26" w:type="dxa"/>
            <w:tcBorders>
              <w:top w:val="single" w:color="auto" w:sz="4" w:space="0"/>
              <w:left w:val="single" w:color="auto" w:sz="4" w:space="0"/>
              <w:bottom w:val="single" w:color="auto" w:sz="4" w:space="0"/>
              <w:right w:val="single" w:color="auto" w:sz="4" w:space="0"/>
            </w:tcBorders>
            <w:vAlign w:val="center"/>
          </w:tcPr>
          <w:p w14:paraId="09E3F710">
            <w:pPr>
              <w:snapToGrid w:val="0"/>
              <w:spacing w:line="360" w:lineRule="auto"/>
              <w:jc w:val="center"/>
              <w:rPr>
                <w:rFonts w:ascii="宋体" w:hAnsi="宋体"/>
                <w:color w:val="000000"/>
                <w:szCs w:val="21"/>
              </w:rPr>
            </w:pPr>
            <w:r>
              <w:rPr>
                <w:rFonts w:ascii="宋体" w:hAnsi="宋体"/>
                <w:color w:val="000000"/>
                <w:szCs w:val="21"/>
              </w:rPr>
              <w:t>5</w:t>
            </w:r>
          </w:p>
        </w:tc>
        <w:tc>
          <w:tcPr>
            <w:tcW w:w="9570" w:type="dxa"/>
            <w:tcBorders>
              <w:top w:val="single" w:color="auto" w:sz="4" w:space="0"/>
              <w:left w:val="single" w:color="auto" w:sz="4" w:space="0"/>
              <w:bottom w:val="single" w:color="auto" w:sz="4" w:space="0"/>
              <w:right w:val="single" w:color="auto" w:sz="4" w:space="0"/>
            </w:tcBorders>
            <w:vAlign w:val="center"/>
          </w:tcPr>
          <w:p w14:paraId="0EF0371E">
            <w:pPr>
              <w:autoSpaceDE w:val="0"/>
              <w:autoSpaceDN w:val="0"/>
              <w:snapToGrid w:val="0"/>
              <w:spacing w:line="360" w:lineRule="auto"/>
              <w:textAlignment w:val="bottom"/>
              <w:rPr>
                <w:rFonts w:ascii="宋体" w:hAnsi="宋体"/>
                <w:szCs w:val="21"/>
              </w:rPr>
            </w:pPr>
            <w:r>
              <w:rPr>
                <w:rFonts w:hint="eastAsia" w:ascii="宋体" w:hAnsi="宋体" w:cs="Arial"/>
                <w:b/>
                <w:szCs w:val="21"/>
              </w:rPr>
              <w:t>本项目实行政采云在线竞标，</w:t>
            </w:r>
            <w:r>
              <w:rPr>
                <w:rFonts w:hint="eastAsia" w:ascii="宋体" w:hAnsi="宋体"/>
                <w:b/>
                <w:szCs w:val="21"/>
              </w:rPr>
              <w:t>磋商响应文件组成：</w:t>
            </w:r>
          </w:p>
          <w:p w14:paraId="2844D016">
            <w:pPr>
              <w:wordWrap w:val="0"/>
              <w:spacing w:line="360" w:lineRule="auto"/>
              <w:rPr>
                <w:rFonts w:ascii="宋体" w:hAnsi="宋体" w:cs="Arial"/>
                <w:b/>
                <w:szCs w:val="21"/>
              </w:rPr>
            </w:pPr>
            <w:r>
              <w:rPr>
                <w:rFonts w:hint="eastAsia" w:ascii="宋体" w:hAnsi="宋体" w:cs="Arial"/>
                <w:b/>
                <w:szCs w:val="21"/>
              </w:rPr>
              <w:t>（1）电子磋商响应文件：按政采云平台供应商项目采购-电子交易操作指南（网址：</w:t>
            </w:r>
            <w:r>
              <w:rPr>
                <w:rFonts w:ascii="宋体" w:hAnsi="宋体"/>
                <w:b/>
                <w:szCs w:val="21"/>
              </w:rPr>
              <w:t>https://help.zcygov.cn/web/site_2/2018/12-28/2573.html</w:t>
            </w:r>
            <w:r>
              <w:rPr>
                <w:rFonts w:hint="eastAsia" w:ascii="宋体" w:hAnsi="宋体" w:cs="Arial"/>
                <w:b/>
                <w:szCs w:val="21"/>
              </w:rPr>
              <w:t>）及本采购文件要求递交。</w:t>
            </w:r>
          </w:p>
          <w:p w14:paraId="10CC05C2">
            <w:pPr>
              <w:wordWrap w:val="0"/>
              <w:spacing w:line="360" w:lineRule="auto"/>
              <w:rPr>
                <w:rFonts w:ascii="宋体" w:hAnsi="宋体" w:cs="Arial"/>
                <w:b/>
                <w:szCs w:val="21"/>
              </w:rPr>
            </w:pPr>
            <w:r>
              <w:rPr>
                <w:rFonts w:hint="eastAsia" w:ascii="宋体" w:hAnsi="宋体" w:cs="Arial"/>
                <w:b/>
                <w:szCs w:val="21"/>
              </w:rPr>
              <w:t>（2）备份电子磋商响应文件，按政采云平台项目采购-电子招投标操作指南中上传的电子磋商响应文件格式，以光盘或U盘形式提供。内容与电子磋商响应文件保持一致。数量为1份。</w:t>
            </w:r>
          </w:p>
        </w:tc>
      </w:tr>
      <w:tr w14:paraId="620A1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14:paraId="4CD77955">
            <w:pPr>
              <w:snapToGrid w:val="0"/>
              <w:spacing w:line="360" w:lineRule="auto"/>
              <w:jc w:val="center"/>
              <w:rPr>
                <w:rFonts w:ascii="宋体" w:hAnsi="宋体"/>
                <w:color w:val="000000"/>
                <w:szCs w:val="21"/>
              </w:rPr>
            </w:pPr>
            <w:r>
              <w:rPr>
                <w:rFonts w:ascii="宋体" w:hAnsi="宋体"/>
                <w:color w:val="000000"/>
                <w:szCs w:val="21"/>
              </w:rPr>
              <w:t>6</w:t>
            </w:r>
          </w:p>
        </w:tc>
        <w:tc>
          <w:tcPr>
            <w:tcW w:w="9570" w:type="dxa"/>
            <w:tcBorders>
              <w:top w:val="single" w:color="auto" w:sz="4" w:space="0"/>
              <w:left w:val="single" w:color="auto" w:sz="4" w:space="0"/>
              <w:bottom w:val="single" w:color="auto" w:sz="4" w:space="0"/>
              <w:right w:val="single" w:color="auto" w:sz="4" w:space="0"/>
            </w:tcBorders>
            <w:vAlign w:val="center"/>
          </w:tcPr>
          <w:p w14:paraId="1DD85F68">
            <w:pPr>
              <w:snapToGrid w:val="0"/>
              <w:spacing w:line="360" w:lineRule="auto"/>
              <w:rPr>
                <w:rFonts w:ascii="宋体" w:hAnsi="宋体"/>
                <w:color w:val="auto"/>
                <w:szCs w:val="21"/>
              </w:rPr>
            </w:pPr>
            <w:r>
              <w:rPr>
                <w:rFonts w:hint="eastAsia" w:ascii="宋体" w:hAnsi="宋体"/>
                <w:color w:val="auto"/>
                <w:szCs w:val="21"/>
              </w:rPr>
              <w:t>采购响应文件提交截止时间及地点：202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日9时30分德清县武康街道永安街169号公共资源交易中心二楼20</w:t>
            </w:r>
            <w:r>
              <w:rPr>
                <w:rFonts w:hint="eastAsia" w:ascii="宋体" w:hAnsi="宋体"/>
                <w:color w:val="auto"/>
                <w:szCs w:val="21"/>
                <w:lang w:val="en-US" w:eastAsia="zh-CN"/>
              </w:rPr>
              <w:t>2</w:t>
            </w:r>
            <w:r>
              <w:rPr>
                <w:rFonts w:hint="eastAsia" w:ascii="宋体" w:hAnsi="宋体"/>
                <w:color w:val="auto"/>
                <w:szCs w:val="21"/>
              </w:rPr>
              <w:t>开标室。</w:t>
            </w:r>
          </w:p>
        </w:tc>
      </w:tr>
      <w:tr w14:paraId="33878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6" w:type="dxa"/>
            <w:tcBorders>
              <w:top w:val="single" w:color="auto" w:sz="4" w:space="0"/>
              <w:left w:val="single" w:color="auto" w:sz="4" w:space="0"/>
              <w:bottom w:val="single" w:color="auto" w:sz="4" w:space="0"/>
              <w:right w:val="single" w:color="auto" w:sz="4" w:space="0"/>
            </w:tcBorders>
            <w:vAlign w:val="center"/>
          </w:tcPr>
          <w:p w14:paraId="310C2E25">
            <w:pPr>
              <w:snapToGrid w:val="0"/>
              <w:spacing w:line="360" w:lineRule="auto"/>
              <w:jc w:val="center"/>
              <w:rPr>
                <w:rFonts w:ascii="宋体" w:hAnsi="宋体"/>
                <w:color w:val="000000"/>
                <w:szCs w:val="21"/>
              </w:rPr>
            </w:pPr>
            <w:r>
              <w:rPr>
                <w:rFonts w:ascii="宋体" w:hAnsi="宋体"/>
                <w:color w:val="000000"/>
                <w:szCs w:val="21"/>
              </w:rPr>
              <w:t>7</w:t>
            </w:r>
          </w:p>
        </w:tc>
        <w:tc>
          <w:tcPr>
            <w:tcW w:w="9570" w:type="dxa"/>
            <w:tcBorders>
              <w:top w:val="single" w:color="auto" w:sz="4" w:space="0"/>
              <w:left w:val="single" w:color="auto" w:sz="4" w:space="0"/>
              <w:bottom w:val="single" w:color="auto" w:sz="4" w:space="0"/>
              <w:right w:val="single" w:color="auto" w:sz="4" w:space="0"/>
            </w:tcBorders>
            <w:vAlign w:val="center"/>
          </w:tcPr>
          <w:p w14:paraId="18BD3A56">
            <w:pPr>
              <w:tabs>
                <w:tab w:val="left" w:pos="7421"/>
              </w:tabs>
              <w:snapToGrid w:val="0"/>
              <w:spacing w:line="360" w:lineRule="auto"/>
              <w:rPr>
                <w:rFonts w:ascii="宋体" w:hAnsi="宋体"/>
                <w:color w:val="auto"/>
                <w:szCs w:val="21"/>
              </w:rPr>
            </w:pPr>
            <w:r>
              <w:rPr>
                <w:rFonts w:hint="eastAsia" w:ascii="宋体" w:hAnsi="宋体"/>
                <w:color w:val="auto"/>
                <w:szCs w:val="21"/>
              </w:rPr>
              <w:t>磋商时间及地点：202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日9时30分德清县武康街道永安街169号公共资源交易中心二楼20</w:t>
            </w:r>
            <w:r>
              <w:rPr>
                <w:rFonts w:hint="eastAsia" w:ascii="宋体" w:hAnsi="宋体"/>
                <w:color w:val="auto"/>
                <w:szCs w:val="21"/>
                <w:lang w:val="en-US" w:eastAsia="zh-CN"/>
              </w:rPr>
              <w:t>2</w:t>
            </w:r>
            <w:r>
              <w:rPr>
                <w:rFonts w:hint="eastAsia" w:ascii="宋体" w:hAnsi="宋体"/>
                <w:color w:val="auto"/>
                <w:szCs w:val="21"/>
              </w:rPr>
              <w:t>开标室。</w:t>
            </w:r>
          </w:p>
        </w:tc>
      </w:tr>
      <w:tr w14:paraId="64FA4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dxa"/>
            <w:tcBorders>
              <w:top w:val="single" w:color="auto" w:sz="4" w:space="0"/>
              <w:left w:val="single" w:color="auto" w:sz="4" w:space="0"/>
              <w:bottom w:val="single" w:color="auto" w:sz="4" w:space="0"/>
              <w:right w:val="single" w:color="auto" w:sz="4" w:space="0"/>
            </w:tcBorders>
            <w:vAlign w:val="center"/>
          </w:tcPr>
          <w:p w14:paraId="3035DE77">
            <w:pPr>
              <w:snapToGrid w:val="0"/>
              <w:spacing w:line="360" w:lineRule="auto"/>
              <w:jc w:val="center"/>
              <w:rPr>
                <w:rFonts w:ascii="宋体" w:hAnsi="宋体"/>
                <w:color w:val="000000"/>
                <w:szCs w:val="21"/>
              </w:rPr>
            </w:pPr>
            <w:r>
              <w:rPr>
                <w:rFonts w:ascii="宋体" w:hAnsi="宋体"/>
                <w:color w:val="000000"/>
                <w:szCs w:val="21"/>
              </w:rPr>
              <w:t>8</w:t>
            </w:r>
          </w:p>
        </w:tc>
        <w:tc>
          <w:tcPr>
            <w:tcW w:w="9570" w:type="dxa"/>
            <w:tcBorders>
              <w:top w:val="single" w:color="auto" w:sz="4" w:space="0"/>
              <w:left w:val="single" w:color="auto" w:sz="4" w:space="0"/>
              <w:bottom w:val="single" w:color="auto" w:sz="4" w:space="0"/>
              <w:right w:val="single" w:color="auto" w:sz="4" w:space="0"/>
            </w:tcBorders>
            <w:vAlign w:val="center"/>
          </w:tcPr>
          <w:p w14:paraId="0D479D48">
            <w:pPr>
              <w:spacing w:line="360" w:lineRule="auto"/>
              <w:rPr>
                <w:rFonts w:ascii="宋体" w:hAnsi="宋体" w:cs="Arial"/>
                <w:b/>
                <w:color w:val="FF0000"/>
                <w:szCs w:val="21"/>
              </w:rPr>
            </w:pPr>
            <w:r>
              <w:rPr>
                <w:rFonts w:hint="eastAsia" w:ascii="宋体" w:hAnsi="宋体"/>
                <w:b/>
                <w:szCs w:val="21"/>
              </w:rPr>
              <w:t>磋商响应文件的接收：</w:t>
            </w:r>
          </w:p>
          <w:p w14:paraId="5792E6F6">
            <w:pPr>
              <w:spacing w:line="360" w:lineRule="auto"/>
              <w:rPr>
                <w:rFonts w:ascii="宋体" w:hAnsi="宋体" w:cs="Arial"/>
                <w:b/>
                <w:szCs w:val="21"/>
              </w:rPr>
            </w:pPr>
            <w:r>
              <w:rPr>
                <w:rFonts w:hint="eastAsia" w:ascii="宋体" w:hAnsi="宋体" w:cs="Arial"/>
                <w:b/>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0B731410">
            <w:pPr>
              <w:spacing w:line="360" w:lineRule="auto"/>
              <w:ind w:firstLine="405" w:firstLineChars="192"/>
              <w:rPr>
                <w:rFonts w:ascii="宋体" w:hAnsi="宋体" w:cs="Arial"/>
                <w:b/>
                <w:szCs w:val="21"/>
              </w:rPr>
            </w:pPr>
            <w:r>
              <w:rPr>
                <w:rFonts w:hint="eastAsia" w:ascii="宋体" w:hAnsi="宋体" w:cs="Arial"/>
                <w:b/>
                <w:szCs w:val="21"/>
              </w:rPr>
              <w:t>供应商应当在磋商响应截止时间前将备份电子磋商响应文件密封送交到德清县公共资源交易中心</w:t>
            </w:r>
            <w:r>
              <w:rPr>
                <w:rFonts w:hint="eastAsia" w:ascii="宋体" w:hAnsi="宋体" w:cs="Arial"/>
                <w:b/>
                <w:color w:val="auto"/>
                <w:szCs w:val="21"/>
                <w:u w:val="single"/>
              </w:rPr>
              <w:t>20</w:t>
            </w:r>
            <w:r>
              <w:rPr>
                <w:rFonts w:hint="eastAsia" w:ascii="宋体" w:hAnsi="宋体" w:cs="Arial"/>
                <w:b/>
                <w:color w:val="auto"/>
                <w:szCs w:val="21"/>
                <w:u w:val="single"/>
                <w:lang w:val="en-US" w:eastAsia="zh-CN"/>
              </w:rPr>
              <w:t>2</w:t>
            </w:r>
            <w:r>
              <w:rPr>
                <w:rFonts w:ascii="宋体" w:hAnsi="宋体" w:cs="Arial"/>
                <w:b/>
                <w:szCs w:val="21"/>
              </w:rPr>
              <w:t>开标室</w:t>
            </w:r>
            <w:r>
              <w:rPr>
                <w:rFonts w:hint="eastAsia" w:ascii="宋体" w:hAnsi="宋体" w:cs="Arial"/>
                <w:b/>
                <w:szCs w:val="21"/>
              </w:rPr>
              <w:t>，</w:t>
            </w:r>
            <w:r>
              <w:rPr>
                <w:rFonts w:hint="eastAsia" w:cs="宋体"/>
                <w:b/>
                <w:szCs w:val="21"/>
              </w:rPr>
              <w:t>如需邮寄，请在开标截止时间前24小时邮寄到浙江鑫润工程管理有限公司德清分公司（德清县武康街道五里牌路70号商会大厦5楼505室），</w:t>
            </w:r>
            <w:r>
              <w:rPr>
                <w:rFonts w:hint="eastAsia" w:ascii="宋体" w:hAnsi="宋体" w:cs="Arial"/>
                <w:b/>
                <w:szCs w:val="21"/>
              </w:rPr>
              <w:t>逾期送达或未密封将被拒收。未</w:t>
            </w:r>
            <w:r>
              <w:rPr>
                <w:rFonts w:hint="eastAsia" w:cs="Arial"/>
                <w:b/>
                <w:szCs w:val="21"/>
              </w:rPr>
              <w:t>完成电子磋商响应文件传输提交、</w:t>
            </w:r>
            <w:r>
              <w:rPr>
                <w:rFonts w:hint="eastAsia" w:ascii="宋体" w:hAnsi="宋体" w:cs="Arial"/>
                <w:b/>
                <w:szCs w:val="21"/>
              </w:rPr>
              <w:t>仅提供备份磋商响应文件的，其提供的备份磋商响应文件无效。</w:t>
            </w:r>
          </w:p>
          <w:p w14:paraId="327DA139">
            <w:pPr>
              <w:spacing w:line="360" w:lineRule="auto"/>
              <w:rPr>
                <w:rFonts w:ascii="宋体" w:hAnsi="宋体" w:cs="Arial"/>
                <w:b/>
                <w:szCs w:val="21"/>
              </w:rPr>
            </w:pPr>
            <w:r>
              <w:rPr>
                <w:rFonts w:hint="eastAsia" w:ascii="宋体" w:hAnsi="宋体" w:cs="Arial"/>
                <w:b/>
                <w:szCs w:val="21"/>
              </w:rPr>
              <w:t>2、供应商递交备份电子磋商响应文件时，如出现下列情况之一的，将被拒收：</w:t>
            </w:r>
          </w:p>
          <w:p w14:paraId="1DD41EC1">
            <w:pPr>
              <w:spacing w:line="360" w:lineRule="auto"/>
              <w:ind w:firstLine="405" w:firstLineChars="192"/>
              <w:rPr>
                <w:rFonts w:ascii="宋体" w:hAnsi="宋体" w:cs="Arial"/>
                <w:b/>
                <w:szCs w:val="21"/>
              </w:rPr>
            </w:pPr>
            <w:r>
              <w:rPr>
                <w:rFonts w:hint="eastAsia" w:ascii="宋体" w:hAnsi="宋体" w:cs="Arial"/>
                <w:b/>
                <w:szCs w:val="21"/>
              </w:rPr>
              <w:t>（1）未按规定密封或标记的磋商响应文件；</w:t>
            </w:r>
          </w:p>
          <w:p w14:paraId="645F33D2">
            <w:pPr>
              <w:spacing w:line="360" w:lineRule="auto"/>
              <w:ind w:firstLine="405" w:firstLineChars="192"/>
              <w:rPr>
                <w:rFonts w:ascii="宋体" w:hAnsi="宋体" w:cs="Arial"/>
                <w:b/>
                <w:szCs w:val="21"/>
              </w:rPr>
            </w:pPr>
            <w:r>
              <w:rPr>
                <w:rFonts w:hint="eastAsia" w:ascii="宋体" w:hAnsi="宋体" w:cs="Arial"/>
                <w:b/>
                <w:szCs w:val="21"/>
              </w:rPr>
              <w:t>（2）供应商未成功办理政采云报名手续的；</w:t>
            </w:r>
          </w:p>
          <w:p w14:paraId="3400A7E2">
            <w:pPr>
              <w:spacing w:line="360" w:lineRule="auto"/>
              <w:ind w:firstLine="405" w:firstLineChars="192"/>
              <w:rPr>
                <w:rFonts w:ascii="宋体" w:hAnsi="宋体" w:cs="Arial"/>
                <w:b/>
                <w:szCs w:val="21"/>
              </w:rPr>
            </w:pPr>
            <w:r>
              <w:rPr>
                <w:rFonts w:hint="eastAsia" w:ascii="宋体" w:hAnsi="宋体" w:cs="Arial"/>
                <w:b/>
                <w:szCs w:val="21"/>
              </w:rPr>
              <w:t>（3）超过磋商响应截止时间送达的。</w:t>
            </w:r>
          </w:p>
          <w:p w14:paraId="15379C6B">
            <w:pPr>
              <w:spacing w:line="360" w:lineRule="auto"/>
              <w:ind w:firstLine="405" w:firstLineChars="192"/>
              <w:rPr>
                <w:rFonts w:ascii="宋体" w:hAnsi="宋体" w:cs="Arial"/>
                <w:b/>
                <w:szCs w:val="21"/>
              </w:rPr>
            </w:pPr>
            <w:r>
              <w:rPr>
                <w:rFonts w:hint="eastAsia" w:ascii="宋体" w:hAnsi="宋体" w:cs="Arial"/>
                <w:b/>
                <w:szCs w:val="21"/>
              </w:rPr>
              <w:t>（4）仅提供备份磋商响应文件的。</w:t>
            </w:r>
          </w:p>
          <w:p w14:paraId="581A5F83">
            <w:pPr>
              <w:tabs>
                <w:tab w:val="left" w:pos="7421"/>
              </w:tabs>
              <w:snapToGrid w:val="0"/>
              <w:spacing w:line="360" w:lineRule="auto"/>
              <w:ind w:firstLine="413" w:firstLineChars="196"/>
              <w:rPr>
                <w:rFonts w:ascii="宋体" w:hAnsi="宋体"/>
                <w:color w:val="000000"/>
                <w:szCs w:val="21"/>
              </w:rPr>
            </w:pPr>
            <w:r>
              <w:rPr>
                <w:rFonts w:hint="eastAsia" w:cs="Arial"/>
                <w:b/>
                <w:szCs w:val="21"/>
              </w:rPr>
              <w:t>供应商不提供或仅提供其中一种形式的备份磋商响应文件，因而造成评审委员会对其磋商响应文件无法评审的，其竞标无效，相关风险和责任由供应商自行承担。</w:t>
            </w:r>
          </w:p>
        </w:tc>
      </w:tr>
      <w:tr w14:paraId="5BA2E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26" w:type="dxa"/>
            <w:tcBorders>
              <w:top w:val="single" w:color="auto" w:sz="4" w:space="0"/>
              <w:left w:val="single" w:color="auto" w:sz="4" w:space="0"/>
              <w:bottom w:val="single" w:color="auto" w:sz="4" w:space="0"/>
              <w:right w:val="single" w:color="auto" w:sz="4" w:space="0"/>
            </w:tcBorders>
            <w:vAlign w:val="center"/>
          </w:tcPr>
          <w:p w14:paraId="7C3E2B9C">
            <w:pPr>
              <w:snapToGrid w:val="0"/>
              <w:spacing w:line="360" w:lineRule="auto"/>
              <w:jc w:val="center"/>
              <w:rPr>
                <w:rFonts w:ascii="宋体" w:hAnsi="宋体"/>
                <w:color w:val="000000"/>
                <w:szCs w:val="21"/>
              </w:rPr>
            </w:pPr>
            <w:r>
              <w:rPr>
                <w:rFonts w:ascii="宋体" w:hAnsi="宋体"/>
                <w:color w:val="000000"/>
                <w:szCs w:val="21"/>
              </w:rPr>
              <w:t>9</w:t>
            </w:r>
          </w:p>
        </w:tc>
        <w:tc>
          <w:tcPr>
            <w:tcW w:w="9570" w:type="dxa"/>
            <w:tcBorders>
              <w:top w:val="single" w:color="auto" w:sz="4" w:space="0"/>
              <w:left w:val="single" w:color="auto" w:sz="4" w:space="0"/>
              <w:bottom w:val="single" w:color="auto" w:sz="4" w:space="0"/>
              <w:right w:val="single" w:color="auto" w:sz="4" w:space="0"/>
            </w:tcBorders>
            <w:vAlign w:val="center"/>
          </w:tcPr>
          <w:p w14:paraId="6563A019">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磋商的原则和程序详见采购文件第四章。</w:t>
            </w:r>
          </w:p>
        </w:tc>
      </w:tr>
      <w:tr w14:paraId="26558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26" w:type="dxa"/>
            <w:tcBorders>
              <w:top w:val="single" w:color="auto" w:sz="4" w:space="0"/>
              <w:left w:val="single" w:color="auto" w:sz="4" w:space="0"/>
              <w:bottom w:val="single" w:color="auto" w:sz="4" w:space="0"/>
              <w:right w:val="single" w:color="auto" w:sz="4" w:space="0"/>
            </w:tcBorders>
            <w:vAlign w:val="center"/>
          </w:tcPr>
          <w:p w14:paraId="348AFB4E">
            <w:pPr>
              <w:snapToGrid w:val="0"/>
              <w:spacing w:line="360" w:lineRule="auto"/>
              <w:jc w:val="center"/>
              <w:rPr>
                <w:rFonts w:ascii="宋体" w:hAnsi="宋体"/>
                <w:color w:val="000000"/>
                <w:szCs w:val="21"/>
              </w:rPr>
            </w:pPr>
            <w:r>
              <w:rPr>
                <w:rFonts w:ascii="宋体" w:hAnsi="宋体"/>
                <w:color w:val="000000"/>
                <w:szCs w:val="21"/>
              </w:rPr>
              <w:t>10</w:t>
            </w:r>
          </w:p>
        </w:tc>
        <w:tc>
          <w:tcPr>
            <w:tcW w:w="9570" w:type="dxa"/>
            <w:tcBorders>
              <w:top w:val="single" w:color="auto" w:sz="4" w:space="0"/>
              <w:left w:val="single" w:color="auto" w:sz="4" w:space="0"/>
              <w:bottom w:val="single" w:color="auto" w:sz="4" w:space="0"/>
              <w:right w:val="single" w:color="auto" w:sz="4" w:space="0"/>
            </w:tcBorders>
            <w:vAlign w:val="center"/>
          </w:tcPr>
          <w:p w14:paraId="0D00861F">
            <w:pPr>
              <w:widowControl/>
              <w:spacing w:line="360" w:lineRule="auto"/>
              <w:jc w:val="left"/>
              <w:rPr>
                <w:rFonts w:ascii="宋体" w:hAnsi="宋体"/>
                <w:kern w:val="0"/>
                <w:szCs w:val="21"/>
              </w:rPr>
            </w:pPr>
            <w:r>
              <w:rPr>
                <w:rFonts w:hint="eastAsia" w:ascii="宋体" w:hAnsi="宋体"/>
                <w:color w:val="000000"/>
                <w:szCs w:val="21"/>
              </w:rPr>
              <w:t>成交结果公示：磋商结束后</w:t>
            </w:r>
            <w:r>
              <w:rPr>
                <w:rFonts w:ascii="宋体" w:hAnsi="宋体"/>
                <w:color w:val="000000"/>
                <w:szCs w:val="21"/>
              </w:rPr>
              <w:t>2</w:t>
            </w:r>
            <w:r>
              <w:rPr>
                <w:rFonts w:hint="eastAsia" w:ascii="宋体" w:hAnsi="宋体"/>
                <w:color w:val="000000"/>
                <w:szCs w:val="21"/>
              </w:rPr>
              <w:t>天内，磋商结果公示于</w:t>
            </w:r>
            <w:r>
              <w:rPr>
                <w:rFonts w:hint="eastAsia" w:ascii="宋体" w:hAnsi="宋体" w:cs="Arial"/>
                <w:color w:val="000000"/>
                <w:szCs w:val="21"/>
              </w:rPr>
              <w:t>浙江省政府采购网</w:t>
            </w:r>
            <w:r>
              <w:rPr>
                <w:rFonts w:ascii="宋体" w:hAnsi="宋体" w:cs="Arial"/>
                <w:szCs w:val="21"/>
              </w:rPr>
              <w:t>(</w:t>
            </w:r>
            <w:r>
              <w:fldChar w:fldCharType="begin"/>
            </w:r>
            <w:r>
              <w:instrText xml:space="preserve"> HYPERLINK "http://www.zjzfcg.gov.cn/" </w:instrText>
            </w:r>
            <w:r>
              <w:fldChar w:fldCharType="separate"/>
            </w:r>
            <w:r>
              <w:rPr>
                <w:rFonts w:ascii="宋体" w:hAnsi="宋体"/>
                <w:kern w:val="0"/>
                <w:szCs w:val="21"/>
                <w:u w:val="single"/>
              </w:rPr>
              <w:t>http://www.zjzfcg.gov.cn</w:t>
            </w:r>
            <w:r>
              <w:rPr>
                <w:rFonts w:ascii="宋体" w:hAnsi="宋体"/>
                <w:kern w:val="0"/>
                <w:szCs w:val="21"/>
                <w:u w:val="single"/>
              </w:rPr>
              <w:fldChar w:fldCharType="end"/>
            </w:r>
            <w:r>
              <w:rPr>
                <w:rFonts w:ascii="宋体" w:hAnsi="宋体" w:cs="Arial"/>
                <w:szCs w:val="21"/>
              </w:rPr>
              <w:t>)</w:t>
            </w:r>
            <w:r>
              <w:rPr>
                <w:rFonts w:hint="eastAsia" w:ascii="宋体" w:hAnsi="宋体" w:cs="Arial"/>
                <w:szCs w:val="21"/>
              </w:rPr>
              <w:t>、</w:t>
            </w:r>
            <w:r>
              <w:rPr>
                <w:rFonts w:hint="eastAsia" w:ascii="宋体" w:hAnsi="宋体"/>
                <w:kern w:val="0"/>
                <w:szCs w:val="21"/>
              </w:rPr>
              <w:t>德清县公共资源交易网（</w:t>
            </w:r>
            <w:r>
              <w:fldChar w:fldCharType="begin"/>
            </w:r>
            <w:r>
              <w:instrText xml:space="preserve"> HYPERLINK "http://www.dqztb.gov.cn" </w:instrText>
            </w:r>
            <w:r>
              <w:fldChar w:fldCharType="separate"/>
            </w:r>
            <w:r>
              <w:rPr>
                <w:rFonts w:ascii="宋体" w:hAnsi="宋体"/>
                <w:kern w:val="0"/>
                <w:szCs w:val="21"/>
                <w:u w:val="single"/>
              </w:rPr>
              <w:t>http://www.dqztb.gov.cn</w:t>
            </w:r>
            <w:r>
              <w:rPr>
                <w:rFonts w:ascii="宋体" w:hAnsi="宋体"/>
                <w:kern w:val="0"/>
                <w:szCs w:val="21"/>
                <w:u w:val="single"/>
              </w:rPr>
              <w:fldChar w:fldCharType="end"/>
            </w:r>
            <w:r>
              <w:rPr>
                <w:rFonts w:hint="eastAsia" w:ascii="宋体" w:hAnsi="宋体"/>
                <w:kern w:val="0"/>
                <w:szCs w:val="21"/>
              </w:rPr>
              <w:t>）</w:t>
            </w:r>
          </w:p>
          <w:p w14:paraId="6F08BA82">
            <w:pPr>
              <w:autoSpaceDE w:val="0"/>
              <w:autoSpaceDN w:val="0"/>
              <w:snapToGrid w:val="0"/>
              <w:spacing w:line="360" w:lineRule="auto"/>
              <w:textAlignment w:val="bottom"/>
              <w:rPr>
                <w:rFonts w:ascii="宋体" w:hAnsi="宋体"/>
                <w:color w:val="000000"/>
                <w:szCs w:val="21"/>
              </w:rPr>
            </w:pPr>
            <w:r>
              <w:rPr>
                <w:rFonts w:hint="eastAsia" w:ascii="宋体" w:hAnsi="宋体" w:cs="Arial"/>
                <w:color w:val="000000"/>
                <w:szCs w:val="21"/>
              </w:rPr>
              <w:t>等网站或媒体。</w:t>
            </w:r>
          </w:p>
        </w:tc>
      </w:tr>
      <w:tr w14:paraId="706B2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6" w:type="dxa"/>
            <w:tcBorders>
              <w:top w:val="single" w:color="auto" w:sz="4" w:space="0"/>
              <w:left w:val="single" w:color="auto" w:sz="4" w:space="0"/>
              <w:bottom w:val="single" w:color="auto" w:sz="4" w:space="0"/>
              <w:right w:val="single" w:color="auto" w:sz="4" w:space="0"/>
            </w:tcBorders>
            <w:vAlign w:val="center"/>
          </w:tcPr>
          <w:p w14:paraId="7F6AB9B3">
            <w:pPr>
              <w:snapToGrid w:val="0"/>
              <w:spacing w:line="360" w:lineRule="auto"/>
              <w:jc w:val="center"/>
              <w:rPr>
                <w:rFonts w:ascii="宋体" w:hAnsi="宋体"/>
                <w:color w:val="000000"/>
                <w:szCs w:val="21"/>
              </w:rPr>
            </w:pPr>
            <w:r>
              <w:rPr>
                <w:rFonts w:ascii="宋体" w:hAnsi="宋体"/>
                <w:color w:val="000000"/>
                <w:szCs w:val="21"/>
              </w:rPr>
              <w:t>11</w:t>
            </w:r>
          </w:p>
        </w:tc>
        <w:tc>
          <w:tcPr>
            <w:tcW w:w="9570" w:type="dxa"/>
            <w:tcBorders>
              <w:top w:val="single" w:color="auto" w:sz="4" w:space="0"/>
              <w:left w:val="single" w:color="auto" w:sz="4" w:space="0"/>
              <w:bottom w:val="single" w:color="auto" w:sz="4" w:space="0"/>
              <w:right w:val="single" w:color="auto" w:sz="4" w:space="0"/>
            </w:tcBorders>
            <w:vAlign w:val="center"/>
          </w:tcPr>
          <w:p w14:paraId="54A2030A">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成交公告及成交通知书：磋商结束后</w:t>
            </w:r>
            <w:r>
              <w:rPr>
                <w:rFonts w:ascii="宋体" w:hAnsi="宋体"/>
                <w:color w:val="000000"/>
                <w:szCs w:val="21"/>
              </w:rPr>
              <w:t>5</w:t>
            </w:r>
            <w:r>
              <w:rPr>
                <w:rFonts w:hint="eastAsia" w:ascii="宋体" w:hAnsi="宋体"/>
                <w:color w:val="000000"/>
                <w:szCs w:val="21"/>
              </w:rPr>
              <w:t>个工作日内，成交公告发布于上述媒体。</w:t>
            </w:r>
          </w:p>
        </w:tc>
      </w:tr>
      <w:tr w14:paraId="680BF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6" w:type="dxa"/>
            <w:tcBorders>
              <w:top w:val="single" w:color="auto" w:sz="4" w:space="0"/>
              <w:left w:val="single" w:color="auto" w:sz="4" w:space="0"/>
              <w:bottom w:val="single" w:color="auto" w:sz="4" w:space="0"/>
              <w:right w:val="single" w:color="auto" w:sz="4" w:space="0"/>
            </w:tcBorders>
            <w:vAlign w:val="center"/>
          </w:tcPr>
          <w:p w14:paraId="2D571448">
            <w:pPr>
              <w:snapToGrid w:val="0"/>
              <w:spacing w:line="360" w:lineRule="auto"/>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9570" w:type="dxa"/>
            <w:tcBorders>
              <w:top w:val="single" w:color="auto" w:sz="4" w:space="0"/>
              <w:left w:val="single" w:color="auto" w:sz="4" w:space="0"/>
              <w:bottom w:val="single" w:color="auto" w:sz="4" w:space="0"/>
              <w:right w:val="single" w:color="auto" w:sz="4" w:space="0"/>
            </w:tcBorders>
            <w:vAlign w:val="center"/>
          </w:tcPr>
          <w:p w14:paraId="50DE07E4">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采购资金来源：预算内资金</w:t>
            </w:r>
          </w:p>
        </w:tc>
      </w:tr>
      <w:tr w14:paraId="4AB5F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6" w:type="dxa"/>
            <w:tcBorders>
              <w:top w:val="single" w:color="auto" w:sz="4" w:space="0"/>
              <w:left w:val="single" w:color="auto" w:sz="4" w:space="0"/>
              <w:bottom w:val="single" w:color="auto" w:sz="4" w:space="0"/>
              <w:right w:val="single" w:color="auto" w:sz="4" w:space="0"/>
            </w:tcBorders>
            <w:vAlign w:val="center"/>
          </w:tcPr>
          <w:p w14:paraId="5B203E8B">
            <w:pPr>
              <w:snapToGrid w:val="0"/>
              <w:spacing w:line="360" w:lineRule="auto"/>
              <w:jc w:val="center"/>
              <w:rPr>
                <w:rFonts w:hint="eastAsia" w:ascii="宋体" w:hAnsi="宋体" w:eastAsia="宋体"/>
                <w:color w:val="000000"/>
                <w:szCs w:val="21"/>
                <w:lang w:val="en-US" w:eastAsia="zh-CN"/>
              </w:rPr>
            </w:pPr>
            <w:r>
              <w:rPr>
                <w:rFonts w:ascii="宋体" w:hAnsi="宋体"/>
                <w:color w:val="000000"/>
                <w:szCs w:val="21"/>
              </w:rPr>
              <w:t>1</w:t>
            </w:r>
            <w:r>
              <w:rPr>
                <w:rFonts w:hint="eastAsia" w:ascii="宋体" w:hAnsi="宋体"/>
                <w:color w:val="000000"/>
                <w:szCs w:val="21"/>
                <w:lang w:val="en-US" w:eastAsia="zh-CN"/>
              </w:rPr>
              <w:t>3</w:t>
            </w:r>
          </w:p>
        </w:tc>
        <w:tc>
          <w:tcPr>
            <w:tcW w:w="9570" w:type="dxa"/>
            <w:tcBorders>
              <w:top w:val="single" w:color="auto" w:sz="4" w:space="0"/>
              <w:left w:val="single" w:color="auto" w:sz="4" w:space="0"/>
              <w:bottom w:val="single" w:color="auto" w:sz="4" w:space="0"/>
              <w:right w:val="single" w:color="auto" w:sz="4" w:space="0"/>
            </w:tcBorders>
            <w:vAlign w:val="center"/>
          </w:tcPr>
          <w:p w14:paraId="7A7EEC67">
            <w:pPr>
              <w:snapToGrid w:val="0"/>
              <w:spacing w:line="360" w:lineRule="auto"/>
              <w:rPr>
                <w:rFonts w:ascii="宋体" w:hAnsi="宋体"/>
                <w:color w:val="000000"/>
                <w:szCs w:val="21"/>
              </w:rPr>
            </w:pPr>
            <w:r>
              <w:rPr>
                <w:rFonts w:hint="eastAsia" w:ascii="宋体" w:hAnsi="宋体"/>
                <w:color w:val="000000"/>
                <w:szCs w:val="21"/>
              </w:rPr>
              <w:t>采购响应文件有效期：</w:t>
            </w:r>
            <w:r>
              <w:rPr>
                <w:rFonts w:hint="eastAsia" w:ascii="宋体" w:hAnsi="宋体" w:cs="Arial"/>
                <w:color w:val="000000"/>
                <w:szCs w:val="21"/>
                <w:u w:val="single"/>
              </w:rPr>
              <w:t>90</w:t>
            </w:r>
            <w:r>
              <w:rPr>
                <w:rFonts w:hint="eastAsia" w:ascii="宋体" w:hAnsi="宋体" w:cs="Arial"/>
                <w:color w:val="000000"/>
                <w:szCs w:val="21"/>
              </w:rPr>
              <w:t>日历天</w:t>
            </w:r>
          </w:p>
        </w:tc>
      </w:tr>
      <w:tr w14:paraId="1295C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6" w:hRule="atLeast"/>
        </w:trPr>
        <w:tc>
          <w:tcPr>
            <w:tcW w:w="726" w:type="dxa"/>
            <w:tcBorders>
              <w:top w:val="single" w:color="auto" w:sz="4" w:space="0"/>
              <w:left w:val="single" w:color="auto" w:sz="4" w:space="0"/>
              <w:bottom w:val="single" w:color="auto" w:sz="4" w:space="0"/>
              <w:right w:val="single" w:color="auto" w:sz="4" w:space="0"/>
            </w:tcBorders>
            <w:vAlign w:val="center"/>
          </w:tcPr>
          <w:p w14:paraId="1E66E869">
            <w:pPr>
              <w:snapToGrid w:val="0"/>
              <w:spacing w:line="360" w:lineRule="auto"/>
              <w:jc w:val="center"/>
              <w:rPr>
                <w:rFonts w:hint="eastAsia" w:ascii="宋体" w:hAnsi="宋体" w:eastAsia="宋体"/>
                <w:color w:val="000000"/>
                <w:szCs w:val="21"/>
                <w:lang w:val="en-US" w:eastAsia="zh-CN"/>
              </w:rPr>
            </w:pPr>
            <w:r>
              <w:rPr>
                <w:rFonts w:ascii="宋体" w:hAnsi="宋体"/>
                <w:color w:val="000000"/>
                <w:szCs w:val="21"/>
              </w:rPr>
              <w:t>1</w:t>
            </w:r>
            <w:r>
              <w:rPr>
                <w:rFonts w:hint="eastAsia" w:ascii="宋体" w:hAnsi="宋体"/>
                <w:color w:val="000000"/>
                <w:szCs w:val="21"/>
                <w:lang w:val="en-US" w:eastAsia="zh-CN"/>
              </w:rPr>
              <w:t>4</w:t>
            </w:r>
          </w:p>
        </w:tc>
        <w:tc>
          <w:tcPr>
            <w:tcW w:w="9570" w:type="dxa"/>
            <w:tcBorders>
              <w:top w:val="single" w:color="auto" w:sz="4" w:space="0"/>
              <w:left w:val="single" w:color="auto" w:sz="4" w:space="0"/>
              <w:bottom w:val="single" w:color="auto" w:sz="4" w:space="0"/>
              <w:right w:val="single" w:color="auto" w:sz="4" w:space="0"/>
            </w:tcBorders>
            <w:vAlign w:val="center"/>
          </w:tcPr>
          <w:p w14:paraId="4E6F73E2">
            <w:pPr>
              <w:snapToGrid w:val="0"/>
              <w:spacing w:line="360" w:lineRule="auto"/>
              <w:rPr>
                <w:rFonts w:ascii="宋体" w:hAnsi="宋体"/>
                <w:color w:val="000000"/>
                <w:szCs w:val="21"/>
              </w:rPr>
            </w:pPr>
            <w:r>
              <w:rPr>
                <w:rFonts w:hint="eastAsia" w:ascii="宋体" w:hAnsi="宋体"/>
                <w:b/>
                <w:color w:val="000000"/>
                <w:szCs w:val="21"/>
              </w:rPr>
              <w:t>质疑：</w:t>
            </w:r>
            <w:r>
              <w:rPr>
                <w:rFonts w:hint="eastAsia" w:ascii="宋体" w:hAnsi="宋体"/>
                <w:color w:val="000000"/>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1F8E35CD">
            <w:pPr>
              <w:snapToGrid w:val="0"/>
              <w:spacing w:line="360" w:lineRule="auto"/>
              <w:rPr>
                <w:rFonts w:ascii="宋体" w:hAnsi="宋体" w:cs="宋体"/>
                <w:b/>
                <w:bCs/>
                <w:szCs w:val="21"/>
              </w:rPr>
            </w:pPr>
            <w:r>
              <w:rPr>
                <w:rFonts w:hint="eastAsia" w:ascii="宋体" w:hAnsi="宋体"/>
                <w:color w:val="000000"/>
                <w:szCs w:val="21"/>
              </w:rPr>
              <w:t>（</w:t>
            </w:r>
            <w:r>
              <w:rPr>
                <w:rFonts w:hint="eastAsia" w:ascii="宋体" w:hAnsi="宋体"/>
                <w:b/>
                <w:color w:val="000000"/>
                <w:szCs w:val="21"/>
              </w:rPr>
              <w:t>质疑期限的计算</w:t>
            </w:r>
            <w:r>
              <w:rPr>
                <w:rFonts w:hint="eastAsia" w:ascii="宋体" w:hAnsi="宋体"/>
                <w:color w:val="000000"/>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r>
              <w:rPr>
                <w:rFonts w:hint="eastAsia" w:ascii="宋体" w:hAnsi="宋体" w:cs="宋体"/>
                <w:b/>
                <w:bCs/>
                <w:szCs w:val="21"/>
              </w:rPr>
              <w:t>在线提起询问，路径为：政采云-项目采购-询问质疑投诉-询问列表。</w:t>
            </w:r>
          </w:p>
          <w:p w14:paraId="7B059E89">
            <w:pPr>
              <w:snapToGrid w:val="0"/>
              <w:spacing w:line="360" w:lineRule="auto"/>
              <w:rPr>
                <w:rFonts w:ascii="宋体" w:hAnsi="宋体"/>
                <w:color w:val="000000"/>
                <w:szCs w:val="21"/>
              </w:rPr>
            </w:pPr>
            <w:r>
              <w:rPr>
                <w:rFonts w:hint="eastAsia" w:ascii="宋体" w:hAnsi="宋体" w:cs="宋体"/>
                <w:b/>
                <w:bCs/>
                <w:szCs w:val="21"/>
              </w:rPr>
              <w:t>供应商在线提起质疑，路径为：政采云-项目采购-询问质疑投诉-质疑列表。</w:t>
            </w:r>
          </w:p>
        </w:tc>
      </w:tr>
      <w:tr w14:paraId="3DFD1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26" w:type="dxa"/>
            <w:tcBorders>
              <w:top w:val="single" w:color="auto" w:sz="4" w:space="0"/>
              <w:left w:val="single" w:color="auto" w:sz="4" w:space="0"/>
              <w:bottom w:val="single" w:color="auto" w:sz="4" w:space="0"/>
              <w:right w:val="single" w:color="auto" w:sz="4" w:space="0"/>
            </w:tcBorders>
            <w:vAlign w:val="center"/>
          </w:tcPr>
          <w:p w14:paraId="75AC37B0">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5</w:t>
            </w:r>
          </w:p>
        </w:tc>
        <w:tc>
          <w:tcPr>
            <w:tcW w:w="9570" w:type="dxa"/>
            <w:tcBorders>
              <w:top w:val="single" w:color="auto" w:sz="4" w:space="0"/>
              <w:left w:val="single" w:color="auto" w:sz="4" w:space="0"/>
              <w:bottom w:val="single" w:color="auto" w:sz="4" w:space="0"/>
              <w:right w:val="single" w:color="auto" w:sz="4" w:space="0"/>
            </w:tcBorders>
            <w:vAlign w:val="center"/>
          </w:tcPr>
          <w:p w14:paraId="5B412901">
            <w:pPr>
              <w:snapToGrid w:val="0"/>
              <w:spacing w:line="360" w:lineRule="auto"/>
              <w:rPr>
                <w:rFonts w:ascii="宋体" w:hAnsi="宋体"/>
                <w:b/>
                <w:color w:val="000000"/>
                <w:szCs w:val="21"/>
              </w:rPr>
            </w:pPr>
            <w:r>
              <w:rPr>
                <w:rFonts w:hint="eastAsia" w:ascii="宋体" w:hAnsi="宋体"/>
                <w:b/>
                <w:color w:val="000000"/>
                <w:szCs w:val="21"/>
              </w:rPr>
              <w:t>投诉：</w:t>
            </w:r>
            <w:r>
              <w:rPr>
                <w:rFonts w:hint="eastAsia" w:ascii="宋体" w:hAnsi="宋体"/>
                <w:color w:val="000000"/>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r>
              <w:rPr>
                <w:rFonts w:hint="eastAsia" w:ascii="宋体" w:hAnsi="宋体" w:cs="宋体"/>
                <w:b/>
                <w:bCs/>
                <w:szCs w:val="21"/>
              </w:rPr>
              <w:t>质疑供应商对在线质疑答复不满意的，可在线提起投诉，路径为：浙江政府服务网-政府采购投诉处理-在线办理。</w:t>
            </w:r>
          </w:p>
        </w:tc>
      </w:tr>
      <w:tr w14:paraId="50844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26" w:type="dxa"/>
            <w:tcBorders>
              <w:top w:val="single" w:color="auto" w:sz="4" w:space="0"/>
              <w:left w:val="single" w:color="auto" w:sz="4" w:space="0"/>
              <w:bottom w:val="single" w:color="auto" w:sz="4" w:space="0"/>
              <w:right w:val="single" w:color="auto" w:sz="4" w:space="0"/>
            </w:tcBorders>
            <w:vAlign w:val="center"/>
          </w:tcPr>
          <w:p w14:paraId="6361C7EA">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6</w:t>
            </w:r>
          </w:p>
        </w:tc>
        <w:tc>
          <w:tcPr>
            <w:tcW w:w="9570" w:type="dxa"/>
            <w:tcBorders>
              <w:top w:val="single" w:color="auto" w:sz="4" w:space="0"/>
              <w:left w:val="single" w:color="auto" w:sz="4" w:space="0"/>
              <w:bottom w:val="single" w:color="auto" w:sz="4" w:space="0"/>
              <w:right w:val="single" w:color="auto" w:sz="4" w:space="0"/>
            </w:tcBorders>
            <w:vAlign w:val="center"/>
          </w:tcPr>
          <w:p w14:paraId="55AB5ACA">
            <w:pPr>
              <w:snapToGrid w:val="0"/>
              <w:spacing w:line="360" w:lineRule="auto"/>
              <w:rPr>
                <w:rFonts w:ascii="宋体" w:hAnsi="宋体"/>
                <w:color w:val="000000"/>
                <w:szCs w:val="21"/>
              </w:rPr>
            </w:pPr>
            <w:r>
              <w:rPr>
                <w:rFonts w:hint="eastAsia" w:ascii="宋体" w:hAnsi="宋体"/>
                <w:b/>
                <w:color w:val="000000"/>
                <w:szCs w:val="21"/>
              </w:rPr>
              <w:t>注意事项：</w:t>
            </w:r>
            <w:r>
              <w:rPr>
                <w:rFonts w:hint="eastAsia" w:ascii="宋体" w:hAnsi="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14:paraId="18D4BE25">
            <w:pPr>
              <w:snapToGrid w:val="0"/>
              <w:spacing w:line="360" w:lineRule="auto"/>
              <w:rPr>
                <w:rFonts w:ascii="宋体" w:hAnsi="宋体"/>
                <w:color w:val="000000"/>
                <w:szCs w:val="21"/>
              </w:rPr>
            </w:pPr>
            <w:r>
              <w:rPr>
                <w:rFonts w:hint="eastAsia" w:ascii="宋体" w:hAnsi="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6C3CAF80">
            <w:pPr>
              <w:snapToGrid w:val="0"/>
              <w:spacing w:line="360" w:lineRule="auto"/>
              <w:rPr>
                <w:rFonts w:ascii="宋体" w:hAnsi="宋体"/>
                <w:color w:val="000000"/>
                <w:szCs w:val="21"/>
              </w:rPr>
            </w:pPr>
            <w:r>
              <w:rPr>
                <w:rFonts w:hint="eastAsia" w:ascii="宋体" w:hAnsi="宋体"/>
                <w:color w:val="000000"/>
                <w:szCs w:val="21"/>
              </w:rPr>
              <w:t>3、质疑、投诉人未按前列序号第17、18条规定进行质疑、投诉（申诉）、举报等，均属于扰乱政府采购市场，直至公示。</w:t>
            </w:r>
          </w:p>
        </w:tc>
      </w:tr>
      <w:tr w14:paraId="25FB6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9" w:hRule="atLeast"/>
        </w:trPr>
        <w:tc>
          <w:tcPr>
            <w:tcW w:w="726" w:type="dxa"/>
            <w:tcBorders>
              <w:top w:val="single" w:color="auto" w:sz="4" w:space="0"/>
              <w:left w:val="single" w:color="auto" w:sz="4" w:space="0"/>
              <w:bottom w:val="single" w:color="auto" w:sz="4" w:space="0"/>
              <w:right w:val="single" w:color="auto" w:sz="4" w:space="0"/>
            </w:tcBorders>
            <w:vAlign w:val="center"/>
          </w:tcPr>
          <w:p w14:paraId="58CA7167">
            <w:pPr>
              <w:snapToGrid w:val="0"/>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9570" w:type="dxa"/>
            <w:tcBorders>
              <w:top w:val="single" w:color="auto" w:sz="4" w:space="0"/>
              <w:left w:val="single" w:color="auto" w:sz="4" w:space="0"/>
              <w:bottom w:val="single" w:color="auto" w:sz="4" w:space="0"/>
              <w:right w:val="single" w:color="auto" w:sz="4" w:space="0"/>
            </w:tcBorders>
            <w:vAlign w:val="center"/>
          </w:tcPr>
          <w:p w14:paraId="2F483E52">
            <w:pPr>
              <w:snapToGrid w:val="0"/>
              <w:spacing w:line="360" w:lineRule="auto"/>
              <w:rPr>
                <w:rFonts w:ascii="宋体" w:hAnsi="宋体"/>
                <w:b/>
                <w:szCs w:val="21"/>
              </w:rPr>
            </w:pPr>
            <w:r>
              <w:rPr>
                <w:rFonts w:hint="eastAsia" w:ascii="宋体" w:hAnsi="宋体"/>
                <w:b/>
                <w:szCs w:val="21"/>
              </w:rPr>
              <w:t>注意事项：为保障解密成功，</w:t>
            </w:r>
            <w:r>
              <w:rPr>
                <w:rFonts w:ascii="宋体" w:hAnsi="宋体"/>
                <w:b/>
                <w:szCs w:val="21"/>
              </w:rPr>
              <w:t>供应商可携带笔记本电脑及CA</w:t>
            </w:r>
            <w:r>
              <w:rPr>
                <w:rFonts w:hint="eastAsia" w:ascii="宋体" w:hAnsi="宋体"/>
                <w:b/>
                <w:szCs w:val="21"/>
              </w:rPr>
              <w:t>数字证书</w:t>
            </w:r>
            <w:r>
              <w:rPr>
                <w:rFonts w:ascii="宋体" w:hAnsi="宋体"/>
                <w:b/>
                <w:szCs w:val="21"/>
              </w:rPr>
              <w:t>至开标现场完成传输、解密等事宜。（交易中心不提供无线网络，请供应商自行解决上网问题）</w:t>
            </w:r>
            <w:r>
              <w:rPr>
                <w:rFonts w:hint="eastAsia" w:ascii="宋体" w:hAnsi="宋体"/>
                <w:b/>
                <w:szCs w:val="21"/>
              </w:rPr>
              <w:t>。</w:t>
            </w:r>
          </w:p>
        </w:tc>
      </w:tr>
      <w:tr w14:paraId="34D34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26" w:type="dxa"/>
            <w:tcBorders>
              <w:top w:val="single" w:color="auto" w:sz="4" w:space="0"/>
              <w:left w:val="single" w:color="auto" w:sz="4" w:space="0"/>
              <w:bottom w:val="single" w:color="auto" w:sz="4" w:space="0"/>
              <w:right w:val="single" w:color="auto" w:sz="4" w:space="0"/>
            </w:tcBorders>
            <w:vAlign w:val="center"/>
          </w:tcPr>
          <w:p w14:paraId="4461A273">
            <w:pPr>
              <w:snapToGrid w:val="0"/>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9570" w:type="dxa"/>
            <w:tcBorders>
              <w:top w:val="single" w:color="auto" w:sz="4" w:space="0"/>
              <w:left w:val="single" w:color="auto" w:sz="4" w:space="0"/>
              <w:bottom w:val="single" w:color="auto" w:sz="4" w:space="0"/>
              <w:right w:val="single" w:color="auto" w:sz="4" w:space="0"/>
            </w:tcBorders>
            <w:vAlign w:val="center"/>
          </w:tcPr>
          <w:p w14:paraId="4B8BABF4">
            <w:pPr>
              <w:snapToGrid w:val="0"/>
              <w:spacing w:line="360" w:lineRule="auto"/>
              <w:rPr>
                <w:rFonts w:ascii="宋体" w:hAnsi="宋体"/>
                <w:color w:val="000000"/>
                <w:szCs w:val="21"/>
              </w:rPr>
            </w:pPr>
            <w:r>
              <w:rPr>
                <w:rFonts w:hint="eastAsia" w:ascii="宋体" w:hAnsi="宋体"/>
                <w:color w:val="000000"/>
                <w:szCs w:val="21"/>
              </w:rPr>
              <w:t>解释：本采购文件的解释权属于采购单位。</w:t>
            </w:r>
          </w:p>
        </w:tc>
      </w:tr>
    </w:tbl>
    <w:p w14:paraId="1B8C16DD">
      <w:pPr>
        <w:spacing w:line="360" w:lineRule="auto"/>
        <w:jc w:val="left"/>
        <w:outlineLvl w:val="1"/>
        <w:rPr>
          <w:rFonts w:ascii="宋体" w:hAnsi="宋体"/>
          <w:b/>
          <w:szCs w:val="21"/>
        </w:rPr>
      </w:pPr>
      <w:r>
        <w:rPr>
          <w:rFonts w:hint="eastAsia" w:ascii="宋体" w:hAnsi="宋体"/>
          <w:b/>
          <w:szCs w:val="21"/>
        </w:rPr>
        <w:t>一、总则</w:t>
      </w:r>
    </w:p>
    <w:p w14:paraId="2652D33F">
      <w:pPr>
        <w:snapToGrid w:val="0"/>
        <w:spacing w:line="240" w:lineRule="auto"/>
        <w:ind w:firstLine="310" w:firstLineChars="147"/>
        <w:jc w:val="left"/>
        <w:outlineLvl w:val="1"/>
        <w:rPr>
          <w:rFonts w:ascii="宋体" w:hAnsi="宋体"/>
          <w:b/>
          <w:color w:val="000000"/>
          <w:szCs w:val="21"/>
        </w:rPr>
      </w:pPr>
      <w:r>
        <w:rPr>
          <w:rFonts w:hint="eastAsia" w:ascii="宋体" w:hAnsi="宋体"/>
          <w:b/>
          <w:color w:val="000000"/>
          <w:szCs w:val="21"/>
        </w:rPr>
        <w:t>（一）</w:t>
      </w:r>
      <w:r>
        <w:rPr>
          <w:rFonts w:ascii="宋体" w:hAnsi="宋体"/>
          <w:b/>
          <w:color w:val="000000"/>
          <w:szCs w:val="21"/>
        </w:rPr>
        <w:t>适用范围</w:t>
      </w:r>
    </w:p>
    <w:p w14:paraId="5C0BA2DA">
      <w:pPr>
        <w:spacing w:line="240" w:lineRule="auto"/>
        <w:ind w:firstLine="367" w:firstLineChars="175"/>
        <w:jc w:val="left"/>
        <w:rPr>
          <w:rFonts w:ascii="宋体" w:hAnsi="宋体"/>
          <w:szCs w:val="21"/>
        </w:rPr>
      </w:pPr>
      <w:r>
        <w:rPr>
          <w:rFonts w:hint="eastAsia" w:ascii="宋体" w:hAnsi="宋体"/>
          <w:szCs w:val="21"/>
        </w:rPr>
        <w:t>本采购文件仅适用于本次竞争性磋商采购所叙述的服务。</w:t>
      </w:r>
      <w:r>
        <w:rPr>
          <w:rFonts w:hint="eastAsia" w:ascii="宋体" w:hAnsi="宋体"/>
          <w:color w:val="000000"/>
          <w:szCs w:val="21"/>
        </w:rPr>
        <w:t>（法律、法规另有规定的，从其规定）。</w:t>
      </w:r>
    </w:p>
    <w:p w14:paraId="7B25851D">
      <w:pPr>
        <w:snapToGrid w:val="0"/>
        <w:spacing w:beforeLines="50" w:line="240" w:lineRule="auto"/>
        <w:ind w:firstLine="310" w:firstLineChars="147"/>
        <w:jc w:val="left"/>
        <w:outlineLvl w:val="1"/>
        <w:rPr>
          <w:rFonts w:ascii="宋体" w:hAnsi="宋体"/>
          <w:b/>
          <w:color w:val="000000"/>
          <w:szCs w:val="21"/>
        </w:rPr>
      </w:pPr>
      <w:r>
        <w:rPr>
          <w:rFonts w:hint="eastAsia" w:ascii="宋体" w:hAnsi="宋体"/>
          <w:b/>
          <w:color w:val="000000"/>
          <w:szCs w:val="21"/>
        </w:rPr>
        <w:t>（二）定义</w:t>
      </w:r>
    </w:p>
    <w:p w14:paraId="10AC3442">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1.“需方”系指采购人。</w:t>
      </w:r>
    </w:p>
    <w:p w14:paraId="412D3451">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2.“磋商响应方”系指向需方提交采购响应文件的供应商。</w:t>
      </w:r>
    </w:p>
    <w:p w14:paraId="698A1191">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3.“服务”系指按竞争性磋商文件要求的服务。</w:t>
      </w:r>
    </w:p>
    <w:p w14:paraId="7185E275">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“项目”系指</w:t>
      </w:r>
      <w:r>
        <w:rPr>
          <w:rFonts w:hint="eastAsia" w:ascii="宋体" w:hAnsi="宋体"/>
          <w:color w:val="000000"/>
          <w:szCs w:val="21"/>
        </w:rPr>
        <w:t>磋商响应方</w:t>
      </w:r>
      <w:r>
        <w:rPr>
          <w:rFonts w:ascii="宋体" w:hAnsi="宋体"/>
          <w:color w:val="000000"/>
          <w:szCs w:val="21"/>
        </w:rPr>
        <w:t>按</w:t>
      </w:r>
      <w:r>
        <w:rPr>
          <w:rFonts w:hint="eastAsia" w:ascii="宋体" w:hAnsi="宋体"/>
          <w:color w:val="000000"/>
          <w:szCs w:val="21"/>
        </w:rPr>
        <w:t>采购</w:t>
      </w:r>
      <w:r>
        <w:rPr>
          <w:rFonts w:ascii="宋体" w:hAnsi="宋体"/>
          <w:color w:val="000000"/>
          <w:szCs w:val="21"/>
        </w:rPr>
        <w:t>文件规定向采购人提供的产品和服务。</w:t>
      </w:r>
    </w:p>
    <w:p w14:paraId="7F5876DC">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“书面形式”包括信函、传真、电报</w:t>
      </w:r>
      <w:r>
        <w:rPr>
          <w:rFonts w:hint="eastAsia" w:ascii="宋体" w:hAnsi="宋体"/>
          <w:color w:val="000000"/>
          <w:szCs w:val="21"/>
        </w:rPr>
        <w:t>、电子邮件</w:t>
      </w:r>
      <w:r>
        <w:rPr>
          <w:rFonts w:ascii="宋体" w:hAnsi="宋体"/>
          <w:color w:val="000000"/>
          <w:szCs w:val="21"/>
        </w:rPr>
        <w:t>等。</w:t>
      </w:r>
    </w:p>
    <w:p w14:paraId="07EC9206">
      <w:pPr>
        <w:snapToGrid w:val="0"/>
        <w:spacing w:line="240" w:lineRule="auto"/>
        <w:ind w:firstLine="420" w:firstLineChars="200"/>
        <w:jc w:val="left"/>
        <w:rPr>
          <w:rFonts w:ascii="宋体" w:hAnsi="宋体"/>
          <w:color w:val="000000"/>
          <w:szCs w:val="21"/>
        </w:rPr>
      </w:pPr>
      <w:r>
        <w:rPr>
          <w:rFonts w:hint="eastAsia" w:ascii="宋体" w:hAnsi="宋体"/>
          <w:color w:val="000000"/>
          <w:szCs w:val="21"/>
        </w:rPr>
        <w:t>6.带“</w:t>
      </w:r>
      <w:r>
        <w:rPr>
          <w:rFonts w:hint="eastAsia" w:ascii="宋体" w:hAnsi="宋体"/>
          <w:color w:val="000000"/>
          <w:kern w:val="0"/>
          <w:szCs w:val="21"/>
        </w:rPr>
        <w:t>▲</w:t>
      </w:r>
      <w:r>
        <w:rPr>
          <w:rFonts w:hint="eastAsia" w:ascii="宋体" w:hAnsi="宋体"/>
          <w:color w:val="000000"/>
          <w:szCs w:val="21"/>
        </w:rPr>
        <w:t>”条款为实质性响应条款，必须响应。</w:t>
      </w:r>
    </w:p>
    <w:p w14:paraId="65987FC0">
      <w:pPr>
        <w:snapToGrid w:val="0"/>
        <w:spacing w:beforeLines="50" w:line="240" w:lineRule="auto"/>
        <w:ind w:firstLine="413" w:firstLineChars="196"/>
        <w:jc w:val="left"/>
        <w:outlineLvl w:val="1"/>
        <w:rPr>
          <w:rFonts w:ascii="宋体" w:hAnsi="宋体"/>
          <w:b/>
          <w:color w:val="000000"/>
          <w:szCs w:val="21"/>
        </w:rPr>
      </w:pPr>
      <w:r>
        <w:rPr>
          <w:rFonts w:hint="eastAsia" w:ascii="宋体" w:hAnsi="宋体"/>
          <w:b/>
          <w:color w:val="000000"/>
          <w:szCs w:val="21"/>
        </w:rPr>
        <w:t>（三）竞标委托</w:t>
      </w:r>
    </w:p>
    <w:p w14:paraId="1CADC456">
      <w:pPr>
        <w:snapToGrid w:val="0"/>
        <w:spacing w:line="240" w:lineRule="auto"/>
        <w:ind w:firstLine="404" w:firstLineChars="200"/>
        <w:jc w:val="left"/>
        <w:rPr>
          <w:rFonts w:ascii="宋体" w:hAnsi="宋体"/>
          <w:spacing w:val="-4"/>
          <w:szCs w:val="21"/>
        </w:rPr>
      </w:pPr>
      <w:r>
        <w:rPr>
          <w:rFonts w:hint="eastAsia" w:ascii="宋体" w:hAnsi="宋体"/>
          <w:spacing w:val="-4"/>
          <w:szCs w:val="21"/>
        </w:rPr>
        <w:t>磋商响应方</w:t>
      </w:r>
      <w:r>
        <w:rPr>
          <w:rFonts w:ascii="宋体" w:hAnsi="宋体"/>
          <w:spacing w:val="-4"/>
          <w:szCs w:val="21"/>
        </w:rPr>
        <w:t>代表须携带身份证。如</w:t>
      </w:r>
      <w:r>
        <w:rPr>
          <w:rFonts w:hint="eastAsia" w:ascii="宋体" w:hAnsi="宋体"/>
          <w:spacing w:val="-4"/>
          <w:szCs w:val="21"/>
        </w:rPr>
        <w:t>磋商响应方</w:t>
      </w:r>
      <w:r>
        <w:rPr>
          <w:rFonts w:ascii="宋体" w:hAnsi="宋体"/>
          <w:spacing w:val="-4"/>
          <w:szCs w:val="21"/>
        </w:rPr>
        <w:t>代表不是法定代表人，须有法定代表人出具的授权委托书（格式见</w:t>
      </w:r>
      <w:r>
        <w:rPr>
          <w:rFonts w:hint="eastAsia" w:ascii="宋体" w:hAnsi="宋体"/>
          <w:spacing w:val="-4"/>
          <w:szCs w:val="21"/>
        </w:rPr>
        <w:t>附件</w:t>
      </w:r>
      <w:r>
        <w:rPr>
          <w:rFonts w:ascii="宋体" w:hAnsi="宋体"/>
          <w:spacing w:val="-4"/>
          <w:szCs w:val="21"/>
        </w:rPr>
        <w:t>）。</w:t>
      </w:r>
    </w:p>
    <w:p w14:paraId="5DF1C6DE">
      <w:pPr>
        <w:snapToGrid w:val="0"/>
        <w:spacing w:beforeLines="50" w:line="240" w:lineRule="auto"/>
        <w:ind w:firstLine="413" w:firstLineChars="196"/>
        <w:jc w:val="left"/>
        <w:outlineLvl w:val="1"/>
        <w:rPr>
          <w:rFonts w:ascii="宋体" w:hAnsi="宋体"/>
          <w:b/>
          <w:color w:val="000000"/>
          <w:szCs w:val="21"/>
        </w:rPr>
      </w:pPr>
      <w:r>
        <w:rPr>
          <w:rFonts w:hint="eastAsia" w:ascii="宋体" w:hAnsi="宋体"/>
          <w:b/>
          <w:color w:val="000000"/>
          <w:szCs w:val="21"/>
        </w:rPr>
        <w:t>（四）费用</w:t>
      </w:r>
    </w:p>
    <w:p w14:paraId="07E16A60">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不论磋商结果如何，磋商响应方均应自行承担所有与磋商有关的全部费用（采购文件有相反规定除外）。</w:t>
      </w:r>
    </w:p>
    <w:p w14:paraId="47229A00">
      <w:pPr>
        <w:snapToGrid w:val="0"/>
        <w:spacing w:beforeLines="50" w:line="240" w:lineRule="auto"/>
        <w:ind w:firstLine="411" w:firstLineChars="196"/>
        <w:jc w:val="left"/>
        <w:rPr>
          <w:rFonts w:ascii="宋体" w:hAnsi="宋体" w:cs="宋体"/>
          <w:b/>
          <w:color w:val="000000"/>
          <w:szCs w:val="21"/>
        </w:rPr>
      </w:pPr>
      <w:r>
        <w:rPr>
          <w:rFonts w:hint="eastAsia" w:ascii="宋体" w:hAnsi="宋体" w:cs="宋体"/>
          <w:color w:val="000000"/>
          <w:kern w:val="0"/>
          <w:szCs w:val="21"/>
        </w:rPr>
        <w:t>▲</w:t>
      </w:r>
      <w:r>
        <w:rPr>
          <w:rFonts w:hint="eastAsia" w:ascii="宋体" w:hAnsi="宋体" w:cs="宋体"/>
          <w:b/>
          <w:color w:val="000000"/>
          <w:szCs w:val="21"/>
        </w:rPr>
        <w:t>（五）联合体</w:t>
      </w:r>
    </w:p>
    <w:p w14:paraId="754C9A5A">
      <w:pPr>
        <w:snapToGrid w:val="0"/>
        <w:spacing w:line="240" w:lineRule="auto"/>
        <w:ind w:firstLine="630" w:firstLineChars="300"/>
        <w:jc w:val="left"/>
        <w:rPr>
          <w:rFonts w:ascii="宋体" w:hAnsi="宋体" w:cs="宋体"/>
          <w:szCs w:val="21"/>
        </w:rPr>
      </w:pPr>
      <w:r>
        <w:rPr>
          <w:rFonts w:hint="eastAsia" w:ascii="宋体" w:hAnsi="宋体" w:cs="宋体"/>
          <w:szCs w:val="21"/>
        </w:rPr>
        <w:t>本项目已分标项采购，且提供的服务内容单一，故不再接受联合体投标。</w:t>
      </w:r>
    </w:p>
    <w:p w14:paraId="1ABFBE3F">
      <w:pPr>
        <w:snapToGrid w:val="0"/>
        <w:spacing w:beforeLines="50" w:line="240" w:lineRule="auto"/>
        <w:ind w:firstLine="411" w:firstLineChars="196"/>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szCs w:val="21"/>
        </w:rPr>
        <w:t>（六）</w:t>
      </w:r>
      <w:r>
        <w:rPr>
          <w:rFonts w:hint="eastAsia" w:ascii="宋体" w:hAnsi="宋体" w:cs="宋体"/>
          <w:b/>
          <w:color w:val="000000"/>
          <w:kern w:val="0"/>
          <w:szCs w:val="21"/>
        </w:rPr>
        <w:t>转包与分包</w:t>
      </w:r>
    </w:p>
    <w:p w14:paraId="40F8A976">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1.本项目不允许转包。</w:t>
      </w:r>
    </w:p>
    <w:p w14:paraId="57C089B1">
      <w:pPr>
        <w:snapToGrid w:val="0"/>
        <w:ind w:firstLine="420" w:firstLineChars="200"/>
        <w:rPr>
          <w:rFonts w:ascii="宋体" w:hAnsi="宋体" w:cs="宋体"/>
          <w:szCs w:val="21"/>
        </w:rPr>
      </w:pPr>
      <w:r>
        <w:rPr>
          <w:rFonts w:hint="eastAsia" w:ascii="宋体" w:hAnsi="宋体" w:cs="宋体"/>
          <w:kern w:val="0"/>
          <w:szCs w:val="21"/>
        </w:rPr>
        <w:t>2.本项目服务内容单一，不存在非主体、非关键性工作，故不允许分包。</w:t>
      </w:r>
    </w:p>
    <w:p w14:paraId="7311CFA7">
      <w:pPr>
        <w:snapToGrid w:val="0"/>
        <w:spacing w:beforeLines="50" w:line="360" w:lineRule="auto"/>
        <w:ind w:firstLine="413" w:firstLineChars="196"/>
        <w:jc w:val="left"/>
        <w:outlineLvl w:val="1"/>
        <w:rPr>
          <w:rFonts w:ascii="宋体" w:hAnsi="宋体"/>
          <w:b/>
          <w:color w:val="000000"/>
          <w:szCs w:val="21"/>
        </w:rPr>
      </w:pPr>
      <w:r>
        <w:rPr>
          <w:rFonts w:hint="eastAsia" w:ascii="宋体" w:hAnsi="宋体"/>
          <w:b/>
          <w:color w:val="000000"/>
          <w:szCs w:val="21"/>
        </w:rPr>
        <w:t>（七）特别说明：</w:t>
      </w:r>
    </w:p>
    <w:p w14:paraId="71FD42B4">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1.</w:t>
      </w:r>
      <w:r>
        <w:rPr>
          <w:rFonts w:ascii="宋体" w:hAnsi="宋体"/>
          <w:bCs/>
          <w:color w:val="000000"/>
          <w:szCs w:val="21"/>
        </w:rPr>
        <w:t>磋商响应方所使用的资格、信誉、荣誉、业绩与企业认证必须为本</w:t>
      </w:r>
      <w:r>
        <w:rPr>
          <w:rFonts w:hint="eastAsia" w:ascii="宋体" w:hAnsi="宋体"/>
          <w:bCs/>
          <w:color w:val="000000"/>
          <w:szCs w:val="21"/>
        </w:rPr>
        <w:t>企业</w:t>
      </w:r>
      <w:r>
        <w:rPr>
          <w:rFonts w:ascii="宋体" w:hAnsi="宋体"/>
          <w:bCs/>
          <w:color w:val="000000"/>
          <w:szCs w:val="21"/>
        </w:rPr>
        <w:t>所拥有。</w:t>
      </w:r>
      <w:r>
        <w:rPr>
          <w:rFonts w:hint="eastAsia" w:ascii="宋体" w:hAnsi="宋体"/>
          <w:bCs/>
          <w:color w:val="000000"/>
          <w:szCs w:val="21"/>
        </w:rPr>
        <w:t>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2E515507">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2.</w:t>
      </w:r>
      <w:r>
        <w:rPr>
          <w:rFonts w:ascii="宋体" w:hAnsi="宋体"/>
          <w:bCs/>
          <w:color w:val="000000"/>
          <w:szCs w:val="21"/>
        </w:rPr>
        <w:t>磋商响应方应仔细阅读采购文件的所有内容，按照采购文件的要求提交采购响应文件，并对所提供的全部资料的真实性承担法律责任。</w:t>
      </w:r>
    </w:p>
    <w:p w14:paraId="14D8802E">
      <w:pPr>
        <w:snapToGrid w:val="0"/>
        <w:spacing w:line="360" w:lineRule="auto"/>
        <w:ind w:left="2" w:leftChars="1"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竞标人在竞标活动中提供任何虚假材料,其竞标无效，并报监管部门查处</w:t>
      </w:r>
      <w:r>
        <w:rPr>
          <w:rFonts w:hint="eastAsia" w:ascii="宋体" w:hAnsi="宋体"/>
          <w:bCs/>
          <w:color w:val="000000"/>
          <w:szCs w:val="21"/>
        </w:rPr>
        <w:t>。</w:t>
      </w:r>
      <w:r>
        <w:rPr>
          <w:rFonts w:ascii="宋体" w:hAnsi="宋体"/>
          <w:bCs/>
          <w:color w:val="000000"/>
          <w:szCs w:val="21"/>
        </w:rPr>
        <w:t>中标后发现的,</w:t>
      </w:r>
      <w:r>
        <w:rPr>
          <w:rFonts w:hint="eastAsia" w:ascii="宋体" w:hAnsi="宋体"/>
          <w:bCs/>
          <w:color w:val="000000"/>
          <w:szCs w:val="21"/>
        </w:rPr>
        <w:t>造成其他损失的须赔偿相应损失，</w:t>
      </w:r>
      <w:r>
        <w:rPr>
          <w:rFonts w:ascii="宋体" w:hAnsi="宋体"/>
          <w:bCs/>
          <w:color w:val="000000"/>
          <w:szCs w:val="21"/>
        </w:rPr>
        <w:t>且民事赔偿并不免除违法竞标人的行政与刑事责任。</w:t>
      </w:r>
    </w:p>
    <w:p w14:paraId="65B46408">
      <w:pPr>
        <w:snapToGrid w:val="0"/>
        <w:spacing w:line="360" w:lineRule="auto"/>
        <w:ind w:left="2" w:leftChars="1" w:firstLine="422" w:firstLineChars="200"/>
        <w:rPr>
          <w:rFonts w:ascii="宋体" w:hAnsi="宋体"/>
          <w:b/>
          <w:szCs w:val="21"/>
        </w:rPr>
      </w:pPr>
      <w:r>
        <w:rPr>
          <w:rFonts w:hint="eastAsia" w:ascii="宋体" w:hAnsi="宋体"/>
          <w:b/>
          <w:color w:val="000000"/>
          <w:szCs w:val="21"/>
        </w:rPr>
        <w:t>4.根据《政府采购竞争性磋商采购方式管理暂行办法》（财库〔2014〕214号）规定，符该办法第三条第四项情形的，提交最终报价的供应商可以为2家。</w:t>
      </w:r>
    </w:p>
    <w:p w14:paraId="3D393C9C">
      <w:pPr>
        <w:widowControl/>
        <w:spacing w:line="360" w:lineRule="auto"/>
        <w:ind w:firstLine="422" w:firstLineChars="200"/>
        <w:jc w:val="left"/>
        <w:rPr>
          <w:rFonts w:ascii="宋体" w:hAnsi="宋体"/>
          <w:b/>
          <w:bCs/>
          <w:szCs w:val="21"/>
        </w:rPr>
      </w:pPr>
      <w:r>
        <w:rPr>
          <w:rFonts w:ascii="宋体" w:hAnsi="宋体"/>
          <w:b/>
          <w:bCs/>
          <w:szCs w:val="21"/>
        </w:rPr>
        <w:t>（</w:t>
      </w:r>
      <w:r>
        <w:rPr>
          <w:rFonts w:hint="eastAsia" w:ascii="宋体" w:hAnsi="宋体"/>
          <w:b/>
          <w:bCs/>
          <w:szCs w:val="21"/>
        </w:rPr>
        <w:t>八</w:t>
      </w:r>
      <w:r>
        <w:rPr>
          <w:rFonts w:ascii="宋体" w:hAnsi="宋体"/>
          <w:b/>
          <w:bCs/>
          <w:szCs w:val="21"/>
        </w:rPr>
        <w:t>）质疑和投诉</w:t>
      </w:r>
    </w:p>
    <w:p w14:paraId="33FB690F">
      <w:pPr>
        <w:snapToGrid w:val="0"/>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ascii="宋体" w:hAnsi="宋体"/>
          <w:bCs/>
          <w:color w:val="000000"/>
          <w:szCs w:val="21"/>
        </w:rPr>
        <w:t>质疑、投诉应当采用书面形式，质疑书、投诉书均应明确阐述采购文件、招标过程</w:t>
      </w:r>
      <w:r>
        <w:rPr>
          <w:rFonts w:hint="eastAsia" w:ascii="宋体" w:hAnsi="宋体"/>
          <w:bCs/>
          <w:color w:val="000000"/>
          <w:szCs w:val="21"/>
        </w:rPr>
        <w:t>或</w:t>
      </w:r>
      <w:r>
        <w:rPr>
          <w:rFonts w:ascii="宋体" w:hAnsi="宋体"/>
          <w:bCs/>
          <w:color w:val="000000"/>
          <w:szCs w:val="21"/>
        </w:rPr>
        <w:t>成交结果中使自己合法权益受到损害的实质性内容，提供相关事实、依据和证据及其来源或线索，便于有关单位调查、答复和处理</w:t>
      </w:r>
      <w:r>
        <w:rPr>
          <w:rFonts w:hint="eastAsia" w:ascii="宋体" w:hAnsi="宋体"/>
          <w:bCs/>
          <w:color w:val="000000"/>
          <w:szCs w:val="21"/>
        </w:rPr>
        <w:t>。</w:t>
      </w:r>
    </w:p>
    <w:p w14:paraId="0E5C2260">
      <w:pPr>
        <w:snapToGrid w:val="0"/>
        <w:spacing w:line="360" w:lineRule="auto"/>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.供应商未按规定要求提出的，则视同认可采购文件，但法律法规及规范性文件有明确规定的除外。</w:t>
      </w:r>
    </w:p>
    <w:p w14:paraId="0D5B04D9">
      <w:pPr>
        <w:snapToGrid w:val="0"/>
        <w:spacing w:line="360" w:lineRule="auto"/>
        <w:outlineLvl w:val="0"/>
        <w:rPr>
          <w:rFonts w:ascii="宋体" w:hAnsi="宋体"/>
          <w:b/>
          <w:color w:val="000000"/>
          <w:szCs w:val="21"/>
        </w:rPr>
      </w:pPr>
      <w:bookmarkStart w:id="5" w:name="_Toc157410886"/>
      <w:r>
        <w:rPr>
          <w:rFonts w:ascii="宋体" w:hAnsi="宋体"/>
          <w:b/>
          <w:color w:val="000000"/>
          <w:szCs w:val="21"/>
        </w:rPr>
        <w:t>二</w:t>
      </w:r>
      <w:r>
        <w:rPr>
          <w:rFonts w:hint="eastAsia" w:ascii="宋体" w:hAnsi="宋体"/>
          <w:b/>
          <w:color w:val="000000"/>
          <w:szCs w:val="21"/>
        </w:rPr>
        <w:t>、</w:t>
      </w:r>
      <w:r>
        <w:rPr>
          <w:rFonts w:ascii="宋体" w:hAnsi="宋体"/>
          <w:b/>
          <w:color w:val="000000"/>
          <w:szCs w:val="21"/>
        </w:rPr>
        <w:t>采购文件</w:t>
      </w:r>
    </w:p>
    <w:p w14:paraId="79956477">
      <w:pPr>
        <w:snapToGrid w:val="0"/>
        <w:spacing w:line="360" w:lineRule="auto"/>
        <w:ind w:firstLine="413" w:firstLineChars="196"/>
        <w:jc w:val="left"/>
        <w:rPr>
          <w:rFonts w:ascii="宋体" w:hAnsi="宋体"/>
          <w:b/>
          <w:color w:val="000000"/>
          <w:szCs w:val="21"/>
        </w:rPr>
      </w:pPr>
      <w:r>
        <w:rPr>
          <w:rFonts w:hint="eastAsia" w:ascii="宋体" w:hAnsi="宋体"/>
          <w:b/>
          <w:color w:val="000000"/>
          <w:szCs w:val="21"/>
        </w:rPr>
        <w:t>（一）采购文件的构成。本采购文件由以下部份组成：</w:t>
      </w:r>
    </w:p>
    <w:p w14:paraId="2AC5FB48">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.竞争性磋商</w:t>
      </w:r>
      <w:r>
        <w:rPr>
          <w:rFonts w:ascii="宋体" w:hAnsi="宋体"/>
          <w:color w:val="000000"/>
          <w:szCs w:val="21"/>
        </w:rPr>
        <w:t>公告</w:t>
      </w:r>
    </w:p>
    <w:p w14:paraId="2D231143">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.竞争性磋商</w:t>
      </w:r>
      <w:r>
        <w:rPr>
          <w:rFonts w:ascii="宋体" w:hAnsi="宋体"/>
          <w:color w:val="000000"/>
          <w:szCs w:val="21"/>
        </w:rPr>
        <w:t>须知</w:t>
      </w:r>
    </w:p>
    <w:p w14:paraId="49AAC40B">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.采购内容及技术要求</w:t>
      </w:r>
    </w:p>
    <w:p w14:paraId="23807749">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w:t>
      </w:r>
      <w:r>
        <w:rPr>
          <w:rFonts w:hint="eastAsia" w:ascii="宋体" w:hAnsi="宋体"/>
          <w:color w:val="000000"/>
          <w:szCs w:val="21"/>
        </w:rPr>
        <w:t>分</w:t>
      </w:r>
      <w:r>
        <w:rPr>
          <w:rFonts w:ascii="宋体" w:hAnsi="宋体"/>
          <w:color w:val="000000"/>
          <w:szCs w:val="21"/>
        </w:rPr>
        <w:t>办法及标准</w:t>
      </w:r>
    </w:p>
    <w:p w14:paraId="463FB89A">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14:paraId="20451E0E">
      <w:pPr>
        <w:snapToGrid w:val="0"/>
        <w:spacing w:line="360" w:lineRule="auto"/>
        <w:ind w:firstLine="420" w:firstLineChars="200"/>
        <w:jc w:val="left"/>
        <w:rPr>
          <w:rFonts w:ascii="宋体" w:hAnsi="宋体"/>
          <w:color w:val="000000"/>
          <w:szCs w:val="21"/>
        </w:rPr>
      </w:pPr>
      <w:r>
        <w:rPr>
          <w:rFonts w:ascii="宋体" w:hAnsi="宋体"/>
          <w:color w:val="000000"/>
          <w:szCs w:val="21"/>
        </w:rPr>
        <w:t>6</w:t>
      </w:r>
      <w:r>
        <w:rPr>
          <w:rFonts w:hint="eastAsia" w:ascii="宋体" w:hAnsi="宋体"/>
          <w:color w:val="000000"/>
          <w:szCs w:val="21"/>
        </w:rPr>
        <w:t>.磋商响应</w:t>
      </w:r>
      <w:r>
        <w:rPr>
          <w:rFonts w:ascii="宋体" w:hAnsi="宋体"/>
          <w:color w:val="000000"/>
          <w:szCs w:val="21"/>
        </w:rPr>
        <w:t>文件格式</w:t>
      </w:r>
    </w:p>
    <w:p w14:paraId="11F1407A">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7.本项目</w:t>
      </w:r>
      <w:r>
        <w:rPr>
          <w:rFonts w:ascii="宋体" w:hAnsi="宋体"/>
          <w:color w:val="000000"/>
          <w:szCs w:val="21"/>
        </w:rPr>
        <w:t>采购文件</w:t>
      </w:r>
      <w:r>
        <w:rPr>
          <w:rFonts w:hint="eastAsia" w:ascii="宋体" w:hAnsi="宋体"/>
          <w:color w:val="000000"/>
          <w:szCs w:val="21"/>
        </w:rPr>
        <w:t>的</w:t>
      </w:r>
      <w:r>
        <w:rPr>
          <w:rFonts w:ascii="宋体" w:hAnsi="宋体"/>
          <w:color w:val="000000"/>
          <w:szCs w:val="21"/>
        </w:rPr>
        <w:t>澄清、答复、修改、补充的内容</w:t>
      </w:r>
    </w:p>
    <w:p w14:paraId="4B727ABB">
      <w:pPr>
        <w:snapToGrid w:val="0"/>
        <w:spacing w:beforeLines="50" w:line="360" w:lineRule="auto"/>
        <w:ind w:firstLine="413" w:firstLineChars="196"/>
        <w:jc w:val="left"/>
        <w:rPr>
          <w:rFonts w:ascii="宋体" w:hAnsi="宋体"/>
          <w:b/>
          <w:color w:val="000000"/>
          <w:szCs w:val="21"/>
        </w:rPr>
      </w:pPr>
      <w:r>
        <w:rPr>
          <w:rFonts w:hint="eastAsia" w:ascii="宋体" w:hAnsi="宋体"/>
          <w:b/>
          <w:color w:val="000000"/>
          <w:szCs w:val="21"/>
        </w:rPr>
        <w:t>（二）磋商响应方的风险</w:t>
      </w:r>
    </w:p>
    <w:p w14:paraId="1BC9718D">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磋商响应方没有按照采购文件要求提供全部资料，或者磋商响应方没有对采购文件在各方面作出实质性响应是磋商响应方的风险，并可能导致其竞标被拒绝。</w:t>
      </w:r>
    </w:p>
    <w:p w14:paraId="4B83E5AC">
      <w:pPr>
        <w:tabs>
          <w:tab w:val="left" w:pos="454"/>
          <w:tab w:val="left" w:pos="720"/>
        </w:tabs>
        <w:snapToGrid w:val="0"/>
        <w:spacing w:beforeLines="50" w:line="360" w:lineRule="auto"/>
        <w:ind w:firstLine="413" w:firstLineChars="196"/>
        <w:jc w:val="left"/>
        <w:rPr>
          <w:rFonts w:ascii="宋体" w:hAnsi="宋体"/>
          <w:b/>
          <w:color w:val="000000"/>
          <w:kern w:val="0"/>
          <w:szCs w:val="21"/>
        </w:rPr>
      </w:pPr>
      <w:r>
        <w:rPr>
          <w:rFonts w:hint="eastAsia" w:ascii="宋体" w:hAnsi="宋体"/>
          <w:b/>
          <w:color w:val="000000"/>
          <w:kern w:val="0"/>
          <w:szCs w:val="21"/>
        </w:rPr>
        <w:t>（三）采购文件的澄清与修改</w:t>
      </w:r>
    </w:p>
    <w:p w14:paraId="5E496EDA">
      <w:pPr>
        <w:snapToGrid w:val="0"/>
        <w:spacing w:line="360" w:lineRule="auto"/>
        <w:ind w:firstLine="420" w:firstLineChars="200"/>
        <w:rPr>
          <w:rFonts w:ascii="宋体" w:hAnsi="宋体"/>
          <w:color w:val="000000"/>
          <w:szCs w:val="21"/>
        </w:rPr>
      </w:pPr>
      <w:r>
        <w:rPr>
          <w:rFonts w:hint="eastAsia" w:ascii="宋体" w:hAnsi="宋体"/>
          <w:color w:val="000000"/>
          <w:szCs w:val="21"/>
        </w:rPr>
        <w:t>1.在磋商截止时间前，</w:t>
      </w:r>
      <w:r>
        <w:rPr>
          <w:rFonts w:ascii="宋体" w:hAnsi="宋体"/>
          <w:color w:val="000000"/>
          <w:szCs w:val="21"/>
        </w:rPr>
        <w:t>采购代理公司</w:t>
      </w:r>
      <w:r>
        <w:rPr>
          <w:rFonts w:hint="eastAsia" w:ascii="宋体" w:hAnsi="宋体"/>
          <w:color w:val="000000"/>
          <w:szCs w:val="21"/>
        </w:rPr>
        <w:t>对已发出的采购文件进行必要澄清或者修改时，将依法在财政部门指定的政府采购信息发布媒体上发布更正公告，并以书面形式通知所有采购文件收受人，</w:t>
      </w:r>
      <w:r>
        <w:rPr>
          <w:rFonts w:ascii="宋体" w:hAnsi="宋体"/>
          <w:color w:val="000000"/>
          <w:szCs w:val="21"/>
        </w:rPr>
        <w:t>除书面答复以外的其他澄清方式及澄清内容均无效。</w:t>
      </w:r>
      <w:r>
        <w:rPr>
          <w:rFonts w:hint="eastAsia" w:ascii="宋体" w:hAnsi="宋体"/>
          <w:color w:val="000000"/>
          <w:szCs w:val="21"/>
        </w:rPr>
        <w:t>该澄清或者修改的内容为采购文件的组成部分，对所有磋商响应方有约束力。磋商响应方在收到采购文件的澄清修改函后，应以书面形式予以确认。</w:t>
      </w:r>
    </w:p>
    <w:p w14:paraId="34D14106">
      <w:pPr>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采购代理公司</w:t>
      </w:r>
      <w:r>
        <w:rPr>
          <w:rFonts w:hint="eastAsia" w:ascii="宋体" w:hAnsi="宋体"/>
          <w:color w:val="000000"/>
          <w:szCs w:val="21"/>
        </w:rPr>
        <w:t>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73940747">
      <w:pPr>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采购文件澄清、答复、修改、补充的内容为采购文件的组成部分。当采购文件与采购文件的答复、澄清、修改、补充通知就同一内容的表述不一致时，以最后发出的书面文件为准。</w:t>
      </w:r>
    </w:p>
    <w:p w14:paraId="6795A4DA">
      <w:pPr>
        <w:snapToGrid w:val="0"/>
        <w:spacing w:line="360" w:lineRule="auto"/>
        <w:ind w:firstLine="420" w:firstLineChars="200"/>
        <w:rPr>
          <w:rFonts w:ascii="宋体" w:hAnsi="宋体"/>
          <w:b/>
          <w:color w:val="000000"/>
          <w:szCs w:val="21"/>
        </w:rPr>
      </w:pPr>
      <w:r>
        <w:rPr>
          <w:rFonts w:hint="eastAsia" w:ascii="宋体" w:hAnsi="宋体"/>
          <w:color w:val="000000"/>
          <w:szCs w:val="21"/>
        </w:rPr>
        <w:t>4.</w:t>
      </w:r>
      <w:r>
        <w:rPr>
          <w:rFonts w:ascii="宋体" w:hAnsi="宋体"/>
          <w:color w:val="000000"/>
          <w:szCs w:val="21"/>
        </w:rPr>
        <w:t>采购文件的澄清、答复、修改或补充都应该通过本代理机构以法定形式发布，采购人非通过本机构，不得擅自澄清、答复、修改或补充采购文件。</w:t>
      </w:r>
    </w:p>
    <w:p w14:paraId="007BC347">
      <w:pPr>
        <w:snapToGrid w:val="0"/>
        <w:spacing w:line="360" w:lineRule="auto"/>
        <w:outlineLvl w:val="1"/>
        <w:rPr>
          <w:rFonts w:ascii="宋体" w:hAnsi="宋体"/>
          <w:b/>
          <w:color w:val="000000"/>
          <w:szCs w:val="21"/>
        </w:rPr>
      </w:pPr>
      <w:r>
        <w:rPr>
          <w:rFonts w:ascii="宋体" w:hAnsi="宋体"/>
          <w:b/>
          <w:color w:val="000000"/>
          <w:szCs w:val="21"/>
        </w:rPr>
        <w:t>三、磋商响应文件的编制</w:t>
      </w:r>
    </w:p>
    <w:p w14:paraId="65AA69DA">
      <w:pPr>
        <w:snapToGrid w:val="0"/>
        <w:spacing w:line="360" w:lineRule="auto"/>
        <w:ind w:firstLine="422" w:firstLineChars="200"/>
        <w:jc w:val="left"/>
        <w:rPr>
          <w:rFonts w:ascii="宋体" w:hAnsi="宋体"/>
          <w:b/>
          <w:color w:val="000000"/>
          <w:szCs w:val="21"/>
        </w:rPr>
      </w:pPr>
      <w:r>
        <w:rPr>
          <w:rFonts w:hint="eastAsia" w:ascii="宋体" w:hAnsi="宋体"/>
          <w:b/>
          <w:color w:val="000000"/>
          <w:szCs w:val="21"/>
        </w:rPr>
        <w:t>注：磋商响应方应保证所提供文件资料的真实性，所有文件资料必须是针对本次竞标的。如发现磋商响应方提供了虚假文件资料，其竞标将被拒绝，并自行承担相应的法律责任。</w:t>
      </w:r>
    </w:p>
    <w:p w14:paraId="6892C3C6">
      <w:pPr>
        <w:snapToGrid w:val="0"/>
        <w:spacing w:line="360" w:lineRule="auto"/>
        <w:ind w:firstLine="413" w:firstLineChars="196"/>
        <w:jc w:val="left"/>
        <w:outlineLvl w:val="0"/>
        <w:rPr>
          <w:rFonts w:ascii="宋体" w:hAnsi="宋体"/>
          <w:b/>
          <w:szCs w:val="21"/>
        </w:rPr>
      </w:pPr>
      <w:r>
        <w:rPr>
          <w:rFonts w:hint="eastAsia" w:ascii="宋体" w:hAnsi="宋体"/>
          <w:b/>
          <w:szCs w:val="21"/>
        </w:rPr>
        <w:t>（一）磋商响应文件的形式和效力</w:t>
      </w:r>
    </w:p>
    <w:p w14:paraId="7C1BB4D4">
      <w:pPr>
        <w:snapToGrid w:val="0"/>
        <w:spacing w:line="360" w:lineRule="auto"/>
        <w:ind w:firstLine="413" w:firstLineChars="196"/>
        <w:jc w:val="left"/>
        <w:outlineLvl w:val="0"/>
        <w:rPr>
          <w:rFonts w:ascii="宋体" w:hAnsi="宋体"/>
          <w:b/>
          <w:szCs w:val="21"/>
        </w:rPr>
      </w:pPr>
      <w:r>
        <w:rPr>
          <w:rFonts w:hint="eastAsia" w:ascii="宋体" w:hAnsi="宋体"/>
          <w:b/>
          <w:szCs w:val="21"/>
        </w:rPr>
        <w:t>1. 磋商响应文件分为电子磋商响应文件以及备份电子磋商响应文件。</w:t>
      </w:r>
    </w:p>
    <w:p w14:paraId="2EDA5798">
      <w:pPr>
        <w:snapToGrid w:val="0"/>
        <w:spacing w:line="360" w:lineRule="auto"/>
        <w:ind w:firstLine="413" w:firstLineChars="196"/>
        <w:outlineLvl w:val="0"/>
        <w:rPr>
          <w:rFonts w:ascii="宋体" w:hAnsi="宋体"/>
          <w:b/>
          <w:szCs w:val="21"/>
        </w:rPr>
      </w:pPr>
      <w:r>
        <w:rPr>
          <w:rFonts w:hint="eastAsia" w:ascii="宋体" w:hAnsi="宋体"/>
          <w:b/>
          <w:szCs w:val="21"/>
        </w:rPr>
        <w:t>1.1电子磋商响应文件：电子磋商响应文件按政采云平台供应商项目采购-电子交易操作指南（https://help.zcygov.cn/web/site_2/2018/12-28/2573.html）及本采购文件要求制作、加密并递交；</w:t>
      </w:r>
    </w:p>
    <w:p w14:paraId="08C8EB40">
      <w:pPr>
        <w:snapToGrid w:val="0"/>
        <w:spacing w:line="360" w:lineRule="auto"/>
        <w:ind w:firstLine="413" w:firstLineChars="196"/>
        <w:jc w:val="left"/>
        <w:outlineLvl w:val="0"/>
        <w:rPr>
          <w:rFonts w:ascii="宋体" w:hAnsi="宋体"/>
          <w:b/>
          <w:szCs w:val="21"/>
        </w:rPr>
      </w:pPr>
      <w:r>
        <w:rPr>
          <w:rFonts w:hint="eastAsia" w:ascii="宋体" w:hAnsi="宋体"/>
          <w:b/>
          <w:szCs w:val="21"/>
        </w:rPr>
        <w:t>1.2 备份电子磋商响应文件：即电子磋商响应文件按“政采云供应商项目采购-电子招投标操作指南”制作的备份文件。</w:t>
      </w:r>
    </w:p>
    <w:p w14:paraId="4F8512CE">
      <w:pPr>
        <w:snapToGrid w:val="0"/>
        <w:spacing w:line="360" w:lineRule="auto"/>
        <w:ind w:firstLine="413" w:firstLineChars="196"/>
        <w:jc w:val="left"/>
        <w:outlineLvl w:val="0"/>
        <w:rPr>
          <w:rFonts w:ascii="宋体" w:hAnsi="宋体"/>
          <w:b/>
          <w:szCs w:val="21"/>
        </w:rPr>
      </w:pPr>
      <w:r>
        <w:rPr>
          <w:rFonts w:hint="eastAsia" w:ascii="宋体" w:hAnsi="宋体"/>
          <w:b/>
          <w:szCs w:val="21"/>
        </w:rPr>
        <w:t>2.磋商响应文件的效力</w:t>
      </w:r>
    </w:p>
    <w:p w14:paraId="6F108E91">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3122E443">
      <w:pPr>
        <w:snapToGrid w:val="0"/>
        <w:spacing w:line="360" w:lineRule="auto"/>
        <w:ind w:firstLine="413" w:firstLineChars="196"/>
        <w:jc w:val="left"/>
        <w:outlineLvl w:val="0"/>
        <w:rPr>
          <w:rFonts w:ascii="宋体" w:hAnsi="宋体"/>
          <w:b/>
          <w:color w:val="000000"/>
          <w:szCs w:val="21"/>
        </w:rPr>
      </w:pPr>
      <w:r>
        <w:rPr>
          <w:rFonts w:hint="eastAsia" w:ascii="宋体" w:hAnsi="宋体"/>
          <w:b/>
          <w:color w:val="000000"/>
          <w:szCs w:val="21"/>
        </w:rPr>
        <w:t>（二）磋商响应文件的组成</w:t>
      </w:r>
    </w:p>
    <w:p w14:paraId="4D7B0D51">
      <w:pPr>
        <w:snapToGrid w:val="0"/>
        <w:spacing w:line="360" w:lineRule="auto"/>
        <w:ind w:firstLine="413" w:firstLineChars="196"/>
        <w:jc w:val="left"/>
        <w:outlineLvl w:val="0"/>
        <w:rPr>
          <w:rFonts w:ascii="宋体" w:hAnsi="宋体"/>
          <w:b/>
          <w:szCs w:val="21"/>
        </w:rPr>
      </w:pPr>
      <w:r>
        <w:rPr>
          <w:rFonts w:hint="eastAsia" w:ascii="宋体" w:hAnsi="宋体"/>
          <w:b/>
          <w:szCs w:val="21"/>
        </w:rPr>
        <w:t>磋商响应文件（包括电子磋商响应文件和备份磋商响应文件）由资格文件、商务技术文件、报价文件三部份组成。</w:t>
      </w:r>
    </w:p>
    <w:p w14:paraId="3B791B20">
      <w:pPr>
        <w:snapToGrid w:val="0"/>
        <w:spacing w:line="360" w:lineRule="auto"/>
        <w:ind w:firstLine="413" w:firstLineChars="196"/>
        <w:jc w:val="left"/>
        <w:outlineLvl w:val="0"/>
        <w:rPr>
          <w:rFonts w:ascii="宋体" w:hAnsi="宋体"/>
          <w:b/>
          <w:szCs w:val="21"/>
        </w:rPr>
      </w:pPr>
      <w:r>
        <w:rPr>
          <w:rFonts w:hint="eastAsia" w:ascii="宋体" w:hAnsi="宋体"/>
          <w:b/>
          <w:szCs w:val="21"/>
        </w:rPr>
        <w:t>其中电子磋商响应文件中所须加盖公章部分均采用CA签章。</w:t>
      </w:r>
    </w:p>
    <w:p w14:paraId="4029E160">
      <w:pPr>
        <w:snapToGrid w:val="0"/>
        <w:spacing w:line="360" w:lineRule="auto"/>
        <w:ind w:firstLine="413" w:firstLineChars="196"/>
        <w:jc w:val="left"/>
        <w:outlineLvl w:val="0"/>
        <w:rPr>
          <w:rFonts w:ascii="宋体" w:hAnsi="宋体"/>
          <w:b/>
          <w:szCs w:val="21"/>
        </w:rPr>
      </w:pPr>
      <w:r>
        <w:rPr>
          <w:rFonts w:hint="eastAsia" w:ascii="宋体" w:hAnsi="宋体"/>
          <w:b/>
          <w:szCs w:val="21"/>
        </w:rPr>
        <w:t>备份电子磋商响应文件，按政采云平台项目采购-电子招投标操作指南中上传的电子磋商响应文件格式，以光盘或U盘形式提供。数量为1份。</w:t>
      </w:r>
    </w:p>
    <w:p w14:paraId="5870AED7">
      <w:pPr>
        <w:snapToGrid w:val="0"/>
        <w:spacing w:beforeLines="50" w:line="360" w:lineRule="auto"/>
        <w:jc w:val="left"/>
        <w:rPr>
          <w:rFonts w:ascii="宋体" w:hAnsi="宋体"/>
          <w:b/>
          <w:szCs w:val="21"/>
        </w:rPr>
      </w:pPr>
      <w:r>
        <w:rPr>
          <w:rFonts w:hint="eastAsia" w:ascii="宋体" w:hAnsi="宋体"/>
          <w:b/>
          <w:szCs w:val="21"/>
        </w:rPr>
        <w:t>1.资格文件：</w:t>
      </w:r>
    </w:p>
    <w:p w14:paraId="1248D807">
      <w:pPr>
        <w:tabs>
          <w:tab w:val="left" w:pos="600"/>
        </w:tabs>
        <w:snapToGrid w:val="0"/>
        <w:spacing w:beforeLines="50" w:line="360" w:lineRule="auto"/>
        <w:ind w:firstLine="371" w:firstLineChars="176"/>
        <w:jc w:val="left"/>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03BB876">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a.</w:t>
      </w:r>
      <w:r>
        <w:rPr>
          <w:rFonts w:hint="eastAsia" w:ascii="宋体" w:hAnsi="宋体"/>
          <w:b/>
          <w:bCs/>
          <w:szCs w:val="21"/>
        </w:rPr>
        <w:t>磋商响应方的有效工商营业执照或法人证书复印件加盖公章；</w:t>
      </w:r>
    </w:p>
    <w:p w14:paraId="7ED45B34">
      <w:pPr>
        <w:widowControl/>
        <w:spacing w:line="360" w:lineRule="auto"/>
        <w:ind w:firstLine="474" w:firstLineChars="225"/>
        <w:jc w:val="left"/>
        <w:rPr>
          <w:rFonts w:ascii="宋体" w:hAnsi="宋体"/>
          <w:b/>
          <w:color w:val="000000"/>
          <w:szCs w:val="21"/>
        </w:rPr>
      </w:pPr>
      <w:r>
        <w:rPr>
          <w:rFonts w:hint="eastAsia" w:ascii="宋体" w:hAnsi="宋体"/>
          <w:b/>
          <w:color w:val="000000"/>
          <w:szCs w:val="21"/>
        </w:rPr>
        <w:t>b.</w:t>
      </w:r>
      <w:r>
        <w:rPr>
          <w:rFonts w:hint="eastAsia" w:ascii="宋体" w:hAnsi="宋体"/>
          <w:b/>
          <w:szCs w:val="21"/>
        </w:rPr>
        <w:t>磋商响应方的</w:t>
      </w:r>
      <w:r>
        <w:rPr>
          <w:rFonts w:ascii="宋体" w:hAnsi="宋体"/>
          <w:b/>
          <w:szCs w:val="21"/>
        </w:rPr>
        <w:t>承诺函</w:t>
      </w:r>
      <w:r>
        <w:rPr>
          <w:rFonts w:hint="eastAsia" w:ascii="宋体" w:hAnsi="宋体"/>
          <w:b/>
          <w:szCs w:val="21"/>
        </w:rPr>
        <w:t>原件（格式见采购文件附件）；</w:t>
      </w:r>
    </w:p>
    <w:p w14:paraId="30B334C4">
      <w:pPr>
        <w:widowControl/>
        <w:spacing w:line="360" w:lineRule="auto"/>
        <w:ind w:firstLine="472" w:firstLineChars="224"/>
        <w:jc w:val="left"/>
        <w:rPr>
          <w:rFonts w:ascii="宋体" w:hAnsi="宋体"/>
          <w:b/>
          <w:color w:val="000000"/>
          <w:szCs w:val="21"/>
        </w:rPr>
      </w:pPr>
      <w:r>
        <w:rPr>
          <w:rFonts w:hint="eastAsia" w:ascii="宋体" w:hAnsi="宋体"/>
          <w:b/>
          <w:color w:val="000000"/>
          <w:szCs w:val="21"/>
        </w:rPr>
        <w:t>c.法定代表人授权书原件、被授权人身份证复印件一份；</w:t>
      </w:r>
    </w:p>
    <w:p w14:paraId="76992070">
      <w:pPr>
        <w:widowControl/>
        <w:spacing w:line="360" w:lineRule="auto"/>
        <w:ind w:firstLine="472" w:firstLineChars="224"/>
        <w:jc w:val="left"/>
        <w:rPr>
          <w:szCs w:val="21"/>
        </w:rPr>
      </w:pPr>
      <w:r>
        <w:rPr>
          <w:rFonts w:hint="eastAsia" w:ascii="宋体" w:hAnsi="宋体"/>
          <w:b/>
          <w:szCs w:val="21"/>
        </w:rPr>
        <w:t>d.</w:t>
      </w:r>
      <w:r>
        <w:rPr>
          <w:rFonts w:hint="eastAsia" w:ascii="宋体" w:hAnsi="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68CDA282">
      <w:pPr>
        <w:tabs>
          <w:tab w:val="left" w:pos="704"/>
        </w:tabs>
        <w:snapToGrid w:val="0"/>
        <w:spacing w:beforeLines="50" w:line="360" w:lineRule="auto"/>
        <w:jc w:val="left"/>
        <w:rPr>
          <w:rFonts w:ascii="宋体" w:hAnsi="宋体"/>
          <w:b/>
          <w:szCs w:val="21"/>
        </w:rPr>
      </w:pPr>
      <w:r>
        <w:rPr>
          <w:rFonts w:hint="eastAsia" w:ascii="宋体" w:hAnsi="宋体"/>
          <w:b/>
          <w:szCs w:val="21"/>
        </w:rPr>
        <w:t>2.商务技术文件</w:t>
      </w:r>
      <w:r>
        <w:rPr>
          <w:rFonts w:ascii="宋体" w:hAnsi="宋体"/>
          <w:b/>
          <w:szCs w:val="21"/>
        </w:rPr>
        <w:t>：</w:t>
      </w:r>
    </w:p>
    <w:p w14:paraId="65EFB8FD">
      <w:pPr>
        <w:snapToGrid w:val="0"/>
        <w:spacing w:beforeLines="50" w:line="360" w:lineRule="auto"/>
        <w:jc w:val="left"/>
        <w:rPr>
          <w:rFonts w:ascii="宋体" w:hAnsi="宋体"/>
          <w:b/>
          <w:sz w:val="21"/>
          <w:szCs w:val="21"/>
        </w:rPr>
      </w:pPr>
      <w:r>
        <w:rPr>
          <w:rFonts w:hint="eastAsia" w:ascii="宋体" w:hAnsi="宋体"/>
          <w:b/>
          <w:sz w:val="21"/>
          <w:szCs w:val="21"/>
        </w:rPr>
        <w:t>（1）商务部分包括但不限于以下内容</w:t>
      </w:r>
    </w:p>
    <w:p w14:paraId="0EEC16F0">
      <w:pPr>
        <w:numPr>
          <w:ilvl w:val="0"/>
          <w:numId w:val="23"/>
        </w:numPr>
        <w:shd w:val="clear" w:color="auto" w:fill="FFFFFF"/>
        <w:spacing w:line="360" w:lineRule="auto"/>
        <w:ind w:left="210" w:leftChars="100"/>
        <w:rPr>
          <w:rFonts w:ascii="宋体" w:hAnsi="宋体" w:cs="宋体"/>
          <w:szCs w:val="21"/>
          <w:shd w:val="clear" w:color="auto" w:fill="FFFFFF"/>
        </w:rPr>
      </w:pPr>
      <w:bookmarkStart w:id="6" w:name="OLE_LINK6"/>
      <w:r>
        <w:rPr>
          <w:rFonts w:hint="eastAsia" w:ascii="宋体" w:hAnsi="宋体" w:cs="宋体"/>
          <w:szCs w:val="21"/>
          <w:shd w:val="clear" w:color="auto" w:fill="FFFFFF"/>
        </w:rPr>
        <w:t>各条路线明细表（格式自拟，包括：餐饮、住宿、景点等线路所涉及的明细，不体现价格）；</w:t>
      </w:r>
    </w:p>
    <w:p w14:paraId="306CE2E8">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声明书（格式见附件）；</w:t>
      </w:r>
    </w:p>
    <w:p w14:paraId="72B9FF70">
      <w:pPr>
        <w:numPr>
          <w:ilvl w:val="0"/>
          <w:numId w:val="23"/>
        </w:numPr>
        <w:shd w:val="clear" w:color="auto" w:fill="FFFFFF"/>
        <w:spacing w:line="360" w:lineRule="auto"/>
        <w:ind w:left="210" w:leftChars="100"/>
        <w:rPr>
          <w:rFonts w:ascii="宋体" w:hAnsi="宋体" w:cs="宋体"/>
          <w:szCs w:val="21"/>
          <w:shd w:val="clear" w:color="auto" w:fill="FFFFFF"/>
        </w:rPr>
      </w:pPr>
      <w:r>
        <w:rPr>
          <w:rFonts w:hint="eastAsia" w:ascii="宋体" w:hAnsi="宋体" w:cs="宋体"/>
          <w:szCs w:val="21"/>
          <w:shd w:val="clear" w:color="auto" w:fill="FFFFFF"/>
        </w:rPr>
        <w:t>采购响应函（格式见附件）；</w:t>
      </w:r>
    </w:p>
    <w:p w14:paraId="756C855D">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shd w:val="clear" w:color="auto" w:fill="FFFFFF"/>
        </w:rPr>
        <w:t>磋商响应方基本情况一览表（格式见附件）；</w:t>
      </w:r>
    </w:p>
    <w:p w14:paraId="61A2BB3A">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rPr>
        <w:t>导游资格证书</w:t>
      </w:r>
      <w:r>
        <w:rPr>
          <w:rFonts w:hint="eastAsia" w:ascii="宋体" w:hAnsi="宋体" w:cs="宋体"/>
          <w:szCs w:val="21"/>
          <w:lang w:eastAsia="zh-CN"/>
        </w:rPr>
        <w:t>；</w:t>
      </w:r>
    </w:p>
    <w:p w14:paraId="5B42E8C3">
      <w:pPr>
        <w:numPr>
          <w:ilvl w:val="0"/>
          <w:numId w:val="23"/>
        </w:numPr>
        <w:shd w:val="clear" w:color="auto" w:fill="FFFFFF"/>
        <w:spacing w:line="360" w:lineRule="auto"/>
        <w:ind w:left="210" w:leftChars="100"/>
        <w:rPr>
          <w:rFonts w:hint="eastAsia" w:ascii="宋体" w:hAnsi="宋体" w:cs="宋体"/>
          <w:szCs w:val="21"/>
          <w:shd w:val="clear" w:color="auto" w:fill="FFFFFF"/>
        </w:rPr>
      </w:pPr>
      <w:r>
        <w:rPr>
          <w:rFonts w:hint="eastAsia" w:ascii="宋体" w:hAnsi="宋体" w:cs="宋体"/>
          <w:szCs w:val="21"/>
          <w:shd w:val="clear" w:color="auto" w:fill="FFFFFF"/>
        </w:rPr>
        <w:t>业主评价意见</w:t>
      </w:r>
      <w:r>
        <w:rPr>
          <w:rFonts w:hint="eastAsia" w:ascii="宋体" w:hAnsi="宋体" w:cs="宋体"/>
          <w:szCs w:val="21"/>
          <w:shd w:val="clear" w:color="auto" w:fill="FFFFFF"/>
          <w:lang w:eastAsia="zh-CN"/>
        </w:rPr>
        <w:t>；</w:t>
      </w:r>
    </w:p>
    <w:p w14:paraId="5FC453CD">
      <w:pPr>
        <w:numPr>
          <w:ilvl w:val="0"/>
          <w:numId w:val="23"/>
        </w:numPr>
        <w:shd w:val="clear" w:color="auto" w:fill="FFFFFF"/>
        <w:spacing w:line="360" w:lineRule="auto"/>
        <w:ind w:left="210" w:leftChars="100"/>
        <w:rPr>
          <w:rFonts w:ascii="宋体" w:hAnsi="宋体" w:cs="宋体"/>
          <w:szCs w:val="21"/>
        </w:rPr>
      </w:pPr>
      <w:r>
        <w:rPr>
          <w:rFonts w:hint="eastAsia" w:ascii="宋体" w:hAnsi="宋体" w:cs="宋体"/>
          <w:szCs w:val="21"/>
        </w:rPr>
        <w:t>优惠条件或服务措施情况；</w:t>
      </w:r>
    </w:p>
    <w:p w14:paraId="3F16A1D4">
      <w:pPr>
        <w:numPr>
          <w:ilvl w:val="0"/>
          <w:numId w:val="23"/>
        </w:numPr>
        <w:shd w:val="clear" w:color="auto" w:fill="FFFFFF"/>
        <w:spacing w:line="360" w:lineRule="auto"/>
        <w:ind w:left="210" w:leftChars="100"/>
      </w:pPr>
      <w:r>
        <w:rPr>
          <w:rFonts w:hint="eastAsia" w:ascii="宋体" w:hAnsi="宋体" w:cs="宋体"/>
          <w:szCs w:val="21"/>
        </w:rPr>
        <w:t>商务</w:t>
      </w:r>
      <w:r>
        <w:rPr>
          <w:rFonts w:hint="eastAsia" w:ascii="宋体" w:hAnsi="宋体" w:cs="宋体"/>
          <w:szCs w:val="21"/>
          <w:lang w:val="en-US" w:eastAsia="zh-CN"/>
        </w:rPr>
        <w:t>偏离</w:t>
      </w:r>
      <w:r>
        <w:rPr>
          <w:rFonts w:hint="eastAsia" w:ascii="宋体" w:hAnsi="宋体" w:cs="宋体"/>
          <w:szCs w:val="21"/>
        </w:rPr>
        <w:t>表（格式见附件）；</w:t>
      </w:r>
    </w:p>
    <w:p w14:paraId="098FFB1E">
      <w:pPr>
        <w:numPr>
          <w:ilvl w:val="0"/>
          <w:numId w:val="23"/>
        </w:numPr>
        <w:shd w:val="clear" w:color="auto" w:fill="FFFFFF"/>
        <w:tabs>
          <w:tab w:val="left" w:pos="540"/>
          <w:tab w:val="clear" w:pos="420"/>
        </w:tabs>
        <w:spacing w:line="360" w:lineRule="auto"/>
        <w:ind w:left="210" w:leftChars="100"/>
        <w:rPr>
          <w:rFonts w:ascii="宋体" w:hAnsi="宋体"/>
          <w:b/>
          <w:szCs w:val="21"/>
        </w:rPr>
      </w:pPr>
      <w:r>
        <w:rPr>
          <w:rFonts w:hint="eastAsia" w:ascii="宋体" w:hAnsi="宋体" w:cs="宋体"/>
          <w:bCs/>
          <w:szCs w:val="21"/>
          <w:shd w:val="clear" w:color="auto" w:fill="FFFFFF"/>
        </w:rPr>
        <w:t>采购文件要求的，以及磋商响应方认为要说明的其他内容。</w:t>
      </w:r>
      <w:bookmarkEnd w:id="6"/>
    </w:p>
    <w:p w14:paraId="3303DB91">
      <w:pPr>
        <w:spacing w:line="360" w:lineRule="auto"/>
        <w:rPr>
          <w:rFonts w:ascii="宋体" w:hAnsi="宋体"/>
          <w:sz w:val="21"/>
          <w:szCs w:val="21"/>
          <w:lang w:val="zh-CN"/>
        </w:rPr>
      </w:pPr>
      <w:r>
        <w:rPr>
          <w:rFonts w:hint="eastAsia" w:ascii="宋体" w:hAnsi="宋体"/>
          <w:b/>
          <w:sz w:val="21"/>
          <w:szCs w:val="21"/>
        </w:rPr>
        <w:t>（2）技术部分包括但不限于以下内容：</w:t>
      </w:r>
      <w:r>
        <w:rPr>
          <w:rFonts w:ascii="宋体" w:hAnsi="宋体"/>
          <w:sz w:val="21"/>
          <w:szCs w:val="21"/>
          <w:lang w:val="zh-CN"/>
        </w:rPr>
        <w:t xml:space="preserve"> </w:t>
      </w:r>
    </w:p>
    <w:p w14:paraId="27E6912D">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zh-CN"/>
        </w:rPr>
        <w:t>针对本项目提供的疗休养方案；</w:t>
      </w:r>
    </w:p>
    <w:p w14:paraId="19CA36A5">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lang w:val="en-US" w:eastAsia="zh-CN"/>
        </w:rPr>
        <w:t>意外保险额度；</w:t>
      </w:r>
    </w:p>
    <w:p w14:paraId="341F03CC">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Arial"/>
          <w:snapToGrid w:val="0"/>
          <w:color w:val="auto"/>
          <w:kern w:val="0"/>
          <w:szCs w:val="21"/>
        </w:rPr>
        <w:t>针对本项目提供的住宿情况</w:t>
      </w:r>
      <w:r>
        <w:rPr>
          <w:rFonts w:hint="eastAsia" w:ascii="宋体" w:hAnsi="宋体" w:cs="Arial"/>
          <w:snapToGrid w:val="0"/>
          <w:color w:val="auto"/>
          <w:kern w:val="0"/>
          <w:szCs w:val="21"/>
          <w:lang w:eastAsia="zh-CN"/>
        </w:rPr>
        <w:t>；</w:t>
      </w:r>
    </w:p>
    <w:p w14:paraId="37DE6CDA">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Arial"/>
          <w:snapToGrid w:val="0"/>
          <w:color w:val="auto"/>
          <w:kern w:val="0"/>
          <w:szCs w:val="21"/>
        </w:rPr>
        <w:t>针对本项目提供的餐饮情况</w:t>
      </w:r>
      <w:r>
        <w:rPr>
          <w:rFonts w:hint="eastAsia" w:ascii="宋体" w:hAnsi="宋体" w:cs="宋体"/>
          <w:szCs w:val="21"/>
          <w:lang w:val="zh-CN"/>
        </w:rPr>
        <w:t>；</w:t>
      </w:r>
    </w:p>
    <w:p w14:paraId="63F705BA">
      <w:pPr>
        <w:numPr>
          <w:ilvl w:val="0"/>
          <w:numId w:val="24"/>
        </w:numPr>
        <w:shd w:val="clear" w:color="auto" w:fill="FFFFFF"/>
        <w:tabs>
          <w:tab w:val="left" w:pos="360"/>
        </w:tabs>
        <w:spacing w:line="360" w:lineRule="auto"/>
        <w:rPr>
          <w:rFonts w:ascii="宋体" w:hAnsi="宋体" w:cs="Arial"/>
          <w:snapToGrid w:val="0"/>
          <w:color w:val="auto"/>
          <w:kern w:val="0"/>
          <w:szCs w:val="21"/>
        </w:rPr>
      </w:pPr>
      <w:r>
        <w:rPr>
          <w:rFonts w:hint="eastAsia" w:ascii="宋体" w:hAnsi="宋体" w:cs="Arial"/>
          <w:snapToGrid w:val="0"/>
          <w:color w:val="auto"/>
          <w:kern w:val="0"/>
          <w:szCs w:val="21"/>
        </w:rPr>
        <w:t>车辆设备、驾驶员等情况</w:t>
      </w:r>
      <w:r>
        <w:rPr>
          <w:rFonts w:hint="eastAsia" w:ascii="宋体" w:hAnsi="宋体" w:cs="宋体"/>
          <w:szCs w:val="21"/>
        </w:rPr>
        <w:t>；</w:t>
      </w:r>
    </w:p>
    <w:p w14:paraId="7CE9AC9C">
      <w:pPr>
        <w:numPr>
          <w:ilvl w:val="0"/>
          <w:numId w:val="24"/>
        </w:numPr>
        <w:shd w:val="clear" w:color="auto" w:fill="FFFFFF"/>
        <w:tabs>
          <w:tab w:val="left" w:pos="360"/>
        </w:tabs>
        <w:spacing w:line="360" w:lineRule="auto"/>
        <w:rPr>
          <w:rFonts w:ascii="宋体" w:hAnsi="宋体" w:cs="Arial"/>
          <w:snapToGrid w:val="0"/>
          <w:color w:val="auto"/>
          <w:kern w:val="0"/>
          <w:szCs w:val="21"/>
        </w:rPr>
      </w:pPr>
      <w:r>
        <w:rPr>
          <w:rFonts w:hint="eastAsia" w:ascii="宋体" w:hAnsi="宋体" w:cs="Arial"/>
          <w:snapToGrid w:val="0"/>
          <w:color w:val="auto"/>
          <w:kern w:val="0"/>
          <w:szCs w:val="21"/>
        </w:rPr>
        <w:t>项目组人员配置及岗位设置情况</w:t>
      </w:r>
      <w:r>
        <w:rPr>
          <w:rFonts w:hint="eastAsia" w:ascii="宋体" w:hAnsi="宋体" w:cs="Arial"/>
          <w:snapToGrid w:val="0"/>
          <w:color w:val="auto"/>
          <w:kern w:val="0"/>
          <w:szCs w:val="21"/>
          <w:lang w:eastAsia="zh-CN"/>
        </w:rPr>
        <w:t>；</w:t>
      </w:r>
    </w:p>
    <w:p w14:paraId="03336666">
      <w:pPr>
        <w:numPr>
          <w:ilvl w:val="0"/>
          <w:numId w:val="24"/>
        </w:numPr>
        <w:shd w:val="clear" w:color="auto" w:fill="FFFFFF"/>
        <w:tabs>
          <w:tab w:val="left" w:pos="360"/>
        </w:tabs>
        <w:spacing w:line="360" w:lineRule="auto"/>
        <w:rPr>
          <w:rFonts w:ascii="宋体" w:hAnsi="宋体" w:cs="宋体"/>
          <w:szCs w:val="21"/>
          <w:lang w:val="zh-CN"/>
        </w:rPr>
      </w:pPr>
      <w:r>
        <w:rPr>
          <w:rFonts w:hint="eastAsia" w:ascii="宋体" w:hAnsi="宋体" w:cs="宋体"/>
          <w:szCs w:val="21"/>
          <w:lang w:val="en-US" w:eastAsia="zh-CN"/>
        </w:rPr>
        <w:t>管理制度；</w:t>
      </w:r>
    </w:p>
    <w:p w14:paraId="21F09E62">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lang w:val="en-US" w:eastAsia="zh-CN"/>
        </w:rPr>
        <w:t>技术偏离表（格式见附件）；</w:t>
      </w:r>
    </w:p>
    <w:p w14:paraId="20846AD9">
      <w:pPr>
        <w:numPr>
          <w:ilvl w:val="0"/>
          <w:numId w:val="24"/>
        </w:numPr>
        <w:shd w:val="clear" w:color="auto" w:fill="FFFFFF"/>
        <w:tabs>
          <w:tab w:val="left" w:pos="360"/>
        </w:tabs>
        <w:spacing w:line="360" w:lineRule="auto"/>
        <w:rPr>
          <w:rFonts w:ascii="宋体" w:hAnsi="宋体" w:cs="宋体"/>
          <w:szCs w:val="21"/>
        </w:rPr>
      </w:pPr>
      <w:r>
        <w:rPr>
          <w:rFonts w:hint="eastAsia" w:ascii="宋体" w:hAnsi="宋体" w:cs="宋体"/>
          <w:szCs w:val="21"/>
        </w:rPr>
        <w:t>招标文件要求的以及投标方认为可能需要的其他文件资料。</w:t>
      </w:r>
    </w:p>
    <w:p w14:paraId="4038F87A">
      <w:pPr>
        <w:spacing w:line="360" w:lineRule="auto"/>
        <w:rPr>
          <w:rFonts w:ascii="宋体" w:hAnsi="宋体"/>
          <w:b/>
          <w:color w:val="FF0000"/>
          <w:szCs w:val="21"/>
        </w:rPr>
      </w:pPr>
      <w:r>
        <w:rPr>
          <w:rFonts w:hint="eastAsia" w:ascii="宋体" w:hAnsi="宋体"/>
          <w:b/>
          <w:szCs w:val="21"/>
        </w:rPr>
        <w:t>3.报价文件（初次）：</w:t>
      </w:r>
    </w:p>
    <w:p w14:paraId="3CB70012">
      <w:pPr>
        <w:numPr>
          <w:ilvl w:val="0"/>
          <w:numId w:val="0"/>
        </w:numPr>
        <w:spacing w:line="360" w:lineRule="auto"/>
        <w:rPr>
          <w:rFonts w:ascii="宋体" w:hAnsi="宋体"/>
          <w:szCs w:val="21"/>
        </w:rPr>
      </w:pPr>
      <w:r>
        <w:rPr>
          <w:rFonts w:hint="eastAsia" w:ascii="宋体" w:hAnsi="宋体"/>
          <w:szCs w:val="21"/>
          <w:lang w:val="en-US" w:eastAsia="zh-CN"/>
        </w:rPr>
        <w:t xml:space="preserve">A.  </w:t>
      </w:r>
      <w:r>
        <w:rPr>
          <w:rFonts w:hint="eastAsia" w:ascii="宋体" w:hAnsi="宋体"/>
          <w:szCs w:val="21"/>
        </w:rPr>
        <w:t>采购响应函（格式见附件）</w:t>
      </w:r>
    </w:p>
    <w:p w14:paraId="65DA347F">
      <w:pPr>
        <w:numPr>
          <w:ilvl w:val="0"/>
          <w:numId w:val="0"/>
        </w:numPr>
        <w:spacing w:line="360" w:lineRule="auto"/>
        <w:rPr>
          <w:rFonts w:ascii="宋体" w:hAnsi="宋体"/>
          <w:sz w:val="21"/>
          <w:szCs w:val="21"/>
        </w:rPr>
      </w:pPr>
      <w:r>
        <w:rPr>
          <w:rFonts w:hint="eastAsia" w:ascii="宋体" w:hAnsi="宋体"/>
          <w:szCs w:val="21"/>
          <w:lang w:val="en-US" w:eastAsia="zh-CN"/>
        </w:rPr>
        <w:t xml:space="preserve">B.  </w:t>
      </w:r>
      <w:r>
        <w:rPr>
          <w:rFonts w:hint="eastAsia" w:ascii="宋体" w:hAnsi="宋体"/>
          <w:szCs w:val="21"/>
        </w:rPr>
        <w:t>磋商报价一览表（格式见附件）</w:t>
      </w:r>
    </w:p>
    <w:p w14:paraId="02B31894">
      <w:pPr>
        <w:numPr>
          <w:ilvl w:val="0"/>
          <w:numId w:val="0"/>
        </w:numPr>
        <w:spacing w:line="360" w:lineRule="auto"/>
        <w:rPr>
          <w:rFonts w:hint="default"/>
          <w:lang w:val="en-US" w:eastAsia="zh-CN"/>
        </w:rPr>
      </w:pPr>
      <w:r>
        <w:rPr>
          <w:rFonts w:hint="eastAsia" w:ascii="宋体" w:hAnsi="宋体"/>
          <w:sz w:val="21"/>
          <w:szCs w:val="21"/>
          <w:lang w:val="en-US" w:eastAsia="zh-CN"/>
        </w:rPr>
        <w:t xml:space="preserve">C.  </w:t>
      </w:r>
      <w:r>
        <w:rPr>
          <w:rFonts w:hint="eastAsia" w:ascii="宋体" w:hAnsi="宋体"/>
          <w:sz w:val="21"/>
          <w:szCs w:val="21"/>
        </w:rPr>
        <w:t>磋商报价明细表（格式见附件）</w:t>
      </w:r>
      <w:r>
        <w:rPr>
          <w:rFonts w:hint="eastAsia" w:ascii="宋体" w:hAnsi="宋体"/>
          <w:szCs w:val="21"/>
          <w:lang w:val="en-US" w:eastAsia="zh-CN"/>
        </w:rPr>
        <w:t xml:space="preserve">   </w:t>
      </w:r>
    </w:p>
    <w:p w14:paraId="69847DAB">
      <w:pPr>
        <w:spacing w:line="360" w:lineRule="auto"/>
        <w:rPr>
          <w:rFonts w:ascii="宋体" w:hAnsi="宋体"/>
          <w:b/>
          <w:szCs w:val="21"/>
        </w:rPr>
      </w:pPr>
      <w:r>
        <w:rPr>
          <w:rFonts w:hint="eastAsia" w:ascii="宋体" w:hAnsi="宋体"/>
          <w:b/>
          <w:szCs w:val="21"/>
        </w:rPr>
        <w:t>（二）磋商响应文件的语言及计量</w:t>
      </w:r>
    </w:p>
    <w:p w14:paraId="02FEB140">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w:t>
      </w:r>
      <w:r>
        <w:rPr>
          <w:rFonts w:ascii="宋体" w:hAnsi="宋体"/>
          <w:szCs w:val="21"/>
        </w:rPr>
        <w:t>磋商响应文件以及</w:t>
      </w:r>
      <w:r>
        <w:rPr>
          <w:rFonts w:hint="eastAsia" w:ascii="宋体" w:hAnsi="宋体"/>
          <w:szCs w:val="21"/>
        </w:rPr>
        <w:t>竞标</w:t>
      </w:r>
      <w:r>
        <w:rPr>
          <w:rFonts w:ascii="宋体" w:hAnsi="宋体"/>
          <w:szCs w:val="21"/>
        </w:rPr>
        <w:t>方与</w:t>
      </w:r>
      <w:r>
        <w:rPr>
          <w:rFonts w:hint="eastAsia" w:ascii="宋体" w:hAnsi="宋体"/>
          <w:szCs w:val="21"/>
        </w:rPr>
        <w:t>采购</w:t>
      </w:r>
      <w:r>
        <w:rPr>
          <w:rFonts w:ascii="宋体" w:hAnsi="宋体"/>
          <w:szCs w:val="21"/>
        </w:rPr>
        <w:t>方就有关竞标事宜的所有来往函电，均应以中文汉语书写。除签名、盖章、专用名称等特殊情形外，以中文汉语以外的文字表述的磋商响应文件视同未提供。</w:t>
      </w:r>
    </w:p>
    <w:p w14:paraId="2745AC6F">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lang w:val="en-US" w:eastAsia="zh-CN"/>
        </w:rPr>
        <w:t>.</w:t>
      </w:r>
      <w:r>
        <w:rPr>
          <w:rFonts w:hint="eastAsia" w:ascii="宋体" w:hAnsi="宋体"/>
          <w:szCs w:val="21"/>
        </w:rPr>
        <w:t>竞标</w:t>
      </w:r>
      <w:r>
        <w:rPr>
          <w:rFonts w:ascii="宋体" w:hAnsi="宋体"/>
          <w:szCs w:val="21"/>
        </w:rPr>
        <w:t>计量单位，采购文件已有明确规定的，使用采购文件规定的计量单位</w:t>
      </w:r>
      <w:r>
        <w:rPr>
          <w:rFonts w:hint="eastAsia" w:ascii="宋体" w:hAnsi="宋体"/>
          <w:szCs w:val="21"/>
        </w:rPr>
        <w:t>。</w:t>
      </w:r>
      <w:r>
        <w:rPr>
          <w:rFonts w:ascii="宋体" w:hAnsi="宋体"/>
          <w:szCs w:val="21"/>
        </w:rPr>
        <w:t>采购文件没有规定的，应采用中华人民共和国法定计量单位（货币单位：人民币元），否则视同未响应。</w:t>
      </w:r>
    </w:p>
    <w:p w14:paraId="0B0174DF">
      <w:pPr>
        <w:snapToGrid w:val="0"/>
        <w:spacing w:beforeLines="50" w:line="360" w:lineRule="auto"/>
        <w:jc w:val="left"/>
        <w:outlineLvl w:val="0"/>
        <w:rPr>
          <w:rFonts w:ascii="宋体" w:hAnsi="宋体"/>
          <w:b/>
          <w:szCs w:val="21"/>
        </w:rPr>
      </w:pPr>
      <w:r>
        <w:rPr>
          <w:rFonts w:hint="eastAsia" w:ascii="宋体" w:hAnsi="宋体"/>
          <w:b/>
          <w:szCs w:val="21"/>
        </w:rPr>
        <w:t>（三）磋商报价</w:t>
      </w:r>
    </w:p>
    <w:p w14:paraId="40B93A41">
      <w:pPr>
        <w:snapToGrid w:val="0"/>
        <w:spacing w:line="360" w:lineRule="auto"/>
        <w:ind w:firstLine="210" w:firstLineChars="1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磋商报价应按采购文件中相关附表格式填写。</w:t>
      </w:r>
    </w:p>
    <w:p w14:paraId="574C1DD0">
      <w:pPr>
        <w:spacing w:line="360" w:lineRule="auto"/>
        <w:rPr>
          <w:rFonts w:ascii="宋体" w:hAnsi="宋体"/>
          <w:b/>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b/>
          <w:szCs w:val="21"/>
        </w:rPr>
        <w:t>磋商报价是履行合同的最终</w:t>
      </w:r>
      <w:r>
        <w:rPr>
          <w:rFonts w:hint="eastAsia" w:ascii="宋体" w:hAnsi="宋体"/>
          <w:b/>
          <w:szCs w:val="21"/>
        </w:rPr>
        <w:t>价格</w:t>
      </w:r>
      <w:r>
        <w:rPr>
          <w:rFonts w:ascii="宋体" w:hAnsi="宋体"/>
          <w:b/>
          <w:szCs w:val="21"/>
        </w:rPr>
        <w:t>，</w:t>
      </w:r>
      <w:r>
        <w:rPr>
          <w:rFonts w:hint="eastAsia" w:ascii="宋体" w:hAnsi="宋体"/>
          <w:b/>
          <w:szCs w:val="21"/>
        </w:rPr>
        <w:t>须包括人员工资、车、住宿、门票、餐费、交通、保险、导游、税费、利润、完成合同所需的一切本身和不可或缺的所有工作开支、政策性文件规定及合同包含的所有风险、责任等各项全部费用。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5CA9E59B">
      <w:pPr>
        <w:tabs>
          <w:tab w:val="left" w:pos="525"/>
        </w:tabs>
        <w:snapToGrid w:val="0"/>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磋商响应文件只允许有一个报价，有选择的</w:t>
      </w:r>
      <w:r>
        <w:rPr>
          <w:rFonts w:hint="eastAsia" w:ascii="宋体" w:hAnsi="宋体"/>
          <w:szCs w:val="21"/>
        </w:rPr>
        <w:t>或有条件的</w:t>
      </w:r>
      <w:r>
        <w:rPr>
          <w:rFonts w:ascii="宋体" w:hAnsi="宋体"/>
          <w:szCs w:val="21"/>
        </w:rPr>
        <w:t>报价将不予接受。</w:t>
      </w:r>
    </w:p>
    <w:p w14:paraId="36A5AE49">
      <w:pPr>
        <w:tabs>
          <w:tab w:val="left" w:pos="525"/>
        </w:tabs>
        <w:snapToGrid w:val="0"/>
        <w:spacing w:line="360" w:lineRule="auto"/>
        <w:ind w:firstLine="210" w:firstLineChars="100"/>
        <w:jc w:val="left"/>
        <w:rPr>
          <w:rFonts w:ascii="宋体" w:hAnsi="宋体"/>
          <w:szCs w:val="21"/>
        </w:rPr>
      </w:pPr>
      <w:r>
        <w:rPr>
          <w:rFonts w:hint="eastAsia" w:ascii="宋体" w:hAnsi="宋体"/>
          <w:szCs w:val="21"/>
        </w:rPr>
        <w:t>4.磋商响应文件中的单价、合价、总价全部采用人民币表示。</w:t>
      </w:r>
    </w:p>
    <w:p w14:paraId="64C43C96">
      <w:pPr>
        <w:tabs>
          <w:tab w:val="left" w:pos="454"/>
          <w:tab w:val="left" w:pos="720"/>
        </w:tabs>
        <w:snapToGrid w:val="0"/>
        <w:spacing w:beforeLines="50" w:line="360" w:lineRule="auto"/>
        <w:jc w:val="left"/>
        <w:rPr>
          <w:rFonts w:ascii="宋体" w:hAnsi="宋体"/>
          <w:b/>
          <w:kern w:val="0"/>
          <w:szCs w:val="21"/>
        </w:rPr>
      </w:pPr>
      <w:r>
        <w:rPr>
          <w:rFonts w:hint="eastAsia" w:ascii="宋体" w:hAnsi="宋体"/>
          <w:b/>
          <w:kern w:val="0"/>
          <w:szCs w:val="21"/>
        </w:rPr>
        <w:t>（四）磋商响应文件的有效期</w:t>
      </w:r>
    </w:p>
    <w:p w14:paraId="1F32FA05">
      <w:pPr>
        <w:tabs>
          <w:tab w:val="left" w:pos="454"/>
          <w:tab w:val="left" w:pos="720"/>
        </w:tabs>
        <w:snapToGrid w:val="0"/>
        <w:spacing w:line="360" w:lineRule="auto"/>
        <w:ind w:firstLine="210" w:firstLineChars="1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自磋商截止日起</w:t>
      </w:r>
      <w:r>
        <w:rPr>
          <w:rFonts w:hint="eastAsia" w:ascii="宋体" w:hAnsi="宋体"/>
          <w:kern w:val="0"/>
          <w:szCs w:val="21"/>
          <w:u w:val="single"/>
        </w:rPr>
        <w:t>90</w:t>
      </w:r>
      <w:r>
        <w:rPr>
          <w:rFonts w:hint="eastAsia" w:ascii="宋体" w:hAnsi="宋体"/>
          <w:kern w:val="0"/>
          <w:szCs w:val="21"/>
        </w:rPr>
        <w:t>日历</w:t>
      </w:r>
      <w:r>
        <w:rPr>
          <w:rFonts w:ascii="宋体" w:hAnsi="宋体"/>
          <w:kern w:val="0"/>
          <w:szCs w:val="21"/>
        </w:rPr>
        <w:t>天磋商响应文件应保持有效。有效期</w:t>
      </w:r>
      <w:r>
        <w:rPr>
          <w:rFonts w:hint="eastAsia" w:ascii="宋体" w:hAnsi="宋体"/>
          <w:kern w:val="0"/>
          <w:szCs w:val="21"/>
        </w:rPr>
        <w:t>不足</w:t>
      </w:r>
      <w:r>
        <w:rPr>
          <w:rFonts w:ascii="宋体" w:hAnsi="宋体"/>
          <w:kern w:val="0"/>
          <w:szCs w:val="21"/>
        </w:rPr>
        <w:t>的磋商响应文件将被拒绝。</w:t>
      </w:r>
    </w:p>
    <w:p w14:paraId="2133E459">
      <w:pPr>
        <w:tabs>
          <w:tab w:val="left" w:pos="454"/>
          <w:tab w:val="left" w:pos="720"/>
        </w:tabs>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w:t>
      </w:r>
      <w:r>
        <w:rPr>
          <w:rFonts w:ascii="宋体" w:hAnsi="宋体"/>
          <w:color w:val="000000"/>
          <w:kern w:val="0"/>
          <w:szCs w:val="21"/>
        </w:rPr>
        <w:t>在特殊情况下，采购人可与磋商响应方协商延长竞标书的有效期，这种要求和答复均以书面形式进行。</w:t>
      </w:r>
    </w:p>
    <w:p w14:paraId="58C72751">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磋商响应方可拒绝接受延期要求。同意延长有效期的磋商响应方不能修改磋商响应文件。</w:t>
      </w:r>
    </w:p>
    <w:p w14:paraId="5DEFD763">
      <w:pPr>
        <w:snapToGrid w:val="0"/>
        <w:spacing w:line="360" w:lineRule="auto"/>
        <w:ind w:firstLine="420" w:firstLineChars="200"/>
        <w:jc w:val="left"/>
        <w:outlineLvl w:val="0"/>
        <w:rPr>
          <w:rFonts w:ascii="宋体" w:hAnsi="宋体"/>
          <w:b/>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成交人的磋商响应文件自磋商之日起至合同履行完毕止均应保持有效。</w:t>
      </w:r>
    </w:p>
    <w:p w14:paraId="7B6D340D">
      <w:pPr>
        <w:snapToGrid w:val="0"/>
        <w:spacing w:beforeLines="50" w:line="360" w:lineRule="auto"/>
        <w:jc w:val="left"/>
        <w:outlineLvl w:val="0"/>
        <w:rPr>
          <w:rFonts w:ascii="宋体" w:hAnsi="宋体"/>
          <w:b/>
          <w:color w:val="000000"/>
          <w:szCs w:val="21"/>
        </w:rPr>
      </w:pPr>
      <w:r>
        <w:rPr>
          <w:rFonts w:hint="eastAsia" w:ascii="宋体" w:hAnsi="宋体"/>
          <w:b/>
          <w:color w:val="000000"/>
          <w:szCs w:val="21"/>
        </w:rPr>
        <w:t>（五）磋商响应文件的装订、签署和份数</w:t>
      </w:r>
    </w:p>
    <w:p w14:paraId="270CB4C8">
      <w:pPr>
        <w:spacing w:line="360" w:lineRule="auto"/>
        <w:ind w:firstLine="422" w:firstLineChars="200"/>
        <w:rPr>
          <w:rFonts w:ascii="宋体" w:hAnsi="宋体"/>
          <w:b/>
          <w:szCs w:val="21"/>
        </w:rPr>
      </w:pPr>
      <w:r>
        <w:rPr>
          <w:rFonts w:hint="eastAsia" w:ascii="宋体" w:hAnsi="宋体"/>
          <w:b/>
          <w:szCs w:val="21"/>
        </w:rPr>
        <w:t>1.电子磋商响应文件部分：</w:t>
      </w:r>
    </w:p>
    <w:p w14:paraId="4AE655BC">
      <w:pPr>
        <w:spacing w:line="360" w:lineRule="auto"/>
        <w:ind w:firstLine="422" w:firstLineChars="200"/>
        <w:rPr>
          <w:rFonts w:ascii="宋体" w:hAnsi="宋体"/>
          <w:b/>
          <w:szCs w:val="21"/>
        </w:rPr>
      </w:pPr>
      <w:r>
        <w:rPr>
          <w:rFonts w:hint="eastAsia" w:ascii="宋体" w:hAnsi="宋体"/>
          <w:b/>
          <w:szCs w:val="21"/>
        </w:rPr>
        <w:t>供应商应根据“政采云供应商项目采购-电子招投标操作指南”及本采购文件规定的格式和顺序编制电子磋商响应文件并进行关联定位。</w:t>
      </w:r>
    </w:p>
    <w:p w14:paraId="0D55C0FD">
      <w:pPr>
        <w:spacing w:line="360" w:lineRule="auto"/>
        <w:ind w:firstLine="422" w:firstLineChars="200"/>
        <w:rPr>
          <w:rFonts w:ascii="宋体" w:hAnsi="宋体"/>
          <w:b/>
          <w:szCs w:val="21"/>
        </w:rPr>
      </w:pPr>
      <w:r>
        <w:rPr>
          <w:rFonts w:hint="eastAsia" w:ascii="宋体" w:hAnsi="宋体"/>
          <w:b/>
          <w:szCs w:val="21"/>
        </w:rPr>
        <w:t>2.备份电子磋商响应文件部分：</w:t>
      </w:r>
    </w:p>
    <w:p w14:paraId="2538FBD8">
      <w:pPr>
        <w:spacing w:line="360" w:lineRule="auto"/>
        <w:ind w:firstLine="422" w:firstLineChars="200"/>
        <w:rPr>
          <w:rFonts w:ascii="宋体" w:hAnsi="宋体"/>
          <w:b/>
          <w:szCs w:val="21"/>
        </w:rPr>
      </w:pPr>
      <w:r>
        <w:rPr>
          <w:rFonts w:hint="eastAsia" w:ascii="宋体" w:hAnsi="宋体"/>
          <w:b/>
          <w:szCs w:val="21"/>
        </w:rPr>
        <w:t>电子磋商响应文件的备份文件，以光盘或U盘形式存储，并单独密封递交。数量为1份。</w:t>
      </w:r>
    </w:p>
    <w:p w14:paraId="0AB31746">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磋商响应方应</w:t>
      </w:r>
      <w:r>
        <w:rPr>
          <w:rFonts w:hint="eastAsia" w:ascii="宋体" w:hAnsi="宋体"/>
          <w:b/>
          <w:szCs w:val="21"/>
        </w:rPr>
        <w:t>按</w:t>
      </w:r>
      <w:r>
        <w:rPr>
          <w:rFonts w:ascii="宋体" w:hAnsi="宋体"/>
          <w:b/>
          <w:szCs w:val="21"/>
        </w:rPr>
        <w:t>本采购文件规定的格式和顺序编制磋商响应文件</w:t>
      </w:r>
      <w:r>
        <w:rPr>
          <w:rFonts w:hint="eastAsia" w:ascii="宋体" w:hAnsi="宋体"/>
          <w:b/>
          <w:szCs w:val="21"/>
        </w:rPr>
        <w:t>并标注页码</w:t>
      </w:r>
      <w:r>
        <w:rPr>
          <w:rFonts w:ascii="宋体" w:hAnsi="宋体"/>
          <w:b/>
          <w:szCs w:val="21"/>
        </w:rPr>
        <w:t>，磋商响应文件内容不完整、编排混乱导致磋商响应文件被误读、漏读或者查找不到相关内容的，是磋商响应方的责任。</w:t>
      </w:r>
    </w:p>
    <w:p w14:paraId="444AF55E">
      <w:pPr>
        <w:spacing w:line="360" w:lineRule="auto"/>
        <w:ind w:firstLine="422" w:firstLineChars="200"/>
        <w:rPr>
          <w:rFonts w:ascii="宋体" w:hAnsi="宋体"/>
          <w:b/>
          <w:szCs w:val="21"/>
        </w:rPr>
      </w:pPr>
      <w:r>
        <w:rPr>
          <w:rFonts w:hint="eastAsia" w:ascii="宋体" w:hAnsi="宋体"/>
          <w:b/>
          <w:szCs w:val="21"/>
        </w:rPr>
        <w:t>4.</w:t>
      </w:r>
      <w:r>
        <w:rPr>
          <w:rFonts w:ascii="宋体" w:hAnsi="宋体"/>
          <w:b/>
          <w:szCs w:val="21"/>
        </w:rPr>
        <w:t>磋商响应文件须由磋商响应方在规定位置盖章并由法定代表人或法定代表</w:t>
      </w:r>
      <w:r>
        <w:rPr>
          <w:rFonts w:hint="eastAsia" w:ascii="宋体" w:hAnsi="宋体"/>
          <w:b/>
          <w:szCs w:val="21"/>
        </w:rPr>
        <w:t>人的</w:t>
      </w:r>
      <w:r>
        <w:rPr>
          <w:rFonts w:ascii="宋体" w:hAnsi="宋体"/>
          <w:b/>
          <w:szCs w:val="21"/>
        </w:rPr>
        <w:t>授权</w:t>
      </w:r>
      <w:r>
        <w:rPr>
          <w:rFonts w:hint="eastAsia" w:ascii="宋体" w:hAnsi="宋体"/>
          <w:b/>
          <w:szCs w:val="21"/>
        </w:rPr>
        <w:t>委托</w:t>
      </w:r>
      <w:r>
        <w:rPr>
          <w:rFonts w:ascii="宋体" w:hAnsi="宋体"/>
          <w:b/>
          <w:szCs w:val="21"/>
        </w:rPr>
        <w:t>人签署，磋商响应方应写全称。</w:t>
      </w:r>
    </w:p>
    <w:p w14:paraId="7A4CED7D">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磋商响应文件不得涂改，若有修改错漏处，须加盖单位公章或者法定代表人或授权委托人签字或盖章。磋商响应文件因字迹潦草或表达不清所引起的后果由磋商响应方负责。</w:t>
      </w:r>
    </w:p>
    <w:p w14:paraId="1849D043">
      <w:pPr>
        <w:snapToGrid w:val="0"/>
        <w:spacing w:beforeLines="50" w:line="360" w:lineRule="auto"/>
        <w:jc w:val="left"/>
        <w:rPr>
          <w:rFonts w:ascii="宋体" w:hAnsi="宋体"/>
          <w:b/>
          <w:szCs w:val="21"/>
        </w:rPr>
      </w:pPr>
      <w:r>
        <w:rPr>
          <w:rFonts w:hint="eastAsia" w:ascii="宋体" w:hAnsi="宋体"/>
          <w:b/>
          <w:szCs w:val="21"/>
        </w:rPr>
        <w:t>（六）备份磋商响应文件的包装、递交、修改和撤回</w:t>
      </w:r>
    </w:p>
    <w:p w14:paraId="68E561E1">
      <w:pPr>
        <w:snapToGrid w:val="0"/>
        <w:spacing w:line="360" w:lineRule="auto"/>
        <w:ind w:firstLine="422" w:firstLineChars="200"/>
        <w:jc w:val="left"/>
        <w:rPr>
          <w:rFonts w:ascii="宋体" w:hAnsi="宋体"/>
          <w:b/>
          <w:szCs w:val="21"/>
        </w:rPr>
      </w:pPr>
      <w:r>
        <w:rPr>
          <w:rFonts w:hint="eastAsia" w:ascii="宋体" w:hAnsi="宋体"/>
          <w:b/>
          <w:szCs w:val="21"/>
        </w:rPr>
        <w:t>1.备份磋商响应文件的包装封面上应注明磋商响应方名称、磋商响应方地址、磋商响应文件名称、竞标项目名称、项目编号及“磋商时启封”字样，并加盖磋商响应方公章。</w:t>
      </w:r>
    </w:p>
    <w:p w14:paraId="730830EC">
      <w:pPr>
        <w:snapToGrid w:val="0"/>
        <w:spacing w:line="360" w:lineRule="auto"/>
        <w:ind w:firstLine="420"/>
        <w:jc w:val="left"/>
        <w:rPr>
          <w:rFonts w:ascii="宋体" w:hAnsi="宋体"/>
          <w:b/>
          <w:szCs w:val="21"/>
        </w:rPr>
      </w:pPr>
      <w:r>
        <w:rPr>
          <w:rFonts w:hint="eastAsia" w:ascii="宋体" w:hAnsi="宋体"/>
          <w:b/>
          <w:szCs w:val="21"/>
        </w:rPr>
        <w:t>2.如果备份磋商响应文件密封袋未按规定密封或未加盖公章，采购代理公司有权予以拒绝此磋商响应文件，并退回磋商响应方。同时，由此造成磋商响应文件被误投或提前拆封的风险由磋商响应方承担。</w:t>
      </w:r>
    </w:p>
    <w:p w14:paraId="5AB93DA4">
      <w:pPr>
        <w:snapToGrid w:val="0"/>
        <w:spacing w:line="360" w:lineRule="auto"/>
        <w:ind w:firstLine="420"/>
        <w:jc w:val="left"/>
        <w:rPr>
          <w:rFonts w:ascii="宋体" w:hAnsi="宋体"/>
          <w:szCs w:val="21"/>
        </w:rPr>
      </w:pPr>
      <w:r>
        <w:rPr>
          <w:rFonts w:hint="eastAsia" w:ascii="宋体" w:hAnsi="宋体"/>
          <w:szCs w:val="21"/>
        </w:rPr>
        <w:t>3.磋商响应方在磋商截止时间之前，可以对已提交的备份磋商响应文件进行修改或撤回，并书面通知采购单位。磋商截止时间后，磋商响应方不得撤回、修改备份磋商响应文件。修改后重新递交的备份磋商响应文件应当按本采购文件的要求签署、盖章和密封。</w:t>
      </w:r>
    </w:p>
    <w:p w14:paraId="341206EB">
      <w:pPr>
        <w:snapToGrid w:val="0"/>
        <w:spacing w:line="360" w:lineRule="auto"/>
        <w:ind w:firstLine="420"/>
        <w:jc w:val="left"/>
        <w:rPr>
          <w:rFonts w:ascii="宋体" w:hAnsi="宋体"/>
          <w:szCs w:val="21"/>
        </w:rPr>
      </w:pPr>
      <w:r>
        <w:rPr>
          <w:rFonts w:hint="eastAsia" w:ascii="宋体" w:hAnsi="宋体"/>
          <w:szCs w:val="21"/>
        </w:rPr>
        <w:t>4.如果因备份磋商响应文件密封不严、标记不明而造成过早启封、失密等情况，采购代理公司概不负责。</w:t>
      </w:r>
    </w:p>
    <w:p w14:paraId="08ED30C3">
      <w:pPr>
        <w:snapToGrid w:val="0"/>
        <w:spacing w:line="360" w:lineRule="auto"/>
        <w:ind w:firstLine="420"/>
        <w:jc w:val="left"/>
        <w:rPr>
          <w:rFonts w:ascii="宋体" w:hAnsi="宋体"/>
          <w:szCs w:val="21"/>
        </w:rPr>
      </w:pPr>
      <w:r>
        <w:rPr>
          <w:rFonts w:hint="eastAsia" w:ascii="宋体" w:hAnsi="宋体"/>
          <w:szCs w:val="21"/>
        </w:rPr>
        <w:t>5.在磋商截止时间之后递交的备份磋商响应文件将被拒绝。</w:t>
      </w:r>
    </w:p>
    <w:p w14:paraId="4AB4CD32">
      <w:pPr>
        <w:snapToGrid w:val="0"/>
        <w:spacing w:line="360" w:lineRule="auto"/>
        <w:ind w:firstLine="420"/>
        <w:jc w:val="left"/>
        <w:rPr>
          <w:rFonts w:ascii="宋体" w:hAnsi="宋体"/>
          <w:b/>
          <w:szCs w:val="21"/>
        </w:rPr>
      </w:pPr>
      <w:r>
        <w:rPr>
          <w:rFonts w:hint="eastAsia" w:ascii="宋体" w:hAnsi="宋体"/>
          <w:b/>
          <w:szCs w:val="21"/>
        </w:rPr>
        <w:t>6.未在磋商响应截止时间前进行政采云报名程序的供应商的备份磋商响应文件将被拒绝。</w:t>
      </w:r>
    </w:p>
    <w:p w14:paraId="44EA2FEF">
      <w:pPr>
        <w:snapToGrid w:val="0"/>
        <w:spacing w:beforeLines="50" w:line="360" w:lineRule="auto"/>
        <w:outlineLvl w:val="2"/>
        <w:rPr>
          <w:rFonts w:ascii="宋体" w:hAnsi="宋体"/>
          <w:b/>
          <w:color w:val="000000"/>
          <w:szCs w:val="21"/>
        </w:rPr>
      </w:pPr>
      <w:r>
        <w:rPr>
          <w:rFonts w:hint="eastAsia" w:ascii="宋体" w:hAnsi="宋体"/>
          <w:b/>
          <w:color w:val="000000"/>
          <w:szCs w:val="21"/>
        </w:rPr>
        <w:t>（七）竞标无效的情形</w:t>
      </w:r>
    </w:p>
    <w:p w14:paraId="36EAC03E">
      <w:pPr>
        <w:snapToGrid w:val="0"/>
        <w:spacing w:line="360" w:lineRule="auto"/>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w:t>
      </w:r>
      <w:r>
        <w:rPr>
          <w:rFonts w:hint="eastAsia" w:ascii="宋体" w:hAnsi="宋体"/>
          <w:b/>
          <w:bCs/>
          <w:szCs w:val="21"/>
        </w:rPr>
        <w:t>符合性</w:t>
      </w:r>
      <w:r>
        <w:rPr>
          <w:rFonts w:ascii="宋体" w:hAnsi="宋体"/>
          <w:b/>
          <w:bCs/>
          <w:szCs w:val="21"/>
        </w:rPr>
        <w:t>审查和商务评审时，如发现下列情形之一的，</w:t>
      </w:r>
      <w:r>
        <w:rPr>
          <w:rFonts w:hint="eastAsia" w:ascii="宋体" w:hAnsi="宋体"/>
          <w:b/>
          <w:bCs/>
          <w:szCs w:val="21"/>
        </w:rPr>
        <w:t>相应的</w:t>
      </w:r>
      <w:r>
        <w:rPr>
          <w:rFonts w:ascii="宋体" w:hAnsi="宋体"/>
          <w:b/>
          <w:bCs/>
          <w:szCs w:val="21"/>
        </w:rPr>
        <w:t>磋商响应文件将被视为无效：</w:t>
      </w:r>
    </w:p>
    <w:p w14:paraId="505C1276">
      <w:pPr>
        <w:snapToGrid w:val="0"/>
        <w:spacing w:line="360" w:lineRule="auto"/>
        <w:ind w:firstLine="411" w:firstLineChars="196"/>
        <w:rPr>
          <w:rFonts w:ascii="宋体" w:hAnsi="宋体"/>
          <w:bCs/>
          <w:szCs w:val="21"/>
        </w:rPr>
      </w:pPr>
      <w:r>
        <w:rPr>
          <w:rFonts w:hint="eastAsia" w:ascii="宋体" w:hAnsi="宋体"/>
          <w:bCs/>
          <w:szCs w:val="21"/>
        </w:rPr>
        <w:t>（1</w:t>
      </w:r>
      <w:r>
        <w:rPr>
          <w:rFonts w:ascii="宋体" w:hAnsi="宋体"/>
          <w:bCs/>
          <w:szCs w:val="21"/>
        </w:rPr>
        <w:t>）超出经营范围竞标</w:t>
      </w:r>
      <w:r>
        <w:rPr>
          <w:rFonts w:hint="eastAsia" w:ascii="宋体" w:hAnsi="宋体"/>
          <w:bCs/>
          <w:szCs w:val="21"/>
        </w:rPr>
        <w:t>且法律法规规定属于限制经营或需前置性经营许可的；</w:t>
      </w:r>
    </w:p>
    <w:p w14:paraId="59AE11CC">
      <w:pPr>
        <w:snapToGrid w:val="0"/>
        <w:spacing w:line="360" w:lineRule="auto"/>
        <w:ind w:firstLine="411" w:firstLineChars="196"/>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pacing w:val="-4"/>
          <w:szCs w:val="21"/>
        </w:rPr>
        <w:t>磋商时不能按采购文件和</w:t>
      </w:r>
      <w:r>
        <w:rPr>
          <w:rFonts w:hint="eastAsia" w:ascii="宋体" w:hAnsi="宋体"/>
          <w:bCs/>
          <w:szCs w:val="21"/>
        </w:rPr>
        <w:t>磋商小组</w:t>
      </w:r>
      <w:r>
        <w:rPr>
          <w:rFonts w:hint="eastAsia" w:ascii="宋体" w:hAnsi="宋体"/>
          <w:bCs/>
          <w:spacing w:val="-4"/>
          <w:szCs w:val="21"/>
        </w:rPr>
        <w:t>要求提供相应的资格证明文件供</w:t>
      </w:r>
      <w:r>
        <w:rPr>
          <w:rFonts w:hint="eastAsia" w:ascii="宋体" w:hAnsi="宋体"/>
          <w:bCs/>
          <w:szCs w:val="21"/>
        </w:rPr>
        <w:t>磋商小组进行资格审查的</w:t>
      </w:r>
      <w:r>
        <w:rPr>
          <w:rFonts w:ascii="宋体" w:hAnsi="宋体"/>
          <w:bCs/>
          <w:szCs w:val="21"/>
        </w:rPr>
        <w:t>，或者不符合采购文件标明的资格要求的</w:t>
      </w:r>
      <w:r>
        <w:rPr>
          <w:rFonts w:hint="eastAsia" w:ascii="宋体" w:hAnsi="宋体"/>
          <w:bCs/>
          <w:szCs w:val="21"/>
        </w:rPr>
        <w:t>；</w:t>
      </w:r>
    </w:p>
    <w:p w14:paraId="76B3562F">
      <w:pPr>
        <w:snapToGrid w:val="0"/>
        <w:spacing w:line="360" w:lineRule="auto"/>
        <w:ind w:firstLine="395" w:firstLineChars="196"/>
        <w:rPr>
          <w:rFonts w:ascii="宋体" w:hAnsi="宋体"/>
          <w:bCs/>
          <w:kern w:val="0"/>
          <w:szCs w:val="21"/>
        </w:rPr>
      </w:pPr>
      <w:r>
        <w:rPr>
          <w:rFonts w:ascii="宋体" w:hAnsi="宋体"/>
          <w:bCs/>
          <w:spacing w:val="-4"/>
          <w:szCs w:val="21"/>
        </w:rPr>
        <w:t>（</w:t>
      </w:r>
      <w:r>
        <w:rPr>
          <w:rFonts w:hint="eastAsia" w:ascii="宋体" w:hAnsi="宋体"/>
          <w:bCs/>
          <w:snapToGrid w:val="0"/>
          <w:spacing w:val="-4"/>
          <w:szCs w:val="21"/>
        </w:rPr>
        <w:t>3</w:t>
      </w:r>
      <w:r>
        <w:rPr>
          <w:rFonts w:ascii="宋体" w:hAnsi="宋体"/>
          <w:bCs/>
          <w:snapToGrid w:val="0"/>
          <w:spacing w:val="-4"/>
          <w:szCs w:val="21"/>
        </w:rPr>
        <w:t>）</w:t>
      </w:r>
      <w:r>
        <w:rPr>
          <w:rFonts w:ascii="宋体" w:hAnsi="宋体"/>
          <w:bCs/>
          <w:szCs w:val="21"/>
        </w:rPr>
        <w:t>磋</w:t>
      </w:r>
      <w:r>
        <w:rPr>
          <w:rFonts w:ascii="宋体" w:hAnsi="宋体"/>
          <w:szCs w:val="21"/>
        </w:rPr>
        <w:t>商响应文件</w:t>
      </w:r>
      <w:r>
        <w:rPr>
          <w:rFonts w:hint="eastAsia" w:ascii="宋体" w:hAnsi="宋体"/>
          <w:szCs w:val="21"/>
        </w:rPr>
        <w:t>所有的磋商声明书、采购响应函和法定代表人授权书原件均</w:t>
      </w:r>
      <w:r>
        <w:rPr>
          <w:rFonts w:ascii="宋体" w:hAnsi="宋体"/>
          <w:szCs w:val="21"/>
        </w:rPr>
        <w:t>无</w:t>
      </w:r>
      <w:r>
        <w:rPr>
          <w:rFonts w:hint="eastAsia" w:ascii="宋体" w:hAnsi="宋体"/>
          <w:szCs w:val="21"/>
        </w:rPr>
        <w:t>法定代表人签名(或盖法定代表人私章)、没有盖单位公章的</w:t>
      </w:r>
      <w:r>
        <w:rPr>
          <w:rFonts w:hint="eastAsia" w:ascii="宋体" w:hAnsi="宋体"/>
          <w:b/>
          <w:bCs/>
          <w:kern w:val="0"/>
          <w:szCs w:val="21"/>
        </w:rPr>
        <w:t>（法定代表人亲自参加开标的，或者</w:t>
      </w:r>
      <w:r>
        <w:rPr>
          <w:rFonts w:hint="eastAsia" w:ascii="宋体" w:hAnsi="宋体"/>
          <w:b/>
          <w:bCs/>
          <w:szCs w:val="21"/>
        </w:rPr>
        <w:t>法定代表人及其授权代理人均未参加</w:t>
      </w:r>
      <w:r>
        <w:rPr>
          <w:rFonts w:hint="eastAsia" w:ascii="宋体" w:hAnsi="宋体"/>
          <w:b/>
          <w:bCs/>
          <w:kern w:val="0"/>
          <w:szCs w:val="21"/>
        </w:rPr>
        <w:t>开标的不需要提供法定代表人授权委托书）</w:t>
      </w:r>
    </w:p>
    <w:p w14:paraId="07E7819A">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napToGrid w:val="0"/>
          <w:spacing w:val="-4"/>
          <w:szCs w:val="21"/>
        </w:rPr>
        <w:t>4</w:t>
      </w:r>
      <w:r>
        <w:rPr>
          <w:rFonts w:ascii="宋体" w:hAnsi="宋体"/>
          <w:bCs/>
          <w:snapToGrid w:val="0"/>
          <w:spacing w:val="-4"/>
          <w:szCs w:val="21"/>
        </w:rPr>
        <w:t>）</w:t>
      </w:r>
      <w:r>
        <w:rPr>
          <w:rFonts w:ascii="宋体" w:hAnsi="宋体"/>
          <w:bCs/>
          <w:spacing w:val="-4"/>
          <w:szCs w:val="21"/>
        </w:rPr>
        <w:t>磋商响应文件内容</w:t>
      </w:r>
      <w:r>
        <w:rPr>
          <w:rFonts w:hint="eastAsia" w:ascii="宋体" w:hAnsi="宋体"/>
          <w:bCs/>
          <w:spacing w:val="-4"/>
          <w:szCs w:val="21"/>
        </w:rPr>
        <w:t>不真实</w:t>
      </w:r>
      <w:r>
        <w:rPr>
          <w:rFonts w:ascii="宋体" w:hAnsi="宋体"/>
          <w:bCs/>
          <w:spacing w:val="-4"/>
          <w:szCs w:val="21"/>
        </w:rPr>
        <w:t>的</w:t>
      </w:r>
      <w:r>
        <w:rPr>
          <w:rFonts w:hint="eastAsia" w:ascii="宋体" w:hAnsi="宋体"/>
          <w:bCs/>
          <w:spacing w:val="-4"/>
          <w:szCs w:val="21"/>
        </w:rPr>
        <w:t>；</w:t>
      </w:r>
    </w:p>
    <w:p w14:paraId="075539F4">
      <w:pPr>
        <w:snapToGrid w:val="0"/>
        <w:spacing w:line="360" w:lineRule="auto"/>
        <w:ind w:firstLine="411" w:firstLineChars="196"/>
        <w:rPr>
          <w:rFonts w:ascii="宋体" w:hAnsi="宋体"/>
          <w:bCs/>
          <w:snapToGrid w:val="0"/>
          <w:spacing w:val="-4"/>
          <w:szCs w:val="21"/>
        </w:rPr>
      </w:pPr>
      <w:r>
        <w:rPr>
          <w:rFonts w:ascii="宋体" w:hAnsi="宋体"/>
          <w:bCs/>
          <w:szCs w:val="21"/>
        </w:rPr>
        <w:t>（</w:t>
      </w:r>
      <w:r>
        <w:rPr>
          <w:rFonts w:hint="eastAsia" w:ascii="宋体" w:hAnsi="宋体"/>
          <w:bCs/>
          <w:szCs w:val="21"/>
        </w:rPr>
        <w:t>5</w:t>
      </w:r>
      <w:r>
        <w:rPr>
          <w:rFonts w:ascii="宋体" w:hAnsi="宋体"/>
          <w:bCs/>
          <w:szCs w:val="21"/>
        </w:rPr>
        <w:t>）</w:t>
      </w:r>
      <w:r>
        <w:rPr>
          <w:rFonts w:ascii="宋体" w:hAnsi="宋体"/>
          <w:bCs/>
          <w:spacing w:val="-4"/>
          <w:szCs w:val="21"/>
        </w:rPr>
        <w:t>磋商响应文件的实质性内容</w:t>
      </w:r>
      <w:r>
        <w:rPr>
          <w:rFonts w:hint="eastAsia" w:ascii="宋体" w:hAnsi="宋体"/>
          <w:bCs/>
          <w:spacing w:val="-4"/>
          <w:szCs w:val="21"/>
        </w:rPr>
        <w:t>含义不明确、同类问题表述不一致或者有明显文字和计算错误，</w:t>
      </w:r>
      <w:r>
        <w:rPr>
          <w:rFonts w:ascii="宋体" w:hAnsi="宋体"/>
          <w:bCs/>
          <w:spacing w:val="-4"/>
          <w:szCs w:val="21"/>
        </w:rPr>
        <w:t>或者使用计量单位不符合采购文件要求的（经磋商小组认定</w:t>
      </w:r>
      <w:r>
        <w:rPr>
          <w:rFonts w:hint="eastAsia" w:ascii="宋体" w:hAnsi="宋体"/>
          <w:bCs/>
          <w:spacing w:val="-4"/>
          <w:szCs w:val="21"/>
        </w:rPr>
        <w:t>并</w:t>
      </w:r>
      <w:r>
        <w:rPr>
          <w:rFonts w:ascii="宋体" w:hAnsi="宋体"/>
          <w:bCs/>
          <w:spacing w:val="-4"/>
          <w:szCs w:val="21"/>
        </w:rPr>
        <w:t>允许其当场更正的笔误除外）</w:t>
      </w:r>
      <w:r>
        <w:rPr>
          <w:rFonts w:hint="eastAsia" w:ascii="宋体" w:hAnsi="宋体"/>
          <w:bCs/>
          <w:spacing w:val="-4"/>
          <w:szCs w:val="21"/>
        </w:rPr>
        <w:t>；</w:t>
      </w:r>
    </w:p>
    <w:p w14:paraId="15D7082F">
      <w:pPr>
        <w:snapToGrid w:val="0"/>
        <w:spacing w:line="360" w:lineRule="auto"/>
        <w:ind w:firstLine="395" w:firstLineChars="196"/>
        <w:rPr>
          <w:rFonts w:ascii="宋体" w:hAnsi="宋体"/>
          <w:bCs/>
          <w:spacing w:val="-4"/>
          <w:szCs w:val="21"/>
        </w:rPr>
      </w:pPr>
      <w:r>
        <w:rPr>
          <w:rFonts w:ascii="宋体" w:hAnsi="宋体"/>
          <w:bCs/>
          <w:spacing w:val="-4"/>
          <w:szCs w:val="21"/>
        </w:rPr>
        <w:t>（</w:t>
      </w:r>
      <w:r>
        <w:rPr>
          <w:rFonts w:hint="eastAsia" w:ascii="宋体" w:hAnsi="宋体"/>
          <w:bCs/>
          <w:spacing w:val="-4"/>
          <w:szCs w:val="21"/>
        </w:rPr>
        <w:t>6</w:t>
      </w:r>
      <w:r>
        <w:rPr>
          <w:rFonts w:ascii="宋体" w:hAnsi="宋体"/>
          <w:bCs/>
          <w:spacing w:val="-4"/>
          <w:szCs w:val="21"/>
        </w:rPr>
        <w:t>）</w:t>
      </w:r>
      <w:r>
        <w:rPr>
          <w:rFonts w:hint="eastAsia" w:ascii="宋体" w:hAnsi="宋体"/>
          <w:bCs/>
          <w:spacing w:val="-4"/>
          <w:szCs w:val="21"/>
        </w:rPr>
        <w:t>未实质性</w:t>
      </w:r>
      <w:r>
        <w:rPr>
          <w:rFonts w:ascii="宋体" w:hAnsi="宋体"/>
          <w:bCs/>
          <w:spacing w:val="-4"/>
          <w:szCs w:val="21"/>
        </w:rPr>
        <w:t>响应采购文件要求或者磋商响应文件有采购人不能接受的附加条件的</w:t>
      </w:r>
      <w:r>
        <w:rPr>
          <w:rFonts w:hint="eastAsia" w:ascii="宋体" w:hAnsi="宋体"/>
          <w:bCs/>
          <w:spacing w:val="-4"/>
          <w:szCs w:val="21"/>
        </w:rPr>
        <w:t>；</w:t>
      </w:r>
    </w:p>
    <w:p w14:paraId="5A5E2F6A">
      <w:pPr>
        <w:snapToGrid w:val="0"/>
        <w:spacing w:line="360" w:lineRule="auto"/>
        <w:ind w:firstLine="411" w:firstLineChars="196"/>
        <w:rPr>
          <w:rFonts w:ascii="宋体" w:hAnsi="宋体"/>
          <w:spacing w:val="-4"/>
          <w:szCs w:val="21"/>
        </w:rPr>
      </w:pPr>
      <w:r>
        <w:rPr>
          <w:rFonts w:hint="eastAsia" w:ascii="宋体" w:hAnsi="宋体"/>
          <w:bCs/>
          <w:szCs w:val="21"/>
        </w:rPr>
        <w:t>（7）</w:t>
      </w:r>
      <w:r>
        <w:rPr>
          <w:rFonts w:hint="eastAsia" w:ascii="宋体" w:hAnsi="宋体"/>
          <w:szCs w:val="21"/>
        </w:rPr>
        <w:t>未在</w:t>
      </w:r>
      <w:r>
        <w:rPr>
          <w:rFonts w:hint="eastAsia" w:ascii="宋体" w:hAnsi="宋体"/>
          <w:spacing w:val="-4"/>
          <w:szCs w:val="21"/>
        </w:rPr>
        <w:t>浙江政府采购网（政采云平台）完成本项目网上报名的；</w:t>
      </w:r>
    </w:p>
    <w:p w14:paraId="7EB9EF4C">
      <w:pPr>
        <w:snapToGrid w:val="0"/>
        <w:spacing w:line="360" w:lineRule="auto"/>
        <w:ind w:firstLine="395" w:firstLineChars="196"/>
        <w:rPr>
          <w:rFonts w:ascii="宋体" w:hAnsi="宋体"/>
          <w:szCs w:val="21"/>
        </w:rPr>
      </w:pPr>
      <w:r>
        <w:rPr>
          <w:rFonts w:hint="eastAsia" w:ascii="宋体" w:hAnsi="宋体"/>
          <w:snapToGrid w:val="0"/>
          <w:spacing w:val="-4"/>
          <w:szCs w:val="21"/>
        </w:rPr>
        <w:t>（8）与采购文件中标“▲”的条款及采购文件其他要求发生实质性负偏离的</w:t>
      </w:r>
      <w:r>
        <w:rPr>
          <w:rFonts w:hint="eastAsia" w:ascii="宋体" w:hAnsi="宋体"/>
          <w:szCs w:val="21"/>
        </w:rPr>
        <w:t>；</w:t>
      </w:r>
    </w:p>
    <w:p w14:paraId="6FBA74F6">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（9）磋商响应方的法定代表人或其授权代理人未能准时参加磋商会议的；</w:t>
      </w:r>
    </w:p>
    <w:p w14:paraId="14315F72">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（10）磋商时磋商响应方的法定代表人或其授权代理人未能当场出具有效身份证明，</w:t>
      </w:r>
      <w:r>
        <w:rPr>
          <w:rFonts w:hint="eastAsia" w:ascii="宋体" w:hAnsi="宋体"/>
          <w:szCs w:val="21"/>
        </w:rPr>
        <w:t>或</w:t>
      </w:r>
      <w:r>
        <w:rPr>
          <w:rFonts w:hint="eastAsia" w:ascii="宋体" w:hAnsi="宋体"/>
          <w:snapToGrid w:val="0"/>
          <w:spacing w:val="-4"/>
          <w:szCs w:val="21"/>
        </w:rPr>
        <w:t>供应商代表</w:t>
      </w:r>
      <w:r>
        <w:rPr>
          <w:rFonts w:hint="eastAsia" w:ascii="宋体" w:hAnsi="宋体"/>
          <w:szCs w:val="21"/>
        </w:rPr>
        <w:t>与法定代表人授权委托人身份不符</w:t>
      </w:r>
      <w:r>
        <w:rPr>
          <w:rFonts w:hint="eastAsia" w:ascii="宋体" w:hAnsi="宋体"/>
          <w:snapToGrid w:val="0"/>
          <w:spacing w:val="-4"/>
          <w:szCs w:val="21"/>
        </w:rPr>
        <w:t>的；</w:t>
      </w:r>
      <w:r>
        <w:rPr>
          <w:rFonts w:hint="eastAsia" w:ascii="宋体" w:hAnsi="宋体"/>
          <w:spacing w:val="-4"/>
          <w:szCs w:val="21"/>
        </w:rPr>
        <w:t>（该项只针对参与现场开标会议的供应商）</w:t>
      </w:r>
    </w:p>
    <w:p w14:paraId="3BA766E0">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（11）</w:t>
      </w:r>
      <w:r>
        <w:rPr>
          <w:rFonts w:hint="eastAsia" w:ascii="宋体" w:hAnsi="宋体"/>
          <w:szCs w:val="21"/>
        </w:rPr>
        <w:t>竞标产品（或服务）载明的验收标准和方法等不符合国家规定的；</w:t>
      </w:r>
    </w:p>
    <w:p w14:paraId="290665F6">
      <w:pPr>
        <w:snapToGrid w:val="0"/>
        <w:spacing w:line="360" w:lineRule="auto"/>
        <w:ind w:firstLine="404" w:firstLineChars="200"/>
        <w:rPr>
          <w:rFonts w:ascii="宋体" w:hAnsi="宋体"/>
          <w:snapToGrid w:val="0"/>
          <w:spacing w:val="-4"/>
          <w:szCs w:val="21"/>
        </w:rPr>
      </w:pPr>
      <w:r>
        <w:rPr>
          <w:rFonts w:hint="eastAsia" w:ascii="宋体" w:hAnsi="宋体"/>
          <w:snapToGrid w:val="0"/>
          <w:spacing w:val="-4"/>
          <w:szCs w:val="21"/>
        </w:rPr>
        <w:t>（12）</w:t>
      </w:r>
      <w:r>
        <w:rPr>
          <w:rFonts w:hint="eastAsia" w:ascii="宋体" w:hAnsi="宋体"/>
          <w:spacing w:val="-4"/>
          <w:szCs w:val="21"/>
        </w:rPr>
        <w:t>不符合法律、法规和采购文件规定的其他实质性要求（磋商小组一致认定）的；</w:t>
      </w:r>
    </w:p>
    <w:p w14:paraId="1D9B6605">
      <w:pPr>
        <w:snapToGrid w:val="0"/>
        <w:spacing w:line="360" w:lineRule="auto"/>
        <w:ind w:firstLine="420" w:firstLineChars="200"/>
        <w:rPr>
          <w:rFonts w:ascii="宋体" w:hAnsi="宋体"/>
          <w:szCs w:val="21"/>
        </w:rPr>
      </w:pPr>
      <w:r>
        <w:rPr>
          <w:rFonts w:hint="eastAsia" w:ascii="宋体" w:hAnsi="宋体"/>
          <w:szCs w:val="21"/>
        </w:rPr>
        <w:t>（13）在磋商响应截止时间以后传送的电子磋商响应文件；</w:t>
      </w:r>
    </w:p>
    <w:p w14:paraId="19316441">
      <w:pPr>
        <w:snapToGrid w:val="0"/>
        <w:spacing w:line="360" w:lineRule="auto"/>
        <w:ind w:firstLine="420" w:firstLineChars="200"/>
        <w:rPr>
          <w:rFonts w:ascii="宋体" w:hAnsi="宋体"/>
          <w:szCs w:val="21"/>
        </w:rPr>
      </w:pPr>
      <w:r>
        <w:rPr>
          <w:rFonts w:hint="eastAsia" w:ascii="宋体" w:hAnsi="宋体"/>
          <w:szCs w:val="21"/>
        </w:rPr>
        <w:t>（14）电子磋商响应文件解密失败的，且未在磋商响应截止时间前提交备份磋商响应文件的，或备份磋商响应文件均无法评审使用的；</w:t>
      </w:r>
    </w:p>
    <w:p w14:paraId="59241819">
      <w:pPr>
        <w:snapToGrid w:val="0"/>
        <w:spacing w:line="360" w:lineRule="auto"/>
        <w:ind w:firstLine="420" w:firstLineChars="200"/>
        <w:rPr>
          <w:rFonts w:ascii="宋体" w:hAnsi="宋体"/>
          <w:szCs w:val="21"/>
        </w:rPr>
      </w:pPr>
      <w:r>
        <w:rPr>
          <w:rFonts w:hint="eastAsia" w:ascii="宋体" w:hAnsi="宋体"/>
          <w:szCs w:val="21"/>
        </w:rPr>
        <w:t>（15）供应商提供的《中小企业声明函》或</w:t>
      </w:r>
      <w:r>
        <w:rPr>
          <w:rFonts w:hint="eastAsia" w:ascii="宋体" w:hAnsi="宋体"/>
          <w:szCs w:val="21"/>
          <w:lang w:val="zh-CN"/>
        </w:rPr>
        <w:t>《残疾人福利性单位声明函》</w:t>
      </w:r>
      <w:r>
        <w:rPr>
          <w:rFonts w:hint="eastAsia" w:ascii="宋体" w:hAnsi="宋体"/>
          <w:szCs w:val="21"/>
        </w:rPr>
        <w:t>未采用本采购文件的格式；</w:t>
      </w:r>
    </w:p>
    <w:p w14:paraId="1A803105">
      <w:pPr>
        <w:snapToGrid w:val="0"/>
        <w:spacing w:line="360" w:lineRule="auto"/>
        <w:ind w:firstLine="420" w:firstLineChars="200"/>
        <w:rPr>
          <w:rFonts w:ascii="宋体" w:hAnsi="宋体"/>
          <w:szCs w:val="21"/>
        </w:rPr>
      </w:pPr>
      <w:r>
        <w:rPr>
          <w:rFonts w:hint="eastAsia" w:ascii="宋体" w:hAnsi="宋体"/>
          <w:szCs w:val="21"/>
        </w:rPr>
        <w:t>（16）供应商提供的《中小企业声明函》或</w:t>
      </w:r>
      <w:r>
        <w:rPr>
          <w:rFonts w:hint="eastAsia" w:ascii="宋体" w:hAnsi="宋体"/>
          <w:szCs w:val="21"/>
          <w:lang w:val="zh-CN"/>
        </w:rPr>
        <w:t>《残疾人福利性单位声明函》</w:t>
      </w:r>
      <w:r>
        <w:rPr>
          <w:rFonts w:hint="eastAsia" w:ascii="宋体" w:hAnsi="宋体"/>
          <w:szCs w:val="21"/>
        </w:rPr>
        <w:t>未填写完整的；</w:t>
      </w:r>
    </w:p>
    <w:p w14:paraId="2E3364D5">
      <w:pPr>
        <w:snapToGrid w:val="0"/>
        <w:spacing w:line="360" w:lineRule="auto"/>
        <w:ind w:firstLine="420" w:firstLineChars="200"/>
        <w:rPr>
          <w:szCs w:val="21"/>
        </w:rPr>
      </w:pPr>
      <w:r>
        <w:rPr>
          <w:rFonts w:hint="eastAsia" w:ascii="宋体" w:hAnsi="宋体"/>
          <w:szCs w:val="21"/>
        </w:rPr>
        <w:t>（17）供应商未如实填写《中小企业声明函》或</w:t>
      </w:r>
      <w:r>
        <w:rPr>
          <w:rFonts w:hint="eastAsia" w:ascii="宋体" w:hAnsi="宋体"/>
          <w:szCs w:val="21"/>
          <w:lang w:val="zh-CN"/>
        </w:rPr>
        <w:t>《残疾人福利性单位声明函》</w:t>
      </w:r>
      <w:r>
        <w:rPr>
          <w:rFonts w:hint="eastAsia" w:ascii="宋体" w:hAnsi="宋体"/>
          <w:szCs w:val="21"/>
        </w:rPr>
        <w:t>的；</w:t>
      </w:r>
    </w:p>
    <w:p w14:paraId="27CA54E9">
      <w:pPr>
        <w:snapToGrid w:val="0"/>
        <w:spacing w:line="360" w:lineRule="auto"/>
        <w:ind w:firstLine="420" w:firstLineChars="200"/>
        <w:rPr>
          <w:rFonts w:ascii="宋体" w:hAnsi="宋体"/>
          <w:color w:val="000000"/>
          <w:szCs w:val="21"/>
        </w:rPr>
      </w:pPr>
      <w:r>
        <w:rPr>
          <w:rFonts w:hint="eastAsia" w:ascii="宋体" w:hAnsi="宋体"/>
          <w:szCs w:val="21"/>
        </w:rPr>
        <w:t>（18）法律、法规和本采购文件中其他规定磋商响</w:t>
      </w:r>
      <w:r>
        <w:rPr>
          <w:rFonts w:hint="eastAsia" w:ascii="宋体" w:hAnsi="宋体"/>
          <w:color w:val="000000"/>
          <w:szCs w:val="21"/>
        </w:rPr>
        <w:t>应文件无效的情形。</w:t>
      </w:r>
    </w:p>
    <w:p w14:paraId="6CF6F95E">
      <w:pPr>
        <w:snapToGrid w:val="0"/>
        <w:spacing w:line="360" w:lineRule="auto"/>
        <w:rPr>
          <w:rFonts w:ascii="宋体" w:hAnsi="宋体"/>
          <w:b/>
          <w:bCs/>
          <w:color w:val="000000"/>
          <w:spacing w:val="-4"/>
          <w:szCs w:val="21"/>
        </w:rPr>
      </w:pPr>
      <w:r>
        <w:rPr>
          <w:rFonts w:ascii="宋体" w:hAnsi="宋体"/>
          <w:b/>
          <w:bCs/>
          <w:color w:val="000000"/>
          <w:spacing w:val="-4"/>
          <w:szCs w:val="21"/>
        </w:rPr>
        <w:t>2</w:t>
      </w:r>
      <w:r>
        <w:rPr>
          <w:rFonts w:hint="eastAsia" w:ascii="宋体" w:hAnsi="宋体"/>
          <w:b/>
          <w:bCs/>
          <w:color w:val="000000"/>
          <w:spacing w:val="-4"/>
          <w:szCs w:val="21"/>
        </w:rPr>
        <w:t>.</w:t>
      </w:r>
      <w:r>
        <w:rPr>
          <w:rFonts w:ascii="宋体" w:hAnsi="宋体"/>
          <w:b/>
          <w:bCs/>
          <w:color w:val="000000"/>
          <w:spacing w:val="-4"/>
          <w:szCs w:val="21"/>
        </w:rPr>
        <w:t>在技术评审时，如发现下列情形之一的，磋商响应文件将被视为无效：</w:t>
      </w:r>
    </w:p>
    <w:p w14:paraId="0883190A">
      <w:pPr>
        <w:snapToGrid w:val="0"/>
        <w:spacing w:line="360" w:lineRule="auto"/>
        <w:ind w:firstLine="395" w:firstLineChars="196"/>
        <w:rPr>
          <w:rFonts w:ascii="宋体" w:hAnsi="宋体"/>
          <w:bCs/>
          <w:color w:val="000000"/>
          <w:spacing w:val="-4"/>
          <w:szCs w:val="21"/>
        </w:rPr>
      </w:pPr>
      <w:r>
        <w:rPr>
          <w:rFonts w:ascii="宋体" w:hAnsi="宋体"/>
          <w:bCs/>
          <w:color w:val="000000"/>
          <w:spacing w:val="-4"/>
          <w:szCs w:val="21"/>
        </w:rPr>
        <w:t>（1）未提供或未如实提供竞标产品的技术参数，或者磋商响应文件标明的响应或偏离与事实不符或虚假竞标的</w:t>
      </w:r>
      <w:r>
        <w:rPr>
          <w:rFonts w:hint="eastAsia" w:ascii="宋体" w:hAnsi="宋体"/>
          <w:bCs/>
          <w:color w:val="000000"/>
          <w:spacing w:val="-4"/>
          <w:szCs w:val="21"/>
        </w:rPr>
        <w:t>；</w:t>
      </w:r>
    </w:p>
    <w:p w14:paraId="6147A49D">
      <w:pPr>
        <w:snapToGrid w:val="0"/>
        <w:spacing w:line="360" w:lineRule="auto"/>
        <w:ind w:firstLine="395" w:firstLineChars="196"/>
        <w:rPr>
          <w:rFonts w:ascii="宋体" w:hAnsi="宋体"/>
          <w:bCs/>
          <w:snapToGrid w:val="0"/>
          <w:color w:val="000000"/>
          <w:spacing w:val="-4"/>
          <w:szCs w:val="21"/>
        </w:rPr>
      </w:pPr>
      <w:r>
        <w:rPr>
          <w:rFonts w:ascii="宋体" w:hAnsi="宋体"/>
          <w:bCs/>
          <w:color w:val="000000"/>
          <w:spacing w:val="-4"/>
          <w:szCs w:val="21"/>
        </w:rPr>
        <w:t>（2）</w:t>
      </w:r>
      <w:r>
        <w:rPr>
          <w:rFonts w:hint="eastAsia" w:ascii="宋体" w:hAnsi="宋体"/>
          <w:bCs/>
          <w:snapToGrid w:val="0"/>
          <w:color w:val="000000"/>
          <w:spacing w:val="-4"/>
          <w:szCs w:val="21"/>
        </w:rPr>
        <w:t>明显不符合采购文件要求的质量标准，或者与采购文件中标“▲”的参数指标要求发生实质性负偏离的（磋商小组一致认定）；</w:t>
      </w:r>
    </w:p>
    <w:p w14:paraId="065D435F">
      <w:pPr>
        <w:snapToGrid w:val="0"/>
        <w:spacing w:line="360" w:lineRule="auto"/>
        <w:ind w:firstLine="395" w:firstLineChars="196"/>
        <w:rPr>
          <w:rFonts w:ascii="宋体" w:hAnsi="宋体"/>
          <w:color w:val="000000"/>
          <w:spacing w:val="-4"/>
          <w:szCs w:val="21"/>
        </w:rPr>
      </w:pPr>
      <w:r>
        <w:rPr>
          <w:rFonts w:ascii="宋体" w:hAnsi="宋体"/>
          <w:bCs/>
          <w:color w:val="000000"/>
          <w:spacing w:val="-4"/>
          <w:szCs w:val="21"/>
        </w:rPr>
        <w:t>（</w:t>
      </w:r>
      <w:r>
        <w:rPr>
          <w:rFonts w:hint="eastAsia" w:ascii="宋体" w:hAnsi="宋体"/>
          <w:bCs/>
          <w:color w:val="000000"/>
          <w:spacing w:val="-4"/>
          <w:szCs w:val="21"/>
        </w:rPr>
        <w:t>3</w:t>
      </w:r>
      <w:r>
        <w:rPr>
          <w:rFonts w:ascii="宋体" w:hAnsi="宋体"/>
          <w:bCs/>
          <w:color w:val="000000"/>
          <w:spacing w:val="-4"/>
          <w:szCs w:val="21"/>
        </w:rPr>
        <w:t>）</w:t>
      </w:r>
      <w:r>
        <w:rPr>
          <w:rFonts w:hint="eastAsia" w:ascii="宋体" w:hAnsi="宋体"/>
          <w:bCs/>
          <w:color w:val="000000"/>
          <w:spacing w:val="-4"/>
          <w:szCs w:val="21"/>
        </w:rPr>
        <w:t>竞</w:t>
      </w:r>
      <w:r>
        <w:rPr>
          <w:rFonts w:hint="eastAsia" w:ascii="宋体" w:hAnsi="宋体"/>
          <w:color w:val="000000"/>
          <w:spacing w:val="-4"/>
          <w:szCs w:val="21"/>
        </w:rPr>
        <w:t>标产品的技术规范、技术标准明显不符合国家强制性要求的；</w:t>
      </w:r>
    </w:p>
    <w:p w14:paraId="6CB7D87E">
      <w:pPr>
        <w:snapToGrid w:val="0"/>
        <w:spacing w:line="360" w:lineRule="auto"/>
        <w:ind w:firstLine="395" w:firstLineChars="196"/>
        <w:rPr>
          <w:rFonts w:ascii="宋体" w:hAnsi="宋体"/>
          <w:color w:val="000000"/>
          <w:spacing w:val="-4"/>
          <w:szCs w:val="21"/>
        </w:rPr>
      </w:pPr>
      <w:r>
        <w:rPr>
          <w:rFonts w:hint="eastAsia" w:ascii="宋体" w:hAnsi="宋体"/>
          <w:color w:val="000000"/>
          <w:spacing w:val="-4"/>
          <w:szCs w:val="21"/>
        </w:rPr>
        <w:t>（4）</w:t>
      </w:r>
      <w:r>
        <w:rPr>
          <w:rFonts w:ascii="宋体" w:hAnsi="宋体"/>
          <w:color w:val="000000"/>
          <w:spacing w:val="-4"/>
          <w:szCs w:val="21"/>
        </w:rPr>
        <w:t>竞标技术方案不明确，存在一个或一个以上备选（替代）磋商响应方案的</w:t>
      </w:r>
      <w:r>
        <w:rPr>
          <w:rFonts w:hint="eastAsia" w:ascii="宋体" w:hAnsi="宋体"/>
          <w:color w:val="000000"/>
          <w:spacing w:val="-4"/>
          <w:szCs w:val="21"/>
        </w:rPr>
        <w:t>；</w:t>
      </w:r>
    </w:p>
    <w:p w14:paraId="1AC72145">
      <w:pPr>
        <w:snapToGrid w:val="0"/>
        <w:spacing w:line="360" w:lineRule="auto"/>
        <w:ind w:firstLine="411" w:firstLineChars="196"/>
        <w:rPr>
          <w:rFonts w:ascii="宋体" w:hAnsi="宋体"/>
          <w:color w:val="000000"/>
          <w:spacing w:val="-4"/>
          <w:szCs w:val="21"/>
        </w:rPr>
      </w:pPr>
      <w:r>
        <w:rPr>
          <w:rFonts w:hint="eastAsia" w:ascii="宋体" w:hAnsi="宋体"/>
          <w:color w:val="000000"/>
          <w:szCs w:val="21"/>
        </w:rPr>
        <w:t>(5)</w:t>
      </w:r>
      <w:r>
        <w:rPr>
          <w:rFonts w:hint="eastAsia" w:ascii="宋体" w:hAnsi="宋体"/>
          <w:color w:val="000000"/>
          <w:spacing w:val="-4"/>
          <w:szCs w:val="21"/>
        </w:rPr>
        <w:t>竞标产品</w:t>
      </w:r>
      <w:r>
        <w:rPr>
          <w:rFonts w:hint="eastAsia" w:ascii="宋体" w:hAnsi="宋体"/>
          <w:color w:val="000000"/>
          <w:szCs w:val="21"/>
        </w:rPr>
        <w:t>数量明显不符合采购文件要求的；</w:t>
      </w:r>
    </w:p>
    <w:p w14:paraId="0085EA89">
      <w:pPr>
        <w:snapToGrid w:val="0"/>
        <w:spacing w:line="360" w:lineRule="auto"/>
        <w:ind w:firstLine="420" w:firstLineChars="200"/>
        <w:rPr>
          <w:rFonts w:ascii="宋体" w:hAnsi="宋体"/>
          <w:color w:val="000000"/>
          <w:spacing w:val="-4"/>
          <w:szCs w:val="21"/>
        </w:rPr>
      </w:pPr>
      <w:r>
        <w:rPr>
          <w:rFonts w:hint="eastAsia" w:ascii="宋体" w:hAnsi="宋体"/>
          <w:color w:val="000000"/>
          <w:szCs w:val="21"/>
        </w:rPr>
        <w:t xml:space="preserve">(6) </w:t>
      </w:r>
      <w:r>
        <w:rPr>
          <w:rFonts w:hint="eastAsia" w:ascii="宋体" w:hAnsi="宋体"/>
          <w:color w:val="000000"/>
          <w:spacing w:val="-4"/>
          <w:szCs w:val="21"/>
        </w:rPr>
        <w:t>与其他参加本次磋商响应方的磋商响应文件（技术文件）的文字表述内容相同连续20行以上或者差错相同2处以上的；</w:t>
      </w:r>
    </w:p>
    <w:p w14:paraId="52C73AF6">
      <w:pPr>
        <w:snapToGrid w:val="0"/>
        <w:spacing w:line="360" w:lineRule="auto"/>
        <w:rPr>
          <w:rFonts w:ascii="宋体" w:hAnsi="宋体"/>
          <w:b/>
          <w:bCs/>
          <w:color w:val="000000"/>
          <w:spacing w:val="-4"/>
          <w:szCs w:val="21"/>
        </w:rPr>
      </w:pPr>
      <w:r>
        <w:rPr>
          <w:rFonts w:ascii="宋体" w:hAnsi="宋体"/>
          <w:b/>
          <w:bCs/>
          <w:color w:val="000000"/>
          <w:spacing w:val="-4"/>
          <w:szCs w:val="21"/>
        </w:rPr>
        <w:t>3</w:t>
      </w:r>
      <w:r>
        <w:rPr>
          <w:rFonts w:hint="eastAsia" w:ascii="宋体" w:hAnsi="宋体"/>
          <w:b/>
          <w:bCs/>
          <w:color w:val="000000"/>
          <w:spacing w:val="-4"/>
          <w:szCs w:val="21"/>
        </w:rPr>
        <w:t>.</w:t>
      </w:r>
      <w:r>
        <w:rPr>
          <w:rFonts w:ascii="宋体" w:hAnsi="宋体"/>
          <w:b/>
          <w:bCs/>
          <w:color w:val="000000"/>
          <w:spacing w:val="-4"/>
          <w:szCs w:val="21"/>
        </w:rPr>
        <w:t>在报价评审时，如发现下列情形之一的，磋商响应文件将被视为无效：</w:t>
      </w:r>
    </w:p>
    <w:p w14:paraId="30A78094">
      <w:pPr>
        <w:snapToGrid w:val="0"/>
        <w:spacing w:line="360" w:lineRule="auto"/>
        <w:ind w:firstLine="395" w:firstLineChars="196"/>
        <w:rPr>
          <w:rFonts w:ascii="宋体" w:hAnsi="宋体"/>
          <w:color w:val="000000"/>
          <w:spacing w:val="-4"/>
          <w:szCs w:val="21"/>
        </w:rPr>
      </w:pPr>
      <w:r>
        <w:rPr>
          <w:rFonts w:ascii="宋体" w:hAnsi="宋体"/>
          <w:color w:val="000000"/>
          <w:spacing w:val="-4"/>
          <w:szCs w:val="21"/>
        </w:rPr>
        <w:t>（1）未采用人民币报价或者未按照采购文件标明的币种报价的</w:t>
      </w:r>
      <w:r>
        <w:rPr>
          <w:rFonts w:hint="eastAsia" w:ascii="宋体" w:hAnsi="宋体"/>
          <w:color w:val="000000"/>
          <w:spacing w:val="-4"/>
          <w:szCs w:val="21"/>
        </w:rPr>
        <w:t>；</w:t>
      </w:r>
    </w:p>
    <w:p w14:paraId="011CD6AC">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（2）磋商报价具有选择性；</w:t>
      </w:r>
    </w:p>
    <w:p w14:paraId="02BE14C5">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3712EEEA">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（4）二分之一以上的评委认为供应商报价明显高于市场平均价的；</w:t>
      </w:r>
    </w:p>
    <w:p w14:paraId="72112558">
      <w:pPr>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（5）磋商报价超出采购预算的（或采购文件规定的价格上限）。</w:t>
      </w:r>
    </w:p>
    <w:p w14:paraId="439F5238">
      <w:pPr>
        <w:snapToGrid w:val="0"/>
        <w:spacing w:line="360" w:lineRule="auto"/>
        <w:ind w:firstLine="505" w:firstLineChars="250"/>
        <w:rPr>
          <w:rFonts w:ascii="宋体" w:hAnsi="宋体"/>
          <w:color w:val="000000"/>
          <w:spacing w:val="-4"/>
          <w:szCs w:val="21"/>
        </w:rPr>
      </w:pPr>
      <w:r>
        <w:rPr>
          <w:rFonts w:hint="eastAsia" w:ascii="宋体" w:hAnsi="宋体"/>
          <w:color w:val="000000"/>
          <w:spacing w:val="-4"/>
          <w:szCs w:val="21"/>
        </w:rPr>
        <w:t>(6)法律法规和采购文件规定的其他无效情形。</w:t>
      </w:r>
    </w:p>
    <w:p w14:paraId="69FC5CE9">
      <w:pPr>
        <w:snapToGrid w:val="0"/>
        <w:spacing w:line="360" w:lineRule="auto"/>
        <w:rPr>
          <w:rFonts w:hAnsi="宋体"/>
          <w:b/>
          <w:kern w:val="44"/>
          <w:szCs w:val="21"/>
        </w:rPr>
      </w:pPr>
      <w:r>
        <w:rPr>
          <w:rFonts w:ascii="宋体" w:hAnsi="宋体"/>
          <w:b/>
          <w:color w:val="000000"/>
          <w:spacing w:val="-4"/>
          <w:szCs w:val="21"/>
        </w:rPr>
        <w:t>4</w:t>
      </w:r>
      <w:r>
        <w:rPr>
          <w:rFonts w:hint="eastAsia" w:ascii="宋体" w:hAnsi="宋体"/>
          <w:b/>
          <w:color w:val="000000"/>
          <w:spacing w:val="-4"/>
          <w:szCs w:val="21"/>
        </w:rPr>
        <w:t>.</w:t>
      </w:r>
      <w:r>
        <w:rPr>
          <w:rFonts w:ascii="宋体" w:hAnsi="宋体"/>
          <w:b/>
          <w:color w:val="000000"/>
          <w:spacing w:val="-4"/>
          <w:szCs w:val="21"/>
        </w:rPr>
        <w:t>被拒绝的磋商响应文件为无效。</w:t>
      </w:r>
    </w:p>
    <w:p w14:paraId="79E5AD4A">
      <w:pPr>
        <w:widowControl/>
        <w:jc w:val="both"/>
        <w:rPr>
          <w:rFonts w:ascii="宋体" w:hAnsi="宋体"/>
          <w:b/>
          <w:kern w:val="44"/>
          <w:sz w:val="36"/>
          <w:szCs w:val="20"/>
        </w:rPr>
      </w:pPr>
    </w:p>
    <w:p w14:paraId="3D1DAC40">
      <w:pPr>
        <w:widowControl/>
        <w:jc w:val="center"/>
        <w:rPr>
          <w:rFonts w:hint="eastAsia" w:ascii="宋体" w:hAnsi="宋体"/>
          <w:b/>
          <w:kern w:val="44"/>
          <w:sz w:val="36"/>
          <w:szCs w:val="20"/>
        </w:rPr>
      </w:pPr>
    </w:p>
    <w:p w14:paraId="1E6E0DD1">
      <w:pPr>
        <w:widowControl/>
        <w:jc w:val="center"/>
        <w:rPr>
          <w:rFonts w:hint="eastAsia" w:ascii="宋体" w:hAnsi="宋体"/>
          <w:b/>
          <w:kern w:val="44"/>
          <w:sz w:val="36"/>
          <w:szCs w:val="20"/>
        </w:rPr>
      </w:pPr>
    </w:p>
    <w:p w14:paraId="16A72F50">
      <w:pPr>
        <w:widowControl/>
        <w:jc w:val="center"/>
        <w:rPr>
          <w:rFonts w:hint="eastAsia" w:ascii="宋体" w:hAnsi="宋体"/>
          <w:b/>
          <w:kern w:val="44"/>
          <w:sz w:val="36"/>
          <w:szCs w:val="20"/>
        </w:rPr>
      </w:pPr>
    </w:p>
    <w:p w14:paraId="7E1088F3">
      <w:pPr>
        <w:widowControl/>
        <w:jc w:val="center"/>
        <w:rPr>
          <w:rFonts w:hint="eastAsia" w:ascii="宋体" w:hAnsi="宋体"/>
          <w:b/>
          <w:kern w:val="44"/>
          <w:sz w:val="36"/>
          <w:szCs w:val="20"/>
        </w:rPr>
      </w:pPr>
    </w:p>
    <w:p w14:paraId="1FB376E3">
      <w:pPr>
        <w:widowControl/>
        <w:jc w:val="center"/>
        <w:rPr>
          <w:rFonts w:hint="eastAsia" w:ascii="宋体" w:hAnsi="宋体"/>
          <w:b/>
          <w:kern w:val="44"/>
          <w:sz w:val="36"/>
          <w:szCs w:val="20"/>
        </w:rPr>
      </w:pPr>
    </w:p>
    <w:p w14:paraId="132A2AC9">
      <w:pPr>
        <w:widowControl/>
        <w:jc w:val="center"/>
        <w:rPr>
          <w:rFonts w:hint="eastAsia" w:ascii="宋体" w:hAnsi="宋体"/>
          <w:b/>
          <w:kern w:val="44"/>
          <w:sz w:val="36"/>
          <w:szCs w:val="20"/>
        </w:rPr>
      </w:pPr>
    </w:p>
    <w:p w14:paraId="601B67FE">
      <w:pPr>
        <w:widowControl/>
        <w:jc w:val="center"/>
        <w:rPr>
          <w:rFonts w:hint="eastAsia" w:ascii="宋体" w:hAnsi="宋体"/>
          <w:b/>
          <w:kern w:val="44"/>
          <w:sz w:val="36"/>
          <w:szCs w:val="20"/>
        </w:rPr>
      </w:pPr>
    </w:p>
    <w:p w14:paraId="76F8BB78">
      <w:pPr>
        <w:widowControl/>
        <w:jc w:val="center"/>
        <w:rPr>
          <w:rFonts w:hint="eastAsia" w:ascii="宋体" w:hAnsi="宋体"/>
          <w:b/>
          <w:kern w:val="44"/>
          <w:sz w:val="36"/>
          <w:szCs w:val="20"/>
        </w:rPr>
      </w:pPr>
    </w:p>
    <w:p w14:paraId="1B20CD23">
      <w:pPr>
        <w:widowControl/>
        <w:jc w:val="center"/>
        <w:rPr>
          <w:rFonts w:hint="eastAsia" w:ascii="宋体" w:hAnsi="宋体"/>
          <w:b/>
          <w:kern w:val="44"/>
          <w:sz w:val="36"/>
          <w:szCs w:val="20"/>
        </w:rPr>
      </w:pPr>
    </w:p>
    <w:p w14:paraId="61FDCA61">
      <w:pPr>
        <w:widowControl/>
        <w:jc w:val="center"/>
        <w:rPr>
          <w:rFonts w:hint="eastAsia" w:ascii="宋体" w:hAnsi="宋体"/>
          <w:b/>
          <w:kern w:val="44"/>
          <w:sz w:val="36"/>
          <w:szCs w:val="20"/>
        </w:rPr>
      </w:pPr>
    </w:p>
    <w:p w14:paraId="6257AF23">
      <w:pPr>
        <w:widowControl/>
        <w:jc w:val="center"/>
        <w:rPr>
          <w:rFonts w:hint="eastAsia" w:ascii="宋体" w:hAnsi="宋体"/>
          <w:b/>
          <w:kern w:val="44"/>
          <w:sz w:val="36"/>
          <w:szCs w:val="20"/>
        </w:rPr>
      </w:pPr>
    </w:p>
    <w:p w14:paraId="2A19095E">
      <w:pPr>
        <w:widowControl/>
        <w:jc w:val="center"/>
        <w:rPr>
          <w:rFonts w:hint="eastAsia" w:ascii="宋体" w:hAnsi="宋体"/>
          <w:b/>
          <w:kern w:val="44"/>
          <w:sz w:val="36"/>
          <w:szCs w:val="20"/>
        </w:rPr>
      </w:pPr>
    </w:p>
    <w:p w14:paraId="372A49C9">
      <w:pPr>
        <w:widowControl/>
        <w:jc w:val="center"/>
        <w:rPr>
          <w:rFonts w:hint="eastAsia" w:ascii="宋体" w:hAnsi="宋体"/>
          <w:b/>
          <w:kern w:val="44"/>
          <w:sz w:val="36"/>
          <w:szCs w:val="20"/>
        </w:rPr>
      </w:pPr>
    </w:p>
    <w:p w14:paraId="7396F520">
      <w:pPr>
        <w:widowControl/>
        <w:jc w:val="center"/>
        <w:rPr>
          <w:rFonts w:hint="eastAsia" w:ascii="宋体" w:hAnsi="宋体"/>
          <w:b/>
          <w:kern w:val="44"/>
          <w:sz w:val="36"/>
          <w:szCs w:val="20"/>
        </w:rPr>
      </w:pPr>
    </w:p>
    <w:p w14:paraId="03354B5C">
      <w:pPr>
        <w:widowControl/>
        <w:jc w:val="center"/>
        <w:rPr>
          <w:rFonts w:hint="eastAsia" w:ascii="宋体" w:hAnsi="宋体"/>
          <w:b/>
          <w:kern w:val="44"/>
          <w:sz w:val="36"/>
          <w:szCs w:val="20"/>
        </w:rPr>
      </w:pPr>
    </w:p>
    <w:p w14:paraId="66238315">
      <w:pPr>
        <w:widowControl/>
        <w:jc w:val="center"/>
        <w:rPr>
          <w:rFonts w:hint="eastAsia" w:ascii="宋体" w:hAnsi="宋体"/>
          <w:b/>
          <w:kern w:val="44"/>
          <w:sz w:val="36"/>
          <w:szCs w:val="20"/>
        </w:rPr>
      </w:pPr>
    </w:p>
    <w:p w14:paraId="3A71E828">
      <w:pPr>
        <w:widowControl/>
        <w:jc w:val="center"/>
        <w:rPr>
          <w:rFonts w:hint="eastAsia" w:ascii="宋体" w:hAnsi="宋体"/>
          <w:b/>
          <w:kern w:val="44"/>
          <w:sz w:val="36"/>
          <w:szCs w:val="20"/>
        </w:rPr>
      </w:pPr>
    </w:p>
    <w:p w14:paraId="1D2F37FB">
      <w:pPr>
        <w:widowControl/>
        <w:jc w:val="center"/>
        <w:rPr>
          <w:rFonts w:hint="eastAsia" w:ascii="宋体" w:hAnsi="宋体"/>
          <w:b/>
          <w:kern w:val="44"/>
          <w:sz w:val="36"/>
          <w:szCs w:val="20"/>
        </w:rPr>
      </w:pPr>
    </w:p>
    <w:p w14:paraId="26C9CB2E">
      <w:pPr>
        <w:widowControl/>
        <w:jc w:val="center"/>
        <w:rPr>
          <w:rFonts w:ascii="宋体" w:hAnsi="宋体"/>
          <w:b/>
          <w:kern w:val="44"/>
          <w:sz w:val="36"/>
          <w:szCs w:val="20"/>
        </w:rPr>
      </w:pPr>
      <w:r>
        <w:rPr>
          <w:rFonts w:hint="eastAsia" w:ascii="宋体" w:hAnsi="宋体"/>
          <w:b/>
          <w:kern w:val="44"/>
          <w:sz w:val="36"/>
          <w:szCs w:val="20"/>
        </w:rPr>
        <w:t>第三章  采购内容及技术要求</w:t>
      </w:r>
      <w:bookmarkEnd w:id="5"/>
    </w:p>
    <w:p w14:paraId="1B9395C7">
      <w:pPr>
        <w:widowControl/>
        <w:jc w:val="center"/>
        <w:rPr>
          <w:rFonts w:ascii="宋体" w:hAnsi="宋体"/>
          <w:b/>
          <w:sz w:val="24"/>
          <w:szCs w:val="24"/>
        </w:rPr>
      </w:pPr>
      <w:r>
        <w:rPr>
          <w:rFonts w:hint="eastAsia" w:ascii="宋体" w:hAnsi="宋体"/>
          <w:b/>
          <w:color w:val="000000"/>
          <w:sz w:val="28"/>
          <w:szCs w:val="28"/>
        </w:rPr>
        <w:t>（加▲号项需实质性响应）</w:t>
      </w:r>
    </w:p>
    <w:p w14:paraId="61BD25F1">
      <w:pPr>
        <w:spacing w:line="460" w:lineRule="exact"/>
        <w:rPr>
          <w:rFonts w:ascii="宋体" w:hAnsi="宋体"/>
          <w:b/>
          <w:color w:val="000000"/>
          <w:szCs w:val="21"/>
        </w:rPr>
      </w:pPr>
      <w:r>
        <w:rPr>
          <w:rFonts w:hint="eastAsia" w:ascii="宋体" w:hAnsi="宋体"/>
          <w:b/>
          <w:color w:val="000000"/>
          <w:szCs w:val="21"/>
        </w:rPr>
        <w:t>一、说明</w:t>
      </w:r>
    </w:p>
    <w:p w14:paraId="16F105D6">
      <w:pPr>
        <w:pStyle w:val="6"/>
        <w:widowControl/>
        <w:numPr>
          <w:ilvl w:val="0"/>
          <w:numId w:val="25"/>
        </w:numPr>
        <w:adjustRightInd w:val="0"/>
        <w:snapToGrid w:val="0"/>
        <w:spacing w:line="460" w:lineRule="exact"/>
        <w:ind w:left="0" w:firstLine="540"/>
        <w:rPr>
          <w:rFonts w:ascii="宋体" w:hAnsi="宋体"/>
          <w:sz w:val="21"/>
          <w:szCs w:val="21"/>
        </w:rPr>
      </w:pPr>
      <w:r>
        <w:rPr>
          <w:rFonts w:hint="eastAsia" w:ascii="宋体" w:hAnsi="宋体"/>
          <w:sz w:val="21"/>
          <w:szCs w:val="21"/>
        </w:rPr>
        <w:t>本采购服务应按国际标准、国标、部标或专业标准提供；非标准服务按采购人提供的要求提供；质量标准按照国家有关规定及合同约定进行验收。</w:t>
      </w:r>
    </w:p>
    <w:p w14:paraId="4FE93A35">
      <w:pPr>
        <w:pStyle w:val="6"/>
        <w:widowControl/>
        <w:numPr>
          <w:ilvl w:val="0"/>
          <w:numId w:val="25"/>
        </w:numPr>
        <w:adjustRightInd w:val="0"/>
        <w:snapToGrid w:val="0"/>
        <w:spacing w:line="460" w:lineRule="exact"/>
        <w:ind w:left="0" w:firstLine="540"/>
        <w:rPr>
          <w:rFonts w:ascii="宋体" w:hAnsi="宋体"/>
          <w:sz w:val="21"/>
          <w:szCs w:val="21"/>
        </w:rPr>
      </w:pPr>
      <w:r>
        <w:rPr>
          <w:rFonts w:hint="eastAsia" w:ascii="宋体" w:hAnsi="宋体"/>
          <w:b/>
          <w:sz w:val="21"/>
          <w:szCs w:val="21"/>
        </w:rPr>
        <w:t>带▲号的条款内容，为本次采购的主要条款和实质性内容，磋商响应方必须完全响应。</w:t>
      </w:r>
    </w:p>
    <w:p w14:paraId="2EB989DB">
      <w:pPr>
        <w:pStyle w:val="6"/>
        <w:widowControl/>
        <w:numPr>
          <w:ilvl w:val="0"/>
          <w:numId w:val="25"/>
        </w:numPr>
        <w:adjustRightInd w:val="0"/>
        <w:snapToGrid w:val="0"/>
        <w:spacing w:line="460" w:lineRule="exact"/>
        <w:ind w:left="0" w:firstLine="540"/>
        <w:rPr>
          <w:rFonts w:ascii="宋体" w:hAnsi="宋体"/>
          <w:sz w:val="21"/>
          <w:szCs w:val="21"/>
        </w:rPr>
      </w:pPr>
      <w:r>
        <w:rPr>
          <w:rFonts w:hint="eastAsia" w:ascii="宋体" w:hAnsi="宋体"/>
          <w:b/>
          <w:bCs/>
          <w:sz w:val="21"/>
          <w:szCs w:val="21"/>
        </w:rPr>
        <w:t>项目采购标的对应的中小企业划分标准所属行业为</w:t>
      </w:r>
      <w:r>
        <w:rPr>
          <w:rFonts w:hint="eastAsia" w:ascii="宋体" w:hAnsi="宋体"/>
          <w:b/>
          <w:bCs/>
          <w:sz w:val="21"/>
          <w:szCs w:val="21"/>
          <w:u w:val="single"/>
        </w:rPr>
        <w:t>其他未列明行业</w:t>
      </w:r>
      <w:r>
        <w:rPr>
          <w:rFonts w:hint="eastAsia" w:ascii="宋体" w:hAnsi="宋体"/>
          <w:sz w:val="21"/>
          <w:szCs w:val="21"/>
        </w:rPr>
        <w:t>。</w:t>
      </w:r>
    </w:p>
    <w:p w14:paraId="69F5D8FD">
      <w:pPr>
        <w:pStyle w:val="6"/>
        <w:widowControl/>
        <w:numPr>
          <w:ilvl w:val="0"/>
          <w:numId w:val="25"/>
        </w:numPr>
        <w:adjustRightInd w:val="0"/>
        <w:snapToGrid w:val="0"/>
        <w:spacing w:line="460" w:lineRule="exact"/>
        <w:ind w:left="0" w:firstLine="540"/>
        <w:rPr>
          <w:rFonts w:ascii="宋体" w:hAnsi="宋体"/>
          <w:sz w:val="21"/>
          <w:szCs w:val="21"/>
        </w:rPr>
      </w:pPr>
      <w:r>
        <w:rPr>
          <w:rFonts w:ascii="宋体" w:hAnsi="宋体"/>
          <w:sz w:val="21"/>
          <w:szCs w:val="21"/>
        </w:rPr>
        <w:t>依据《</w:t>
      </w:r>
      <w:r>
        <w:rPr>
          <w:rFonts w:hint="eastAsia" w:ascii="宋体" w:hAnsi="宋体"/>
          <w:sz w:val="21"/>
          <w:szCs w:val="21"/>
        </w:rPr>
        <w:t>政府采购促进中小企业发展管理办法</w:t>
      </w:r>
      <w:r>
        <w:rPr>
          <w:rFonts w:ascii="宋体" w:hAnsi="宋体"/>
          <w:sz w:val="21"/>
          <w:szCs w:val="21"/>
        </w:rPr>
        <w:t>》</w:t>
      </w:r>
      <w:r>
        <w:rPr>
          <w:rFonts w:hint="eastAsia" w:ascii="宋体" w:hAnsi="宋体"/>
          <w:sz w:val="21"/>
          <w:szCs w:val="21"/>
        </w:rPr>
        <w:t>（财库【2020】46号）</w:t>
      </w:r>
      <w:r>
        <w:rPr>
          <w:rFonts w:ascii="宋体" w:hAnsi="宋体"/>
          <w:sz w:val="21"/>
          <w:szCs w:val="21"/>
        </w:rPr>
        <w:t>规定享受扶持政策获得政府采购合同的，小微企业不得将合同分包给大中型企业，中型企业不得将合同分包给大型企业。</w:t>
      </w:r>
    </w:p>
    <w:p w14:paraId="035405F6">
      <w:pPr>
        <w:spacing w:line="360" w:lineRule="auto"/>
        <w:rPr>
          <w:rFonts w:ascii="宋体" w:hAnsi="宋体"/>
          <w:b/>
          <w:szCs w:val="21"/>
        </w:rPr>
      </w:pPr>
      <w:r>
        <w:rPr>
          <w:rFonts w:hint="eastAsia" w:ascii="宋体" w:hAnsi="宋体"/>
          <w:b/>
          <w:szCs w:val="21"/>
        </w:rPr>
        <w:t>一、项目概况</w:t>
      </w:r>
    </w:p>
    <w:p w14:paraId="1640AC2B">
      <w:pPr>
        <w:spacing w:line="360" w:lineRule="auto"/>
        <w:ind w:firstLine="422" w:firstLineChars="200"/>
        <w:rPr>
          <w:rFonts w:ascii="宋体" w:hAnsi="宋体" w:cs="宋体"/>
          <w:b/>
          <w:color w:val="auto"/>
          <w:szCs w:val="21"/>
          <w:highlight w:val="none"/>
        </w:rPr>
      </w:pPr>
      <w:r>
        <w:rPr>
          <w:rFonts w:hint="eastAsia" w:ascii="宋体" w:hAnsi="宋体" w:eastAsia="宋体" w:cs="宋体"/>
          <w:b/>
          <w:color w:val="auto"/>
          <w:szCs w:val="21"/>
          <w:highlight w:val="none"/>
          <w:lang w:val="en-US" w:eastAsia="zh-CN"/>
        </w:rPr>
        <w:t>德清县文化和广电旅游体育局（</w:t>
      </w:r>
      <w:r>
        <w:rPr>
          <w:rFonts w:hint="eastAsia" w:ascii="宋体" w:hAnsi="宋体" w:cs="宋体"/>
          <w:b/>
          <w:color w:val="auto"/>
          <w:szCs w:val="21"/>
          <w:highlight w:val="none"/>
          <w:lang w:val="en-US" w:eastAsia="zh-CN"/>
        </w:rPr>
        <w:t>含</w:t>
      </w:r>
      <w:r>
        <w:rPr>
          <w:rFonts w:hint="eastAsia" w:ascii="宋体" w:hAnsi="宋体" w:eastAsia="宋体" w:cs="宋体"/>
          <w:b/>
          <w:color w:val="auto"/>
          <w:szCs w:val="21"/>
          <w:highlight w:val="none"/>
          <w:lang w:val="en-US" w:eastAsia="zh-CN"/>
        </w:rPr>
        <w:t>下属单位）202</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lang w:val="en-US" w:eastAsia="zh-CN"/>
        </w:rPr>
        <w:t>年职工疗休养采购项目</w:t>
      </w:r>
      <w:r>
        <w:rPr>
          <w:rFonts w:hint="eastAsia" w:ascii="宋体" w:hAnsi="宋体" w:cs="宋体"/>
          <w:b/>
          <w:color w:val="auto"/>
          <w:szCs w:val="21"/>
          <w:highlight w:val="none"/>
        </w:rPr>
        <w:t>，项目总预算为</w:t>
      </w:r>
      <w:r>
        <w:rPr>
          <w:rFonts w:hint="eastAsia" w:ascii="宋体" w:hAnsi="宋体" w:cs="宋体"/>
          <w:b/>
          <w:color w:val="auto"/>
          <w:szCs w:val="21"/>
          <w:highlight w:val="none"/>
          <w:lang w:val="en-US" w:eastAsia="zh-CN"/>
        </w:rPr>
        <w:t>33</w:t>
      </w:r>
      <w:r>
        <w:rPr>
          <w:rFonts w:hint="eastAsia" w:ascii="宋体" w:hAnsi="宋体" w:cs="宋体"/>
          <w:b/>
          <w:color w:val="auto"/>
          <w:szCs w:val="21"/>
          <w:highlight w:val="none"/>
        </w:rPr>
        <w:t>万元</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（参与疗休养职工人数</w:t>
      </w:r>
      <w:r>
        <w:rPr>
          <w:rFonts w:hint="eastAsia" w:ascii="宋体" w:hAnsi="宋体" w:cs="宋体"/>
          <w:b/>
          <w:color w:val="auto"/>
          <w:szCs w:val="21"/>
          <w:highlight w:val="none"/>
          <w:lang w:val="en-US" w:eastAsia="zh-CN"/>
        </w:rPr>
        <w:t>约110</w:t>
      </w:r>
      <w:r>
        <w:rPr>
          <w:rFonts w:hint="eastAsia" w:ascii="宋体" w:hAnsi="宋体" w:cs="宋体"/>
          <w:b/>
          <w:color w:val="auto"/>
          <w:szCs w:val="21"/>
          <w:highlight w:val="none"/>
        </w:rPr>
        <w:t>人）。本次服务采购主要业务包括：组织安排采购人提供人员的疗休养等活动，包括整个活动期间所有人员的食、宿、行等全部服务内容。</w:t>
      </w:r>
    </w:p>
    <w:tbl>
      <w:tblPr>
        <w:tblStyle w:val="62"/>
        <w:tblW w:w="999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738"/>
        <w:gridCol w:w="1695"/>
        <w:gridCol w:w="1935"/>
        <w:gridCol w:w="798"/>
      </w:tblGrid>
      <w:tr w14:paraId="1988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30" w:type="dxa"/>
            <w:vAlign w:val="center"/>
          </w:tcPr>
          <w:p w14:paraId="6E488D67">
            <w:pPr>
              <w:widowControl/>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序号</w:t>
            </w:r>
          </w:p>
        </w:tc>
        <w:tc>
          <w:tcPr>
            <w:tcW w:w="4738" w:type="dxa"/>
            <w:vAlign w:val="center"/>
          </w:tcPr>
          <w:p w14:paraId="055E1C2B">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标项名称</w:t>
            </w:r>
          </w:p>
        </w:tc>
        <w:tc>
          <w:tcPr>
            <w:tcW w:w="1695" w:type="dxa"/>
            <w:vAlign w:val="center"/>
          </w:tcPr>
          <w:p w14:paraId="198B405C">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935" w:type="dxa"/>
            <w:vAlign w:val="center"/>
          </w:tcPr>
          <w:p w14:paraId="3D27093A">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单价最高限价</w:t>
            </w:r>
          </w:p>
          <w:p w14:paraId="4D7FAF65">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（元/人）</w:t>
            </w:r>
          </w:p>
        </w:tc>
        <w:tc>
          <w:tcPr>
            <w:tcW w:w="798" w:type="dxa"/>
            <w:vAlign w:val="center"/>
          </w:tcPr>
          <w:p w14:paraId="6199BE88">
            <w:pPr>
              <w:widowControl/>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备注</w:t>
            </w:r>
          </w:p>
        </w:tc>
      </w:tr>
      <w:tr w14:paraId="2DC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30" w:type="dxa"/>
            <w:vAlign w:val="center"/>
          </w:tcPr>
          <w:p w14:paraId="0F2A2ED7">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4738" w:type="dxa"/>
            <w:vAlign w:val="center"/>
          </w:tcPr>
          <w:p w14:paraId="5850B672">
            <w:pPr>
              <w:snapToGrid w:val="0"/>
              <w:spacing w:line="360" w:lineRule="auto"/>
              <w:jc w:val="center"/>
              <w:rPr>
                <w:rFonts w:ascii="宋体" w:hAnsi="宋体" w:cs="宋体"/>
                <w:b/>
                <w:bCs/>
                <w:color w:val="auto"/>
                <w:szCs w:val="21"/>
                <w:highlight w:val="none"/>
              </w:rPr>
            </w:pPr>
            <w:r>
              <w:rPr>
                <w:rFonts w:hint="eastAsia" w:ascii="宋体" w:hAnsi="宋体" w:eastAsia="宋体" w:cs="宋体"/>
                <w:b/>
                <w:color w:val="auto"/>
                <w:szCs w:val="21"/>
                <w:highlight w:val="none"/>
                <w:lang w:val="en-US" w:eastAsia="zh-CN"/>
              </w:rPr>
              <w:t>德清县文化和广电旅游体育局（</w:t>
            </w:r>
            <w:r>
              <w:rPr>
                <w:rFonts w:hint="eastAsia" w:ascii="宋体" w:hAnsi="宋体" w:cs="宋体"/>
                <w:b/>
                <w:color w:val="auto"/>
                <w:szCs w:val="21"/>
                <w:highlight w:val="none"/>
                <w:lang w:val="en-US" w:eastAsia="zh-CN"/>
              </w:rPr>
              <w:t>含</w:t>
            </w:r>
            <w:r>
              <w:rPr>
                <w:rFonts w:hint="eastAsia" w:ascii="宋体" w:hAnsi="宋体" w:eastAsia="宋体" w:cs="宋体"/>
                <w:b/>
                <w:color w:val="auto"/>
                <w:szCs w:val="21"/>
                <w:highlight w:val="none"/>
                <w:lang w:val="en-US" w:eastAsia="zh-CN"/>
              </w:rPr>
              <w:t>下属单位）202</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lang w:val="en-US" w:eastAsia="zh-CN"/>
              </w:rPr>
              <w:t>年职工疗休养采购项目</w:t>
            </w:r>
          </w:p>
        </w:tc>
        <w:tc>
          <w:tcPr>
            <w:tcW w:w="1695" w:type="dxa"/>
            <w:vAlign w:val="center"/>
          </w:tcPr>
          <w:p w14:paraId="6E19CA86">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暂定</w:t>
            </w:r>
            <w:r>
              <w:rPr>
                <w:rFonts w:hint="eastAsia" w:ascii="宋体" w:hAnsi="宋体" w:cs="宋体"/>
                <w:b/>
                <w:bCs/>
                <w:color w:val="auto"/>
                <w:szCs w:val="21"/>
                <w:highlight w:val="none"/>
                <w:lang w:val="en-US" w:eastAsia="zh-CN"/>
              </w:rPr>
              <w:t>110</w:t>
            </w:r>
            <w:r>
              <w:rPr>
                <w:rFonts w:hint="eastAsia" w:ascii="宋体" w:hAnsi="宋体" w:cs="宋体"/>
                <w:b/>
                <w:bCs/>
                <w:color w:val="auto"/>
                <w:szCs w:val="21"/>
                <w:highlight w:val="none"/>
              </w:rPr>
              <w:t>人</w:t>
            </w:r>
          </w:p>
        </w:tc>
        <w:tc>
          <w:tcPr>
            <w:tcW w:w="1935" w:type="dxa"/>
            <w:vAlign w:val="center"/>
          </w:tcPr>
          <w:p w14:paraId="1AF71491">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3000</w:t>
            </w:r>
          </w:p>
        </w:tc>
        <w:tc>
          <w:tcPr>
            <w:tcW w:w="798" w:type="dxa"/>
            <w:vAlign w:val="center"/>
          </w:tcPr>
          <w:p w14:paraId="62317790">
            <w:pPr>
              <w:snapToGrid w:val="0"/>
              <w:spacing w:line="360" w:lineRule="auto"/>
              <w:jc w:val="center"/>
              <w:rPr>
                <w:rFonts w:ascii="宋体" w:hAnsi="宋体" w:cs="宋体"/>
                <w:color w:val="auto"/>
                <w:szCs w:val="21"/>
                <w:highlight w:val="none"/>
              </w:rPr>
            </w:pPr>
          </w:p>
        </w:tc>
      </w:tr>
    </w:tbl>
    <w:p w14:paraId="51150A28">
      <w:pPr>
        <w:adjustRightInd w:val="0"/>
        <w:snapToGrid w:val="0"/>
        <w:spacing w:line="360" w:lineRule="auto"/>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四、具体服务要求</w:t>
      </w:r>
    </w:p>
    <w:p w14:paraId="504A8991">
      <w:pPr>
        <w:spacing w:line="360" w:lineRule="auto"/>
        <w:ind w:left="180"/>
        <w:rPr>
          <w:rFonts w:ascii="宋体" w:hAnsi="宋体" w:cs="宋体"/>
          <w:b/>
          <w:bCs/>
          <w:color w:val="auto"/>
          <w:szCs w:val="21"/>
          <w:highlight w:val="none"/>
        </w:rPr>
      </w:pPr>
      <w:r>
        <w:rPr>
          <w:rFonts w:hint="eastAsia" w:ascii="宋体" w:hAnsi="宋体" w:cs="宋体"/>
          <w:b/>
          <w:bCs/>
          <w:color w:val="auto"/>
          <w:szCs w:val="21"/>
          <w:highlight w:val="none"/>
        </w:rPr>
        <w:t>（一）时间及地点要求</w:t>
      </w:r>
    </w:p>
    <w:p w14:paraId="31ECBBBA">
      <w:pPr>
        <w:spacing w:line="360" w:lineRule="auto"/>
        <w:ind w:left="181" w:leftChars="86"/>
        <w:rPr>
          <w:rFonts w:hint="eastAsia" w:ascii="宋体" w:hAnsi="宋体" w:cs="宋体"/>
          <w:b/>
          <w:color w:val="auto"/>
          <w:szCs w:val="21"/>
          <w:highlight w:val="none"/>
        </w:rPr>
      </w:pPr>
      <w:r>
        <w:rPr>
          <w:rFonts w:hint="eastAsia" w:ascii="宋体" w:hAnsi="宋体" w:cs="宋体"/>
          <w:b/>
          <w:color w:val="auto"/>
          <w:szCs w:val="21"/>
          <w:highlight w:val="none"/>
        </w:rPr>
        <w:t>1、疗养时间：5天4晚</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其中四川路线6天5晚</w:t>
      </w:r>
      <w:r>
        <w:rPr>
          <w:rFonts w:hint="eastAsia" w:ascii="宋体" w:hAnsi="宋体" w:cs="宋体"/>
          <w:b/>
          <w:color w:val="auto"/>
          <w:szCs w:val="21"/>
          <w:highlight w:val="none"/>
        </w:rPr>
        <w:t>（具体天数根据实际情况最终以采购人与供应商协商为准）。</w:t>
      </w:r>
    </w:p>
    <w:p w14:paraId="7FC0F5FB">
      <w:pPr>
        <w:spacing w:line="360" w:lineRule="auto"/>
        <w:ind w:left="181" w:leftChars="86"/>
        <w:rPr>
          <w:rFonts w:hint="eastAsia" w:ascii="宋体" w:hAnsi="宋体" w:cs="宋体"/>
          <w:b/>
          <w:color w:val="auto"/>
          <w:szCs w:val="21"/>
          <w:highlight w:val="none"/>
        </w:rPr>
      </w:pPr>
      <w:r>
        <w:rPr>
          <w:rFonts w:hint="eastAsia" w:ascii="宋体" w:hAnsi="宋体" w:cs="宋体"/>
          <w:b/>
          <w:color w:val="auto"/>
          <w:szCs w:val="21"/>
          <w:highlight w:val="none"/>
        </w:rPr>
        <w:t>▲2、费用支付：省内、县内3000元/人（实付，即实际支付给中标方的金额为3000元/人），</w:t>
      </w:r>
    </w:p>
    <w:p w14:paraId="30307AF8">
      <w:pPr>
        <w:spacing w:line="360" w:lineRule="auto"/>
        <w:ind w:left="181" w:leftChars="86"/>
        <w:rPr>
          <w:rFonts w:hint="eastAsia" w:ascii="宋体" w:hAnsi="宋体" w:cs="宋体"/>
          <w:b/>
          <w:color w:val="auto"/>
          <w:szCs w:val="21"/>
          <w:highlight w:val="none"/>
        </w:rPr>
      </w:pPr>
      <w:r>
        <w:rPr>
          <w:rFonts w:hint="eastAsia" w:ascii="宋体" w:hAnsi="宋体" w:cs="宋体"/>
          <w:b/>
          <w:color w:val="auto"/>
          <w:szCs w:val="21"/>
          <w:highlight w:val="none"/>
        </w:rPr>
        <w:t>省外3000元/人（由采购单位支付3000元/人，超出的金额按实际结算，由疗休养人员个人承担）。</w:t>
      </w:r>
    </w:p>
    <w:p w14:paraId="6F5B3525">
      <w:pPr>
        <w:spacing w:line="360" w:lineRule="auto"/>
        <w:ind w:left="181" w:leftChars="86"/>
        <w:rPr>
          <w:rFonts w:hint="eastAsia" w:ascii="宋体" w:hAnsi="宋体" w:cs="宋体"/>
          <w:b/>
          <w:color w:val="auto"/>
          <w:szCs w:val="21"/>
          <w:highlight w:val="none"/>
        </w:rPr>
      </w:pPr>
      <w:r>
        <w:rPr>
          <w:rFonts w:hint="eastAsia" w:ascii="宋体" w:hAnsi="宋体" w:cs="宋体"/>
          <w:b/>
          <w:color w:val="auto"/>
          <w:szCs w:val="21"/>
          <w:highlight w:val="none"/>
        </w:rPr>
        <w:t>▲注：如若职工家属一同参加疗休养，收费按职工标准执行；职工家属中有儿童且有相关优惠政策的，收费标准按儿童的优惠政策执行。</w:t>
      </w:r>
    </w:p>
    <w:p w14:paraId="02C00040">
      <w:pPr>
        <w:spacing w:line="360" w:lineRule="auto"/>
        <w:rPr>
          <w:rFonts w:ascii="宋体" w:hAnsi="宋体" w:cs="宋体"/>
          <w:b/>
          <w:bCs/>
          <w:szCs w:val="21"/>
        </w:rPr>
      </w:pPr>
      <w:r>
        <w:rPr>
          <w:rFonts w:hint="eastAsia" w:ascii="宋体" w:hAnsi="宋体" w:cs="宋体"/>
          <w:bCs/>
          <w:szCs w:val="21"/>
        </w:rPr>
        <w:t>▲</w:t>
      </w:r>
      <w:r>
        <w:rPr>
          <w:rFonts w:hint="eastAsia" w:ascii="宋体" w:hAnsi="宋体" w:cs="宋体"/>
          <w:b/>
          <w:bCs/>
          <w:szCs w:val="21"/>
        </w:rPr>
        <w:t>（二）住宿要求</w:t>
      </w:r>
    </w:p>
    <w:p w14:paraId="1A6E124F">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不低于挂牌四星或网评四星标准的酒店（或度假村等同标准住宿，下同）（酒店未评挂星的，应提供相关酒店网站截图、评分资料或其他相关证明资料供评委评审认定），住宿为标准间。住宿要求尽可能在同一楼层，房间干净，各个设施齐全且能正常使用，有无线网络、24小时供应热水。供应商方案应列出每一线路的酒店名称、具体地点、网评分（网页截图）；有较强的接待能力，同时配套设施齐全、使用方便安全。如果疗休养人员认为酒店住宿环境不满意，有权要求调整酒店。磋商响应方须在响应文件中提供酒店信息。</w:t>
      </w:r>
    </w:p>
    <w:p w14:paraId="1652617D">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（三）用餐要求</w:t>
      </w:r>
    </w:p>
    <w:p w14:paraId="37987390">
      <w:pPr>
        <w:spacing w:line="360" w:lineRule="auto"/>
        <w:ind w:firstLine="525" w:firstLineChars="250"/>
        <w:rPr>
          <w:rFonts w:ascii="宋体" w:hAnsi="宋体" w:cs="宋体"/>
          <w:color w:val="auto"/>
          <w:szCs w:val="21"/>
          <w:highlight w:val="none"/>
        </w:rPr>
      </w:pPr>
      <w:r>
        <w:rPr>
          <w:rFonts w:hint="eastAsia" w:ascii="宋体" w:hAnsi="宋体" w:cs="宋体"/>
          <w:bCs/>
          <w:color w:val="auto"/>
          <w:szCs w:val="21"/>
          <w:highlight w:val="none"/>
        </w:rPr>
        <w:t>提供自助早餐（部分景区酒店或民宿由于条件限制，早餐需安排加餐）。</w:t>
      </w:r>
      <w:r>
        <w:rPr>
          <w:rFonts w:hint="eastAsia" w:ascii="宋体" w:hAnsi="宋体" w:cs="宋体"/>
          <w:color w:val="auto"/>
          <w:szCs w:val="21"/>
          <w:highlight w:val="none"/>
        </w:rPr>
        <w:t>用餐要求（每人每天不低于180元）：早餐免费提供，中、晚餐不低于90元/人。宾馆房间安排新鲜水果。磋商响应方须在响应文件中提供基本的菜单，如确保几荤几素、主食、水果、饮料等。</w:t>
      </w:r>
      <w:r>
        <w:rPr>
          <w:rFonts w:hint="eastAsia" w:ascii="宋体" w:hAnsi="宋体" w:cs="宋体"/>
          <w:bCs/>
          <w:color w:val="auto"/>
          <w:szCs w:val="21"/>
          <w:highlight w:val="none"/>
        </w:rPr>
        <w:t>餐厅交通便利，环境较好，用餐次数按疗休养天数算足。</w:t>
      </w:r>
      <w:r>
        <w:rPr>
          <w:rFonts w:hint="eastAsia" w:ascii="宋体" w:hAnsi="宋体" w:cs="宋体"/>
          <w:color w:val="auto"/>
          <w:szCs w:val="21"/>
          <w:highlight w:val="none"/>
        </w:rPr>
        <w:t>用餐次数按旅游天数算足，旅游期间，如遇未用餐的情况，结算时须退还相应餐费。</w:t>
      </w:r>
    </w:p>
    <w:p w14:paraId="33727C40">
      <w:pPr>
        <w:spacing w:line="360" w:lineRule="auto"/>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（四）保险要求</w:t>
      </w:r>
    </w:p>
    <w:p w14:paraId="02219FFA">
      <w:pPr>
        <w:spacing w:line="360" w:lineRule="auto"/>
        <w:ind w:firstLine="315" w:firstLineChars="150"/>
        <w:rPr>
          <w:rFonts w:ascii="宋体" w:hAnsi="宋体" w:cs="宋体"/>
          <w:bCs/>
          <w:color w:val="auto"/>
          <w:szCs w:val="21"/>
          <w:highlight w:val="none"/>
        </w:rPr>
      </w:pPr>
      <w:r>
        <w:rPr>
          <w:rFonts w:hint="eastAsia" w:ascii="宋体" w:hAnsi="宋体" w:cs="宋体"/>
          <w:bCs/>
          <w:color w:val="auto"/>
          <w:szCs w:val="21"/>
          <w:highlight w:val="none"/>
        </w:rPr>
        <w:t>成交供应商线路方案包含必须为疗休养职工购买具有一定抵抗风险的商业保险，包括旅行社责任险和不少于</w:t>
      </w:r>
      <w:r>
        <w:rPr>
          <w:rFonts w:hint="eastAsia" w:ascii="宋体" w:hAnsi="宋体" w:cs="宋体"/>
          <w:b/>
          <w:bCs/>
          <w:color w:val="auto"/>
          <w:szCs w:val="21"/>
          <w:highlight w:val="none"/>
        </w:rPr>
        <w:t>100万元</w:t>
      </w:r>
      <w:r>
        <w:rPr>
          <w:rFonts w:hint="eastAsia" w:ascii="宋体" w:hAnsi="宋体" w:cs="宋体"/>
          <w:bCs/>
          <w:color w:val="auto"/>
          <w:szCs w:val="21"/>
          <w:highlight w:val="none"/>
        </w:rPr>
        <w:t>（人民币）保额的个人旅游人身意外险（人身意外险包括意外伤害、突发性疾病、伤害医疗、突发性医疗等）。成交时需要提供相应的证明文件。</w:t>
      </w:r>
    </w:p>
    <w:p w14:paraId="7E17AF2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（五）用车要求</w:t>
      </w:r>
    </w:p>
    <w:p w14:paraId="35A077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车辆保障：地接用车和接送用车为正规旅游车队的标准空调旅游车（金龙车或高于其性能的车）。全程40座以上空调大巴（可根据实际情况调整，须经得采购人同意），登记注册时间小于5年，车况良好无事故，安全整洁，车辆通过年度安全检验，交强险有效期内，车上基本安全设施齐全；驾驶员持对应车辆驾驶资格 3 年以上。旅游车须用空调期间，司机应在每次上车前提前20分钟打开空调；司机应保持车辆整洁，每天要对车子进行清扫工作。</w:t>
      </w:r>
    </w:p>
    <w:p w14:paraId="0A62E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如乘坐火车出行，应选择高铁、城际列车、动车、直达特快列车、特快列车。</w:t>
      </w:r>
    </w:p>
    <w:p w14:paraId="0BF59D08">
      <w:pPr>
        <w:spacing w:line="360" w:lineRule="auto"/>
        <w:rPr>
          <w:rFonts w:ascii="宋体" w:hAnsi="宋体" w:cs="宋体"/>
          <w:b/>
          <w:color w:val="auto"/>
          <w:szCs w:val="21"/>
          <w:highlight w:val="none"/>
        </w:rPr>
      </w:pPr>
      <w:r>
        <w:rPr>
          <w:rFonts w:hint="eastAsia" w:ascii="宋体" w:hAnsi="宋体" w:cs="宋体"/>
          <w:b/>
          <w:color w:val="auto"/>
          <w:szCs w:val="21"/>
          <w:highlight w:val="none"/>
        </w:rPr>
        <w:t>（六）门票要求</w:t>
      </w:r>
    </w:p>
    <w:p w14:paraId="1D7441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全程门票，包括景区门票及景区内交通费用（缆车、游船、观光车等）。</w:t>
      </w:r>
    </w:p>
    <w:p w14:paraId="6358A0FC">
      <w:pPr>
        <w:spacing w:line="360" w:lineRule="auto"/>
        <w:rPr>
          <w:rFonts w:ascii="宋体" w:hAnsi="宋体" w:cs="宋体"/>
          <w:b/>
          <w:color w:val="auto"/>
          <w:szCs w:val="21"/>
          <w:highlight w:val="none"/>
        </w:rPr>
      </w:pPr>
      <w:r>
        <w:rPr>
          <w:rFonts w:hint="eastAsia" w:ascii="宋体" w:hAnsi="宋体" w:cs="宋体"/>
          <w:b/>
          <w:color w:val="auto"/>
          <w:szCs w:val="21"/>
          <w:highlight w:val="none"/>
        </w:rPr>
        <w:t>（七）导游要求</w:t>
      </w:r>
    </w:p>
    <w:p w14:paraId="057307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导游：全程陪同及当地优秀资质公司有导游资格的专业导游讲解服务。全陪、地陪导游要求有国导证，且全陪须为成交供应商本单位导游，不得外聘导游，如遇特殊情况需要外聘导游的，必须提前经疗休养带队领导确认，其他人员要求具有相应的从业资格。</w:t>
      </w:r>
    </w:p>
    <w:p w14:paraId="73ED3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2、由导游要求举行行前会议，制定应急预案，发放《行程安排明细表》及相关行程服务内容的小册子。</w:t>
      </w:r>
    </w:p>
    <w:p w14:paraId="00FE1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3、在出发前分发矿泉水、旅游包、旅游帽等旅游基本用品。</w:t>
      </w:r>
    </w:p>
    <w:p w14:paraId="05CC55F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4、不得限定出行单位活动范围，不得进行选择性服务。</w:t>
      </w:r>
    </w:p>
    <w:p w14:paraId="1DB4836F">
      <w:pPr>
        <w:spacing w:line="360" w:lineRule="auto"/>
        <w:rPr>
          <w:rFonts w:ascii="宋体" w:hAnsi="宋体" w:cs="宋体"/>
          <w:b/>
          <w:color w:val="auto"/>
          <w:szCs w:val="21"/>
          <w:highlight w:val="none"/>
        </w:rPr>
      </w:pPr>
      <w:r>
        <w:rPr>
          <w:rFonts w:hint="eastAsia" w:ascii="宋体" w:hAnsi="宋体" w:cs="宋体"/>
          <w:b/>
          <w:color w:val="auto"/>
          <w:szCs w:val="21"/>
          <w:highlight w:val="none"/>
        </w:rPr>
        <w:t>（八）疗休养拟定路线：</w:t>
      </w:r>
    </w:p>
    <w:p w14:paraId="044B6A95">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1、省外：</w:t>
      </w:r>
    </w:p>
    <w:p w14:paraId="241E517F">
      <w:pPr>
        <w:spacing w:line="360" w:lineRule="auto"/>
        <w:ind w:firstLine="211" w:firstLineChars="1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线路一：四川（成都、小金、丹巴、新都桥、康定）</w:t>
      </w:r>
    </w:p>
    <w:p w14:paraId="4292F640">
      <w:pPr>
        <w:spacing w:line="360" w:lineRule="auto"/>
        <w:ind w:firstLine="211" w:firstLineChars="1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线路二：安徽安庆、天柱山</w:t>
      </w:r>
    </w:p>
    <w:p w14:paraId="5348D182">
      <w:pPr>
        <w:numPr>
          <w:ilvl w:val="0"/>
          <w:numId w:val="26"/>
        </w:numPr>
        <w:spacing w:line="360" w:lineRule="auto"/>
        <w:ind w:firstLine="219" w:firstLineChars="104"/>
        <w:rPr>
          <w:rFonts w:ascii="宋体" w:hAnsi="宋体" w:cs="宋体"/>
          <w:b/>
          <w:bCs/>
          <w:color w:val="auto"/>
          <w:szCs w:val="21"/>
          <w:highlight w:val="none"/>
        </w:rPr>
      </w:pPr>
      <w:r>
        <w:rPr>
          <w:rFonts w:hint="eastAsia" w:ascii="宋体" w:hAnsi="宋体" w:cs="宋体"/>
          <w:b/>
          <w:bCs/>
          <w:color w:val="auto"/>
          <w:szCs w:val="21"/>
          <w:highlight w:val="none"/>
        </w:rPr>
        <w:t>省内：</w:t>
      </w:r>
    </w:p>
    <w:p w14:paraId="2477CA7D">
      <w:pPr>
        <w:numPr>
          <w:ilvl w:val="0"/>
          <w:numId w:val="0"/>
        </w:numPr>
        <w:spacing w:line="360" w:lineRule="auto"/>
        <w:ind w:firstLine="211" w:firstLineChars="1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线路一：舟山、东极岛</w:t>
      </w:r>
    </w:p>
    <w:p w14:paraId="739ED387">
      <w:pPr>
        <w:numPr>
          <w:ilvl w:val="0"/>
          <w:numId w:val="0"/>
        </w:numPr>
        <w:spacing w:line="360" w:lineRule="auto"/>
        <w:ind w:firstLine="211" w:firstLineChars="100"/>
        <w:rPr>
          <w:rFonts w:hint="default" w:ascii="宋体" w:hAnsi="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线路二</w:t>
      </w:r>
      <w:r>
        <w:rPr>
          <w:rFonts w:hint="eastAsia" w:ascii="宋体" w:hAnsi="宋体" w:cs="宋体"/>
          <w:b/>
          <w:bCs/>
          <w:color w:val="auto"/>
          <w:szCs w:val="21"/>
          <w:highlight w:val="none"/>
          <w:lang w:val="en-US" w:eastAsia="zh-CN"/>
        </w:rPr>
        <w:t>：千岛湖</w:t>
      </w:r>
    </w:p>
    <w:p w14:paraId="686B6A1B">
      <w:pPr>
        <w:numPr>
          <w:ilvl w:val="0"/>
          <w:numId w:val="26"/>
        </w:numPr>
        <w:spacing w:line="360" w:lineRule="auto"/>
        <w:ind w:left="0" w:leftChars="0" w:firstLine="219" w:firstLineChars="104"/>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县内：</w:t>
      </w:r>
      <w:r>
        <w:rPr>
          <w:rFonts w:hint="eastAsia" w:ascii="宋体" w:hAnsi="宋体" w:eastAsia="宋体" w:cs="宋体"/>
          <w:b/>
          <w:bCs/>
          <w:color w:val="auto"/>
          <w:szCs w:val="21"/>
          <w:highlight w:val="none"/>
          <w:lang w:val="en-US" w:eastAsia="zh-CN"/>
        </w:rPr>
        <w:t>周边民宿</w:t>
      </w:r>
    </w:p>
    <w:p w14:paraId="2477F275">
      <w:pPr>
        <w:numPr>
          <w:ilvl w:val="0"/>
          <w:numId w:val="0"/>
        </w:numPr>
        <w:spacing w:line="360" w:lineRule="auto"/>
        <w:ind w:leftChars="104"/>
        <w:rPr>
          <w:rFonts w:ascii="宋体" w:hAnsi="宋体" w:cs="宋体"/>
          <w:bCs/>
          <w:color w:val="auto"/>
          <w:szCs w:val="21"/>
          <w:u w:val="single"/>
        </w:rPr>
      </w:pPr>
      <w:r>
        <w:rPr>
          <w:rFonts w:hint="eastAsia" w:ascii="宋体" w:hAnsi="宋体" w:cs="宋体"/>
          <w:b/>
          <w:bCs/>
          <w:color w:val="auto"/>
          <w:szCs w:val="21"/>
          <w:highlight w:val="none"/>
        </w:rPr>
        <w:t>▲注：以上仅提供初步方向,具体路线由供应商自行优化,至少每条路线提供一种方案供采购人选择。如疗休养政策变化，</w:t>
      </w:r>
      <w:r>
        <w:rPr>
          <w:rFonts w:hint="eastAsia" w:ascii="宋体" w:hAnsi="宋体" w:cs="宋体"/>
          <w:b/>
          <w:bCs/>
          <w:color w:val="auto"/>
          <w:szCs w:val="21"/>
          <w:highlight w:val="none"/>
          <w:u w:val="single"/>
        </w:rPr>
        <w:t>最终实际路线的调整须根据政策情况，由成</w:t>
      </w:r>
      <w:r>
        <w:rPr>
          <w:rFonts w:hint="eastAsia" w:ascii="宋体" w:hAnsi="宋体" w:cs="宋体"/>
          <w:b/>
          <w:bCs/>
          <w:color w:val="auto"/>
          <w:szCs w:val="21"/>
          <w:u w:val="single"/>
        </w:rPr>
        <w:t>交供应商与采购人协商后确定。</w:t>
      </w:r>
    </w:p>
    <w:p w14:paraId="56D68282">
      <w:pPr>
        <w:spacing w:line="360" w:lineRule="auto"/>
        <w:ind w:left="181" w:leftChars="86" w:firstLine="315" w:firstLineChars="150"/>
        <w:rPr>
          <w:rFonts w:ascii="宋体" w:hAnsi="宋体" w:cs="宋体"/>
          <w:b/>
          <w:bCs/>
          <w:szCs w:val="21"/>
        </w:rPr>
      </w:pPr>
      <w:r>
        <w:rPr>
          <w:rFonts w:hint="eastAsia" w:ascii="宋体" w:hAnsi="宋体" w:cs="宋体"/>
          <w:szCs w:val="21"/>
        </w:rPr>
        <w:t>响应方须在响应文件中提供疗休养方案，采购单位择优选用。响应方根据人均消费金额，以上述地点为核心提供疗休养行程，并对每个疗休养地点有简要的介绍。</w:t>
      </w:r>
    </w:p>
    <w:p w14:paraId="2B5DD47B">
      <w:pPr>
        <w:spacing w:line="360" w:lineRule="auto"/>
        <w:ind w:left="181" w:leftChars="86" w:firstLine="105" w:firstLineChars="50"/>
        <w:rPr>
          <w:rFonts w:ascii="宋体" w:hAnsi="宋体" w:cs="宋体"/>
          <w:b/>
          <w:szCs w:val="21"/>
        </w:rPr>
      </w:pPr>
      <w:r>
        <w:rPr>
          <w:rFonts w:hint="eastAsia" w:ascii="宋体" w:hAnsi="宋体" w:cs="宋体"/>
          <w:b/>
          <w:bCs/>
          <w:szCs w:val="21"/>
        </w:rPr>
        <w:t>五、</w:t>
      </w:r>
      <w:r>
        <w:rPr>
          <w:rFonts w:hint="eastAsia" w:ascii="宋体" w:hAnsi="宋体" w:cs="宋体"/>
          <w:b/>
          <w:szCs w:val="21"/>
        </w:rPr>
        <w:t>其他要求</w:t>
      </w:r>
    </w:p>
    <w:p w14:paraId="0E2D4430">
      <w:pPr>
        <w:spacing w:line="360" w:lineRule="auto"/>
        <w:ind w:firstLine="210" w:firstLineChars="100"/>
        <w:jc w:val="left"/>
        <w:rPr>
          <w:rFonts w:ascii="宋体" w:hAnsi="宋体" w:cs="宋体"/>
          <w:szCs w:val="21"/>
        </w:rPr>
      </w:pPr>
      <w:r>
        <w:rPr>
          <w:rFonts w:hint="eastAsia" w:ascii="宋体" w:hAnsi="宋体" w:cs="宋体"/>
          <w:szCs w:val="21"/>
        </w:rPr>
        <w:t>1、未经出行单位允许，不得安排任何购物，或以购物为目的的推荐项目。</w:t>
      </w:r>
    </w:p>
    <w:p w14:paraId="691FB4E3">
      <w:pPr>
        <w:spacing w:line="360" w:lineRule="auto"/>
        <w:ind w:firstLine="210" w:firstLineChars="100"/>
        <w:jc w:val="left"/>
        <w:rPr>
          <w:rFonts w:ascii="宋体" w:hAnsi="宋体" w:cs="宋体"/>
          <w:szCs w:val="21"/>
        </w:rPr>
      </w:pPr>
      <w:r>
        <w:rPr>
          <w:rFonts w:hint="eastAsia" w:ascii="宋体" w:hAnsi="宋体" w:cs="宋体"/>
          <w:szCs w:val="21"/>
        </w:rPr>
        <w:t>2、行程安排明细不得更改，如遇特殊情况必须要更改的，更改的内容不得低于原标准，且在更改前须经疗休养带队领导确认。</w:t>
      </w:r>
    </w:p>
    <w:p w14:paraId="02B9E026">
      <w:pPr>
        <w:spacing w:line="360" w:lineRule="auto"/>
        <w:ind w:firstLine="210" w:firstLineChars="100"/>
        <w:jc w:val="left"/>
        <w:rPr>
          <w:rFonts w:ascii="宋体" w:hAnsi="宋体" w:cs="宋体"/>
          <w:szCs w:val="21"/>
        </w:rPr>
      </w:pPr>
      <w:r>
        <w:rPr>
          <w:rFonts w:hint="eastAsia" w:ascii="宋体" w:hAnsi="宋体" w:cs="宋体"/>
          <w:szCs w:val="21"/>
        </w:rPr>
        <w:t>3、其他“食、宿、行”等标准及要求与出行单位具体协商后确定。</w:t>
      </w:r>
    </w:p>
    <w:p w14:paraId="31E4314D">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4、本项目不得以任何理由、任何形式进行转、分包，一经发现采购人可单方面解除合同，所造成的任何损失由响应方自行负责；并将其列入黑名单，不得参加下一次的疗休养定点项目招投标。</w:t>
      </w:r>
    </w:p>
    <w:p w14:paraId="3F8B3906">
      <w:pPr>
        <w:spacing w:line="360" w:lineRule="auto"/>
        <w:ind w:firstLine="210" w:firstLineChars="100"/>
        <w:rPr>
          <w:rFonts w:ascii="宋体" w:hAnsi="宋体" w:cs="宋体"/>
          <w:szCs w:val="21"/>
        </w:rPr>
      </w:pPr>
      <w:r>
        <w:rPr>
          <w:rFonts w:hint="eastAsia" w:ascii="宋体" w:hAnsi="宋体" w:cs="宋体"/>
          <w:szCs w:val="21"/>
        </w:rPr>
        <w:t>5、规范做好疗休养工作，具体按照省、市有关规定执行。</w:t>
      </w:r>
    </w:p>
    <w:p w14:paraId="196DC7FB">
      <w:pPr>
        <w:spacing w:line="360" w:lineRule="auto"/>
        <w:ind w:firstLine="210" w:firstLineChars="100"/>
        <w:rPr>
          <w:rFonts w:ascii="宋体" w:hAnsi="宋体" w:cs="宋体"/>
          <w:szCs w:val="21"/>
        </w:rPr>
      </w:pPr>
      <w:r>
        <w:rPr>
          <w:rFonts w:hint="eastAsia" w:ascii="宋体" w:hAnsi="宋体" w:cs="宋体"/>
          <w:szCs w:val="21"/>
        </w:rPr>
        <w:t>6、每批次疗休养行前会议召开时，由成交供应商将本线路《服务安排明细表》及相关服务承诺等分发给每位出行人员。每批次疗休养结束后，成交供应商将征求采购人代表或履约监管人员的意见，并根据本线路《服务安排明细表》及相关服务承诺等对照实际情况如实填写《职工疗休养满意度测评表》，《职工疗休养满意度测评表》中反馈意见将作为履约保证金的退还依据及今后德清县机关事业单位职工疗休养招标磋商响应方资格条件和评分依据。</w:t>
      </w:r>
    </w:p>
    <w:p w14:paraId="28EEA7F1">
      <w:pPr>
        <w:spacing w:line="360" w:lineRule="auto"/>
        <w:ind w:firstLine="210" w:firstLineChars="100"/>
        <w:rPr>
          <w:rFonts w:ascii="宋体" w:hAnsi="宋体" w:cs="Arial"/>
          <w:b/>
          <w:bCs/>
          <w:szCs w:val="21"/>
          <w:u w:val="single"/>
        </w:rPr>
      </w:pPr>
      <w:r>
        <w:rPr>
          <w:rFonts w:hint="eastAsia" w:ascii="宋体" w:hAnsi="宋体" w:cs="宋体"/>
          <w:szCs w:val="21"/>
        </w:rPr>
        <w:t>7、响应方有采购人要求以外的其他服务承诺等，可自行叙述。</w:t>
      </w:r>
    </w:p>
    <w:p w14:paraId="01A3FA3E">
      <w:pPr>
        <w:spacing w:line="360" w:lineRule="auto"/>
        <w:rPr>
          <w:rFonts w:ascii="宋体" w:hAnsi="宋体" w:cs="Arial"/>
          <w:b/>
          <w:bCs/>
          <w:szCs w:val="21"/>
          <w:u w:val="single"/>
        </w:rPr>
      </w:pPr>
      <w:r>
        <w:rPr>
          <w:rFonts w:hint="eastAsia" w:ascii="宋体" w:hAnsi="宋体"/>
          <w:b/>
          <w:szCs w:val="21"/>
        </w:rPr>
        <w:t>六、商务要求</w:t>
      </w:r>
    </w:p>
    <w:p w14:paraId="0AD72965">
      <w:pPr>
        <w:spacing w:line="360" w:lineRule="auto"/>
        <w:rPr>
          <w:rFonts w:hint="eastAsia" w:ascii="宋体" w:hAnsi="宋体" w:eastAsia="宋体" w:cs="宋体"/>
          <w:b/>
          <w:bCs/>
          <w:color w:val="auto"/>
          <w:szCs w:val="21"/>
          <w:highlight w:val="none"/>
          <w:lang w:eastAsia="zh-CN"/>
        </w:rPr>
      </w:pPr>
      <w:r>
        <w:rPr>
          <w:rFonts w:hint="eastAsia" w:ascii="宋体" w:hAnsi="宋体" w:cs="Arial"/>
          <w:b/>
          <w:bCs/>
          <w:color w:val="auto"/>
          <w:szCs w:val="21"/>
          <w:highlight w:val="none"/>
        </w:rPr>
        <w:t>▲1、服务时间：</w:t>
      </w: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-7月</w:t>
      </w:r>
      <w:r>
        <w:rPr>
          <w:rFonts w:hint="eastAsia" w:ascii="宋体" w:hAnsi="宋体"/>
          <w:b/>
          <w:color w:val="auto"/>
          <w:szCs w:val="21"/>
          <w:highlight w:val="none"/>
        </w:rPr>
        <w:t>（若时间有所调整，具体由采购方决定）</w:t>
      </w:r>
      <w:r>
        <w:rPr>
          <w:rFonts w:hint="eastAsia" w:ascii="宋体" w:hAnsi="宋体"/>
          <w:b/>
          <w:color w:val="auto"/>
          <w:szCs w:val="21"/>
          <w:highlight w:val="none"/>
          <w:lang w:eastAsia="zh-CN"/>
        </w:rPr>
        <w:t>；</w:t>
      </w:r>
    </w:p>
    <w:p w14:paraId="4E697823">
      <w:pPr>
        <w:pStyle w:val="6"/>
        <w:spacing w:line="360" w:lineRule="auto"/>
        <w:ind w:firstLine="0"/>
        <w:rPr>
          <w:rFonts w:ascii="宋体" w:hAnsi="宋体"/>
          <w:b/>
          <w:color w:val="auto"/>
          <w:sz w:val="21"/>
          <w:szCs w:val="21"/>
          <w:highlight w:val="none"/>
        </w:rPr>
      </w:pPr>
      <w:r>
        <w:rPr>
          <w:rFonts w:hint="eastAsia" w:ascii="宋体" w:hAnsi="宋体"/>
          <w:b/>
          <w:color w:val="auto"/>
          <w:sz w:val="21"/>
          <w:szCs w:val="21"/>
          <w:highlight w:val="none"/>
        </w:rPr>
        <w:t>注：若由于特殊原因无法出省，最终时间及路线以采购人与成交供应商协商为准。</w:t>
      </w:r>
    </w:p>
    <w:p w14:paraId="186EAA8F">
      <w:pPr>
        <w:pStyle w:val="6"/>
        <w:spacing w:line="360" w:lineRule="auto"/>
        <w:ind w:firstLine="0"/>
        <w:rPr>
          <w:rFonts w:ascii="宋体" w:hAnsi="宋体"/>
          <w:b/>
          <w:color w:val="auto"/>
          <w:kern w:val="44"/>
          <w:sz w:val="21"/>
          <w:szCs w:val="21"/>
          <w:highlight w:val="none"/>
        </w:rPr>
      </w:pPr>
      <w:r>
        <w:rPr>
          <w:rFonts w:hint="eastAsia" w:ascii="宋体" w:hAnsi="宋体" w:cs="Arial"/>
          <w:b/>
          <w:bCs/>
          <w:color w:val="auto"/>
          <w:sz w:val="21"/>
          <w:szCs w:val="21"/>
          <w:highlight w:val="none"/>
        </w:rPr>
        <w:t>▲2、付款方式：根据《保障中小企业款项支付条例》、省财政厅《关于坚决打赢疫情防控阻击战进一步做好政府采购资金支持企业发展工作的通知》（浙财采监【2020】3号）要求，制定如下付款方式：</w:t>
      </w:r>
      <w:r>
        <w:rPr>
          <w:rFonts w:hint="eastAsia" w:ascii="宋体" w:hAnsi="宋体" w:cs="Arial"/>
          <w:b/>
          <w:bCs/>
          <w:color w:val="auto"/>
          <w:sz w:val="21"/>
          <w:szCs w:val="21"/>
          <w:highlight w:val="none"/>
        </w:rPr>
        <w:t>合同签订后7日内支付合同价的40%，疗休养结束后，成交人向采购单位提供正规税务发票及费用清单，由采购单位支付剩余的尾款（按实际人数结算）。</w:t>
      </w:r>
      <w:r>
        <w:rPr>
          <w:rFonts w:hint="eastAsia" w:ascii="宋体" w:hAnsi="宋体" w:cs="宋体"/>
          <w:b/>
          <w:bCs/>
          <w:color w:val="auto"/>
          <w:sz w:val="21"/>
          <w:szCs w:val="21"/>
          <w:highlight w:val="none"/>
        </w:rPr>
        <w:t>（供应商明确表示无需预付款或者主动要求降低预付款比例的，采购单位可不适用前述规定。）在采购人支付预付款同时有权要求中标人提供预付款保函。</w:t>
      </w:r>
    </w:p>
    <w:p w14:paraId="7AB53F09">
      <w:pPr>
        <w:spacing w:line="480" w:lineRule="auto"/>
        <w:jc w:val="center"/>
        <w:outlineLvl w:val="0"/>
        <w:rPr>
          <w:rFonts w:ascii="宋体" w:hAnsi="宋体"/>
          <w:b/>
          <w:color w:val="FF0000"/>
          <w:kern w:val="44"/>
          <w:sz w:val="36"/>
          <w:szCs w:val="20"/>
        </w:rPr>
      </w:pPr>
    </w:p>
    <w:p w14:paraId="02692A9C">
      <w:pPr>
        <w:spacing w:line="480" w:lineRule="auto"/>
        <w:jc w:val="center"/>
        <w:outlineLvl w:val="0"/>
        <w:rPr>
          <w:rFonts w:ascii="宋体" w:hAnsi="宋体"/>
          <w:b/>
          <w:kern w:val="44"/>
          <w:sz w:val="36"/>
          <w:szCs w:val="20"/>
        </w:rPr>
      </w:pPr>
    </w:p>
    <w:p w14:paraId="78036840">
      <w:pPr>
        <w:spacing w:line="480" w:lineRule="auto"/>
        <w:outlineLvl w:val="0"/>
        <w:rPr>
          <w:rFonts w:ascii="宋体" w:hAnsi="宋体"/>
          <w:b/>
          <w:kern w:val="44"/>
          <w:sz w:val="36"/>
          <w:szCs w:val="20"/>
        </w:rPr>
      </w:pPr>
    </w:p>
    <w:p w14:paraId="6E6F8AB4">
      <w:pPr>
        <w:spacing w:line="480" w:lineRule="auto"/>
        <w:jc w:val="center"/>
        <w:outlineLvl w:val="0"/>
        <w:rPr>
          <w:rFonts w:ascii="宋体" w:hAnsi="宋体"/>
          <w:b/>
          <w:kern w:val="44"/>
          <w:sz w:val="36"/>
          <w:szCs w:val="20"/>
        </w:rPr>
      </w:pPr>
    </w:p>
    <w:p w14:paraId="04BF4FF8">
      <w:pPr>
        <w:spacing w:line="480" w:lineRule="auto"/>
        <w:jc w:val="both"/>
        <w:outlineLvl w:val="0"/>
        <w:rPr>
          <w:rFonts w:hint="eastAsia" w:ascii="宋体" w:hAnsi="宋体"/>
          <w:b/>
          <w:kern w:val="44"/>
          <w:sz w:val="36"/>
          <w:szCs w:val="20"/>
        </w:rPr>
      </w:pPr>
    </w:p>
    <w:p w14:paraId="37D8AE0C">
      <w:pPr>
        <w:spacing w:line="480" w:lineRule="auto"/>
        <w:jc w:val="both"/>
        <w:outlineLvl w:val="0"/>
        <w:rPr>
          <w:rFonts w:hint="eastAsia" w:ascii="宋体" w:hAnsi="宋体"/>
          <w:b/>
          <w:kern w:val="44"/>
          <w:sz w:val="36"/>
          <w:szCs w:val="20"/>
        </w:rPr>
      </w:pPr>
    </w:p>
    <w:p w14:paraId="6A7C0DDE">
      <w:pPr>
        <w:spacing w:line="480" w:lineRule="auto"/>
        <w:jc w:val="center"/>
        <w:outlineLvl w:val="0"/>
        <w:rPr>
          <w:rFonts w:hint="eastAsia" w:ascii="宋体" w:hAnsi="宋体"/>
          <w:b/>
          <w:kern w:val="44"/>
          <w:sz w:val="36"/>
          <w:szCs w:val="20"/>
        </w:rPr>
      </w:pPr>
    </w:p>
    <w:p w14:paraId="060B56DF">
      <w:pPr>
        <w:spacing w:line="480" w:lineRule="auto"/>
        <w:jc w:val="center"/>
        <w:outlineLvl w:val="0"/>
        <w:rPr>
          <w:rFonts w:ascii="宋体" w:hAnsi="宋体"/>
          <w:b/>
          <w:kern w:val="44"/>
          <w:sz w:val="36"/>
          <w:szCs w:val="20"/>
        </w:rPr>
      </w:pPr>
      <w:r>
        <w:rPr>
          <w:rFonts w:hint="eastAsia" w:ascii="宋体" w:hAnsi="宋体"/>
          <w:b/>
          <w:kern w:val="44"/>
          <w:sz w:val="36"/>
          <w:szCs w:val="20"/>
        </w:rPr>
        <w:t>第四章  磋商原则和程序</w:t>
      </w:r>
    </w:p>
    <w:p w14:paraId="6F607B71">
      <w:pPr>
        <w:spacing w:line="360" w:lineRule="auto"/>
        <w:outlineLvl w:val="0"/>
        <w:rPr>
          <w:rFonts w:ascii="宋体" w:hAnsi="宋体" w:cs="Arial"/>
          <w:b/>
          <w:bCs/>
          <w:color w:val="000000"/>
          <w:szCs w:val="21"/>
        </w:rPr>
      </w:pPr>
      <w:r>
        <w:rPr>
          <w:rFonts w:hint="eastAsia" w:ascii="宋体" w:hAnsi="宋体" w:cs="Arial"/>
          <w:b/>
          <w:bCs/>
          <w:color w:val="000000"/>
          <w:szCs w:val="21"/>
        </w:rPr>
        <w:t>一、拆封采购响应文件</w:t>
      </w:r>
    </w:p>
    <w:p w14:paraId="35E708C8">
      <w:pPr>
        <w:numPr>
          <w:ilvl w:val="0"/>
          <w:numId w:val="27"/>
        </w:numPr>
        <w:spacing w:line="360" w:lineRule="auto"/>
        <w:ind w:left="0" w:firstLine="540"/>
        <w:rPr>
          <w:rFonts w:ascii="宋体" w:hAnsi="宋体"/>
          <w:b/>
          <w:szCs w:val="21"/>
        </w:rPr>
      </w:pPr>
      <w:r>
        <w:rPr>
          <w:rFonts w:hint="eastAsia" w:ascii="宋体" w:hAnsi="宋体"/>
          <w:szCs w:val="21"/>
        </w:rPr>
        <w:t>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14:paraId="053E0792">
      <w:pPr>
        <w:numPr>
          <w:ilvl w:val="0"/>
          <w:numId w:val="27"/>
        </w:numPr>
        <w:spacing w:line="360" w:lineRule="auto"/>
        <w:ind w:left="0" w:firstLine="540"/>
        <w:rPr>
          <w:rFonts w:ascii="宋体" w:hAnsi="宋体"/>
          <w:szCs w:val="21"/>
        </w:rPr>
      </w:pPr>
      <w:r>
        <w:rPr>
          <w:rFonts w:hint="eastAsia" w:ascii="宋体" w:hAnsi="宋体"/>
          <w:szCs w:val="21"/>
        </w:rPr>
        <w:t>磋商开始时，需方将查验采购响应文件密封情况，确认无误后拆封采购响应文件。</w:t>
      </w:r>
    </w:p>
    <w:p w14:paraId="180FD2D2">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二、磋商小组</w:t>
      </w:r>
    </w:p>
    <w:p w14:paraId="0578E3FC">
      <w:pPr>
        <w:numPr>
          <w:ilvl w:val="0"/>
          <w:numId w:val="28"/>
        </w:numPr>
        <w:spacing w:line="360" w:lineRule="auto"/>
        <w:ind w:left="0" w:firstLine="540"/>
        <w:rPr>
          <w:rFonts w:ascii="宋体" w:hAnsi="宋体"/>
          <w:szCs w:val="21"/>
        </w:rPr>
      </w:pPr>
      <w:r>
        <w:rPr>
          <w:rFonts w:hint="eastAsia" w:ascii="宋体" w:hAnsi="宋体"/>
          <w:szCs w:val="21"/>
        </w:rPr>
        <w:t>磋商小组依法由3人（含）以上奇数的人员组成，其成员由采购方代表及从政府采购评审的相关专家库中通过随机方式抽取的专家组成，磋商小组对采购响应文件进行审查、质疑、评估和比较。</w:t>
      </w:r>
    </w:p>
    <w:p w14:paraId="3F55E383">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三、竞争性磋商评审原则与方法</w:t>
      </w:r>
    </w:p>
    <w:p w14:paraId="06BF69CB">
      <w:pPr>
        <w:numPr>
          <w:ilvl w:val="0"/>
          <w:numId w:val="29"/>
        </w:numPr>
        <w:spacing w:line="360" w:lineRule="auto"/>
        <w:ind w:left="0" w:firstLine="540"/>
        <w:rPr>
          <w:rFonts w:ascii="宋体" w:hAnsi="宋体"/>
          <w:b/>
          <w:szCs w:val="21"/>
        </w:rPr>
      </w:pPr>
      <w:r>
        <w:rPr>
          <w:rFonts w:hint="eastAsia" w:ascii="宋体" w:hAnsi="宋体"/>
          <w:szCs w:val="21"/>
        </w:rPr>
        <w:t>磋商小组将遵循公开、公平、公正，科学合理，竞争择优的原则，对磋商响应方提供货物、服务的价格、技术性能、交货期限、安装实施方案、售后服务、培训计划、公司基本情况、履约能力等进行综合分析考评，由磋商小组根据综合评分法法确定成交供应商。</w:t>
      </w:r>
    </w:p>
    <w:p w14:paraId="530AB2FB">
      <w:pPr>
        <w:numPr>
          <w:ilvl w:val="0"/>
          <w:numId w:val="29"/>
        </w:numPr>
        <w:spacing w:line="360" w:lineRule="auto"/>
        <w:ind w:left="0" w:firstLine="540"/>
        <w:rPr>
          <w:rFonts w:ascii="宋体" w:hAnsi="宋体"/>
          <w:szCs w:val="21"/>
        </w:rPr>
      </w:pPr>
      <w:r>
        <w:rPr>
          <w:rFonts w:hint="eastAsia" w:ascii="宋体" w:hAnsi="宋体"/>
          <w:szCs w:val="21"/>
        </w:rPr>
        <w:t>客观、公正的对待所有磋商响应方，对所有磋商评价，均采用相同的程序和标准。</w:t>
      </w:r>
    </w:p>
    <w:p w14:paraId="3262B513">
      <w:pPr>
        <w:numPr>
          <w:ilvl w:val="0"/>
          <w:numId w:val="29"/>
        </w:numPr>
        <w:spacing w:line="360" w:lineRule="auto"/>
        <w:ind w:left="0" w:firstLine="540"/>
        <w:rPr>
          <w:rFonts w:ascii="宋体" w:hAnsi="宋体"/>
          <w:szCs w:val="21"/>
        </w:rPr>
      </w:pPr>
      <w:r>
        <w:rPr>
          <w:rFonts w:hint="eastAsia" w:ascii="宋体" w:hAnsi="宋体"/>
          <w:szCs w:val="21"/>
        </w:rPr>
        <w:t>磋商会开始后，直至授予成交供应商合同为止，凡属于对采购响应文件的审查、澄清、评判和比较的有关资料、成交候选供应商的推荐情况及与磋商有关的其他任何情况均依法严格保密。</w:t>
      </w:r>
    </w:p>
    <w:p w14:paraId="1ACA0F4D">
      <w:pPr>
        <w:numPr>
          <w:ilvl w:val="0"/>
          <w:numId w:val="29"/>
        </w:numPr>
        <w:spacing w:line="360" w:lineRule="auto"/>
        <w:ind w:left="0" w:firstLine="540"/>
        <w:rPr>
          <w:rFonts w:ascii="宋体" w:hAnsi="宋体"/>
          <w:szCs w:val="21"/>
        </w:rPr>
      </w:pPr>
      <w:r>
        <w:rPr>
          <w:rFonts w:hint="eastAsia" w:ascii="宋体" w:hAnsi="宋体"/>
          <w:szCs w:val="21"/>
        </w:rPr>
        <w:t>磋商小组分别与各磋商响应方进行商务、技术磋商，在磋商过程中磋商小组成员不得透露其他磋商响应方的磋商信息，严守商业秘密。</w:t>
      </w:r>
    </w:p>
    <w:p w14:paraId="2D6D86B9">
      <w:pPr>
        <w:numPr>
          <w:ilvl w:val="0"/>
          <w:numId w:val="29"/>
        </w:numPr>
        <w:spacing w:line="360" w:lineRule="auto"/>
        <w:ind w:left="0" w:firstLine="540"/>
        <w:rPr>
          <w:rFonts w:ascii="宋体" w:hAnsi="宋体"/>
          <w:szCs w:val="21"/>
        </w:rPr>
      </w:pPr>
      <w:r>
        <w:rPr>
          <w:rFonts w:hint="eastAsia" w:ascii="宋体" w:hAnsi="宋体"/>
          <w:szCs w:val="21"/>
        </w:rPr>
        <w:t>在磋商期间，磋商响应方不得向磋商小组成员询问磋商情况，不得进行旨在影响磋商结果的活动，否则将废除其磋商资格。</w:t>
      </w:r>
    </w:p>
    <w:p w14:paraId="6908F74D">
      <w:pPr>
        <w:numPr>
          <w:ilvl w:val="0"/>
          <w:numId w:val="29"/>
        </w:numPr>
        <w:spacing w:line="360" w:lineRule="auto"/>
        <w:ind w:left="0" w:firstLine="540"/>
        <w:rPr>
          <w:rFonts w:ascii="宋体" w:hAnsi="宋体"/>
          <w:szCs w:val="21"/>
        </w:rPr>
      </w:pPr>
      <w:r>
        <w:rPr>
          <w:rFonts w:hint="eastAsia" w:ascii="宋体" w:hAnsi="宋体"/>
          <w:szCs w:val="21"/>
        </w:rPr>
        <w:t>在磋商过程中，磋商小组成员不得与磋商响应方私下交换意见，在竞争性磋商工作结束后，凡与磋商情况有接触的人不得将磋商情况扩散出磋商小组成员之外。</w:t>
      </w:r>
    </w:p>
    <w:p w14:paraId="2F9CBEFB">
      <w:pPr>
        <w:numPr>
          <w:ilvl w:val="0"/>
          <w:numId w:val="29"/>
        </w:numPr>
        <w:spacing w:line="360" w:lineRule="auto"/>
        <w:ind w:left="0" w:firstLine="540"/>
        <w:rPr>
          <w:rFonts w:ascii="宋体" w:hAnsi="宋体"/>
          <w:szCs w:val="21"/>
        </w:rPr>
      </w:pPr>
      <w:r>
        <w:rPr>
          <w:rFonts w:hint="eastAsia" w:ascii="宋体" w:hAnsi="宋体"/>
          <w:szCs w:val="21"/>
        </w:rPr>
        <w:t>需方不向落标方解释落标原因，不退还采购响应文件。</w:t>
      </w:r>
    </w:p>
    <w:p w14:paraId="75A9F9A8">
      <w:pPr>
        <w:widowControl/>
        <w:snapToGrid w:val="0"/>
        <w:spacing w:beforeLines="50" w:afterLines="50"/>
        <w:ind w:left="165"/>
        <w:jc w:val="left"/>
        <w:outlineLvl w:val="1"/>
        <w:rPr>
          <w:rFonts w:ascii="宋体" w:hAnsi="宋体" w:cs="Arial"/>
          <w:b/>
          <w:bCs/>
          <w:color w:val="000000"/>
          <w:szCs w:val="21"/>
        </w:rPr>
      </w:pPr>
      <w:r>
        <w:rPr>
          <w:rFonts w:hint="eastAsia" w:ascii="宋体" w:hAnsi="宋体" w:cs="Arial"/>
          <w:b/>
          <w:bCs/>
          <w:color w:val="000000"/>
          <w:szCs w:val="21"/>
        </w:rPr>
        <w:t>四、磋商程序</w:t>
      </w:r>
    </w:p>
    <w:p w14:paraId="433ABE09">
      <w:pPr>
        <w:spacing w:line="360" w:lineRule="auto"/>
        <w:ind w:firstLine="472" w:firstLineChars="225"/>
        <w:rPr>
          <w:rFonts w:ascii="宋体" w:hAnsi="宋体"/>
          <w:szCs w:val="21"/>
        </w:rPr>
      </w:pPr>
      <w:r>
        <w:rPr>
          <w:rFonts w:hint="eastAsia" w:ascii="宋体" w:hAnsi="宋体"/>
          <w:szCs w:val="21"/>
        </w:rPr>
        <w:t>1.磋商会由采购代理公司主持，主持人宣布磋商会议开始；</w:t>
      </w:r>
    </w:p>
    <w:p w14:paraId="31BDB1EE">
      <w:pPr>
        <w:spacing w:line="360" w:lineRule="auto"/>
        <w:ind w:firstLine="472" w:firstLineChars="225"/>
        <w:rPr>
          <w:rFonts w:ascii="宋体" w:hAnsi="宋体"/>
          <w:szCs w:val="21"/>
        </w:rPr>
      </w:pPr>
      <w:r>
        <w:rPr>
          <w:rFonts w:hint="eastAsia" w:ascii="宋体" w:hAnsi="宋体"/>
          <w:szCs w:val="21"/>
        </w:rPr>
        <w:t>2.主持人</w:t>
      </w:r>
      <w:r>
        <w:rPr>
          <w:rFonts w:ascii="宋体" w:hAnsi="宋体"/>
          <w:szCs w:val="21"/>
        </w:rPr>
        <w:t>介绍参加磋商会的人员名单</w:t>
      </w:r>
      <w:r>
        <w:rPr>
          <w:rFonts w:hint="eastAsia" w:ascii="宋体" w:hAnsi="宋体"/>
          <w:szCs w:val="21"/>
        </w:rPr>
        <w:t>；</w:t>
      </w:r>
    </w:p>
    <w:p w14:paraId="73920FBD">
      <w:pPr>
        <w:spacing w:line="360" w:lineRule="auto"/>
        <w:ind w:firstLine="472" w:firstLineChars="225"/>
        <w:rPr>
          <w:rFonts w:ascii="宋体" w:hAnsi="宋体"/>
          <w:szCs w:val="21"/>
        </w:rPr>
      </w:pPr>
      <w:r>
        <w:rPr>
          <w:rFonts w:hint="eastAsia" w:ascii="宋体" w:hAnsi="宋体"/>
          <w:szCs w:val="21"/>
        </w:rPr>
        <w:t>3.主持人</w:t>
      </w:r>
      <w:r>
        <w:rPr>
          <w:rFonts w:ascii="宋体" w:hAnsi="宋体"/>
          <w:szCs w:val="21"/>
        </w:rPr>
        <w:t>宣布</w:t>
      </w:r>
      <w:r>
        <w:rPr>
          <w:rFonts w:hint="eastAsia" w:ascii="宋体" w:hAnsi="宋体"/>
          <w:szCs w:val="21"/>
        </w:rPr>
        <w:t>磋商</w:t>
      </w:r>
      <w:r>
        <w:rPr>
          <w:rFonts w:ascii="宋体" w:hAnsi="宋体"/>
          <w:szCs w:val="21"/>
        </w:rPr>
        <w:t>期间的有关事项</w:t>
      </w:r>
      <w:r>
        <w:rPr>
          <w:rFonts w:hint="eastAsia" w:ascii="宋体" w:hAnsi="宋体"/>
          <w:szCs w:val="21"/>
        </w:rPr>
        <w:t>，</w:t>
      </w:r>
      <w:r>
        <w:rPr>
          <w:rFonts w:ascii="宋体" w:hAnsi="宋体"/>
          <w:szCs w:val="21"/>
        </w:rPr>
        <w:t>告知应当回避的情形,提请有关人员回避</w:t>
      </w:r>
      <w:r>
        <w:rPr>
          <w:rFonts w:hint="eastAsia" w:ascii="宋体" w:hAnsi="宋体"/>
          <w:szCs w:val="21"/>
        </w:rPr>
        <w:t>，</w:t>
      </w:r>
      <w:r>
        <w:rPr>
          <w:rFonts w:ascii="宋体" w:hAnsi="宋体"/>
          <w:szCs w:val="21"/>
        </w:rPr>
        <w:t>组织</w:t>
      </w:r>
      <w:r>
        <w:rPr>
          <w:rFonts w:hint="eastAsia" w:ascii="宋体" w:hAnsi="宋体"/>
          <w:szCs w:val="21"/>
        </w:rPr>
        <w:t>到场</w:t>
      </w:r>
      <w:r>
        <w:rPr>
          <w:rFonts w:ascii="宋体" w:hAnsi="宋体"/>
          <w:szCs w:val="21"/>
        </w:rPr>
        <w:t>供应商签署不存在影响公平竞争的《政府采购活动现场确认声明书》</w:t>
      </w:r>
      <w:r>
        <w:rPr>
          <w:rFonts w:hint="eastAsia" w:ascii="宋体" w:hAnsi="宋体"/>
          <w:szCs w:val="21"/>
        </w:rPr>
        <w:t>；</w:t>
      </w:r>
    </w:p>
    <w:p w14:paraId="2BFC30B2">
      <w:pPr>
        <w:snapToGrid w:val="0"/>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.电子磋商开标及评审程序</w:t>
      </w:r>
    </w:p>
    <w:p w14:paraId="04958B48">
      <w:pPr>
        <w:pStyle w:val="33"/>
        <w:shd w:val="clear" w:color="auto" w:fill="FFFFFF"/>
        <w:snapToGrid w:val="0"/>
        <w:spacing w:before="120" w:after="120" w:line="360" w:lineRule="auto"/>
        <w:ind w:firstLine="413" w:firstLineChars="196"/>
        <w:rPr>
          <w:rFonts w:hAnsi="宋体" w:cs="宋体"/>
          <w:b/>
          <w:bCs/>
          <w:sz w:val="21"/>
          <w:szCs w:val="21"/>
          <w:u w:val="single"/>
        </w:rPr>
      </w:pPr>
      <w:r>
        <w:rPr>
          <w:rFonts w:hint="eastAsia" w:hAnsi="宋体" w:cs="宋体"/>
          <w:b/>
          <w:bCs/>
          <w:sz w:val="21"/>
          <w:szCs w:val="21"/>
        </w:rPr>
        <w:t>4.1磋商响应截止时间后，供应商登录政采云平台，用“项目采购-开标评标”功能对电子磋商响应文件进行在线解密。</w:t>
      </w:r>
      <w:r>
        <w:rPr>
          <w:rFonts w:hint="eastAsia" w:hAnsi="宋体" w:cs="宋体"/>
          <w:b/>
          <w:bCs/>
          <w:sz w:val="21"/>
          <w:szCs w:val="21"/>
          <w:u w:val="single"/>
        </w:rPr>
        <w:t>在线解密电子磋商响应文件时间为开标时间起半个小时内。</w:t>
      </w:r>
    </w:p>
    <w:p w14:paraId="71B7D17A">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4.2评标委员会对资格和商务技术响应文件进行评审；</w:t>
      </w:r>
    </w:p>
    <w:p w14:paraId="555661C3">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4.3在系统上公开资格和商务技术评审结果；</w:t>
      </w:r>
    </w:p>
    <w:p w14:paraId="2BACE100">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4.4在系统上公开报价开标情况；</w:t>
      </w:r>
    </w:p>
    <w:p w14:paraId="646C4E67">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4.5评标委员会对报价情况进行评审；</w:t>
      </w:r>
    </w:p>
    <w:p w14:paraId="56AA5E7A">
      <w:pPr>
        <w:pStyle w:val="33"/>
        <w:shd w:val="clear" w:color="auto" w:fill="FFFFFF"/>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4.6在系统上公布评审结果。</w:t>
      </w:r>
    </w:p>
    <w:p w14:paraId="32A78B18">
      <w:pPr>
        <w:snapToGrid w:val="0"/>
        <w:spacing w:line="360" w:lineRule="auto"/>
        <w:ind w:firstLine="422" w:firstLineChars="200"/>
        <w:rPr>
          <w:rFonts w:ascii="宋体" w:hAnsi="宋体" w:cs="宋体"/>
          <w:b/>
          <w:bCs/>
          <w:szCs w:val="21"/>
        </w:rPr>
      </w:pPr>
      <w:r>
        <w:rPr>
          <w:rFonts w:hint="eastAsia" w:ascii="宋体" w:hAnsi="宋体" w:cs="宋体"/>
          <w:b/>
          <w:bCs/>
          <w:szCs w:val="21"/>
        </w:rPr>
        <w:t>特别说明：政采云公司如对电子化开标及评审程序有调整的，按调整后的程序操作。</w:t>
      </w:r>
    </w:p>
    <w:p w14:paraId="58186B40">
      <w:pPr>
        <w:snapToGrid w:val="0"/>
        <w:spacing w:line="360" w:lineRule="auto"/>
        <w:ind w:firstLine="420" w:firstLineChars="200"/>
        <w:rPr>
          <w:rFonts w:ascii="宋体" w:hAnsi="宋体"/>
          <w:szCs w:val="21"/>
        </w:rPr>
      </w:pPr>
      <w:r>
        <w:rPr>
          <w:rFonts w:hint="eastAsia" w:ascii="宋体" w:hAnsi="宋体"/>
          <w:szCs w:val="21"/>
        </w:rPr>
        <w:t>5.磋商小组确认采购文件，讨论决定是否需要求采购文件的要求（采购文件规定的可变动部分）进行实质性变动。</w:t>
      </w:r>
    </w:p>
    <w:p w14:paraId="65DD414D">
      <w:pPr>
        <w:snapToGrid w:val="0"/>
        <w:spacing w:line="360" w:lineRule="auto"/>
        <w:ind w:firstLine="420" w:firstLineChars="200"/>
        <w:rPr>
          <w:rFonts w:ascii="宋体" w:hAnsi="宋体"/>
          <w:szCs w:val="21"/>
        </w:rPr>
      </w:pPr>
      <w:r>
        <w:rPr>
          <w:rFonts w:hint="eastAsia" w:ascii="宋体" w:hAnsi="宋体"/>
          <w:szCs w:val="21"/>
        </w:rPr>
        <w:t>6.采购人授权磋商小组检查磋商响应方提交的资格证明文件，对磋商响应方进行资格审查,包括对供应商在</w:t>
      </w:r>
      <w:r>
        <w:rPr>
          <w:rFonts w:ascii="宋体" w:hAnsi="宋体"/>
          <w:szCs w:val="21"/>
        </w:rPr>
        <w:t>“信用中国”网站（</w:t>
      </w:r>
      <w:r>
        <w:fldChar w:fldCharType="begin"/>
      </w:r>
      <w:r>
        <w:instrText xml:space="preserve"> HYPERLINK "http://www.creditchina.gov.cn" </w:instrText>
      </w:r>
      <w:r>
        <w:fldChar w:fldCharType="separate"/>
      </w:r>
      <w:r>
        <w:rPr>
          <w:szCs w:val="21"/>
        </w:rPr>
        <w:t>www.creditchina.gov.cn</w:t>
      </w:r>
      <w:r>
        <w:rPr>
          <w:szCs w:val="21"/>
        </w:rPr>
        <w:fldChar w:fldCharType="end"/>
      </w:r>
      <w:r>
        <w:rPr>
          <w:rFonts w:ascii="宋体" w:hAnsi="宋体"/>
          <w:szCs w:val="21"/>
        </w:rPr>
        <w:t>）</w:t>
      </w:r>
      <w:r>
        <w:rPr>
          <w:rFonts w:hint="eastAsia" w:ascii="宋体" w:hAnsi="宋体"/>
          <w:szCs w:val="21"/>
        </w:rPr>
        <w:t>和</w:t>
      </w:r>
      <w:r>
        <w:rPr>
          <w:rFonts w:ascii="宋体" w:hAnsi="宋体"/>
          <w:szCs w:val="21"/>
        </w:rPr>
        <w:t>中国政府采购网（</w:t>
      </w:r>
      <w:r>
        <w:fldChar w:fldCharType="begin"/>
      </w:r>
      <w:r>
        <w:instrText xml:space="preserve"> HYPERLINK "http://www.ccgp.gov.cn" </w:instrText>
      </w:r>
      <w:r>
        <w:fldChar w:fldCharType="separate"/>
      </w:r>
      <w:r>
        <w:rPr>
          <w:szCs w:val="21"/>
        </w:rPr>
        <w:t>www.ccgp.gov.cn</w:t>
      </w:r>
      <w:r>
        <w:rPr>
          <w:szCs w:val="21"/>
        </w:rPr>
        <w:fldChar w:fldCharType="end"/>
      </w:r>
      <w:r>
        <w:rPr>
          <w:rFonts w:ascii="宋体" w:hAnsi="宋体"/>
          <w:szCs w:val="21"/>
        </w:rPr>
        <w:t>）</w:t>
      </w:r>
      <w:r>
        <w:rPr>
          <w:rFonts w:hint="eastAsia" w:ascii="宋体" w:hAnsi="宋体"/>
          <w:szCs w:val="21"/>
        </w:rPr>
        <w:t>进行信用</w:t>
      </w:r>
      <w:r>
        <w:rPr>
          <w:rFonts w:ascii="宋体" w:hAnsi="宋体"/>
          <w:szCs w:val="21"/>
        </w:rPr>
        <w:t>查询</w:t>
      </w:r>
      <w:r>
        <w:rPr>
          <w:rFonts w:hint="eastAsia" w:ascii="宋体" w:hAnsi="宋体"/>
          <w:szCs w:val="21"/>
        </w:rPr>
        <w:t>。</w:t>
      </w:r>
    </w:p>
    <w:p w14:paraId="0E2EBCC7">
      <w:pPr>
        <w:snapToGrid w:val="0"/>
        <w:spacing w:line="360" w:lineRule="auto"/>
        <w:ind w:firstLine="420" w:firstLineChars="200"/>
        <w:rPr>
          <w:rFonts w:ascii="宋体" w:hAnsi="宋体"/>
          <w:szCs w:val="21"/>
        </w:rPr>
      </w:pPr>
      <w:r>
        <w:rPr>
          <w:rFonts w:hint="eastAsia" w:ascii="宋体" w:hAnsi="宋体"/>
          <w:szCs w:val="21"/>
        </w:rPr>
        <w:t>7.磋商小组审核采购响应文件。</w:t>
      </w:r>
    </w:p>
    <w:p w14:paraId="1A4FCBCB">
      <w:pPr>
        <w:snapToGrid w:val="0"/>
        <w:spacing w:line="360" w:lineRule="auto"/>
        <w:ind w:firstLine="420" w:firstLineChars="200"/>
        <w:rPr>
          <w:rFonts w:ascii="宋体" w:hAnsi="宋体"/>
          <w:szCs w:val="21"/>
        </w:rPr>
      </w:pPr>
      <w:r>
        <w:rPr>
          <w:rFonts w:hint="eastAsia" w:ascii="宋体" w:hAnsi="宋体"/>
          <w:szCs w:val="21"/>
        </w:rPr>
        <w:t>A.磋商小组按照商务、资格进行分工审核采购响应文件。各专家在全面审核的基础上有侧重的进行分工。</w:t>
      </w:r>
    </w:p>
    <w:p w14:paraId="05B47CED">
      <w:pPr>
        <w:snapToGrid w:val="0"/>
        <w:spacing w:line="360" w:lineRule="auto"/>
        <w:ind w:firstLine="420" w:firstLineChars="200"/>
        <w:rPr>
          <w:rFonts w:ascii="宋体" w:hAnsi="宋体"/>
          <w:szCs w:val="21"/>
        </w:rPr>
      </w:pPr>
      <w:r>
        <w:rPr>
          <w:rFonts w:hint="eastAsia" w:ascii="宋体" w:hAnsi="宋体"/>
          <w:szCs w:val="21"/>
        </w:rPr>
        <w:t>B.依据竞争性磋商文件的规定，从采购响应文件的有效性、完整性和对竞争性磋商文件的响应程度进行审查，以确定是否对磋商文件的实质性要求作出响应。</w:t>
      </w:r>
    </w:p>
    <w:p w14:paraId="583FE7BC">
      <w:pPr>
        <w:spacing w:line="360" w:lineRule="auto"/>
        <w:ind w:left="540"/>
        <w:rPr>
          <w:rFonts w:ascii="宋体" w:hAnsi="宋体"/>
          <w:szCs w:val="21"/>
        </w:rPr>
      </w:pPr>
      <w:r>
        <w:rPr>
          <w:rFonts w:hint="eastAsia" w:ascii="宋体" w:hAnsi="宋体"/>
          <w:szCs w:val="21"/>
        </w:rPr>
        <w:t>8.磋商小组汇总并讨论审核情况，确定磋商响应方是否具有磋商资格。</w:t>
      </w:r>
    </w:p>
    <w:p w14:paraId="73AAC4C9">
      <w:pPr>
        <w:snapToGrid w:val="0"/>
        <w:spacing w:line="360" w:lineRule="auto"/>
        <w:ind w:firstLine="420" w:firstLineChars="200"/>
        <w:rPr>
          <w:rFonts w:ascii="宋体" w:hAnsi="宋体"/>
          <w:szCs w:val="21"/>
        </w:rPr>
      </w:pPr>
      <w:r>
        <w:rPr>
          <w:rFonts w:hint="eastAsia" w:ascii="宋体" w:hAnsi="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6BF8AAED">
      <w:pPr>
        <w:snapToGrid w:val="0"/>
        <w:spacing w:line="360" w:lineRule="auto"/>
        <w:ind w:firstLine="420" w:firstLineChars="200"/>
        <w:rPr>
          <w:rFonts w:ascii="宋体" w:hAnsi="宋体"/>
          <w:szCs w:val="21"/>
        </w:rPr>
      </w:pPr>
      <w:r>
        <w:rPr>
          <w:rFonts w:hint="eastAsia" w:ascii="宋体" w:hAnsi="宋体"/>
          <w:szCs w:val="21"/>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BA69098">
      <w:pPr>
        <w:snapToGrid w:val="0"/>
        <w:spacing w:line="360" w:lineRule="auto"/>
        <w:ind w:firstLine="420" w:firstLineChars="200"/>
        <w:rPr>
          <w:rFonts w:ascii="宋体" w:hAnsi="宋体"/>
          <w:szCs w:val="21"/>
        </w:rPr>
      </w:pPr>
      <w:r>
        <w:rPr>
          <w:rFonts w:hint="eastAsia" w:ascii="宋体" w:hAnsi="宋体"/>
          <w:szCs w:val="21"/>
        </w:rPr>
        <w:t>11.采购响应文件的澄清。</w:t>
      </w:r>
    </w:p>
    <w:p w14:paraId="07261FDD">
      <w:pPr>
        <w:snapToGrid w:val="0"/>
        <w:spacing w:line="360" w:lineRule="auto"/>
        <w:ind w:firstLine="420" w:firstLineChars="200"/>
        <w:rPr>
          <w:rFonts w:ascii="宋体" w:hAnsi="宋体"/>
          <w:szCs w:val="21"/>
        </w:rPr>
      </w:pPr>
      <w:r>
        <w:rPr>
          <w:rFonts w:hint="eastAsia" w:ascii="宋体" w:hAnsi="宋体"/>
          <w:szCs w:val="21"/>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2719B3FF">
      <w:pPr>
        <w:snapToGrid w:val="0"/>
        <w:spacing w:line="360" w:lineRule="auto"/>
        <w:ind w:firstLine="420" w:firstLineChars="200"/>
        <w:rPr>
          <w:rFonts w:ascii="宋体" w:hAnsi="宋体"/>
          <w:szCs w:val="21"/>
        </w:rPr>
      </w:pPr>
      <w:r>
        <w:rPr>
          <w:rFonts w:hint="eastAsia" w:ascii="宋体" w:hAnsi="宋体"/>
          <w:szCs w:val="21"/>
        </w:rPr>
        <w:t>12.对响应文件初次报价部分进行磋商，要求供应商剔除初次报价中不合理的成分。</w:t>
      </w:r>
    </w:p>
    <w:p w14:paraId="145A97DF">
      <w:pPr>
        <w:snapToGrid w:val="0"/>
        <w:spacing w:line="360" w:lineRule="auto"/>
        <w:ind w:firstLine="420" w:firstLineChars="200"/>
        <w:rPr>
          <w:rFonts w:ascii="宋体" w:hAnsi="宋体"/>
          <w:szCs w:val="21"/>
        </w:rPr>
      </w:pPr>
      <w:r>
        <w:rPr>
          <w:rFonts w:hint="eastAsia" w:ascii="宋体" w:hAnsi="宋体"/>
          <w:szCs w:val="21"/>
        </w:rPr>
        <w:t>13.按磋商项目内容与各磋商响应方进行2轮或多轮的磋商。</w:t>
      </w:r>
    </w:p>
    <w:p w14:paraId="03B1A798">
      <w:pPr>
        <w:numPr>
          <w:ilvl w:val="0"/>
          <w:numId w:val="30"/>
        </w:numPr>
        <w:spacing w:line="360" w:lineRule="auto"/>
        <w:ind w:left="0" w:firstLine="472" w:firstLineChars="225"/>
        <w:rPr>
          <w:rFonts w:ascii="宋体" w:hAnsi="宋体"/>
          <w:b/>
          <w:szCs w:val="21"/>
        </w:rPr>
      </w:pPr>
      <w:r>
        <w:rPr>
          <w:rFonts w:hint="eastAsia" w:ascii="宋体" w:hAnsi="宋体"/>
          <w:szCs w:val="21"/>
        </w:rPr>
        <w:t>磋商响应方介绍公司的基本情况、磋商产品的性能、用途、销售。</w:t>
      </w:r>
    </w:p>
    <w:p w14:paraId="14372230">
      <w:pPr>
        <w:numPr>
          <w:ilvl w:val="0"/>
          <w:numId w:val="30"/>
        </w:numPr>
        <w:spacing w:line="360" w:lineRule="auto"/>
        <w:ind w:left="0" w:firstLine="472" w:firstLineChars="225"/>
        <w:rPr>
          <w:rFonts w:ascii="宋体" w:hAnsi="宋体"/>
          <w:b/>
          <w:szCs w:val="21"/>
        </w:rPr>
      </w:pPr>
      <w:r>
        <w:rPr>
          <w:rFonts w:hint="eastAsia" w:ascii="宋体" w:hAnsi="宋体"/>
          <w:szCs w:val="21"/>
        </w:rPr>
        <w:t>磋商小组就讨论和汇总的情况与磋商响应方展开磋商，磋商分为技术和商务两部分，商务磋商主要内容为售后服务、交付时间、付款方式、特殊承诺。</w:t>
      </w:r>
    </w:p>
    <w:p w14:paraId="7B2DC6EC">
      <w:pPr>
        <w:numPr>
          <w:ilvl w:val="0"/>
          <w:numId w:val="30"/>
        </w:numPr>
        <w:spacing w:line="360" w:lineRule="auto"/>
        <w:ind w:left="0" w:firstLine="472" w:firstLineChars="225"/>
        <w:rPr>
          <w:rFonts w:ascii="宋体" w:hAnsi="宋体"/>
          <w:b/>
          <w:szCs w:val="21"/>
        </w:rPr>
      </w:pPr>
      <w:r>
        <w:rPr>
          <w:rFonts w:hint="eastAsia" w:ascii="宋体" w:hAnsi="宋体"/>
          <w:szCs w:val="21"/>
        </w:rPr>
        <w:t>磋商响应方确认货物的配置及商务要求并对磋商记录确认后由授权代表签字。</w:t>
      </w:r>
    </w:p>
    <w:p w14:paraId="596E3208">
      <w:pPr>
        <w:numPr>
          <w:ilvl w:val="0"/>
          <w:numId w:val="30"/>
        </w:numPr>
        <w:spacing w:line="360" w:lineRule="auto"/>
        <w:ind w:left="0" w:firstLine="472" w:firstLineChars="225"/>
        <w:rPr>
          <w:rFonts w:ascii="宋体" w:hAnsi="宋体"/>
          <w:b/>
          <w:szCs w:val="21"/>
        </w:rPr>
      </w:pPr>
      <w:r>
        <w:rPr>
          <w:rFonts w:hint="eastAsia" w:ascii="宋体" w:hAnsi="宋体"/>
          <w:szCs w:val="21"/>
        </w:rPr>
        <w:t>各磋商响应方在本项目全部磋商结束后三十分钟进行最终报价</w:t>
      </w:r>
      <w:r>
        <w:rPr>
          <w:rFonts w:hint="eastAsia" w:ascii="宋体" w:hAnsi="宋体"/>
          <w:b/>
          <w:szCs w:val="21"/>
        </w:rPr>
        <w:t>（最终报价不得高于初次报价，否则为无效报价）。</w:t>
      </w:r>
      <w:r>
        <w:rPr>
          <w:rFonts w:hint="eastAsia" w:ascii="宋体" w:hAnsi="宋体"/>
          <w:szCs w:val="21"/>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5A8C08D5">
      <w:pPr>
        <w:numPr>
          <w:ilvl w:val="0"/>
          <w:numId w:val="30"/>
        </w:numPr>
        <w:spacing w:line="360" w:lineRule="auto"/>
        <w:ind w:left="0" w:firstLine="472" w:firstLineChars="225"/>
        <w:rPr>
          <w:rFonts w:ascii="宋体" w:hAnsi="宋体"/>
          <w:szCs w:val="21"/>
        </w:rPr>
      </w:pPr>
      <w:r>
        <w:rPr>
          <w:rFonts w:hint="eastAsia" w:ascii="宋体" w:hAnsi="宋体"/>
          <w:szCs w:val="21"/>
        </w:rPr>
        <w:t>磋商小组对磋商的情况进行综合评议并根据</w:t>
      </w:r>
      <w:r>
        <w:rPr>
          <w:rFonts w:hint="eastAsia" w:ascii="宋体" w:hAnsi="宋体"/>
          <w:b/>
          <w:szCs w:val="21"/>
        </w:rPr>
        <w:t>综合评分法</w:t>
      </w:r>
      <w:r>
        <w:rPr>
          <w:rFonts w:hint="eastAsia" w:ascii="宋体" w:hAnsi="宋体"/>
          <w:szCs w:val="21"/>
        </w:rPr>
        <w:t>初步确定成交供应商。</w:t>
      </w:r>
    </w:p>
    <w:p w14:paraId="63E9ED82">
      <w:pPr>
        <w:numPr>
          <w:ilvl w:val="0"/>
          <w:numId w:val="30"/>
        </w:numPr>
        <w:spacing w:line="360" w:lineRule="auto"/>
        <w:ind w:left="0" w:firstLine="474" w:firstLineChars="225"/>
        <w:rPr>
          <w:rFonts w:ascii="宋体" w:hAnsi="宋体"/>
          <w:b/>
          <w:szCs w:val="21"/>
        </w:rPr>
      </w:pPr>
      <w:r>
        <w:rPr>
          <w:rFonts w:hint="eastAsia" w:ascii="宋体" w:hAnsi="宋体"/>
          <w:b/>
          <w:szCs w:val="21"/>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5E4D344">
      <w:pPr>
        <w:numPr>
          <w:ilvl w:val="0"/>
          <w:numId w:val="30"/>
        </w:numPr>
        <w:spacing w:line="360" w:lineRule="auto"/>
        <w:ind w:left="0" w:firstLine="472" w:firstLineChars="225"/>
        <w:rPr>
          <w:rFonts w:ascii="宋体" w:hAnsi="宋体"/>
          <w:szCs w:val="21"/>
        </w:rPr>
      </w:pPr>
      <w:r>
        <w:rPr>
          <w:rFonts w:hint="eastAsia" w:ascii="宋体" w:hAnsi="宋体"/>
          <w:szCs w:val="21"/>
        </w:rPr>
        <w:t>磋商小组应当从质量和服务均能满足采购文件实质性响应要求的供应商中，按照评分由高到低的顺序提出3名以上（法律、法规另有规定的情形除外）成交候选人，并编写磋商报告。</w:t>
      </w:r>
    </w:p>
    <w:p w14:paraId="3FF9B912">
      <w:pPr>
        <w:numPr>
          <w:ilvl w:val="0"/>
          <w:numId w:val="30"/>
        </w:numPr>
        <w:spacing w:line="360" w:lineRule="auto"/>
        <w:ind w:left="0" w:firstLine="474" w:firstLineChars="225"/>
        <w:rPr>
          <w:rFonts w:ascii="宋体" w:hAnsi="宋体"/>
          <w:szCs w:val="21"/>
        </w:rPr>
      </w:pPr>
      <w:r>
        <w:rPr>
          <w:rFonts w:hint="eastAsia" w:ascii="宋体" w:hAnsi="宋体"/>
          <w:b/>
          <w:bCs/>
          <w:szCs w:val="21"/>
        </w:rPr>
        <w:t>确定成交供应商。本项目由采购人（或采购人事先授权磋商小组）按照磋商报告中推荐的排列顺序依法确定成交供应商。</w:t>
      </w:r>
    </w:p>
    <w:p w14:paraId="37EFE3E8">
      <w:pPr>
        <w:numPr>
          <w:ilvl w:val="0"/>
          <w:numId w:val="30"/>
        </w:numPr>
        <w:spacing w:line="360" w:lineRule="auto"/>
        <w:ind w:left="0" w:firstLine="472" w:firstLineChars="225"/>
        <w:rPr>
          <w:rFonts w:ascii="宋体" w:hAnsi="宋体"/>
          <w:szCs w:val="21"/>
        </w:rPr>
      </w:pPr>
      <w:r>
        <w:rPr>
          <w:rFonts w:hint="eastAsia" w:ascii="宋体" w:hAnsi="宋体"/>
          <w:bCs/>
          <w:szCs w:val="21"/>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5A4B5262">
      <w:pPr>
        <w:snapToGrid w:val="0"/>
        <w:spacing w:line="360" w:lineRule="auto"/>
        <w:ind w:firstLine="210" w:firstLineChars="100"/>
        <w:rPr>
          <w:rFonts w:ascii="宋体" w:hAnsi="宋体" w:cs="宋体"/>
          <w:szCs w:val="21"/>
        </w:rPr>
      </w:pPr>
      <w:r>
        <w:rPr>
          <w:rFonts w:hint="eastAsia" w:ascii="宋体" w:hAnsi="宋体" w:cs="宋体"/>
          <w:bCs/>
          <w:szCs w:val="21"/>
        </w:rPr>
        <w:t>14.</w:t>
      </w:r>
      <w:r>
        <w:rPr>
          <w:rFonts w:hint="eastAsia" w:ascii="宋体" w:hAnsi="宋体" w:cs="宋体"/>
          <w:szCs w:val="21"/>
        </w:rPr>
        <w:t>采购代理公司公布最终评审结果。</w:t>
      </w:r>
    </w:p>
    <w:p w14:paraId="3CD75CA0">
      <w:pPr>
        <w:snapToGrid w:val="0"/>
        <w:spacing w:line="360" w:lineRule="auto"/>
        <w:ind w:left="1" w:firstLine="420" w:firstLineChars="199"/>
        <w:rPr>
          <w:rFonts w:ascii="宋体" w:hAnsi="宋体" w:cs="宋体"/>
          <w:b/>
          <w:bCs/>
          <w:szCs w:val="21"/>
        </w:rPr>
      </w:pPr>
      <w:r>
        <w:rPr>
          <w:rFonts w:hint="eastAsia" w:ascii="宋体" w:hAnsi="宋体" w:cs="宋体"/>
          <w:b/>
          <w:bCs/>
          <w:szCs w:val="21"/>
        </w:rPr>
        <w:t>14.1本项目原则上采用政采云电子招投标开标及评审程序，但有下情形之一的，按以下情况处理：</w:t>
      </w:r>
    </w:p>
    <w:p w14:paraId="18224297">
      <w:pPr>
        <w:snapToGrid w:val="0"/>
        <w:spacing w:line="360" w:lineRule="auto"/>
        <w:ind w:firstLine="420" w:firstLineChars="199"/>
        <w:rPr>
          <w:rFonts w:ascii="宋体" w:hAnsi="宋体" w:cs="宋体"/>
          <w:b/>
          <w:bCs/>
          <w:szCs w:val="21"/>
        </w:rPr>
      </w:pPr>
      <w:r>
        <w:rPr>
          <w:rFonts w:hint="eastAsia" w:ascii="宋体" w:hAnsi="宋体" w:cs="宋体"/>
          <w:b/>
          <w:bCs/>
          <w:szCs w:val="21"/>
        </w:rPr>
        <w:t>14.2若供应商在规定时间内无法解密或解密失败，采购代理机构将开启该供应商递交的备份电子磋商响应文件，上传至政采云平台项目采购模块，以完成开标，原电子磋商响应文件自动失效；</w:t>
      </w:r>
    </w:p>
    <w:p w14:paraId="3A18B655">
      <w:pPr>
        <w:snapToGrid w:val="0"/>
        <w:spacing w:line="360" w:lineRule="auto"/>
        <w:ind w:left="689" w:leftChars="228" w:hanging="210" w:hangingChars="100"/>
        <w:rPr>
          <w:rFonts w:ascii="宋体" w:hAnsi="宋体" w:cs="宋体"/>
          <w:szCs w:val="21"/>
        </w:rPr>
      </w:pPr>
      <w:r>
        <w:rPr>
          <w:rFonts w:hint="eastAsia" w:ascii="宋体" w:hAnsi="宋体" w:cs="宋体"/>
          <w:szCs w:val="21"/>
        </w:rPr>
        <w:t>15.开标会议结束。</w:t>
      </w:r>
    </w:p>
    <w:p w14:paraId="41B99A0B">
      <w:pPr>
        <w:widowControl/>
        <w:numPr>
          <w:ilvl w:val="0"/>
          <w:numId w:val="31"/>
        </w:numPr>
        <w:snapToGrid w:val="0"/>
        <w:spacing w:beforeLines="50" w:line="360" w:lineRule="auto"/>
        <w:ind w:left="584"/>
        <w:jc w:val="left"/>
        <w:outlineLvl w:val="1"/>
        <w:rPr>
          <w:rFonts w:ascii="宋体" w:hAnsi="宋体" w:cs="宋体"/>
          <w:b/>
          <w:bCs/>
          <w:color w:val="000000"/>
          <w:szCs w:val="21"/>
        </w:rPr>
      </w:pPr>
      <w:r>
        <w:rPr>
          <w:rFonts w:hint="eastAsia" w:ascii="宋体" w:hAnsi="宋体" w:cs="宋体"/>
          <w:b/>
          <w:bCs/>
          <w:color w:val="000000"/>
          <w:szCs w:val="21"/>
        </w:rPr>
        <w:t>采购响应文件计算错误的修正</w:t>
      </w:r>
    </w:p>
    <w:p w14:paraId="43771FCB">
      <w:pPr>
        <w:spacing w:line="360" w:lineRule="auto"/>
        <w:ind w:firstLine="420" w:firstLineChars="200"/>
        <w:rPr>
          <w:rFonts w:ascii="宋体" w:hAnsi="宋体" w:cs="宋体"/>
          <w:szCs w:val="21"/>
        </w:rPr>
      </w:pPr>
      <w:r>
        <w:rPr>
          <w:rFonts w:hint="eastAsia" w:ascii="宋体" w:hAnsi="宋体" w:cs="宋体"/>
          <w:szCs w:val="21"/>
        </w:rPr>
        <w:t>A.采购响应文件中磋商报价一览表内容与采购响应文件中磋商分项报价表内容不一致的，以磋商报价一览表为准；</w:t>
      </w:r>
    </w:p>
    <w:p w14:paraId="63448B42">
      <w:pPr>
        <w:spacing w:line="360" w:lineRule="auto"/>
        <w:ind w:firstLine="420" w:firstLineChars="200"/>
        <w:rPr>
          <w:rFonts w:ascii="宋体" w:hAnsi="宋体" w:cs="宋体"/>
          <w:szCs w:val="21"/>
        </w:rPr>
      </w:pPr>
      <w:r>
        <w:rPr>
          <w:rFonts w:hint="eastAsia" w:ascii="宋体" w:hAnsi="宋体" w:cs="宋体"/>
          <w:szCs w:val="21"/>
        </w:rPr>
        <w:t>B.采购响应文件的大写金额和小写金额不一致的，以大写金额为准；</w:t>
      </w:r>
    </w:p>
    <w:p w14:paraId="31D4A371">
      <w:pPr>
        <w:spacing w:line="360" w:lineRule="auto"/>
        <w:ind w:firstLine="420" w:firstLineChars="200"/>
        <w:rPr>
          <w:rFonts w:ascii="宋体" w:hAnsi="宋体" w:cs="宋体"/>
          <w:szCs w:val="21"/>
        </w:rPr>
      </w:pPr>
      <w:r>
        <w:rPr>
          <w:rFonts w:hint="eastAsia" w:ascii="宋体" w:hAnsi="宋体" w:cs="宋体"/>
          <w:szCs w:val="21"/>
        </w:rPr>
        <w:t>C.总价金额与按单价汇总金额不一致的，以单价金额计算结果为准；</w:t>
      </w:r>
    </w:p>
    <w:p w14:paraId="711072B3">
      <w:pPr>
        <w:spacing w:line="360" w:lineRule="auto"/>
        <w:ind w:firstLine="420" w:firstLineChars="200"/>
        <w:rPr>
          <w:rFonts w:ascii="宋体" w:hAnsi="宋体" w:cs="宋体"/>
          <w:szCs w:val="21"/>
        </w:rPr>
      </w:pPr>
      <w:r>
        <w:rPr>
          <w:rFonts w:hint="eastAsia" w:ascii="宋体" w:hAnsi="宋体" w:cs="宋体"/>
          <w:szCs w:val="21"/>
        </w:rPr>
        <w:t>D.单价金额小数点有明显错位的，应以总价为准，并修改单价；</w:t>
      </w:r>
    </w:p>
    <w:p w14:paraId="25CAE5B5">
      <w:pPr>
        <w:spacing w:line="360" w:lineRule="auto"/>
        <w:ind w:firstLine="420" w:firstLineChars="200"/>
        <w:rPr>
          <w:rFonts w:ascii="宋体" w:hAnsi="宋体" w:cs="宋体"/>
          <w:szCs w:val="21"/>
        </w:rPr>
      </w:pPr>
      <w:r>
        <w:rPr>
          <w:rFonts w:hint="eastAsia" w:ascii="宋体" w:hAnsi="宋体" w:cs="宋体"/>
          <w:szCs w:val="21"/>
        </w:rPr>
        <w:t>E.对不同文字文本采购响应文件的解释发生异议的，以中文文本为准。</w:t>
      </w:r>
    </w:p>
    <w:p w14:paraId="5912ADC0">
      <w:pPr>
        <w:widowControl/>
        <w:numPr>
          <w:ilvl w:val="0"/>
          <w:numId w:val="31"/>
        </w:numPr>
        <w:snapToGrid w:val="0"/>
        <w:spacing w:beforeLines="5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综合评分法</w:t>
      </w:r>
    </w:p>
    <w:p w14:paraId="632B2785">
      <w:pPr>
        <w:spacing w:line="360" w:lineRule="auto"/>
        <w:ind w:firstLine="420"/>
        <w:rPr>
          <w:rFonts w:ascii="宋体" w:hAnsi="宋体" w:cs="宋体"/>
          <w:color w:val="000000"/>
          <w:szCs w:val="21"/>
        </w:rPr>
      </w:pPr>
      <w:r>
        <w:rPr>
          <w:rFonts w:hint="eastAsia" w:ascii="宋体" w:hAnsi="宋体" w:cs="宋体"/>
          <w:color w:val="000000"/>
          <w:szCs w:val="21"/>
        </w:rPr>
        <w:t>为公正、公平、科学地选择中标人，根据《中华人民共和国政府采购法》等有关法律法规的规定，并结合本项目的实际，制定本办法。</w:t>
      </w:r>
    </w:p>
    <w:p w14:paraId="6CCA6F50">
      <w:pPr>
        <w:spacing w:line="360" w:lineRule="auto"/>
        <w:ind w:firstLine="420"/>
        <w:rPr>
          <w:rFonts w:ascii="宋体" w:hAnsi="宋体" w:cs="宋体"/>
          <w:b/>
          <w:bCs/>
          <w:color w:val="000000"/>
          <w:szCs w:val="21"/>
        </w:rPr>
      </w:pPr>
      <w:r>
        <w:rPr>
          <w:rFonts w:hint="eastAsia" w:ascii="宋体" w:hAnsi="宋体" w:cs="宋体"/>
          <w:b/>
          <w:bCs/>
          <w:color w:val="000000"/>
          <w:szCs w:val="21"/>
        </w:rPr>
        <w:t>本办法适</w:t>
      </w:r>
      <w:r>
        <w:rPr>
          <w:rFonts w:hint="eastAsia" w:ascii="宋体" w:hAnsi="宋体" w:cs="宋体"/>
          <w:b/>
          <w:bCs/>
          <w:szCs w:val="21"/>
        </w:rPr>
        <w:t>用于</w:t>
      </w:r>
      <w:r>
        <w:rPr>
          <w:rFonts w:hint="eastAsia" w:ascii="宋体" w:hAnsi="宋体" w:eastAsia="宋体" w:cs="宋体"/>
          <w:b/>
          <w:color w:val="auto"/>
          <w:szCs w:val="21"/>
          <w:lang w:val="en-US" w:eastAsia="zh-CN"/>
        </w:rPr>
        <w:t>德清县文化和广电旅游体育局（</w:t>
      </w:r>
      <w:r>
        <w:rPr>
          <w:rFonts w:hint="eastAsia" w:ascii="宋体" w:hAnsi="宋体" w:cs="宋体"/>
          <w:b/>
          <w:color w:val="auto"/>
          <w:szCs w:val="21"/>
          <w:lang w:val="en-US" w:eastAsia="zh-CN"/>
        </w:rPr>
        <w:t>含</w:t>
      </w:r>
      <w:r>
        <w:rPr>
          <w:rFonts w:hint="eastAsia" w:ascii="宋体" w:hAnsi="宋体" w:eastAsia="宋体" w:cs="宋体"/>
          <w:b/>
          <w:color w:val="auto"/>
          <w:szCs w:val="21"/>
          <w:lang w:val="en-US" w:eastAsia="zh-CN"/>
        </w:rPr>
        <w:t>下属单位）202</w:t>
      </w:r>
      <w:r>
        <w:rPr>
          <w:rFonts w:hint="eastAsia" w:ascii="宋体" w:hAnsi="宋体" w:cs="宋体"/>
          <w:b/>
          <w:color w:val="auto"/>
          <w:szCs w:val="21"/>
          <w:lang w:val="en-US" w:eastAsia="zh-CN"/>
        </w:rPr>
        <w:t>5</w:t>
      </w:r>
      <w:r>
        <w:rPr>
          <w:rFonts w:hint="eastAsia" w:ascii="宋体" w:hAnsi="宋体" w:eastAsia="宋体" w:cs="宋体"/>
          <w:b/>
          <w:color w:val="auto"/>
          <w:szCs w:val="21"/>
          <w:lang w:val="en-US" w:eastAsia="zh-CN"/>
        </w:rPr>
        <w:t>年职工疗休养采购项目</w:t>
      </w:r>
      <w:r>
        <w:rPr>
          <w:rFonts w:hint="eastAsia" w:ascii="宋体" w:hAnsi="宋体" w:cs="宋体"/>
          <w:b/>
          <w:bCs/>
          <w:szCs w:val="21"/>
        </w:rPr>
        <w:t>的</w:t>
      </w:r>
      <w:r>
        <w:rPr>
          <w:rFonts w:hint="eastAsia" w:ascii="宋体" w:hAnsi="宋体" w:cs="宋体"/>
          <w:b/>
          <w:bCs/>
          <w:color w:val="000000"/>
          <w:szCs w:val="21"/>
        </w:rPr>
        <w:t>评标。</w:t>
      </w:r>
    </w:p>
    <w:p w14:paraId="254798AF">
      <w:pPr>
        <w:spacing w:line="360" w:lineRule="auto"/>
        <w:rPr>
          <w:rFonts w:ascii="宋体" w:hAnsi="宋体"/>
          <w:b/>
          <w:color w:val="000000"/>
          <w:szCs w:val="21"/>
        </w:rPr>
      </w:pPr>
      <w:r>
        <w:rPr>
          <w:rFonts w:hint="eastAsia" w:ascii="宋体" w:hAnsi="宋体"/>
          <w:b/>
          <w:color w:val="000000"/>
          <w:szCs w:val="21"/>
        </w:rPr>
        <w:t>6.1总则</w:t>
      </w:r>
    </w:p>
    <w:p w14:paraId="2EF83015">
      <w:pPr>
        <w:spacing w:line="360" w:lineRule="auto"/>
        <w:ind w:firstLine="420" w:firstLineChars="200"/>
        <w:rPr>
          <w:rFonts w:ascii="宋体" w:hAnsi="宋体"/>
          <w:color w:val="000000"/>
          <w:szCs w:val="21"/>
        </w:rPr>
      </w:pPr>
      <w:r>
        <w:rPr>
          <w:rFonts w:hint="eastAsia" w:ascii="宋体" w:hAnsi="宋体"/>
          <w:color w:val="000000"/>
          <w:szCs w:val="21"/>
        </w:rPr>
        <w:t>本次评标采用综合评分法，总分为100分，其中分为商务资信及其他分、技术分</w:t>
      </w:r>
      <w:r>
        <w:rPr>
          <w:rFonts w:hint="eastAsia" w:ascii="宋体" w:hAnsi="宋体"/>
          <w:color w:val="000000"/>
          <w:szCs w:val="21"/>
          <w:lang w:val="en-US" w:eastAsia="zh-CN"/>
        </w:rPr>
        <w:t>及价格分三</w:t>
      </w:r>
      <w:r>
        <w:rPr>
          <w:rFonts w:hint="eastAsia" w:ascii="宋体" w:hAnsi="宋体"/>
          <w:color w:val="000000"/>
          <w:szCs w:val="21"/>
        </w:rPr>
        <w:t>部</w:t>
      </w:r>
      <w:r>
        <w:rPr>
          <w:rFonts w:hint="eastAsia" w:ascii="宋体" w:hAnsi="宋体"/>
          <w:color w:val="000000"/>
          <w:szCs w:val="21"/>
          <w:lang w:val="en-US" w:eastAsia="zh-CN"/>
        </w:rPr>
        <w:t>份</w:t>
      </w:r>
      <w:r>
        <w:rPr>
          <w:rFonts w:hint="eastAsia" w:ascii="宋体" w:hAnsi="宋体"/>
          <w:color w:val="000000"/>
          <w:szCs w:val="21"/>
        </w:rPr>
        <w:t>。合格磋商响应供应商的评标得分为各项目汇总得分，中标候选资格按评标得分由高到低顺序排列，得分相同的，按客观分得分由高到低顺序排列。排名第一的的磋商响应供应商为中标候选人。</w:t>
      </w:r>
      <w:r>
        <w:rPr>
          <w:rFonts w:hint="eastAsia" w:ascii="宋体" w:hAnsi="宋体"/>
          <w:bCs/>
          <w:color w:val="000000"/>
          <w:szCs w:val="21"/>
        </w:rPr>
        <w:t>评分过程中采用四舍五入法，并保留小数2位。</w:t>
      </w:r>
    </w:p>
    <w:p w14:paraId="6196E3AC">
      <w:pPr>
        <w:spacing w:line="360" w:lineRule="auto"/>
        <w:ind w:firstLine="420" w:firstLineChars="200"/>
        <w:rPr>
          <w:rFonts w:hint="eastAsia" w:ascii="宋体" w:hAnsi="宋体" w:eastAsia="宋体"/>
          <w:bCs/>
          <w:color w:val="000000"/>
          <w:szCs w:val="21"/>
          <w:lang w:val="en-US" w:eastAsia="zh-CN"/>
        </w:rPr>
      </w:pPr>
      <w:r>
        <w:rPr>
          <w:rFonts w:hint="eastAsia" w:ascii="宋体" w:hAnsi="宋体"/>
          <w:color w:val="000000"/>
          <w:szCs w:val="21"/>
        </w:rPr>
        <w:t>磋商响应供应商评标</w:t>
      </w:r>
      <w:r>
        <w:rPr>
          <w:rFonts w:hint="eastAsia" w:ascii="宋体" w:hAnsi="宋体"/>
          <w:bCs/>
          <w:color w:val="000000"/>
          <w:szCs w:val="21"/>
        </w:rPr>
        <w:t>综合得分=技术分+商务资信及其他分+</w:t>
      </w:r>
      <w:r>
        <w:rPr>
          <w:rFonts w:hint="eastAsia" w:ascii="宋体" w:hAnsi="宋体"/>
          <w:bCs/>
          <w:color w:val="000000"/>
          <w:szCs w:val="21"/>
          <w:lang w:val="en-US" w:eastAsia="zh-CN"/>
        </w:rPr>
        <w:t>价格分</w:t>
      </w:r>
    </w:p>
    <w:p w14:paraId="78FA4CFA">
      <w:pPr>
        <w:spacing w:line="360" w:lineRule="auto"/>
        <w:ind w:firstLine="420" w:firstLineChars="200"/>
        <w:rPr>
          <w:rFonts w:ascii="宋体" w:hAnsi="宋体"/>
          <w:bCs/>
          <w:color w:val="000000"/>
          <w:szCs w:val="21"/>
        </w:rPr>
      </w:pPr>
      <w:r>
        <w:rPr>
          <w:rFonts w:hint="eastAsia" w:ascii="宋体" w:hAnsi="宋体"/>
          <w:bCs/>
          <w:color w:val="000000"/>
          <w:szCs w:val="21"/>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6A9FFF7A">
      <w:pPr>
        <w:widowControl/>
        <w:spacing w:line="360" w:lineRule="auto"/>
        <w:ind w:firstLine="420" w:firstLineChars="200"/>
        <w:rPr>
          <w:rFonts w:ascii="宋体" w:hAnsi="宋体"/>
          <w:bCs/>
          <w:color w:val="000000"/>
          <w:szCs w:val="21"/>
        </w:rPr>
      </w:pPr>
      <w:r>
        <w:rPr>
          <w:rFonts w:hint="eastAsia" w:ascii="宋体" w:hAnsi="宋体"/>
          <w:bCs/>
          <w:color w:val="000000"/>
          <w:szCs w:val="21"/>
        </w:rPr>
        <w:t>二分之一以上的评委认为供应商报价明显高于市场平均价的将作为无效竞标处理。</w:t>
      </w:r>
    </w:p>
    <w:p w14:paraId="11F9AE21">
      <w:pPr>
        <w:spacing w:beforeLines="50" w:afterLines="50" w:line="400" w:lineRule="exact"/>
        <w:rPr>
          <w:rFonts w:ascii="宋体" w:hAnsi="宋体"/>
          <w:b/>
          <w:color w:val="000000"/>
          <w:szCs w:val="21"/>
        </w:rPr>
      </w:pPr>
      <w:r>
        <w:rPr>
          <w:rFonts w:hint="eastAsia" w:ascii="宋体" w:hAnsi="宋体"/>
          <w:b/>
          <w:color w:val="000000"/>
          <w:szCs w:val="21"/>
        </w:rPr>
        <w:t>6.2评标内容及标准</w:t>
      </w:r>
    </w:p>
    <w:tbl>
      <w:tblPr>
        <w:tblStyle w:val="62"/>
        <w:tblW w:w="10488"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26"/>
        <w:gridCol w:w="7823"/>
      </w:tblGrid>
      <w:tr w14:paraId="310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trPr>
        <w:tc>
          <w:tcPr>
            <w:tcW w:w="1239" w:type="dxa"/>
            <w:shd w:val="clear" w:color="auto" w:fill="B3B3B3"/>
            <w:noWrap w:val="0"/>
            <w:vAlign w:val="center"/>
          </w:tcPr>
          <w:p w14:paraId="17F8F357">
            <w:pPr>
              <w:autoSpaceDE w:val="0"/>
              <w:autoSpaceDN w:val="0"/>
              <w:adjustRightInd w:val="0"/>
              <w:spacing w:line="276" w:lineRule="auto"/>
              <w:jc w:val="center"/>
              <w:rPr>
                <w:rFonts w:hint="eastAsia" w:ascii="宋体" w:hAnsi="宋体" w:eastAsia="宋体" w:cs="宋体"/>
                <w:color w:val="auto"/>
                <w:kern w:val="0"/>
                <w:sz w:val="21"/>
                <w:szCs w:val="21"/>
              </w:rPr>
            </w:pPr>
            <w:r>
              <w:rPr>
                <w:rFonts w:hint="eastAsia" w:ascii="宋体" w:hAnsi="宋体"/>
                <w:b/>
                <w:bCs/>
                <w:color w:val="auto"/>
                <w:kern w:val="0"/>
                <w:sz w:val="21"/>
                <w:szCs w:val="21"/>
                <w:lang w:val="en-US" w:eastAsia="zh-CN" w:bidi="ar-SA"/>
              </w:rPr>
              <w:t>评分项目</w:t>
            </w:r>
          </w:p>
        </w:tc>
        <w:tc>
          <w:tcPr>
            <w:tcW w:w="1426" w:type="dxa"/>
            <w:shd w:val="clear" w:color="auto" w:fill="B3B3B3"/>
            <w:noWrap w:val="0"/>
            <w:vAlign w:val="center"/>
          </w:tcPr>
          <w:p w14:paraId="0603AF9E">
            <w:pPr>
              <w:autoSpaceDE w:val="0"/>
              <w:autoSpaceDN w:val="0"/>
              <w:adjustRightInd w:val="0"/>
              <w:spacing w:line="276" w:lineRule="auto"/>
              <w:jc w:val="center"/>
              <w:rPr>
                <w:rFonts w:hint="eastAsia" w:ascii="宋体" w:hAnsi="宋体" w:eastAsia="宋体" w:cs="宋体"/>
                <w:color w:val="auto"/>
                <w:kern w:val="0"/>
                <w:sz w:val="21"/>
                <w:szCs w:val="21"/>
              </w:rPr>
            </w:pPr>
            <w:r>
              <w:rPr>
                <w:rFonts w:hint="eastAsia" w:ascii="宋体" w:hAnsi="宋体"/>
                <w:b/>
                <w:bCs/>
                <w:color w:val="auto"/>
                <w:kern w:val="0"/>
                <w:sz w:val="21"/>
                <w:szCs w:val="21"/>
              </w:rPr>
              <w:t>分值</w:t>
            </w:r>
          </w:p>
        </w:tc>
        <w:tc>
          <w:tcPr>
            <w:tcW w:w="7823" w:type="dxa"/>
            <w:shd w:val="clear" w:color="auto" w:fill="B3B3B3"/>
            <w:noWrap w:val="0"/>
            <w:vAlign w:val="center"/>
          </w:tcPr>
          <w:p w14:paraId="7E0EFCC3">
            <w:pPr>
              <w:autoSpaceDE w:val="0"/>
              <w:autoSpaceDN w:val="0"/>
              <w:adjustRightInd w:val="0"/>
              <w:spacing w:line="276" w:lineRule="auto"/>
              <w:jc w:val="center"/>
              <w:rPr>
                <w:rFonts w:hint="eastAsia" w:ascii="宋体" w:hAnsi="宋体" w:eastAsia="宋体" w:cs="宋体"/>
                <w:color w:val="auto"/>
                <w:kern w:val="0"/>
                <w:sz w:val="21"/>
                <w:szCs w:val="21"/>
              </w:rPr>
            </w:pPr>
            <w:r>
              <w:rPr>
                <w:rFonts w:hint="eastAsia" w:ascii="宋体" w:hAnsi="宋体"/>
                <w:b/>
                <w:bCs/>
                <w:color w:val="auto"/>
                <w:kern w:val="0"/>
                <w:sz w:val="21"/>
                <w:szCs w:val="21"/>
              </w:rPr>
              <w:t>评分标准及细则</w:t>
            </w:r>
          </w:p>
        </w:tc>
      </w:tr>
      <w:tr w14:paraId="04D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2" w:hRule="atLeast"/>
        </w:trPr>
        <w:tc>
          <w:tcPr>
            <w:tcW w:w="1239" w:type="dxa"/>
            <w:noWrap w:val="0"/>
            <w:vAlign w:val="center"/>
          </w:tcPr>
          <w:p w14:paraId="162B53ED">
            <w:pPr>
              <w:numPr>
                <w:ilvl w:val="0"/>
                <w:numId w:val="0"/>
              </w:numPr>
              <w:spacing w:before="120" w:beforeLines="50" w:after="120" w:afterLines="50" w:line="240" w:lineRule="auto"/>
              <w:jc w:val="center"/>
              <w:rPr>
                <w:rFonts w:hint="eastAsia"/>
                <w:color w:val="auto"/>
                <w:sz w:val="21"/>
                <w:szCs w:val="21"/>
                <w:lang w:val="en-US" w:eastAsia="zh-CN"/>
              </w:rPr>
            </w:pPr>
            <w:r>
              <w:rPr>
                <w:rFonts w:hint="eastAsia"/>
                <w:color w:val="auto"/>
                <w:sz w:val="21"/>
                <w:szCs w:val="21"/>
                <w:lang w:val="en-US" w:eastAsia="zh-CN"/>
              </w:rPr>
              <w:t>价格分</w:t>
            </w:r>
          </w:p>
          <w:p w14:paraId="64F32523">
            <w:pPr>
              <w:numPr>
                <w:ilvl w:val="0"/>
                <w:numId w:val="0"/>
              </w:numPr>
              <w:spacing w:before="120" w:beforeLines="50" w:after="120" w:afterLines="50" w:line="240" w:lineRule="auto"/>
              <w:jc w:val="center"/>
              <w:rPr>
                <w:rFonts w:hint="default"/>
                <w:color w:val="auto"/>
                <w:sz w:val="21"/>
                <w:szCs w:val="21"/>
                <w:lang w:val="en-US" w:eastAsia="zh-CN"/>
              </w:rPr>
            </w:pPr>
            <w:r>
              <w:rPr>
                <w:rFonts w:hint="eastAsia"/>
                <w:color w:val="auto"/>
                <w:sz w:val="21"/>
                <w:szCs w:val="21"/>
                <w:lang w:val="en-US" w:eastAsia="zh-CN"/>
              </w:rPr>
              <w:t>10分</w:t>
            </w:r>
          </w:p>
        </w:tc>
        <w:tc>
          <w:tcPr>
            <w:tcW w:w="1426" w:type="dxa"/>
            <w:noWrap w:val="0"/>
            <w:vAlign w:val="center"/>
          </w:tcPr>
          <w:p w14:paraId="36952E7E">
            <w:pPr>
              <w:numPr>
                <w:ilvl w:val="0"/>
                <w:numId w:val="0"/>
              </w:numPr>
              <w:spacing w:before="120" w:beforeLines="50" w:after="120" w:afterLines="50" w:line="240" w:lineRule="auto"/>
              <w:jc w:val="center"/>
              <w:rPr>
                <w:rFonts w:hint="default"/>
                <w:color w:val="auto"/>
                <w:sz w:val="21"/>
                <w:szCs w:val="21"/>
                <w:lang w:val="en-US" w:eastAsia="zh-CN"/>
              </w:rPr>
            </w:pPr>
            <w:r>
              <w:rPr>
                <w:rFonts w:hint="eastAsia"/>
                <w:color w:val="auto"/>
                <w:sz w:val="21"/>
                <w:szCs w:val="21"/>
                <w:lang w:val="en-US" w:eastAsia="zh-CN"/>
              </w:rPr>
              <w:t>10分</w:t>
            </w:r>
          </w:p>
        </w:tc>
        <w:tc>
          <w:tcPr>
            <w:tcW w:w="7823" w:type="dxa"/>
            <w:noWrap w:val="0"/>
            <w:vAlign w:val="center"/>
          </w:tcPr>
          <w:p w14:paraId="3383080D">
            <w:pPr>
              <w:spacing w:beforeLines="50" w:afterLines="50" w:line="360" w:lineRule="auto"/>
              <w:ind w:firstLine="420" w:firstLineChars="200"/>
              <w:jc w:val="left"/>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val="en-US" w:eastAsia="zh-CN"/>
              </w:rPr>
              <w:t>报</w:t>
            </w:r>
            <w:r>
              <w:rPr>
                <w:rFonts w:hint="eastAsia" w:ascii="宋体" w:hAnsi="宋体" w:cs="Arial"/>
                <w:b/>
                <w:bCs/>
                <w:snapToGrid w:val="0"/>
                <w:color w:val="auto"/>
                <w:kern w:val="0"/>
                <w:sz w:val="21"/>
                <w:szCs w:val="21"/>
                <w:lang w:val="en-US" w:eastAsia="zh-CN"/>
              </w:rPr>
              <w:t>四川线</w:t>
            </w:r>
            <w:r>
              <w:rPr>
                <w:rFonts w:hint="eastAsia" w:ascii="宋体" w:hAnsi="宋体" w:cs="Arial"/>
                <w:snapToGrid w:val="0"/>
                <w:color w:val="auto"/>
                <w:kern w:val="0"/>
                <w:sz w:val="21"/>
                <w:szCs w:val="21"/>
                <w:lang w:val="en-US" w:eastAsia="zh-CN"/>
              </w:rPr>
              <w:t>价格：</w:t>
            </w:r>
            <w:r>
              <w:rPr>
                <w:rFonts w:hint="eastAsia" w:ascii="宋体" w:hAnsi="宋体" w:cs="Arial"/>
                <w:snapToGrid w:val="0"/>
                <w:color w:val="auto"/>
                <w:kern w:val="0"/>
                <w:sz w:val="21"/>
                <w:szCs w:val="21"/>
                <w:u w:val="single"/>
                <w:lang w:val="en-US" w:eastAsia="zh-CN"/>
              </w:rPr>
              <w:t xml:space="preserve">    </w:t>
            </w:r>
            <w:r>
              <w:rPr>
                <w:rFonts w:hint="eastAsia" w:ascii="宋体" w:hAnsi="宋体" w:cs="Arial"/>
                <w:snapToGrid w:val="0"/>
                <w:color w:val="auto"/>
                <w:kern w:val="0"/>
                <w:sz w:val="21"/>
                <w:szCs w:val="21"/>
              </w:rPr>
              <w:t>元/人</w:t>
            </w:r>
            <w:r>
              <w:rPr>
                <w:rFonts w:hint="eastAsia" w:ascii="宋体" w:hAnsi="宋体" w:cs="Arial"/>
                <w:snapToGrid w:val="0"/>
                <w:color w:val="auto"/>
                <w:kern w:val="0"/>
                <w:sz w:val="21"/>
                <w:szCs w:val="21"/>
                <w:lang w:eastAsia="zh-CN"/>
              </w:rPr>
              <w:t>。（注：</w:t>
            </w:r>
            <w:r>
              <w:rPr>
                <w:rFonts w:hint="eastAsia" w:ascii="宋体" w:hAnsi="宋体" w:cs="Arial"/>
                <w:snapToGrid w:val="0"/>
                <w:color w:val="auto"/>
                <w:kern w:val="0"/>
                <w:sz w:val="21"/>
                <w:szCs w:val="21"/>
                <w:lang w:val="en-US" w:eastAsia="zh-CN"/>
              </w:rPr>
              <w:t>1、</w:t>
            </w:r>
            <w:r>
              <w:rPr>
                <w:rFonts w:hint="eastAsia" w:ascii="宋体" w:hAnsi="宋体" w:cs="Arial"/>
                <w:snapToGrid w:val="0"/>
                <w:color w:val="auto"/>
                <w:kern w:val="0"/>
                <w:sz w:val="21"/>
                <w:szCs w:val="21"/>
                <w:lang w:eastAsia="zh-CN"/>
              </w:rPr>
              <w:t>该项价格为标准费用</w:t>
            </w:r>
            <w:r>
              <w:rPr>
                <w:rFonts w:hint="eastAsia" w:ascii="宋体" w:hAnsi="宋体" w:cs="Arial"/>
                <w:snapToGrid w:val="0"/>
                <w:color w:val="auto"/>
                <w:kern w:val="0"/>
                <w:sz w:val="21"/>
                <w:szCs w:val="21"/>
                <w:lang w:val="en-US" w:eastAsia="zh-CN"/>
              </w:rPr>
              <w:t>3000元/人+省外额外超出费用的合计金额，该单价成交后采购人不再另行支付其它费用。2、因出行时间暂不确定，竞标人应自行充分考虑服务期内任意出行时间的价格</w:t>
            </w:r>
            <w:r>
              <w:rPr>
                <w:rFonts w:hint="eastAsia" w:ascii="宋体" w:hAnsi="宋体" w:cs="Arial"/>
                <w:snapToGrid w:val="0"/>
                <w:color w:val="auto"/>
                <w:kern w:val="0"/>
                <w:sz w:val="21"/>
                <w:szCs w:val="21"/>
                <w:lang w:eastAsia="zh-CN"/>
              </w:rPr>
              <w:t>）。</w:t>
            </w:r>
          </w:p>
          <w:p w14:paraId="26E23882">
            <w:pPr>
              <w:numPr>
                <w:ilvl w:val="0"/>
                <w:numId w:val="0"/>
              </w:numPr>
              <w:spacing w:before="120" w:beforeLines="50" w:after="120" w:afterLines="50" w:line="360" w:lineRule="auto"/>
              <w:jc w:val="center"/>
              <w:rPr>
                <w:rFonts w:hint="eastAsia"/>
                <w:color w:val="auto"/>
                <w:sz w:val="21"/>
                <w:szCs w:val="21"/>
                <w:lang w:eastAsia="zh-CN"/>
              </w:rPr>
            </w:pPr>
            <w:r>
              <w:rPr>
                <w:rFonts w:hint="eastAsia" w:ascii="宋体" w:hAnsi="宋体" w:cs="Arial"/>
                <w:snapToGrid w:val="0"/>
                <w:color w:val="auto"/>
                <w:kern w:val="0"/>
                <w:sz w:val="21"/>
                <w:szCs w:val="21"/>
              </w:rPr>
              <w:t>满足磋商文件要求（实质性响应）且报价最低的为评标基准价，其价格分为满分。其他响应方的价格分统一按照下列公式计算：报价得分=（评标基准价/响应方</w:t>
            </w:r>
            <w:r>
              <w:rPr>
                <w:rFonts w:hint="eastAsia" w:ascii="宋体" w:hAnsi="宋体" w:cs="Arial"/>
                <w:snapToGrid w:val="0"/>
                <w:color w:val="auto"/>
                <w:kern w:val="0"/>
                <w:sz w:val="21"/>
                <w:szCs w:val="21"/>
                <w:lang w:eastAsia="zh-CN"/>
              </w:rPr>
              <w:t>最终</w:t>
            </w:r>
            <w:r>
              <w:rPr>
                <w:rFonts w:hint="eastAsia" w:ascii="宋体" w:hAnsi="宋体" w:cs="Arial"/>
                <w:snapToGrid w:val="0"/>
                <w:color w:val="auto"/>
                <w:kern w:val="0"/>
                <w:sz w:val="21"/>
                <w:szCs w:val="21"/>
              </w:rPr>
              <w:t>报价）*</w:t>
            </w:r>
            <w:r>
              <w:rPr>
                <w:rFonts w:hint="eastAsia" w:ascii="宋体" w:hAnsi="宋体" w:cs="Arial"/>
                <w:snapToGrid w:val="0"/>
                <w:color w:val="auto"/>
                <w:kern w:val="0"/>
                <w:sz w:val="21"/>
                <w:szCs w:val="21"/>
                <w:lang w:val="en-US" w:eastAsia="zh-CN"/>
              </w:rPr>
              <w:t>10</w:t>
            </w:r>
            <w:r>
              <w:rPr>
                <w:rFonts w:hint="eastAsia" w:ascii="宋体" w:hAnsi="宋体" w:cs="Arial"/>
                <w:snapToGrid w:val="0"/>
                <w:color w:val="auto"/>
                <w:kern w:val="0"/>
                <w:sz w:val="21"/>
                <w:szCs w:val="21"/>
              </w:rPr>
              <w:t>(百分点保留2位小数点，得分保留2位小数,第3位四舍五入,下同)。</w:t>
            </w:r>
          </w:p>
        </w:tc>
      </w:tr>
      <w:tr w14:paraId="4308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1239" w:type="dxa"/>
            <w:vMerge w:val="restart"/>
            <w:noWrap w:val="0"/>
            <w:vAlign w:val="center"/>
          </w:tcPr>
          <w:p w14:paraId="5D5027C0">
            <w:pPr>
              <w:spacing w:line="240" w:lineRule="auto"/>
              <w:jc w:val="center"/>
              <w:rPr>
                <w:rFonts w:hint="eastAsia" w:ascii="宋体" w:hAnsi="宋体" w:cs="Arial"/>
                <w:snapToGrid w:val="0"/>
                <w:color w:val="auto"/>
                <w:kern w:val="0"/>
                <w:sz w:val="21"/>
                <w:szCs w:val="21"/>
                <w:highlight w:val="none"/>
                <w:lang w:eastAsia="zh-CN"/>
              </w:rPr>
            </w:pPr>
            <w:r>
              <w:rPr>
                <w:rFonts w:hint="eastAsia" w:ascii="宋体" w:hAnsi="宋体" w:cs="Arial"/>
                <w:snapToGrid w:val="0"/>
                <w:color w:val="auto"/>
                <w:kern w:val="0"/>
                <w:sz w:val="21"/>
                <w:szCs w:val="21"/>
                <w:highlight w:val="none"/>
                <w:lang w:eastAsia="zh-CN"/>
              </w:rPr>
              <w:t>技术分</w:t>
            </w:r>
          </w:p>
          <w:p w14:paraId="6A171C5C">
            <w:pPr>
              <w:spacing w:line="240" w:lineRule="auto"/>
              <w:jc w:val="center"/>
              <w:rPr>
                <w:rFonts w:hint="eastAsia" w:ascii="宋体" w:hAnsi="宋体" w:cs="Arial"/>
                <w:snapToGrid w:val="0"/>
                <w:color w:val="auto"/>
                <w:kern w:val="0"/>
                <w:sz w:val="21"/>
                <w:szCs w:val="21"/>
                <w:highlight w:val="none"/>
                <w:lang w:val="en-US" w:eastAsia="zh-CN"/>
              </w:rPr>
            </w:pPr>
          </w:p>
          <w:p w14:paraId="330A2A39">
            <w:pPr>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lang w:val="en-US" w:eastAsia="zh-CN"/>
              </w:rPr>
              <w:t>80分</w:t>
            </w:r>
          </w:p>
        </w:tc>
        <w:tc>
          <w:tcPr>
            <w:tcW w:w="1426" w:type="dxa"/>
            <w:noWrap w:val="0"/>
            <w:vAlign w:val="center"/>
          </w:tcPr>
          <w:p w14:paraId="7447885B">
            <w:pPr>
              <w:spacing w:before="120" w:beforeLines="50" w:after="120" w:afterLines="50" w:line="360" w:lineRule="auto"/>
              <w:jc w:val="center"/>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rPr>
              <w:t>针对本项目提供的疗休养方案</w:t>
            </w:r>
          </w:p>
          <w:p w14:paraId="01EEBB61">
            <w:pPr>
              <w:spacing w:before="120" w:beforeLines="50" w:after="120" w:afterLines="50" w:line="360" w:lineRule="auto"/>
              <w:jc w:val="center"/>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lang w:val="en-US" w:eastAsia="zh-CN"/>
              </w:rPr>
              <w:t xml:space="preserve">43 </w:t>
            </w:r>
            <w:r>
              <w:rPr>
                <w:rFonts w:hint="eastAsia" w:ascii="宋体" w:hAnsi="宋体" w:cs="Arial"/>
                <w:snapToGrid w:val="0"/>
                <w:color w:val="auto"/>
                <w:kern w:val="0"/>
                <w:sz w:val="21"/>
                <w:szCs w:val="21"/>
                <w:highlight w:val="none"/>
              </w:rPr>
              <w:t>分</w:t>
            </w:r>
          </w:p>
        </w:tc>
        <w:tc>
          <w:tcPr>
            <w:tcW w:w="7823" w:type="dxa"/>
            <w:noWrap w:val="0"/>
            <w:vAlign w:val="center"/>
          </w:tcPr>
          <w:p w14:paraId="36E4D699">
            <w:pPr>
              <w:spacing w:before="120" w:beforeLines="50" w:after="120" w:afterLines="50" w:line="360" w:lineRule="auto"/>
              <w:jc w:val="left"/>
              <w:rPr>
                <w:rFonts w:hint="eastAsia" w:ascii="宋体" w:hAnsi="宋体" w:eastAsia="宋体" w:cs="Arial"/>
                <w:b/>
                <w:bCs/>
                <w:snapToGrid w:val="0"/>
                <w:color w:val="auto"/>
                <w:kern w:val="0"/>
                <w:sz w:val="21"/>
                <w:szCs w:val="21"/>
                <w:highlight w:val="none"/>
                <w:lang w:val="en-US" w:eastAsia="zh-CN"/>
              </w:rPr>
            </w:pPr>
            <w:r>
              <w:rPr>
                <w:rFonts w:hint="eastAsia" w:ascii="宋体" w:hAnsi="宋体" w:eastAsia="宋体" w:cs="Arial"/>
                <w:b/>
                <w:bCs/>
                <w:snapToGrid w:val="0"/>
                <w:color w:val="auto"/>
                <w:kern w:val="0"/>
                <w:sz w:val="21"/>
                <w:szCs w:val="21"/>
                <w:highlight w:val="none"/>
                <w:lang w:val="en-US" w:eastAsia="zh-CN"/>
              </w:rPr>
              <w:t>由供应商提供疗休养地点的详细疗休养介绍、行程和方案：</w:t>
            </w:r>
          </w:p>
          <w:p w14:paraId="7B6089DB">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省外</w:t>
            </w:r>
            <w:r>
              <w:rPr>
                <w:rFonts w:hint="eastAsia" w:ascii="宋体" w:hAnsi="宋体" w:cs="宋体"/>
                <w:b/>
                <w:bCs/>
                <w:color w:val="auto"/>
                <w:szCs w:val="21"/>
                <w:highlight w:val="none"/>
                <w:lang w:val="en-US" w:eastAsia="zh-CN"/>
              </w:rPr>
              <w:t>线</w:t>
            </w:r>
            <w:r>
              <w:rPr>
                <w:rFonts w:hint="eastAsia" w:ascii="宋体" w:hAnsi="宋体" w:cs="宋体"/>
                <w:b/>
                <w:bCs/>
                <w:color w:val="auto"/>
                <w:szCs w:val="21"/>
                <w:highlight w:val="none"/>
              </w:rPr>
              <w:t>：</w:t>
            </w:r>
          </w:p>
          <w:p w14:paraId="6BCD0ECF">
            <w:pPr>
              <w:spacing w:line="360" w:lineRule="auto"/>
              <w:ind w:firstLine="420" w:firstLineChars="200"/>
              <w:rPr>
                <w:rFonts w:hint="eastAsia" w:ascii="宋体" w:hAnsi="宋体" w:eastAsia="宋体" w:cs="Arial"/>
                <w:snapToGrid w:val="0"/>
                <w:color w:val="auto"/>
                <w:kern w:val="0"/>
                <w:sz w:val="21"/>
                <w:szCs w:val="21"/>
                <w:highlight w:val="none"/>
                <w:lang w:val="en-US" w:eastAsia="zh-CN"/>
              </w:rPr>
            </w:pPr>
            <w:r>
              <w:rPr>
                <w:rFonts w:hint="eastAsia" w:ascii="宋体" w:hAnsi="宋体" w:eastAsia="宋体" w:cs="Arial"/>
                <w:snapToGrid w:val="0"/>
                <w:color w:val="auto"/>
                <w:kern w:val="0"/>
                <w:sz w:val="21"/>
                <w:szCs w:val="21"/>
                <w:highlight w:val="none"/>
                <w:lang w:val="en-US" w:eastAsia="zh-CN"/>
              </w:rPr>
              <w:t>四川（成都、小金、丹巴、新都桥、康定）线：线路是否详细（3分，2分,1分,0分），景点安排是否合理（3分，2分,1分,0分），特色活动安排（3分，2分,1分,0分）；</w:t>
            </w:r>
          </w:p>
          <w:p w14:paraId="030369F7">
            <w:pPr>
              <w:pStyle w:val="24"/>
              <w:spacing w:line="360" w:lineRule="auto"/>
              <w:ind w:firstLine="420" w:firstLineChars="200"/>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安徽安庆、天柱山线：线路是否详细（3分，2分,1分,0分），景点安排是否合理（3分，2分,1分,0分），特色活动安排（3分，2分,1分,0分）；</w:t>
            </w:r>
          </w:p>
          <w:p w14:paraId="7085B04A">
            <w:pPr>
              <w:spacing w:before="120" w:beforeLines="50" w:after="120" w:afterLines="50" w:line="360" w:lineRule="auto"/>
              <w:jc w:val="left"/>
              <w:rPr>
                <w:rFonts w:hint="eastAsia" w:ascii="宋体" w:hAnsi="宋体" w:eastAsia="宋体" w:cs="Arial"/>
                <w:b/>
                <w:bCs/>
                <w:snapToGrid w:val="0"/>
                <w:color w:val="auto"/>
                <w:kern w:val="0"/>
                <w:sz w:val="21"/>
                <w:szCs w:val="21"/>
                <w:highlight w:val="none"/>
                <w:lang w:val="en-US" w:eastAsia="zh-CN"/>
              </w:rPr>
            </w:pPr>
            <w:r>
              <w:rPr>
                <w:rFonts w:hint="eastAsia" w:ascii="宋体" w:hAnsi="宋体" w:eastAsia="宋体" w:cs="Arial"/>
                <w:b/>
                <w:bCs/>
                <w:snapToGrid w:val="0"/>
                <w:color w:val="auto"/>
                <w:kern w:val="0"/>
                <w:sz w:val="21"/>
                <w:szCs w:val="21"/>
                <w:highlight w:val="none"/>
                <w:lang w:val="en-US" w:eastAsia="zh-CN"/>
              </w:rPr>
              <w:t>省</w:t>
            </w:r>
            <w:r>
              <w:rPr>
                <w:rFonts w:hint="eastAsia" w:ascii="宋体" w:hAnsi="宋体" w:cs="Arial"/>
                <w:b/>
                <w:bCs/>
                <w:snapToGrid w:val="0"/>
                <w:color w:val="auto"/>
                <w:kern w:val="0"/>
                <w:sz w:val="21"/>
                <w:szCs w:val="21"/>
                <w:highlight w:val="none"/>
                <w:lang w:val="en-US" w:eastAsia="zh-CN"/>
              </w:rPr>
              <w:t>内线</w:t>
            </w:r>
            <w:r>
              <w:rPr>
                <w:rFonts w:hint="eastAsia" w:ascii="宋体" w:hAnsi="宋体" w:eastAsia="宋体" w:cs="Arial"/>
                <w:b/>
                <w:bCs/>
                <w:snapToGrid w:val="0"/>
                <w:color w:val="auto"/>
                <w:kern w:val="0"/>
                <w:sz w:val="21"/>
                <w:szCs w:val="21"/>
                <w:highlight w:val="none"/>
                <w:lang w:val="en-US" w:eastAsia="zh-CN"/>
              </w:rPr>
              <w:t>：</w:t>
            </w:r>
          </w:p>
          <w:p w14:paraId="332950FB">
            <w:pPr>
              <w:spacing w:before="120" w:beforeLines="50" w:after="120" w:afterLines="50" w:line="360" w:lineRule="auto"/>
              <w:ind w:firstLine="420" w:firstLineChars="200"/>
              <w:jc w:val="left"/>
              <w:rPr>
                <w:rFonts w:hint="eastAsia" w:ascii="宋体" w:hAnsi="宋体" w:eastAsia="宋体" w:cs="Arial"/>
                <w:snapToGrid w:val="0"/>
                <w:color w:val="auto"/>
                <w:kern w:val="0"/>
                <w:sz w:val="21"/>
                <w:szCs w:val="21"/>
                <w:highlight w:val="none"/>
                <w:lang w:val="en-US" w:eastAsia="zh-CN"/>
              </w:rPr>
            </w:pPr>
            <w:r>
              <w:rPr>
                <w:rFonts w:hint="eastAsia" w:ascii="宋体" w:hAnsi="宋体" w:eastAsia="宋体" w:cs="Arial"/>
                <w:snapToGrid w:val="0"/>
                <w:color w:val="auto"/>
                <w:kern w:val="0"/>
                <w:sz w:val="21"/>
                <w:szCs w:val="21"/>
                <w:highlight w:val="none"/>
                <w:lang w:val="en-US" w:eastAsia="zh-CN"/>
              </w:rPr>
              <w:t>舟山、东极岛线：线路是否详细（3分，2分,1分,0分），景点安排是否合理（3分，2分,1分,0分），特色活动安排（3分，2分,1分,0分）；</w:t>
            </w:r>
          </w:p>
          <w:p w14:paraId="401293A6">
            <w:pPr>
              <w:pStyle w:val="24"/>
              <w:spacing w:line="360" w:lineRule="auto"/>
              <w:ind w:firstLine="420" w:firstLineChars="200"/>
              <w:rPr>
                <w:rFonts w:hint="default"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千岛湖线：线路是否详细（3分，2分,1分,0分），景点安排是否合理（3分，2分,1分,0分），特色活动安排（3分，2分,1分,0分）；</w:t>
            </w:r>
          </w:p>
          <w:p w14:paraId="0456156E">
            <w:pPr>
              <w:spacing w:before="120" w:beforeLines="50" w:after="120" w:afterLines="50" w:line="360" w:lineRule="auto"/>
              <w:jc w:val="left"/>
              <w:rPr>
                <w:rFonts w:hint="eastAsia" w:ascii="宋体" w:hAnsi="宋体" w:eastAsia="宋体" w:cs="Arial"/>
                <w:b/>
                <w:bCs/>
                <w:snapToGrid w:val="0"/>
                <w:color w:val="auto"/>
                <w:kern w:val="0"/>
                <w:sz w:val="21"/>
                <w:szCs w:val="21"/>
                <w:highlight w:val="none"/>
                <w:lang w:val="en-US" w:eastAsia="zh-CN"/>
              </w:rPr>
            </w:pPr>
            <w:r>
              <w:rPr>
                <w:rFonts w:hint="eastAsia" w:ascii="宋体" w:hAnsi="宋体" w:cs="Arial"/>
                <w:b/>
                <w:bCs/>
                <w:snapToGrid w:val="0"/>
                <w:color w:val="auto"/>
                <w:kern w:val="0"/>
                <w:sz w:val="21"/>
                <w:szCs w:val="21"/>
                <w:highlight w:val="none"/>
                <w:lang w:val="en-US" w:eastAsia="zh-CN"/>
              </w:rPr>
              <w:t>县内</w:t>
            </w:r>
            <w:r>
              <w:rPr>
                <w:rFonts w:hint="eastAsia" w:ascii="宋体" w:hAnsi="宋体" w:eastAsia="宋体" w:cs="Arial"/>
                <w:b/>
                <w:bCs/>
                <w:snapToGrid w:val="0"/>
                <w:color w:val="auto"/>
                <w:kern w:val="0"/>
                <w:sz w:val="21"/>
                <w:szCs w:val="21"/>
                <w:highlight w:val="none"/>
                <w:lang w:val="en-US" w:eastAsia="zh-CN"/>
              </w:rPr>
              <w:t>线：</w:t>
            </w:r>
          </w:p>
          <w:p w14:paraId="0365DC2A">
            <w:pPr>
              <w:spacing w:before="120" w:beforeLines="50" w:after="120" w:afterLines="50" w:line="360" w:lineRule="auto"/>
              <w:ind w:firstLine="420" w:firstLineChars="200"/>
              <w:jc w:val="left"/>
              <w:rPr>
                <w:rFonts w:hint="default" w:ascii="宋体" w:hAnsi="宋体" w:cs="Arial"/>
                <w:snapToGrid w:val="0"/>
                <w:color w:val="auto"/>
                <w:kern w:val="0"/>
                <w:sz w:val="21"/>
                <w:szCs w:val="21"/>
                <w:highlight w:val="none"/>
                <w:lang w:val="en-US" w:eastAsia="zh-CN"/>
              </w:rPr>
            </w:pPr>
            <w:r>
              <w:rPr>
                <w:rFonts w:hint="eastAsia" w:ascii="宋体" w:hAnsi="宋体" w:cs="Arial"/>
                <w:snapToGrid w:val="0"/>
                <w:color w:val="auto"/>
                <w:kern w:val="0"/>
                <w:sz w:val="21"/>
                <w:szCs w:val="21"/>
                <w:highlight w:val="none"/>
                <w:lang w:val="en-US" w:eastAsia="zh-CN"/>
              </w:rPr>
              <w:t>德清县周边民宿</w:t>
            </w:r>
            <w:r>
              <w:rPr>
                <w:rFonts w:hint="eastAsia" w:ascii="宋体" w:hAnsi="宋体" w:eastAsia="宋体" w:cs="Arial"/>
                <w:snapToGrid w:val="0"/>
                <w:color w:val="auto"/>
                <w:kern w:val="0"/>
                <w:sz w:val="21"/>
                <w:szCs w:val="21"/>
                <w:highlight w:val="none"/>
                <w:lang w:val="en-US" w:eastAsia="zh-CN"/>
              </w:rPr>
              <w:t>：线路是否详细（</w:t>
            </w:r>
            <w:r>
              <w:rPr>
                <w:rFonts w:hint="eastAsia" w:ascii="宋体" w:hAnsi="宋体" w:cs="Arial"/>
                <w:snapToGrid w:val="0"/>
                <w:color w:val="auto"/>
                <w:kern w:val="0"/>
                <w:sz w:val="21"/>
                <w:szCs w:val="21"/>
                <w:highlight w:val="none"/>
                <w:lang w:val="en-US" w:eastAsia="zh-CN"/>
              </w:rPr>
              <w:t>3分，</w:t>
            </w:r>
            <w:r>
              <w:rPr>
                <w:rFonts w:hint="eastAsia" w:ascii="宋体" w:hAnsi="宋体" w:eastAsia="宋体" w:cs="Arial"/>
                <w:snapToGrid w:val="0"/>
                <w:color w:val="auto"/>
                <w:kern w:val="0"/>
                <w:sz w:val="21"/>
                <w:szCs w:val="21"/>
                <w:highlight w:val="none"/>
                <w:lang w:val="en-US" w:eastAsia="zh-CN"/>
              </w:rPr>
              <w:t>2分,1分,0分），景点安排是否合理（2分,1分,0分），特色活动安排（2分,1分,0分）。</w:t>
            </w:r>
          </w:p>
        </w:tc>
      </w:tr>
      <w:tr w14:paraId="3962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239" w:type="dxa"/>
            <w:vMerge w:val="continue"/>
            <w:noWrap w:val="0"/>
            <w:vAlign w:val="center"/>
          </w:tcPr>
          <w:p w14:paraId="57158564">
            <w:pPr>
              <w:spacing w:line="240" w:lineRule="auto"/>
              <w:jc w:val="center"/>
              <w:rPr>
                <w:rFonts w:hint="eastAsia" w:ascii="宋体" w:hAnsi="宋体" w:eastAsia="宋体" w:cs="宋体"/>
                <w:snapToGrid w:val="0"/>
                <w:color w:val="auto"/>
                <w:kern w:val="0"/>
                <w:sz w:val="21"/>
                <w:szCs w:val="21"/>
                <w:highlight w:val="none"/>
              </w:rPr>
            </w:pPr>
          </w:p>
        </w:tc>
        <w:tc>
          <w:tcPr>
            <w:tcW w:w="1426" w:type="dxa"/>
            <w:noWrap w:val="0"/>
            <w:vAlign w:val="center"/>
          </w:tcPr>
          <w:p w14:paraId="6C56D950">
            <w:pPr>
              <w:numPr>
                <w:ilvl w:val="0"/>
                <w:numId w:val="0"/>
              </w:numPr>
              <w:spacing w:before="120" w:beforeLines="50" w:after="120" w:afterLines="50" w:line="360" w:lineRule="auto"/>
              <w:jc w:val="center"/>
              <w:rPr>
                <w:rFonts w:hint="eastAsia" w:ascii="宋体" w:hAnsi="宋体" w:cs="Arial"/>
                <w:snapToGrid w:val="0"/>
                <w:color w:val="auto"/>
                <w:kern w:val="0"/>
                <w:sz w:val="21"/>
                <w:szCs w:val="21"/>
                <w:highlight w:val="none"/>
                <w:lang w:eastAsia="zh-CN"/>
              </w:rPr>
            </w:pPr>
            <w:r>
              <w:rPr>
                <w:rFonts w:hint="eastAsia" w:ascii="宋体" w:hAnsi="宋体" w:cs="Arial"/>
                <w:snapToGrid w:val="0"/>
                <w:color w:val="auto"/>
                <w:kern w:val="0"/>
                <w:sz w:val="21"/>
                <w:szCs w:val="21"/>
                <w:highlight w:val="none"/>
                <w:lang w:eastAsia="zh-CN"/>
              </w:rPr>
              <w:t>意外保险</w:t>
            </w:r>
          </w:p>
          <w:p w14:paraId="6B544BFB">
            <w:pPr>
              <w:numPr>
                <w:ilvl w:val="0"/>
                <w:numId w:val="0"/>
              </w:numPr>
              <w:spacing w:before="120" w:beforeLines="50" w:after="120" w:afterLines="50" w:line="360" w:lineRule="auto"/>
              <w:ind w:left="0" w:leftChars="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lang w:eastAsia="zh-CN"/>
              </w:rPr>
              <w:t>额度</w:t>
            </w:r>
            <w:r>
              <w:rPr>
                <w:rFonts w:hint="eastAsia" w:ascii="宋体" w:hAnsi="宋体" w:cs="Arial"/>
                <w:snapToGrid w:val="0"/>
                <w:color w:val="auto"/>
                <w:kern w:val="0"/>
                <w:sz w:val="21"/>
                <w:szCs w:val="21"/>
                <w:highlight w:val="none"/>
                <w:lang w:val="en-US" w:eastAsia="zh-CN"/>
              </w:rPr>
              <w:t>2</w:t>
            </w:r>
            <w:r>
              <w:rPr>
                <w:rFonts w:hint="eastAsia" w:ascii="宋体" w:hAnsi="宋体" w:cs="Arial"/>
                <w:snapToGrid w:val="0"/>
                <w:color w:val="auto"/>
                <w:kern w:val="0"/>
                <w:sz w:val="21"/>
                <w:szCs w:val="21"/>
                <w:highlight w:val="none"/>
                <w:lang w:eastAsia="zh-CN"/>
              </w:rPr>
              <w:t>分</w:t>
            </w:r>
          </w:p>
        </w:tc>
        <w:tc>
          <w:tcPr>
            <w:tcW w:w="7823" w:type="dxa"/>
            <w:noWrap w:val="0"/>
            <w:vAlign w:val="center"/>
          </w:tcPr>
          <w:p w14:paraId="43219DAC">
            <w:pPr>
              <w:spacing w:before="120" w:beforeLines="50" w:after="120" w:afterLines="5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rPr>
              <w:t xml:space="preserve">由磋商小组对磋商响应方提供的个人旅游人身意外险的额度进行打分，意外保险额最低额度100万，每超过 5 万得 </w:t>
            </w:r>
            <w:r>
              <w:rPr>
                <w:rFonts w:hint="eastAsia" w:ascii="宋体" w:hAnsi="宋体" w:cs="Arial"/>
                <w:snapToGrid w:val="0"/>
                <w:color w:val="auto"/>
                <w:kern w:val="0"/>
                <w:sz w:val="21"/>
                <w:szCs w:val="21"/>
                <w:highlight w:val="none"/>
                <w:lang w:val="en-US" w:eastAsia="zh-CN"/>
              </w:rPr>
              <w:t>1</w:t>
            </w:r>
            <w:r>
              <w:rPr>
                <w:rFonts w:hint="eastAsia" w:ascii="宋体" w:hAnsi="宋体" w:cs="Arial"/>
                <w:snapToGrid w:val="0"/>
                <w:color w:val="auto"/>
                <w:kern w:val="0"/>
                <w:sz w:val="21"/>
                <w:szCs w:val="21"/>
                <w:highlight w:val="none"/>
              </w:rPr>
              <w:t xml:space="preserve">分，最高得 </w:t>
            </w:r>
            <w:r>
              <w:rPr>
                <w:rFonts w:hint="eastAsia" w:ascii="宋体" w:hAnsi="宋体" w:cs="Arial"/>
                <w:snapToGrid w:val="0"/>
                <w:color w:val="auto"/>
                <w:kern w:val="0"/>
                <w:sz w:val="21"/>
                <w:szCs w:val="21"/>
                <w:highlight w:val="none"/>
                <w:lang w:val="en-US" w:eastAsia="zh-CN"/>
              </w:rPr>
              <w:t>2</w:t>
            </w:r>
            <w:r>
              <w:rPr>
                <w:rFonts w:hint="eastAsia" w:ascii="宋体" w:hAnsi="宋体" w:cs="Arial"/>
                <w:snapToGrid w:val="0"/>
                <w:color w:val="auto"/>
                <w:kern w:val="0"/>
                <w:sz w:val="21"/>
                <w:szCs w:val="21"/>
                <w:highlight w:val="none"/>
              </w:rPr>
              <w:t xml:space="preserve"> 分。提供保单等相关证明材料。</w:t>
            </w:r>
          </w:p>
        </w:tc>
      </w:tr>
      <w:tr w14:paraId="1E9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39" w:type="dxa"/>
            <w:vMerge w:val="continue"/>
            <w:noWrap w:val="0"/>
            <w:vAlign w:val="center"/>
          </w:tcPr>
          <w:p w14:paraId="5A73DDD1">
            <w:pPr>
              <w:spacing w:line="240" w:lineRule="auto"/>
              <w:jc w:val="center"/>
              <w:rPr>
                <w:rFonts w:hint="eastAsia" w:ascii="宋体" w:hAnsi="宋体" w:eastAsia="宋体" w:cs="宋体"/>
                <w:snapToGrid w:val="0"/>
                <w:color w:val="auto"/>
                <w:kern w:val="0"/>
                <w:sz w:val="21"/>
                <w:szCs w:val="21"/>
              </w:rPr>
            </w:pPr>
          </w:p>
        </w:tc>
        <w:tc>
          <w:tcPr>
            <w:tcW w:w="1426" w:type="dxa"/>
            <w:noWrap w:val="0"/>
            <w:vAlign w:val="center"/>
          </w:tcPr>
          <w:p w14:paraId="1A0D7259">
            <w:pPr>
              <w:numPr>
                <w:ilvl w:val="0"/>
                <w:numId w:val="0"/>
              </w:numPr>
              <w:spacing w:before="120" w:beforeLines="50" w:after="120" w:afterLines="50" w:line="360" w:lineRule="auto"/>
              <w:ind w:left="0" w:leftChars="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lang w:eastAsia="zh-CN"/>
              </w:rPr>
              <w:t>针对本项目提供的住宿情况</w:t>
            </w:r>
            <w:r>
              <w:rPr>
                <w:rFonts w:hint="eastAsia" w:ascii="宋体" w:hAnsi="宋体" w:cs="Arial"/>
                <w:snapToGrid w:val="0"/>
                <w:color w:val="auto"/>
                <w:kern w:val="0"/>
                <w:sz w:val="21"/>
                <w:szCs w:val="21"/>
                <w:highlight w:val="none"/>
                <w:lang w:val="en-US" w:eastAsia="zh-CN"/>
              </w:rPr>
              <w:t>15</w:t>
            </w:r>
            <w:r>
              <w:rPr>
                <w:rFonts w:hint="eastAsia" w:ascii="宋体" w:hAnsi="宋体" w:cs="Arial"/>
                <w:snapToGrid w:val="0"/>
                <w:color w:val="auto"/>
                <w:kern w:val="0"/>
                <w:sz w:val="21"/>
                <w:szCs w:val="21"/>
                <w:highlight w:val="none"/>
                <w:lang w:eastAsia="zh-CN"/>
              </w:rPr>
              <w:t>分</w:t>
            </w:r>
          </w:p>
        </w:tc>
        <w:tc>
          <w:tcPr>
            <w:tcW w:w="7823" w:type="dxa"/>
            <w:noWrap w:val="0"/>
            <w:vAlign w:val="center"/>
          </w:tcPr>
          <w:p w14:paraId="3C07AFD9">
            <w:pPr>
              <w:numPr>
                <w:ilvl w:val="0"/>
                <w:numId w:val="0"/>
              </w:numPr>
              <w:spacing w:before="120" w:beforeLines="50" w:after="120" w:afterLines="50" w:line="240" w:lineRule="auto"/>
              <w:ind w:left="0" w:leftChars="0" w:firstLine="0" w:firstLineChars="0"/>
              <w:jc w:val="left"/>
              <w:rPr>
                <w:rFonts w:hint="eastAsia" w:ascii="宋体" w:hAnsi="宋体" w:eastAsia="宋体" w:cs="Arial"/>
                <w:b/>
                <w:bCs/>
                <w:snapToGrid w:val="0"/>
                <w:color w:val="auto"/>
                <w:kern w:val="0"/>
                <w:sz w:val="21"/>
                <w:szCs w:val="21"/>
                <w:highlight w:val="none"/>
                <w:lang w:eastAsia="zh-CN"/>
              </w:rPr>
            </w:pPr>
            <w:r>
              <w:rPr>
                <w:rFonts w:hint="eastAsia" w:ascii="宋体" w:hAnsi="宋体" w:eastAsia="宋体" w:cs="Arial"/>
                <w:b/>
                <w:bCs/>
                <w:snapToGrid w:val="0"/>
                <w:color w:val="auto"/>
                <w:kern w:val="0"/>
                <w:sz w:val="21"/>
                <w:szCs w:val="21"/>
                <w:highlight w:val="none"/>
                <w:lang w:eastAsia="zh-CN"/>
              </w:rPr>
              <w:t>由磋商小组根据响应方提供的住宿情况进行打分，</w:t>
            </w:r>
            <w:r>
              <w:rPr>
                <w:rFonts w:hint="eastAsia" w:ascii="宋体" w:hAnsi="宋体" w:eastAsia="宋体" w:cs="Arial"/>
                <w:b/>
                <w:bCs/>
                <w:snapToGrid w:val="0"/>
                <w:color w:val="auto"/>
                <w:kern w:val="0"/>
                <w:sz w:val="21"/>
                <w:szCs w:val="21"/>
                <w:highlight w:val="none"/>
                <w:lang w:val="en-US" w:eastAsia="zh-CN"/>
              </w:rPr>
              <w:t>按照（3分，2分，1分，0分）进行评分，总分</w:t>
            </w:r>
            <w:r>
              <w:rPr>
                <w:rFonts w:hint="eastAsia" w:ascii="宋体" w:hAnsi="宋体" w:cs="Arial"/>
                <w:b/>
                <w:bCs/>
                <w:snapToGrid w:val="0"/>
                <w:color w:val="auto"/>
                <w:kern w:val="0"/>
                <w:sz w:val="21"/>
                <w:szCs w:val="21"/>
                <w:highlight w:val="none"/>
                <w:lang w:val="en-US" w:eastAsia="zh-CN"/>
              </w:rPr>
              <w:t>15</w:t>
            </w:r>
            <w:r>
              <w:rPr>
                <w:rFonts w:hint="eastAsia" w:ascii="宋体" w:hAnsi="宋体" w:eastAsia="宋体" w:cs="Arial"/>
                <w:b/>
                <w:bCs/>
                <w:snapToGrid w:val="0"/>
                <w:color w:val="auto"/>
                <w:kern w:val="0"/>
                <w:sz w:val="21"/>
                <w:szCs w:val="21"/>
                <w:highlight w:val="none"/>
                <w:lang w:val="en-US" w:eastAsia="zh-CN"/>
              </w:rPr>
              <w:t>分</w:t>
            </w:r>
            <w:r>
              <w:rPr>
                <w:rFonts w:hint="eastAsia" w:ascii="宋体" w:hAnsi="宋体" w:eastAsia="宋体" w:cs="Arial"/>
                <w:b/>
                <w:bCs/>
                <w:snapToGrid w:val="0"/>
                <w:color w:val="auto"/>
                <w:kern w:val="0"/>
                <w:sz w:val="21"/>
                <w:szCs w:val="21"/>
                <w:highlight w:val="none"/>
                <w:lang w:eastAsia="zh-CN"/>
              </w:rPr>
              <w:t>：</w:t>
            </w:r>
          </w:p>
          <w:p w14:paraId="50E9FA59">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val="en-US" w:eastAsia="zh-CN"/>
              </w:rPr>
            </w:pPr>
            <w:r>
              <w:rPr>
                <w:rFonts w:hint="eastAsia" w:ascii="宋体" w:hAnsi="宋体" w:eastAsia="宋体" w:cs="Arial"/>
                <w:snapToGrid w:val="0"/>
                <w:color w:val="auto"/>
                <w:kern w:val="0"/>
                <w:sz w:val="21"/>
                <w:szCs w:val="21"/>
                <w:highlight w:val="none"/>
                <w:lang w:val="en-US" w:eastAsia="zh-CN"/>
              </w:rPr>
              <w:t>1、</w:t>
            </w:r>
            <w:r>
              <w:rPr>
                <w:rFonts w:hint="eastAsia" w:ascii="宋体" w:hAnsi="宋体" w:eastAsia="宋体" w:cs="Arial"/>
                <w:snapToGrid w:val="0"/>
                <w:color w:val="auto"/>
                <w:kern w:val="0"/>
                <w:sz w:val="21"/>
                <w:szCs w:val="21"/>
                <w:highlight w:val="none"/>
                <w:lang w:eastAsia="zh-CN"/>
              </w:rPr>
              <w:t>酒店星级（精品民宿或度假村）标准；</w:t>
            </w:r>
          </w:p>
          <w:p w14:paraId="5E9BD1C5">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val="en-US" w:eastAsia="zh-CN"/>
              </w:rPr>
              <w:t>2、</w:t>
            </w:r>
            <w:r>
              <w:rPr>
                <w:rFonts w:hint="eastAsia" w:ascii="宋体" w:hAnsi="宋体" w:eastAsia="宋体" w:cs="Arial"/>
                <w:snapToGrid w:val="0"/>
                <w:color w:val="auto"/>
                <w:kern w:val="0"/>
                <w:sz w:val="21"/>
                <w:szCs w:val="21"/>
                <w:highlight w:val="none"/>
                <w:lang w:eastAsia="zh-CN"/>
              </w:rPr>
              <w:t>酒店舒适度；</w:t>
            </w:r>
          </w:p>
          <w:p w14:paraId="79785649">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val="en-US" w:eastAsia="zh-CN"/>
              </w:rPr>
              <w:t>3、</w:t>
            </w:r>
            <w:r>
              <w:rPr>
                <w:rFonts w:hint="eastAsia" w:ascii="宋体" w:hAnsi="宋体" w:eastAsia="宋体" w:cs="Arial"/>
                <w:snapToGrid w:val="0"/>
                <w:color w:val="auto"/>
                <w:kern w:val="0"/>
                <w:sz w:val="21"/>
                <w:szCs w:val="21"/>
                <w:highlight w:val="none"/>
                <w:lang w:eastAsia="zh-CN"/>
              </w:rPr>
              <w:t>房间大小、朝向、服务设施齐全等；</w:t>
            </w:r>
          </w:p>
          <w:p w14:paraId="6BE7DDC2">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val="en-US" w:eastAsia="zh-CN"/>
              </w:rPr>
              <w:t>4、</w:t>
            </w:r>
            <w:r>
              <w:rPr>
                <w:rFonts w:hint="eastAsia" w:ascii="宋体" w:hAnsi="宋体" w:eastAsia="宋体" w:cs="Arial"/>
                <w:snapToGrid w:val="0"/>
                <w:color w:val="auto"/>
                <w:kern w:val="0"/>
                <w:sz w:val="21"/>
                <w:szCs w:val="21"/>
                <w:highlight w:val="none"/>
                <w:lang w:eastAsia="zh-CN"/>
              </w:rPr>
              <w:t>交通条件便利；</w:t>
            </w:r>
          </w:p>
          <w:p w14:paraId="2581A678">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val="en-US" w:eastAsia="zh-CN"/>
              </w:rPr>
              <w:t>5、</w:t>
            </w:r>
            <w:r>
              <w:rPr>
                <w:rFonts w:hint="eastAsia" w:ascii="宋体" w:hAnsi="宋体" w:eastAsia="宋体" w:cs="Arial"/>
                <w:snapToGrid w:val="0"/>
                <w:color w:val="auto"/>
                <w:kern w:val="0"/>
                <w:sz w:val="21"/>
                <w:szCs w:val="21"/>
                <w:highlight w:val="none"/>
                <w:lang w:eastAsia="zh-CN"/>
              </w:rPr>
              <w:t>周边环境情况。</w:t>
            </w:r>
          </w:p>
          <w:p w14:paraId="040EBFCC">
            <w:pPr>
              <w:numPr>
                <w:ilvl w:val="0"/>
                <w:numId w:val="0"/>
              </w:numPr>
              <w:spacing w:before="120" w:beforeLines="50" w:after="120" w:afterLines="50" w:line="240" w:lineRule="auto"/>
              <w:ind w:left="0" w:leftChars="0" w:firstLine="0" w:firstLineChars="0"/>
              <w:jc w:val="left"/>
              <w:rPr>
                <w:rFonts w:hint="default" w:ascii="宋体" w:hAnsi="宋体" w:cs="Arial"/>
                <w:snapToGrid w:val="0"/>
                <w:color w:val="auto"/>
                <w:kern w:val="0"/>
                <w:sz w:val="21"/>
                <w:szCs w:val="21"/>
                <w:highlight w:val="none"/>
                <w:lang w:val="en-US" w:eastAsia="zh-CN"/>
              </w:rPr>
            </w:pPr>
            <w:r>
              <w:rPr>
                <w:rFonts w:hint="eastAsia" w:ascii="宋体" w:hAnsi="宋体" w:eastAsia="宋体" w:cs="Arial"/>
                <w:snapToGrid w:val="0"/>
                <w:color w:val="auto"/>
                <w:kern w:val="0"/>
                <w:sz w:val="21"/>
                <w:szCs w:val="21"/>
                <w:highlight w:val="none"/>
                <w:lang w:eastAsia="zh-CN"/>
              </w:rPr>
              <w:t>注：可提供相关酒店名称、星级标准等证明，周边环境介绍等。</w:t>
            </w:r>
          </w:p>
        </w:tc>
      </w:tr>
      <w:tr w14:paraId="4BEB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239" w:type="dxa"/>
            <w:vMerge w:val="continue"/>
            <w:noWrap w:val="0"/>
            <w:vAlign w:val="center"/>
          </w:tcPr>
          <w:p w14:paraId="6A19996A">
            <w:pPr>
              <w:spacing w:line="240" w:lineRule="auto"/>
              <w:jc w:val="center"/>
              <w:rPr>
                <w:rFonts w:hint="eastAsia" w:ascii="宋体" w:hAnsi="宋体" w:eastAsia="宋体" w:cs="宋体"/>
                <w:snapToGrid w:val="0"/>
                <w:color w:val="auto"/>
                <w:kern w:val="0"/>
                <w:sz w:val="21"/>
                <w:szCs w:val="21"/>
              </w:rPr>
            </w:pPr>
          </w:p>
        </w:tc>
        <w:tc>
          <w:tcPr>
            <w:tcW w:w="1426" w:type="dxa"/>
            <w:noWrap w:val="0"/>
            <w:vAlign w:val="center"/>
          </w:tcPr>
          <w:p w14:paraId="76544713">
            <w:pPr>
              <w:numPr>
                <w:ilvl w:val="0"/>
                <w:numId w:val="0"/>
              </w:numPr>
              <w:spacing w:before="120" w:beforeLines="50" w:after="120" w:afterLines="50" w:line="360" w:lineRule="auto"/>
              <w:ind w:left="0" w:leftChars="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cs="Arial"/>
                <w:snapToGrid w:val="0"/>
                <w:color w:val="auto"/>
                <w:kern w:val="0"/>
                <w:sz w:val="21"/>
                <w:szCs w:val="21"/>
                <w:highlight w:val="none"/>
                <w:lang w:eastAsia="zh-CN"/>
              </w:rPr>
              <w:t>针对本项目提供的餐饮情况</w:t>
            </w:r>
            <w:r>
              <w:rPr>
                <w:rFonts w:hint="eastAsia" w:ascii="宋体" w:hAnsi="宋体" w:cs="Arial"/>
                <w:snapToGrid w:val="0"/>
                <w:color w:val="auto"/>
                <w:kern w:val="0"/>
                <w:sz w:val="21"/>
                <w:szCs w:val="21"/>
                <w:highlight w:val="none"/>
                <w:lang w:val="en-US" w:eastAsia="zh-CN"/>
              </w:rPr>
              <w:t>8</w:t>
            </w:r>
            <w:r>
              <w:rPr>
                <w:rFonts w:hint="eastAsia" w:ascii="宋体" w:hAnsi="宋体" w:cs="Arial"/>
                <w:snapToGrid w:val="0"/>
                <w:color w:val="auto"/>
                <w:kern w:val="0"/>
                <w:sz w:val="21"/>
                <w:szCs w:val="21"/>
                <w:highlight w:val="none"/>
                <w:lang w:eastAsia="zh-CN"/>
              </w:rPr>
              <w:t>分</w:t>
            </w:r>
          </w:p>
        </w:tc>
        <w:tc>
          <w:tcPr>
            <w:tcW w:w="7823" w:type="dxa"/>
            <w:noWrap w:val="0"/>
            <w:vAlign w:val="center"/>
          </w:tcPr>
          <w:p w14:paraId="73C6E9A1">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eastAsia="zh-CN"/>
              </w:rPr>
              <w:t>1、针对本项目提供的餐饮标准：提供用餐标准为每人</w:t>
            </w:r>
            <w:r>
              <w:rPr>
                <w:rFonts w:hint="eastAsia" w:ascii="宋体" w:hAnsi="宋体" w:eastAsia="宋体" w:cs="Arial"/>
                <w:snapToGrid w:val="0"/>
                <w:color w:val="auto"/>
                <w:kern w:val="0"/>
                <w:sz w:val="21"/>
                <w:szCs w:val="21"/>
                <w:highlight w:val="none"/>
                <w:lang w:val="en-US" w:eastAsia="zh-CN"/>
              </w:rPr>
              <w:t>1</w:t>
            </w:r>
            <w:r>
              <w:rPr>
                <w:rFonts w:hint="eastAsia" w:ascii="宋体" w:hAnsi="宋体" w:cs="Arial"/>
                <w:snapToGrid w:val="0"/>
                <w:color w:val="auto"/>
                <w:kern w:val="0"/>
                <w:sz w:val="21"/>
                <w:szCs w:val="21"/>
                <w:highlight w:val="none"/>
                <w:lang w:val="en-US" w:eastAsia="zh-CN"/>
              </w:rPr>
              <w:t>8</w:t>
            </w:r>
            <w:r>
              <w:rPr>
                <w:rFonts w:hint="eastAsia" w:ascii="宋体" w:hAnsi="宋体" w:eastAsia="宋体" w:cs="Arial"/>
                <w:snapToGrid w:val="0"/>
                <w:color w:val="auto"/>
                <w:kern w:val="0"/>
                <w:sz w:val="21"/>
                <w:szCs w:val="21"/>
                <w:highlight w:val="none"/>
                <w:lang w:val="en-US" w:eastAsia="zh-CN"/>
              </w:rPr>
              <w:t>0</w:t>
            </w:r>
            <w:r>
              <w:rPr>
                <w:rFonts w:hint="eastAsia" w:ascii="宋体" w:hAnsi="宋体" w:eastAsia="宋体" w:cs="Arial"/>
                <w:snapToGrid w:val="0"/>
                <w:color w:val="auto"/>
                <w:kern w:val="0"/>
                <w:sz w:val="21"/>
                <w:szCs w:val="21"/>
                <w:highlight w:val="none"/>
                <w:lang w:eastAsia="zh-CN"/>
              </w:rPr>
              <w:t>元/</w:t>
            </w:r>
            <w:r>
              <w:rPr>
                <w:rFonts w:hint="eastAsia" w:ascii="宋体" w:hAnsi="宋体" w:eastAsia="宋体" w:cs="Arial"/>
                <w:snapToGrid w:val="0"/>
                <w:color w:val="auto"/>
                <w:kern w:val="0"/>
                <w:sz w:val="21"/>
                <w:szCs w:val="21"/>
                <w:highlight w:val="none"/>
                <w:lang w:val="en-US" w:eastAsia="zh-CN"/>
              </w:rPr>
              <w:t>天</w:t>
            </w:r>
            <w:r>
              <w:rPr>
                <w:rFonts w:hint="eastAsia" w:ascii="宋体" w:hAnsi="宋体" w:eastAsia="宋体" w:cs="Arial"/>
                <w:snapToGrid w:val="0"/>
                <w:color w:val="auto"/>
                <w:kern w:val="0"/>
                <w:sz w:val="21"/>
                <w:szCs w:val="21"/>
                <w:highlight w:val="none"/>
                <w:lang w:eastAsia="zh-CN"/>
              </w:rPr>
              <w:t>，在此基础上每人</w:t>
            </w:r>
            <w:r>
              <w:rPr>
                <w:rFonts w:hint="eastAsia" w:ascii="宋体" w:hAnsi="宋体" w:eastAsia="宋体" w:cs="Arial"/>
                <w:snapToGrid w:val="0"/>
                <w:color w:val="auto"/>
                <w:kern w:val="0"/>
                <w:sz w:val="21"/>
                <w:szCs w:val="21"/>
                <w:highlight w:val="none"/>
                <w:lang w:val="en-US" w:eastAsia="zh-CN"/>
              </w:rPr>
              <w:t>增加10</w:t>
            </w:r>
            <w:r>
              <w:rPr>
                <w:rFonts w:hint="eastAsia" w:ascii="宋体" w:hAnsi="宋体" w:eastAsia="宋体" w:cs="Arial"/>
                <w:snapToGrid w:val="0"/>
                <w:color w:val="auto"/>
                <w:kern w:val="0"/>
                <w:sz w:val="21"/>
                <w:szCs w:val="21"/>
                <w:highlight w:val="none"/>
                <w:lang w:eastAsia="zh-CN"/>
              </w:rPr>
              <w:t>元</w:t>
            </w:r>
            <w:r>
              <w:rPr>
                <w:rFonts w:hint="eastAsia" w:ascii="宋体" w:hAnsi="宋体" w:eastAsia="宋体" w:cs="Arial"/>
                <w:snapToGrid w:val="0"/>
                <w:color w:val="auto"/>
                <w:kern w:val="0"/>
                <w:sz w:val="21"/>
                <w:szCs w:val="21"/>
                <w:highlight w:val="none"/>
                <w:lang w:val="en-US" w:eastAsia="zh-CN"/>
              </w:rPr>
              <w:t>/天</w:t>
            </w:r>
            <w:r>
              <w:rPr>
                <w:rFonts w:hint="eastAsia" w:ascii="宋体" w:hAnsi="宋体" w:eastAsia="宋体" w:cs="Arial"/>
                <w:snapToGrid w:val="0"/>
                <w:color w:val="auto"/>
                <w:kern w:val="0"/>
                <w:sz w:val="21"/>
                <w:szCs w:val="21"/>
                <w:highlight w:val="none"/>
                <w:lang w:eastAsia="zh-CN"/>
              </w:rPr>
              <w:t>，</w:t>
            </w:r>
            <w:r>
              <w:rPr>
                <w:rFonts w:hint="eastAsia" w:ascii="宋体" w:hAnsi="宋体" w:eastAsia="宋体" w:cs="Arial"/>
                <w:snapToGrid w:val="0"/>
                <w:color w:val="auto"/>
                <w:kern w:val="0"/>
                <w:sz w:val="21"/>
                <w:szCs w:val="21"/>
                <w:highlight w:val="none"/>
                <w:lang w:val="en-US" w:eastAsia="zh-CN"/>
              </w:rPr>
              <w:t>得</w:t>
            </w:r>
            <w:r>
              <w:rPr>
                <w:rFonts w:hint="eastAsia" w:ascii="宋体" w:hAnsi="宋体" w:eastAsia="宋体" w:cs="Arial"/>
                <w:snapToGrid w:val="0"/>
                <w:color w:val="auto"/>
                <w:kern w:val="0"/>
                <w:sz w:val="21"/>
                <w:szCs w:val="21"/>
                <w:highlight w:val="none"/>
                <w:lang w:eastAsia="zh-CN"/>
              </w:rPr>
              <w:t>1分，</w:t>
            </w:r>
            <w:r>
              <w:rPr>
                <w:rFonts w:hint="eastAsia" w:ascii="宋体" w:hAnsi="宋体" w:eastAsia="宋体" w:cs="Arial"/>
                <w:snapToGrid w:val="0"/>
                <w:color w:val="auto"/>
                <w:kern w:val="0"/>
                <w:sz w:val="21"/>
                <w:szCs w:val="21"/>
                <w:highlight w:val="none"/>
                <w:lang w:val="en-US" w:eastAsia="zh-CN"/>
              </w:rPr>
              <w:t>最高得</w:t>
            </w:r>
            <w:r>
              <w:rPr>
                <w:rFonts w:hint="eastAsia" w:ascii="宋体" w:hAnsi="宋体" w:cs="Arial"/>
                <w:snapToGrid w:val="0"/>
                <w:color w:val="auto"/>
                <w:kern w:val="0"/>
                <w:sz w:val="21"/>
                <w:szCs w:val="21"/>
                <w:highlight w:val="none"/>
                <w:lang w:val="en-US" w:eastAsia="zh-CN"/>
              </w:rPr>
              <w:t>5</w:t>
            </w:r>
            <w:r>
              <w:rPr>
                <w:rFonts w:hint="eastAsia" w:ascii="宋体" w:hAnsi="宋体" w:eastAsia="宋体" w:cs="Arial"/>
                <w:snapToGrid w:val="0"/>
                <w:color w:val="auto"/>
                <w:kern w:val="0"/>
                <w:sz w:val="21"/>
                <w:szCs w:val="21"/>
                <w:highlight w:val="none"/>
                <w:lang w:val="en-US" w:eastAsia="zh-CN"/>
              </w:rPr>
              <w:t>分</w:t>
            </w:r>
            <w:r>
              <w:rPr>
                <w:rFonts w:hint="eastAsia" w:ascii="宋体" w:hAnsi="宋体" w:eastAsia="宋体" w:cs="Arial"/>
                <w:snapToGrid w:val="0"/>
                <w:color w:val="auto"/>
                <w:kern w:val="0"/>
                <w:sz w:val="21"/>
                <w:szCs w:val="21"/>
                <w:highlight w:val="none"/>
                <w:lang w:eastAsia="zh-CN"/>
              </w:rPr>
              <w:t>。</w:t>
            </w:r>
          </w:p>
          <w:p w14:paraId="3293753A">
            <w:pPr>
              <w:numPr>
                <w:ilvl w:val="0"/>
                <w:numId w:val="0"/>
              </w:numPr>
              <w:spacing w:before="120" w:beforeLines="50" w:after="120" w:afterLines="50" w:line="240" w:lineRule="auto"/>
              <w:ind w:left="0" w:leftChars="0" w:firstLine="420" w:firstLineChars="200"/>
              <w:jc w:val="left"/>
              <w:rPr>
                <w:rFonts w:hint="eastAsia" w:ascii="宋体" w:hAnsi="宋体" w:eastAsia="宋体" w:cs="Arial"/>
                <w:snapToGrid w:val="0"/>
                <w:color w:val="auto"/>
                <w:kern w:val="0"/>
                <w:sz w:val="21"/>
                <w:szCs w:val="21"/>
                <w:highlight w:val="none"/>
                <w:lang w:eastAsia="zh-CN"/>
              </w:rPr>
            </w:pPr>
            <w:r>
              <w:rPr>
                <w:rFonts w:hint="eastAsia" w:ascii="宋体" w:hAnsi="宋体" w:eastAsia="宋体" w:cs="Arial"/>
                <w:snapToGrid w:val="0"/>
                <w:color w:val="auto"/>
                <w:kern w:val="0"/>
                <w:sz w:val="21"/>
                <w:szCs w:val="21"/>
                <w:highlight w:val="none"/>
                <w:lang w:eastAsia="zh-CN"/>
              </w:rPr>
              <w:t>2、根据提供的菜单品种、菜品数量进行评分，</w:t>
            </w:r>
            <w:r>
              <w:rPr>
                <w:rFonts w:hint="eastAsia" w:ascii="宋体" w:hAnsi="宋体" w:eastAsia="宋体" w:cs="Arial"/>
                <w:snapToGrid w:val="0"/>
                <w:color w:val="auto"/>
                <w:kern w:val="0"/>
                <w:sz w:val="21"/>
                <w:szCs w:val="21"/>
                <w:highlight w:val="none"/>
                <w:lang w:val="en-US" w:eastAsia="zh-CN"/>
              </w:rPr>
              <w:t>(3分，2分，1分，0分)</w:t>
            </w:r>
            <w:r>
              <w:rPr>
                <w:rFonts w:hint="eastAsia" w:ascii="宋体" w:hAnsi="宋体" w:eastAsia="宋体" w:cs="Arial"/>
                <w:snapToGrid w:val="0"/>
                <w:color w:val="auto"/>
                <w:kern w:val="0"/>
                <w:sz w:val="21"/>
                <w:szCs w:val="21"/>
                <w:highlight w:val="none"/>
                <w:lang w:eastAsia="zh-CN"/>
              </w:rPr>
              <w:t>。</w:t>
            </w:r>
          </w:p>
          <w:p w14:paraId="51CFE9D9">
            <w:pPr>
              <w:numPr>
                <w:ilvl w:val="0"/>
                <w:numId w:val="0"/>
              </w:numPr>
              <w:spacing w:before="120" w:beforeLines="50" w:after="120" w:afterLines="50" w:line="240" w:lineRule="auto"/>
              <w:ind w:left="0" w:leftChars="0" w:firstLine="0" w:firstLineChars="0"/>
              <w:jc w:val="left"/>
              <w:rPr>
                <w:rFonts w:hint="eastAsia" w:ascii="宋体" w:hAnsi="宋体" w:eastAsia="宋体" w:cs="宋体"/>
                <w:snapToGrid w:val="0"/>
                <w:color w:val="auto"/>
                <w:kern w:val="0"/>
                <w:sz w:val="21"/>
                <w:szCs w:val="21"/>
                <w:highlight w:val="none"/>
              </w:rPr>
            </w:pPr>
            <w:r>
              <w:rPr>
                <w:rFonts w:hint="eastAsia" w:ascii="宋体" w:hAnsi="宋体" w:eastAsia="宋体" w:cs="Arial"/>
                <w:snapToGrid w:val="0"/>
                <w:color w:val="auto"/>
                <w:kern w:val="0"/>
                <w:sz w:val="21"/>
                <w:szCs w:val="21"/>
                <w:highlight w:val="none"/>
                <w:lang w:eastAsia="zh-CN"/>
              </w:rPr>
              <w:t>注：以提供相关餐饮明细或相关服务承诺为评审依据。</w:t>
            </w:r>
          </w:p>
        </w:tc>
      </w:tr>
      <w:tr w14:paraId="5870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9" w:type="dxa"/>
            <w:vMerge w:val="continue"/>
            <w:noWrap w:val="0"/>
            <w:vAlign w:val="center"/>
          </w:tcPr>
          <w:p w14:paraId="11CBA688">
            <w:pPr>
              <w:spacing w:line="240" w:lineRule="auto"/>
              <w:jc w:val="center"/>
              <w:rPr>
                <w:rFonts w:hint="eastAsia" w:ascii="宋体" w:hAnsi="宋体" w:eastAsia="宋体" w:cs="宋体"/>
                <w:snapToGrid w:val="0"/>
                <w:color w:val="auto"/>
                <w:kern w:val="0"/>
                <w:sz w:val="21"/>
                <w:szCs w:val="21"/>
              </w:rPr>
            </w:pPr>
          </w:p>
        </w:tc>
        <w:tc>
          <w:tcPr>
            <w:tcW w:w="1426" w:type="dxa"/>
            <w:noWrap w:val="0"/>
            <w:vAlign w:val="center"/>
          </w:tcPr>
          <w:p w14:paraId="2F8C7DC7">
            <w:pPr>
              <w:numPr>
                <w:ilvl w:val="0"/>
                <w:numId w:val="0"/>
              </w:numPr>
              <w:spacing w:before="120" w:beforeLines="50" w:after="120" w:afterLines="50" w:line="240" w:lineRule="auto"/>
              <w:jc w:val="center"/>
              <w:rPr>
                <w:rFonts w:hint="eastAsia" w:ascii="宋体" w:hAnsi="宋体" w:cs="Arial"/>
                <w:snapToGrid w:val="0"/>
                <w:color w:val="auto"/>
                <w:kern w:val="0"/>
                <w:sz w:val="21"/>
                <w:szCs w:val="21"/>
                <w:highlight w:val="none"/>
                <w:lang w:eastAsia="zh-CN"/>
              </w:rPr>
            </w:pPr>
            <w:r>
              <w:rPr>
                <w:rFonts w:hint="eastAsia" w:ascii="宋体" w:hAnsi="宋体" w:cs="Arial"/>
                <w:snapToGrid w:val="0"/>
                <w:color w:val="auto"/>
                <w:kern w:val="0"/>
                <w:sz w:val="21"/>
                <w:szCs w:val="21"/>
                <w:lang w:eastAsia="zh-CN"/>
              </w:rPr>
              <w:t>车辆设备、驾驶员等情</w:t>
            </w:r>
            <w:r>
              <w:rPr>
                <w:rFonts w:hint="eastAsia" w:ascii="宋体" w:hAnsi="宋体" w:cs="Arial"/>
                <w:snapToGrid w:val="0"/>
                <w:color w:val="auto"/>
                <w:kern w:val="0"/>
                <w:sz w:val="21"/>
                <w:szCs w:val="21"/>
                <w:highlight w:val="none"/>
                <w:lang w:eastAsia="zh-CN"/>
              </w:rPr>
              <w:t>况</w:t>
            </w:r>
          </w:p>
          <w:p w14:paraId="2CAA8296">
            <w:pPr>
              <w:numPr>
                <w:ilvl w:val="0"/>
                <w:numId w:val="0"/>
              </w:numPr>
              <w:spacing w:before="120" w:beforeLines="50" w:after="120" w:afterLines="50" w:line="240" w:lineRule="auto"/>
              <w:jc w:val="center"/>
              <w:rPr>
                <w:rFonts w:hint="eastAsia" w:ascii="宋体" w:hAnsi="宋体" w:eastAsia="宋体" w:cs="宋体"/>
                <w:snapToGrid w:val="0"/>
                <w:color w:val="auto"/>
                <w:kern w:val="0"/>
                <w:sz w:val="21"/>
                <w:szCs w:val="21"/>
              </w:rPr>
            </w:pP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lang w:eastAsia="zh-CN"/>
              </w:rPr>
              <w:t>分</w:t>
            </w:r>
          </w:p>
        </w:tc>
        <w:tc>
          <w:tcPr>
            <w:tcW w:w="7823" w:type="dxa"/>
            <w:noWrap w:val="0"/>
            <w:vAlign w:val="center"/>
          </w:tcPr>
          <w:p w14:paraId="5DE52D47">
            <w:pPr>
              <w:numPr>
                <w:ilvl w:val="0"/>
                <w:numId w:val="0"/>
              </w:numPr>
              <w:spacing w:before="120" w:beforeLines="50" w:after="120" w:afterLines="50" w:line="240" w:lineRule="auto"/>
              <w:jc w:val="both"/>
              <w:rPr>
                <w:rFonts w:hint="eastAsia" w:ascii="宋体" w:hAnsi="宋体" w:cs="Arial"/>
                <w:b/>
                <w:bCs/>
                <w:snapToGrid w:val="0"/>
                <w:color w:val="auto"/>
                <w:kern w:val="0"/>
                <w:sz w:val="21"/>
                <w:szCs w:val="21"/>
                <w:lang w:eastAsia="zh-CN"/>
              </w:rPr>
            </w:pPr>
            <w:r>
              <w:rPr>
                <w:rFonts w:hint="eastAsia" w:ascii="宋体" w:hAnsi="宋体" w:cs="Arial"/>
                <w:b/>
                <w:bCs/>
                <w:snapToGrid w:val="0"/>
                <w:color w:val="auto"/>
                <w:kern w:val="0"/>
                <w:sz w:val="21"/>
                <w:szCs w:val="21"/>
                <w:lang w:eastAsia="zh-CN"/>
              </w:rPr>
              <w:t>由评审小组根据投标人针对本项目提供的车辆设备、驾驶员等情况进行打分（</w:t>
            </w:r>
            <w:r>
              <w:rPr>
                <w:rFonts w:hint="eastAsia" w:ascii="宋体" w:hAnsi="宋体" w:cs="Arial"/>
                <w:b/>
                <w:bCs/>
                <w:snapToGrid w:val="0"/>
                <w:color w:val="auto"/>
                <w:kern w:val="0"/>
                <w:sz w:val="21"/>
                <w:szCs w:val="21"/>
                <w:lang w:val="en-US" w:eastAsia="zh-CN"/>
              </w:rPr>
              <w:t>6分</w:t>
            </w:r>
            <w:r>
              <w:rPr>
                <w:rFonts w:hint="eastAsia" w:ascii="宋体" w:hAnsi="宋体" w:cs="Arial"/>
                <w:b/>
                <w:bCs/>
                <w:snapToGrid w:val="0"/>
                <w:color w:val="auto"/>
                <w:kern w:val="0"/>
                <w:sz w:val="21"/>
                <w:szCs w:val="21"/>
                <w:lang w:eastAsia="zh-CN"/>
              </w:rPr>
              <w:t>）</w:t>
            </w:r>
          </w:p>
          <w:p w14:paraId="59D4726E">
            <w:pPr>
              <w:numPr>
                <w:ilvl w:val="0"/>
                <w:numId w:val="0"/>
              </w:numPr>
              <w:spacing w:before="120" w:beforeLines="50" w:after="120" w:afterLines="50" w:line="240" w:lineRule="auto"/>
              <w:ind w:firstLine="420" w:firstLineChars="200"/>
              <w:jc w:val="both"/>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eastAsia="zh-CN"/>
              </w:rPr>
              <w:t>1、空调商务车标准得</w:t>
            </w:r>
            <w:r>
              <w:rPr>
                <w:rFonts w:hint="eastAsia" w:ascii="宋体" w:hAnsi="宋体" w:cs="Arial"/>
                <w:snapToGrid w:val="0"/>
                <w:color w:val="auto"/>
                <w:kern w:val="0"/>
                <w:sz w:val="21"/>
                <w:szCs w:val="21"/>
                <w:lang w:val="en-US" w:eastAsia="zh-CN"/>
              </w:rPr>
              <w:t>2</w:t>
            </w:r>
            <w:r>
              <w:rPr>
                <w:rFonts w:hint="eastAsia" w:ascii="宋体" w:hAnsi="宋体" w:cs="Arial"/>
                <w:snapToGrid w:val="0"/>
                <w:color w:val="auto"/>
                <w:kern w:val="0"/>
                <w:sz w:val="21"/>
                <w:szCs w:val="21"/>
                <w:highlight w:val="none"/>
                <w:lang w:eastAsia="zh-CN"/>
              </w:rPr>
              <w:t>分</w:t>
            </w:r>
            <w:r>
              <w:rPr>
                <w:rFonts w:hint="eastAsia" w:ascii="宋体" w:hAnsi="宋体" w:cs="Arial"/>
                <w:snapToGrid w:val="0"/>
                <w:color w:val="auto"/>
                <w:kern w:val="0"/>
                <w:sz w:val="21"/>
                <w:szCs w:val="21"/>
                <w:lang w:eastAsia="zh-CN"/>
              </w:rPr>
              <w:t>，其他车辆不得分；</w:t>
            </w:r>
          </w:p>
          <w:p w14:paraId="064955DD">
            <w:pPr>
              <w:numPr>
                <w:ilvl w:val="0"/>
                <w:numId w:val="0"/>
              </w:numPr>
              <w:spacing w:before="120" w:beforeLines="50" w:after="120" w:afterLines="50" w:line="240" w:lineRule="auto"/>
              <w:ind w:firstLine="420" w:firstLineChars="200"/>
              <w:jc w:val="both"/>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eastAsia="zh-CN"/>
              </w:rPr>
              <w:t>2、车龄为</w:t>
            </w:r>
            <w:r>
              <w:rPr>
                <w:rFonts w:hint="eastAsia" w:ascii="宋体" w:hAnsi="宋体" w:cs="Arial"/>
                <w:snapToGrid w:val="0"/>
                <w:color w:val="auto"/>
                <w:kern w:val="0"/>
                <w:sz w:val="21"/>
                <w:szCs w:val="21"/>
                <w:lang w:val="en-US" w:eastAsia="zh-CN"/>
              </w:rPr>
              <w:t>2年内，得2分；</w:t>
            </w:r>
            <w:r>
              <w:rPr>
                <w:rFonts w:hint="eastAsia" w:ascii="宋体" w:hAnsi="宋体" w:cs="Arial"/>
                <w:snapToGrid w:val="0"/>
                <w:color w:val="auto"/>
                <w:kern w:val="0"/>
                <w:sz w:val="21"/>
                <w:szCs w:val="21"/>
                <w:lang w:eastAsia="zh-CN"/>
              </w:rPr>
              <w:t>车龄为5年内，得</w:t>
            </w:r>
            <w:r>
              <w:rPr>
                <w:rFonts w:hint="eastAsia" w:ascii="宋体" w:hAnsi="宋体" w:cs="Arial"/>
                <w:snapToGrid w:val="0"/>
                <w:color w:val="auto"/>
                <w:kern w:val="0"/>
                <w:sz w:val="21"/>
                <w:szCs w:val="21"/>
                <w:lang w:val="en-US" w:eastAsia="zh-CN"/>
              </w:rPr>
              <w:t>1</w:t>
            </w:r>
            <w:r>
              <w:rPr>
                <w:rFonts w:hint="eastAsia" w:ascii="宋体" w:hAnsi="宋体" w:cs="Arial"/>
                <w:snapToGrid w:val="0"/>
                <w:color w:val="auto"/>
                <w:kern w:val="0"/>
                <w:sz w:val="21"/>
                <w:szCs w:val="21"/>
                <w:lang w:eastAsia="zh-CN"/>
              </w:rPr>
              <w:t>分；5年以上不得分；</w:t>
            </w:r>
          </w:p>
          <w:p w14:paraId="108F3FBC">
            <w:pPr>
              <w:numPr>
                <w:ilvl w:val="0"/>
                <w:numId w:val="0"/>
              </w:numPr>
              <w:spacing w:before="120" w:beforeLines="50" w:after="120" w:afterLines="50" w:line="240" w:lineRule="auto"/>
              <w:ind w:firstLine="420" w:firstLineChars="200"/>
              <w:jc w:val="both"/>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eastAsia="zh-CN"/>
              </w:rPr>
              <w:t>3、驾驶员驾龄为5年以上，得2分；驾龄5年以下，不得分；</w:t>
            </w:r>
          </w:p>
          <w:p w14:paraId="6D2CFAF8">
            <w:pPr>
              <w:numPr>
                <w:ilvl w:val="0"/>
                <w:numId w:val="0"/>
              </w:numPr>
              <w:spacing w:before="120" w:beforeLines="50" w:after="120" w:afterLines="50" w:line="240" w:lineRule="auto"/>
              <w:ind w:left="0" w:leftChars="0" w:firstLine="0" w:firstLineChars="0"/>
              <w:jc w:val="both"/>
              <w:rPr>
                <w:rFonts w:hint="eastAsia" w:ascii="宋体" w:hAnsi="宋体" w:eastAsia="宋体" w:cs="宋体"/>
                <w:snapToGrid w:val="0"/>
                <w:color w:val="auto"/>
                <w:kern w:val="0"/>
                <w:sz w:val="21"/>
                <w:szCs w:val="21"/>
              </w:rPr>
            </w:pPr>
            <w:r>
              <w:rPr>
                <w:rFonts w:hint="eastAsia" w:ascii="宋体" w:hAnsi="宋体" w:cs="Arial"/>
                <w:snapToGrid w:val="0"/>
                <w:color w:val="auto"/>
                <w:kern w:val="0"/>
                <w:sz w:val="21"/>
                <w:szCs w:val="21"/>
                <w:lang w:eastAsia="zh-CN"/>
              </w:rPr>
              <w:t>（须提供车辆清单、照片、行驶证、驾驶证等材料，车辆如为租赁的，应提供双方签字盖章的租赁协议或合同。）</w:t>
            </w:r>
          </w:p>
        </w:tc>
      </w:tr>
      <w:tr w14:paraId="19D9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239" w:type="dxa"/>
            <w:vMerge w:val="continue"/>
            <w:noWrap w:val="0"/>
            <w:vAlign w:val="center"/>
          </w:tcPr>
          <w:p w14:paraId="36C8E823">
            <w:pPr>
              <w:spacing w:line="240" w:lineRule="auto"/>
              <w:jc w:val="center"/>
              <w:rPr>
                <w:rFonts w:hint="eastAsia" w:ascii="宋体" w:hAnsi="宋体" w:eastAsia="宋体" w:cs="宋体"/>
                <w:color w:val="auto"/>
                <w:kern w:val="0"/>
                <w:sz w:val="21"/>
                <w:szCs w:val="21"/>
              </w:rPr>
            </w:pPr>
          </w:p>
        </w:tc>
        <w:tc>
          <w:tcPr>
            <w:tcW w:w="1426" w:type="dxa"/>
            <w:noWrap w:val="0"/>
            <w:vAlign w:val="center"/>
          </w:tcPr>
          <w:p w14:paraId="2893816A">
            <w:pPr>
              <w:numPr>
                <w:ilvl w:val="0"/>
                <w:numId w:val="0"/>
              </w:numPr>
              <w:spacing w:before="120" w:beforeLines="50" w:after="120" w:afterLines="50" w:line="360" w:lineRule="auto"/>
              <w:jc w:val="center"/>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eastAsia="zh-CN"/>
              </w:rPr>
              <w:t>项目组人员配置及岗位设置情况</w:t>
            </w:r>
          </w:p>
          <w:p w14:paraId="6295C10D">
            <w:pPr>
              <w:numPr>
                <w:ilvl w:val="0"/>
                <w:numId w:val="0"/>
              </w:numPr>
              <w:spacing w:before="120" w:beforeLines="50" w:after="120" w:afterLines="50" w:line="360" w:lineRule="auto"/>
              <w:ind w:left="0" w:leftChars="0" w:firstLine="0" w:firstLineChars="0"/>
              <w:jc w:val="center"/>
              <w:rPr>
                <w:rFonts w:hint="eastAsia" w:ascii="宋体" w:hAnsi="宋体" w:eastAsia="宋体" w:cs="宋体"/>
                <w:color w:val="auto"/>
                <w:kern w:val="0"/>
                <w:sz w:val="21"/>
                <w:szCs w:val="21"/>
              </w:rPr>
            </w:pPr>
            <w:r>
              <w:rPr>
                <w:rFonts w:hint="eastAsia" w:ascii="宋体" w:hAnsi="宋体" w:cs="Arial"/>
                <w:snapToGrid w:val="0"/>
                <w:color w:val="auto"/>
                <w:kern w:val="0"/>
                <w:sz w:val="21"/>
                <w:szCs w:val="21"/>
                <w:lang w:val="en-US" w:eastAsia="zh-CN"/>
              </w:rPr>
              <w:t>3</w:t>
            </w:r>
            <w:r>
              <w:rPr>
                <w:rFonts w:hint="eastAsia" w:ascii="宋体" w:hAnsi="宋体" w:cs="Arial"/>
                <w:snapToGrid w:val="0"/>
                <w:color w:val="auto"/>
                <w:kern w:val="0"/>
                <w:sz w:val="21"/>
                <w:szCs w:val="21"/>
                <w:lang w:eastAsia="zh-CN"/>
              </w:rPr>
              <w:t>分</w:t>
            </w:r>
          </w:p>
        </w:tc>
        <w:tc>
          <w:tcPr>
            <w:tcW w:w="7823" w:type="dxa"/>
            <w:noWrap w:val="0"/>
            <w:vAlign w:val="center"/>
          </w:tcPr>
          <w:p w14:paraId="24F49D51">
            <w:pPr>
              <w:numPr>
                <w:ilvl w:val="0"/>
                <w:numId w:val="0"/>
              </w:numPr>
              <w:spacing w:before="120" w:beforeLines="50" w:after="120" w:afterLines="50" w:line="360" w:lineRule="auto"/>
              <w:ind w:firstLine="420" w:firstLineChars="200"/>
              <w:jc w:val="both"/>
              <w:rPr>
                <w:rFonts w:hint="eastAsia" w:ascii="宋体" w:hAnsi="宋体" w:eastAsia="宋体" w:cs="宋体"/>
                <w:snapToGrid w:val="0"/>
                <w:color w:val="auto"/>
                <w:kern w:val="0"/>
                <w:sz w:val="21"/>
                <w:szCs w:val="21"/>
                <w:highlight w:val="none"/>
              </w:rPr>
            </w:pPr>
            <w:r>
              <w:rPr>
                <w:rFonts w:hint="eastAsia" w:ascii="宋体" w:hAnsi="宋体" w:eastAsia="宋体" w:cs="Arial"/>
                <w:snapToGrid w:val="0"/>
                <w:color w:val="auto"/>
                <w:kern w:val="0"/>
                <w:sz w:val="21"/>
                <w:szCs w:val="21"/>
                <w:lang w:eastAsia="zh-CN"/>
              </w:rPr>
              <w:t>根据磋商响应方提供的人员安排分配情况，人员力量和人力资源安排充足、科学合理的得</w:t>
            </w:r>
            <w:r>
              <w:rPr>
                <w:rFonts w:hint="eastAsia" w:ascii="宋体" w:hAnsi="宋体" w:cs="Arial"/>
                <w:snapToGrid w:val="0"/>
                <w:color w:val="auto"/>
                <w:kern w:val="0"/>
                <w:sz w:val="21"/>
                <w:szCs w:val="21"/>
                <w:lang w:val="en-US" w:eastAsia="zh-CN"/>
              </w:rPr>
              <w:t>3</w:t>
            </w:r>
            <w:r>
              <w:rPr>
                <w:rFonts w:hint="eastAsia" w:ascii="宋体" w:hAnsi="宋体" w:eastAsia="宋体" w:cs="Arial"/>
                <w:snapToGrid w:val="0"/>
                <w:color w:val="auto"/>
                <w:kern w:val="0"/>
                <w:sz w:val="21"/>
                <w:szCs w:val="21"/>
                <w:lang w:eastAsia="zh-CN"/>
              </w:rPr>
              <w:t xml:space="preserve">分，安排有缺陷的扣 </w:t>
            </w:r>
            <w:r>
              <w:rPr>
                <w:rFonts w:hint="eastAsia" w:ascii="宋体" w:hAnsi="宋体" w:eastAsia="宋体" w:cs="Arial"/>
                <w:snapToGrid w:val="0"/>
                <w:color w:val="auto"/>
                <w:kern w:val="0"/>
                <w:sz w:val="21"/>
                <w:szCs w:val="21"/>
                <w:lang w:val="en-US" w:eastAsia="zh-CN"/>
              </w:rPr>
              <w:t>1</w:t>
            </w:r>
            <w:r>
              <w:rPr>
                <w:rFonts w:hint="eastAsia" w:ascii="宋体" w:hAnsi="宋体" w:eastAsia="宋体" w:cs="Arial"/>
                <w:snapToGrid w:val="0"/>
                <w:color w:val="auto"/>
                <w:kern w:val="0"/>
                <w:sz w:val="21"/>
                <w:szCs w:val="21"/>
                <w:lang w:eastAsia="zh-CN"/>
              </w:rPr>
              <w:t xml:space="preserve">分，有严重不足的扣 </w:t>
            </w:r>
            <w:r>
              <w:rPr>
                <w:rFonts w:hint="eastAsia" w:ascii="宋体" w:hAnsi="宋体" w:eastAsia="宋体" w:cs="Arial"/>
                <w:snapToGrid w:val="0"/>
                <w:color w:val="auto"/>
                <w:kern w:val="0"/>
                <w:sz w:val="21"/>
                <w:szCs w:val="21"/>
                <w:lang w:val="en-US" w:eastAsia="zh-CN"/>
              </w:rPr>
              <w:t>2</w:t>
            </w:r>
            <w:r>
              <w:rPr>
                <w:rFonts w:hint="eastAsia" w:ascii="宋体" w:hAnsi="宋体" w:eastAsia="宋体" w:cs="Arial"/>
                <w:snapToGrid w:val="0"/>
                <w:color w:val="auto"/>
                <w:kern w:val="0"/>
                <w:sz w:val="21"/>
                <w:szCs w:val="21"/>
                <w:lang w:eastAsia="zh-CN"/>
              </w:rPr>
              <w:t>分，扣完为止。</w:t>
            </w:r>
          </w:p>
        </w:tc>
      </w:tr>
      <w:tr w14:paraId="60B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239" w:type="dxa"/>
            <w:vMerge w:val="continue"/>
            <w:noWrap w:val="0"/>
            <w:vAlign w:val="center"/>
          </w:tcPr>
          <w:p w14:paraId="1E71A08E">
            <w:pPr>
              <w:spacing w:line="240" w:lineRule="auto"/>
              <w:jc w:val="center"/>
              <w:rPr>
                <w:rFonts w:hint="eastAsia" w:ascii="宋体" w:hAnsi="宋体" w:eastAsia="宋体" w:cs="宋体"/>
                <w:color w:val="auto"/>
                <w:kern w:val="0"/>
                <w:sz w:val="21"/>
                <w:szCs w:val="21"/>
              </w:rPr>
            </w:pPr>
          </w:p>
        </w:tc>
        <w:tc>
          <w:tcPr>
            <w:tcW w:w="1426" w:type="dxa"/>
            <w:noWrap w:val="0"/>
            <w:vAlign w:val="center"/>
          </w:tcPr>
          <w:p w14:paraId="10148081">
            <w:pPr>
              <w:numPr>
                <w:ilvl w:val="0"/>
                <w:numId w:val="0"/>
              </w:numPr>
              <w:spacing w:before="120" w:beforeLines="50" w:after="120" w:afterLines="50" w:line="240" w:lineRule="auto"/>
              <w:jc w:val="center"/>
              <w:rPr>
                <w:rFonts w:hint="eastAsia" w:ascii="宋体" w:hAnsi="宋体" w:cs="Arial"/>
                <w:snapToGrid w:val="0"/>
                <w:color w:val="auto"/>
                <w:kern w:val="0"/>
                <w:sz w:val="21"/>
                <w:szCs w:val="21"/>
                <w:lang w:eastAsia="zh-CN"/>
              </w:rPr>
            </w:pPr>
            <w:r>
              <w:rPr>
                <w:rFonts w:hint="eastAsia" w:ascii="宋体" w:hAnsi="宋体" w:cs="Arial"/>
                <w:snapToGrid w:val="0"/>
                <w:color w:val="auto"/>
                <w:kern w:val="0"/>
                <w:sz w:val="21"/>
                <w:szCs w:val="21"/>
                <w:lang w:eastAsia="zh-CN"/>
              </w:rPr>
              <w:t>管理制度</w:t>
            </w:r>
          </w:p>
          <w:p w14:paraId="2B4C2276">
            <w:pPr>
              <w:numPr>
                <w:ilvl w:val="0"/>
                <w:numId w:val="0"/>
              </w:numPr>
              <w:spacing w:before="120" w:beforeLines="50" w:after="120" w:afterLines="50" w:line="240" w:lineRule="auto"/>
              <w:ind w:left="0" w:leftChars="0" w:firstLine="0" w:firstLineChars="0"/>
              <w:jc w:val="center"/>
              <w:rPr>
                <w:rFonts w:hint="eastAsia" w:ascii="宋体" w:hAnsi="宋体" w:eastAsia="宋体" w:cs="宋体"/>
                <w:color w:val="auto"/>
                <w:kern w:val="0"/>
                <w:sz w:val="21"/>
                <w:szCs w:val="21"/>
              </w:rPr>
            </w:pPr>
            <w:r>
              <w:rPr>
                <w:rFonts w:hint="eastAsia" w:ascii="宋体" w:hAnsi="宋体" w:cs="Arial"/>
                <w:snapToGrid w:val="0"/>
                <w:color w:val="auto"/>
                <w:kern w:val="0"/>
                <w:sz w:val="21"/>
                <w:szCs w:val="21"/>
                <w:lang w:val="en-US" w:eastAsia="zh-CN"/>
              </w:rPr>
              <w:t>3</w:t>
            </w:r>
            <w:r>
              <w:rPr>
                <w:rFonts w:hint="eastAsia" w:ascii="宋体" w:hAnsi="宋体" w:cs="Arial"/>
                <w:snapToGrid w:val="0"/>
                <w:color w:val="auto"/>
                <w:kern w:val="0"/>
                <w:sz w:val="21"/>
                <w:szCs w:val="21"/>
                <w:lang w:eastAsia="zh-CN"/>
              </w:rPr>
              <w:t>分</w:t>
            </w:r>
          </w:p>
        </w:tc>
        <w:tc>
          <w:tcPr>
            <w:tcW w:w="7823" w:type="dxa"/>
            <w:noWrap w:val="0"/>
            <w:vAlign w:val="center"/>
          </w:tcPr>
          <w:p w14:paraId="7E94763D">
            <w:pPr>
              <w:numPr>
                <w:ilvl w:val="0"/>
                <w:numId w:val="0"/>
              </w:numPr>
              <w:spacing w:before="120" w:beforeLines="50" w:after="120" w:afterLines="50" w:line="360" w:lineRule="auto"/>
              <w:ind w:firstLine="420" w:firstLineChars="200"/>
              <w:jc w:val="left"/>
              <w:rPr>
                <w:rFonts w:hint="eastAsia" w:ascii="宋体" w:hAnsi="宋体" w:eastAsia="宋体" w:cs="Arial"/>
                <w:snapToGrid w:val="0"/>
                <w:color w:val="auto"/>
                <w:kern w:val="0"/>
                <w:sz w:val="21"/>
                <w:szCs w:val="21"/>
                <w:lang w:eastAsia="zh-CN"/>
              </w:rPr>
            </w:pPr>
            <w:r>
              <w:rPr>
                <w:rFonts w:hint="eastAsia" w:ascii="宋体" w:hAnsi="宋体" w:eastAsia="宋体" w:cs="Arial"/>
                <w:snapToGrid w:val="0"/>
                <w:color w:val="auto"/>
                <w:kern w:val="0"/>
                <w:sz w:val="21"/>
                <w:szCs w:val="21"/>
                <w:lang w:eastAsia="zh-CN"/>
              </w:rPr>
              <w:t>1、磋商响应方的岗位职责、经营管理制度、日常管理制度等情况是否建立健全由评审小组进行打分（</w:t>
            </w:r>
            <w:r>
              <w:rPr>
                <w:rFonts w:hint="eastAsia" w:ascii="宋体" w:hAnsi="宋体" w:eastAsia="宋体" w:cs="Arial"/>
                <w:snapToGrid w:val="0"/>
                <w:color w:val="auto"/>
                <w:kern w:val="0"/>
                <w:sz w:val="21"/>
                <w:szCs w:val="21"/>
                <w:lang w:val="en-US" w:eastAsia="zh-CN"/>
              </w:rPr>
              <w:t>1分，0.5分，0分</w:t>
            </w:r>
            <w:r>
              <w:rPr>
                <w:rFonts w:hint="eastAsia" w:ascii="宋体" w:hAnsi="宋体" w:eastAsia="宋体" w:cs="Arial"/>
                <w:snapToGrid w:val="0"/>
                <w:color w:val="auto"/>
                <w:kern w:val="0"/>
                <w:sz w:val="21"/>
                <w:szCs w:val="21"/>
                <w:lang w:eastAsia="zh-CN"/>
              </w:rPr>
              <w:t>）；</w:t>
            </w:r>
          </w:p>
          <w:p w14:paraId="19F32787">
            <w:pPr>
              <w:numPr>
                <w:ilvl w:val="0"/>
                <w:numId w:val="0"/>
              </w:numPr>
              <w:spacing w:before="120" w:beforeLines="50" w:after="120" w:afterLines="50" w:line="360" w:lineRule="auto"/>
              <w:ind w:firstLine="420" w:firstLineChars="200"/>
              <w:jc w:val="left"/>
              <w:rPr>
                <w:rFonts w:hint="eastAsia" w:ascii="宋体" w:hAnsi="宋体" w:eastAsia="宋体" w:cs="Arial"/>
                <w:snapToGrid w:val="0"/>
                <w:color w:val="auto"/>
                <w:kern w:val="0"/>
                <w:sz w:val="21"/>
                <w:szCs w:val="21"/>
                <w:lang w:eastAsia="zh-CN"/>
              </w:rPr>
            </w:pPr>
            <w:r>
              <w:rPr>
                <w:rFonts w:hint="eastAsia" w:ascii="宋体" w:hAnsi="宋体" w:eastAsia="宋体" w:cs="Arial"/>
                <w:snapToGrid w:val="0"/>
                <w:color w:val="auto"/>
                <w:kern w:val="0"/>
                <w:sz w:val="21"/>
                <w:szCs w:val="21"/>
                <w:lang w:eastAsia="zh-CN"/>
              </w:rPr>
              <w:t>2、磋商响应方的财务管理、品牌管理、企业形象管理等情况是否建立健全由评审小组进行打分（</w:t>
            </w:r>
            <w:r>
              <w:rPr>
                <w:rFonts w:hint="eastAsia" w:ascii="宋体" w:hAnsi="宋体" w:eastAsia="宋体" w:cs="Arial"/>
                <w:snapToGrid w:val="0"/>
                <w:color w:val="auto"/>
                <w:kern w:val="0"/>
                <w:sz w:val="21"/>
                <w:szCs w:val="21"/>
                <w:lang w:val="en-US" w:eastAsia="zh-CN"/>
              </w:rPr>
              <w:t>1分，0.5分，0分</w:t>
            </w:r>
            <w:r>
              <w:rPr>
                <w:rFonts w:hint="eastAsia" w:ascii="宋体" w:hAnsi="宋体" w:eastAsia="宋体" w:cs="Arial"/>
                <w:snapToGrid w:val="0"/>
                <w:color w:val="auto"/>
                <w:kern w:val="0"/>
                <w:sz w:val="21"/>
                <w:szCs w:val="21"/>
                <w:lang w:eastAsia="zh-CN"/>
              </w:rPr>
              <w:t>）；</w:t>
            </w:r>
          </w:p>
          <w:p w14:paraId="4DBF11CA">
            <w:pPr>
              <w:numPr>
                <w:ilvl w:val="0"/>
                <w:numId w:val="0"/>
              </w:numPr>
              <w:spacing w:before="120" w:beforeLines="50" w:after="120" w:afterLines="50"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Arial"/>
                <w:snapToGrid w:val="0"/>
                <w:color w:val="auto"/>
                <w:kern w:val="0"/>
                <w:sz w:val="21"/>
                <w:szCs w:val="21"/>
                <w:lang w:eastAsia="zh-CN"/>
              </w:rPr>
              <w:t>3、磋商响应方的安全管理、投诉管理、危机管理等情况是否建立健全由评审小组进行打分（</w:t>
            </w:r>
            <w:r>
              <w:rPr>
                <w:rFonts w:hint="eastAsia" w:ascii="宋体" w:hAnsi="宋体" w:eastAsia="宋体" w:cs="Arial"/>
                <w:snapToGrid w:val="0"/>
                <w:color w:val="auto"/>
                <w:kern w:val="0"/>
                <w:sz w:val="21"/>
                <w:szCs w:val="21"/>
                <w:lang w:val="en-US" w:eastAsia="zh-CN"/>
              </w:rPr>
              <w:t>1分，0.5分，0分</w:t>
            </w:r>
            <w:r>
              <w:rPr>
                <w:rFonts w:hint="eastAsia" w:ascii="宋体" w:hAnsi="宋体" w:eastAsia="宋体" w:cs="Arial"/>
                <w:snapToGrid w:val="0"/>
                <w:color w:val="auto"/>
                <w:kern w:val="0"/>
                <w:sz w:val="21"/>
                <w:szCs w:val="21"/>
                <w:lang w:eastAsia="zh-CN"/>
              </w:rPr>
              <w:t>）。</w:t>
            </w:r>
          </w:p>
        </w:tc>
      </w:tr>
      <w:tr w14:paraId="7948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239" w:type="dxa"/>
            <w:vMerge w:val="restart"/>
            <w:tcBorders>
              <w:left w:val="single" w:color="auto" w:sz="4" w:space="0"/>
            </w:tcBorders>
            <w:noWrap w:val="0"/>
            <w:vAlign w:val="center"/>
          </w:tcPr>
          <w:p w14:paraId="1DB50B01">
            <w:pPr>
              <w:spacing w:line="240" w:lineRule="auto"/>
              <w:jc w:val="center"/>
              <w:rPr>
                <w:rFonts w:ascii="宋体" w:hAnsi="宋体"/>
                <w:color w:val="auto"/>
                <w:kern w:val="0"/>
                <w:sz w:val="21"/>
                <w:szCs w:val="21"/>
              </w:rPr>
            </w:pPr>
            <w:r>
              <w:rPr>
                <w:rFonts w:hint="eastAsia" w:ascii="宋体" w:hAnsi="宋体" w:cs="Arial"/>
                <w:snapToGrid w:val="0"/>
                <w:color w:val="auto"/>
                <w:kern w:val="0"/>
                <w:sz w:val="21"/>
                <w:szCs w:val="21"/>
              </w:rPr>
              <w:t>商务、资信及其他分</w:t>
            </w:r>
          </w:p>
          <w:p w14:paraId="6274E6B4">
            <w:pPr>
              <w:spacing w:line="240" w:lineRule="auto"/>
              <w:jc w:val="center"/>
              <w:rPr>
                <w:rFonts w:hint="eastAsia" w:ascii="宋体" w:hAnsi="宋体"/>
                <w:color w:val="auto"/>
                <w:kern w:val="0"/>
                <w:sz w:val="21"/>
                <w:szCs w:val="21"/>
              </w:rPr>
            </w:pPr>
            <w:r>
              <w:rPr>
                <w:rFonts w:hint="eastAsia" w:ascii="宋体" w:hAnsi="宋体"/>
                <w:color w:val="auto"/>
                <w:kern w:val="0"/>
                <w:sz w:val="21"/>
                <w:szCs w:val="21"/>
                <w:lang w:val="en-US" w:eastAsia="zh-CN"/>
              </w:rPr>
              <w:t>10</w:t>
            </w:r>
            <w:r>
              <w:rPr>
                <w:rFonts w:hint="eastAsia" w:ascii="宋体" w:hAnsi="宋体"/>
                <w:color w:val="auto"/>
                <w:kern w:val="0"/>
                <w:sz w:val="21"/>
                <w:szCs w:val="21"/>
              </w:rPr>
              <w:t>分</w:t>
            </w:r>
          </w:p>
          <w:p w14:paraId="2216B991">
            <w:pPr>
              <w:spacing w:line="240" w:lineRule="auto"/>
              <w:jc w:val="center"/>
              <w:rPr>
                <w:rFonts w:hint="eastAsia" w:ascii="宋体" w:hAnsi="宋体" w:eastAsia="宋体" w:cs="宋体"/>
                <w:color w:val="auto"/>
                <w:kern w:val="0"/>
                <w:sz w:val="21"/>
                <w:szCs w:val="21"/>
              </w:rPr>
            </w:pPr>
          </w:p>
          <w:p w14:paraId="46A41C29">
            <w:pPr>
              <w:spacing w:line="240" w:lineRule="auto"/>
              <w:jc w:val="center"/>
              <w:rPr>
                <w:rFonts w:hint="eastAsia" w:ascii="宋体" w:hAnsi="宋体" w:eastAsia="宋体" w:cs="宋体"/>
                <w:color w:val="auto"/>
                <w:kern w:val="0"/>
                <w:sz w:val="21"/>
                <w:szCs w:val="21"/>
              </w:rPr>
            </w:pPr>
          </w:p>
        </w:tc>
        <w:tc>
          <w:tcPr>
            <w:tcW w:w="1426" w:type="dxa"/>
            <w:tcBorders>
              <w:bottom w:val="single" w:color="auto" w:sz="4" w:space="0"/>
            </w:tcBorders>
            <w:noWrap w:val="0"/>
            <w:vAlign w:val="center"/>
          </w:tcPr>
          <w:p w14:paraId="29FAE33B">
            <w:pPr>
              <w:spacing w:line="360" w:lineRule="auto"/>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资格证书</w:t>
            </w:r>
          </w:p>
          <w:p w14:paraId="538670A0">
            <w:pPr>
              <w:spacing w:line="360" w:lineRule="auto"/>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分</w:t>
            </w:r>
          </w:p>
        </w:tc>
        <w:tc>
          <w:tcPr>
            <w:tcW w:w="7823" w:type="dxa"/>
            <w:noWrap w:val="0"/>
            <w:vAlign w:val="center"/>
          </w:tcPr>
          <w:p w14:paraId="21B89369">
            <w:pPr>
              <w:spacing w:line="36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lang w:eastAsia="zh-CN"/>
              </w:rPr>
              <w:t>根据磋商响应方</w:t>
            </w:r>
            <w:r>
              <w:rPr>
                <w:rFonts w:hint="eastAsia" w:ascii="宋体" w:hAnsi="宋体" w:eastAsia="宋体" w:cs="Times New Roman"/>
                <w:color w:val="auto"/>
                <w:sz w:val="21"/>
                <w:szCs w:val="21"/>
              </w:rPr>
              <w:t>在职导游的资格证书打分，具有高级国导证的每张证得2分,具有中级国导证的每张证得1.5分，具有初级国导证的每张证得1分。单名导游上述三证取最高值加分，不得重复计分，累计最高不得超过4分。</w:t>
            </w:r>
          </w:p>
          <w:p w14:paraId="1B249E10">
            <w:pPr>
              <w:spacing w:line="360" w:lineRule="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注：提供导游资格证书复印件及在本单位缴纳1个月及以上的社保证明，加盖公章，未提供不得分。</w:t>
            </w:r>
          </w:p>
        </w:tc>
      </w:tr>
      <w:tr w14:paraId="61EF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239" w:type="dxa"/>
            <w:vMerge w:val="continue"/>
            <w:tcBorders>
              <w:left w:val="single" w:color="auto" w:sz="4" w:space="0"/>
            </w:tcBorders>
            <w:noWrap w:val="0"/>
            <w:vAlign w:val="center"/>
          </w:tcPr>
          <w:p w14:paraId="7BE45ABF">
            <w:pPr>
              <w:spacing w:line="240" w:lineRule="auto"/>
              <w:jc w:val="center"/>
              <w:rPr>
                <w:rFonts w:hint="eastAsia" w:ascii="宋体" w:hAnsi="宋体" w:eastAsia="宋体" w:cs="宋体"/>
                <w:color w:val="auto"/>
                <w:kern w:val="0"/>
                <w:sz w:val="21"/>
                <w:szCs w:val="21"/>
              </w:rPr>
            </w:pPr>
          </w:p>
        </w:tc>
        <w:tc>
          <w:tcPr>
            <w:tcW w:w="1426" w:type="dxa"/>
            <w:tcBorders>
              <w:top w:val="single" w:color="auto" w:sz="4" w:space="0"/>
              <w:bottom w:val="single" w:color="auto" w:sz="4" w:space="0"/>
              <w:right w:val="single" w:color="auto" w:sz="4" w:space="0"/>
            </w:tcBorders>
            <w:noWrap w:val="0"/>
            <w:vAlign w:val="center"/>
          </w:tcPr>
          <w:p w14:paraId="5A7D3E4D">
            <w:pPr>
              <w:spacing w:line="240" w:lineRule="auto"/>
              <w:jc w:val="center"/>
              <w:rPr>
                <w:rFonts w:hint="eastAsia" w:ascii="宋体" w:hAnsi="宋体"/>
                <w:color w:val="auto"/>
                <w:kern w:val="0"/>
                <w:sz w:val="21"/>
                <w:szCs w:val="21"/>
                <w:lang w:eastAsia="zh-CN"/>
              </w:rPr>
            </w:pPr>
            <w:r>
              <w:rPr>
                <w:rFonts w:hint="eastAsia" w:ascii="宋体" w:hAnsi="宋体"/>
                <w:color w:val="auto"/>
                <w:kern w:val="0"/>
                <w:sz w:val="21"/>
                <w:szCs w:val="21"/>
                <w:lang w:eastAsia="zh-CN"/>
              </w:rPr>
              <w:t>业主评价</w:t>
            </w:r>
          </w:p>
          <w:p w14:paraId="47C1114F">
            <w:pPr>
              <w:spacing w:line="240" w:lineRule="auto"/>
              <w:jc w:val="center"/>
              <w:rPr>
                <w:rFonts w:hint="eastAsia" w:ascii="宋体" w:hAnsi="宋体"/>
                <w:color w:val="auto"/>
                <w:kern w:val="0"/>
                <w:sz w:val="21"/>
                <w:szCs w:val="21"/>
                <w:lang w:eastAsia="zh-CN"/>
              </w:rPr>
            </w:pPr>
            <w:r>
              <w:rPr>
                <w:rFonts w:hint="eastAsia" w:ascii="宋体" w:hAnsi="宋体"/>
                <w:color w:val="auto"/>
                <w:kern w:val="0"/>
                <w:sz w:val="21"/>
                <w:szCs w:val="21"/>
                <w:lang w:eastAsia="zh-CN"/>
              </w:rPr>
              <w:t>意见</w:t>
            </w:r>
          </w:p>
          <w:p w14:paraId="48FB3859">
            <w:pPr>
              <w:spacing w:line="240" w:lineRule="auto"/>
              <w:jc w:val="center"/>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3</w:t>
            </w:r>
            <w:r>
              <w:rPr>
                <w:rFonts w:hint="eastAsia" w:ascii="宋体" w:hAnsi="宋体"/>
                <w:color w:val="auto"/>
                <w:kern w:val="0"/>
                <w:sz w:val="21"/>
                <w:szCs w:val="21"/>
                <w:lang w:eastAsia="zh-CN"/>
              </w:rPr>
              <w:t>分</w:t>
            </w:r>
          </w:p>
        </w:tc>
        <w:tc>
          <w:tcPr>
            <w:tcW w:w="7823" w:type="dxa"/>
            <w:tcBorders>
              <w:left w:val="single" w:color="auto" w:sz="4" w:space="0"/>
            </w:tcBorders>
            <w:noWrap w:val="0"/>
            <w:vAlign w:val="center"/>
          </w:tcPr>
          <w:p w14:paraId="54A0AF2B">
            <w:pPr>
              <w:spacing w:line="360" w:lineRule="auto"/>
              <w:jc w:val="left"/>
              <w:rPr>
                <w:rFonts w:hint="eastAsia" w:ascii="宋体" w:hAnsi="宋体" w:eastAsia="宋体" w:cs="Times New Roman"/>
                <w:color w:val="auto"/>
                <w:kern w:val="0"/>
                <w:sz w:val="21"/>
                <w:szCs w:val="21"/>
                <w:lang w:eastAsia="zh-CN"/>
              </w:rPr>
            </w:pPr>
            <w:r>
              <w:rPr>
                <w:rFonts w:hint="eastAsia" w:ascii="宋体" w:hAnsi="宋体" w:eastAsia="宋体" w:cs="Times New Roman"/>
                <w:color w:val="auto"/>
                <w:kern w:val="0"/>
                <w:sz w:val="21"/>
                <w:szCs w:val="21"/>
                <w:lang w:eastAsia="zh-CN"/>
              </w:rPr>
              <w:t xml:space="preserve"> </w:t>
            </w:r>
          </w:p>
          <w:p w14:paraId="077F0E74">
            <w:pPr>
              <w:spacing w:line="360" w:lineRule="auto"/>
              <w:ind w:firstLine="420" w:firstLineChars="200"/>
              <w:jc w:val="left"/>
              <w:rPr>
                <w:rFonts w:hint="eastAsia" w:ascii="宋体" w:hAnsi="宋体" w:cs="Arial"/>
                <w:b/>
                <w:bCs/>
                <w:snapToGrid w:val="0"/>
                <w:color w:val="auto"/>
                <w:kern w:val="0"/>
                <w:sz w:val="21"/>
                <w:szCs w:val="21"/>
              </w:rPr>
            </w:pPr>
            <w:r>
              <w:rPr>
                <w:rFonts w:hint="eastAsia" w:ascii="宋体" w:hAnsi="宋体" w:eastAsia="宋体" w:cs="Times New Roman"/>
                <w:color w:val="auto"/>
                <w:kern w:val="0"/>
                <w:sz w:val="21"/>
                <w:szCs w:val="21"/>
                <w:lang w:eastAsia="zh-CN"/>
              </w:rPr>
              <w:t>根据响应方提供的近三年（20</w:t>
            </w:r>
            <w:r>
              <w:rPr>
                <w:rFonts w:hint="eastAsia" w:ascii="宋体" w:hAnsi="宋体" w:eastAsia="宋体" w:cs="Times New Roman"/>
                <w:color w:val="auto"/>
                <w:kern w:val="0"/>
                <w:sz w:val="21"/>
                <w:szCs w:val="21"/>
                <w:lang w:val="en-US" w:eastAsia="zh-CN"/>
              </w:rPr>
              <w:t>2</w:t>
            </w:r>
            <w:r>
              <w:rPr>
                <w:rFonts w:hint="eastAsia" w:ascii="宋体" w:hAnsi="宋体" w:cs="Times New Roman"/>
                <w:color w:val="auto"/>
                <w:kern w:val="0"/>
                <w:sz w:val="21"/>
                <w:szCs w:val="21"/>
                <w:lang w:val="en-US" w:eastAsia="zh-CN"/>
              </w:rPr>
              <w:t>2</w:t>
            </w:r>
            <w:bookmarkStart w:id="14" w:name="_GoBack"/>
            <w:bookmarkEnd w:id="14"/>
            <w:r>
              <w:rPr>
                <w:rFonts w:hint="eastAsia" w:ascii="宋体" w:hAnsi="宋体" w:eastAsia="宋体" w:cs="Times New Roman"/>
                <w:color w:val="auto"/>
                <w:kern w:val="0"/>
                <w:sz w:val="21"/>
                <w:szCs w:val="21"/>
                <w:lang w:eastAsia="zh-CN"/>
              </w:rPr>
              <w:t>年1月1日起至本项目截标时间止）对服务过的客户取得过对方良好评价的，每提供一个得1分，最多得</w:t>
            </w:r>
            <w:r>
              <w:rPr>
                <w:rFonts w:hint="eastAsia" w:ascii="宋体" w:hAnsi="宋体" w:eastAsia="宋体" w:cs="Times New Roman"/>
                <w:color w:val="auto"/>
                <w:kern w:val="0"/>
                <w:sz w:val="21"/>
                <w:szCs w:val="21"/>
                <w:lang w:val="en-US" w:eastAsia="zh-CN"/>
              </w:rPr>
              <w:t>3</w:t>
            </w:r>
            <w:r>
              <w:rPr>
                <w:rFonts w:hint="eastAsia" w:ascii="宋体" w:hAnsi="宋体" w:eastAsia="宋体" w:cs="Times New Roman"/>
                <w:color w:val="auto"/>
                <w:kern w:val="0"/>
                <w:sz w:val="21"/>
                <w:szCs w:val="21"/>
                <w:lang w:eastAsia="zh-CN"/>
              </w:rPr>
              <w:t>分。（注：以提供客户评价表或业主意见评价表等（须业主或客户盖章）能体现本单位服务质量的相关证明材料）</w:t>
            </w:r>
          </w:p>
        </w:tc>
      </w:tr>
      <w:tr w14:paraId="7D19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39" w:type="dxa"/>
            <w:vMerge w:val="continue"/>
            <w:tcBorders>
              <w:left w:val="single" w:color="auto" w:sz="4" w:space="0"/>
            </w:tcBorders>
            <w:noWrap w:val="0"/>
            <w:vAlign w:val="center"/>
          </w:tcPr>
          <w:p w14:paraId="5FF9453E">
            <w:pPr>
              <w:spacing w:line="240" w:lineRule="auto"/>
              <w:jc w:val="center"/>
              <w:rPr>
                <w:rFonts w:hint="eastAsia" w:ascii="宋体" w:hAnsi="宋体" w:eastAsia="宋体" w:cs="宋体"/>
                <w:color w:val="auto"/>
                <w:kern w:val="0"/>
                <w:sz w:val="21"/>
                <w:szCs w:val="21"/>
              </w:rPr>
            </w:pPr>
          </w:p>
        </w:tc>
        <w:tc>
          <w:tcPr>
            <w:tcW w:w="1426" w:type="dxa"/>
            <w:tcBorders>
              <w:top w:val="single" w:color="auto" w:sz="4" w:space="0"/>
              <w:left w:val="single" w:color="auto" w:sz="4" w:space="0"/>
            </w:tcBorders>
            <w:noWrap w:val="0"/>
            <w:vAlign w:val="center"/>
          </w:tcPr>
          <w:p w14:paraId="1DA53F34">
            <w:pPr>
              <w:spacing w:line="240" w:lineRule="auto"/>
              <w:jc w:val="center"/>
              <w:rPr>
                <w:rFonts w:hint="eastAsia" w:ascii="宋体" w:hAnsi="宋体" w:eastAsia="宋体" w:cs="Arial"/>
                <w:snapToGrid w:val="0"/>
                <w:color w:val="auto"/>
                <w:kern w:val="0"/>
                <w:sz w:val="21"/>
                <w:szCs w:val="21"/>
              </w:rPr>
            </w:pPr>
            <w:r>
              <w:rPr>
                <w:rFonts w:hint="eastAsia" w:ascii="宋体" w:hAnsi="宋体" w:eastAsia="宋体" w:cs="Arial"/>
                <w:snapToGrid w:val="0"/>
                <w:color w:val="auto"/>
                <w:kern w:val="0"/>
                <w:sz w:val="21"/>
                <w:szCs w:val="21"/>
              </w:rPr>
              <w:t>提供实质性的优惠条件或服务措施</w:t>
            </w:r>
          </w:p>
          <w:p w14:paraId="3A825E36">
            <w:pPr>
              <w:spacing w:line="240" w:lineRule="auto"/>
              <w:jc w:val="center"/>
              <w:rPr>
                <w:rFonts w:hint="eastAsia" w:ascii="宋体" w:hAnsi="宋体"/>
                <w:color w:val="auto"/>
                <w:kern w:val="0"/>
                <w:sz w:val="21"/>
                <w:szCs w:val="21"/>
              </w:rPr>
            </w:pPr>
            <w:r>
              <w:rPr>
                <w:rFonts w:hint="eastAsia" w:ascii="宋体" w:hAnsi="宋体" w:eastAsia="宋体" w:cs="Arial"/>
                <w:snapToGrid w:val="0"/>
                <w:color w:val="auto"/>
                <w:kern w:val="0"/>
                <w:sz w:val="21"/>
                <w:szCs w:val="21"/>
                <w:lang w:val="en-US" w:eastAsia="zh-CN"/>
              </w:rPr>
              <w:t>3</w:t>
            </w:r>
            <w:r>
              <w:rPr>
                <w:rFonts w:hint="eastAsia" w:ascii="宋体" w:hAnsi="宋体" w:eastAsia="宋体" w:cs="Arial"/>
                <w:snapToGrid w:val="0"/>
                <w:color w:val="auto"/>
                <w:kern w:val="0"/>
                <w:sz w:val="21"/>
                <w:szCs w:val="21"/>
              </w:rPr>
              <w:t>分</w:t>
            </w:r>
          </w:p>
        </w:tc>
        <w:tc>
          <w:tcPr>
            <w:tcW w:w="7823" w:type="dxa"/>
            <w:noWrap w:val="0"/>
            <w:vAlign w:val="center"/>
          </w:tcPr>
          <w:p w14:paraId="4A41B331">
            <w:pPr>
              <w:spacing w:line="360" w:lineRule="auto"/>
              <w:ind w:firstLine="420" w:firstLineChars="200"/>
              <w:jc w:val="left"/>
              <w:rPr>
                <w:rFonts w:hint="default" w:ascii="宋体" w:hAnsi="宋体"/>
                <w:b/>
                <w:color w:val="auto"/>
                <w:sz w:val="21"/>
                <w:szCs w:val="21"/>
                <w:lang w:val="en-US"/>
              </w:rPr>
            </w:pPr>
            <w:r>
              <w:rPr>
                <w:rFonts w:hint="eastAsia" w:ascii="宋体" w:hAnsi="宋体" w:eastAsia="宋体" w:cs="Arial"/>
                <w:snapToGrid w:val="0"/>
                <w:color w:val="auto"/>
                <w:kern w:val="0"/>
                <w:sz w:val="21"/>
                <w:szCs w:val="21"/>
              </w:rPr>
              <w:t>根据</w:t>
            </w:r>
            <w:r>
              <w:rPr>
                <w:rFonts w:hint="eastAsia" w:ascii="宋体" w:hAnsi="宋体" w:cs="Arial"/>
                <w:snapToGrid w:val="0"/>
                <w:color w:val="auto"/>
                <w:kern w:val="0"/>
                <w:sz w:val="21"/>
                <w:szCs w:val="21"/>
                <w:lang w:val="en-US" w:eastAsia="zh-CN"/>
              </w:rPr>
              <w:t>磋商</w:t>
            </w:r>
            <w:r>
              <w:rPr>
                <w:rFonts w:hint="eastAsia" w:ascii="宋体" w:hAnsi="宋体" w:eastAsia="宋体" w:cs="Arial"/>
                <w:snapToGrid w:val="0"/>
                <w:color w:val="auto"/>
                <w:kern w:val="0"/>
                <w:sz w:val="21"/>
                <w:szCs w:val="21"/>
              </w:rPr>
              <w:t>响应方提供的针对本项目的实质性优惠条件或服务措施进行打分</w:t>
            </w:r>
            <w:r>
              <w:rPr>
                <w:rFonts w:hint="eastAsia" w:ascii="宋体" w:hAnsi="宋体" w:eastAsia="宋体" w:cs="Arial"/>
                <w:snapToGrid w:val="0"/>
                <w:color w:val="auto"/>
                <w:kern w:val="0"/>
                <w:sz w:val="21"/>
                <w:szCs w:val="21"/>
                <w:lang w:eastAsia="zh-CN"/>
              </w:rPr>
              <w:t>（</w:t>
            </w:r>
            <w:r>
              <w:rPr>
                <w:rFonts w:hint="eastAsia" w:ascii="宋体" w:hAnsi="宋体" w:eastAsia="宋体" w:cs="Arial"/>
                <w:snapToGrid w:val="0"/>
                <w:color w:val="auto"/>
                <w:kern w:val="0"/>
                <w:sz w:val="21"/>
                <w:szCs w:val="21"/>
                <w:lang w:val="en-US" w:eastAsia="zh-CN"/>
              </w:rPr>
              <w:t>3分、2分，1分，0.5分，0分</w:t>
            </w:r>
            <w:r>
              <w:rPr>
                <w:rFonts w:hint="eastAsia" w:ascii="宋体" w:hAnsi="宋体" w:eastAsia="宋体" w:cs="Arial"/>
                <w:snapToGrid w:val="0"/>
                <w:color w:val="auto"/>
                <w:kern w:val="0"/>
                <w:sz w:val="21"/>
                <w:szCs w:val="21"/>
                <w:lang w:eastAsia="zh-CN"/>
              </w:rPr>
              <w:t>）。</w:t>
            </w:r>
          </w:p>
        </w:tc>
      </w:tr>
    </w:tbl>
    <w:p w14:paraId="7521B39F">
      <w:pPr>
        <w:tabs>
          <w:tab w:val="left" w:pos="426"/>
        </w:tabs>
        <w:autoSpaceDE w:val="0"/>
        <w:autoSpaceDN w:val="0"/>
        <w:adjustRightInd w:val="0"/>
        <w:spacing w:line="360" w:lineRule="auto"/>
        <w:jc w:val="left"/>
        <w:rPr>
          <w:rFonts w:hint="eastAsia" w:ascii="宋体" w:hAnsi="宋体"/>
          <w:b/>
          <w:bCs/>
          <w:kern w:val="0"/>
          <w:szCs w:val="21"/>
        </w:rPr>
      </w:pPr>
    </w:p>
    <w:p w14:paraId="2D831BD3">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6.3 技术、商务、资信及其他分的计算</w:t>
      </w:r>
    </w:p>
    <w:p w14:paraId="00166B82">
      <w:pPr>
        <w:tabs>
          <w:tab w:val="left" w:pos="426"/>
        </w:tabs>
        <w:autoSpaceDE w:val="0"/>
        <w:autoSpaceDN w:val="0"/>
        <w:adjustRightInd w:val="0"/>
        <w:spacing w:line="360" w:lineRule="auto"/>
        <w:jc w:val="left"/>
        <w:rPr>
          <w:rFonts w:ascii="宋体" w:hAnsi="宋体"/>
          <w:bCs/>
          <w:kern w:val="0"/>
          <w:szCs w:val="21"/>
        </w:rPr>
      </w:pPr>
      <w:r>
        <w:rPr>
          <w:rFonts w:hint="eastAsia" w:ascii="宋体" w:hAnsi="宋体"/>
          <w:bCs/>
          <w:kern w:val="0"/>
          <w:szCs w:val="21"/>
        </w:rPr>
        <w:t>技术、商务、资信及其他分按照评标委员会成员的独立评分结果汇总数的算术平均分计算，计算公式为：</w:t>
      </w:r>
    </w:p>
    <w:p w14:paraId="052A4C65">
      <w:pPr>
        <w:tabs>
          <w:tab w:val="left" w:pos="426"/>
        </w:tabs>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技术商务资信及其他分=评标委员会所有成员评分合计数/评标委员会组成人员数</w:t>
      </w:r>
    </w:p>
    <w:p w14:paraId="2664DA1D">
      <w:pPr>
        <w:widowControl/>
        <w:numPr>
          <w:ilvl w:val="0"/>
          <w:numId w:val="31"/>
        </w:numPr>
        <w:snapToGrid w:val="0"/>
        <w:spacing w:beforeLines="50" w:afterLines="50" w:line="360" w:lineRule="auto"/>
        <w:jc w:val="left"/>
        <w:outlineLvl w:val="1"/>
        <w:rPr>
          <w:rFonts w:ascii="宋体" w:hAnsi="宋体" w:cs="Arial"/>
          <w:b/>
          <w:bCs/>
          <w:color w:val="000000"/>
          <w:szCs w:val="21"/>
        </w:rPr>
      </w:pPr>
      <w:r>
        <w:rPr>
          <w:rFonts w:hint="eastAsia" w:ascii="宋体" w:hAnsi="宋体"/>
          <w:b/>
          <w:color w:val="000000"/>
          <w:szCs w:val="21"/>
        </w:rPr>
        <w:t>废标</w:t>
      </w:r>
    </w:p>
    <w:p w14:paraId="38BB942B">
      <w:pPr>
        <w:spacing w:line="360" w:lineRule="auto"/>
        <w:ind w:firstLine="422" w:firstLineChars="200"/>
        <w:rPr>
          <w:rFonts w:ascii="宋体" w:hAnsi="宋体"/>
          <w:b/>
          <w:bCs/>
          <w:color w:val="000000"/>
          <w:szCs w:val="21"/>
        </w:rPr>
      </w:pPr>
      <w:r>
        <w:rPr>
          <w:rFonts w:hint="eastAsia" w:ascii="宋体" w:hAnsi="宋体"/>
          <w:b/>
          <w:bCs/>
          <w:color w:val="000000"/>
          <w:szCs w:val="21"/>
        </w:rPr>
        <w:t>在采购中，出现下列情形之一的，应予废标（法律、法规、规章、省级及以上监管部门规定的其他情形除外），并由磋商小组出具废标报告：</w:t>
      </w:r>
    </w:p>
    <w:p w14:paraId="4D2E5489">
      <w:pPr>
        <w:snapToGrid w:val="0"/>
        <w:spacing w:line="360" w:lineRule="auto"/>
        <w:ind w:firstLine="420" w:firstLineChars="200"/>
        <w:rPr>
          <w:rFonts w:ascii="宋体" w:hAnsi="宋体"/>
          <w:color w:val="000000"/>
          <w:szCs w:val="21"/>
        </w:rPr>
      </w:pPr>
      <w:r>
        <w:rPr>
          <w:rFonts w:hint="eastAsia" w:ascii="宋体" w:hAnsi="宋体"/>
          <w:color w:val="000000"/>
          <w:szCs w:val="21"/>
        </w:rPr>
        <w:t>1.符合专业条件的供应商或者对采购文件作实质响应的供应商不足三家的；</w:t>
      </w:r>
    </w:p>
    <w:p w14:paraId="0399EFC8">
      <w:pPr>
        <w:snapToGrid w:val="0"/>
        <w:spacing w:line="360" w:lineRule="auto"/>
        <w:ind w:firstLine="420" w:firstLineChars="200"/>
        <w:rPr>
          <w:rFonts w:ascii="宋体" w:hAnsi="宋体"/>
          <w:color w:val="000000"/>
          <w:szCs w:val="21"/>
        </w:rPr>
      </w:pPr>
      <w:r>
        <w:rPr>
          <w:rFonts w:hint="eastAsia" w:ascii="宋体" w:hAnsi="宋体"/>
          <w:color w:val="000000"/>
          <w:szCs w:val="21"/>
        </w:rPr>
        <w:t>2.出现影响采购公正的违法、违规行为的；</w:t>
      </w:r>
    </w:p>
    <w:p w14:paraId="74B0B0FD">
      <w:pPr>
        <w:snapToGrid w:val="0"/>
        <w:spacing w:line="360" w:lineRule="auto"/>
        <w:ind w:firstLine="420" w:firstLineChars="200"/>
        <w:rPr>
          <w:rFonts w:ascii="宋体" w:hAnsi="宋体"/>
          <w:color w:val="000000"/>
          <w:szCs w:val="21"/>
        </w:rPr>
      </w:pPr>
      <w:r>
        <w:rPr>
          <w:rFonts w:hint="eastAsia" w:ascii="宋体" w:hAnsi="宋体"/>
          <w:color w:val="000000"/>
          <w:szCs w:val="21"/>
        </w:rPr>
        <w:t>3.因重大变故，采购任务取消的；</w:t>
      </w:r>
    </w:p>
    <w:p w14:paraId="6978D927">
      <w:pPr>
        <w:snapToGrid w:val="0"/>
        <w:spacing w:line="360" w:lineRule="auto"/>
        <w:ind w:firstLine="420" w:firstLineChars="200"/>
        <w:rPr>
          <w:rFonts w:ascii="宋体" w:hAnsi="宋体"/>
          <w:color w:val="000000"/>
          <w:szCs w:val="21"/>
        </w:rPr>
      </w:pPr>
      <w:r>
        <w:rPr>
          <w:rFonts w:hint="eastAsia" w:ascii="宋体" w:hAnsi="宋体"/>
          <w:color w:val="000000"/>
          <w:szCs w:val="21"/>
        </w:rPr>
        <w:t>4.磋商响应方的报价均超采购预算的，采购人不能支付的。</w:t>
      </w:r>
    </w:p>
    <w:p w14:paraId="2519BC96">
      <w:pPr>
        <w:widowControl/>
        <w:numPr>
          <w:ilvl w:val="0"/>
          <w:numId w:val="31"/>
        </w:numPr>
        <w:snapToGrid w:val="0"/>
        <w:spacing w:beforeLines="50" w:afterLines="50" w:line="360" w:lineRule="auto"/>
        <w:jc w:val="left"/>
        <w:outlineLvl w:val="1"/>
        <w:rPr>
          <w:rFonts w:ascii="宋体" w:hAnsi="宋体" w:cs="Arial"/>
          <w:b/>
          <w:bCs/>
          <w:color w:val="000000"/>
          <w:szCs w:val="21"/>
        </w:rPr>
      </w:pPr>
      <w:r>
        <w:rPr>
          <w:rFonts w:hint="eastAsia" w:ascii="宋体" w:hAnsi="宋体" w:cs="Arial"/>
          <w:b/>
          <w:bCs/>
          <w:color w:val="000000"/>
          <w:szCs w:val="21"/>
        </w:rPr>
        <w:t>成交通知</w:t>
      </w:r>
    </w:p>
    <w:p w14:paraId="32B466CC">
      <w:pPr>
        <w:snapToGrid w:val="0"/>
        <w:spacing w:line="360" w:lineRule="auto"/>
        <w:ind w:firstLine="420" w:firstLineChars="200"/>
        <w:rPr>
          <w:rFonts w:ascii="宋体" w:hAnsi="宋体"/>
          <w:color w:val="000000"/>
          <w:szCs w:val="21"/>
        </w:rPr>
      </w:pPr>
      <w:r>
        <w:rPr>
          <w:rFonts w:hint="eastAsia" w:ascii="宋体" w:hAnsi="宋体"/>
          <w:color w:val="000000"/>
          <w:szCs w:val="21"/>
        </w:rPr>
        <w:t>（一）磋商结束后，浙江鑫润工程管理有限公司在浙江省政府采购网上发布成交结果公告，公告7个工作日后，如无采购响应商质疑，由浙江鑫润工程管理有限公司签发《成交通知书》，中标人应在公示发出10个工作日内前往代理机构领取通知书，若有质疑投诉的可在质疑投诉处理后领取。</w:t>
      </w:r>
    </w:p>
    <w:p w14:paraId="1E2FCE0E">
      <w:pPr>
        <w:snapToGrid w:val="0"/>
        <w:spacing w:line="360" w:lineRule="auto"/>
        <w:ind w:firstLine="420" w:firstLineChars="200"/>
        <w:rPr>
          <w:rFonts w:ascii="宋体" w:hAnsi="宋体"/>
          <w:color w:val="000000"/>
          <w:szCs w:val="21"/>
        </w:rPr>
      </w:pPr>
      <w:r>
        <w:rPr>
          <w:rFonts w:hint="eastAsia" w:ascii="宋体" w:hAnsi="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14:paraId="52FD7E0C">
      <w:pPr>
        <w:snapToGrid w:val="0"/>
        <w:spacing w:line="360" w:lineRule="auto"/>
        <w:ind w:firstLine="420" w:firstLineChars="200"/>
        <w:rPr>
          <w:rFonts w:ascii="宋体" w:hAnsi="宋体"/>
          <w:color w:val="000000"/>
          <w:szCs w:val="21"/>
        </w:rPr>
      </w:pPr>
      <w:r>
        <w:rPr>
          <w:rFonts w:hint="eastAsia" w:ascii="宋体" w:hAnsi="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09DCFEDE">
      <w:pPr>
        <w:snapToGrid w:val="0"/>
        <w:spacing w:line="360" w:lineRule="auto"/>
        <w:ind w:firstLine="420" w:firstLineChars="200"/>
        <w:rPr>
          <w:rFonts w:ascii="宋体" w:hAnsi="宋体"/>
          <w:color w:val="000000"/>
          <w:szCs w:val="21"/>
        </w:rPr>
      </w:pPr>
      <w:r>
        <w:rPr>
          <w:rFonts w:hint="eastAsia" w:ascii="宋体" w:hAnsi="宋体"/>
          <w:color w:val="000000"/>
          <w:szCs w:val="21"/>
        </w:rPr>
        <w:t>（四）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1EC9B9BD">
      <w:pPr>
        <w:widowControl/>
        <w:numPr>
          <w:ilvl w:val="0"/>
          <w:numId w:val="31"/>
        </w:numPr>
        <w:snapToGrid w:val="0"/>
        <w:spacing w:beforeLines="50" w:afterLines="50" w:line="360" w:lineRule="auto"/>
        <w:jc w:val="left"/>
        <w:outlineLvl w:val="1"/>
        <w:rPr>
          <w:rFonts w:ascii="宋体" w:hAnsi="宋体" w:cs="Arial"/>
          <w:b/>
          <w:bCs/>
          <w:color w:val="000000"/>
          <w:szCs w:val="21"/>
        </w:rPr>
      </w:pPr>
      <w:r>
        <w:rPr>
          <w:rFonts w:hint="eastAsia" w:ascii="宋体" w:hAnsi="宋体" w:cs="Arial"/>
          <w:b/>
          <w:bCs/>
          <w:color w:val="000000"/>
          <w:szCs w:val="21"/>
        </w:rPr>
        <w:t>合同授予</w:t>
      </w:r>
    </w:p>
    <w:p w14:paraId="6263FCB8">
      <w:pPr>
        <w:snapToGrid w:val="0"/>
        <w:spacing w:line="360" w:lineRule="auto"/>
        <w:ind w:firstLine="420" w:firstLineChars="200"/>
        <w:rPr>
          <w:rFonts w:ascii="宋体" w:hAnsi="宋体"/>
          <w:color w:val="000000"/>
          <w:szCs w:val="21"/>
        </w:rPr>
      </w:pPr>
      <w:r>
        <w:rPr>
          <w:rFonts w:hint="eastAsia" w:ascii="宋体" w:hAnsi="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14:paraId="21520853">
      <w:pPr>
        <w:snapToGrid w:val="0"/>
        <w:spacing w:line="360" w:lineRule="auto"/>
        <w:ind w:firstLine="420" w:firstLineChars="200"/>
        <w:rPr>
          <w:rFonts w:ascii="宋体" w:hAnsi="宋体"/>
          <w:color w:val="000000"/>
          <w:szCs w:val="21"/>
        </w:rPr>
      </w:pPr>
      <w:r>
        <w:rPr>
          <w:rFonts w:hint="eastAsia" w:ascii="宋体" w:hAnsi="宋体"/>
          <w:color w:val="000000"/>
          <w:szCs w:val="21"/>
        </w:rPr>
        <w:t>（二）合同正本应一式四份，采购单位与供应商双方各执一份；其他两份交由采购代理机构。</w:t>
      </w:r>
    </w:p>
    <w:p w14:paraId="197FA5A1">
      <w:pPr>
        <w:snapToGrid w:val="0"/>
        <w:spacing w:line="360" w:lineRule="auto"/>
        <w:ind w:firstLine="420" w:firstLineChars="200"/>
        <w:rPr>
          <w:rFonts w:ascii="宋体" w:hAnsi="宋体"/>
          <w:b/>
          <w:kern w:val="44"/>
          <w:szCs w:val="21"/>
        </w:rPr>
      </w:pPr>
      <w:r>
        <w:rPr>
          <w:rFonts w:hint="eastAsia" w:ascii="宋体" w:hAnsi="宋体"/>
          <w:color w:val="000000"/>
          <w:szCs w:val="21"/>
        </w:rPr>
        <w:t>（三）成交供应商拖延、拒签合同的,将被取消中标资格。</w:t>
      </w:r>
      <w:bookmarkStart w:id="7" w:name="_Toc154458233"/>
      <w:bookmarkStart w:id="8" w:name="_Toc142379002"/>
      <w:bookmarkStart w:id="9" w:name="_Toc154458232"/>
      <w:bookmarkStart w:id="10" w:name="_Toc177981189"/>
      <w:bookmarkStart w:id="11" w:name="_Toc142379001"/>
      <w:bookmarkStart w:id="12" w:name="_Toc75236457"/>
    </w:p>
    <w:bookmarkEnd w:id="7"/>
    <w:bookmarkEnd w:id="8"/>
    <w:p w14:paraId="2632B98F">
      <w:pPr>
        <w:spacing w:line="360" w:lineRule="exact"/>
        <w:jc w:val="center"/>
        <w:outlineLvl w:val="0"/>
        <w:rPr>
          <w:rFonts w:ascii="宋体" w:hAnsi="宋体" w:cs="宋体"/>
          <w:b/>
          <w:bCs/>
          <w:sz w:val="36"/>
          <w:szCs w:val="36"/>
          <w:shd w:val="clear" w:color="auto" w:fill="FFFFFF"/>
        </w:rPr>
      </w:pPr>
      <w:bookmarkStart w:id="13" w:name="_Toc23150084"/>
    </w:p>
    <w:p w14:paraId="426B966E">
      <w:pPr>
        <w:spacing w:line="360" w:lineRule="exact"/>
        <w:jc w:val="center"/>
        <w:outlineLvl w:val="0"/>
        <w:rPr>
          <w:rFonts w:ascii="宋体" w:hAnsi="宋体" w:cs="宋体"/>
          <w:b/>
          <w:bCs/>
          <w:sz w:val="36"/>
          <w:szCs w:val="36"/>
          <w:shd w:val="clear" w:color="auto" w:fill="FFFFFF"/>
        </w:rPr>
      </w:pPr>
    </w:p>
    <w:p w14:paraId="6980317B">
      <w:pPr>
        <w:spacing w:line="360" w:lineRule="exact"/>
        <w:jc w:val="center"/>
        <w:outlineLvl w:val="0"/>
        <w:rPr>
          <w:rFonts w:ascii="宋体" w:hAnsi="宋体" w:cs="宋体"/>
          <w:b/>
          <w:bCs/>
          <w:sz w:val="36"/>
          <w:szCs w:val="36"/>
          <w:shd w:val="clear" w:color="auto" w:fill="FFFFFF"/>
        </w:rPr>
      </w:pPr>
    </w:p>
    <w:p w14:paraId="14521808">
      <w:pPr>
        <w:spacing w:line="360" w:lineRule="exact"/>
        <w:jc w:val="center"/>
        <w:outlineLvl w:val="0"/>
        <w:rPr>
          <w:rFonts w:ascii="宋体" w:hAnsi="宋体" w:cs="宋体"/>
          <w:b/>
          <w:bCs/>
          <w:sz w:val="36"/>
          <w:szCs w:val="36"/>
          <w:shd w:val="clear" w:color="auto" w:fill="FFFFFF"/>
        </w:rPr>
      </w:pPr>
    </w:p>
    <w:p w14:paraId="596A19CD">
      <w:pPr>
        <w:spacing w:line="360" w:lineRule="exact"/>
        <w:jc w:val="center"/>
        <w:outlineLvl w:val="0"/>
        <w:rPr>
          <w:rFonts w:ascii="宋体" w:hAnsi="宋体" w:cs="宋体"/>
          <w:b/>
          <w:bCs/>
          <w:sz w:val="36"/>
          <w:szCs w:val="36"/>
          <w:shd w:val="clear" w:color="auto" w:fill="FFFFFF"/>
        </w:rPr>
      </w:pPr>
    </w:p>
    <w:bookmarkEnd w:id="13"/>
    <w:p w14:paraId="2EC4C73F">
      <w:pPr>
        <w:spacing w:line="398" w:lineRule="exact"/>
        <w:ind w:right="678"/>
        <w:jc w:val="both"/>
        <w:rPr>
          <w:rFonts w:hint="eastAsia"/>
          <w:b/>
          <w:sz w:val="36"/>
        </w:rPr>
      </w:pPr>
    </w:p>
    <w:p w14:paraId="352156EE">
      <w:pPr>
        <w:spacing w:line="398" w:lineRule="exact"/>
        <w:ind w:right="678"/>
        <w:jc w:val="center"/>
        <w:rPr>
          <w:rFonts w:hint="eastAsia"/>
          <w:b/>
          <w:sz w:val="36"/>
        </w:rPr>
      </w:pPr>
    </w:p>
    <w:p w14:paraId="46E7DBCB">
      <w:pPr>
        <w:spacing w:line="398" w:lineRule="exact"/>
        <w:ind w:right="678"/>
        <w:jc w:val="center"/>
        <w:rPr>
          <w:rFonts w:hint="eastAsia"/>
          <w:b/>
          <w:sz w:val="36"/>
        </w:rPr>
      </w:pPr>
    </w:p>
    <w:p w14:paraId="78B34930">
      <w:pPr>
        <w:spacing w:line="398" w:lineRule="exact"/>
        <w:ind w:right="678"/>
        <w:jc w:val="center"/>
        <w:rPr>
          <w:b/>
          <w:sz w:val="36"/>
        </w:rPr>
      </w:pPr>
      <w:r>
        <w:rPr>
          <w:rFonts w:hint="eastAsia"/>
          <w:b/>
          <w:sz w:val="36"/>
        </w:rPr>
        <w:t>第五章  合同主要条款</w:t>
      </w:r>
    </w:p>
    <w:p w14:paraId="3D457F4A">
      <w:pPr>
        <w:spacing w:line="398" w:lineRule="exact"/>
        <w:ind w:left="420" w:right="678"/>
        <w:jc w:val="center"/>
        <w:rPr>
          <w:b/>
          <w:sz w:val="36"/>
        </w:rPr>
      </w:pPr>
      <w:r>
        <w:rPr>
          <w:b/>
          <w:sz w:val="36"/>
        </w:rPr>
        <w:t>（仅供参考）</w:t>
      </w:r>
    </w:p>
    <w:p w14:paraId="69BBECF9">
      <w:pPr>
        <w:spacing w:line="603" w:lineRule="exact"/>
        <w:ind w:left="420" w:right="671"/>
        <w:jc w:val="center"/>
        <w:rPr>
          <w:b/>
          <w:sz w:val="36"/>
          <w:szCs w:val="36"/>
        </w:rPr>
      </w:pPr>
      <w:r>
        <w:rPr>
          <w:b/>
          <w:sz w:val="36"/>
          <w:szCs w:val="36"/>
        </w:rPr>
        <w:t>浙江省境内旅游合同</w:t>
      </w:r>
    </w:p>
    <w:p w14:paraId="2104B6AB">
      <w:pPr>
        <w:pStyle w:val="2"/>
        <w:jc w:val="center"/>
      </w:pPr>
      <w:r>
        <w:t>（疗休养项目）</w:t>
      </w:r>
    </w:p>
    <w:p w14:paraId="5D112154">
      <w:pPr>
        <w:pStyle w:val="24"/>
        <w:rPr>
          <w:b/>
          <w:sz w:val="20"/>
        </w:rPr>
      </w:pPr>
    </w:p>
    <w:p w14:paraId="625CD4A7">
      <w:pPr>
        <w:pStyle w:val="24"/>
        <w:rPr>
          <w:b/>
          <w:sz w:val="20"/>
        </w:rPr>
      </w:pPr>
    </w:p>
    <w:p w14:paraId="20192825">
      <w:pPr>
        <w:pStyle w:val="24"/>
        <w:rPr>
          <w:b/>
          <w:sz w:val="20"/>
        </w:rPr>
      </w:pPr>
    </w:p>
    <w:p w14:paraId="0F71720C">
      <w:pPr>
        <w:pStyle w:val="24"/>
        <w:rPr>
          <w:b/>
          <w:sz w:val="20"/>
        </w:rPr>
      </w:pPr>
    </w:p>
    <w:p w14:paraId="68B08C2E">
      <w:pPr>
        <w:pStyle w:val="24"/>
        <w:rPr>
          <w:b/>
          <w:sz w:val="20"/>
        </w:rPr>
      </w:pPr>
    </w:p>
    <w:p w14:paraId="059B6C07">
      <w:pPr>
        <w:pStyle w:val="24"/>
        <w:rPr>
          <w:b/>
          <w:sz w:val="20"/>
        </w:rPr>
      </w:pPr>
    </w:p>
    <w:p w14:paraId="06025407">
      <w:pPr>
        <w:pStyle w:val="24"/>
        <w:rPr>
          <w:b/>
          <w:sz w:val="29"/>
        </w:rPr>
      </w:pPr>
    </w:p>
    <w:p w14:paraId="0ABF9212">
      <w:pPr>
        <w:pStyle w:val="7"/>
        <w:spacing w:before="55"/>
        <w:ind w:right="718"/>
        <w:jc w:val="center"/>
        <w:rPr>
          <w:rFonts w:ascii="Calibri" w:hAnsi="Calibri" w:eastAsia="宋体"/>
          <w:b w:val="0"/>
          <w:bCs w:val="0"/>
          <w:kern w:val="2"/>
          <w:sz w:val="32"/>
          <w:szCs w:val="22"/>
        </w:rPr>
      </w:pPr>
      <w:r>
        <w:rPr>
          <w:rFonts w:ascii="Calibri" w:hAnsi="Calibri" w:eastAsia="宋体"/>
          <w:b w:val="0"/>
          <w:bCs w:val="0"/>
          <w:kern w:val="2"/>
          <w:sz w:val="32"/>
          <w:szCs w:val="22"/>
        </w:rPr>
        <w:t>浙 江 省 旅 游 局</w:t>
      </w:r>
    </w:p>
    <w:p w14:paraId="4E5B58F2">
      <w:pPr>
        <w:spacing w:line="360" w:lineRule="exact"/>
        <w:ind w:left="5159" w:right="755"/>
        <w:jc w:val="center"/>
        <w:rPr>
          <w:sz w:val="32"/>
        </w:rPr>
      </w:pPr>
      <w:r>
        <w:rPr>
          <w:sz w:val="32"/>
        </w:rPr>
        <w:t>制定</w:t>
      </w:r>
    </w:p>
    <w:p w14:paraId="701FAFA2">
      <w:pPr>
        <w:spacing w:line="385" w:lineRule="exact"/>
        <w:ind w:left="420" w:right="678"/>
        <w:jc w:val="center"/>
        <w:rPr>
          <w:sz w:val="32"/>
        </w:rPr>
      </w:pPr>
      <w:r>
        <w:rPr>
          <w:sz w:val="32"/>
        </w:rPr>
        <w:t>浙江省工商行政管理局</w:t>
      </w:r>
    </w:p>
    <w:p w14:paraId="7FFED143">
      <w:pPr>
        <w:spacing w:line="385" w:lineRule="exact"/>
        <w:jc w:val="center"/>
        <w:rPr>
          <w:sz w:val="32"/>
        </w:rPr>
        <w:sectPr>
          <w:footerReference r:id="rId11" w:type="first"/>
          <w:headerReference r:id="rId9" w:type="default"/>
          <w:footerReference r:id="rId10" w:type="default"/>
          <w:pgSz w:w="11910" w:h="16840"/>
          <w:pgMar w:top="1580" w:right="480" w:bottom="1020" w:left="1120" w:header="0" w:footer="756" w:gutter="0"/>
          <w:pgNumType w:fmt="decimal"/>
          <w:cols w:space="720" w:num="1"/>
        </w:sectPr>
      </w:pPr>
    </w:p>
    <w:p w14:paraId="70636FC4">
      <w:pPr>
        <w:pStyle w:val="10"/>
        <w:spacing w:before="55"/>
        <w:ind w:left="4364"/>
      </w:pPr>
      <w:r>
        <w:t>使 用 说 明</w:t>
      </w:r>
    </w:p>
    <w:p w14:paraId="6131954C">
      <w:pPr>
        <w:pStyle w:val="24"/>
        <w:spacing w:before="94" w:line="312" w:lineRule="auto"/>
        <w:ind w:left="677" w:right="986" w:firstLine="480"/>
        <w:rPr>
          <w:rFonts w:ascii="Times New Roman" w:hAnsi="Times New Roman"/>
          <w:spacing w:val="-9"/>
          <w:sz w:val="24"/>
          <w:szCs w:val="21"/>
        </w:rPr>
      </w:pPr>
      <w:r>
        <w:rPr>
          <w:rFonts w:ascii="Times New Roman" w:hAnsi="Times New Roman"/>
          <w:spacing w:val="-9"/>
          <w:sz w:val="24"/>
          <w:szCs w:val="21"/>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6C66D83A">
      <w:pPr>
        <w:pStyle w:val="24"/>
        <w:spacing w:before="2" w:line="312" w:lineRule="auto"/>
        <w:ind w:left="677" w:right="986" w:firstLine="480"/>
        <w:rPr>
          <w:rFonts w:ascii="Times New Roman" w:hAnsi="Times New Roman"/>
          <w:spacing w:val="-9"/>
          <w:sz w:val="24"/>
          <w:szCs w:val="21"/>
        </w:rPr>
      </w:pPr>
      <w:r>
        <w:rPr>
          <w:rFonts w:ascii="Times New Roman" w:hAnsi="Times New Roman"/>
          <w:spacing w:val="-9"/>
          <w:sz w:val="24"/>
          <w:szCs w:val="21"/>
        </w:rPr>
        <w:t>二、旅游者应当与具有旅游行政管理部门颁发的《旅行社业务经营许可证》和工商行政管理部门颁发的《营业执照》的旅行社签订旅游合同。</w:t>
      </w:r>
    </w:p>
    <w:p w14:paraId="7B8634CD">
      <w:pPr>
        <w:pStyle w:val="24"/>
        <w:spacing w:line="312" w:lineRule="auto"/>
        <w:ind w:left="677" w:right="986" w:firstLine="480"/>
        <w:rPr>
          <w:rFonts w:ascii="Times New Roman" w:hAnsi="Times New Roman"/>
          <w:spacing w:val="-9"/>
          <w:sz w:val="24"/>
          <w:szCs w:val="21"/>
        </w:rPr>
      </w:pPr>
      <w:r>
        <w:rPr>
          <w:rFonts w:ascii="Times New Roman" w:hAnsi="Times New Roman"/>
          <w:spacing w:val="-9"/>
          <w:sz w:val="24"/>
          <w:szCs w:val="21"/>
        </w:rPr>
        <w:t>三、本合同由《通用条款》、《协议条款》、《旅游行程单》及其他双方约定的附件组成。双方可以协商以书面形式变更或补充本合同范本，但不得减轻或免除《通用条款》中规定的旅行社应承担的义务。</w:t>
      </w:r>
    </w:p>
    <w:p w14:paraId="21058C0D">
      <w:pPr>
        <w:pStyle w:val="24"/>
        <w:ind w:left="1157"/>
        <w:rPr>
          <w:rFonts w:ascii="Times New Roman" w:hAnsi="Times New Roman"/>
          <w:spacing w:val="-9"/>
          <w:sz w:val="24"/>
          <w:szCs w:val="21"/>
        </w:rPr>
      </w:pPr>
      <w:r>
        <w:rPr>
          <w:rFonts w:ascii="Times New Roman" w:hAnsi="Times New Roman"/>
          <w:spacing w:val="-9"/>
          <w:sz w:val="24"/>
          <w:szCs w:val="21"/>
        </w:rPr>
        <w:t>四、浙江省旅游质量监督投诉电话：12301</w:t>
      </w:r>
    </w:p>
    <w:p w14:paraId="20972006">
      <w:pPr>
        <w:pStyle w:val="24"/>
        <w:rPr>
          <w:sz w:val="20"/>
        </w:rPr>
      </w:pPr>
    </w:p>
    <w:p w14:paraId="376F458E">
      <w:pPr>
        <w:pStyle w:val="24"/>
        <w:spacing w:before="5"/>
        <w:rPr>
          <w:sz w:val="18"/>
        </w:rPr>
      </w:pPr>
    </w:p>
    <w:p w14:paraId="22D09067">
      <w:pPr>
        <w:pStyle w:val="10"/>
        <w:tabs>
          <w:tab w:val="left" w:pos="1202"/>
        </w:tabs>
        <w:ind w:right="251"/>
        <w:jc w:val="center"/>
      </w:pPr>
      <w:r>
        <w:t>第一部分</w:t>
      </w:r>
      <w:r>
        <w:tab/>
      </w:r>
      <w:r>
        <w:t>通用条款</w:t>
      </w:r>
    </w:p>
    <w:p w14:paraId="1D11B092">
      <w:pPr>
        <w:tabs>
          <w:tab w:val="left" w:pos="962"/>
        </w:tabs>
        <w:spacing w:before="93"/>
        <w:ind w:right="5821"/>
        <w:jc w:val="center"/>
        <w:rPr>
          <w:b/>
          <w:sz w:val="24"/>
        </w:rPr>
      </w:pPr>
      <w:r>
        <w:rPr>
          <w:b/>
          <w:sz w:val="24"/>
        </w:rPr>
        <w:t>第一条</w:t>
      </w:r>
      <w:r>
        <w:rPr>
          <w:b/>
          <w:sz w:val="24"/>
        </w:rPr>
        <w:tab/>
      </w:r>
      <w:r>
        <w:rPr>
          <w:b/>
          <w:sz w:val="24"/>
        </w:rPr>
        <w:t>概念及定义</w:t>
      </w:r>
    </w:p>
    <w:p w14:paraId="134F3C83">
      <w:pPr>
        <w:pStyle w:val="316"/>
        <w:tabs>
          <w:tab w:val="left" w:pos="1518"/>
        </w:tabs>
        <w:spacing w:before="93" w:line="312" w:lineRule="auto"/>
        <w:ind w:left="420" w:leftChars="200" w:right="933" w:firstLine="666" w:firstLineChars="300"/>
        <w:rPr>
          <w:sz w:val="24"/>
        </w:rPr>
      </w:pPr>
      <w:r>
        <w:rPr>
          <w:rFonts w:hint="eastAsia"/>
          <w:spacing w:val="-9"/>
          <w:sz w:val="24"/>
        </w:rPr>
        <w:t>1</w:t>
      </w:r>
      <w:r>
        <w:rPr>
          <w:spacing w:val="-9"/>
          <w:sz w:val="24"/>
        </w:rPr>
        <w:t>旅游费用：亦称旅游团款，是指旅游者支付给旅行社，用于购买境内旅游服</w:t>
      </w:r>
      <w:r>
        <w:rPr>
          <w:sz w:val="24"/>
        </w:rPr>
        <w:t>务的费用，包括：交通费（含机场税</w:t>
      </w:r>
      <w:r>
        <w:rPr>
          <w:spacing w:val="-118"/>
          <w:sz w:val="24"/>
        </w:rPr>
        <w:t>）</w:t>
      </w:r>
      <w:r>
        <w:rPr>
          <w:sz w:val="24"/>
        </w:rPr>
        <w:t>、住宿费用、餐饮费用（不含酒水费</w:t>
      </w:r>
      <w:r>
        <w:rPr>
          <w:spacing w:val="-118"/>
          <w:sz w:val="24"/>
        </w:rPr>
        <w:t>）</w:t>
      </w:r>
      <w:r>
        <w:rPr>
          <w:sz w:val="24"/>
        </w:rPr>
        <w:t>、景区景点的第一道门票费、导游服务费用及本合同约定的其他费用。</w:t>
      </w:r>
    </w:p>
    <w:p w14:paraId="14494CA0">
      <w:pPr>
        <w:pStyle w:val="316"/>
        <w:tabs>
          <w:tab w:val="left" w:pos="1399"/>
        </w:tabs>
        <w:spacing w:before="1"/>
        <w:ind w:left="420" w:leftChars="200" w:firstLine="720" w:firstLineChars="300"/>
        <w:jc w:val="left"/>
        <w:rPr>
          <w:sz w:val="24"/>
        </w:rPr>
      </w:pPr>
      <w:r>
        <w:rPr>
          <w:rFonts w:hint="eastAsia"/>
          <w:sz w:val="24"/>
        </w:rPr>
        <w:t>2</w:t>
      </w:r>
      <w:r>
        <w:rPr>
          <w:sz w:val="24"/>
        </w:rPr>
        <w:t>离团：团队旅游者经导游同意，不随团队完成约定行程的行为。</w:t>
      </w:r>
    </w:p>
    <w:p w14:paraId="19FF04DA">
      <w:pPr>
        <w:pStyle w:val="316"/>
        <w:tabs>
          <w:tab w:val="left" w:pos="1399"/>
        </w:tabs>
        <w:spacing w:before="91" w:line="312" w:lineRule="auto"/>
        <w:ind w:left="420" w:leftChars="200" w:right="936" w:firstLine="720" w:firstLineChars="300"/>
        <w:jc w:val="left"/>
        <w:rPr>
          <w:sz w:val="24"/>
        </w:rPr>
      </w:pPr>
      <w:r>
        <w:rPr>
          <w:rFonts w:hint="eastAsia"/>
          <w:sz w:val="24"/>
        </w:rPr>
        <w:t>3</w:t>
      </w:r>
      <w:r>
        <w:rPr>
          <w:sz w:val="24"/>
        </w:rPr>
        <w:t>脱团：团队旅游者未经导游同意脱离旅游团队，不随团队完成约定行程的行为。</w:t>
      </w:r>
    </w:p>
    <w:p w14:paraId="05A2A643">
      <w:pPr>
        <w:pStyle w:val="316"/>
        <w:tabs>
          <w:tab w:val="left" w:pos="1399"/>
        </w:tabs>
        <w:spacing w:before="2" w:line="312" w:lineRule="auto"/>
        <w:ind w:left="420" w:leftChars="200" w:right="936" w:firstLine="720" w:firstLineChars="300"/>
        <w:jc w:val="left"/>
        <w:rPr>
          <w:sz w:val="24"/>
        </w:rPr>
      </w:pPr>
      <w:r>
        <w:rPr>
          <w:rFonts w:hint="eastAsia"/>
          <w:sz w:val="24"/>
        </w:rPr>
        <w:t>4</w:t>
      </w:r>
      <w:r>
        <w:rPr>
          <w:sz w:val="24"/>
        </w:rPr>
        <w:t>转团：组团社征得旅游者书面同意，委托其他旅行社履行本合同义务，并由组团社对旅游者承担责任的行为。</w:t>
      </w:r>
    </w:p>
    <w:p w14:paraId="31F424EC">
      <w:pPr>
        <w:pStyle w:val="316"/>
        <w:tabs>
          <w:tab w:val="left" w:pos="1399"/>
        </w:tabs>
        <w:spacing w:line="312" w:lineRule="auto"/>
        <w:ind w:left="420" w:leftChars="200" w:right="936" w:firstLine="720" w:firstLineChars="300"/>
        <w:jc w:val="left"/>
        <w:rPr>
          <w:sz w:val="24"/>
        </w:rPr>
      </w:pPr>
      <w:r>
        <w:rPr>
          <w:rFonts w:hint="eastAsia"/>
          <w:sz w:val="24"/>
        </w:rPr>
        <w:t>5</w:t>
      </w:r>
      <w:r>
        <w:rPr>
          <w:sz w:val="24"/>
        </w:rPr>
        <w:t>不可抗力：不能预见、不能避免并不能克服的客观情况，包括自然灾害、战争、恐怖活动、动乱、骚乱、罢工、突发公共卫生事件、政府行为等。</w:t>
      </w:r>
    </w:p>
    <w:p w14:paraId="2A2BC4A7">
      <w:pPr>
        <w:pStyle w:val="316"/>
        <w:tabs>
          <w:tab w:val="left" w:pos="1399"/>
        </w:tabs>
        <w:spacing w:line="312" w:lineRule="auto"/>
        <w:ind w:left="420" w:leftChars="200" w:right="933" w:firstLine="720" w:firstLineChars="300"/>
        <w:jc w:val="left"/>
        <w:rPr>
          <w:sz w:val="24"/>
        </w:rPr>
      </w:pPr>
      <w:r>
        <w:rPr>
          <w:rFonts w:hint="eastAsia"/>
          <w:sz w:val="24"/>
        </w:rPr>
        <w:t>6</w:t>
      </w:r>
      <w:r>
        <w:rPr>
          <w:sz w:val="24"/>
        </w:rPr>
        <w:t>公共交通工具：由公共交通经营者经营，面向不特定的社会公众，用于旅客运输的飞机、火车、班轮、城际客运班车等各类交通工具。</w:t>
      </w:r>
    </w:p>
    <w:p w14:paraId="602D63C9">
      <w:pPr>
        <w:pStyle w:val="10"/>
        <w:tabs>
          <w:tab w:val="left" w:pos="2119"/>
        </w:tabs>
        <w:spacing w:before="2"/>
        <w:ind w:left="1157"/>
      </w:pPr>
      <w:r>
        <w:t>第二条</w:t>
      </w:r>
      <w:r>
        <w:tab/>
      </w:r>
      <w:r>
        <w:t>旅游者的权利</w:t>
      </w:r>
    </w:p>
    <w:p w14:paraId="1100F8C9">
      <w:pPr>
        <w:pStyle w:val="316"/>
        <w:tabs>
          <w:tab w:val="left" w:pos="1399"/>
        </w:tabs>
        <w:spacing w:before="91"/>
        <w:ind w:left="420" w:leftChars="200" w:firstLine="0" w:firstLineChars="0"/>
        <w:jc w:val="left"/>
        <w:rPr>
          <w:sz w:val="24"/>
        </w:rPr>
      </w:pPr>
      <w:r>
        <w:rPr>
          <w:rFonts w:hint="eastAsia"/>
          <w:sz w:val="24"/>
        </w:rPr>
        <w:t>1.</w:t>
      </w:r>
      <w:r>
        <w:rPr>
          <w:sz w:val="24"/>
        </w:rPr>
        <w:t>有权要求旅行社出具相应的业务经营资质。</w:t>
      </w:r>
    </w:p>
    <w:p w14:paraId="1D9E8279">
      <w:pPr>
        <w:pStyle w:val="316"/>
        <w:tabs>
          <w:tab w:val="left" w:pos="1399"/>
        </w:tabs>
        <w:spacing w:before="93"/>
        <w:ind w:left="420" w:leftChars="200" w:firstLine="0" w:firstLineChars="0"/>
        <w:jc w:val="left"/>
        <w:rPr>
          <w:sz w:val="24"/>
        </w:rPr>
      </w:pPr>
      <w:r>
        <w:rPr>
          <w:rFonts w:hint="eastAsia"/>
          <w:sz w:val="24"/>
        </w:rPr>
        <w:t>2.</w:t>
      </w:r>
      <w:r>
        <w:rPr>
          <w:sz w:val="24"/>
        </w:rPr>
        <w:t>有权要求旅行社对本合同约定的旅游服务做出真实准确的说明。</w:t>
      </w:r>
    </w:p>
    <w:p w14:paraId="55206384">
      <w:pPr>
        <w:pStyle w:val="316"/>
        <w:tabs>
          <w:tab w:val="left" w:pos="1399"/>
        </w:tabs>
        <w:spacing w:before="93"/>
        <w:ind w:left="420" w:leftChars="200" w:firstLine="0" w:firstLineChars="0"/>
        <w:jc w:val="left"/>
        <w:rPr>
          <w:sz w:val="24"/>
        </w:rPr>
      </w:pPr>
      <w:r>
        <w:rPr>
          <w:rFonts w:hint="eastAsia"/>
          <w:sz w:val="24"/>
        </w:rPr>
        <w:t>3.</w:t>
      </w:r>
      <w:r>
        <w:rPr>
          <w:sz w:val="24"/>
        </w:rPr>
        <w:t>有权要求旅行社按照合同约定提供旅游服务。</w:t>
      </w:r>
    </w:p>
    <w:p w14:paraId="0248FE11">
      <w:pPr>
        <w:pStyle w:val="316"/>
        <w:tabs>
          <w:tab w:val="left" w:pos="1399"/>
        </w:tabs>
        <w:spacing w:before="91"/>
        <w:ind w:left="420" w:leftChars="200" w:firstLine="0" w:firstLineChars="0"/>
        <w:jc w:val="left"/>
        <w:rPr>
          <w:sz w:val="24"/>
        </w:rPr>
      </w:pPr>
      <w:r>
        <w:rPr>
          <w:rFonts w:hint="eastAsia"/>
          <w:sz w:val="24"/>
        </w:rPr>
        <w:t>4.</w:t>
      </w:r>
      <w:r>
        <w:rPr>
          <w:sz w:val="24"/>
        </w:rPr>
        <w:t>有权拒绝旅行社擅自安排转团，拒绝旅行社安排合同约定以外的项目。</w:t>
      </w:r>
    </w:p>
    <w:p w14:paraId="5B703BD4">
      <w:pPr>
        <w:pStyle w:val="316"/>
        <w:tabs>
          <w:tab w:val="left" w:pos="1399"/>
        </w:tabs>
        <w:spacing w:before="93" w:line="312" w:lineRule="auto"/>
        <w:ind w:left="420" w:leftChars="200" w:right="936" w:firstLine="0" w:firstLineChars="0"/>
        <w:jc w:val="left"/>
        <w:rPr>
          <w:sz w:val="24"/>
        </w:rPr>
      </w:pPr>
      <w:r>
        <w:rPr>
          <w:rFonts w:hint="eastAsia"/>
          <w:sz w:val="24"/>
        </w:rPr>
        <w:t>5.</w:t>
      </w:r>
      <w:r>
        <w:rPr>
          <w:sz w:val="24"/>
        </w:rPr>
        <w:t>在合法权益受到损害时，向旅游投诉受理机构、消费者协会投诉或要求旅行社协助索赔。</w:t>
      </w:r>
    </w:p>
    <w:p w14:paraId="2DFD2A42">
      <w:pPr>
        <w:pStyle w:val="316"/>
        <w:tabs>
          <w:tab w:val="left" w:pos="1399"/>
        </w:tabs>
        <w:spacing w:before="93" w:line="312" w:lineRule="auto"/>
        <w:ind w:right="936" w:firstLine="480"/>
        <w:jc w:val="left"/>
        <w:rPr>
          <w:sz w:val="24"/>
        </w:rPr>
        <w:sectPr>
          <w:pgSz w:w="11910" w:h="16840"/>
          <w:pgMar w:top="1480" w:right="480" w:bottom="1020" w:left="1120" w:header="0" w:footer="756" w:gutter="0"/>
          <w:pgNumType w:fmt="decimal"/>
          <w:cols w:space="720" w:num="1"/>
        </w:sectPr>
      </w:pPr>
      <w:r>
        <w:rPr>
          <w:rFonts w:hint="eastAsia"/>
          <w:sz w:val="24"/>
        </w:rPr>
        <w:t>6.</w:t>
      </w:r>
      <w:r>
        <w:rPr>
          <w:sz w:val="24"/>
        </w:rPr>
        <w:t>《中华人民共和国旅游法》和有关法律法规赋予的其它权利。</w:t>
      </w:r>
    </w:p>
    <w:p w14:paraId="10B43AF1">
      <w:pPr>
        <w:pStyle w:val="10"/>
        <w:numPr>
          <w:ilvl w:val="0"/>
          <w:numId w:val="0"/>
        </w:numPr>
        <w:tabs>
          <w:tab w:val="left" w:pos="2119"/>
        </w:tabs>
        <w:spacing w:before="55"/>
        <w:ind w:firstLine="964" w:firstLineChars="400"/>
      </w:pPr>
      <w:r>
        <w:t>第三条</w:t>
      </w:r>
      <w:r>
        <w:tab/>
      </w:r>
      <w:r>
        <w:t>旅游者的义务</w:t>
      </w:r>
    </w:p>
    <w:p w14:paraId="200814BA">
      <w:pPr>
        <w:pStyle w:val="316"/>
        <w:tabs>
          <w:tab w:val="left" w:pos="1399"/>
        </w:tabs>
        <w:spacing w:before="94"/>
        <w:ind w:left="420" w:leftChars="200" w:firstLine="240" w:firstLineChars="100"/>
        <w:jc w:val="left"/>
        <w:rPr>
          <w:sz w:val="24"/>
        </w:rPr>
      </w:pPr>
      <w:r>
        <w:rPr>
          <w:rFonts w:hint="eastAsia"/>
          <w:sz w:val="24"/>
        </w:rPr>
        <w:t>1.</w:t>
      </w:r>
      <w:r>
        <w:rPr>
          <w:sz w:val="24"/>
        </w:rPr>
        <w:t>按照合同约定支付旅游费用。</w:t>
      </w:r>
    </w:p>
    <w:p w14:paraId="4A514AFD">
      <w:pPr>
        <w:pStyle w:val="316"/>
        <w:tabs>
          <w:tab w:val="left" w:pos="1399"/>
        </w:tabs>
        <w:spacing w:before="93"/>
        <w:ind w:left="420" w:leftChars="200" w:firstLine="240" w:firstLineChars="100"/>
        <w:jc w:val="left"/>
        <w:rPr>
          <w:sz w:val="24"/>
        </w:rPr>
      </w:pPr>
      <w:r>
        <w:rPr>
          <w:rFonts w:hint="eastAsia"/>
          <w:sz w:val="24"/>
        </w:rPr>
        <w:t>2.</w:t>
      </w:r>
      <w:r>
        <w:rPr>
          <w:sz w:val="24"/>
        </w:rPr>
        <w:t>如实填写相关个人信息，向旅行社提交必要的个人证件或其复印件。</w:t>
      </w:r>
    </w:p>
    <w:p w14:paraId="21C6BFC4">
      <w:pPr>
        <w:pStyle w:val="316"/>
        <w:tabs>
          <w:tab w:val="left" w:pos="1399"/>
        </w:tabs>
        <w:spacing w:before="91" w:line="312" w:lineRule="auto"/>
        <w:ind w:left="420" w:leftChars="200" w:right="813" w:firstLine="230" w:firstLineChars="100"/>
        <w:jc w:val="left"/>
        <w:rPr>
          <w:sz w:val="24"/>
        </w:rPr>
      </w:pPr>
      <w:r>
        <w:rPr>
          <w:rFonts w:hint="eastAsia"/>
          <w:spacing w:val="-5"/>
          <w:sz w:val="24"/>
        </w:rPr>
        <w:t>3.</w:t>
      </w:r>
      <w:r>
        <w:rPr>
          <w:spacing w:val="-5"/>
          <w:sz w:val="24"/>
        </w:rPr>
        <w:t xml:space="preserve">如实告知与旅游活动相关的个人健康信息，确保身体健康条件适合本次旅游， </w:t>
      </w:r>
      <w:r>
        <w:rPr>
          <w:sz w:val="24"/>
        </w:rPr>
        <w:t>并且不会危害其他旅游者的健康和安全。</w:t>
      </w:r>
    </w:p>
    <w:p w14:paraId="6DC22AB7">
      <w:pPr>
        <w:pStyle w:val="316"/>
        <w:tabs>
          <w:tab w:val="left" w:pos="1399"/>
        </w:tabs>
        <w:spacing w:before="2" w:line="312" w:lineRule="auto"/>
        <w:ind w:left="420" w:leftChars="200" w:right="936" w:firstLine="240" w:firstLineChars="100"/>
        <w:jc w:val="left"/>
        <w:rPr>
          <w:sz w:val="24"/>
        </w:rPr>
      </w:pPr>
      <w:r>
        <w:rPr>
          <w:rFonts w:hint="eastAsia"/>
          <w:sz w:val="24"/>
        </w:rPr>
        <w:t>4.</w:t>
      </w:r>
      <w:r>
        <w:rPr>
          <w:sz w:val="24"/>
        </w:rPr>
        <w:t>在自行安排活动期间，应当在自己能够控制风险的范围内选择活动项目，遵守旅游活动中的安全警示规定，对自己的安全负责。</w:t>
      </w:r>
    </w:p>
    <w:p w14:paraId="674EFD29">
      <w:pPr>
        <w:pStyle w:val="316"/>
        <w:tabs>
          <w:tab w:val="left" w:pos="1399"/>
        </w:tabs>
        <w:spacing w:line="312" w:lineRule="auto"/>
        <w:ind w:left="420" w:leftChars="200" w:right="933" w:firstLine="240" w:firstLineChars="100"/>
        <w:rPr>
          <w:sz w:val="24"/>
        </w:rPr>
      </w:pPr>
      <w:r>
        <w:rPr>
          <w:rFonts w:hint="eastAsia"/>
          <w:sz w:val="24"/>
          <w:u w:val="single"/>
        </w:rPr>
        <w:t>5.</w:t>
      </w:r>
      <w:r>
        <w:rPr>
          <w:sz w:val="24"/>
          <w:u w:val="single"/>
        </w:rPr>
        <w:t>在旅游活动中应当遵守社会公共秩序和社会公德，尊重当地的风俗习惯、文化传统和宗教信仰，爱护旅游资源，保护生态环境，遵守《中国公民国内旅游文明</w:t>
      </w:r>
      <w:r>
        <w:rPr>
          <w:spacing w:val="-240"/>
          <w:sz w:val="24"/>
          <w:u w:val="single"/>
        </w:rPr>
        <w:t>行</w:t>
      </w:r>
      <w:r>
        <w:rPr>
          <w:spacing w:val="-12"/>
          <w:sz w:val="24"/>
          <w:u w:val="single"/>
        </w:rPr>
        <w:t>为公约》。遵守旅游活动中的安全警示规定。</w:t>
      </w:r>
    </w:p>
    <w:p w14:paraId="38A61627">
      <w:pPr>
        <w:pStyle w:val="316"/>
        <w:tabs>
          <w:tab w:val="left" w:pos="1399"/>
        </w:tabs>
        <w:spacing w:before="1"/>
        <w:ind w:left="420" w:leftChars="200" w:firstLine="240" w:firstLineChars="100"/>
        <w:jc w:val="left"/>
        <w:rPr>
          <w:sz w:val="24"/>
        </w:rPr>
      </w:pPr>
      <w:r>
        <w:rPr>
          <w:rFonts w:hint="eastAsia"/>
          <w:sz w:val="24"/>
        </w:rPr>
        <w:t>6.</w:t>
      </w:r>
      <w:r>
        <w:rPr>
          <w:sz w:val="24"/>
        </w:rPr>
        <w:t>旅游者有特殊情况需要暂时离团的，必须征得导游的书面同意。</w:t>
      </w:r>
    </w:p>
    <w:p w14:paraId="195D0FDE">
      <w:pPr>
        <w:pStyle w:val="316"/>
        <w:tabs>
          <w:tab w:val="left" w:pos="1399"/>
        </w:tabs>
        <w:spacing w:before="93" w:line="312" w:lineRule="auto"/>
        <w:ind w:left="420" w:leftChars="200" w:right="936" w:firstLine="240" w:firstLineChars="100"/>
        <w:jc w:val="left"/>
        <w:rPr>
          <w:sz w:val="24"/>
        </w:rPr>
      </w:pPr>
      <w:r>
        <w:rPr>
          <w:rFonts w:hint="eastAsia"/>
          <w:sz w:val="24"/>
        </w:rPr>
        <w:t>7.</w:t>
      </w:r>
      <w:r>
        <w:rPr>
          <w:sz w:val="24"/>
        </w:rPr>
        <w:t>对国家应对重大突发事件暂时限制旅游活动的措施以及有关部门、机构或者旅游经营者采取的安全防范和应急处置措施，应当予以配合。</w:t>
      </w:r>
    </w:p>
    <w:p w14:paraId="0FF5165A">
      <w:pPr>
        <w:pStyle w:val="316"/>
        <w:tabs>
          <w:tab w:val="left" w:pos="1399"/>
        </w:tabs>
        <w:spacing w:line="312" w:lineRule="auto"/>
        <w:ind w:left="420" w:leftChars="200" w:right="936" w:firstLine="240" w:firstLineChars="100"/>
      </w:pPr>
      <w:r>
        <w:rPr>
          <w:rFonts w:hint="eastAsia"/>
          <w:sz w:val="24"/>
        </w:rPr>
        <w:t>8.</w:t>
      </w:r>
      <w:r>
        <w:rPr>
          <w:sz w:val="24"/>
        </w:rPr>
        <w:t>在旅游活动中或者在解决纠纷时，不得损害当地居民的合法权益，不得干扰他人的旅游活动，不得损害旅行社、其他相关经营者、相关工作人员的合法权益。 9.现金、有价证券、贵重物品应随身携带并自行保管。入住酒店时，亦应随身携带上述物品或者将其存放在酒店贵重物品寄存处。</w:t>
      </w:r>
    </w:p>
    <w:p w14:paraId="6D5A74C9">
      <w:pPr>
        <w:tabs>
          <w:tab w:val="left" w:pos="2119"/>
        </w:tabs>
        <w:spacing w:before="94" w:line="312" w:lineRule="auto"/>
        <w:ind w:right="866" w:firstLine="720" w:firstLineChars="300"/>
        <w:jc w:val="left"/>
        <w:rPr>
          <w:spacing w:val="-17"/>
          <w:sz w:val="24"/>
        </w:rPr>
      </w:pPr>
      <w:r>
        <w:rPr>
          <w:rFonts w:hint="eastAsia"/>
          <w:sz w:val="24"/>
        </w:rPr>
        <w:t>9.</w:t>
      </w:r>
      <w:r>
        <w:rPr>
          <w:sz w:val="24"/>
        </w:rPr>
        <w:t>在合法权益受到损害，要求旅行社协助索赔时，应当提供合法有效的凭证</w:t>
      </w:r>
      <w:r>
        <w:rPr>
          <w:spacing w:val="-17"/>
          <w:sz w:val="24"/>
        </w:rPr>
        <w:t>。</w:t>
      </w:r>
    </w:p>
    <w:p w14:paraId="09FE117C">
      <w:pPr>
        <w:tabs>
          <w:tab w:val="left" w:pos="2119"/>
        </w:tabs>
        <w:spacing w:before="94" w:line="312" w:lineRule="auto"/>
        <w:ind w:right="866" w:firstLine="723" w:firstLineChars="300"/>
        <w:jc w:val="left"/>
        <w:rPr>
          <w:b/>
          <w:sz w:val="24"/>
        </w:rPr>
      </w:pPr>
      <w:r>
        <w:rPr>
          <w:b/>
          <w:sz w:val="24"/>
        </w:rPr>
        <w:t>第四条旅行社的权利</w:t>
      </w:r>
    </w:p>
    <w:p w14:paraId="716839A1">
      <w:pPr>
        <w:pStyle w:val="316"/>
        <w:tabs>
          <w:tab w:val="left" w:pos="1399"/>
        </w:tabs>
        <w:spacing w:line="307" w:lineRule="exact"/>
        <w:ind w:left="420" w:leftChars="200" w:firstLine="0" w:firstLineChars="0"/>
        <w:jc w:val="left"/>
        <w:rPr>
          <w:sz w:val="24"/>
        </w:rPr>
      </w:pPr>
      <w:r>
        <w:rPr>
          <w:rFonts w:hint="eastAsia"/>
          <w:sz w:val="24"/>
        </w:rPr>
        <w:t>1.</w:t>
      </w:r>
      <w:r>
        <w:rPr>
          <w:sz w:val="24"/>
        </w:rPr>
        <w:t>按照合同约定向旅游者收取旅游费用。</w:t>
      </w:r>
    </w:p>
    <w:p w14:paraId="16E42B8E">
      <w:pPr>
        <w:pStyle w:val="316"/>
        <w:tabs>
          <w:tab w:val="left" w:pos="1399"/>
        </w:tabs>
        <w:spacing w:before="93"/>
        <w:ind w:left="420" w:leftChars="200" w:firstLine="0" w:firstLineChars="0"/>
        <w:jc w:val="left"/>
        <w:rPr>
          <w:sz w:val="24"/>
        </w:rPr>
      </w:pPr>
      <w:r>
        <w:rPr>
          <w:rFonts w:hint="eastAsia"/>
          <w:sz w:val="24"/>
        </w:rPr>
        <w:t>2.</w:t>
      </w:r>
      <w:r>
        <w:rPr>
          <w:sz w:val="24"/>
        </w:rPr>
        <w:t>旅游团队遇紧急情况时，可采取紧急避险措施。</w:t>
      </w:r>
    </w:p>
    <w:p w14:paraId="32315789">
      <w:pPr>
        <w:pStyle w:val="316"/>
        <w:tabs>
          <w:tab w:val="left" w:pos="1399"/>
        </w:tabs>
        <w:spacing w:before="91"/>
        <w:ind w:left="420" w:leftChars="200" w:firstLine="0" w:firstLineChars="0"/>
        <w:jc w:val="left"/>
        <w:rPr>
          <w:sz w:val="24"/>
        </w:rPr>
      </w:pPr>
      <w:r>
        <w:rPr>
          <w:rFonts w:hint="eastAsia"/>
          <w:sz w:val="24"/>
        </w:rPr>
        <w:t>3.</w:t>
      </w:r>
      <w:r>
        <w:rPr>
          <w:sz w:val="24"/>
        </w:rPr>
        <w:t>有权拒绝旅游者提出的超出合同约定的不合理要求。</w:t>
      </w:r>
    </w:p>
    <w:p w14:paraId="34E041FB">
      <w:pPr>
        <w:pStyle w:val="316"/>
        <w:tabs>
          <w:tab w:val="left" w:pos="1399"/>
        </w:tabs>
        <w:spacing w:before="93" w:line="312" w:lineRule="auto"/>
        <w:ind w:left="420" w:leftChars="200" w:right="936" w:firstLine="0" w:firstLineChars="0"/>
        <w:jc w:val="left"/>
        <w:rPr>
          <w:sz w:val="24"/>
        </w:rPr>
      </w:pPr>
      <w:r>
        <w:rPr>
          <w:rFonts w:hint="eastAsia"/>
          <w:sz w:val="24"/>
        </w:rPr>
        <w:t>4.</w:t>
      </w:r>
      <w:r>
        <w:rPr>
          <w:sz w:val="24"/>
        </w:rPr>
        <w:t>要求旅游者对在旅游活动中或者在解决纠纷时损害旅行社合法权益的行为承担赔偿责任。</w:t>
      </w:r>
    </w:p>
    <w:p w14:paraId="68F4C8BB">
      <w:pPr>
        <w:pStyle w:val="316"/>
        <w:tabs>
          <w:tab w:val="left" w:pos="1399"/>
          <w:tab w:val="left" w:pos="2119"/>
        </w:tabs>
        <w:spacing w:line="312" w:lineRule="auto"/>
        <w:ind w:left="420" w:leftChars="200" w:right="2426" w:firstLine="0" w:firstLineChars="0"/>
        <w:jc w:val="left"/>
        <w:rPr>
          <w:spacing w:val="-17"/>
          <w:sz w:val="24"/>
        </w:rPr>
      </w:pPr>
      <w:r>
        <w:rPr>
          <w:rFonts w:hint="eastAsia"/>
          <w:sz w:val="24"/>
        </w:rPr>
        <w:t>5.</w:t>
      </w:r>
      <w:r>
        <w:rPr>
          <w:sz w:val="24"/>
        </w:rPr>
        <w:t>《中华人民共和国旅游法》和有关法律法规赋予的其它权利</w:t>
      </w:r>
      <w:r>
        <w:rPr>
          <w:spacing w:val="-17"/>
          <w:sz w:val="24"/>
        </w:rPr>
        <w:t>。</w:t>
      </w:r>
    </w:p>
    <w:p w14:paraId="14AF30DC">
      <w:pPr>
        <w:pStyle w:val="316"/>
        <w:tabs>
          <w:tab w:val="left" w:pos="1399"/>
          <w:tab w:val="left" w:pos="2119"/>
        </w:tabs>
        <w:spacing w:line="312" w:lineRule="auto"/>
        <w:ind w:left="420" w:leftChars="200" w:right="2426" w:firstLine="241" w:firstLineChars="100"/>
        <w:jc w:val="left"/>
        <w:rPr>
          <w:b/>
          <w:sz w:val="24"/>
        </w:rPr>
      </w:pPr>
      <w:r>
        <w:rPr>
          <w:b/>
          <w:sz w:val="24"/>
        </w:rPr>
        <w:t>第五条</w:t>
      </w:r>
      <w:r>
        <w:rPr>
          <w:b/>
          <w:sz w:val="24"/>
        </w:rPr>
        <w:tab/>
      </w:r>
      <w:r>
        <w:rPr>
          <w:b/>
          <w:sz w:val="24"/>
        </w:rPr>
        <w:t>旅行社的义务</w:t>
      </w:r>
    </w:p>
    <w:p w14:paraId="2D13A1B8">
      <w:pPr>
        <w:pStyle w:val="316"/>
        <w:tabs>
          <w:tab w:val="left" w:pos="1399"/>
        </w:tabs>
        <w:spacing w:before="2"/>
        <w:ind w:left="420" w:leftChars="200" w:firstLine="0" w:firstLineChars="0"/>
        <w:jc w:val="left"/>
        <w:rPr>
          <w:sz w:val="24"/>
        </w:rPr>
      </w:pPr>
      <w:r>
        <w:rPr>
          <w:rFonts w:hint="eastAsia"/>
          <w:sz w:val="24"/>
        </w:rPr>
        <w:t>1.</w:t>
      </w:r>
      <w:r>
        <w:rPr>
          <w:sz w:val="24"/>
        </w:rPr>
        <w:t>旅行社应当向旅游者告知下列事项：</w:t>
      </w:r>
    </w:p>
    <w:p w14:paraId="00E80640">
      <w:pPr>
        <w:pStyle w:val="316"/>
        <w:tabs>
          <w:tab w:val="left" w:pos="1759"/>
        </w:tabs>
        <w:spacing w:before="91"/>
        <w:ind w:left="420" w:leftChars="200" w:firstLine="0" w:firstLineChars="0"/>
        <w:jc w:val="left"/>
        <w:rPr>
          <w:sz w:val="24"/>
        </w:rPr>
      </w:pPr>
      <w:r>
        <w:rPr>
          <w:rFonts w:hint="eastAsia"/>
          <w:sz w:val="24"/>
        </w:rPr>
        <w:t>（1）</w:t>
      </w:r>
      <w:r>
        <w:rPr>
          <w:sz w:val="24"/>
        </w:rPr>
        <w:t>旅游者不适合参加旅游活动的情形；</w:t>
      </w:r>
    </w:p>
    <w:p w14:paraId="70135CDB">
      <w:pPr>
        <w:pStyle w:val="316"/>
        <w:tabs>
          <w:tab w:val="left" w:pos="1759"/>
        </w:tabs>
        <w:spacing w:before="93"/>
        <w:ind w:left="420" w:leftChars="200" w:firstLine="0" w:firstLineChars="0"/>
        <w:jc w:val="left"/>
        <w:rPr>
          <w:sz w:val="24"/>
        </w:rPr>
      </w:pPr>
      <w:r>
        <w:rPr>
          <w:rFonts w:hint="eastAsia"/>
          <w:sz w:val="24"/>
        </w:rPr>
        <w:t>（2）</w:t>
      </w:r>
      <w:r>
        <w:rPr>
          <w:sz w:val="24"/>
        </w:rPr>
        <w:t>旅游活动中的安全注意事项；</w:t>
      </w:r>
    </w:p>
    <w:p w14:paraId="199CC382">
      <w:pPr>
        <w:pStyle w:val="316"/>
        <w:tabs>
          <w:tab w:val="left" w:pos="1759"/>
        </w:tabs>
        <w:spacing w:before="93"/>
        <w:ind w:left="420" w:leftChars="200" w:firstLine="0" w:firstLineChars="0"/>
        <w:jc w:val="left"/>
        <w:rPr>
          <w:sz w:val="24"/>
        </w:rPr>
      </w:pPr>
      <w:r>
        <w:rPr>
          <w:rFonts w:hint="eastAsia"/>
          <w:sz w:val="24"/>
        </w:rPr>
        <w:t>（3）</w:t>
      </w:r>
      <w:r>
        <w:rPr>
          <w:sz w:val="24"/>
        </w:rPr>
        <w:t>旅行社依法可以减免责任的信息；</w:t>
      </w:r>
    </w:p>
    <w:p w14:paraId="0575BBE6">
      <w:pPr>
        <w:pStyle w:val="316"/>
        <w:tabs>
          <w:tab w:val="left" w:pos="1759"/>
        </w:tabs>
        <w:spacing w:before="91" w:line="312" w:lineRule="auto"/>
        <w:ind w:left="420" w:leftChars="200" w:right="933" w:firstLine="0" w:firstLineChars="0"/>
        <w:jc w:val="left"/>
        <w:rPr>
          <w:sz w:val="24"/>
        </w:rPr>
      </w:pPr>
      <w:r>
        <w:rPr>
          <w:rFonts w:hint="eastAsia"/>
          <w:spacing w:val="-4"/>
          <w:sz w:val="24"/>
        </w:rPr>
        <w:t>（4）</w:t>
      </w:r>
      <w:r>
        <w:rPr>
          <w:spacing w:val="-4"/>
          <w:sz w:val="24"/>
        </w:rPr>
        <w:t>旅游者应当注意的旅游目的地相关法律、法规和风俗习惯、宗教禁忌，依</w:t>
      </w:r>
      <w:r>
        <w:rPr>
          <w:sz w:val="24"/>
        </w:rPr>
        <w:t>照法律不宜参加的活动等；</w:t>
      </w:r>
    </w:p>
    <w:p w14:paraId="174C7816">
      <w:pPr>
        <w:pStyle w:val="316"/>
        <w:tabs>
          <w:tab w:val="left" w:pos="1759"/>
        </w:tabs>
        <w:spacing w:before="2"/>
        <w:ind w:left="420" w:leftChars="200" w:firstLine="0" w:firstLineChars="0"/>
        <w:jc w:val="left"/>
        <w:rPr>
          <w:sz w:val="24"/>
        </w:rPr>
      </w:pPr>
      <w:r>
        <w:rPr>
          <w:rFonts w:hint="eastAsia"/>
          <w:sz w:val="24"/>
        </w:rPr>
        <w:t>（5）</w:t>
      </w:r>
      <w:r>
        <w:rPr>
          <w:sz w:val="24"/>
        </w:rPr>
        <w:t>法律、法规规定的其他应当告知的事项。</w:t>
      </w:r>
    </w:p>
    <w:p w14:paraId="1BA7BB49">
      <w:pPr>
        <w:pStyle w:val="316"/>
        <w:tabs>
          <w:tab w:val="left" w:pos="1405"/>
        </w:tabs>
        <w:spacing w:before="91" w:line="312" w:lineRule="auto"/>
        <w:ind w:left="420" w:leftChars="200" w:right="936" w:firstLine="0" w:firstLineChars="0"/>
        <w:jc w:val="left"/>
        <w:rPr>
          <w:sz w:val="24"/>
        </w:rPr>
      </w:pPr>
      <w:r>
        <w:rPr>
          <w:rFonts w:hint="eastAsia"/>
          <w:spacing w:val="6"/>
          <w:sz w:val="24"/>
        </w:rPr>
        <w:t>2.</w:t>
      </w:r>
      <w:r>
        <w:rPr>
          <w:spacing w:val="6"/>
          <w:sz w:val="24"/>
        </w:rPr>
        <w:t>旅行社系受委托代理其他旅行社销售包价旅游产品并与旅游者签订本合同的，应当在本合同中载明委托社的基本信息。</w:t>
      </w:r>
    </w:p>
    <w:p w14:paraId="768CF125">
      <w:pPr>
        <w:spacing w:line="312" w:lineRule="auto"/>
        <w:jc w:val="left"/>
        <w:rPr>
          <w:sz w:val="24"/>
        </w:rPr>
        <w:sectPr>
          <w:pgSz w:w="11910" w:h="16840"/>
          <w:pgMar w:top="1480" w:right="480" w:bottom="1020" w:left="1120" w:header="0" w:footer="756" w:gutter="0"/>
          <w:pgNumType w:fmt="decimal"/>
          <w:cols w:space="720" w:num="1"/>
        </w:sectPr>
      </w:pPr>
    </w:p>
    <w:p w14:paraId="5D292064">
      <w:pPr>
        <w:pStyle w:val="316"/>
        <w:tabs>
          <w:tab w:val="left" w:pos="1399"/>
        </w:tabs>
        <w:spacing w:before="55"/>
        <w:ind w:left="420" w:leftChars="200" w:firstLine="0" w:firstLineChars="0"/>
        <w:jc w:val="left"/>
        <w:rPr>
          <w:sz w:val="24"/>
        </w:rPr>
      </w:pPr>
      <w:r>
        <w:rPr>
          <w:rFonts w:hint="eastAsia"/>
          <w:sz w:val="24"/>
        </w:rPr>
        <w:t>3.</w:t>
      </w:r>
      <w:r>
        <w:rPr>
          <w:sz w:val="24"/>
        </w:rPr>
        <w:t>应当提示参加团队旅游的旅游者投保人身意外伤害保险。</w:t>
      </w:r>
    </w:p>
    <w:p w14:paraId="614AE3BB">
      <w:pPr>
        <w:pStyle w:val="316"/>
        <w:tabs>
          <w:tab w:val="left" w:pos="1399"/>
        </w:tabs>
        <w:spacing w:before="94" w:line="312" w:lineRule="auto"/>
        <w:ind w:left="420" w:leftChars="200" w:right="933" w:firstLine="0" w:firstLineChars="0"/>
        <w:jc w:val="left"/>
        <w:rPr>
          <w:sz w:val="24"/>
        </w:rPr>
      </w:pPr>
      <w:r>
        <w:rPr>
          <w:rFonts w:hint="eastAsia"/>
          <w:spacing w:val="-11"/>
          <w:sz w:val="24"/>
        </w:rPr>
        <w:t>4.</w:t>
      </w:r>
      <w:r>
        <w:rPr>
          <w:spacing w:val="-11"/>
          <w:sz w:val="24"/>
        </w:rPr>
        <w:t>应当在旅游行程开始前向旅游者提供《旅游行程单》。《旅游行程单》是本合同的组成部分，应当记载下列信息：</w:t>
      </w:r>
    </w:p>
    <w:p w14:paraId="61D310E7">
      <w:pPr>
        <w:pStyle w:val="316"/>
        <w:numPr>
          <w:ilvl w:val="0"/>
          <w:numId w:val="32"/>
        </w:numPr>
        <w:tabs>
          <w:tab w:val="left" w:pos="1759"/>
        </w:tabs>
        <w:spacing w:line="307" w:lineRule="exact"/>
        <w:ind w:firstLine="480"/>
        <w:jc w:val="left"/>
        <w:rPr>
          <w:sz w:val="24"/>
        </w:rPr>
      </w:pPr>
      <w:r>
        <w:rPr>
          <w:sz w:val="24"/>
        </w:rPr>
        <w:t>旅游行程的出发地、途经地和目的地；</w:t>
      </w:r>
    </w:p>
    <w:p w14:paraId="39A164C3">
      <w:pPr>
        <w:pStyle w:val="316"/>
        <w:numPr>
          <w:ilvl w:val="0"/>
          <w:numId w:val="32"/>
        </w:numPr>
        <w:tabs>
          <w:tab w:val="left" w:pos="1759"/>
        </w:tabs>
        <w:spacing w:before="93"/>
        <w:ind w:firstLine="480"/>
        <w:jc w:val="left"/>
        <w:rPr>
          <w:sz w:val="24"/>
        </w:rPr>
      </w:pPr>
      <w:r>
        <w:rPr>
          <w:sz w:val="24"/>
        </w:rPr>
        <w:t>交通、住宿、餐饮等旅游服务安排和标准；</w:t>
      </w:r>
    </w:p>
    <w:p w14:paraId="31D93A9E">
      <w:pPr>
        <w:pStyle w:val="316"/>
        <w:numPr>
          <w:ilvl w:val="0"/>
          <w:numId w:val="32"/>
        </w:numPr>
        <w:tabs>
          <w:tab w:val="left" w:pos="1759"/>
        </w:tabs>
        <w:spacing w:before="93"/>
        <w:ind w:firstLine="480"/>
        <w:jc w:val="left"/>
        <w:rPr>
          <w:sz w:val="24"/>
        </w:rPr>
      </w:pPr>
      <w:r>
        <w:rPr>
          <w:sz w:val="24"/>
        </w:rPr>
        <w:t>游览、娱乐等项目的具体内容和时间；</w:t>
      </w:r>
    </w:p>
    <w:p w14:paraId="43CC7C59">
      <w:pPr>
        <w:pStyle w:val="316"/>
        <w:numPr>
          <w:ilvl w:val="0"/>
          <w:numId w:val="32"/>
        </w:numPr>
        <w:tabs>
          <w:tab w:val="left" w:pos="1759"/>
        </w:tabs>
        <w:spacing w:before="91"/>
        <w:ind w:firstLine="480"/>
        <w:jc w:val="left"/>
        <w:rPr>
          <w:sz w:val="24"/>
        </w:rPr>
      </w:pPr>
      <w:r>
        <w:rPr>
          <w:sz w:val="24"/>
        </w:rPr>
        <w:t>自由活动时间安排；</w:t>
      </w:r>
    </w:p>
    <w:p w14:paraId="6E419A80">
      <w:pPr>
        <w:pStyle w:val="316"/>
        <w:numPr>
          <w:ilvl w:val="0"/>
          <w:numId w:val="32"/>
        </w:numPr>
        <w:tabs>
          <w:tab w:val="left" w:pos="1759"/>
        </w:tabs>
        <w:spacing w:before="94"/>
        <w:ind w:firstLine="480"/>
        <w:jc w:val="left"/>
        <w:rPr>
          <w:sz w:val="24"/>
        </w:rPr>
      </w:pPr>
      <w:r>
        <w:rPr>
          <w:sz w:val="24"/>
        </w:rPr>
        <w:t>地接社信息及提供地接服务人员的联系电话。</w:t>
      </w:r>
    </w:p>
    <w:p w14:paraId="1DD50639">
      <w:pPr>
        <w:pStyle w:val="24"/>
        <w:spacing w:before="93"/>
        <w:rPr>
          <w:rFonts w:ascii="Times New Roman" w:hAnsi="Times New Roman"/>
          <w:sz w:val="24"/>
          <w:szCs w:val="21"/>
        </w:rPr>
      </w:pPr>
      <w:r>
        <w:rPr>
          <w:rFonts w:ascii="Times New Roman" w:hAnsi="Times New Roman"/>
          <w:sz w:val="24"/>
          <w:szCs w:val="21"/>
        </w:rPr>
        <w:t>《旅游行程单》的用语应准确清晰，不应出现“准×星级”、“仅供参考”、“以××为准”、“超豪华等级”等不确定性用语。</w:t>
      </w:r>
    </w:p>
    <w:p w14:paraId="6D00BC00">
      <w:pPr>
        <w:pStyle w:val="316"/>
        <w:tabs>
          <w:tab w:val="left" w:pos="1399"/>
        </w:tabs>
        <w:spacing w:before="93"/>
        <w:ind w:left="420" w:leftChars="200" w:firstLine="0" w:firstLineChars="0"/>
        <w:jc w:val="left"/>
        <w:rPr>
          <w:sz w:val="24"/>
        </w:rPr>
      </w:pPr>
      <w:r>
        <w:rPr>
          <w:rFonts w:hint="eastAsia"/>
          <w:sz w:val="24"/>
        </w:rPr>
        <w:t>1.</w:t>
      </w:r>
      <w:r>
        <w:rPr>
          <w:sz w:val="24"/>
        </w:rPr>
        <w:t>按照合同约定及法律法规的规定向旅游者提供旅游服务。</w:t>
      </w:r>
    </w:p>
    <w:p w14:paraId="00370ED1">
      <w:pPr>
        <w:pStyle w:val="316"/>
        <w:tabs>
          <w:tab w:val="left" w:pos="1399"/>
        </w:tabs>
        <w:spacing w:before="93"/>
        <w:ind w:left="420" w:leftChars="200" w:firstLine="0" w:firstLineChars="0"/>
        <w:jc w:val="left"/>
        <w:rPr>
          <w:sz w:val="24"/>
        </w:rPr>
      </w:pPr>
      <w:r>
        <w:rPr>
          <w:rFonts w:hint="eastAsia"/>
          <w:sz w:val="24"/>
        </w:rPr>
        <w:t>2.</w:t>
      </w:r>
      <w:r>
        <w:rPr>
          <w:sz w:val="24"/>
        </w:rPr>
        <w:t>接待老年人、未成年人、残疾人等旅游者，应当采取相应的安全保障措施。</w:t>
      </w:r>
    </w:p>
    <w:p w14:paraId="7659B5E9">
      <w:pPr>
        <w:pStyle w:val="316"/>
        <w:tabs>
          <w:tab w:val="left" w:pos="1399"/>
        </w:tabs>
        <w:spacing w:before="91" w:line="312" w:lineRule="auto"/>
        <w:ind w:left="420" w:leftChars="200" w:right="936" w:firstLine="0" w:firstLineChars="0"/>
        <w:jc w:val="left"/>
        <w:rPr>
          <w:sz w:val="24"/>
        </w:rPr>
      </w:pPr>
      <w:r>
        <w:rPr>
          <w:rFonts w:hint="eastAsia"/>
          <w:sz w:val="24"/>
        </w:rPr>
        <w:t>3.</w:t>
      </w:r>
      <w:r>
        <w:rPr>
          <w:sz w:val="24"/>
        </w:rPr>
        <w:t>不得指定具体购物场所，不得安排另行付费旅游项目，但经双方协商一致或者旅游者要求，且不影响其它旅游者行程安排的除外。</w:t>
      </w:r>
    </w:p>
    <w:p w14:paraId="7F90B88F">
      <w:pPr>
        <w:pStyle w:val="316"/>
        <w:tabs>
          <w:tab w:val="left" w:pos="1399"/>
        </w:tabs>
        <w:spacing w:before="2"/>
        <w:ind w:left="420" w:leftChars="200" w:firstLine="0" w:firstLineChars="0"/>
        <w:jc w:val="left"/>
        <w:rPr>
          <w:sz w:val="24"/>
        </w:rPr>
      </w:pPr>
      <w:r>
        <w:rPr>
          <w:rFonts w:hint="eastAsia"/>
          <w:sz w:val="24"/>
        </w:rPr>
        <w:t>4.</w:t>
      </w:r>
      <w:r>
        <w:rPr>
          <w:sz w:val="24"/>
        </w:rPr>
        <w:t>对在经营活动中知悉的旅游者个人信息，应当予以保密。</w:t>
      </w:r>
    </w:p>
    <w:p w14:paraId="5D477705">
      <w:pPr>
        <w:pStyle w:val="316"/>
        <w:tabs>
          <w:tab w:val="left" w:pos="1399"/>
        </w:tabs>
        <w:spacing w:before="91" w:line="312" w:lineRule="auto"/>
        <w:ind w:left="420" w:leftChars="200" w:right="936" w:firstLine="0" w:firstLineChars="0"/>
        <w:jc w:val="left"/>
        <w:rPr>
          <w:sz w:val="24"/>
        </w:rPr>
      </w:pPr>
      <w:r>
        <w:rPr>
          <w:rFonts w:hint="eastAsia"/>
          <w:sz w:val="24"/>
        </w:rPr>
        <w:t>5.</w:t>
      </w:r>
      <w:r>
        <w:rPr>
          <w:sz w:val="24"/>
        </w:rPr>
        <w:t>要求委派的导游、领队引导旅游者健康、文明旅游，劝阻旅游者违反社会公德的行为。</w:t>
      </w:r>
    </w:p>
    <w:p w14:paraId="157EFA71">
      <w:pPr>
        <w:pStyle w:val="10"/>
        <w:tabs>
          <w:tab w:val="left" w:pos="2119"/>
        </w:tabs>
        <w:spacing w:before="2"/>
        <w:ind w:left="1157"/>
      </w:pPr>
      <w:r>
        <w:t>第六条</w:t>
      </w:r>
      <w:r>
        <w:tab/>
      </w:r>
      <w:r>
        <w:t>合同变更</w:t>
      </w:r>
    </w:p>
    <w:p w14:paraId="644E8923">
      <w:pPr>
        <w:pStyle w:val="24"/>
        <w:spacing w:before="91" w:line="312" w:lineRule="auto"/>
        <w:ind w:left="677" w:right="933" w:firstLine="480"/>
        <w:rPr>
          <w:rFonts w:ascii="Times New Roman" w:hAnsi="Times New Roman"/>
          <w:spacing w:val="-4"/>
          <w:sz w:val="24"/>
          <w:szCs w:val="21"/>
        </w:rPr>
      </w:pPr>
      <w:r>
        <w:rPr>
          <w:rFonts w:ascii="Times New Roman" w:hAnsi="Times New Roman"/>
          <w:spacing w:val="-4"/>
          <w:sz w:val="24"/>
          <w:szCs w:val="21"/>
        </w:rPr>
        <w:t>1.旅行社与旅游者可以协商变更合同内容，由此增加的旅游费用及给对方造成的损失，由要求变更的一方承担；由此减少的旅游费用，旅行社应当退还旅游者。 2.因不可抗力或者旅行社、履行辅助人已尽合理注意义务仍不能避免的事件（包括但不限于重大礼宾活动导致的交通堵塞、列车航班晚点、景点临时不开放），影响旅游行程的，按照下列方式处理：</w:t>
      </w:r>
    </w:p>
    <w:p w14:paraId="289E20BD">
      <w:pPr>
        <w:pStyle w:val="316"/>
        <w:numPr>
          <w:ilvl w:val="0"/>
          <w:numId w:val="33"/>
        </w:numPr>
        <w:tabs>
          <w:tab w:val="left" w:pos="1759"/>
        </w:tabs>
        <w:spacing w:before="2" w:line="312" w:lineRule="auto"/>
        <w:ind w:right="933" w:firstLine="464"/>
        <w:rPr>
          <w:sz w:val="24"/>
        </w:rPr>
      </w:pPr>
      <w:r>
        <w:rPr>
          <w:spacing w:val="-4"/>
          <w:sz w:val="24"/>
        </w:rPr>
        <w:t>合同不能继续履行的，旅行社和旅游者均可以解除合同。合同不能完全 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3EB30A94">
      <w:pPr>
        <w:pStyle w:val="316"/>
        <w:numPr>
          <w:ilvl w:val="0"/>
          <w:numId w:val="33"/>
        </w:numPr>
        <w:tabs>
          <w:tab w:val="left" w:pos="1759"/>
        </w:tabs>
        <w:spacing w:line="312" w:lineRule="auto"/>
        <w:ind w:right="933" w:firstLine="456"/>
        <w:rPr>
          <w:sz w:val="24"/>
        </w:rPr>
      </w:pPr>
      <w:r>
        <w:rPr>
          <w:spacing w:val="-6"/>
          <w:sz w:val="24"/>
        </w:rPr>
        <w:t>合同解除的，旅行社应当在扣除已向地接社或者履行辅助人支付且不可</w:t>
      </w:r>
      <w:r>
        <w:rPr>
          <w:spacing w:val="-4"/>
          <w:sz w:val="24"/>
        </w:rPr>
        <w:t>退还的费用后，将余款退还旅游者；合同变更的，因此增加的费用由旅游者承担， 减少的费用退还旅游者。</w:t>
      </w:r>
    </w:p>
    <w:p w14:paraId="6307FED8">
      <w:pPr>
        <w:pStyle w:val="316"/>
        <w:numPr>
          <w:ilvl w:val="0"/>
          <w:numId w:val="33"/>
        </w:numPr>
        <w:tabs>
          <w:tab w:val="left" w:pos="1759"/>
        </w:tabs>
        <w:spacing w:line="312" w:lineRule="auto"/>
        <w:ind w:right="933" w:firstLine="456"/>
        <w:jc w:val="left"/>
        <w:rPr>
          <w:sz w:val="24"/>
        </w:rPr>
      </w:pPr>
      <w:r>
        <w:rPr>
          <w:spacing w:val="-6"/>
          <w:sz w:val="24"/>
        </w:rPr>
        <w:t>危及旅游者人身、财产安全的，旅行社应当采取相应的安全措施，因此支</w:t>
      </w:r>
      <w:r>
        <w:rPr>
          <w:sz w:val="24"/>
        </w:rPr>
        <w:t>出的费用，由旅行社与旅游者分担。</w:t>
      </w:r>
    </w:p>
    <w:p w14:paraId="0F509C4F">
      <w:pPr>
        <w:pStyle w:val="316"/>
        <w:numPr>
          <w:ilvl w:val="0"/>
          <w:numId w:val="33"/>
        </w:numPr>
        <w:tabs>
          <w:tab w:val="left" w:pos="1759"/>
        </w:tabs>
        <w:spacing w:before="2" w:line="312" w:lineRule="auto"/>
        <w:ind w:right="933" w:firstLine="464"/>
        <w:jc w:val="left"/>
        <w:rPr>
          <w:sz w:val="24"/>
        </w:rPr>
      </w:pPr>
      <w:r>
        <w:rPr>
          <w:spacing w:val="-4"/>
          <w:sz w:val="24"/>
        </w:rPr>
        <w:t>造成旅游者滞留的，旅行社应当采取相应的安置措施。因此增加的食宿 费用，由旅游者承担；增加的返程费用，由旅行社与旅游者分担。</w:t>
      </w:r>
    </w:p>
    <w:p w14:paraId="64A8801A">
      <w:pPr>
        <w:pStyle w:val="10"/>
        <w:tabs>
          <w:tab w:val="left" w:pos="2119"/>
        </w:tabs>
        <w:spacing w:line="307" w:lineRule="exact"/>
        <w:ind w:left="1157"/>
      </w:pPr>
      <w:r>
        <w:t>第七条</w:t>
      </w:r>
      <w:r>
        <w:tab/>
      </w:r>
      <w:r>
        <w:t>合同解除</w:t>
      </w:r>
    </w:p>
    <w:p w14:paraId="70798751">
      <w:pPr>
        <w:spacing w:line="307" w:lineRule="exact"/>
        <w:sectPr>
          <w:pgSz w:w="11910" w:h="16840"/>
          <w:pgMar w:top="1480" w:right="480" w:bottom="1020" w:left="1120" w:header="0" w:footer="756" w:gutter="0"/>
          <w:pgNumType w:fmt="decimal"/>
          <w:cols w:space="720" w:num="1"/>
        </w:sectPr>
      </w:pPr>
    </w:p>
    <w:p w14:paraId="06109D32">
      <w:pPr>
        <w:pStyle w:val="316"/>
        <w:tabs>
          <w:tab w:val="left" w:pos="1399"/>
        </w:tabs>
        <w:spacing w:before="55" w:line="312" w:lineRule="auto"/>
        <w:ind w:left="420" w:leftChars="200" w:right="866" w:firstLine="720" w:firstLineChars="300"/>
        <w:rPr>
          <w:sz w:val="24"/>
        </w:rPr>
      </w:pPr>
      <w:r>
        <w:rPr>
          <w:rFonts w:hint="eastAsia"/>
          <w:sz w:val="24"/>
        </w:rPr>
        <w:t>1.</w:t>
      </w:r>
      <w:r>
        <w:rPr>
          <w:sz w:val="24"/>
        </w:rPr>
        <w:t>旅游行程结束前，旅游者解除合同的，旅行社应当在扣除必要的费用后，将</w:t>
      </w:r>
      <w:r>
        <w:rPr>
          <w:spacing w:val="-2"/>
          <w:sz w:val="24"/>
        </w:rPr>
        <w:t xml:space="preserve">余款退还旅游者。必要的费用包括以下两部分：旅游费用的 </w:t>
      </w:r>
      <w:r>
        <w:rPr>
          <w:sz w:val="24"/>
        </w:rPr>
        <w:t>10%作为旅行社行业预期利润损失；已经实际发生的费用，包括飞机、火车等交通工具的费用（预订金</w:t>
      </w:r>
      <w:r>
        <w:rPr>
          <w:spacing w:val="-120"/>
          <w:sz w:val="24"/>
        </w:rPr>
        <w:t>）</w:t>
      </w:r>
      <w:r>
        <w:rPr>
          <w:spacing w:val="-17"/>
          <w:sz w:val="24"/>
        </w:rPr>
        <w:t>、</w:t>
      </w:r>
      <w:r>
        <w:rPr>
          <w:sz w:val="24"/>
        </w:rPr>
        <w:t>旅游汽车人均分摊的费用、住宿费、餐费、导游人员的服务费等产生的费用。如旅行社购买的是团队包机票，执行的是团体优惠价格，附有严格的限制使用条件（不能改、不能转、不能退</w:t>
      </w:r>
      <w:r>
        <w:rPr>
          <w:spacing w:val="-120"/>
          <w:sz w:val="24"/>
        </w:rPr>
        <w:t>）</w:t>
      </w:r>
      <w:r>
        <w:rPr>
          <w:sz w:val="24"/>
        </w:rPr>
        <w:t>，行前解除合同后，机票价格即为实际发生的费用。</w:t>
      </w:r>
    </w:p>
    <w:p w14:paraId="756195F1">
      <w:pPr>
        <w:pStyle w:val="24"/>
        <w:spacing w:before="2"/>
        <w:ind w:left="1157"/>
        <w:rPr>
          <w:rFonts w:ascii="Times New Roman" w:hAnsi="Times New Roman"/>
          <w:sz w:val="24"/>
          <w:szCs w:val="21"/>
        </w:rPr>
      </w:pPr>
      <w:r>
        <w:rPr>
          <w:rFonts w:ascii="Times New Roman" w:hAnsi="Times New Roman"/>
          <w:sz w:val="24"/>
          <w:szCs w:val="21"/>
        </w:rPr>
        <w:t>旅行社应当在合同解除之日起 5 个工作日内向旅游者退还剩余旅游费用。</w:t>
      </w:r>
    </w:p>
    <w:p w14:paraId="27AD24FB">
      <w:pPr>
        <w:pStyle w:val="24"/>
        <w:spacing w:before="93" w:line="312" w:lineRule="auto"/>
        <w:ind w:left="677" w:right="933" w:firstLine="480"/>
        <w:rPr>
          <w:rFonts w:ascii="Times New Roman" w:hAnsi="Times New Roman"/>
          <w:sz w:val="24"/>
          <w:szCs w:val="21"/>
        </w:rPr>
      </w:pPr>
      <w:r>
        <w:rPr>
          <w:rFonts w:ascii="Times New Roman" w:hAnsi="Times New Roman"/>
          <w:sz w:val="24"/>
          <w:szCs w:val="21"/>
        </w:rPr>
        <w:t>旅游者未按约定时间到达约定集合地点，也未能在出发途中加入旅游团队的， 视为旅游者在出发当日解除合同。</w:t>
      </w:r>
    </w:p>
    <w:p w14:paraId="35990629">
      <w:pPr>
        <w:pStyle w:val="316"/>
        <w:tabs>
          <w:tab w:val="left" w:pos="1399"/>
        </w:tabs>
        <w:spacing w:line="307" w:lineRule="exact"/>
        <w:ind w:left="420" w:leftChars="200" w:firstLine="720" w:firstLineChars="300"/>
        <w:jc w:val="left"/>
        <w:rPr>
          <w:sz w:val="24"/>
        </w:rPr>
      </w:pPr>
      <w:r>
        <w:rPr>
          <w:rFonts w:hint="eastAsia"/>
          <w:sz w:val="24"/>
        </w:rPr>
        <w:t>2.</w:t>
      </w:r>
      <w:r>
        <w:rPr>
          <w:sz w:val="24"/>
        </w:rPr>
        <w:t>旅游者有下列情形之一的，旅行社可以解除合同：</w:t>
      </w:r>
    </w:p>
    <w:p w14:paraId="5B4BF8B7">
      <w:pPr>
        <w:pStyle w:val="316"/>
        <w:numPr>
          <w:ilvl w:val="0"/>
          <w:numId w:val="34"/>
        </w:numPr>
        <w:tabs>
          <w:tab w:val="left" w:pos="1759"/>
        </w:tabs>
        <w:spacing w:before="94"/>
        <w:ind w:firstLine="480"/>
        <w:jc w:val="left"/>
        <w:rPr>
          <w:sz w:val="24"/>
        </w:rPr>
      </w:pPr>
      <w:r>
        <w:rPr>
          <w:sz w:val="24"/>
        </w:rPr>
        <w:t>患有传染病等疾病，可能危害其他旅游者健康和安全的；</w:t>
      </w:r>
    </w:p>
    <w:p w14:paraId="29D383FB">
      <w:pPr>
        <w:pStyle w:val="316"/>
        <w:numPr>
          <w:ilvl w:val="0"/>
          <w:numId w:val="34"/>
        </w:numPr>
        <w:tabs>
          <w:tab w:val="left" w:pos="1759"/>
        </w:tabs>
        <w:spacing w:before="93"/>
        <w:ind w:firstLine="480"/>
        <w:jc w:val="left"/>
        <w:rPr>
          <w:sz w:val="24"/>
        </w:rPr>
      </w:pPr>
      <w:r>
        <w:rPr>
          <w:sz w:val="24"/>
        </w:rPr>
        <w:t>携带危害公共安全的物品且不同意交有关部门处理的；</w:t>
      </w:r>
    </w:p>
    <w:p w14:paraId="58FDCDE1">
      <w:pPr>
        <w:pStyle w:val="316"/>
        <w:numPr>
          <w:ilvl w:val="0"/>
          <w:numId w:val="34"/>
        </w:numPr>
        <w:tabs>
          <w:tab w:val="left" w:pos="1759"/>
        </w:tabs>
        <w:spacing w:before="91"/>
        <w:ind w:firstLine="480"/>
        <w:jc w:val="left"/>
        <w:rPr>
          <w:sz w:val="24"/>
        </w:rPr>
      </w:pPr>
      <w:r>
        <w:rPr>
          <w:sz w:val="24"/>
        </w:rPr>
        <w:t>从事违法或者违反社会公德的活动的；</w:t>
      </w:r>
    </w:p>
    <w:p w14:paraId="535FC010">
      <w:pPr>
        <w:pStyle w:val="316"/>
        <w:numPr>
          <w:ilvl w:val="0"/>
          <w:numId w:val="34"/>
        </w:numPr>
        <w:tabs>
          <w:tab w:val="left" w:pos="1759"/>
        </w:tabs>
        <w:spacing w:before="93"/>
        <w:ind w:firstLine="480"/>
        <w:jc w:val="left"/>
        <w:rPr>
          <w:sz w:val="24"/>
        </w:rPr>
      </w:pPr>
      <w:r>
        <w:rPr>
          <w:sz w:val="24"/>
        </w:rPr>
        <w:t>从事严重影响其他旅游者权益的活动，且不听劝阻、不能制止的；</w:t>
      </w:r>
    </w:p>
    <w:p w14:paraId="2775BF1D">
      <w:pPr>
        <w:pStyle w:val="316"/>
        <w:numPr>
          <w:ilvl w:val="0"/>
          <w:numId w:val="34"/>
        </w:numPr>
        <w:tabs>
          <w:tab w:val="left" w:pos="1759"/>
        </w:tabs>
        <w:spacing w:before="93"/>
        <w:ind w:firstLine="480"/>
        <w:jc w:val="left"/>
        <w:rPr>
          <w:sz w:val="24"/>
        </w:rPr>
      </w:pPr>
      <w:r>
        <w:rPr>
          <w:sz w:val="24"/>
        </w:rPr>
        <w:t>法律法规规定的其他情形。</w:t>
      </w:r>
    </w:p>
    <w:p w14:paraId="4C2A452E">
      <w:pPr>
        <w:pStyle w:val="24"/>
        <w:spacing w:before="91" w:line="312" w:lineRule="auto"/>
        <w:ind w:left="677" w:right="933" w:firstLine="480"/>
        <w:rPr>
          <w:rFonts w:ascii="Times New Roman" w:hAnsi="Times New Roman"/>
          <w:sz w:val="24"/>
          <w:szCs w:val="21"/>
        </w:rPr>
      </w:pPr>
      <w:r>
        <w:rPr>
          <w:rFonts w:ascii="Times New Roman" w:hAnsi="Times New Roman"/>
          <w:sz w:val="24"/>
          <w:szCs w:val="21"/>
        </w:rPr>
        <w:t>合同解除后，旅行社应当按照本条第 1 项的标准扣除必要的费用后，将余款退还旅游者；给旅行社造成损失的，旅游者还应依法承担赔偿责任。</w:t>
      </w:r>
    </w:p>
    <w:p w14:paraId="3E443C0D">
      <w:pPr>
        <w:pStyle w:val="316"/>
        <w:tabs>
          <w:tab w:val="left" w:pos="1399"/>
        </w:tabs>
        <w:spacing w:before="2" w:line="312" w:lineRule="auto"/>
        <w:ind w:left="420" w:leftChars="200" w:right="933" w:firstLine="480"/>
        <w:rPr>
          <w:sz w:val="24"/>
        </w:rPr>
      </w:pPr>
      <w:r>
        <w:rPr>
          <w:rFonts w:hint="eastAsia"/>
          <w:sz w:val="24"/>
        </w:rPr>
        <w:t>3.</w:t>
      </w:r>
      <w:r>
        <w:rPr>
          <w:sz w:val="24"/>
        </w:rPr>
        <w:t>旅游行程中解除合同的，旅行社应当协助旅游者返回出发地或者旅游者指定的合理地点，因协助而产生的费用由旅游者承担。由于旅行社或者履行辅助人的原因导致合同解除的，返程费用由旅行社承担。</w:t>
      </w:r>
    </w:p>
    <w:p w14:paraId="582B47FD">
      <w:pPr>
        <w:pStyle w:val="316"/>
        <w:tabs>
          <w:tab w:val="left" w:pos="1399"/>
        </w:tabs>
        <w:spacing w:before="1" w:line="312" w:lineRule="auto"/>
        <w:ind w:left="420" w:leftChars="200" w:right="933" w:firstLine="480"/>
        <w:rPr>
          <w:sz w:val="24"/>
        </w:rPr>
      </w:pPr>
      <w:r>
        <w:rPr>
          <w:rFonts w:hint="eastAsia"/>
          <w:sz w:val="24"/>
        </w:rPr>
        <w:t>4.</w:t>
      </w:r>
      <w:r>
        <w:rPr>
          <w:sz w:val="24"/>
        </w:rPr>
        <w:t>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0062DD9A">
      <w:pPr>
        <w:pStyle w:val="10"/>
        <w:spacing w:line="307" w:lineRule="exact"/>
        <w:ind w:left="1157"/>
      </w:pPr>
      <w:r>
        <w:t>第八条 合同转让</w:t>
      </w:r>
    </w:p>
    <w:p w14:paraId="0440C3FA">
      <w:pPr>
        <w:pStyle w:val="24"/>
        <w:spacing w:before="93" w:line="312" w:lineRule="auto"/>
        <w:ind w:left="677" w:right="933" w:firstLine="480"/>
        <w:rPr>
          <w:rFonts w:ascii="Times New Roman" w:hAnsi="Times New Roman"/>
          <w:sz w:val="24"/>
          <w:szCs w:val="21"/>
        </w:rPr>
      </w:pPr>
      <w:r>
        <w:rPr>
          <w:rFonts w:ascii="Times New Roman" w:hAnsi="Times New Roman"/>
          <w:sz w:val="24"/>
          <w:szCs w:val="21"/>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14:paraId="1C832CEB">
      <w:pPr>
        <w:pStyle w:val="10"/>
        <w:spacing w:line="307" w:lineRule="exact"/>
        <w:ind w:left="1157"/>
      </w:pPr>
      <w:r>
        <w:t>第九条 特别提示</w:t>
      </w:r>
    </w:p>
    <w:p w14:paraId="1CA0DA7A">
      <w:pPr>
        <w:spacing w:before="91" w:line="312" w:lineRule="auto"/>
        <w:ind w:left="1157" w:right="4812"/>
        <w:rPr>
          <w:sz w:val="24"/>
        </w:rPr>
      </w:pPr>
      <w:r>
        <w:rPr>
          <w:b/>
          <w:sz w:val="24"/>
        </w:rPr>
        <w:t>第十条 老年、未成年旅游者的特别约定</w:t>
      </w:r>
      <w:r>
        <w:rPr>
          <w:sz w:val="24"/>
        </w:rPr>
        <w:t>1.老年旅游者特别约定</w:t>
      </w:r>
    </w:p>
    <w:p w14:paraId="23B04CED">
      <w:pPr>
        <w:pStyle w:val="316"/>
        <w:numPr>
          <w:ilvl w:val="0"/>
          <w:numId w:val="35"/>
        </w:numPr>
        <w:tabs>
          <w:tab w:val="left" w:pos="1763"/>
        </w:tabs>
        <w:spacing w:before="2" w:line="312" w:lineRule="auto"/>
        <w:ind w:right="936" w:firstLine="420"/>
        <w:jc w:val="left"/>
        <w:rPr>
          <w:sz w:val="24"/>
        </w:rPr>
      </w:pPr>
      <w:r>
        <w:rPr>
          <w:spacing w:val="-15"/>
          <w:sz w:val="24"/>
        </w:rPr>
        <w:t xml:space="preserve">年满 </w:t>
      </w:r>
      <w:r>
        <w:rPr>
          <w:sz w:val="24"/>
        </w:rPr>
        <w:t>60</w:t>
      </w:r>
      <w:r>
        <w:rPr>
          <w:spacing w:val="-7"/>
          <w:sz w:val="24"/>
        </w:rPr>
        <w:t xml:space="preserve"> 周岁的旅游者应当向旅行社提供家属或其他紧急联络人的联系方式。</w:t>
      </w:r>
    </w:p>
    <w:p w14:paraId="4FADF00C">
      <w:pPr>
        <w:pStyle w:val="316"/>
        <w:tabs>
          <w:tab w:val="left" w:pos="1759"/>
        </w:tabs>
        <w:spacing w:line="307" w:lineRule="exact"/>
        <w:ind w:firstLine="464"/>
        <w:jc w:val="left"/>
        <w:rPr>
          <w:sz w:val="24"/>
        </w:rPr>
      </w:pPr>
      <w:r>
        <w:rPr>
          <w:rFonts w:hint="eastAsia"/>
          <w:spacing w:val="-4"/>
          <w:sz w:val="24"/>
        </w:rPr>
        <w:t>（2）</w:t>
      </w:r>
      <w:r>
        <w:rPr>
          <w:spacing w:val="-4"/>
          <w:sz w:val="24"/>
        </w:rPr>
        <w:t>报名参加旅游时，应当如实填写年龄及身体健康状况，并须特别声明根据</w:t>
      </w:r>
    </w:p>
    <w:p w14:paraId="189E60A5">
      <w:pPr>
        <w:pStyle w:val="24"/>
        <w:spacing w:before="55"/>
        <w:rPr>
          <w:rFonts w:ascii="Times New Roman" w:hAnsi="Times New Roman"/>
          <w:spacing w:val="-7"/>
          <w:sz w:val="24"/>
          <w:szCs w:val="21"/>
        </w:rPr>
      </w:pPr>
      <w:r>
        <w:rPr>
          <w:rFonts w:ascii="Times New Roman" w:hAnsi="Times New Roman"/>
          <w:spacing w:val="-7"/>
          <w:sz w:val="24"/>
          <w:szCs w:val="21"/>
        </w:rPr>
        <w:t>身体健康状况不宜参加的行程、项目、交通工具、饮食、特殊地域环境限制等。</w:t>
      </w:r>
    </w:p>
    <w:p w14:paraId="3EB014C4">
      <w:pPr>
        <w:pStyle w:val="316"/>
        <w:tabs>
          <w:tab w:val="left" w:pos="1759"/>
        </w:tabs>
        <w:spacing w:before="94" w:line="312" w:lineRule="auto"/>
        <w:ind w:left="420" w:leftChars="200" w:right="813" w:firstLine="0" w:firstLineChars="0"/>
        <w:rPr>
          <w:sz w:val="24"/>
        </w:rPr>
      </w:pPr>
      <w:r>
        <w:rPr>
          <w:rFonts w:hint="eastAsia"/>
          <w:spacing w:val="-3"/>
          <w:sz w:val="24"/>
        </w:rPr>
        <w:t>（3）</w:t>
      </w:r>
      <w:r>
        <w:rPr>
          <w:spacing w:val="-3"/>
          <w:sz w:val="24"/>
        </w:rPr>
        <w:t>因疾病等健康原因无法继续旅游时，应当及时告知旅行社工作人员，旅行社应当协助其就医或者返回，就医及返回的费用由老年旅游者自行承担，旅行社按</w:t>
      </w:r>
      <w:r>
        <w:rPr>
          <w:spacing w:val="-12"/>
          <w:sz w:val="24"/>
        </w:rPr>
        <w:t xml:space="preserve">本合同《通用条款》第七条第 </w:t>
      </w:r>
      <w:r>
        <w:rPr>
          <w:sz w:val="24"/>
        </w:rPr>
        <w:t>1</w:t>
      </w:r>
      <w:r>
        <w:rPr>
          <w:spacing w:val="-11"/>
          <w:sz w:val="24"/>
        </w:rPr>
        <w:t xml:space="preserve"> 项的约定扣除必要费用后，将余款退还老年旅游者。</w:t>
      </w:r>
    </w:p>
    <w:p w14:paraId="19344D25">
      <w:pPr>
        <w:pStyle w:val="24"/>
        <w:spacing w:before="1"/>
        <w:ind w:left="1097"/>
        <w:rPr>
          <w:rFonts w:ascii="Times New Roman" w:hAnsi="Times New Roman"/>
          <w:spacing w:val="-3"/>
          <w:sz w:val="24"/>
          <w:szCs w:val="21"/>
        </w:rPr>
      </w:pPr>
      <w:r>
        <w:rPr>
          <w:rFonts w:ascii="Times New Roman" w:hAnsi="Times New Roman"/>
          <w:spacing w:val="-3"/>
          <w:sz w:val="24"/>
          <w:szCs w:val="21"/>
        </w:rPr>
        <w:t>2.未成年旅游者特别约定</w:t>
      </w:r>
    </w:p>
    <w:p w14:paraId="2A129F6E">
      <w:pPr>
        <w:pStyle w:val="316"/>
        <w:numPr>
          <w:ilvl w:val="0"/>
          <w:numId w:val="36"/>
        </w:numPr>
        <w:tabs>
          <w:tab w:val="left" w:pos="1759"/>
        </w:tabs>
        <w:spacing w:before="93" w:line="312" w:lineRule="auto"/>
        <w:ind w:right="933" w:firstLine="472"/>
        <w:jc w:val="left"/>
        <w:rPr>
          <w:sz w:val="24"/>
        </w:rPr>
      </w:pPr>
      <w:r>
        <w:rPr>
          <w:spacing w:val="-2"/>
          <w:sz w:val="24"/>
        </w:rPr>
        <w:t>未成年旅游者独自或由非监护人陪同参加旅游的，须征得监护人的书面</w:t>
      </w:r>
      <w:r>
        <w:rPr>
          <w:spacing w:val="-4"/>
          <w:sz w:val="24"/>
        </w:rPr>
        <w:t>同意；如具有完全民事行为能力的，须提供相关证明。</w:t>
      </w:r>
    </w:p>
    <w:p w14:paraId="49821121">
      <w:pPr>
        <w:pStyle w:val="316"/>
        <w:numPr>
          <w:ilvl w:val="0"/>
          <w:numId w:val="36"/>
        </w:numPr>
        <w:tabs>
          <w:tab w:val="left" w:pos="1759"/>
        </w:tabs>
        <w:spacing w:line="312" w:lineRule="auto"/>
        <w:ind w:right="933" w:firstLine="472"/>
        <w:jc w:val="left"/>
      </w:pPr>
      <w:r>
        <w:rPr>
          <w:spacing w:val="-2"/>
          <w:sz w:val="24"/>
        </w:rPr>
        <w:t>未成年旅游者的监护人或者其他负有监护义务的人，应当保护随行未成</w:t>
      </w:r>
      <w:r>
        <w:rPr>
          <w:spacing w:val="-4"/>
          <w:sz w:val="24"/>
        </w:rPr>
        <w:t>年旅游者的安全。</w:t>
      </w:r>
    </w:p>
    <w:p w14:paraId="1D5F2F14">
      <w:pPr>
        <w:pStyle w:val="316"/>
        <w:tabs>
          <w:tab w:val="left" w:pos="1759"/>
        </w:tabs>
        <w:spacing w:line="312" w:lineRule="auto"/>
        <w:ind w:left="420" w:leftChars="200" w:right="933" w:firstLine="0" w:firstLineChars="0"/>
        <w:jc w:val="left"/>
        <w:rPr>
          <w:rFonts w:ascii="宋体" w:eastAsia="仿宋_GB2312"/>
          <w:b/>
          <w:kern w:val="0"/>
          <w:sz w:val="24"/>
          <w:szCs w:val="20"/>
        </w:rPr>
      </w:pPr>
      <w:r>
        <w:rPr>
          <w:rFonts w:ascii="宋体" w:eastAsia="仿宋_GB2312"/>
          <w:b/>
          <w:kern w:val="0"/>
          <w:sz w:val="24"/>
          <w:szCs w:val="20"/>
        </w:rPr>
        <w:t>第十一条</w:t>
      </w:r>
      <w:r>
        <w:rPr>
          <w:rFonts w:ascii="宋体" w:eastAsia="仿宋_GB2312"/>
          <w:b/>
          <w:kern w:val="0"/>
          <w:sz w:val="24"/>
          <w:szCs w:val="20"/>
        </w:rPr>
        <w:tab/>
      </w:r>
      <w:r>
        <w:rPr>
          <w:rFonts w:ascii="宋体" w:eastAsia="仿宋_GB2312"/>
          <w:b/>
          <w:kern w:val="0"/>
          <w:sz w:val="24"/>
          <w:szCs w:val="20"/>
        </w:rPr>
        <w:t>违约责任</w:t>
      </w:r>
    </w:p>
    <w:p w14:paraId="1EBA9FFF">
      <w:pPr>
        <w:pStyle w:val="316"/>
        <w:numPr>
          <w:ilvl w:val="0"/>
          <w:numId w:val="37"/>
        </w:numPr>
        <w:tabs>
          <w:tab w:val="left" w:pos="1399"/>
        </w:tabs>
        <w:spacing w:before="93" w:line="312" w:lineRule="auto"/>
        <w:ind w:right="936" w:firstLine="452"/>
        <w:jc w:val="left"/>
        <w:rPr>
          <w:sz w:val="24"/>
        </w:rPr>
      </w:pPr>
      <w:r>
        <w:rPr>
          <w:spacing w:val="-7"/>
          <w:sz w:val="24"/>
        </w:rPr>
        <w:t xml:space="preserve">旅行社在出发前 </w:t>
      </w:r>
      <w:r>
        <w:rPr>
          <w:sz w:val="24"/>
        </w:rPr>
        <w:t>7</w:t>
      </w:r>
      <w:r>
        <w:rPr>
          <w:spacing w:val="-13"/>
          <w:sz w:val="24"/>
        </w:rPr>
        <w:t xml:space="preserve"> 日以内</w:t>
      </w:r>
      <w:r>
        <w:rPr>
          <w:sz w:val="24"/>
        </w:rPr>
        <w:t>（</w:t>
      </w:r>
      <w:r>
        <w:rPr>
          <w:spacing w:val="-17"/>
          <w:sz w:val="24"/>
        </w:rPr>
        <w:t xml:space="preserve">含第 </w:t>
      </w:r>
      <w:r>
        <w:rPr>
          <w:sz w:val="24"/>
        </w:rPr>
        <w:t>7</w:t>
      </w:r>
      <w:r>
        <w:rPr>
          <w:spacing w:val="-12"/>
          <w:sz w:val="24"/>
        </w:rPr>
        <w:t xml:space="preserve"> 日，下同</w:t>
      </w:r>
      <w:r>
        <w:rPr>
          <w:sz w:val="24"/>
        </w:rPr>
        <w:t>）提出解除合同的，向旅游者退还全额旅游费用，并按以下标准向旅游者支付违约金：</w:t>
      </w:r>
    </w:p>
    <w:p w14:paraId="1E2AAB3C">
      <w:pPr>
        <w:pStyle w:val="316"/>
        <w:numPr>
          <w:ilvl w:val="0"/>
          <w:numId w:val="38"/>
        </w:numPr>
        <w:tabs>
          <w:tab w:val="left" w:pos="1759"/>
        </w:tabs>
        <w:spacing w:line="307" w:lineRule="exact"/>
        <w:ind w:firstLine="420"/>
        <w:jc w:val="left"/>
        <w:rPr>
          <w:sz w:val="24"/>
        </w:rPr>
      </w:pPr>
      <w:r>
        <w:rPr>
          <w:spacing w:val="-15"/>
          <w:sz w:val="24"/>
        </w:rPr>
        <w:t xml:space="preserve">出发前 </w:t>
      </w:r>
      <w:r>
        <w:rPr>
          <w:sz w:val="24"/>
        </w:rPr>
        <w:t>7</w:t>
      </w:r>
      <w:r>
        <w:rPr>
          <w:spacing w:val="-30"/>
          <w:sz w:val="24"/>
        </w:rPr>
        <w:t xml:space="preserve"> 日至 </w:t>
      </w:r>
      <w:r>
        <w:rPr>
          <w:sz w:val="24"/>
        </w:rPr>
        <w:t>4</w:t>
      </w:r>
      <w:r>
        <w:rPr>
          <w:spacing w:val="-12"/>
          <w:sz w:val="24"/>
        </w:rPr>
        <w:t xml:space="preserve"> 日，支付旅游费用总额的 </w:t>
      </w:r>
      <w:r>
        <w:rPr>
          <w:sz w:val="24"/>
        </w:rPr>
        <w:t>10%；</w:t>
      </w:r>
    </w:p>
    <w:p w14:paraId="0348E52F">
      <w:pPr>
        <w:pStyle w:val="316"/>
        <w:numPr>
          <w:ilvl w:val="0"/>
          <w:numId w:val="38"/>
        </w:numPr>
        <w:tabs>
          <w:tab w:val="left" w:pos="1759"/>
        </w:tabs>
        <w:spacing w:before="93"/>
        <w:ind w:firstLine="420"/>
        <w:jc w:val="left"/>
        <w:rPr>
          <w:sz w:val="24"/>
        </w:rPr>
      </w:pPr>
      <w:r>
        <w:rPr>
          <w:spacing w:val="-15"/>
          <w:sz w:val="24"/>
        </w:rPr>
        <w:t xml:space="preserve">出发前 </w:t>
      </w:r>
      <w:r>
        <w:rPr>
          <w:sz w:val="24"/>
        </w:rPr>
        <w:t>3</w:t>
      </w:r>
      <w:r>
        <w:rPr>
          <w:spacing w:val="-30"/>
          <w:sz w:val="24"/>
        </w:rPr>
        <w:t xml:space="preserve"> 日至 </w:t>
      </w:r>
      <w:r>
        <w:rPr>
          <w:sz w:val="24"/>
        </w:rPr>
        <w:t>1</w:t>
      </w:r>
      <w:r>
        <w:rPr>
          <w:spacing w:val="-12"/>
          <w:sz w:val="24"/>
        </w:rPr>
        <w:t xml:space="preserve"> 日，支付旅游费用总额的 </w:t>
      </w:r>
      <w:r>
        <w:rPr>
          <w:sz w:val="24"/>
        </w:rPr>
        <w:t>15 %；</w:t>
      </w:r>
    </w:p>
    <w:p w14:paraId="32CC2E81">
      <w:pPr>
        <w:pStyle w:val="316"/>
        <w:numPr>
          <w:ilvl w:val="0"/>
          <w:numId w:val="38"/>
        </w:numPr>
        <w:tabs>
          <w:tab w:val="left" w:pos="1759"/>
        </w:tabs>
        <w:spacing w:before="93"/>
        <w:ind w:firstLine="464"/>
        <w:jc w:val="left"/>
        <w:rPr>
          <w:sz w:val="24"/>
        </w:rPr>
      </w:pPr>
      <w:r>
        <w:rPr>
          <w:spacing w:val="-4"/>
          <w:sz w:val="24"/>
        </w:rPr>
        <w:t xml:space="preserve">出发当日，支付旅游费用总额的 </w:t>
      </w:r>
      <w:r>
        <w:rPr>
          <w:sz w:val="24"/>
        </w:rPr>
        <w:t>20 %。</w:t>
      </w:r>
    </w:p>
    <w:p w14:paraId="6E881E44">
      <w:pPr>
        <w:pStyle w:val="24"/>
        <w:spacing w:before="91" w:line="312" w:lineRule="auto"/>
        <w:ind w:left="677" w:right="933" w:firstLine="480"/>
      </w:pPr>
      <w:r>
        <w:rPr>
          <w:rFonts w:ascii="Times New Roman" w:hAnsi="Times New Roman"/>
          <w:spacing w:val="-15"/>
          <w:sz w:val="24"/>
          <w:szCs w:val="21"/>
        </w:rPr>
        <w:t>旅行社应当自解除合同之日起 5 个工作日内，向旅游者退还全额旅游费用并支付违约金。</w:t>
      </w:r>
    </w:p>
    <w:p w14:paraId="252D6F76">
      <w:pPr>
        <w:pStyle w:val="316"/>
        <w:numPr>
          <w:ilvl w:val="0"/>
          <w:numId w:val="37"/>
        </w:numPr>
        <w:tabs>
          <w:tab w:val="left" w:pos="1399"/>
        </w:tabs>
        <w:spacing w:before="2" w:line="312" w:lineRule="auto"/>
        <w:ind w:right="933" w:firstLine="448"/>
        <w:rPr>
          <w:sz w:val="24"/>
        </w:rPr>
      </w:pPr>
      <w:r>
        <w:rPr>
          <w:spacing w:val="-8"/>
          <w:sz w:val="24"/>
        </w:rPr>
        <w:t>旅行社不履行合同或者履行合同不符合约定的服务质量标准，旅行社按照《旅</w:t>
      </w:r>
      <w:r>
        <w:rPr>
          <w:spacing w:val="-11"/>
          <w:sz w:val="24"/>
        </w:rPr>
        <w:t>行社服务质量赔偿标准》</w:t>
      </w:r>
      <w:r>
        <w:rPr>
          <w:sz w:val="24"/>
        </w:rPr>
        <w:t>（</w:t>
      </w:r>
      <w:r>
        <w:rPr>
          <w:spacing w:val="1"/>
          <w:sz w:val="24"/>
        </w:rPr>
        <w:t>旅办发〔</w:t>
      </w:r>
      <w:r>
        <w:rPr>
          <w:sz w:val="24"/>
        </w:rPr>
        <w:t>2011〕44</w:t>
      </w:r>
      <w:r>
        <w:rPr>
          <w:spacing w:val="-14"/>
          <w:sz w:val="24"/>
        </w:rPr>
        <w:t xml:space="preserve"> 号</w:t>
      </w:r>
      <w:r>
        <w:rPr>
          <w:spacing w:val="4"/>
          <w:sz w:val="24"/>
        </w:rPr>
        <w:t>）</w:t>
      </w:r>
      <w:r>
        <w:rPr>
          <w:sz w:val="24"/>
        </w:rPr>
        <w:t>承担违约赔偿责任。旅行社具备履行条件，经旅游者要求仍拒绝履行合同，造成旅游者人身损害、滞留等严重后果</w:t>
      </w:r>
      <w:r>
        <w:rPr>
          <w:spacing w:val="-4"/>
          <w:sz w:val="24"/>
        </w:rPr>
        <w:t xml:space="preserve">的，旅游者有权根据《旅游法》第 </w:t>
      </w:r>
      <w:r>
        <w:rPr>
          <w:sz w:val="24"/>
        </w:rPr>
        <w:t>70</w:t>
      </w:r>
      <w:r>
        <w:rPr>
          <w:spacing w:val="-8"/>
          <w:sz w:val="24"/>
        </w:rPr>
        <w:t xml:space="preserve"> 条之规定获得惩罚性赔偿。</w:t>
      </w:r>
    </w:p>
    <w:p w14:paraId="5264B9D8">
      <w:pPr>
        <w:pStyle w:val="316"/>
        <w:numPr>
          <w:ilvl w:val="0"/>
          <w:numId w:val="37"/>
        </w:numPr>
        <w:tabs>
          <w:tab w:val="left" w:pos="1399"/>
        </w:tabs>
        <w:spacing w:line="312" w:lineRule="auto"/>
        <w:ind w:right="933" w:firstLine="480"/>
        <w:rPr>
          <w:sz w:val="24"/>
        </w:rPr>
      </w:pPr>
      <w:r>
        <w:rPr>
          <w:sz w:val="24"/>
        </w:rPr>
        <w:t>旅游者违反本合同约定，未按照约定的金额或时间支付旅游费用的，应承担</w:t>
      </w:r>
      <w:r>
        <w:rPr>
          <w:spacing w:val="-12"/>
          <w:sz w:val="24"/>
        </w:rPr>
        <w:t xml:space="preserve">旅游费用 </w:t>
      </w:r>
      <w:r>
        <w:rPr>
          <w:sz w:val="24"/>
        </w:rPr>
        <w:t>5%</w:t>
      </w:r>
      <w:r>
        <w:rPr>
          <w:spacing w:val="-3"/>
          <w:sz w:val="24"/>
        </w:rPr>
        <w:t xml:space="preserve">的违约金。除非有特别约定，在旅游出发前一日尚未按约定支付旅游费用的，旅行社有权解除合同，依据第七条第 </w:t>
      </w:r>
      <w:r>
        <w:rPr>
          <w:sz w:val="24"/>
        </w:rPr>
        <w:t>1</w:t>
      </w:r>
      <w:r>
        <w:rPr>
          <w:spacing w:val="-7"/>
          <w:sz w:val="24"/>
        </w:rPr>
        <w:t xml:space="preserve"> 项要求旅游者承担必要费用，并追究逾期付款的违约责任。</w:t>
      </w:r>
    </w:p>
    <w:p w14:paraId="08645AC2">
      <w:pPr>
        <w:pStyle w:val="316"/>
        <w:tabs>
          <w:tab w:val="left" w:pos="1399"/>
        </w:tabs>
        <w:spacing w:before="2"/>
        <w:ind w:left="420" w:leftChars="200" w:firstLine="720" w:firstLineChars="300"/>
        <w:jc w:val="left"/>
        <w:rPr>
          <w:sz w:val="24"/>
        </w:rPr>
      </w:pPr>
      <w:r>
        <w:rPr>
          <w:rFonts w:hint="eastAsia"/>
          <w:sz w:val="24"/>
        </w:rPr>
        <w:t>4.</w:t>
      </w:r>
      <w:r>
        <w:rPr>
          <w:sz w:val="24"/>
        </w:rPr>
        <w:t>对行程中发生的纠纷，双方应友好协商解决。旅游者不得以滞留、拒绝登机</w:t>
      </w:r>
    </w:p>
    <w:p w14:paraId="2B8A2FDE">
      <w:pPr>
        <w:pStyle w:val="24"/>
        <w:spacing w:before="93" w:line="312" w:lineRule="auto"/>
        <w:ind w:left="1157" w:right="936" w:hanging="480"/>
        <w:rPr>
          <w:rFonts w:ascii="Times New Roman" w:hAnsi="Times New Roman"/>
          <w:spacing w:val="-3"/>
          <w:sz w:val="24"/>
          <w:szCs w:val="21"/>
        </w:rPr>
      </w:pPr>
      <w:r>
        <w:rPr>
          <w:rFonts w:ascii="Times New Roman" w:hAnsi="Times New Roman"/>
          <w:spacing w:val="-3"/>
          <w:sz w:val="24"/>
          <w:szCs w:val="21"/>
        </w:rPr>
        <w:t>（车、船）等方式拖延行程或者脱团，由此给旅行社造成的损失由旅游者承担。</w:t>
      </w:r>
    </w:p>
    <w:p w14:paraId="590A0CD5">
      <w:pPr>
        <w:pStyle w:val="24"/>
        <w:spacing w:before="93" w:line="312" w:lineRule="auto"/>
        <w:ind w:left="1074" w:leftChars="481" w:right="936" w:hanging="64" w:hangingChars="27"/>
        <w:rPr>
          <w:rFonts w:ascii="Times New Roman" w:hAnsi="Times New Roman"/>
          <w:sz w:val="24"/>
          <w:szCs w:val="21"/>
        </w:rPr>
      </w:pPr>
      <w:r>
        <w:rPr>
          <w:rFonts w:hint="eastAsia" w:ascii="Times New Roman" w:hAnsi="Times New Roman"/>
          <w:sz w:val="24"/>
          <w:szCs w:val="21"/>
        </w:rPr>
        <w:t xml:space="preserve"> 5.旅游者擅自滞留或脱团的，旅行社有权解除合同，旅游者不得要求退还旅游</w:t>
      </w:r>
    </w:p>
    <w:p w14:paraId="3CC41895">
      <w:pPr>
        <w:pStyle w:val="24"/>
        <w:spacing w:line="307" w:lineRule="exact"/>
        <w:ind w:left="677"/>
        <w:rPr>
          <w:rFonts w:ascii="Times New Roman" w:hAnsi="Times New Roman"/>
          <w:sz w:val="24"/>
          <w:szCs w:val="21"/>
        </w:rPr>
      </w:pPr>
      <w:r>
        <w:rPr>
          <w:rFonts w:hint="eastAsia" w:ascii="Times New Roman" w:hAnsi="Times New Roman"/>
          <w:sz w:val="24"/>
          <w:szCs w:val="21"/>
        </w:rPr>
        <w:t>费用。</w:t>
      </w:r>
    </w:p>
    <w:p w14:paraId="0B5330E1">
      <w:pPr>
        <w:pStyle w:val="24"/>
        <w:spacing w:before="93" w:line="312" w:lineRule="auto"/>
        <w:ind w:right="936" w:firstLine="1200" w:firstLineChars="500"/>
        <w:rPr>
          <w:rFonts w:ascii="Times New Roman" w:hAnsi="Times New Roman"/>
          <w:sz w:val="24"/>
          <w:szCs w:val="21"/>
        </w:rPr>
      </w:pPr>
      <w:r>
        <w:rPr>
          <w:rFonts w:hint="eastAsia" w:ascii="Times New Roman" w:hAnsi="Times New Roman"/>
          <w:sz w:val="24"/>
          <w:szCs w:val="21"/>
        </w:rPr>
        <w:t>6.旅游者因未遵守旅游目的地有关规定和风俗习惯给旅行社造成损失的，应承担赔偿责任。</w:t>
      </w:r>
    </w:p>
    <w:p w14:paraId="00A12146">
      <w:pPr>
        <w:pStyle w:val="24"/>
        <w:spacing w:before="93" w:line="312" w:lineRule="auto"/>
        <w:ind w:left="1074" w:leftChars="481" w:right="936" w:hanging="64" w:hangingChars="27"/>
        <w:rPr>
          <w:rFonts w:ascii="Times New Roman" w:hAnsi="Times New Roman"/>
          <w:sz w:val="24"/>
          <w:szCs w:val="21"/>
        </w:rPr>
        <w:sectPr>
          <w:pgSz w:w="11910" w:h="16840"/>
          <w:pgMar w:top="1480" w:right="480" w:bottom="1020" w:left="1120" w:header="0" w:footer="756" w:gutter="0"/>
          <w:pgNumType w:fmt="decimal"/>
          <w:cols w:space="720" w:num="1"/>
        </w:sectPr>
      </w:pPr>
    </w:p>
    <w:p w14:paraId="2A93AA9C">
      <w:pPr>
        <w:pStyle w:val="10"/>
        <w:spacing w:line="307" w:lineRule="exact"/>
        <w:ind w:left="1157"/>
      </w:pPr>
      <w:r>
        <w:t>第十二条 责任减轻及免除</w:t>
      </w:r>
    </w:p>
    <w:p w14:paraId="583949C7">
      <w:pPr>
        <w:pStyle w:val="316"/>
        <w:numPr>
          <w:ilvl w:val="0"/>
          <w:numId w:val="39"/>
        </w:numPr>
        <w:tabs>
          <w:tab w:val="left" w:pos="1399"/>
        </w:tabs>
        <w:spacing w:before="93" w:line="312" w:lineRule="auto"/>
        <w:ind w:right="811" w:firstLine="480"/>
        <w:rPr>
          <w:sz w:val="24"/>
          <w:u w:val="single"/>
        </w:rPr>
      </w:pPr>
      <w:r>
        <w:rPr>
          <w:sz w:val="24"/>
          <w:u w:val="single"/>
        </w:rPr>
        <w:t>因旅游者自身原因，包括但不限于侵权行为、违法犯罪行为、自身疾病、自己行为判断失误、自甘风险参加某些旅游项目等，造成自己人身损害、财产损失或</w:t>
      </w:r>
      <w:r>
        <w:rPr>
          <w:spacing w:val="-126"/>
          <w:sz w:val="24"/>
          <w:u w:val="single"/>
        </w:rPr>
        <w:t>造</w:t>
      </w:r>
      <w:r>
        <w:rPr>
          <w:spacing w:val="-6"/>
          <w:sz w:val="24"/>
          <w:u w:val="single"/>
        </w:rPr>
        <w:t>成他人损失的，由旅游者自己承担全部责任，旅行社不承担责任，但应协助处理，</w:t>
      </w:r>
      <w:r>
        <w:rPr>
          <w:sz w:val="24"/>
          <w:u w:val="single"/>
        </w:rPr>
        <w:t>旅行社因协助处理而支出的合理费用由旅游者承担。</w:t>
      </w:r>
    </w:p>
    <w:p w14:paraId="4C67BBE1">
      <w:pPr>
        <w:pStyle w:val="316"/>
        <w:numPr>
          <w:ilvl w:val="0"/>
          <w:numId w:val="39"/>
        </w:numPr>
        <w:tabs>
          <w:tab w:val="left" w:pos="1399"/>
        </w:tabs>
        <w:spacing w:before="94" w:line="312" w:lineRule="auto"/>
        <w:ind w:right="936" w:firstLine="480"/>
        <w:jc w:val="left"/>
        <w:rPr>
          <w:sz w:val="24"/>
        </w:rPr>
      </w:pPr>
      <w:r>
        <w:rPr>
          <w:sz w:val="24"/>
          <w:u w:val="single"/>
        </w:rPr>
        <w:t>因不可抗力造成旅游者人身损害、财产损失的，旅行社不承担责任，但应积</w:t>
      </w:r>
      <w:r>
        <w:rPr>
          <w:spacing w:val="-240"/>
          <w:sz w:val="24"/>
          <w:u w:val="single"/>
        </w:rPr>
        <w:t>极</w:t>
      </w:r>
      <w:r>
        <w:rPr>
          <w:sz w:val="24"/>
          <w:u w:val="single"/>
        </w:rPr>
        <w:t>采取救助措施。</w:t>
      </w:r>
    </w:p>
    <w:p w14:paraId="5C94B83F">
      <w:pPr>
        <w:pStyle w:val="316"/>
        <w:numPr>
          <w:ilvl w:val="0"/>
          <w:numId w:val="39"/>
        </w:numPr>
        <w:tabs>
          <w:tab w:val="left" w:pos="1399"/>
        </w:tabs>
        <w:spacing w:line="312" w:lineRule="auto"/>
        <w:ind w:right="936" w:firstLine="480"/>
        <w:jc w:val="left"/>
        <w:rPr>
          <w:sz w:val="24"/>
        </w:rPr>
      </w:pPr>
      <w:r>
        <w:rPr>
          <w:sz w:val="24"/>
          <w:u w:val="single"/>
        </w:rPr>
        <w:t>旅行社对旅游过程中可能发生的危险情况已向旅游者作出明确警示，采取了</w:t>
      </w:r>
      <w:r>
        <w:rPr>
          <w:spacing w:val="-240"/>
          <w:sz w:val="24"/>
          <w:u w:val="single"/>
        </w:rPr>
        <w:t>必</w:t>
      </w:r>
      <w:r>
        <w:rPr>
          <w:sz w:val="24"/>
          <w:u w:val="single"/>
        </w:rPr>
        <w:t>要防范措施，且在事后履行了必要救助义务的，旅行社不承担责任。</w:t>
      </w:r>
    </w:p>
    <w:p w14:paraId="0E2197C8">
      <w:pPr>
        <w:pStyle w:val="316"/>
        <w:numPr>
          <w:ilvl w:val="0"/>
          <w:numId w:val="39"/>
        </w:numPr>
        <w:tabs>
          <w:tab w:val="left" w:pos="1399"/>
        </w:tabs>
        <w:spacing w:before="2" w:line="312" w:lineRule="auto"/>
        <w:ind w:right="936" w:firstLine="480"/>
        <w:jc w:val="left"/>
        <w:rPr>
          <w:sz w:val="24"/>
        </w:rPr>
      </w:pPr>
      <w:r>
        <w:rPr>
          <w:sz w:val="24"/>
          <w:u w:val="single"/>
        </w:rPr>
        <w:t>旅游者因参加非旅行社安排或推荐的活动导致人身损害、财产损失的，旅行</w:t>
      </w:r>
      <w:r>
        <w:rPr>
          <w:spacing w:val="-240"/>
          <w:sz w:val="24"/>
          <w:u w:val="single"/>
        </w:rPr>
        <w:t>社</w:t>
      </w:r>
      <w:r>
        <w:rPr>
          <w:sz w:val="24"/>
          <w:u w:val="single"/>
        </w:rPr>
        <w:t>不承担责任。</w:t>
      </w:r>
    </w:p>
    <w:p w14:paraId="2AE68FBD">
      <w:pPr>
        <w:pStyle w:val="316"/>
        <w:numPr>
          <w:ilvl w:val="0"/>
          <w:numId w:val="39"/>
        </w:numPr>
        <w:tabs>
          <w:tab w:val="left" w:pos="1399"/>
        </w:tabs>
        <w:spacing w:line="312" w:lineRule="auto"/>
        <w:ind w:right="936" w:firstLine="480"/>
        <w:rPr>
          <w:sz w:val="24"/>
        </w:rPr>
      </w:pPr>
      <w:r>
        <w:rPr>
          <w:sz w:val="24"/>
          <w:u w:val="single"/>
        </w:rPr>
        <w:t>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w:t>
      </w:r>
      <w:r>
        <w:rPr>
          <w:spacing w:val="-240"/>
          <w:sz w:val="24"/>
          <w:u w:val="single"/>
        </w:rPr>
        <w:t>游</w:t>
      </w:r>
      <w:r>
        <w:rPr>
          <w:sz w:val="24"/>
          <w:u w:val="single"/>
        </w:rPr>
        <w:t>者退还未实际发生的费用。</w:t>
      </w:r>
    </w:p>
    <w:p w14:paraId="0B13CCB1">
      <w:pPr>
        <w:spacing w:line="312" w:lineRule="auto"/>
        <w:rPr>
          <w:sz w:val="24"/>
        </w:rPr>
        <w:sectPr>
          <w:footerReference r:id="rId12" w:type="default"/>
          <w:pgSz w:w="11910" w:h="16840"/>
          <w:pgMar w:top="1480" w:right="480" w:bottom="1020" w:left="1120" w:header="0" w:footer="836" w:gutter="0"/>
          <w:pgNumType w:fmt="decimal"/>
          <w:cols w:space="720" w:num="1"/>
        </w:sectPr>
      </w:pPr>
    </w:p>
    <w:p w14:paraId="1ADB2E91">
      <w:pPr>
        <w:pStyle w:val="10"/>
        <w:tabs>
          <w:tab w:val="left" w:pos="1889"/>
        </w:tabs>
        <w:spacing w:before="1"/>
        <w:ind w:left="685"/>
        <w:jc w:val="center"/>
      </w:pPr>
      <w:r>
        <w:t>第二部分</w:t>
      </w:r>
      <w:r>
        <w:tab/>
      </w:r>
      <w:r>
        <w:t>协议条款</w:t>
      </w:r>
    </w:p>
    <w:p w14:paraId="013D678B">
      <w:pPr>
        <w:pStyle w:val="24"/>
        <w:rPr>
          <w:b/>
        </w:rPr>
      </w:pPr>
    </w:p>
    <w:p w14:paraId="67114976">
      <w:pPr>
        <w:tabs>
          <w:tab w:val="left" w:pos="4396"/>
          <w:tab w:val="left" w:pos="4942"/>
          <w:tab w:val="left" w:pos="5596"/>
          <w:tab w:val="left" w:pos="7824"/>
          <w:tab w:val="left" w:pos="7876"/>
          <w:tab w:val="left" w:pos="9369"/>
          <w:tab w:val="left" w:pos="9429"/>
        </w:tabs>
        <w:spacing w:before="184" w:line="312" w:lineRule="auto"/>
        <w:ind w:left="1097" w:right="874" w:firstLine="60"/>
        <w:rPr>
          <w:b/>
          <w:sz w:val="24"/>
        </w:rPr>
      </w:pPr>
      <w:r>
        <w:rPr>
          <w:b/>
          <w:w w:val="99"/>
          <w:sz w:val="24"/>
        </w:rPr>
        <w:t>甲</w:t>
      </w:r>
      <w:r>
        <w:rPr>
          <w:b/>
          <w:spacing w:val="2"/>
          <w:w w:val="99"/>
          <w:sz w:val="24"/>
        </w:rPr>
        <w:t>方</w:t>
      </w:r>
      <w:r>
        <w:rPr>
          <w:b/>
          <w:w w:val="99"/>
          <w:sz w:val="24"/>
        </w:rPr>
        <w:t>（</w:t>
      </w:r>
      <w:r>
        <w:rPr>
          <w:b/>
          <w:spacing w:val="2"/>
          <w:w w:val="99"/>
          <w:sz w:val="24"/>
        </w:rPr>
        <w:t>旅</w:t>
      </w:r>
      <w:r>
        <w:rPr>
          <w:b/>
          <w:w w:val="99"/>
          <w:sz w:val="24"/>
        </w:rPr>
        <w:t>游者</w:t>
      </w:r>
      <w:r>
        <w:rPr>
          <w:b/>
          <w:spacing w:val="-120"/>
          <w:w w:val="99"/>
          <w:sz w:val="24"/>
        </w:rPr>
        <w:t>）</w:t>
      </w:r>
      <w:r>
        <w:rPr>
          <w:b/>
          <w:spacing w:val="1"/>
          <w:w w:val="99"/>
          <w:sz w:val="24"/>
        </w:rPr>
        <w:t>：</w:t>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sz w:val="24"/>
        </w:rPr>
        <w:t>证件种类：</w:t>
      </w:r>
      <w:r>
        <w:rPr>
          <w:sz w:val="24"/>
          <w:u w:val="single"/>
        </w:rPr>
        <w:tab/>
      </w:r>
      <w:r>
        <w:rPr>
          <w:sz w:val="24"/>
        </w:rPr>
        <w:t>证件</w:t>
      </w:r>
      <w:r>
        <w:rPr>
          <w:spacing w:val="-1"/>
          <w:sz w:val="24"/>
        </w:rPr>
        <w:t>号</w:t>
      </w:r>
      <w:r>
        <w:rPr>
          <w:sz w:val="24"/>
        </w:rPr>
        <w:t>码：</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住所或单位地址：</w:t>
      </w:r>
      <w:r>
        <w:rPr>
          <w:sz w:val="24"/>
          <w:u w:val="single"/>
        </w:rPr>
        <w:tab/>
      </w:r>
      <w:r>
        <w:rPr>
          <w:sz w:val="24"/>
          <w:u w:val="single"/>
        </w:rPr>
        <w:tab/>
      </w:r>
      <w:r>
        <w:rPr>
          <w:sz w:val="24"/>
          <w:u w:val="single"/>
        </w:rPr>
        <w:tab/>
      </w:r>
      <w:r>
        <w:rPr>
          <w:sz w:val="24"/>
          <w:u w:val="single"/>
        </w:rPr>
        <w:tab/>
      </w:r>
      <w:r>
        <w:rPr>
          <w:sz w:val="24"/>
          <w:u w:val="single"/>
        </w:rPr>
        <w:tab/>
      </w:r>
      <w:r>
        <w:rPr>
          <w:spacing w:val="-1"/>
          <w:sz w:val="24"/>
        </w:rPr>
        <w:t>邮</w:t>
      </w:r>
      <w:r>
        <w:rPr>
          <w:sz w:val="24"/>
        </w:rPr>
        <w:t>编：</w:t>
      </w:r>
      <w:r>
        <w:rPr>
          <w:rFonts w:ascii="Times New Roman" w:eastAsia="Times New Roman"/>
          <w:sz w:val="24"/>
          <w:u w:val="single"/>
        </w:rPr>
        <w:tab/>
      </w:r>
      <w:r>
        <w:rPr>
          <w:sz w:val="24"/>
        </w:rPr>
        <w:t>固定电话：</w:t>
      </w:r>
      <w:r>
        <w:rPr>
          <w:sz w:val="24"/>
          <w:u w:val="single"/>
        </w:rPr>
        <w:tab/>
      </w:r>
      <w:r>
        <w:rPr>
          <w:sz w:val="24"/>
        </w:rPr>
        <w:t>手机：</w:t>
      </w:r>
      <w:r>
        <w:rPr>
          <w:sz w:val="24"/>
          <w:u w:val="single"/>
        </w:rPr>
        <w:tab/>
      </w:r>
      <w:r>
        <w:rPr>
          <w:sz w:val="24"/>
          <w:u w:val="single"/>
        </w:rPr>
        <w:tab/>
      </w:r>
      <w:r>
        <w:rPr>
          <w:sz w:val="24"/>
          <w:u w:val="single"/>
        </w:rPr>
        <w:tab/>
      </w:r>
      <w:r>
        <w:rPr>
          <w:sz w:val="24"/>
          <w:u w:val="single"/>
        </w:rPr>
        <w:tab/>
      </w:r>
      <w:r>
        <w:rPr>
          <w:b/>
          <w:w w:val="99"/>
          <w:sz w:val="24"/>
        </w:rPr>
        <w:t>乙</w:t>
      </w:r>
      <w:r>
        <w:rPr>
          <w:b/>
          <w:spacing w:val="2"/>
          <w:w w:val="99"/>
          <w:sz w:val="24"/>
        </w:rPr>
        <w:t>方</w:t>
      </w:r>
      <w:r>
        <w:rPr>
          <w:b/>
          <w:w w:val="99"/>
          <w:sz w:val="24"/>
        </w:rPr>
        <w:t>（</w:t>
      </w:r>
      <w:r>
        <w:rPr>
          <w:b/>
          <w:spacing w:val="2"/>
          <w:w w:val="99"/>
          <w:sz w:val="24"/>
        </w:rPr>
        <w:t>旅</w:t>
      </w:r>
      <w:r>
        <w:rPr>
          <w:b/>
          <w:w w:val="99"/>
          <w:sz w:val="24"/>
        </w:rPr>
        <w:t>行社</w:t>
      </w:r>
      <w:r>
        <w:rPr>
          <w:b/>
          <w:spacing w:val="-120"/>
          <w:w w:val="99"/>
          <w:sz w:val="24"/>
        </w:rPr>
        <w:t>）</w:t>
      </w:r>
      <w:r>
        <w:rPr>
          <w:b/>
          <w:w w:val="99"/>
          <w:sz w:val="24"/>
        </w:rPr>
        <w:t>：</w:t>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rFonts w:ascii="Times New Roman" w:eastAsia="Times New Roman"/>
          <w:b/>
          <w:sz w:val="24"/>
          <w:u w:val="single"/>
        </w:rPr>
        <w:tab/>
      </w:r>
      <w:r>
        <w:rPr>
          <w:sz w:val="24"/>
        </w:rPr>
        <w:t>地址：</w:t>
      </w:r>
      <w:r>
        <w:rPr>
          <w:sz w:val="24"/>
          <w:u w:val="single"/>
        </w:rPr>
        <w:tab/>
      </w:r>
      <w:r>
        <w:rPr>
          <w:sz w:val="24"/>
          <w:u w:val="single"/>
        </w:rPr>
        <w:tab/>
      </w:r>
      <w:r>
        <w:rPr>
          <w:sz w:val="24"/>
          <w:u w:val="single"/>
        </w:rPr>
        <w:tab/>
      </w:r>
      <w:r>
        <w:rPr>
          <w:sz w:val="24"/>
          <w:u w:val="single"/>
        </w:rPr>
        <w:tab/>
      </w:r>
      <w:r>
        <w:rPr>
          <w:spacing w:val="-1"/>
          <w:sz w:val="24"/>
        </w:rPr>
        <w:t>邮</w:t>
      </w:r>
      <w:r>
        <w:rPr>
          <w:sz w:val="24"/>
        </w:rPr>
        <w:t>编：</w:t>
      </w:r>
      <w:r>
        <w:rPr>
          <w:rFonts w:ascii="Times New Roman" w:eastAsia="Times New Roman"/>
          <w:sz w:val="24"/>
          <w:u w:val="single"/>
        </w:rPr>
        <w:tab/>
      </w:r>
      <w:r>
        <w:rPr>
          <w:spacing w:val="-1"/>
          <w:sz w:val="24"/>
        </w:rPr>
        <w:t>经</w:t>
      </w:r>
      <w:r>
        <w:rPr>
          <w:sz w:val="24"/>
        </w:rPr>
        <w:t>营范围：</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旅行社业务许可证号</w:t>
      </w:r>
      <w:r>
        <w:rPr>
          <w:b/>
          <w:sz w:val="24"/>
        </w:rPr>
        <w:t>：</w:t>
      </w:r>
      <w:r>
        <w:rPr>
          <w:b/>
          <w:sz w:val="24"/>
          <w:u w:val="single"/>
        </w:rPr>
        <w:tab/>
      </w:r>
      <w:r>
        <w:rPr>
          <w:b/>
          <w:sz w:val="24"/>
          <w:u w:val="single"/>
        </w:rPr>
        <w:tab/>
      </w:r>
      <w:r>
        <w:rPr>
          <w:spacing w:val="-1"/>
          <w:sz w:val="24"/>
        </w:rPr>
        <w:t>开</w:t>
      </w:r>
      <w:r>
        <w:rPr>
          <w:sz w:val="24"/>
        </w:rPr>
        <w:t>户行及账号：</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本次行程的经办人：</w:t>
      </w:r>
      <w:r>
        <w:rPr>
          <w:sz w:val="24"/>
          <w:u w:val="single"/>
        </w:rPr>
        <w:tab/>
      </w:r>
      <w:r>
        <w:rPr>
          <w:sz w:val="24"/>
          <w:u w:val="single"/>
        </w:rPr>
        <w:tab/>
      </w:r>
      <w:r>
        <w:rPr>
          <w:sz w:val="24"/>
          <w:u w:val="single"/>
        </w:rPr>
        <w:tab/>
      </w:r>
      <w:r>
        <w:rPr>
          <w:spacing w:val="-1"/>
          <w:sz w:val="24"/>
        </w:rPr>
        <w:t>联</w:t>
      </w:r>
      <w:r>
        <w:rPr>
          <w:sz w:val="24"/>
        </w:rPr>
        <w:t>系电话：</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pacing w:val="4"/>
          <w:w w:val="95"/>
          <w:sz w:val="24"/>
        </w:rPr>
        <w:t>乙方</w:t>
      </w:r>
      <w:r>
        <w:rPr>
          <w:b/>
          <w:w w:val="95"/>
          <w:sz w:val="24"/>
        </w:rPr>
        <w:t>如</w:t>
      </w:r>
      <w:r>
        <w:rPr>
          <w:b/>
          <w:spacing w:val="4"/>
          <w:w w:val="95"/>
          <w:sz w:val="24"/>
        </w:rPr>
        <w:t>受委托代理</w:t>
      </w:r>
      <w:r>
        <w:rPr>
          <w:b/>
          <w:w w:val="95"/>
          <w:sz w:val="24"/>
        </w:rPr>
        <w:t>其</w:t>
      </w:r>
      <w:r>
        <w:rPr>
          <w:b/>
          <w:spacing w:val="4"/>
          <w:w w:val="95"/>
          <w:sz w:val="24"/>
        </w:rPr>
        <w:t>他旅行社</w:t>
      </w:r>
      <w:r>
        <w:rPr>
          <w:b/>
          <w:w w:val="95"/>
          <w:sz w:val="24"/>
        </w:rPr>
        <w:t>销</w:t>
      </w:r>
      <w:r>
        <w:rPr>
          <w:b/>
          <w:spacing w:val="4"/>
          <w:w w:val="95"/>
          <w:sz w:val="24"/>
        </w:rPr>
        <w:t>售包价旅游</w:t>
      </w:r>
      <w:r>
        <w:rPr>
          <w:b/>
          <w:w w:val="95"/>
          <w:sz w:val="24"/>
        </w:rPr>
        <w:t>产</w:t>
      </w:r>
      <w:r>
        <w:rPr>
          <w:b/>
          <w:spacing w:val="4"/>
          <w:w w:val="95"/>
          <w:sz w:val="24"/>
        </w:rPr>
        <w:t>品并与甲</w:t>
      </w:r>
      <w:r>
        <w:rPr>
          <w:b/>
          <w:w w:val="95"/>
          <w:sz w:val="24"/>
        </w:rPr>
        <w:t>方</w:t>
      </w:r>
      <w:r>
        <w:rPr>
          <w:b/>
          <w:spacing w:val="4"/>
          <w:w w:val="95"/>
          <w:sz w:val="24"/>
        </w:rPr>
        <w:t>签订本合同</w:t>
      </w:r>
      <w:r>
        <w:rPr>
          <w:b/>
          <w:w w:val="95"/>
          <w:sz w:val="24"/>
        </w:rPr>
        <w:t>的</w:t>
      </w:r>
      <w:r>
        <w:rPr>
          <w:b/>
          <w:spacing w:val="4"/>
          <w:w w:val="95"/>
          <w:sz w:val="24"/>
        </w:rPr>
        <w:t>，填</w:t>
      </w:r>
      <w:r>
        <w:rPr>
          <w:b/>
          <w:w w:val="95"/>
          <w:sz w:val="24"/>
        </w:rPr>
        <w:t xml:space="preserve">写  </w:t>
      </w:r>
      <w:r>
        <w:rPr>
          <w:b/>
          <w:sz w:val="24"/>
        </w:rPr>
        <w:t>委托社信息：</w:t>
      </w:r>
    </w:p>
    <w:p w14:paraId="4D83C2A1">
      <w:pPr>
        <w:tabs>
          <w:tab w:val="left" w:pos="5777"/>
          <w:tab w:val="left" w:pos="9369"/>
          <w:tab w:val="left" w:pos="9429"/>
        </w:tabs>
        <w:spacing w:before="2" w:line="312" w:lineRule="auto"/>
        <w:ind w:left="1097" w:right="874" w:firstLine="60"/>
        <w:rPr>
          <w:b/>
          <w:sz w:val="24"/>
        </w:rPr>
      </w:pPr>
      <w:r>
        <w:rPr>
          <w:b/>
          <w:w w:val="95"/>
          <w:sz w:val="24"/>
        </w:rPr>
        <w:t>委托旅行社：</w:t>
      </w:r>
      <w:r>
        <w:rPr>
          <w:b/>
          <w:w w:val="95"/>
          <w:sz w:val="24"/>
          <w:u w:val="single"/>
        </w:rPr>
        <w:tab/>
      </w:r>
      <w:r>
        <w:rPr>
          <w:b/>
          <w:w w:val="95"/>
          <w:sz w:val="24"/>
          <w:u w:val="single"/>
        </w:rPr>
        <w:tab/>
      </w:r>
      <w:r>
        <w:rPr>
          <w:b/>
          <w:w w:val="95"/>
          <w:sz w:val="24"/>
          <w:u w:val="single"/>
        </w:rPr>
        <w:tab/>
      </w:r>
      <w:r>
        <w:rPr>
          <w:sz w:val="24"/>
        </w:rPr>
        <w:t>地址：</w:t>
      </w:r>
      <w:r>
        <w:rPr>
          <w:sz w:val="24"/>
          <w:u w:val="single"/>
        </w:rPr>
        <w:tab/>
      </w:r>
      <w:r>
        <w:rPr>
          <w:spacing w:val="-1"/>
          <w:sz w:val="24"/>
        </w:rPr>
        <w:t>旅</w:t>
      </w:r>
      <w:r>
        <w:rPr>
          <w:sz w:val="24"/>
        </w:rPr>
        <w:t>行社业务许可证号：</w:t>
      </w:r>
      <w:r>
        <w:rPr>
          <w:rFonts w:ascii="Times New Roman" w:eastAsia="Times New Roman"/>
          <w:sz w:val="24"/>
          <w:u w:val="single"/>
        </w:rPr>
        <w:tab/>
      </w:r>
      <w:r>
        <w:rPr>
          <w:sz w:val="24"/>
        </w:rPr>
        <w:t>经营范围：</w:t>
      </w:r>
      <w:r>
        <w:rPr>
          <w:sz w:val="24"/>
          <w:u w:val="single"/>
        </w:rPr>
        <w:tab/>
      </w:r>
      <w:r>
        <w:rPr>
          <w:sz w:val="24"/>
          <w:u w:val="single"/>
        </w:rPr>
        <w:tab/>
      </w:r>
      <w:r>
        <w:rPr>
          <w:b/>
          <w:spacing w:val="-197"/>
          <w:sz w:val="24"/>
          <w:u w:val="single"/>
        </w:rPr>
        <w:t>乙</w:t>
      </w:r>
      <w:r>
        <w:rPr>
          <w:b/>
          <w:sz w:val="24"/>
          <w:u w:val="single"/>
        </w:rPr>
        <w:t>方委托以下地接社提供地接服务：</w:t>
      </w:r>
    </w:p>
    <w:p w14:paraId="0B0BD782">
      <w:pPr>
        <w:pStyle w:val="24"/>
        <w:tabs>
          <w:tab w:val="left" w:pos="6857"/>
          <w:tab w:val="left" w:pos="9429"/>
        </w:tabs>
        <w:spacing w:before="2" w:line="312" w:lineRule="auto"/>
        <w:ind w:left="1097" w:right="874"/>
      </w:pP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地接社名称：</w:t>
      </w:r>
      <w:r>
        <w:rPr>
          <w:u w:val="single"/>
        </w:rPr>
        <w:tab/>
      </w:r>
      <w:r>
        <w:rPr>
          <w:spacing w:val="-1"/>
        </w:rPr>
        <w:t>地</w:t>
      </w:r>
      <w:r>
        <w:t>址：</w:t>
      </w:r>
      <w:r>
        <w:rPr>
          <w:rFonts w:ascii="Times New Roman" w:eastAsia="Times New Roman"/>
          <w:u w:val="single"/>
        </w:rPr>
        <w:tab/>
      </w:r>
      <w:r>
        <w:t>乙方应在《旅游行程单》中载明地接社联系人及联系电话。</w:t>
      </w:r>
    </w:p>
    <w:p w14:paraId="47FD5D11">
      <w:pPr>
        <w:pStyle w:val="10"/>
        <w:tabs>
          <w:tab w:val="left" w:pos="2059"/>
        </w:tabs>
        <w:spacing w:before="1"/>
        <w:ind w:left="1097"/>
      </w:pPr>
      <w:r>
        <w:t>第一条</w:t>
      </w:r>
      <w:r>
        <w:tab/>
      </w:r>
      <w:r>
        <w:t>旅游线路及时间</w:t>
      </w:r>
    </w:p>
    <w:p w14:paraId="3E75090E">
      <w:pPr>
        <w:pStyle w:val="24"/>
        <w:tabs>
          <w:tab w:val="left" w:pos="6677"/>
          <w:tab w:val="left" w:pos="9429"/>
        </w:tabs>
        <w:spacing w:before="93"/>
        <w:ind w:left="1157"/>
        <w:rPr>
          <w:rFonts w:ascii="Times New Roman" w:eastAsia="Times New Roman"/>
          <w:u w:val="single"/>
        </w:rPr>
      </w:pPr>
      <w:r>
        <w:t>旅游线路名称：</w:t>
      </w:r>
      <w:r>
        <w:rPr>
          <w:u w:val="single"/>
        </w:rPr>
        <w:tab/>
      </w:r>
      <w:r>
        <w:rPr>
          <w:spacing w:val="-1"/>
        </w:rPr>
        <w:t>，</w:t>
      </w:r>
      <w:r>
        <w:t>旅游团号：</w:t>
      </w:r>
      <w:r>
        <w:rPr>
          <w:rFonts w:ascii="Times New Roman" w:eastAsia="Times New Roman"/>
          <w:u w:val="single"/>
        </w:rPr>
        <w:tab/>
      </w:r>
    </w:p>
    <w:p w14:paraId="57451AB0">
      <w:pPr>
        <w:pStyle w:val="24"/>
        <w:spacing w:before="55" w:line="312" w:lineRule="auto"/>
        <w:ind w:right="813" w:firstLine="1050" w:firstLineChars="500"/>
      </w:pPr>
      <w:r>
        <w:t>旅游时间晚</w:t>
      </w:r>
      <w:r>
        <w:rPr>
          <w:spacing w:val="-16"/>
        </w:rPr>
        <w:t>天，共</w:t>
      </w:r>
      <w:r>
        <w:rPr>
          <w:spacing w:val="10"/>
        </w:rPr>
        <w:t>日，  出发日期：  年</w:t>
      </w:r>
      <w:r>
        <w:t>月</w:t>
      </w:r>
      <w:r>
        <w:rPr>
          <w:spacing w:val="4"/>
        </w:rPr>
        <w:t xml:space="preserve">日，  结束日期： </w:t>
      </w:r>
      <w:r>
        <w:t>年月日</w:t>
      </w:r>
    </w:p>
    <w:p w14:paraId="731D1571">
      <w:pPr>
        <w:tabs>
          <w:tab w:val="left" w:pos="3917"/>
          <w:tab w:val="left" w:pos="6197"/>
          <w:tab w:val="left" w:pos="9429"/>
        </w:tabs>
        <w:spacing w:before="3" w:line="312" w:lineRule="auto"/>
        <w:ind w:left="1157" w:right="874"/>
        <w:rPr>
          <w:b/>
          <w:sz w:val="24"/>
        </w:rPr>
      </w:pPr>
      <w:r>
        <w:rPr>
          <w:sz w:val="24"/>
        </w:rPr>
        <w:t>出发地：</w:t>
      </w:r>
      <w:r>
        <w:rPr>
          <w:sz w:val="24"/>
          <w:u w:val="single"/>
        </w:rPr>
        <w:tab/>
      </w:r>
      <w:r>
        <w:rPr>
          <w:spacing w:val="-1"/>
          <w:sz w:val="24"/>
        </w:rPr>
        <w:t>，</w:t>
      </w:r>
      <w:r>
        <w:rPr>
          <w:sz w:val="24"/>
        </w:rPr>
        <w:t>途经地：</w:t>
      </w:r>
      <w:r>
        <w:rPr>
          <w:rFonts w:ascii="Times New Roman" w:eastAsia="Times New Roman"/>
          <w:sz w:val="24"/>
          <w:u w:val="single"/>
        </w:rPr>
        <w:tab/>
      </w:r>
      <w:r>
        <w:rPr>
          <w:rFonts w:ascii="Times New Roman" w:eastAsia="Times New Roman"/>
          <w:sz w:val="24"/>
          <w:u w:val="single"/>
        </w:rPr>
        <w:tab/>
      </w:r>
      <w:r>
        <w:rPr>
          <w:sz w:val="24"/>
        </w:rPr>
        <w:t>目的地：</w:t>
      </w:r>
      <w:r>
        <w:rPr>
          <w:sz w:val="24"/>
          <w:u w:val="single"/>
        </w:rPr>
        <w:tab/>
      </w:r>
      <w:r>
        <w:rPr>
          <w:sz w:val="24"/>
          <w:u w:val="single"/>
        </w:rPr>
        <w:tab/>
      </w:r>
      <w:r>
        <w:rPr>
          <w:spacing w:val="-1"/>
          <w:sz w:val="24"/>
        </w:rPr>
        <w:t>，</w:t>
      </w:r>
      <w:r>
        <w:rPr>
          <w:sz w:val="24"/>
        </w:rPr>
        <w:t>结束地：</w:t>
      </w:r>
      <w:r>
        <w:rPr>
          <w:rFonts w:ascii="Times New Roman" w:eastAsia="Times New Roman"/>
          <w:sz w:val="24"/>
          <w:u w:val="single"/>
        </w:rPr>
        <w:tab/>
      </w:r>
      <w:r>
        <w:rPr>
          <w:b/>
          <w:sz w:val="24"/>
        </w:rPr>
        <w:t>第二条旅游费用、支付期限、支付方式</w:t>
      </w:r>
    </w:p>
    <w:p w14:paraId="12B2B6C7">
      <w:pPr>
        <w:pStyle w:val="24"/>
        <w:tabs>
          <w:tab w:val="left" w:pos="5482"/>
        </w:tabs>
        <w:ind w:left="1157"/>
        <w:rPr>
          <w:rFonts w:ascii="Times New Roman" w:hAnsi="Times New Roman"/>
          <w:sz w:val="24"/>
          <w:szCs w:val="21"/>
        </w:rPr>
      </w:pPr>
      <w:r>
        <w:rPr>
          <w:rFonts w:ascii="Times New Roman" w:hAnsi="Times New Roman"/>
          <w:sz w:val="24"/>
          <w:szCs w:val="21"/>
        </w:rPr>
        <w:t xml:space="preserve">1. 旅游费用总计为人民币 </w:t>
      </w:r>
      <w:r>
        <w:rPr>
          <w:rFonts w:ascii="Times New Roman" w:hAnsi="Times New Roman"/>
          <w:sz w:val="24"/>
          <w:szCs w:val="21"/>
        </w:rPr>
        <w:tab/>
      </w:r>
      <w:r>
        <w:rPr>
          <w:rFonts w:ascii="Times New Roman" w:hAnsi="Times New Roman"/>
          <w:sz w:val="24"/>
          <w:szCs w:val="21"/>
        </w:rPr>
        <w:t>元（含导游服务费），由如下项目组成：</w:t>
      </w:r>
    </w:p>
    <w:p w14:paraId="26F801D2">
      <w:pPr>
        <w:pStyle w:val="316"/>
        <w:tabs>
          <w:tab w:val="left" w:pos="1759"/>
          <w:tab w:val="left" w:pos="3617"/>
          <w:tab w:val="left" w:pos="9010"/>
        </w:tabs>
        <w:spacing w:before="91" w:line="312" w:lineRule="auto"/>
        <w:ind w:left="420" w:leftChars="200" w:right="811" w:firstLine="480"/>
        <w:rPr>
          <w:sz w:val="24"/>
        </w:rPr>
      </w:pPr>
      <w:r>
        <w:rPr>
          <w:rFonts w:hint="eastAsia"/>
          <w:sz w:val="24"/>
        </w:rPr>
        <w:t>（1）</w:t>
      </w:r>
      <w:r>
        <w:rPr>
          <w:sz w:val="24"/>
        </w:rPr>
        <w:t>旅游者共人</w:t>
      </w:r>
      <w:r>
        <w:rPr>
          <w:spacing w:val="-63"/>
          <w:sz w:val="24"/>
        </w:rPr>
        <w:t>，</w:t>
      </w:r>
      <w:r>
        <w:rPr>
          <w:sz w:val="24"/>
        </w:rPr>
        <w:t>其中12周岁以上的共人</w:t>
      </w:r>
      <w:r>
        <w:rPr>
          <w:spacing w:val="-63"/>
          <w:sz w:val="24"/>
        </w:rPr>
        <w:t>，</w:t>
      </w:r>
      <w:r>
        <w:rPr>
          <w:sz w:val="24"/>
        </w:rPr>
        <w:t>每人费用为</w:t>
      </w:r>
      <w:r>
        <w:rPr>
          <w:sz w:val="24"/>
          <w:u w:val="single"/>
        </w:rPr>
        <w:tab/>
      </w:r>
      <w:r>
        <w:rPr>
          <w:sz w:val="24"/>
        </w:rPr>
        <w:t>元</w:t>
      </w:r>
      <w:r>
        <w:rPr>
          <w:spacing w:val="-17"/>
          <w:sz w:val="24"/>
        </w:rPr>
        <w:t xml:space="preserve">； </w:t>
      </w:r>
      <w:r>
        <w:rPr>
          <w:sz w:val="24"/>
        </w:rPr>
        <w:t>12周岁以下的儿童共</w:t>
      </w:r>
      <w:r>
        <w:rPr>
          <w:sz w:val="24"/>
          <w:u w:val="single"/>
        </w:rPr>
        <w:tab/>
      </w:r>
      <w:r>
        <w:rPr>
          <w:sz w:val="24"/>
        </w:rPr>
        <w:t>人，每人费用为元。</w:t>
      </w:r>
    </w:p>
    <w:p w14:paraId="15D08E7C">
      <w:pPr>
        <w:pStyle w:val="24"/>
        <w:tabs>
          <w:tab w:val="left" w:pos="5482"/>
        </w:tabs>
        <w:ind w:left="1157"/>
        <w:rPr>
          <w:rFonts w:ascii="Times New Roman" w:hAnsi="Times New Roman"/>
          <w:sz w:val="24"/>
          <w:szCs w:val="21"/>
        </w:rPr>
      </w:pPr>
      <w:r>
        <w:rPr>
          <w:rFonts w:ascii="Times New Roman" w:hAnsi="Times New Roman"/>
          <w:sz w:val="24"/>
          <w:szCs w:val="21"/>
        </w:rPr>
        <w:t>于本合同签订时尚未满 12 周岁，但在本合同约定的行程期间的任何一天年满</w:t>
      </w:r>
    </w:p>
    <w:p w14:paraId="4DE887D3">
      <w:pPr>
        <w:pStyle w:val="24"/>
        <w:tabs>
          <w:tab w:val="left" w:pos="5482"/>
        </w:tabs>
        <w:ind w:firstLine="480" w:firstLineChars="200"/>
        <w:rPr>
          <w:rFonts w:ascii="Times New Roman" w:hAnsi="Times New Roman"/>
          <w:sz w:val="24"/>
          <w:szCs w:val="21"/>
        </w:rPr>
      </w:pPr>
      <w:r>
        <w:rPr>
          <w:rFonts w:ascii="Times New Roman" w:hAnsi="Times New Roman"/>
          <w:sz w:val="24"/>
          <w:szCs w:val="21"/>
        </w:rPr>
        <w:t>12 周岁的旅游者，旅游费用按 12 周岁以上的标准计收。</w:t>
      </w:r>
    </w:p>
    <w:p w14:paraId="3040E750">
      <w:pPr>
        <w:pStyle w:val="316"/>
        <w:tabs>
          <w:tab w:val="left" w:pos="1784"/>
          <w:tab w:val="left" w:pos="4056"/>
          <w:tab w:val="left" w:pos="9130"/>
        </w:tabs>
        <w:spacing w:before="94" w:line="312" w:lineRule="auto"/>
        <w:ind w:right="933" w:firstLine="774" w:firstLineChars="300"/>
        <w:jc w:val="left"/>
        <w:rPr>
          <w:sz w:val="24"/>
        </w:rPr>
      </w:pPr>
      <w:r>
        <w:rPr>
          <w:rFonts w:hint="eastAsia"/>
          <w:spacing w:val="9"/>
          <w:sz w:val="24"/>
        </w:rPr>
        <w:t>（2）</w:t>
      </w:r>
      <w:r>
        <w:rPr>
          <w:spacing w:val="9"/>
          <w:sz w:val="24"/>
        </w:rPr>
        <w:t>单人房差</w:t>
      </w:r>
      <w:r>
        <w:rPr>
          <w:spacing w:val="7"/>
          <w:sz w:val="24"/>
        </w:rPr>
        <w:t>费</w:t>
      </w:r>
      <w:r>
        <w:rPr>
          <w:spacing w:val="11"/>
          <w:sz w:val="24"/>
        </w:rPr>
        <w:t>：</w:t>
      </w:r>
      <w:r>
        <w:rPr>
          <w:rFonts w:eastAsia="Times New Roman"/>
          <w:sz w:val="24"/>
          <w:u w:val="single"/>
        </w:rPr>
        <w:tab/>
      </w:r>
      <w:r>
        <w:rPr>
          <w:spacing w:val="9"/>
          <w:sz w:val="24"/>
        </w:rPr>
        <w:t>元；其他（</w:t>
      </w:r>
      <w:r>
        <w:rPr>
          <w:spacing w:val="7"/>
          <w:sz w:val="24"/>
        </w:rPr>
        <w:t>请</w:t>
      </w:r>
      <w:r>
        <w:rPr>
          <w:spacing w:val="9"/>
          <w:sz w:val="24"/>
        </w:rPr>
        <w:t>予以注明</w:t>
      </w:r>
      <w:r>
        <w:rPr>
          <w:spacing w:val="-111"/>
          <w:sz w:val="24"/>
        </w:rPr>
        <w:t>）</w:t>
      </w:r>
      <w:r>
        <w:rPr>
          <w:spacing w:val="9"/>
          <w:sz w:val="24"/>
        </w:rPr>
        <w:t>：</w:t>
      </w:r>
      <w:r>
        <w:rPr>
          <w:sz w:val="24"/>
        </w:rPr>
        <w:t>元。</w:t>
      </w:r>
    </w:p>
    <w:p w14:paraId="54EFF9FA">
      <w:pPr>
        <w:pStyle w:val="316"/>
        <w:tabs>
          <w:tab w:val="left" w:pos="1759"/>
          <w:tab w:val="left" w:pos="3317"/>
          <w:tab w:val="left" w:pos="5717"/>
          <w:tab w:val="left" w:pos="6917"/>
          <w:tab w:val="left" w:pos="8717"/>
        </w:tabs>
        <w:spacing w:line="312" w:lineRule="auto"/>
        <w:ind w:left="420" w:leftChars="200" w:right="1106" w:firstLine="480"/>
        <w:jc w:val="left"/>
        <w:rPr>
          <w:sz w:val="24"/>
        </w:rPr>
      </w:pPr>
      <w:r>
        <w:rPr>
          <w:rFonts w:hint="eastAsia"/>
          <w:sz w:val="24"/>
        </w:rPr>
        <w:t>（3）</w:t>
      </w:r>
      <w:r>
        <w:rPr>
          <w:sz w:val="24"/>
        </w:rPr>
        <w:t>导游服务费，每人（旅游者）</w:t>
      </w:r>
      <w:r>
        <w:rPr>
          <w:sz w:val="24"/>
          <w:u w:val="single"/>
        </w:rPr>
        <w:tab/>
      </w:r>
      <w:r>
        <w:rPr>
          <w:sz w:val="24"/>
        </w:rPr>
        <w:t>元，共</w:t>
      </w:r>
      <w:r>
        <w:rPr>
          <w:sz w:val="24"/>
          <w:u w:val="single"/>
        </w:rPr>
        <w:tab/>
      </w:r>
      <w:r>
        <w:rPr>
          <w:sz w:val="24"/>
        </w:rPr>
        <w:t>人，共计</w:t>
      </w:r>
      <w:r>
        <w:rPr>
          <w:sz w:val="24"/>
          <w:u w:val="single"/>
        </w:rPr>
        <w:tab/>
      </w:r>
      <w:r>
        <w:rPr>
          <w:sz w:val="24"/>
        </w:rPr>
        <w:t>元</w:t>
      </w:r>
      <w:r>
        <w:rPr>
          <w:spacing w:val="-17"/>
          <w:sz w:val="24"/>
        </w:rPr>
        <w:t>。</w:t>
      </w:r>
      <w:r>
        <w:rPr>
          <w:sz w:val="24"/>
        </w:rPr>
        <w:t>2.甲方按以下第</w:t>
      </w:r>
      <w:r>
        <w:rPr>
          <w:sz w:val="24"/>
          <w:u w:val="single"/>
        </w:rPr>
        <w:tab/>
      </w:r>
      <w:r>
        <w:rPr>
          <w:sz w:val="24"/>
        </w:rPr>
        <w:t>种期限付款：</w:t>
      </w:r>
    </w:p>
    <w:p w14:paraId="041B5883">
      <w:pPr>
        <w:pStyle w:val="316"/>
        <w:tabs>
          <w:tab w:val="left" w:pos="1759"/>
        </w:tabs>
        <w:spacing w:before="1"/>
        <w:ind w:left="420" w:leftChars="200" w:firstLine="480"/>
        <w:jc w:val="left"/>
        <w:rPr>
          <w:sz w:val="24"/>
        </w:rPr>
      </w:pPr>
      <w:r>
        <w:rPr>
          <w:rFonts w:hint="eastAsia"/>
          <w:sz w:val="24"/>
        </w:rPr>
        <w:t>（1）</w:t>
      </w:r>
      <w:r>
        <w:rPr>
          <w:sz w:val="24"/>
        </w:rPr>
        <w:t>本合同签订时一次性付款；</w:t>
      </w:r>
    </w:p>
    <w:p w14:paraId="01BFEA58">
      <w:pPr>
        <w:pStyle w:val="316"/>
        <w:tabs>
          <w:tab w:val="left" w:pos="1759"/>
          <w:tab w:val="left" w:pos="2957"/>
          <w:tab w:val="left" w:pos="3797"/>
          <w:tab w:val="left" w:pos="4517"/>
        </w:tabs>
        <w:spacing w:before="91"/>
        <w:ind w:left="420" w:leftChars="200" w:firstLine="480"/>
        <w:jc w:val="left"/>
        <w:rPr>
          <w:sz w:val="24"/>
        </w:rPr>
      </w:pPr>
      <w:r>
        <w:rPr>
          <w:rFonts w:hint="eastAsia"/>
          <w:sz w:val="24"/>
        </w:rPr>
        <w:t>（2）</w:t>
      </w:r>
      <w:r>
        <w:rPr>
          <w:sz w:val="24"/>
        </w:rPr>
        <w:t>在</w:t>
      </w:r>
      <w:r>
        <w:rPr>
          <w:sz w:val="24"/>
          <w:u w:val="single"/>
        </w:rPr>
        <w:tab/>
      </w:r>
      <w:r>
        <w:rPr>
          <w:sz w:val="24"/>
        </w:rPr>
        <w:t>年</w:t>
      </w:r>
      <w:r>
        <w:rPr>
          <w:sz w:val="24"/>
          <w:u w:val="single"/>
        </w:rPr>
        <w:tab/>
      </w:r>
      <w:r>
        <w:rPr>
          <w:sz w:val="24"/>
        </w:rPr>
        <w:t>月</w:t>
      </w:r>
      <w:r>
        <w:rPr>
          <w:sz w:val="24"/>
          <w:u w:val="single"/>
        </w:rPr>
        <w:tab/>
      </w:r>
      <w:r>
        <w:rPr>
          <w:sz w:val="24"/>
        </w:rPr>
        <w:t>日之前，一次性付款；</w:t>
      </w:r>
    </w:p>
    <w:p w14:paraId="4B53C03E">
      <w:pPr>
        <w:pStyle w:val="316"/>
        <w:tabs>
          <w:tab w:val="left" w:pos="1759"/>
          <w:tab w:val="left" w:pos="2580"/>
          <w:tab w:val="left" w:pos="3420"/>
          <w:tab w:val="left" w:pos="4140"/>
          <w:tab w:val="left" w:pos="6163"/>
          <w:tab w:val="left" w:pos="8424"/>
        </w:tabs>
        <w:spacing w:before="94" w:line="312" w:lineRule="auto"/>
        <w:ind w:left="420" w:leftChars="200" w:right="933" w:firstLine="480"/>
        <w:jc w:val="left"/>
        <w:rPr>
          <w:sz w:val="24"/>
        </w:rPr>
      </w:pPr>
      <w:r>
        <w:rPr>
          <w:rFonts w:hint="eastAsia"/>
          <w:sz w:val="24"/>
        </w:rPr>
        <w:t>（3）</w:t>
      </w:r>
      <w:r>
        <w:rPr>
          <w:sz w:val="24"/>
        </w:rPr>
        <w:t>在</w:t>
      </w:r>
      <w:r>
        <w:rPr>
          <w:sz w:val="24"/>
          <w:u w:val="single"/>
        </w:rPr>
        <w:tab/>
      </w:r>
      <w:r>
        <w:rPr>
          <w:sz w:val="24"/>
        </w:rPr>
        <w:t>年</w:t>
      </w:r>
      <w:r>
        <w:rPr>
          <w:sz w:val="24"/>
          <w:u w:val="single"/>
        </w:rPr>
        <w:tab/>
      </w:r>
      <w:r>
        <w:rPr>
          <w:sz w:val="24"/>
        </w:rPr>
        <w:t>月</w:t>
      </w:r>
      <w:r>
        <w:rPr>
          <w:sz w:val="24"/>
          <w:u w:val="single"/>
        </w:rPr>
        <w:tab/>
      </w:r>
      <w:r>
        <w:rPr>
          <w:sz w:val="24"/>
        </w:rPr>
        <w:t>日之前</w:t>
      </w:r>
      <w:r>
        <w:rPr>
          <w:spacing w:val="-17"/>
          <w:sz w:val="24"/>
        </w:rPr>
        <w:t>，</w:t>
      </w:r>
      <w:r>
        <w:rPr>
          <w:sz w:val="24"/>
        </w:rPr>
        <w:t>支付</w:t>
      </w:r>
      <w:r>
        <w:rPr>
          <w:sz w:val="24"/>
          <w:u w:val="single"/>
        </w:rPr>
        <w:tab/>
      </w:r>
      <w:r>
        <w:rPr>
          <w:sz w:val="24"/>
        </w:rPr>
        <w:t>元</w:t>
      </w:r>
      <w:r>
        <w:rPr>
          <w:spacing w:val="-20"/>
          <w:sz w:val="24"/>
        </w:rPr>
        <w:t>；</w:t>
      </w:r>
      <w:r>
        <w:rPr>
          <w:sz w:val="24"/>
        </w:rPr>
        <w:t>行程结束后</w:t>
      </w:r>
      <w:r>
        <w:rPr>
          <w:sz w:val="24"/>
          <w:u w:val="single"/>
        </w:rPr>
        <w:tab/>
      </w:r>
      <w:r>
        <w:rPr>
          <w:sz w:val="24"/>
        </w:rPr>
        <w:t>天内</w:t>
      </w:r>
      <w:r>
        <w:rPr>
          <w:spacing w:val="-15"/>
          <w:sz w:val="24"/>
        </w:rPr>
        <w:t>，</w:t>
      </w:r>
      <w:r>
        <w:rPr>
          <w:spacing w:val="-16"/>
          <w:sz w:val="24"/>
        </w:rPr>
        <w:t>支</w:t>
      </w:r>
      <w:r>
        <w:rPr>
          <w:sz w:val="24"/>
        </w:rPr>
        <w:t>付余款；</w:t>
      </w:r>
    </w:p>
    <w:p w14:paraId="69C37284">
      <w:pPr>
        <w:pStyle w:val="316"/>
        <w:tabs>
          <w:tab w:val="left" w:pos="1759"/>
          <w:tab w:val="left" w:pos="3197"/>
          <w:tab w:val="left" w:pos="8957"/>
        </w:tabs>
        <w:spacing w:line="312" w:lineRule="auto"/>
        <w:ind w:left="420" w:leftChars="200" w:right="1106" w:firstLine="480"/>
        <w:jc w:val="left"/>
        <w:rPr>
          <w:sz w:val="24"/>
        </w:rPr>
      </w:pPr>
      <w:r>
        <w:rPr>
          <w:rFonts w:hint="eastAsia"/>
          <w:sz w:val="24"/>
        </w:rPr>
        <w:t>（4）</w:t>
      </w:r>
      <w:r>
        <w:rPr>
          <w:sz w:val="24"/>
        </w:rPr>
        <w:t>其他：</w:t>
      </w:r>
      <w:r>
        <w:rPr>
          <w:sz w:val="24"/>
          <w:u w:val="single"/>
        </w:rPr>
        <w:tab/>
      </w:r>
      <w:r>
        <w:rPr>
          <w:sz w:val="24"/>
          <w:u w:val="single"/>
        </w:rPr>
        <w:tab/>
      </w:r>
      <w:r>
        <w:rPr>
          <w:spacing w:val="-17"/>
          <w:sz w:val="24"/>
        </w:rPr>
        <w:t>。</w:t>
      </w:r>
      <w:r>
        <w:rPr>
          <w:sz w:val="24"/>
        </w:rPr>
        <w:t>3.甲方以下列第</w:t>
      </w:r>
      <w:r>
        <w:rPr>
          <w:sz w:val="24"/>
          <w:u w:val="single"/>
        </w:rPr>
        <w:tab/>
      </w:r>
      <w:r>
        <w:rPr>
          <w:sz w:val="24"/>
        </w:rPr>
        <w:t>种方式缴纳费用：</w:t>
      </w:r>
    </w:p>
    <w:p w14:paraId="7604F45C">
      <w:pPr>
        <w:pStyle w:val="316"/>
        <w:tabs>
          <w:tab w:val="left" w:pos="1759"/>
        </w:tabs>
        <w:spacing w:before="1"/>
        <w:ind w:left="420" w:leftChars="200" w:firstLine="480"/>
        <w:jc w:val="left"/>
        <w:rPr>
          <w:sz w:val="24"/>
        </w:rPr>
      </w:pPr>
      <w:r>
        <w:rPr>
          <w:rFonts w:hint="eastAsia"/>
          <w:sz w:val="24"/>
        </w:rPr>
        <w:t>（5）</w:t>
      </w:r>
      <w:r>
        <w:rPr>
          <w:sz w:val="24"/>
        </w:rPr>
        <w:t>现金缴纳方式；</w:t>
      </w:r>
    </w:p>
    <w:p w14:paraId="0EA9FAA7">
      <w:pPr>
        <w:pStyle w:val="316"/>
        <w:tabs>
          <w:tab w:val="left" w:pos="1759"/>
          <w:tab w:val="left" w:pos="9091"/>
        </w:tabs>
        <w:spacing w:before="91"/>
        <w:ind w:left="420" w:leftChars="200" w:firstLine="480"/>
        <w:jc w:val="left"/>
        <w:rPr>
          <w:sz w:val="24"/>
        </w:rPr>
      </w:pPr>
      <w:r>
        <w:rPr>
          <w:rFonts w:hint="eastAsia"/>
          <w:sz w:val="24"/>
        </w:rPr>
        <w:t>（6）</w:t>
      </w:r>
      <w:r>
        <w:rPr>
          <w:sz w:val="24"/>
        </w:rPr>
        <w:t>向乙方指定账号转账，账号为</w:t>
      </w:r>
      <w:r>
        <w:rPr>
          <w:b/>
          <w:sz w:val="24"/>
        </w:rPr>
        <w:t>：</w:t>
      </w:r>
      <w:r>
        <w:rPr>
          <w:b/>
          <w:sz w:val="24"/>
          <w:u w:val="single"/>
        </w:rPr>
        <w:tab/>
      </w:r>
      <w:r>
        <w:rPr>
          <w:sz w:val="24"/>
        </w:rPr>
        <w:t>；</w:t>
      </w:r>
    </w:p>
    <w:p w14:paraId="7141519D">
      <w:pPr>
        <w:pStyle w:val="316"/>
        <w:tabs>
          <w:tab w:val="left" w:pos="1759"/>
          <w:tab w:val="left" w:pos="2119"/>
          <w:tab w:val="left" w:pos="8957"/>
        </w:tabs>
        <w:spacing w:before="94" w:line="312" w:lineRule="auto"/>
        <w:ind w:left="420" w:leftChars="200" w:right="1106" w:firstLine="480"/>
        <w:jc w:val="left"/>
        <w:rPr>
          <w:b/>
          <w:sz w:val="24"/>
        </w:rPr>
      </w:pPr>
      <w:r>
        <w:rPr>
          <w:rFonts w:hint="eastAsia"/>
          <w:sz w:val="24"/>
        </w:rPr>
        <w:t>（7）</w:t>
      </w:r>
      <w:r>
        <w:rPr>
          <w:sz w:val="24"/>
        </w:rPr>
        <w:t>其他：</w:t>
      </w:r>
      <w:r>
        <w:rPr>
          <w:sz w:val="24"/>
          <w:u w:val="single"/>
        </w:rPr>
        <w:tab/>
      </w:r>
      <w:r>
        <w:rPr>
          <w:spacing w:val="-17"/>
          <w:sz w:val="24"/>
        </w:rPr>
        <w:t>。</w:t>
      </w:r>
      <w:r>
        <w:rPr>
          <w:b/>
          <w:sz w:val="24"/>
        </w:rPr>
        <w:t>第三条</w:t>
      </w:r>
      <w:r>
        <w:rPr>
          <w:b/>
          <w:sz w:val="24"/>
        </w:rPr>
        <w:tab/>
      </w:r>
      <w:r>
        <w:rPr>
          <w:b/>
          <w:sz w:val="24"/>
        </w:rPr>
        <w:t>人身意外伤害保险</w:t>
      </w:r>
    </w:p>
    <w:p w14:paraId="390543E2">
      <w:pPr>
        <w:spacing w:line="307" w:lineRule="exact"/>
        <w:ind w:left="1157"/>
        <w:jc w:val="left"/>
        <w:rPr>
          <w:b/>
          <w:sz w:val="24"/>
        </w:rPr>
      </w:pPr>
      <w:r>
        <w:rPr>
          <w:b/>
          <w:sz w:val="24"/>
          <w:u w:val="single"/>
        </w:rPr>
        <w:t>乙方建议甲方购买人身意外伤害保险。</w:t>
      </w:r>
    </w:p>
    <w:p w14:paraId="49737E3A">
      <w:pPr>
        <w:pStyle w:val="24"/>
        <w:tabs>
          <w:tab w:val="left" w:pos="2357"/>
          <w:tab w:val="left" w:pos="3679"/>
          <w:tab w:val="left" w:pos="5242"/>
          <w:tab w:val="left" w:pos="7042"/>
        </w:tabs>
        <w:spacing w:before="93" w:line="312" w:lineRule="auto"/>
        <w:ind w:left="1157" w:right="986"/>
      </w:pPr>
      <w:r>
        <w:t>甲方</w:t>
      </w:r>
      <w:r>
        <w:rPr>
          <w:u w:val="single"/>
        </w:rPr>
        <w:tab/>
      </w:r>
      <w:r>
        <w:t>（同意或者不同意，打勾无效）委托乙方投保人身意外伤害保险</w:t>
      </w:r>
      <w:r>
        <w:rPr>
          <w:spacing w:val="-17"/>
        </w:rPr>
        <w:t>。</w:t>
      </w:r>
      <w:r>
        <w:t>保险产品名称</w:t>
      </w:r>
      <w:r>
        <w:rPr>
          <w:u w:val="single"/>
        </w:rPr>
        <w:tab/>
      </w:r>
      <w:r>
        <w:t>，保险人</w:t>
      </w:r>
      <w:r>
        <w:rPr>
          <w:u w:val="single"/>
        </w:rPr>
        <w:tab/>
      </w:r>
      <w:r>
        <w:t>，保险费</w:t>
      </w:r>
      <w:r>
        <w:rPr>
          <w:u w:val="single"/>
        </w:rPr>
        <w:tab/>
      </w:r>
      <w:r>
        <w:t>，</w:t>
      </w:r>
    </w:p>
    <w:p w14:paraId="07230F59">
      <w:pPr>
        <w:tabs>
          <w:tab w:val="left" w:pos="2103"/>
          <w:tab w:val="left" w:pos="4517"/>
        </w:tabs>
        <w:spacing w:line="312" w:lineRule="auto"/>
        <w:ind w:left="1157" w:right="5546"/>
        <w:jc w:val="left"/>
        <w:rPr>
          <w:b/>
          <w:sz w:val="24"/>
        </w:rPr>
      </w:pPr>
      <w:r>
        <w:rPr>
          <w:sz w:val="24"/>
        </w:rPr>
        <w:t>保险金额（根据保单填写）</w:t>
      </w:r>
      <w:r>
        <w:rPr>
          <w:sz w:val="24"/>
          <w:u w:val="single"/>
        </w:rPr>
        <w:tab/>
      </w:r>
      <w:r>
        <w:rPr>
          <w:spacing w:val="-17"/>
          <w:sz w:val="24"/>
        </w:rPr>
        <w:t>。</w:t>
      </w:r>
      <w:r>
        <w:rPr>
          <w:b/>
          <w:sz w:val="24"/>
        </w:rPr>
        <w:t>第四条</w:t>
      </w:r>
      <w:r>
        <w:rPr>
          <w:b/>
          <w:sz w:val="24"/>
        </w:rPr>
        <w:tab/>
      </w:r>
      <w:r>
        <w:rPr>
          <w:b/>
          <w:spacing w:val="-8"/>
          <w:sz w:val="24"/>
        </w:rPr>
        <w:t>成团人数与不成团</w:t>
      </w:r>
      <w:r>
        <w:rPr>
          <w:b/>
          <w:spacing w:val="-5"/>
          <w:sz w:val="24"/>
        </w:rPr>
        <w:t>的</w:t>
      </w:r>
      <w:r>
        <w:rPr>
          <w:b/>
          <w:spacing w:val="-8"/>
          <w:sz w:val="24"/>
        </w:rPr>
        <w:t>约</w:t>
      </w:r>
      <w:r>
        <w:rPr>
          <w:b/>
          <w:sz w:val="24"/>
        </w:rPr>
        <w:t>定</w:t>
      </w:r>
    </w:p>
    <w:p w14:paraId="377F3531">
      <w:pPr>
        <w:pStyle w:val="24"/>
        <w:tabs>
          <w:tab w:val="left" w:pos="2609"/>
          <w:tab w:val="left" w:pos="8650"/>
        </w:tabs>
        <w:spacing w:line="312" w:lineRule="auto"/>
        <w:ind w:right="931" w:firstLine="720" w:firstLineChars="300"/>
        <w:rPr>
          <w:rFonts w:ascii="Times New Roman" w:hAnsi="Times New Roman"/>
          <w:sz w:val="24"/>
          <w:szCs w:val="21"/>
        </w:rPr>
      </w:pPr>
      <w:r>
        <w:rPr>
          <w:rFonts w:ascii="Times New Roman" w:hAnsi="Times New Roman"/>
          <w:sz w:val="24"/>
          <w:szCs w:val="21"/>
        </w:rPr>
        <w:t>1．最低成团人数 人。如低于此人数不能成团时，甲方 （同意或者不同意，打勾无效）按下列方式解决：</w:t>
      </w:r>
    </w:p>
    <w:p w14:paraId="3E5C8EBD">
      <w:pPr>
        <w:pStyle w:val="24"/>
        <w:tabs>
          <w:tab w:val="left" w:pos="2609"/>
          <w:tab w:val="left" w:pos="8650"/>
        </w:tabs>
        <w:spacing w:line="312" w:lineRule="auto"/>
        <w:ind w:right="931" w:firstLine="720" w:firstLineChars="300"/>
        <w:rPr>
          <w:rFonts w:ascii="Times New Roman" w:hAnsi="Times New Roman"/>
          <w:sz w:val="24"/>
          <w:szCs w:val="21"/>
        </w:rPr>
      </w:pPr>
      <w:r>
        <w:rPr>
          <w:rFonts w:hint="eastAsia" w:ascii="Times New Roman" w:hAnsi="Times New Roman"/>
          <w:sz w:val="24"/>
          <w:szCs w:val="21"/>
        </w:rPr>
        <w:t>（1）</w:t>
      </w:r>
      <w:r>
        <w:rPr>
          <w:rFonts w:ascii="Times New Roman" w:hAnsi="Times New Roman"/>
          <w:sz w:val="24"/>
          <w:szCs w:val="21"/>
        </w:rPr>
        <w:t xml:space="preserve">（同意或者不同意，打勾无效）乙方委托 </w:t>
      </w:r>
      <w:r>
        <w:rPr>
          <w:rFonts w:ascii="Times New Roman" w:hAnsi="Times New Roman"/>
          <w:sz w:val="24"/>
          <w:szCs w:val="21"/>
        </w:rPr>
        <w:tab/>
      </w:r>
      <w:r>
        <w:rPr>
          <w:rFonts w:ascii="Times New Roman" w:hAnsi="Times New Roman"/>
          <w:sz w:val="24"/>
          <w:szCs w:val="21"/>
        </w:rPr>
        <w:t>旅行社履行合同，由该旅行社安排出行，该旅行社履行义务不符合约定的，乙方应承担相应责任；</w:t>
      </w:r>
    </w:p>
    <w:p w14:paraId="4E21EAAF">
      <w:pPr>
        <w:pStyle w:val="316"/>
        <w:tabs>
          <w:tab w:val="left" w:pos="1877"/>
        </w:tabs>
        <w:ind w:left="420" w:leftChars="200" w:firstLine="240" w:firstLineChars="100"/>
        <w:rPr>
          <w:sz w:val="24"/>
        </w:rPr>
      </w:pPr>
      <w:r>
        <w:rPr>
          <w:rFonts w:hint="eastAsia"/>
          <w:sz w:val="24"/>
        </w:rPr>
        <w:t>（2）</w:t>
      </w:r>
      <w:r>
        <w:rPr>
          <w:sz w:val="24"/>
        </w:rPr>
        <w:t>（同意或者不同意，打勾无效）延期出团；</w:t>
      </w:r>
    </w:p>
    <w:p w14:paraId="1F0E9EBB">
      <w:pPr>
        <w:pStyle w:val="316"/>
        <w:tabs>
          <w:tab w:val="left" w:pos="1759"/>
          <w:tab w:val="left" w:pos="2237"/>
        </w:tabs>
        <w:spacing w:before="55"/>
        <w:ind w:firstLine="480"/>
        <w:jc w:val="left"/>
        <w:rPr>
          <w:sz w:val="24"/>
        </w:rPr>
      </w:pPr>
      <w:r>
        <w:rPr>
          <w:rFonts w:hint="eastAsia"/>
          <w:sz w:val="24"/>
        </w:rPr>
        <w:t>（3）</w:t>
      </w:r>
      <w:r>
        <w:rPr>
          <w:rFonts w:eastAsia="Times New Roman"/>
          <w:sz w:val="24"/>
          <w:u w:val="single"/>
        </w:rPr>
        <w:tab/>
      </w:r>
      <w:r>
        <w:rPr>
          <w:sz w:val="24"/>
        </w:rPr>
        <w:t>（同意或者不同意，打勾无效）改变其他线路出团。</w:t>
      </w:r>
    </w:p>
    <w:p w14:paraId="7591C680">
      <w:pPr>
        <w:pStyle w:val="24"/>
        <w:tabs>
          <w:tab w:val="left" w:pos="2609"/>
          <w:tab w:val="left" w:pos="8650"/>
        </w:tabs>
        <w:spacing w:line="312" w:lineRule="auto"/>
        <w:ind w:right="931" w:firstLine="720" w:firstLineChars="300"/>
        <w:rPr>
          <w:rFonts w:ascii="Times New Roman" w:hAnsi="Times New Roman"/>
          <w:sz w:val="24"/>
          <w:szCs w:val="21"/>
        </w:rPr>
      </w:pPr>
      <w:r>
        <w:rPr>
          <w:rFonts w:ascii="Times New Roman" w:hAnsi="Times New Roman"/>
          <w:sz w:val="24"/>
          <w:szCs w:val="21"/>
        </w:rPr>
        <w:t>甲方如不同意上述处理方式，按照《通用条款》第七条第 4 项或第十一条第 1 项处理。</w:t>
      </w:r>
    </w:p>
    <w:p w14:paraId="28045774">
      <w:pPr>
        <w:pStyle w:val="10"/>
        <w:numPr>
          <w:ilvl w:val="0"/>
          <w:numId w:val="0"/>
        </w:numPr>
        <w:tabs>
          <w:tab w:val="left" w:pos="2112"/>
        </w:tabs>
        <w:spacing w:line="307" w:lineRule="exact"/>
      </w:pPr>
      <w:r>
        <w:t>第五条争议处理</w:t>
      </w:r>
    </w:p>
    <w:p w14:paraId="63F86017">
      <w:pPr>
        <w:pStyle w:val="24"/>
        <w:tabs>
          <w:tab w:val="left" w:pos="5477"/>
        </w:tabs>
        <w:spacing w:before="93" w:line="312" w:lineRule="auto"/>
        <w:ind w:right="813" w:firstLine="480" w:firstLineChars="200"/>
        <w:rPr>
          <w:rFonts w:ascii="Times New Roman" w:hAnsi="Times New Roman"/>
          <w:sz w:val="24"/>
          <w:szCs w:val="21"/>
        </w:rPr>
      </w:pPr>
      <w:r>
        <w:rPr>
          <w:rFonts w:ascii="Times New Roman" w:hAnsi="Times New Roman"/>
          <w:sz w:val="24"/>
          <w:szCs w:val="21"/>
        </w:rPr>
        <w:t>因本合同发生争议的，双方应协商解决；协商不成的，可向乙方所在地的旅游、工商行政部门申请调解，或直接按下列第 种方式解决：</w:t>
      </w:r>
    </w:p>
    <w:p w14:paraId="15F3347E">
      <w:pPr>
        <w:pStyle w:val="316"/>
        <w:tabs>
          <w:tab w:val="left" w:pos="1399"/>
          <w:tab w:val="left" w:pos="2357"/>
        </w:tabs>
        <w:spacing w:line="307" w:lineRule="exact"/>
        <w:ind w:left="420" w:leftChars="200" w:firstLine="0" w:firstLineChars="0"/>
        <w:jc w:val="left"/>
        <w:rPr>
          <w:sz w:val="24"/>
        </w:rPr>
      </w:pPr>
      <w:r>
        <w:rPr>
          <w:rFonts w:hint="eastAsia"/>
          <w:sz w:val="24"/>
        </w:rPr>
        <w:t>1.</w:t>
      </w:r>
      <w:r>
        <w:rPr>
          <w:sz w:val="24"/>
        </w:rPr>
        <w:t>向</w:t>
      </w:r>
      <w:r>
        <w:rPr>
          <w:sz w:val="24"/>
          <w:u w:val="single"/>
        </w:rPr>
        <w:tab/>
      </w:r>
      <w:r>
        <w:rPr>
          <w:sz w:val="24"/>
        </w:rPr>
        <w:t>仲裁委员会申请仲裁；</w:t>
      </w:r>
    </w:p>
    <w:p w14:paraId="3ADF296F">
      <w:pPr>
        <w:pStyle w:val="316"/>
        <w:tabs>
          <w:tab w:val="left" w:pos="1399"/>
          <w:tab w:val="left" w:pos="2117"/>
        </w:tabs>
        <w:spacing w:before="93" w:line="312" w:lineRule="auto"/>
        <w:ind w:left="420" w:leftChars="200" w:right="6506" w:firstLine="0" w:firstLineChars="0"/>
        <w:jc w:val="left"/>
        <w:rPr>
          <w:spacing w:val="-17"/>
          <w:sz w:val="24"/>
        </w:rPr>
      </w:pPr>
      <w:r>
        <w:rPr>
          <w:rFonts w:hint="eastAsia"/>
          <w:sz w:val="24"/>
        </w:rPr>
        <w:t>2.</w:t>
      </w:r>
      <w:r>
        <w:rPr>
          <w:sz w:val="24"/>
        </w:rPr>
        <w:t>向人民法院提起诉讼</w:t>
      </w:r>
      <w:r>
        <w:rPr>
          <w:spacing w:val="-17"/>
          <w:sz w:val="24"/>
        </w:rPr>
        <w:t>。</w:t>
      </w:r>
    </w:p>
    <w:p w14:paraId="3E9AC81D">
      <w:pPr>
        <w:pStyle w:val="316"/>
        <w:tabs>
          <w:tab w:val="left" w:pos="1399"/>
          <w:tab w:val="left" w:pos="2117"/>
        </w:tabs>
        <w:spacing w:before="93" w:line="312" w:lineRule="auto"/>
        <w:ind w:left="420" w:leftChars="200" w:right="6506" w:firstLine="0" w:firstLineChars="0"/>
        <w:jc w:val="left"/>
        <w:rPr>
          <w:b/>
          <w:sz w:val="24"/>
        </w:rPr>
      </w:pPr>
    </w:p>
    <w:p w14:paraId="4F1CB246">
      <w:pPr>
        <w:pStyle w:val="316"/>
        <w:tabs>
          <w:tab w:val="left" w:pos="1399"/>
          <w:tab w:val="left" w:pos="2117"/>
        </w:tabs>
        <w:spacing w:before="93" w:line="312" w:lineRule="auto"/>
        <w:ind w:left="420" w:leftChars="200" w:right="6506" w:firstLine="0" w:firstLineChars="0"/>
        <w:jc w:val="left"/>
        <w:rPr>
          <w:b/>
          <w:sz w:val="24"/>
        </w:rPr>
      </w:pPr>
    </w:p>
    <w:p w14:paraId="05844043">
      <w:pPr>
        <w:pStyle w:val="316"/>
        <w:tabs>
          <w:tab w:val="left" w:pos="1399"/>
          <w:tab w:val="left" w:pos="2117"/>
        </w:tabs>
        <w:spacing w:before="93" w:line="312" w:lineRule="auto"/>
        <w:ind w:left="420" w:leftChars="200" w:right="6506" w:firstLine="0" w:firstLineChars="0"/>
        <w:jc w:val="left"/>
        <w:rPr>
          <w:b/>
          <w:sz w:val="24"/>
        </w:rPr>
      </w:pPr>
    </w:p>
    <w:p w14:paraId="06216D37">
      <w:pPr>
        <w:pStyle w:val="316"/>
        <w:tabs>
          <w:tab w:val="left" w:pos="1399"/>
          <w:tab w:val="left" w:pos="2117"/>
        </w:tabs>
        <w:spacing w:before="93" w:line="312" w:lineRule="auto"/>
        <w:ind w:left="420" w:leftChars="200" w:right="6506" w:firstLine="0" w:firstLineChars="0"/>
        <w:jc w:val="left"/>
        <w:rPr>
          <w:b/>
          <w:sz w:val="24"/>
        </w:rPr>
      </w:pPr>
      <w:r>
        <w:rPr>
          <w:b/>
          <w:sz w:val="24"/>
        </w:rPr>
        <w:t>第六条</w:t>
      </w:r>
      <w:r>
        <w:rPr>
          <w:b/>
          <w:sz w:val="24"/>
        </w:rPr>
        <w:tab/>
      </w:r>
      <w:r>
        <w:rPr>
          <w:b/>
          <w:sz w:val="24"/>
        </w:rPr>
        <w:t>其他事项</w:t>
      </w:r>
    </w:p>
    <w:p w14:paraId="2799D7AD">
      <w:pPr>
        <w:pStyle w:val="316"/>
        <w:numPr>
          <w:ilvl w:val="0"/>
          <w:numId w:val="40"/>
        </w:numPr>
        <w:tabs>
          <w:tab w:val="left" w:pos="1399"/>
        </w:tabs>
        <w:spacing w:line="312" w:lineRule="auto"/>
        <w:ind w:right="933" w:firstLine="480"/>
        <w:rPr>
          <w:sz w:val="24"/>
        </w:rPr>
      </w:pPr>
      <w:r>
        <w:rPr>
          <w:sz w:val="24"/>
          <w:u w:val="single"/>
        </w:rPr>
        <w:t>本合同旅游者不止一人的，实际签订合同的旅游者为甲方，其他旅游者与甲方具有同等地位，甲方与其他旅游者之间的关系（比如赠予、委托代理、代表等） 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 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w:t>
      </w:r>
      <w:r>
        <w:rPr>
          <w:spacing w:val="-240"/>
          <w:sz w:val="24"/>
          <w:u w:val="single"/>
        </w:rPr>
        <w:t>者</w:t>
      </w:r>
      <w:r>
        <w:rPr>
          <w:sz w:val="24"/>
          <w:u w:val="single"/>
        </w:rPr>
        <w:t>在本合同中的权利义务，该第三人不承受上述代表地位。</w:t>
      </w:r>
    </w:p>
    <w:p w14:paraId="71FCF3D5">
      <w:pPr>
        <w:pStyle w:val="316"/>
        <w:tabs>
          <w:tab w:val="left" w:pos="1399"/>
        </w:tabs>
        <w:spacing w:before="4"/>
        <w:ind w:left="420" w:leftChars="200" w:firstLine="720" w:firstLineChars="300"/>
        <w:jc w:val="left"/>
        <w:rPr>
          <w:sz w:val="24"/>
        </w:rPr>
      </w:pPr>
      <w:r>
        <w:rPr>
          <w:rFonts w:hint="eastAsia"/>
          <w:sz w:val="24"/>
        </w:rPr>
        <w:t>2.</w:t>
      </w:r>
      <w:r>
        <w:rPr>
          <w:sz w:val="24"/>
        </w:rPr>
        <w:t>本合同经甲乙双方签字或盖章之日生效。本合同一式两份，双方各执一份。</w:t>
      </w:r>
    </w:p>
    <w:p w14:paraId="00BB0ABE">
      <w:pPr>
        <w:pStyle w:val="316"/>
        <w:tabs>
          <w:tab w:val="left" w:pos="1399"/>
          <w:tab w:val="left" w:pos="5004"/>
        </w:tabs>
        <w:spacing w:before="91"/>
        <w:ind w:left="420" w:leftChars="200" w:firstLine="720" w:firstLineChars="300"/>
        <w:jc w:val="left"/>
        <w:rPr>
          <w:sz w:val="24"/>
        </w:rPr>
      </w:pPr>
      <w:r>
        <w:rPr>
          <w:rFonts w:hint="eastAsia"/>
          <w:sz w:val="24"/>
        </w:rPr>
        <w:t>3.</w:t>
      </w:r>
      <w:r>
        <w:rPr>
          <w:sz w:val="24"/>
        </w:rPr>
        <w:t>本合同签订地：</w:t>
      </w:r>
      <w:r>
        <w:rPr>
          <w:sz w:val="24"/>
          <w:u w:val="single"/>
        </w:rPr>
        <w:tab/>
      </w:r>
      <w:r>
        <w:rPr>
          <w:sz w:val="24"/>
        </w:rPr>
        <w:t>。</w:t>
      </w:r>
    </w:p>
    <w:p w14:paraId="4C0427F5">
      <w:pPr>
        <w:pStyle w:val="316"/>
        <w:tabs>
          <w:tab w:val="left" w:pos="1399"/>
          <w:tab w:val="left" w:pos="9429"/>
        </w:tabs>
        <w:spacing w:before="94"/>
        <w:ind w:left="420" w:leftChars="200" w:firstLine="714" w:firstLineChars="300"/>
        <w:jc w:val="left"/>
        <w:rPr>
          <w:rFonts w:eastAsia="Times New Roman"/>
          <w:sz w:val="24"/>
        </w:rPr>
      </w:pPr>
      <w:r>
        <w:rPr>
          <w:rFonts w:hint="eastAsia"/>
          <w:spacing w:val="-1"/>
          <w:sz w:val="24"/>
        </w:rPr>
        <w:t>4.</w:t>
      </w:r>
      <w:r>
        <w:rPr>
          <w:spacing w:val="-1"/>
          <w:sz w:val="24"/>
        </w:rPr>
        <w:t>补</w:t>
      </w:r>
      <w:r>
        <w:rPr>
          <w:sz w:val="24"/>
        </w:rPr>
        <w:t>充约定</w:t>
      </w:r>
      <w:r>
        <w:rPr>
          <w:rFonts w:eastAsia="Times New Roman"/>
          <w:sz w:val="24"/>
          <w:u w:val="single"/>
        </w:rPr>
        <w:tab/>
      </w:r>
    </w:p>
    <w:p w14:paraId="005B4DBB">
      <w:pPr>
        <w:pStyle w:val="24"/>
        <w:spacing w:before="2"/>
        <w:rPr>
          <w:rFonts w:ascii="Times New Roman"/>
          <w:sz w:val="27"/>
        </w:rPr>
      </w:pPr>
      <w:r>
        <w:pict>
          <v:line id="_x0000_s2050" o:spid="_x0000_s2050" o:spt="20" style="position:absolute;left:0pt;margin-left:89.8pt;margin-top:17.85pt;height:0pt;width:434.65pt;mso-position-horizontal-relative:page;mso-wrap-distance-bottom:0pt;mso-wrap-distance-top:0pt;z-index:-251652096;mso-width-relative:page;mso-height-relative:page;" coordsize="21600,21600">
            <v:path arrowok="t"/>
            <v:fill focussize="0,0"/>
            <v:stroke weight="0.6pt"/>
            <v:imagedata o:title=""/>
            <o:lock v:ext="edit"/>
            <w10:wrap type="topAndBottom"/>
          </v:line>
        </w:pict>
      </w:r>
    </w:p>
    <w:p w14:paraId="398FC0C1">
      <w:pPr>
        <w:pStyle w:val="24"/>
        <w:tabs>
          <w:tab w:val="left" w:pos="6317"/>
        </w:tabs>
        <w:spacing w:before="99"/>
        <w:ind w:left="677"/>
      </w:pPr>
      <w:r>
        <w:t>甲方签字（盖章</w:t>
      </w:r>
      <w:r>
        <w:rPr>
          <w:spacing w:val="-120"/>
        </w:rPr>
        <w:t>）</w:t>
      </w:r>
      <w:r>
        <w:t>：</w:t>
      </w:r>
      <w:r>
        <w:tab/>
      </w:r>
      <w:r>
        <w:t>乙方签字（盖章</w:t>
      </w:r>
      <w:r>
        <w:rPr>
          <w:spacing w:val="-120"/>
        </w:rPr>
        <w:t>）</w:t>
      </w:r>
      <w:r>
        <w:t>：</w:t>
      </w:r>
    </w:p>
    <w:p w14:paraId="0C76D9D0">
      <w:pPr>
        <w:pStyle w:val="24"/>
      </w:pPr>
    </w:p>
    <w:p w14:paraId="361F2E0B">
      <w:pPr>
        <w:pStyle w:val="24"/>
      </w:pPr>
    </w:p>
    <w:p w14:paraId="5FE6CC25">
      <w:pPr>
        <w:pStyle w:val="24"/>
        <w:spacing w:before="8"/>
      </w:pPr>
    </w:p>
    <w:p w14:paraId="3D17B67D">
      <w:pPr>
        <w:pStyle w:val="24"/>
        <w:tabs>
          <w:tab w:val="left" w:pos="599"/>
          <w:tab w:val="left" w:pos="1199"/>
          <w:tab w:val="left" w:pos="5759"/>
          <w:tab w:val="left" w:pos="6359"/>
          <w:tab w:val="left" w:pos="6959"/>
        </w:tabs>
        <w:ind w:right="68"/>
        <w:jc w:val="center"/>
        <w:sectPr>
          <w:pgSz w:w="11910" w:h="16840"/>
          <w:pgMar w:top="1480" w:right="480" w:bottom="1020" w:left="1120" w:header="0" w:footer="836" w:gutter="0"/>
          <w:pgNumType w:fmt="decimal"/>
          <w:cols w:space="720" w:num="1"/>
        </w:sectPr>
      </w:pPr>
      <w:r>
        <w:t>年</w:t>
      </w:r>
      <w:r>
        <w:tab/>
      </w:r>
      <w:r>
        <w:t>月</w:t>
      </w:r>
      <w:r>
        <w:tab/>
      </w:r>
      <w:r>
        <w:t>日</w:t>
      </w:r>
      <w:r>
        <w:tab/>
      </w:r>
      <w:r>
        <w:t>年</w:t>
      </w:r>
      <w:r>
        <w:tab/>
      </w:r>
      <w:r>
        <w:t>月</w:t>
      </w:r>
      <w:r>
        <w:tab/>
      </w:r>
      <w:r>
        <w:t>日</w:t>
      </w:r>
    </w:p>
    <w:bookmarkEnd w:id="9"/>
    <w:bookmarkEnd w:id="10"/>
    <w:bookmarkEnd w:id="11"/>
    <w:bookmarkEnd w:id="12"/>
    <w:p w14:paraId="0AA74FC0">
      <w:pPr>
        <w:spacing w:beforeLines="50" w:afterLines="50"/>
        <w:jc w:val="center"/>
        <w:rPr>
          <w:rFonts w:ascii="宋体" w:hAnsi="宋体"/>
          <w:b/>
          <w:bCs/>
          <w:kern w:val="44"/>
          <w:sz w:val="36"/>
          <w:szCs w:val="36"/>
        </w:rPr>
      </w:pPr>
      <w:r>
        <w:rPr>
          <w:rFonts w:hint="eastAsia" w:ascii="宋体" w:hAnsi="宋体"/>
          <w:b/>
          <w:bCs/>
          <w:kern w:val="44"/>
          <w:sz w:val="36"/>
          <w:szCs w:val="36"/>
        </w:rPr>
        <w:t>第六章   采购响应文件格式</w:t>
      </w:r>
    </w:p>
    <w:p w14:paraId="3844FF16">
      <w:pPr>
        <w:spacing w:beforeLines="50" w:afterLines="50"/>
        <w:jc w:val="center"/>
        <w:rPr>
          <w:rFonts w:ascii="宋体" w:hAnsi="宋体"/>
          <w:szCs w:val="21"/>
        </w:rPr>
      </w:pPr>
      <w:r>
        <w:rPr>
          <w:rFonts w:hint="eastAsia" w:ascii="宋体" w:hAnsi="宋体"/>
          <w:b/>
          <w:bCs/>
          <w:kern w:val="44"/>
          <w:szCs w:val="21"/>
        </w:rPr>
        <w:t>本章节内容提供部分采购响应文件格式，采购文件中要求，但未提供格式的，须由磋商响应方自行制作。</w:t>
      </w:r>
    </w:p>
    <w:p w14:paraId="7D31DA82">
      <w:pPr>
        <w:spacing w:line="360" w:lineRule="auto"/>
        <w:outlineLvl w:val="1"/>
        <w:rPr>
          <w:rFonts w:ascii="宋体" w:hAnsi="宋体"/>
          <w:b/>
          <w:kern w:val="0"/>
          <w:sz w:val="30"/>
          <w:szCs w:val="30"/>
        </w:rPr>
      </w:pPr>
      <w:r>
        <w:rPr>
          <w:rFonts w:hint="eastAsia" w:ascii="宋体" w:hAnsi="宋体"/>
          <w:b/>
          <w:kern w:val="0"/>
          <w:sz w:val="30"/>
          <w:szCs w:val="30"/>
        </w:rPr>
        <w:t>附件一：</w:t>
      </w:r>
    </w:p>
    <w:p w14:paraId="73EBFB53">
      <w:pPr>
        <w:spacing w:line="360" w:lineRule="auto"/>
        <w:jc w:val="center"/>
        <w:outlineLvl w:val="1"/>
        <w:rPr>
          <w:rFonts w:ascii="宋体" w:hAnsi="宋体"/>
          <w:b/>
          <w:kern w:val="0"/>
          <w:sz w:val="30"/>
          <w:szCs w:val="30"/>
        </w:rPr>
      </w:pPr>
      <w:r>
        <w:rPr>
          <w:rFonts w:hint="eastAsia" w:ascii="宋体" w:hAnsi="宋体"/>
          <w:b/>
          <w:kern w:val="0"/>
          <w:sz w:val="30"/>
          <w:szCs w:val="30"/>
        </w:rPr>
        <w:t>采购响应函</w:t>
      </w:r>
    </w:p>
    <w:p w14:paraId="47F5258E">
      <w:pPr>
        <w:spacing w:afterLines="50" w:line="360" w:lineRule="auto"/>
        <w:rPr>
          <w:rFonts w:ascii="宋体" w:hAnsi="宋体"/>
          <w:sz w:val="24"/>
          <w:szCs w:val="24"/>
          <w:lang w:val="zh-CN"/>
        </w:rPr>
      </w:pPr>
      <w:r>
        <w:rPr>
          <w:rFonts w:hint="eastAsia" w:ascii="宋体" w:hAnsi="宋体"/>
          <w:sz w:val="24"/>
          <w:szCs w:val="24"/>
          <w:lang w:val="zh-CN"/>
        </w:rPr>
        <w:t>致</w:t>
      </w:r>
      <w:r>
        <w:rPr>
          <w:rFonts w:hint="eastAsia" w:ascii="宋体" w:hAnsi="宋体"/>
          <w:sz w:val="24"/>
          <w:szCs w:val="24"/>
        </w:rPr>
        <w:t>XXX</w:t>
      </w:r>
      <w:r>
        <w:rPr>
          <w:rFonts w:hint="eastAsia" w:ascii="宋体" w:hAnsi="宋体"/>
          <w:sz w:val="24"/>
          <w:szCs w:val="24"/>
          <w:lang w:val="zh-CN"/>
        </w:rPr>
        <w:t>：</w:t>
      </w:r>
    </w:p>
    <w:p w14:paraId="12527FD7">
      <w:pPr>
        <w:spacing w:line="360" w:lineRule="auto"/>
        <w:ind w:firstLine="420" w:firstLineChars="200"/>
        <w:rPr>
          <w:rFonts w:ascii="宋体" w:hAnsi="宋体"/>
          <w:szCs w:val="21"/>
        </w:rPr>
      </w:pPr>
      <w:r>
        <w:rPr>
          <w:rFonts w:hint="eastAsia" w:ascii="宋体" w:hAnsi="宋体"/>
          <w:szCs w:val="21"/>
          <w:u w:val="single"/>
        </w:rPr>
        <w:t xml:space="preserve">  （磋商响应方全称）  </w:t>
      </w:r>
      <w:r>
        <w:rPr>
          <w:rFonts w:hint="eastAsia" w:ascii="宋体" w:hAnsi="宋体"/>
          <w:szCs w:val="21"/>
        </w:rPr>
        <w:t xml:space="preserve"> 授权 </w:t>
      </w:r>
      <w:r>
        <w:rPr>
          <w:rFonts w:hint="eastAsia" w:ascii="宋体" w:hAnsi="宋体"/>
          <w:szCs w:val="21"/>
          <w:u w:val="single"/>
        </w:rPr>
        <w:t xml:space="preserve">   （授权代表名称、职务、职称）    </w:t>
      </w:r>
      <w:r>
        <w:rPr>
          <w:rFonts w:hint="eastAsia" w:ascii="宋体" w:hAnsi="宋体"/>
          <w:szCs w:val="21"/>
        </w:rPr>
        <w:t xml:space="preserve"> 为本公司授权代表，参加贵方组织的</w:t>
      </w:r>
      <w:r>
        <w:rPr>
          <w:rFonts w:hint="eastAsia" w:ascii="宋体" w:hAnsi="宋体"/>
          <w:szCs w:val="21"/>
          <w:u w:val="single"/>
        </w:rPr>
        <w:t xml:space="preserve">  （采购项目名称）（括号内填项目编号）  </w:t>
      </w:r>
      <w:r>
        <w:rPr>
          <w:rFonts w:hint="eastAsia" w:ascii="宋体" w:hAnsi="宋体"/>
          <w:szCs w:val="21"/>
        </w:rPr>
        <w:t xml:space="preserve"> 采购的有关活动，进行磋商。为此</w:t>
      </w:r>
      <w:r>
        <w:rPr>
          <w:rFonts w:hint="eastAsia" w:ascii="宋体" w:hAnsi="宋体"/>
          <w:szCs w:val="21"/>
          <w:lang w:val="zh-CN"/>
        </w:rPr>
        <w:t>声明如下</w:t>
      </w:r>
      <w:r>
        <w:rPr>
          <w:rFonts w:hint="eastAsia" w:ascii="宋体" w:hAnsi="宋体"/>
          <w:szCs w:val="21"/>
        </w:rPr>
        <w:t xml:space="preserve">：  </w:t>
      </w:r>
    </w:p>
    <w:p w14:paraId="53EACEF8">
      <w:pPr>
        <w:spacing w:line="360" w:lineRule="auto"/>
        <w:ind w:firstLine="210" w:firstLineChars="100"/>
        <w:rPr>
          <w:rFonts w:ascii="宋体" w:hAnsi="宋体"/>
          <w:szCs w:val="21"/>
        </w:rPr>
      </w:pPr>
      <w:r>
        <w:rPr>
          <w:rFonts w:hint="eastAsia" w:ascii="宋体" w:hAnsi="宋体"/>
          <w:szCs w:val="21"/>
        </w:rPr>
        <w:t>1、 按照采购文件要求制作并提交采购响应文件。</w:t>
      </w:r>
    </w:p>
    <w:p w14:paraId="1BC68A3B">
      <w:pPr>
        <w:spacing w:line="360" w:lineRule="auto"/>
        <w:ind w:firstLine="210" w:firstLineChars="100"/>
        <w:rPr>
          <w:rFonts w:ascii="宋体" w:hAnsi="宋体"/>
          <w:szCs w:val="21"/>
        </w:rPr>
      </w:pPr>
      <w:r>
        <w:rPr>
          <w:rFonts w:hint="eastAsia" w:ascii="宋体" w:hAnsi="宋体"/>
          <w:szCs w:val="21"/>
        </w:rPr>
        <w:t>2、 项目负责人：；职务：；职称：；年龄：。</w:t>
      </w:r>
    </w:p>
    <w:p w14:paraId="6E4AC7AC">
      <w:pPr>
        <w:spacing w:line="360" w:lineRule="auto"/>
        <w:ind w:firstLine="210" w:firstLineChars="100"/>
        <w:rPr>
          <w:rFonts w:ascii="宋体" w:hAnsi="宋体"/>
          <w:szCs w:val="21"/>
        </w:rPr>
      </w:pPr>
      <w:r>
        <w:rPr>
          <w:rFonts w:hint="eastAsia" w:ascii="宋体" w:hAnsi="宋体"/>
          <w:szCs w:val="21"/>
        </w:rPr>
        <w:t>3、 保证遵守采购文件中的有关规定和收费标准。</w:t>
      </w:r>
    </w:p>
    <w:p w14:paraId="2397702A">
      <w:pPr>
        <w:spacing w:line="360" w:lineRule="auto"/>
        <w:ind w:firstLine="210" w:firstLineChars="100"/>
        <w:rPr>
          <w:rFonts w:ascii="宋体" w:hAnsi="宋体"/>
          <w:szCs w:val="21"/>
        </w:rPr>
      </w:pPr>
      <w:r>
        <w:rPr>
          <w:rFonts w:hint="eastAsia" w:ascii="宋体" w:hAnsi="宋体"/>
          <w:szCs w:val="21"/>
        </w:rPr>
        <w:t>4、 保证严格执行甲、乙双方所签的经济合同，并承担全部规定的责任义务。</w:t>
      </w:r>
    </w:p>
    <w:p w14:paraId="246AEAED">
      <w:pPr>
        <w:spacing w:line="360" w:lineRule="auto"/>
        <w:ind w:left="630" w:leftChars="100" w:hanging="420" w:hangingChars="200"/>
        <w:rPr>
          <w:rFonts w:ascii="宋体" w:hAnsi="宋体"/>
          <w:szCs w:val="21"/>
        </w:rPr>
      </w:pPr>
      <w:r>
        <w:rPr>
          <w:rFonts w:hint="eastAsia" w:ascii="宋体" w:hAnsi="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4897F408">
      <w:pPr>
        <w:spacing w:line="360" w:lineRule="auto"/>
        <w:ind w:left="630" w:leftChars="100" w:hanging="420" w:hangingChars="200"/>
        <w:rPr>
          <w:rFonts w:ascii="宋体" w:hAnsi="宋体"/>
          <w:szCs w:val="21"/>
        </w:rPr>
      </w:pPr>
      <w:r>
        <w:rPr>
          <w:rFonts w:hint="eastAsia" w:ascii="宋体" w:hAnsi="宋体"/>
          <w:szCs w:val="21"/>
        </w:rPr>
        <w:t>6、 我方在采购响应之前已经与贵方进行了充分的沟通，完全理解并接受采购文件的各项规定和要求，对采购文件的合理性、合法性不再有异议。</w:t>
      </w:r>
    </w:p>
    <w:p w14:paraId="6A2B7830">
      <w:pPr>
        <w:spacing w:line="360" w:lineRule="auto"/>
        <w:ind w:left="630" w:leftChars="100" w:hanging="420" w:hangingChars="200"/>
        <w:rPr>
          <w:rFonts w:ascii="宋体" w:hAnsi="宋体"/>
          <w:szCs w:val="21"/>
        </w:rPr>
      </w:pPr>
      <w:r>
        <w:rPr>
          <w:rFonts w:hint="eastAsia" w:ascii="宋体" w:hAnsi="宋体"/>
          <w:szCs w:val="21"/>
        </w:rPr>
        <w:t>7、 愿意向贵方提供任何与该项磋商有关的数据、情况和技术资料，完全理解贵方不一定接受最低价的磋商。</w:t>
      </w:r>
    </w:p>
    <w:p w14:paraId="6E3E3E9B">
      <w:pPr>
        <w:spacing w:line="360" w:lineRule="auto"/>
        <w:ind w:left="630" w:leftChars="100" w:hanging="420" w:hangingChars="200"/>
        <w:rPr>
          <w:rFonts w:ascii="宋体" w:hAnsi="宋体"/>
          <w:szCs w:val="21"/>
        </w:rPr>
      </w:pPr>
      <w:r>
        <w:rPr>
          <w:rFonts w:hint="eastAsia" w:ascii="宋体" w:hAnsi="宋体"/>
          <w:szCs w:val="21"/>
        </w:rPr>
        <w:t>8、 本采购响应文件对采购文件要求的偏离或保留均已在采购响应文件第页，第条中明示或在磋商偏离表中明示。</w:t>
      </w:r>
    </w:p>
    <w:p w14:paraId="07ACD5F1">
      <w:pPr>
        <w:spacing w:line="360" w:lineRule="auto"/>
        <w:ind w:left="630" w:leftChars="100" w:hanging="420" w:hangingChars="200"/>
        <w:rPr>
          <w:rFonts w:ascii="宋体" w:hAnsi="宋体"/>
          <w:szCs w:val="21"/>
        </w:rPr>
      </w:pPr>
      <w:r>
        <w:rPr>
          <w:rFonts w:hint="eastAsia" w:ascii="宋体" w:hAnsi="宋体"/>
          <w:szCs w:val="21"/>
        </w:rPr>
        <w:t>9、我单位承诺，本成交价为浙江地区最低价之一（最近三个月之内）。</w:t>
      </w:r>
    </w:p>
    <w:p w14:paraId="4273E8B8">
      <w:pPr>
        <w:spacing w:line="360" w:lineRule="auto"/>
        <w:ind w:firstLine="210" w:firstLineChars="100"/>
        <w:rPr>
          <w:rFonts w:ascii="宋体" w:hAnsi="宋体"/>
          <w:szCs w:val="21"/>
        </w:rPr>
      </w:pPr>
      <w:r>
        <w:rPr>
          <w:rFonts w:hint="eastAsia" w:ascii="宋体" w:hAnsi="宋体"/>
          <w:szCs w:val="21"/>
        </w:rPr>
        <w:t xml:space="preserve">10、本采购响应文件自磋商之日起 </w:t>
      </w:r>
      <w:r>
        <w:rPr>
          <w:rFonts w:hint="eastAsia" w:ascii="宋体" w:hAnsi="宋体"/>
          <w:szCs w:val="21"/>
          <w:u w:val="single"/>
        </w:rPr>
        <w:t xml:space="preserve"> 90</w:t>
      </w:r>
      <w:r>
        <w:rPr>
          <w:rFonts w:hint="eastAsia" w:ascii="宋体" w:hAnsi="宋体"/>
          <w:szCs w:val="21"/>
        </w:rPr>
        <w:t>日内有效。</w:t>
      </w:r>
    </w:p>
    <w:p w14:paraId="376C147C">
      <w:pPr>
        <w:spacing w:line="360" w:lineRule="auto"/>
        <w:ind w:firstLine="210" w:firstLineChars="100"/>
        <w:rPr>
          <w:rFonts w:ascii="宋体" w:hAnsi="宋体"/>
          <w:szCs w:val="21"/>
        </w:rPr>
      </w:pPr>
      <w:r>
        <w:rPr>
          <w:rFonts w:hint="eastAsia" w:ascii="宋体" w:hAnsi="宋体"/>
          <w:szCs w:val="21"/>
        </w:rPr>
        <w:t>11、与本磋商有关的一切往来通讯请寄：</w:t>
      </w:r>
    </w:p>
    <w:p w14:paraId="1ACEF5C3">
      <w:pPr>
        <w:spacing w:line="360" w:lineRule="auto"/>
        <w:ind w:firstLine="840" w:firstLineChars="400"/>
        <w:rPr>
          <w:rFonts w:ascii="宋体" w:hAnsi="宋体"/>
          <w:szCs w:val="21"/>
        </w:rPr>
      </w:pPr>
      <w:r>
        <w:rPr>
          <w:rFonts w:hint="eastAsia" w:ascii="宋体" w:hAnsi="宋体"/>
          <w:szCs w:val="21"/>
        </w:rPr>
        <w:t>地址：</w:t>
      </w:r>
    </w:p>
    <w:p w14:paraId="62A6D473">
      <w:pPr>
        <w:spacing w:line="360" w:lineRule="auto"/>
        <w:ind w:firstLine="840" w:firstLineChars="400"/>
        <w:rPr>
          <w:rFonts w:ascii="宋体" w:hAnsi="宋体"/>
          <w:szCs w:val="21"/>
          <w:u w:val="single"/>
        </w:rPr>
      </w:pPr>
      <w:r>
        <w:rPr>
          <w:rFonts w:hint="eastAsia" w:ascii="宋体" w:hAnsi="宋体"/>
          <w:szCs w:val="21"/>
        </w:rPr>
        <w:t>邮编：电话：传真：</w:t>
      </w:r>
    </w:p>
    <w:p w14:paraId="7D717361">
      <w:pPr>
        <w:spacing w:beforeLines="50" w:afterLines="50" w:line="360" w:lineRule="auto"/>
        <w:rPr>
          <w:rFonts w:ascii="宋体" w:hAnsi="宋体"/>
          <w:szCs w:val="21"/>
        </w:rPr>
      </w:pPr>
      <w:r>
        <w:rPr>
          <w:rFonts w:hint="eastAsia" w:ascii="宋体" w:hAnsi="宋体"/>
          <w:szCs w:val="21"/>
        </w:rPr>
        <w:t>磋商响应方全称（加盖</w:t>
      </w:r>
      <w:r>
        <w:rPr>
          <w:rFonts w:ascii="宋体" w:hAnsi="宋体"/>
          <w:szCs w:val="21"/>
        </w:rPr>
        <w:t>公章</w:t>
      </w:r>
      <w:r>
        <w:rPr>
          <w:rFonts w:hint="eastAsia" w:ascii="宋体" w:hAnsi="宋体"/>
          <w:szCs w:val="21"/>
        </w:rPr>
        <w:t>）：</w:t>
      </w:r>
    </w:p>
    <w:p w14:paraId="520D9E89">
      <w:pPr>
        <w:spacing w:beforeLines="50" w:afterLines="50" w:line="360" w:lineRule="auto"/>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（签字或盖章）：</w:t>
      </w:r>
    </w:p>
    <w:p w14:paraId="0FCDA240">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084FBCCA">
      <w:pPr>
        <w:spacing w:line="360" w:lineRule="auto"/>
        <w:outlineLvl w:val="1"/>
        <w:rPr>
          <w:rFonts w:ascii="宋体" w:hAnsi="宋体"/>
          <w:b/>
          <w:kern w:val="0"/>
          <w:sz w:val="30"/>
          <w:szCs w:val="30"/>
        </w:rPr>
      </w:pPr>
      <w:r>
        <w:rPr>
          <w:rFonts w:ascii="宋体" w:hAnsi="宋体"/>
          <w:szCs w:val="21"/>
        </w:rPr>
        <w:br w:type="page"/>
      </w:r>
      <w:r>
        <w:rPr>
          <w:rFonts w:hint="eastAsia" w:ascii="宋体" w:hAnsi="宋体"/>
          <w:b/>
          <w:kern w:val="0"/>
          <w:sz w:val="30"/>
          <w:szCs w:val="30"/>
        </w:rPr>
        <w:t>附件二</w:t>
      </w:r>
      <w:r>
        <w:rPr>
          <w:rFonts w:ascii="宋体" w:hAnsi="宋体"/>
          <w:b/>
          <w:kern w:val="0"/>
          <w:sz w:val="30"/>
          <w:szCs w:val="30"/>
        </w:rPr>
        <w:t>：</w:t>
      </w:r>
    </w:p>
    <w:p w14:paraId="4DD4B5C9">
      <w:pPr>
        <w:spacing w:line="360" w:lineRule="auto"/>
        <w:jc w:val="center"/>
        <w:outlineLvl w:val="1"/>
        <w:rPr>
          <w:rFonts w:ascii="宋体" w:hAnsi="宋体"/>
          <w:b/>
          <w:bCs/>
          <w:sz w:val="24"/>
          <w:szCs w:val="20"/>
        </w:rPr>
      </w:pPr>
      <w:r>
        <w:rPr>
          <w:rFonts w:hint="eastAsia" w:ascii="宋体" w:hAnsi="宋体"/>
          <w:b/>
          <w:kern w:val="0"/>
          <w:sz w:val="30"/>
          <w:szCs w:val="30"/>
        </w:rPr>
        <w:t xml:space="preserve">磋商报价一览表 </w:t>
      </w:r>
    </w:p>
    <w:p w14:paraId="2319DE5B">
      <w:pPr>
        <w:spacing w:line="360" w:lineRule="auto"/>
        <w:rPr>
          <w:rFonts w:ascii="Times New Roman" w:hAnsi="Times New Roman"/>
          <w:szCs w:val="21"/>
        </w:rPr>
      </w:pPr>
      <w:r>
        <w:rPr>
          <w:rFonts w:hint="eastAsia" w:ascii="Times New Roman" w:hAnsi="Times New Roman"/>
          <w:szCs w:val="21"/>
        </w:rPr>
        <w:t xml:space="preserve">项目名称：    </w:t>
      </w:r>
      <w:r>
        <w:rPr>
          <w:rFonts w:hint="eastAsia" w:ascii="Times New Roman" w:hAnsi="Times New Roman"/>
          <w:szCs w:val="21"/>
          <w:lang w:val="en-US" w:eastAsia="zh-CN"/>
        </w:rPr>
        <w:t xml:space="preserve">                           项目</w:t>
      </w:r>
      <w:r>
        <w:rPr>
          <w:rFonts w:hint="eastAsia" w:ascii="Times New Roman" w:hAnsi="Times New Roman"/>
          <w:szCs w:val="21"/>
        </w:rPr>
        <w:t xml:space="preserve">编号：          </w:t>
      </w:r>
      <w:r>
        <w:rPr>
          <w:rFonts w:hint="eastAsia" w:ascii="Times New Roman" w:hAnsi="Times New Roman"/>
          <w:szCs w:val="21"/>
          <w:lang w:val="en-US" w:eastAsia="zh-CN"/>
        </w:rPr>
        <w:t xml:space="preserve">               </w:t>
      </w:r>
    </w:p>
    <w:tbl>
      <w:tblPr>
        <w:tblStyle w:val="62"/>
        <w:tblW w:w="9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3426"/>
        <w:gridCol w:w="2760"/>
        <w:gridCol w:w="1845"/>
        <w:gridCol w:w="1050"/>
      </w:tblGrid>
      <w:tr w14:paraId="4E15E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915" w:type="dxa"/>
            <w:vAlign w:val="center"/>
          </w:tcPr>
          <w:p w14:paraId="7785A3E9">
            <w:pPr>
              <w:spacing w:line="360" w:lineRule="auto"/>
              <w:ind w:right="-21" w:rightChars="-10"/>
              <w:jc w:val="center"/>
              <w:rPr>
                <w:rFonts w:ascii="宋体" w:hAnsi="宋体"/>
                <w:sz w:val="24"/>
                <w:szCs w:val="20"/>
              </w:rPr>
            </w:pPr>
            <w:r>
              <w:rPr>
                <w:rFonts w:hint="eastAsia" w:ascii="宋体" w:hAnsi="宋体"/>
                <w:sz w:val="24"/>
                <w:szCs w:val="20"/>
              </w:rPr>
              <w:t>序号</w:t>
            </w:r>
          </w:p>
        </w:tc>
        <w:tc>
          <w:tcPr>
            <w:tcW w:w="3426" w:type="dxa"/>
            <w:vAlign w:val="center"/>
          </w:tcPr>
          <w:p w14:paraId="6FFF407E">
            <w:pPr>
              <w:spacing w:line="360" w:lineRule="auto"/>
              <w:ind w:right="-21" w:rightChars="-10"/>
              <w:jc w:val="center"/>
              <w:rPr>
                <w:rFonts w:ascii="宋体" w:hAnsi="宋体"/>
                <w:sz w:val="24"/>
                <w:szCs w:val="20"/>
              </w:rPr>
            </w:pPr>
            <w:r>
              <w:rPr>
                <w:rFonts w:hint="eastAsia" w:ascii="宋体" w:hAnsi="宋体"/>
                <w:sz w:val="24"/>
                <w:szCs w:val="20"/>
              </w:rPr>
              <w:t>磋商项目</w:t>
            </w:r>
          </w:p>
        </w:tc>
        <w:tc>
          <w:tcPr>
            <w:tcW w:w="2760" w:type="dxa"/>
            <w:vAlign w:val="center"/>
          </w:tcPr>
          <w:p w14:paraId="3B2EE40E">
            <w:pPr>
              <w:spacing w:line="360" w:lineRule="auto"/>
              <w:ind w:right="-21" w:rightChars="-10"/>
              <w:jc w:val="center"/>
              <w:rPr>
                <w:rFonts w:hint="default" w:ascii="宋体" w:hAnsi="宋体" w:eastAsia="宋体"/>
                <w:sz w:val="24"/>
                <w:szCs w:val="20"/>
                <w:lang w:val="en-US" w:eastAsia="zh-CN"/>
              </w:rPr>
            </w:pPr>
            <w:r>
              <w:rPr>
                <w:rFonts w:hint="eastAsia" w:ascii="宋体" w:hAnsi="宋体"/>
                <w:sz w:val="24"/>
                <w:szCs w:val="20"/>
                <w:lang w:val="en-US" w:eastAsia="zh-CN"/>
              </w:rPr>
              <w:t>磋商报价（人民币）</w:t>
            </w:r>
          </w:p>
        </w:tc>
        <w:tc>
          <w:tcPr>
            <w:tcW w:w="1845" w:type="dxa"/>
            <w:vAlign w:val="center"/>
          </w:tcPr>
          <w:p w14:paraId="4C73B3FC">
            <w:pPr>
              <w:spacing w:line="360" w:lineRule="auto"/>
              <w:ind w:right="-21" w:rightChars="-10"/>
              <w:jc w:val="center"/>
              <w:rPr>
                <w:rFonts w:ascii="宋体" w:hAnsi="宋体"/>
                <w:sz w:val="24"/>
                <w:szCs w:val="20"/>
              </w:rPr>
            </w:pPr>
            <w:r>
              <w:rPr>
                <w:rFonts w:hint="eastAsia" w:ascii="宋体" w:hAnsi="宋体"/>
                <w:sz w:val="24"/>
                <w:szCs w:val="20"/>
              </w:rPr>
              <w:t>项目负责人</w:t>
            </w:r>
          </w:p>
        </w:tc>
        <w:tc>
          <w:tcPr>
            <w:tcW w:w="1050" w:type="dxa"/>
            <w:vAlign w:val="center"/>
          </w:tcPr>
          <w:p w14:paraId="1135F994">
            <w:pPr>
              <w:spacing w:line="360" w:lineRule="auto"/>
              <w:ind w:right="-21" w:rightChars="-10"/>
              <w:jc w:val="center"/>
              <w:rPr>
                <w:rFonts w:hint="eastAsia" w:ascii="宋体" w:hAnsi="宋体" w:eastAsia="宋体"/>
                <w:sz w:val="24"/>
                <w:szCs w:val="20"/>
                <w:lang w:val="en-US" w:eastAsia="zh-CN"/>
              </w:rPr>
            </w:pPr>
            <w:r>
              <w:rPr>
                <w:rFonts w:hint="eastAsia" w:ascii="宋体" w:hAnsi="宋体"/>
                <w:sz w:val="24"/>
                <w:szCs w:val="20"/>
                <w:lang w:val="en-US" w:eastAsia="zh-CN"/>
              </w:rPr>
              <w:t>备注</w:t>
            </w:r>
          </w:p>
        </w:tc>
      </w:tr>
      <w:tr w14:paraId="0F93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1" w:hRule="atLeast"/>
          <w:jc w:val="center"/>
        </w:trPr>
        <w:tc>
          <w:tcPr>
            <w:tcW w:w="915" w:type="dxa"/>
            <w:vAlign w:val="center"/>
          </w:tcPr>
          <w:p w14:paraId="2D5F364F">
            <w:pPr>
              <w:spacing w:line="360" w:lineRule="auto"/>
              <w:ind w:right="-21" w:rightChars="-10"/>
              <w:jc w:val="center"/>
              <w:rPr>
                <w:rFonts w:ascii="宋体" w:hAnsi="宋体"/>
                <w:sz w:val="28"/>
                <w:szCs w:val="20"/>
              </w:rPr>
            </w:pPr>
            <w:r>
              <w:rPr>
                <w:rFonts w:hint="eastAsia" w:ascii="宋体" w:hAnsi="宋体"/>
                <w:sz w:val="28"/>
                <w:szCs w:val="20"/>
              </w:rPr>
              <w:t>1</w:t>
            </w:r>
          </w:p>
        </w:tc>
        <w:tc>
          <w:tcPr>
            <w:tcW w:w="3426" w:type="dxa"/>
            <w:vAlign w:val="center"/>
          </w:tcPr>
          <w:p w14:paraId="693EC367">
            <w:pPr>
              <w:spacing w:line="360" w:lineRule="auto"/>
              <w:ind w:right="-21" w:rightChars="-10"/>
              <w:jc w:val="center"/>
              <w:rPr>
                <w:rFonts w:ascii="宋体" w:hAnsi="宋体"/>
                <w:sz w:val="24"/>
                <w:szCs w:val="20"/>
              </w:rPr>
            </w:pPr>
          </w:p>
        </w:tc>
        <w:tc>
          <w:tcPr>
            <w:tcW w:w="2760" w:type="dxa"/>
            <w:vAlign w:val="center"/>
          </w:tcPr>
          <w:p w14:paraId="3E0180A2">
            <w:pPr>
              <w:spacing w:line="360" w:lineRule="auto"/>
              <w:ind w:right="-21" w:rightChars="-10"/>
              <w:jc w:val="center"/>
              <w:rPr>
                <w:rFonts w:ascii="宋体" w:hAnsi="宋体"/>
                <w:sz w:val="24"/>
                <w:szCs w:val="20"/>
              </w:rPr>
            </w:pPr>
            <w:r>
              <w:rPr>
                <w:rFonts w:hint="eastAsia" w:ascii="宋体" w:hAnsi="宋体"/>
                <w:sz w:val="24"/>
                <w:szCs w:val="20"/>
                <w:lang w:val="en-US" w:eastAsia="zh-CN"/>
              </w:rPr>
              <w:t>四川线</w:t>
            </w:r>
            <w:r>
              <w:rPr>
                <w:rFonts w:hint="eastAsia" w:ascii="宋体" w:hAnsi="宋体"/>
                <w:sz w:val="24"/>
                <w:szCs w:val="20"/>
                <w:u w:val="single"/>
                <w:lang w:val="en-US" w:eastAsia="zh-CN"/>
              </w:rPr>
              <w:t xml:space="preserve">    </w:t>
            </w:r>
            <w:r>
              <w:rPr>
                <w:rFonts w:hint="eastAsia" w:ascii="宋体" w:hAnsi="宋体"/>
                <w:sz w:val="24"/>
                <w:szCs w:val="20"/>
                <w:lang w:val="en-US" w:eastAsia="zh-CN"/>
              </w:rPr>
              <w:t>元/人</w:t>
            </w:r>
          </w:p>
        </w:tc>
        <w:tc>
          <w:tcPr>
            <w:tcW w:w="1845" w:type="dxa"/>
          </w:tcPr>
          <w:p w14:paraId="7DD7BE07">
            <w:pPr>
              <w:spacing w:line="360" w:lineRule="auto"/>
              <w:ind w:right="-21" w:rightChars="-10"/>
              <w:jc w:val="center"/>
              <w:rPr>
                <w:rFonts w:ascii="宋体" w:hAnsi="宋体"/>
                <w:sz w:val="28"/>
                <w:szCs w:val="20"/>
              </w:rPr>
            </w:pPr>
          </w:p>
        </w:tc>
        <w:tc>
          <w:tcPr>
            <w:tcW w:w="1050" w:type="dxa"/>
          </w:tcPr>
          <w:p w14:paraId="36F47B4F">
            <w:pPr>
              <w:spacing w:line="360" w:lineRule="auto"/>
              <w:ind w:right="-21" w:rightChars="-10"/>
              <w:jc w:val="center"/>
              <w:rPr>
                <w:rFonts w:ascii="宋体" w:hAnsi="宋体"/>
                <w:sz w:val="28"/>
                <w:szCs w:val="20"/>
              </w:rPr>
            </w:pPr>
          </w:p>
        </w:tc>
      </w:tr>
    </w:tbl>
    <w:p w14:paraId="1BE9B1E3">
      <w:pPr>
        <w:shd w:val="clear" w:color="auto" w:fill="FFFFFF"/>
        <w:snapToGrid w:val="0"/>
        <w:spacing w:before="50" w:after="50" w:line="500" w:lineRule="exact"/>
        <w:jc w:val="left"/>
        <w:rPr>
          <w:rFonts w:ascii="宋体" w:hAnsi="宋体" w:cs="宋体"/>
          <w:b/>
          <w:szCs w:val="21"/>
        </w:rPr>
      </w:pPr>
      <w:r>
        <w:rPr>
          <w:rFonts w:hint="eastAsia" w:ascii="宋体" w:hAnsi="宋体" w:cs="宋体"/>
          <w:b/>
          <w:szCs w:val="21"/>
        </w:rPr>
        <w:t>注：报价表上的价格应包括负责本次项目所包含的一切费用。应为履行合同的最终价格，其市场风险由磋商响应方承担。</w:t>
      </w:r>
    </w:p>
    <w:p w14:paraId="0B082AFF">
      <w:pPr>
        <w:spacing w:beforeLines="50" w:afterLines="50" w:line="360" w:lineRule="auto"/>
        <w:rPr>
          <w:rFonts w:ascii="宋体" w:hAnsi="宋体"/>
          <w:sz w:val="24"/>
          <w:szCs w:val="24"/>
        </w:rPr>
      </w:pPr>
    </w:p>
    <w:p w14:paraId="517055FA">
      <w:pPr>
        <w:spacing w:beforeLines="50" w:afterLines="50" w:line="360" w:lineRule="auto"/>
        <w:rPr>
          <w:rFonts w:ascii="宋体" w:hAnsi="宋体"/>
          <w:szCs w:val="21"/>
        </w:rPr>
      </w:pPr>
      <w:r>
        <w:rPr>
          <w:rFonts w:hint="eastAsia" w:ascii="宋体" w:hAnsi="宋体"/>
          <w:szCs w:val="21"/>
        </w:rPr>
        <w:t>磋商响应方全称：</w:t>
      </w:r>
    </w:p>
    <w:p w14:paraId="7C81DE83">
      <w:pPr>
        <w:widowControl/>
        <w:overflowPunct w:val="0"/>
        <w:autoSpaceDE w:val="0"/>
        <w:autoSpaceDN w:val="0"/>
        <w:adjustRightInd w:val="0"/>
        <w:spacing w:line="360" w:lineRule="auto"/>
        <w:jc w:val="left"/>
        <w:textAlignment w:val="baseline"/>
        <w:rPr>
          <w:rFonts w:ascii="宋体" w:hAnsi="宋体"/>
          <w:kern w:val="0"/>
          <w:szCs w:val="20"/>
        </w:rPr>
      </w:pPr>
      <w:r>
        <w:rPr>
          <w:rFonts w:hint="eastAsia" w:ascii="宋体" w:hAnsi="宋体"/>
          <w:kern w:val="0"/>
          <w:szCs w:val="21"/>
        </w:rPr>
        <w:t xml:space="preserve">日期：     </w:t>
      </w:r>
    </w:p>
    <w:p w14:paraId="00ABEA3A">
      <w:pPr>
        <w:spacing w:line="360" w:lineRule="auto"/>
        <w:jc w:val="center"/>
        <w:outlineLvl w:val="1"/>
        <w:rPr>
          <w:rFonts w:ascii="宋体" w:hAnsi="宋体"/>
          <w:b/>
          <w:kern w:val="0"/>
          <w:sz w:val="30"/>
          <w:szCs w:val="30"/>
        </w:rPr>
      </w:pPr>
    </w:p>
    <w:p w14:paraId="15621F9C">
      <w:pPr>
        <w:spacing w:line="360" w:lineRule="auto"/>
        <w:jc w:val="center"/>
        <w:outlineLvl w:val="1"/>
        <w:rPr>
          <w:rFonts w:ascii="宋体" w:hAnsi="宋体"/>
          <w:b/>
          <w:kern w:val="0"/>
          <w:sz w:val="30"/>
          <w:szCs w:val="30"/>
        </w:rPr>
      </w:pPr>
    </w:p>
    <w:p w14:paraId="095A43FA">
      <w:pPr>
        <w:widowControl/>
        <w:overflowPunct w:val="0"/>
        <w:autoSpaceDE w:val="0"/>
        <w:autoSpaceDN w:val="0"/>
        <w:adjustRightInd w:val="0"/>
        <w:spacing w:line="360" w:lineRule="auto"/>
        <w:jc w:val="left"/>
        <w:textAlignment w:val="baseline"/>
        <w:rPr>
          <w:rFonts w:ascii="宋体" w:hAnsi="宋体"/>
          <w:kern w:val="0"/>
          <w:szCs w:val="21"/>
        </w:rPr>
      </w:pPr>
    </w:p>
    <w:p w14:paraId="76DB1CE4">
      <w:pPr>
        <w:spacing w:line="360" w:lineRule="auto"/>
        <w:outlineLvl w:val="1"/>
        <w:rPr>
          <w:rFonts w:ascii="宋体" w:hAnsi="宋体"/>
          <w:b/>
          <w:kern w:val="0"/>
          <w:sz w:val="30"/>
          <w:szCs w:val="30"/>
        </w:rPr>
        <w:sectPr>
          <w:footerReference r:id="rId14" w:type="first"/>
          <w:footerReference r:id="rId13" w:type="default"/>
          <w:pgSz w:w="11906" w:h="16838"/>
          <w:pgMar w:top="1440" w:right="1077" w:bottom="1440" w:left="1077" w:header="851" w:footer="992" w:gutter="0"/>
          <w:pgNumType w:fmt="decimal"/>
          <w:cols w:space="720" w:num="1"/>
          <w:titlePg/>
          <w:docGrid w:linePitch="312" w:charSpace="0"/>
        </w:sectPr>
      </w:pPr>
    </w:p>
    <w:p w14:paraId="6E5428D1">
      <w:pPr>
        <w:snapToGrid w:val="0"/>
        <w:jc w:val="left"/>
        <w:rPr>
          <w:rFonts w:ascii="宋体" w:hAnsi="宋体"/>
          <w:b/>
          <w:kern w:val="0"/>
          <w:sz w:val="30"/>
          <w:szCs w:val="30"/>
        </w:rPr>
      </w:pPr>
      <w:r>
        <w:rPr>
          <w:rFonts w:hint="eastAsia" w:ascii="宋体" w:hAnsi="宋体"/>
          <w:b/>
          <w:kern w:val="0"/>
          <w:sz w:val="30"/>
          <w:szCs w:val="30"/>
        </w:rPr>
        <w:t>附件三</w:t>
      </w:r>
      <w:r>
        <w:rPr>
          <w:rFonts w:ascii="宋体" w:hAnsi="宋体"/>
          <w:b/>
          <w:kern w:val="0"/>
          <w:sz w:val="30"/>
          <w:szCs w:val="30"/>
        </w:rPr>
        <w:t>：</w:t>
      </w:r>
    </w:p>
    <w:p w14:paraId="1570B5F1">
      <w:pPr>
        <w:snapToGrid w:val="0"/>
        <w:jc w:val="center"/>
        <w:rPr>
          <w:rFonts w:ascii="宋体" w:hAnsi="Courier New"/>
          <w:b/>
          <w:bCs/>
          <w:sz w:val="30"/>
        </w:rPr>
      </w:pPr>
      <w:r>
        <w:rPr>
          <w:rFonts w:hint="eastAsia" w:ascii="宋体" w:hAnsi="Courier New"/>
          <w:b/>
          <w:bCs/>
          <w:sz w:val="30"/>
        </w:rPr>
        <w:t>磋商报价明细表</w:t>
      </w:r>
    </w:p>
    <w:p w14:paraId="03AD9046">
      <w:pPr>
        <w:spacing w:line="400" w:lineRule="exact"/>
        <w:ind w:firstLine="480" w:firstLineChars="200"/>
        <w:rPr>
          <w:rFonts w:hint="eastAsia" w:ascii="微软雅黑" w:hAnsi="微软雅黑" w:eastAsia="微软雅黑" w:cs="微软雅黑"/>
          <w:b/>
          <w:sz w:val="24"/>
          <w:shd w:val="clear" w:color="auto" w:fill="FFFFFF"/>
          <w:lang w:eastAsia="zh-CN"/>
        </w:rPr>
      </w:pPr>
      <w:r>
        <w:rPr>
          <w:rFonts w:hint="eastAsia" w:ascii="微软雅黑" w:hAnsi="微软雅黑" w:eastAsia="微软雅黑" w:cs="微软雅黑"/>
          <w:sz w:val="24"/>
          <w:shd w:val="clear" w:color="auto" w:fill="FFFFFF"/>
        </w:rPr>
        <w:t>项目名称：                                项目编号</w:t>
      </w:r>
      <w:r>
        <w:rPr>
          <w:rFonts w:hint="eastAsia" w:ascii="微软雅黑" w:hAnsi="微软雅黑" w:eastAsia="微软雅黑" w:cs="微软雅黑"/>
          <w:sz w:val="24"/>
          <w:shd w:val="clear" w:color="auto" w:fill="FFFFFF"/>
          <w:lang w:eastAsia="zh-CN"/>
        </w:rPr>
        <w:t>：</w:t>
      </w:r>
    </w:p>
    <w:tbl>
      <w:tblPr>
        <w:tblStyle w:val="62"/>
        <w:tblW w:w="92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4"/>
        <w:gridCol w:w="1953"/>
        <w:gridCol w:w="1064"/>
        <w:gridCol w:w="1440"/>
        <w:gridCol w:w="1491"/>
        <w:gridCol w:w="1394"/>
        <w:gridCol w:w="881"/>
      </w:tblGrid>
      <w:tr w14:paraId="45756E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1034" w:type="dxa"/>
            <w:vAlign w:val="center"/>
          </w:tcPr>
          <w:p w14:paraId="37B81831">
            <w:pPr>
              <w:ind w:right="-11"/>
              <w:jc w:val="center"/>
              <w:rPr>
                <w:rFonts w:ascii="宋体" w:hAnsi="宋体" w:cs="宋体"/>
                <w:b/>
                <w:bCs/>
                <w:szCs w:val="21"/>
              </w:rPr>
            </w:pPr>
            <w:r>
              <w:rPr>
                <w:rFonts w:hint="eastAsia" w:ascii="宋体" w:hAnsi="宋体" w:cs="宋体"/>
                <w:b/>
                <w:bCs/>
                <w:szCs w:val="21"/>
              </w:rPr>
              <w:t>序号</w:t>
            </w:r>
          </w:p>
        </w:tc>
        <w:tc>
          <w:tcPr>
            <w:tcW w:w="1953" w:type="dxa"/>
            <w:vAlign w:val="center"/>
          </w:tcPr>
          <w:p w14:paraId="310AA360">
            <w:pPr>
              <w:ind w:right="-11"/>
              <w:jc w:val="center"/>
              <w:rPr>
                <w:rFonts w:ascii="宋体" w:hAnsi="宋体" w:cs="宋体"/>
                <w:b/>
                <w:bCs/>
                <w:szCs w:val="21"/>
              </w:rPr>
            </w:pPr>
            <w:r>
              <w:rPr>
                <w:rFonts w:hint="eastAsia" w:ascii="宋体" w:hAnsi="宋体" w:cs="宋体"/>
                <w:b/>
                <w:bCs/>
                <w:szCs w:val="21"/>
              </w:rPr>
              <w:t>项目服务内容</w:t>
            </w:r>
          </w:p>
        </w:tc>
        <w:tc>
          <w:tcPr>
            <w:tcW w:w="1064" w:type="dxa"/>
            <w:vAlign w:val="center"/>
          </w:tcPr>
          <w:p w14:paraId="128D32A9">
            <w:pPr>
              <w:ind w:right="-11"/>
              <w:jc w:val="center"/>
              <w:rPr>
                <w:rFonts w:ascii="宋体" w:hAnsi="宋体" w:cs="宋体"/>
                <w:b/>
                <w:bCs/>
                <w:szCs w:val="21"/>
              </w:rPr>
            </w:pPr>
            <w:r>
              <w:rPr>
                <w:rFonts w:hint="eastAsia" w:ascii="宋体" w:hAnsi="宋体" w:cs="宋体"/>
                <w:b/>
                <w:bCs/>
                <w:szCs w:val="21"/>
              </w:rPr>
              <w:t>数量</w:t>
            </w:r>
          </w:p>
          <w:p w14:paraId="1308C7CF">
            <w:pPr>
              <w:ind w:right="-11"/>
              <w:jc w:val="center"/>
              <w:rPr>
                <w:rFonts w:ascii="宋体" w:hAnsi="宋体" w:cs="宋体"/>
                <w:b/>
                <w:bCs/>
                <w:szCs w:val="21"/>
              </w:rPr>
            </w:pPr>
            <w:r>
              <w:rPr>
                <w:rFonts w:hint="eastAsia" w:ascii="宋体" w:hAnsi="宋体" w:cs="宋体"/>
                <w:b/>
                <w:bCs/>
                <w:szCs w:val="21"/>
              </w:rPr>
              <w:t>单位</w:t>
            </w:r>
          </w:p>
        </w:tc>
        <w:tc>
          <w:tcPr>
            <w:tcW w:w="1440" w:type="dxa"/>
            <w:vAlign w:val="center"/>
          </w:tcPr>
          <w:p w14:paraId="4EDBB15B">
            <w:pPr>
              <w:ind w:right="-11"/>
              <w:jc w:val="center"/>
              <w:rPr>
                <w:rFonts w:ascii="宋体" w:hAnsi="宋体" w:cs="宋体"/>
                <w:b/>
                <w:bCs/>
                <w:szCs w:val="21"/>
              </w:rPr>
            </w:pPr>
            <w:r>
              <w:rPr>
                <w:rFonts w:hint="eastAsia" w:ascii="宋体" w:hAnsi="宋体" w:cs="宋体"/>
                <w:b/>
                <w:bCs/>
                <w:szCs w:val="21"/>
              </w:rPr>
              <w:t>单价</w:t>
            </w:r>
          </w:p>
          <w:p w14:paraId="7E6AED09">
            <w:pPr>
              <w:ind w:right="-11"/>
              <w:jc w:val="center"/>
              <w:rPr>
                <w:rFonts w:ascii="宋体" w:hAnsi="宋体" w:cs="宋体"/>
                <w:b/>
                <w:bCs/>
                <w:szCs w:val="21"/>
              </w:rPr>
            </w:pPr>
            <w:r>
              <w:rPr>
                <w:rFonts w:hint="eastAsia" w:ascii="宋体" w:hAnsi="宋体" w:cs="宋体"/>
                <w:szCs w:val="21"/>
              </w:rPr>
              <w:t>（人民币元）</w:t>
            </w:r>
          </w:p>
        </w:tc>
        <w:tc>
          <w:tcPr>
            <w:tcW w:w="1491" w:type="dxa"/>
            <w:vAlign w:val="center"/>
          </w:tcPr>
          <w:p w14:paraId="531CD93F">
            <w:pPr>
              <w:ind w:right="-11"/>
              <w:jc w:val="center"/>
              <w:rPr>
                <w:rFonts w:ascii="宋体" w:hAnsi="宋体" w:cs="宋体"/>
                <w:b/>
                <w:bCs/>
                <w:szCs w:val="21"/>
              </w:rPr>
            </w:pPr>
            <w:r>
              <w:rPr>
                <w:rFonts w:hint="eastAsia" w:ascii="宋体" w:hAnsi="宋体" w:cs="宋体"/>
                <w:b/>
                <w:bCs/>
                <w:szCs w:val="21"/>
              </w:rPr>
              <w:t>总价</w:t>
            </w:r>
          </w:p>
          <w:p w14:paraId="4B1C2312">
            <w:pPr>
              <w:ind w:right="-11"/>
              <w:jc w:val="center"/>
              <w:rPr>
                <w:rFonts w:ascii="宋体" w:hAnsi="宋体" w:cs="宋体"/>
                <w:b/>
                <w:bCs/>
                <w:szCs w:val="21"/>
              </w:rPr>
            </w:pPr>
            <w:r>
              <w:rPr>
                <w:rFonts w:hint="eastAsia" w:ascii="宋体" w:hAnsi="宋体" w:cs="宋体"/>
                <w:szCs w:val="21"/>
              </w:rPr>
              <w:t>（人民币元）</w:t>
            </w:r>
          </w:p>
        </w:tc>
        <w:tc>
          <w:tcPr>
            <w:tcW w:w="1394" w:type="dxa"/>
            <w:vAlign w:val="center"/>
          </w:tcPr>
          <w:p w14:paraId="08CEC472">
            <w:pPr>
              <w:ind w:right="-11"/>
              <w:jc w:val="center"/>
              <w:rPr>
                <w:rFonts w:ascii="宋体" w:hAnsi="宋体" w:cs="宋体"/>
                <w:b/>
                <w:bCs/>
                <w:szCs w:val="21"/>
              </w:rPr>
            </w:pPr>
            <w:r>
              <w:rPr>
                <w:rFonts w:hint="eastAsia" w:ascii="宋体" w:hAnsi="宋体" w:cs="宋体"/>
                <w:b/>
                <w:bCs/>
                <w:szCs w:val="21"/>
              </w:rPr>
              <w:t>服务期限</w:t>
            </w:r>
          </w:p>
        </w:tc>
        <w:tc>
          <w:tcPr>
            <w:tcW w:w="881" w:type="dxa"/>
            <w:vAlign w:val="center"/>
          </w:tcPr>
          <w:p w14:paraId="1EE09636">
            <w:pPr>
              <w:ind w:right="-11"/>
              <w:jc w:val="center"/>
              <w:rPr>
                <w:rFonts w:ascii="宋体" w:hAnsi="宋体" w:cs="宋体"/>
                <w:b/>
                <w:bCs/>
                <w:szCs w:val="21"/>
              </w:rPr>
            </w:pPr>
            <w:r>
              <w:rPr>
                <w:rFonts w:hint="eastAsia" w:ascii="宋体" w:hAnsi="宋体" w:cs="宋体"/>
                <w:b/>
                <w:bCs/>
                <w:szCs w:val="21"/>
              </w:rPr>
              <w:t>备注</w:t>
            </w:r>
          </w:p>
        </w:tc>
      </w:tr>
      <w:tr w14:paraId="3BFFD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46B59D3E">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1</w:t>
            </w:r>
          </w:p>
        </w:tc>
        <w:tc>
          <w:tcPr>
            <w:tcW w:w="1953" w:type="dxa"/>
            <w:vAlign w:val="top"/>
          </w:tcPr>
          <w:p w14:paraId="2B904CAF">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门票</w:t>
            </w:r>
          </w:p>
        </w:tc>
        <w:tc>
          <w:tcPr>
            <w:tcW w:w="1064" w:type="dxa"/>
          </w:tcPr>
          <w:p w14:paraId="64D7A752">
            <w:pPr>
              <w:spacing w:beforeLines="50"/>
              <w:ind w:right="-11"/>
              <w:jc w:val="center"/>
              <w:rPr>
                <w:rFonts w:ascii="宋体" w:hAnsi="宋体" w:cs="宋体"/>
                <w:sz w:val="24"/>
              </w:rPr>
            </w:pPr>
          </w:p>
        </w:tc>
        <w:tc>
          <w:tcPr>
            <w:tcW w:w="1440" w:type="dxa"/>
          </w:tcPr>
          <w:p w14:paraId="52B1EC16">
            <w:pPr>
              <w:spacing w:beforeLines="50"/>
              <w:ind w:right="-11"/>
              <w:jc w:val="center"/>
              <w:rPr>
                <w:rFonts w:ascii="宋体" w:hAnsi="宋体" w:cs="宋体"/>
                <w:sz w:val="24"/>
              </w:rPr>
            </w:pPr>
          </w:p>
        </w:tc>
        <w:tc>
          <w:tcPr>
            <w:tcW w:w="1491" w:type="dxa"/>
          </w:tcPr>
          <w:p w14:paraId="26ADF309">
            <w:pPr>
              <w:spacing w:beforeLines="50"/>
              <w:ind w:right="-11"/>
              <w:jc w:val="center"/>
              <w:rPr>
                <w:rFonts w:ascii="宋体" w:hAnsi="宋体" w:cs="宋体"/>
                <w:sz w:val="24"/>
              </w:rPr>
            </w:pPr>
          </w:p>
        </w:tc>
        <w:tc>
          <w:tcPr>
            <w:tcW w:w="1394" w:type="dxa"/>
          </w:tcPr>
          <w:p w14:paraId="232FFD35">
            <w:pPr>
              <w:spacing w:beforeLines="50"/>
              <w:ind w:right="-11"/>
              <w:jc w:val="center"/>
              <w:rPr>
                <w:rFonts w:ascii="宋体" w:hAnsi="宋体" w:cs="宋体"/>
                <w:sz w:val="24"/>
              </w:rPr>
            </w:pPr>
          </w:p>
        </w:tc>
        <w:tc>
          <w:tcPr>
            <w:tcW w:w="881" w:type="dxa"/>
          </w:tcPr>
          <w:p w14:paraId="75D44C70">
            <w:pPr>
              <w:spacing w:beforeLines="50"/>
              <w:ind w:right="-11"/>
              <w:jc w:val="center"/>
              <w:rPr>
                <w:rFonts w:ascii="宋体" w:hAnsi="宋体" w:cs="宋体"/>
                <w:sz w:val="24"/>
              </w:rPr>
            </w:pPr>
          </w:p>
        </w:tc>
      </w:tr>
      <w:tr w14:paraId="5EAA5A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225F5AAA">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2</w:t>
            </w:r>
          </w:p>
        </w:tc>
        <w:tc>
          <w:tcPr>
            <w:tcW w:w="1953" w:type="dxa"/>
            <w:vAlign w:val="top"/>
          </w:tcPr>
          <w:p w14:paraId="64F06C9B">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住宿费</w:t>
            </w:r>
          </w:p>
        </w:tc>
        <w:tc>
          <w:tcPr>
            <w:tcW w:w="1064" w:type="dxa"/>
          </w:tcPr>
          <w:p w14:paraId="594A456E">
            <w:pPr>
              <w:spacing w:beforeLines="50"/>
              <w:ind w:right="-11"/>
              <w:jc w:val="center"/>
              <w:rPr>
                <w:rFonts w:ascii="宋体" w:hAnsi="宋体" w:cs="宋体"/>
                <w:sz w:val="24"/>
              </w:rPr>
            </w:pPr>
          </w:p>
        </w:tc>
        <w:tc>
          <w:tcPr>
            <w:tcW w:w="1440" w:type="dxa"/>
          </w:tcPr>
          <w:p w14:paraId="26994155">
            <w:pPr>
              <w:spacing w:beforeLines="50"/>
              <w:ind w:right="-11"/>
              <w:jc w:val="center"/>
              <w:rPr>
                <w:rFonts w:ascii="宋体" w:hAnsi="宋体" w:cs="宋体"/>
                <w:sz w:val="24"/>
              </w:rPr>
            </w:pPr>
          </w:p>
        </w:tc>
        <w:tc>
          <w:tcPr>
            <w:tcW w:w="1491" w:type="dxa"/>
          </w:tcPr>
          <w:p w14:paraId="2635A388">
            <w:pPr>
              <w:spacing w:beforeLines="50"/>
              <w:ind w:right="-11"/>
              <w:jc w:val="center"/>
              <w:rPr>
                <w:rFonts w:ascii="宋体" w:hAnsi="宋体" w:cs="宋体"/>
                <w:sz w:val="24"/>
              </w:rPr>
            </w:pPr>
          </w:p>
        </w:tc>
        <w:tc>
          <w:tcPr>
            <w:tcW w:w="1394" w:type="dxa"/>
          </w:tcPr>
          <w:p w14:paraId="25C6DCC1">
            <w:pPr>
              <w:spacing w:beforeLines="50"/>
              <w:ind w:right="-11"/>
              <w:jc w:val="center"/>
              <w:rPr>
                <w:rFonts w:ascii="宋体" w:hAnsi="宋体" w:cs="宋体"/>
                <w:sz w:val="24"/>
              </w:rPr>
            </w:pPr>
          </w:p>
        </w:tc>
        <w:tc>
          <w:tcPr>
            <w:tcW w:w="881" w:type="dxa"/>
          </w:tcPr>
          <w:p w14:paraId="1260C821">
            <w:pPr>
              <w:spacing w:beforeLines="50"/>
              <w:ind w:right="-11"/>
              <w:jc w:val="center"/>
              <w:rPr>
                <w:rFonts w:ascii="宋体" w:hAnsi="宋体" w:cs="宋体"/>
                <w:sz w:val="24"/>
              </w:rPr>
            </w:pPr>
          </w:p>
        </w:tc>
      </w:tr>
      <w:tr w14:paraId="21FF3E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7628F0DD">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3</w:t>
            </w:r>
          </w:p>
        </w:tc>
        <w:tc>
          <w:tcPr>
            <w:tcW w:w="1953" w:type="dxa"/>
            <w:vAlign w:val="top"/>
          </w:tcPr>
          <w:p w14:paraId="1602EE06">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车辆</w:t>
            </w:r>
          </w:p>
        </w:tc>
        <w:tc>
          <w:tcPr>
            <w:tcW w:w="1064" w:type="dxa"/>
          </w:tcPr>
          <w:p w14:paraId="1C00D66C">
            <w:pPr>
              <w:spacing w:beforeLines="50"/>
              <w:ind w:right="-11"/>
              <w:jc w:val="center"/>
              <w:rPr>
                <w:rFonts w:ascii="宋体" w:hAnsi="宋体" w:cs="宋体"/>
                <w:sz w:val="24"/>
              </w:rPr>
            </w:pPr>
          </w:p>
        </w:tc>
        <w:tc>
          <w:tcPr>
            <w:tcW w:w="1440" w:type="dxa"/>
          </w:tcPr>
          <w:p w14:paraId="056F73B4">
            <w:pPr>
              <w:spacing w:beforeLines="50"/>
              <w:ind w:right="-11"/>
              <w:jc w:val="center"/>
              <w:rPr>
                <w:rFonts w:ascii="宋体" w:hAnsi="宋体" w:cs="宋体"/>
                <w:sz w:val="24"/>
              </w:rPr>
            </w:pPr>
          </w:p>
        </w:tc>
        <w:tc>
          <w:tcPr>
            <w:tcW w:w="1491" w:type="dxa"/>
          </w:tcPr>
          <w:p w14:paraId="2BA8F45F">
            <w:pPr>
              <w:spacing w:beforeLines="50"/>
              <w:ind w:right="-11"/>
              <w:jc w:val="center"/>
              <w:rPr>
                <w:rFonts w:ascii="宋体" w:hAnsi="宋体" w:cs="宋体"/>
                <w:sz w:val="24"/>
              </w:rPr>
            </w:pPr>
          </w:p>
        </w:tc>
        <w:tc>
          <w:tcPr>
            <w:tcW w:w="1394" w:type="dxa"/>
          </w:tcPr>
          <w:p w14:paraId="6C405B15">
            <w:pPr>
              <w:spacing w:beforeLines="50"/>
              <w:ind w:right="-11"/>
              <w:jc w:val="center"/>
              <w:rPr>
                <w:rFonts w:ascii="宋体" w:hAnsi="宋体" w:cs="宋体"/>
                <w:sz w:val="24"/>
              </w:rPr>
            </w:pPr>
          </w:p>
        </w:tc>
        <w:tc>
          <w:tcPr>
            <w:tcW w:w="881" w:type="dxa"/>
          </w:tcPr>
          <w:p w14:paraId="55490B8B">
            <w:pPr>
              <w:spacing w:beforeLines="50"/>
              <w:ind w:right="-11"/>
              <w:jc w:val="center"/>
              <w:rPr>
                <w:rFonts w:ascii="宋体" w:hAnsi="宋体" w:cs="宋体"/>
                <w:sz w:val="24"/>
              </w:rPr>
            </w:pPr>
          </w:p>
        </w:tc>
      </w:tr>
      <w:tr w14:paraId="62B8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62F90906">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4</w:t>
            </w:r>
          </w:p>
        </w:tc>
        <w:tc>
          <w:tcPr>
            <w:tcW w:w="1953" w:type="dxa"/>
            <w:vAlign w:val="top"/>
          </w:tcPr>
          <w:p w14:paraId="40A83C72">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餐饮</w:t>
            </w:r>
          </w:p>
        </w:tc>
        <w:tc>
          <w:tcPr>
            <w:tcW w:w="1064" w:type="dxa"/>
          </w:tcPr>
          <w:p w14:paraId="1170B1C4">
            <w:pPr>
              <w:spacing w:beforeLines="50"/>
              <w:ind w:right="-11"/>
              <w:jc w:val="center"/>
              <w:rPr>
                <w:rFonts w:ascii="宋体" w:hAnsi="宋体" w:cs="宋体"/>
                <w:sz w:val="24"/>
              </w:rPr>
            </w:pPr>
          </w:p>
        </w:tc>
        <w:tc>
          <w:tcPr>
            <w:tcW w:w="1440" w:type="dxa"/>
          </w:tcPr>
          <w:p w14:paraId="6C589929">
            <w:pPr>
              <w:spacing w:beforeLines="50"/>
              <w:ind w:right="-11"/>
              <w:jc w:val="center"/>
              <w:rPr>
                <w:rFonts w:ascii="宋体" w:hAnsi="宋体" w:cs="宋体"/>
                <w:sz w:val="24"/>
              </w:rPr>
            </w:pPr>
          </w:p>
        </w:tc>
        <w:tc>
          <w:tcPr>
            <w:tcW w:w="1491" w:type="dxa"/>
          </w:tcPr>
          <w:p w14:paraId="365D5262">
            <w:pPr>
              <w:spacing w:beforeLines="50"/>
              <w:ind w:right="-11"/>
              <w:jc w:val="center"/>
              <w:rPr>
                <w:rFonts w:ascii="宋体" w:hAnsi="宋体" w:cs="宋体"/>
                <w:sz w:val="24"/>
              </w:rPr>
            </w:pPr>
          </w:p>
        </w:tc>
        <w:tc>
          <w:tcPr>
            <w:tcW w:w="1394" w:type="dxa"/>
          </w:tcPr>
          <w:p w14:paraId="0B0AA044">
            <w:pPr>
              <w:spacing w:beforeLines="50"/>
              <w:ind w:right="-11"/>
              <w:jc w:val="center"/>
              <w:rPr>
                <w:rFonts w:ascii="宋体" w:hAnsi="宋体" w:cs="宋体"/>
                <w:sz w:val="24"/>
              </w:rPr>
            </w:pPr>
          </w:p>
        </w:tc>
        <w:tc>
          <w:tcPr>
            <w:tcW w:w="881" w:type="dxa"/>
          </w:tcPr>
          <w:p w14:paraId="5BADEE37">
            <w:pPr>
              <w:spacing w:beforeLines="50"/>
              <w:ind w:right="-11"/>
              <w:jc w:val="center"/>
              <w:rPr>
                <w:rFonts w:ascii="宋体" w:hAnsi="宋体" w:cs="宋体"/>
                <w:sz w:val="24"/>
              </w:rPr>
            </w:pPr>
          </w:p>
        </w:tc>
      </w:tr>
      <w:tr w14:paraId="675102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6DB02145">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5</w:t>
            </w:r>
          </w:p>
        </w:tc>
        <w:tc>
          <w:tcPr>
            <w:tcW w:w="1953" w:type="dxa"/>
            <w:vAlign w:val="top"/>
          </w:tcPr>
          <w:p w14:paraId="6AAF732B">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保险</w:t>
            </w:r>
          </w:p>
        </w:tc>
        <w:tc>
          <w:tcPr>
            <w:tcW w:w="1064" w:type="dxa"/>
          </w:tcPr>
          <w:p w14:paraId="1CD5FD34">
            <w:pPr>
              <w:spacing w:beforeLines="50"/>
              <w:ind w:right="-11"/>
              <w:jc w:val="center"/>
              <w:rPr>
                <w:rFonts w:ascii="宋体" w:hAnsi="宋体" w:cs="宋体"/>
                <w:sz w:val="24"/>
              </w:rPr>
            </w:pPr>
          </w:p>
        </w:tc>
        <w:tc>
          <w:tcPr>
            <w:tcW w:w="1440" w:type="dxa"/>
          </w:tcPr>
          <w:p w14:paraId="4C23B6E3">
            <w:pPr>
              <w:spacing w:beforeLines="50"/>
              <w:ind w:right="-11"/>
              <w:jc w:val="center"/>
              <w:rPr>
                <w:rFonts w:ascii="宋体" w:hAnsi="宋体" w:cs="宋体"/>
                <w:sz w:val="24"/>
              </w:rPr>
            </w:pPr>
          </w:p>
        </w:tc>
        <w:tc>
          <w:tcPr>
            <w:tcW w:w="1491" w:type="dxa"/>
          </w:tcPr>
          <w:p w14:paraId="3C9A34F2">
            <w:pPr>
              <w:spacing w:beforeLines="50"/>
              <w:ind w:right="-11"/>
              <w:jc w:val="center"/>
              <w:rPr>
                <w:rFonts w:ascii="宋体" w:hAnsi="宋体" w:cs="宋体"/>
                <w:sz w:val="24"/>
              </w:rPr>
            </w:pPr>
          </w:p>
        </w:tc>
        <w:tc>
          <w:tcPr>
            <w:tcW w:w="1394" w:type="dxa"/>
          </w:tcPr>
          <w:p w14:paraId="2DAC0594">
            <w:pPr>
              <w:spacing w:beforeLines="50"/>
              <w:ind w:right="-11"/>
              <w:jc w:val="center"/>
              <w:rPr>
                <w:rFonts w:ascii="宋体" w:hAnsi="宋体" w:cs="宋体"/>
                <w:sz w:val="24"/>
              </w:rPr>
            </w:pPr>
          </w:p>
        </w:tc>
        <w:tc>
          <w:tcPr>
            <w:tcW w:w="881" w:type="dxa"/>
          </w:tcPr>
          <w:p w14:paraId="558A3A15">
            <w:pPr>
              <w:spacing w:beforeLines="50"/>
              <w:ind w:right="-11"/>
              <w:jc w:val="center"/>
              <w:rPr>
                <w:rFonts w:ascii="宋体" w:hAnsi="宋体" w:cs="宋体"/>
                <w:sz w:val="24"/>
              </w:rPr>
            </w:pPr>
          </w:p>
        </w:tc>
      </w:tr>
      <w:tr w14:paraId="5B09D5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vAlign w:val="top"/>
          </w:tcPr>
          <w:p w14:paraId="7B61574B">
            <w:pPr>
              <w:widowControl/>
              <w:spacing w:line="300" w:lineRule="exact"/>
              <w:ind w:left="147" w:leftChars="70" w:right="84" w:rightChars="40"/>
              <w:jc w:val="center"/>
              <w:rPr>
                <w:rFonts w:ascii="宋体" w:hAnsi="宋体" w:cs="宋体"/>
                <w:sz w:val="24"/>
              </w:rPr>
            </w:pPr>
            <w:r>
              <w:rPr>
                <w:rFonts w:hint="eastAsia" w:ascii="宋体" w:hAnsi="宋体"/>
                <w:color w:val="auto"/>
                <w:szCs w:val="21"/>
              </w:rPr>
              <w:t>...</w:t>
            </w:r>
          </w:p>
        </w:tc>
        <w:tc>
          <w:tcPr>
            <w:tcW w:w="1953" w:type="dxa"/>
            <w:vAlign w:val="top"/>
          </w:tcPr>
          <w:p w14:paraId="7B4B816F">
            <w:pPr>
              <w:widowControl/>
              <w:spacing w:line="300" w:lineRule="exact"/>
              <w:ind w:left="147" w:leftChars="70" w:right="84" w:rightChars="40"/>
              <w:jc w:val="center"/>
              <w:rPr>
                <w:rFonts w:ascii="宋体" w:hAnsi="宋体" w:cs="宋体"/>
                <w:sz w:val="24"/>
              </w:rPr>
            </w:pPr>
            <w:r>
              <w:rPr>
                <w:rFonts w:hint="eastAsia" w:ascii="宋体" w:hAnsi="宋体"/>
                <w:color w:val="auto"/>
                <w:szCs w:val="21"/>
                <w:lang w:val="en-US" w:eastAsia="zh-CN"/>
              </w:rPr>
              <w:t>...</w:t>
            </w:r>
          </w:p>
        </w:tc>
        <w:tc>
          <w:tcPr>
            <w:tcW w:w="1064" w:type="dxa"/>
          </w:tcPr>
          <w:p w14:paraId="7670389D">
            <w:pPr>
              <w:spacing w:beforeLines="50"/>
              <w:ind w:right="-11"/>
              <w:jc w:val="center"/>
              <w:rPr>
                <w:rFonts w:ascii="宋体" w:hAnsi="宋体" w:cs="宋体"/>
                <w:sz w:val="24"/>
              </w:rPr>
            </w:pPr>
          </w:p>
        </w:tc>
        <w:tc>
          <w:tcPr>
            <w:tcW w:w="1440" w:type="dxa"/>
          </w:tcPr>
          <w:p w14:paraId="43269E74">
            <w:pPr>
              <w:spacing w:beforeLines="50"/>
              <w:ind w:right="-11"/>
              <w:jc w:val="center"/>
              <w:rPr>
                <w:rFonts w:ascii="宋体" w:hAnsi="宋体" w:cs="宋体"/>
                <w:sz w:val="24"/>
              </w:rPr>
            </w:pPr>
          </w:p>
        </w:tc>
        <w:tc>
          <w:tcPr>
            <w:tcW w:w="1491" w:type="dxa"/>
          </w:tcPr>
          <w:p w14:paraId="616EE0DB">
            <w:pPr>
              <w:spacing w:beforeLines="50"/>
              <w:ind w:right="-11"/>
              <w:jc w:val="center"/>
              <w:rPr>
                <w:rFonts w:ascii="宋体" w:hAnsi="宋体" w:cs="宋体"/>
                <w:sz w:val="24"/>
              </w:rPr>
            </w:pPr>
          </w:p>
        </w:tc>
        <w:tc>
          <w:tcPr>
            <w:tcW w:w="1394" w:type="dxa"/>
          </w:tcPr>
          <w:p w14:paraId="7557F5B5">
            <w:pPr>
              <w:spacing w:beforeLines="50"/>
              <w:ind w:right="-11"/>
              <w:jc w:val="center"/>
              <w:rPr>
                <w:rFonts w:ascii="宋体" w:hAnsi="宋体" w:cs="宋体"/>
                <w:sz w:val="24"/>
              </w:rPr>
            </w:pPr>
          </w:p>
        </w:tc>
        <w:tc>
          <w:tcPr>
            <w:tcW w:w="881" w:type="dxa"/>
          </w:tcPr>
          <w:p w14:paraId="2A6887A8">
            <w:pPr>
              <w:spacing w:beforeLines="50"/>
              <w:ind w:right="-11"/>
              <w:jc w:val="center"/>
              <w:rPr>
                <w:rFonts w:ascii="宋体" w:hAnsi="宋体" w:cs="宋体"/>
                <w:sz w:val="24"/>
              </w:rPr>
            </w:pPr>
          </w:p>
        </w:tc>
      </w:tr>
      <w:tr w14:paraId="712BF9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4F336DB1">
            <w:pPr>
              <w:spacing w:beforeLines="50" w:afterLines="50"/>
              <w:ind w:right="-10"/>
              <w:rPr>
                <w:rFonts w:ascii="宋体" w:hAnsi="宋体" w:cs="宋体"/>
                <w:sz w:val="24"/>
              </w:rPr>
            </w:pPr>
            <w:r>
              <w:rPr>
                <w:rFonts w:hint="eastAsia" w:ascii="宋体" w:hAnsi="宋体" w:cs="宋体"/>
                <w:sz w:val="24"/>
              </w:rPr>
              <w:t>服务费用总价</w:t>
            </w:r>
          </w:p>
        </w:tc>
        <w:tc>
          <w:tcPr>
            <w:tcW w:w="5206" w:type="dxa"/>
            <w:gridSpan w:val="4"/>
          </w:tcPr>
          <w:p w14:paraId="43B321AF">
            <w:pPr>
              <w:spacing w:beforeLines="50" w:afterLines="50"/>
              <w:ind w:right="-10"/>
              <w:jc w:val="center"/>
              <w:rPr>
                <w:rFonts w:ascii="宋体" w:hAnsi="宋体" w:cs="宋体"/>
                <w:sz w:val="24"/>
              </w:rPr>
            </w:pPr>
          </w:p>
        </w:tc>
      </w:tr>
      <w:tr w14:paraId="2763BC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2F26B5C5">
            <w:pPr>
              <w:spacing w:beforeLines="50" w:afterLines="50"/>
              <w:ind w:right="-10"/>
              <w:rPr>
                <w:rFonts w:ascii="宋体" w:hAnsi="宋体" w:cs="宋体"/>
                <w:sz w:val="24"/>
              </w:rPr>
            </w:pPr>
            <w:r>
              <w:rPr>
                <w:rFonts w:hint="eastAsia" w:ascii="宋体" w:hAnsi="宋体" w:cs="宋体"/>
                <w:sz w:val="24"/>
              </w:rPr>
              <w:t>其它相关费用</w:t>
            </w:r>
          </w:p>
        </w:tc>
        <w:tc>
          <w:tcPr>
            <w:tcW w:w="5206" w:type="dxa"/>
            <w:gridSpan w:val="4"/>
          </w:tcPr>
          <w:p w14:paraId="02EDDC9A">
            <w:pPr>
              <w:spacing w:beforeLines="50" w:afterLines="50"/>
              <w:ind w:right="-10"/>
              <w:jc w:val="center"/>
              <w:rPr>
                <w:rFonts w:ascii="宋体" w:hAnsi="宋体" w:cs="宋体"/>
                <w:sz w:val="24"/>
              </w:rPr>
            </w:pPr>
          </w:p>
        </w:tc>
      </w:tr>
      <w:tr w14:paraId="41BD31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1" w:hRule="atLeast"/>
          <w:jc w:val="center"/>
        </w:trPr>
        <w:tc>
          <w:tcPr>
            <w:tcW w:w="4051" w:type="dxa"/>
            <w:gridSpan w:val="3"/>
          </w:tcPr>
          <w:p w14:paraId="7F76B358">
            <w:pPr>
              <w:spacing w:beforeLines="50" w:afterLines="50"/>
              <w:ind w:right="-10"/>
              <w:rPr>
                <w:rFonts w:ascii="宋体" w:hAnsi="宋体" w:cs="宋体"/>
                <w:sz w:val="24"/>
              </w:rPr>
            </w:pPr>
            <w:r>
              <w:rPr>
                <w:rFonts w:hint="eastAsia" w:ascii="宋体" w:hAnsi="宋体" w:cs="宋体"/>
                <w:sz w:val="24"/>
              </w:rPr>
              <w:t>合计总价</w:t>
            </w:r>
          </w:p>
        </w:tc>
        <w:tc>
          <w:tcPr>
            <w:tcW w:w="5206" w:type="dxa"/>
            <w:gridSpan w:val="4"/>
            <w:vAlign w:val="center"/>
          </w:tcPr>
          <w:p w14:paraId="73BC3308">
            <w:pPr>
              <w:spacing w:beforeLines="50" w:afterLines="50"/>
              <w:ind w:right="-10"/>
              <w:jc w:val="center"/>
              <w:rPr>
                <w:rFonts w:ascii="宋体" w:hAnsi="宋体" w:cs="宋体"/>
                <w:sz w:val="24"/>
              </w:rPr>
            </w:pPr>
          </w:p>
        </w:tc>
      </w:tr>
    </w:tbl>
    <w:p w14:paraId="64AF9003">
      <w:pPr>
        <w:snapToGrid w:val="0"/>
        <w:spacing w:before="50" w:after="50"/>
        <w:ind w:firstLine="482" w:firstLineChars="200"/>
        <w:jc w:val="left"/>
        <w:rPr>
          <w:rFonts w:ascii="宋体" w:hAnsi="宋体" w:cs="宋体"/>
          <w:b/>
          <w:sz w:val="24"/>
          <w:szCs w:val="20"/>
        </w:rPr>
      </w:pPr>
      <w:r>
        <w:rPr>
          <w:rFonts w:hint="eastAsia" w:ascii="宋体" w:hAnsi="宋体" w:cs="宋体"/>
          <w:b/>
          <w:sz w:val="24"/>
          <w:szCs w:val="20"/>
        </w:rPr>
        <w:t>注：供应商在填报报价明细表时应按照采购需求服务清单内容逐项报价，不得随意更改序号、名称、单位、数量，否则有可能被视为无效报价文件。</w:t>
      </w:r>
    </w:p>
    <w:p w14:paraId="392D9B0C">
      <w:pPr>
        <w:snapToGrid w:val="0"/>
        <w:spacing w:before="50" w:after="50"/>
        <w:ind w:firstLine="480" w:firstLineChars="200"/>
        <w:jc w:val="left"/>
        <w:rPr>
          <w:rFonts w:ascii="宋体" w:hAnsi="宋体" w:cs="宋体"/>
          <w:sz w:val="24"/>
          <w:shd w:val="clear" w:color="auto" w:fill="FFFFFF"/>
        </w:rPr>
      </w:pPr>
    </w:p>
    <w:p w14:paraId="6F1B6B5E">
      <w:pPr>
        <w:spacing w:beforeLines="50" w:afterLines="50" w:line="360" w:lineRule="auto"/>
        <w:ind w:firstLine="720" w:firstLineChars="300"/>
        <w:rPr>
          <w:rFonts w:ascii="宋体" w:hAnsi="宋体" w:cs="宋体"/>
          <w:sz w:val="24"/>
          <w:szCs w:val="24"/>
          <w:shd w:val="clear" w:color="auto" w:fill="FFFFFF"/>
        </w:rPr>
      </w:pPr>
      <w:r>
        <w:rPr>
          <w:rFonts w:hint="eastAsia" w:ascii="宋体" w:hAnsi="宋体" w:cs="宋体"/>
          <w:sz w:val="24"/>
          <w:szCs w:val="24"/>
          <w:shd w:val="clear" w:color="auto" w:fill="FFFFFF"/>
        </w:rPr>
        <w:t>磋商供应商（盖章）：</w:t>
      </w:r>
    </w:p>
    <w:p w14:paraId="70208B9C">
      <w:pPr>
        <w:spacing w:beforeLines="50" w:afterLines="50" w:line="360" w:lineRule="auto"/>
        <w:ind w:firstLine="720" w:firstLineChars="300"/>
        <w:rPr>
          <w:rFonts w:ascii="微软雅黑" w:hAnsi="微软雅黑" w:eastAsia="微软雅黑" w:cs="微软雅黑"/>
          <w:sz w:val="24"/>
          <w:szCs w:val="24"/>
          <w:shd w:val="clear" w:color="auto" w:fill="FFFFFF"/>
        </w:rPr>
      </w:pPr>
      <w:r>
        <w:rPr>
          <w:rFonts w:hint="eastAsia" w:ascii="宋体" w:hAnsi="宋体" w:cs="宋体"/>
          <w:sz w:val="24"/>
          <w:szCs w:val="24"/>
          <w:shd w:val="clear" w:color="auto" w:fill="FFFFFF"/>
        </w:rPr>
        <w:t>日期：</w:t>
      </w:r>
    </w:p>
    <w:p w14:paraId="7C207072">
      <w:pPr>
        <w:spacing w:line="360" w:lineRule="auto"/>
        <w:outlineLvl w:val="1"/>
        <w:rPr>
          <w:rFonts w:ascii="宋体" w:hAnsi="宋体"/>
          <w:b/>
          <w:kern w:val="0"/>
          <w:sz w:val="30"/>
          <w:szCs w:val="30"/>
        </w:rPr>
      </w:pPr>
    </w:p>
    <w:p w14:paraId="3CB0D278">
      <w:pPr>
        <w:spacing w:line="360" w:lineRule="auto"/>
        <w:outlineLvl w:val="1"/>
        <w:rPr>
          <w:rFonts w:hint="eastAsia" w:ascii="宋体" w:hAnsi="宋体"/>
          <w:b/>
          <w:kern w:val="0"/>
          <w:sz w:val="30"/>
          <w:szCs w:val="30"/>
        </w:rPr>
      </w:pPr>
    </w:p>
    <w:p w14:paraId="25CEDE71">
      <w:pPr>
        <w:spacing w:line="360" w:lineRule="auto"/>
        <w:outlineLvl w:val="1"/>
        <w:rPr>
          <w:rFonts w:hint="eastAsia" w:ascii="宋体" w:hAnsi="宋体"/>
          <w:b/>
          <w:kern w:val="0"/>
          <w:sz w:val="30"/>
          <w:szCs w:val="30"/>
        </w:rPr>
      </w:pPr>
    </w:p>
    <w:p w14:paraId="5E607A75">
      <w:pPr>
        <w:spacing w:line="360" w:lineRule="auto"/>
        <w:outlineLvl w:val="1"/>
        <w:rPr>
          <w:rFonts w:hint="eastAsia" w:ascii="宋体" w:hAnsi="宋体"/>
          <w:b/>
          <w:kern w:val="0"/>
          <w:sz w:val="30"/>
          <w:szCs w:val="30"/>
        </w:rPr>
      </w:pPr>
    </w:p>
    <w:p w14:paraId="27AC4CC4">
      <w:pPr>
        <w:spacing w:line="360" w:lineRule="auto"/>
        <w:outlineLvl w:val="1"/>
        <w:rPr>
          <w:rFonts w:hint="eastAsia" w:ascii="宋体" w:hAnsi="宋体"/>
          <w:b/>
          <w:kern w:val="0"/>
          <w:sz w:val="30"/>
          <w:szCs w:val="30"/>
        </w:rPr>
      </w:pPr>
    </w:p>
    <w:p w14:paraId="0450CEA1">
      <w:pPr>
        <w:spacing w:line="360" w:lineRule="auto"/>
        <w:outlineLvl w:val="1"/>
        <w:rPr>
          <w:rFonts w:hint="eastAsia" w:ascii="宋体" w:hAnsi="宋体"/>
          <w:b/>
          <w:kern w:val="0"/>
          <w:sz w:val="30"/>
          <w:szCs w:val="30"/>
        </w:rPr>
      </w:pPr>
    </w:p>
    <w:p w14:paraId="61B0D9CA">
      <w:pPr>
        <w:spacing w:line="360" w:lineRule="auto"/>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val="en-US" w:eastAsia="zh-CN"/>
        </w:rPr>
        <w:t>四</w:t>
      </w:r>
      <w:r>
        <w:rPr>
          <w:rFonts w:ascii="宋体" w:hAnsi="宋体"/>
          <w:b/>
          <w:kern w:val="0"/>
          <w:sz w:val="30"/>
          <w:szCs w:val="30"/>
        </w:rPr>
        <w:t>：</w:t>
      </w:r>
    </w:p>
    <w:p w14:paraId="338D4544">
      <w:pPr>
        <w:spacing w:line="360" w:lineRule="auto"/>
        <w:jc w:val="center"/>
        <w:outlineLvl w:val="1"/>
        <w:rPr>
          <w:rFonts w:ascii="宋体" w:hAnsi="宋体"/>
          <w:b/>
          <w:kern w:val="0"/>
          <w:sz w:val="30"/>
          <w:szCs w:val="30"/>
        </w:rPr>
      </w:pPr>
      <w:r>
        <w:rPr>
          <w:rFonts w:hint="eastAsia" w:ascii="宋体" w:hAnsi="宋体"/>
          <w:b/>
          <w:kern w:val="0"/>
          <w:sz w:val="30"/>
          <w:szCs w:val="30"/>
        </w:rPr>
        <w:t>法定代表人授权委托书</w:t>
      </w:r>
    </w:p>
    <w:p w14:paraId="7AEC7BA2">
      <w:pPr>
        <w:spacing w:line="360" w:lineRule="auto"/>
        <w:rPr>
          <w:rFonts w:ascii="宋体" w:hAnsi="宋体"/>
          <w:szCs w:val="21"/>
        </w:rPr>
      </w:pPr>
      <w:r>
        <w:rPr>
          <w:rFonts w:hint="eastAsia" w:ascii="宋体" w:hAnsi="宋体"/>
          <w:szCs w:val="21"/>
        </w:rPr>
        <w:t>致XXX</w:t>
      </w:r>
      <w:r>
        <w:rPr>
          <w:rFonts w:hint="eastAsia" w:ascii="宋体" w:hAnsi="宋体"/>
          <w:szCs w:val="21"/>
          <w:lang w:val="zh-CN"/>
        </w:rPr>
        <w:t>：</w:t>
      </w:r>
    </w:p>
    <w:p w14:paraId="7912F721">
      <w:pPr>
        <w:spacing w:line="360" w:lineRule="auto"/>
        <w:ind w:firstLine="612"/>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w:t>
      </w:r>
      <w:r>
        <w:rPr>
          <w:rFonts w:hint="eastAsia" w:ascii="宋体" w:hAnsi="宋体"/>
          <w:szCs w:val="21"/>
          <w:u w:val="single"/>
        </w:rPr>
        <w:t xml:space="preserve">   （投 标 人 名 称）  </w:t>
      </w:r>
      <w:r>
        <w:rPr>
          <w:rFonts w:hint="eastAsia" w:ascii="宋体" w:hAnsi="宋体"/>
          <w:szCs w:val="21"/>
        </w:rPr>
        <w:t>的法定代表人，现授权委托</w:t>
      </w:r>
      <w:r>
        <w:rPr>
          <w:rFonts w:hint="eastAsia" w:ascii="宋体" w:hAnsi="宋体"/>
          <w:szCs w:val="21"/>
          <w:u w:val="single"/>
        </w:rPr>
        <w:t xml:space="preserve">  （单 位 名 称）   </w:t>
      </w:r>
      <w:r>
        <w:rPr>
          <w:rFonts w:hint="eastAsia" w:ascii="宋体" w:hAnsi="宋体"/>
          <w:szCs w:val="21"/>
        </w:rPr>
        <w:t>的</w:t>
      </w:r>
      <w:r>
        <w:rPr>
          <w:rFonts w:hint="eastAsia" w:ascii="宋体" w:hAnsi="宋体"/>
          <w:szCs w:val="21"/>
          <w:u w:val="single"/>
        </w:rPr>
        <w:t xml:space="preserve">  （授权代表姓名）  </w:t>
      </w:r>
      <w:r>
        <w:rPr>
          <w:rFonts w:hint="eastAsia" w:ascii="宋体" w:hAnsi="宋体"/>
          <w:szCs w:val="21"/>
        </w:rPr>
        <w:t>为我公司法定代表人授权代表，参加贵处组织的</w:t>
      </w:r>
      <w:r>
        <w:rPr>
          <w:rFonts w:hint="eastAsia" w:ascii="宋体" w:hAnsi="宋体"/>
          <w:szCs w:val="21"/>
          <w:u w:val="single"/>
        </w:rPr>
        <w:t xml:space="preserve">  （采购项目名称，括号中填写项目编号）  </w:t>
      </w:r>
      <w:r>
        <w:rPr>
          <w:rFonts w:hint="eastAsia" w:ascii="宋体" w:hAnsi="宋体"/>
          <w:szCs w:val="21"/>
        </w:rPr>
        <w:t>项目磋商，全权处理本次招磋商活动中的一切事宜，我承认授权代表全权代表我所签署的本项目的磋商文件的内容。</w:t>
      </w:r>
    </w:p>
    <w:p w14:paraId="391C76AF">
      <w:pPr>
        <w:spacing w:line="360" w:lineRule="auto"/>
        <w:ind w:firstLine="697"/>
        <w:rPr>
          <w:rFonts w:ascii="宋体" w:hAnsi="宋体"/>
          <w:szCs w:val="21"/>
        </w:rPr>
      </w:pPr>
      <w:r>
        <w:rPr>
          <w:rFonts w:hint="eastAsia" w:ascii="宋体" w:hAnsi="宋体"/>
          <w:szCs w:val="21"/>
        </w:rPr>
        <w:t>授权代表无转授权，特此授权</w:t>
      </w:r>
    </w:p>
    <w:p w14:paraId="49A36409">
      <w:pPr>
        <w:spacing w:line="480" w:lineRule="auto"/>
        <w:ind w:left="2100"/>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  </w:t>
      </w:r>
      <w:r>
        <w:rPr>
          <w:rFonts w:hint="eastAsia" w:ascii="宋体" w:hAnsi="宋体"/>
          <w:szCs w:val="21"/>
        </w:rPr>
        <w:t xml:space="preserve"> 性别： 年龄：职务：</w:t>
      </w:r>
    </w:p>
    <w:p w14:paraId="38353EB8">
      <w:pPr>
        <w:spacing w:line="480" w:lineRule="auto"/>
        <w:ind w:left="2100"/>
        <w:rPr>
          <w:rFonts w:ascii="宋体" w:hAnsi="宋体"/>
          <w:szCs w:val="21"/>
          <w:u w:val="single"/>
        </w:rPr>
      </w:pPr>
      <w:r>
        <w:rPr>
          <w:rFonts w:hint="eastAsia" w:ascii="宋体" w:hAnsi="宋体"/>
          <w:szCs w:val="21"/>
        </w:rPr>
        <w:t>详细通讯地址： 邮政编码：</w:t>
      </w:r>
    </w:p>
    <w:p w14:paraId="45703CBE">
      <w:pPr>
        <w:spacing w:line="480" w:lineRule="auto"/>
        <w:ind w:left="2100"/>
        <w:rPr>
          <w:rFonts w:ascii="宋体" w:hAnsi="宋体"/>
          <w:szCs w:val="21"/>
          <w:u w:val="single"/>
        </w:rPr>
      </w:pPr>
      <w:r>
        <w:rPr>
          <w:rFonts w:hint="eastAsia" w:ascii="宋体" w:hAnsi="宋体"/>
          <w:szCs w:val="21"/>
        </w:rPr>
        <w:t>电话： 传真：</w:t>
      </w:r>
    </w:p>
    <w:p w14:paraId="469E8912">
      <w:pPr>
        <w:spacing w:line="480" w:lineRule="auto"/>
        <w:ind w:left="2100"/>
        <w:jc w:val="right"/>
        <w:rPr>
          <w:rFonts w:ascii="宋体" w:hAnsi="宋体"/>
          <w:szCs w:val="21"/>
        </w:rPr>
      </w:pPr>
      <w:r>
        <w:rPr>
          <w:rFonts w:hint="eastAsia" w:ascii="宋体" w:hAnsi="宋体"/>
          <w:szCs w:val="21"/>
        </w:rPr>
        <w:t>磋商响应方：</w:t>
      </w:r>
      <w:r>
        <w:rPr>
          <w:rFonts w:hint="eastAsia" w:ascii="宋体" w:hAnsi="宋体"/>
          <w:szCs w:val="21"/>
          <w:u w:val="single"/>
        </w:rPr>
        <w:t xml:space="preserve">                                      （盖章）</w:t>
      </w:r>
    </w:p>
    <w:p w14:paraId="198AB62B">
      <w:pPr>
        <w:spacing w:line="480" w:lineRule="auto"/>
        <w:ind w:left="2100"/>
        <w:jc w:val="right"/>
        <w:rPr>
          <w:rFonts w:ascii="宋体" w:hAnsi="宋体"/>
          <w:szCs w:val="21"/>
        </w:rPr>
      </w:pPr>
      <w:r>
        <w:rPr>
          <w:rFonts w:hint="eastAsia" w:ascii="宋体" w:hAnsi="宋体"/>
          <w:szCs w:val="21"/>
        </w:rPr>
        <w:t>法定代表人：</w:t>
      </w:r>
      <w:r>
        <w:rPr>
          <w:rFonts w:hint="eastAsia" w:ascii="宋体" w:hAnsi="宋体"/>
          <w:szCs w:val="21"/>
          <w:u w:val="single"/>
        </w:rPr>
        <w:t xml:space="preserve">                          （亲笔签名或盖私章）</w:t>
      </w:r>
    </w:p>
    <w:p w14:paraId="0BCAE561">
      <w:pPr>
        <w:spacing w:line="480" w:lineRule="auto"/>
        <w:ind w:left="2100"/>
        <w:jc w:val="right"/>
        <w:rPr>
          <w:rFonts w:ascii="宋体" w:hAnsi="宋体"/>
          <w:szCs w:val="21"/>
        </w:rPr>
      </w:pPr>
    </w:p>
    <w:p w14:paraId="37973A7C">
      <w:pPr>
        <w:spacing w:line="480" w:lineRule="auto"/>
        <w:ind w:firstLine="3150" w:firstLineChars="1500"/>
        <w:jc w:val="right"/>
        <w:rPr>
          <w:rFonts w:ascii="宋体" w:hAnsi="宋体"/>
          <w:sz w:val="24"/>
          <w:szCs w:val="20"/>
        </w:rPr>
      </w:pPr>
      <w:r>
        <w:rPr>
          <w:rFonts w:hint="eastAsia" w:ascii="宋体" w:hAnsi="宋体"/>
          <w:szCs w:val="21"/>
        </w:rPr>
        <w:t>授权委托日期：年 月日</w:t>
      </w:r>
    </w:p>
    <w:p w14:paraId="331E9DD4">
      <w:pPr>
        <w:pStyle w:val="6"/>
        <w:spacing w:line="500" w:lineRule="exact"/>
        <w:ind w:firstLine="436" w:firstLineChars="156"/>
        <w:jc w:val="center"/>
        <w:rPr>
          <w:rFonts w:ascii="仿宋_GB2312" w:eastAsia="仿宋_GB2312"/>
          <w:sz w:val="28"/>
          <w:szCs w:val="28"/>
        </w:rPr>
      </w:pPr>
      <w:r>
        <w:rPr>
          <w:rFonts w:hint="eastAsia" w:ascii="仿宋_GB2312" w:eastAsia="仿宋_GB2312"/>
          <w:sz w:val="28"/>
          <w:szCs w:val="28"/>
        </w:rPr>
        <w:t>—————————————————————————</w:t>
      </w:r>
    </w:p>
    <w:p w14:paraId="48F13F7E">
      <w:pPr>
        <w:pStyle w:val="6"/>
        <w:spacing w:line="500" w:lineRule="exact"/>
        <w:ind w:firstLine="436" w:firstLineChars="156"/>
        <w:jc w:val="center"/>
        <w:rPr>
          <w:rFonts w:ascii="仿宋_GB2312" w:eastAsia="仿宋_GB2312"/>
          <w:sz w:val="28"/>
          <w:szCs w:val="28"/>
        </w:rPr>
      </w:pPr>
    </w:p>
    <w:p w14:paraId="6C9256A0">
      <w:pPr>
        <w:pStyle w:val="6"/>
        <w:spacing w:line="500" w:lineRule="exact"/>
        <w:ind w:firstLine="436" w:firstLineChars="156"/>
        <w:jc w:val="center"/>
        <w:rPr>
          <w:rFonts w:ascii="仿宋_GB2312" w:eastAsia="仿宋_GB2312"/>
          <w:sz w:val="28"/>
          <w:szCs w:val="28"/>
        </w:rPr>
      </w:pPr>
    </w:p>
    <w:p w14:paraId="6C1F45F6">
      <w:pPr>
        <w:pStyle w:val="6"/>
        <w:spacing w:line="500" w:lineRule="exact"/>
        <w:ind w:firstLine="436" w:firstLineChars="156"/>
        <w:jc w:val="center"/>
        <w:rPr>
          <w:rFonts w:ascii="仿宋_GB2312" w:eastAsia="仿宋_GB2312"/>
          <w:sz w:val="28"/>
          <w:szCs w:val="28"/>
        </w:rPr>
      </w:pPr>
    </w:p>
    <w:p w14:paraId="6E4EA9C3">
      <w:pPr>
        <w:pStyle w:val="6"/>
        <w:spacing w:line="500" w:lineRule="exact"/>
        <w:ind w:firstLine="436" w:firstLineChars="156"/>
        <w:jc w:val="center"/>
        <w:rPr>
          <w:rFonts w:ascii="仿宋_GB2312" w:eastAsia="仿宋_GB2312"/>
          <w:sz w:val="30"/>
          <w:szCs w:val="24"/>
        </w:rPr>
      </w:pPr>
      <w:r>
        <w:rPr>
          <w:rFonts w:hint="eastAsia" w:ascii="仿宋_GB2312" w:eastAsia="仿宋_GB2312"/>
          <w:sz w:val="28"/>
          <w:szCs w:val="28"/>
        </w:rPr>
        <w:t>被授权人有效身份证明复印件粘贴处</w:t>
      </w:r>
    </w:p>
    <w:p w14:paraId="49DE898E">
      <w:pPr>
        <w:spacing w:line="360" w:lineRule="auto"/>
        <w:ind w:firstLine="3600" w:firstLineChars="1500"/>
        <w:jc w:val="right"/>
        <w:rPr>
          <w:rFonts w:ascii="宋体" w:hAnsi="宋体"/>
          <w:sz w:val="24"/>
          <w:szCs w:val="20"/>
        </w:rPr>
      </w:pPr>
    </w:p>
    <w:p w14:paraId="57621E8A">
      <w:pPr>
        <w:spacing w:line="360" w:lineRule="auto"/>
        <w:ind w:firstLine="3600" w:firstLineChars="1500"/>
        <w:jc w:val="right"/>
        <w:rPr>
          <w:rFonts w:ascii="宋体" w:hAnsi="宋体"/>
          <w:sz w:val="24"/>
          <w:szCs w:val="20"/>
        </w:rPr>
      </w:pPr>
    </w:p>
    <w:p w14:paraId="77653400">
      <w:pPr>
        <w:spacing w:line="360" w:lineRule="auto"/>
        <w:ind w:firstLine="3600" w:firstLineChars="1500"/>
        <w:jc w:val="right"/>
        <w:rPr>
          <w:rFonts w:ascii="宋体" w:hAnsi="宋体"/>
          <w:sz w:val="24"/>
          <w:szCs w:val="20"/>
        </w:rPr>
      </w:pPr>
    </w:p>
    <w:p w14:paraId="77ADB170">
      <w:pPr>
        <w:spacing w:line="360" w:lineRule="auto"/>
        <w:ind w:firstLine="3600" w:firstLineChars="1500"/>
        <w:jc w:val="right"/>
        <w:rPr>
          <w:rFonts w:ascii="宋体" w:hAnsi="宋体"/>
          <w:sz w:val="24"/>
          <w:szCs w:val="20"/>
        </w:rPr>
      </w:pPr>
    </w:p>
    <w:p w14:paraId="3DB821CD">
      <w:pPr>
        <w:spacing w:after="120" w:line="360" w:lineRule="auto"/>
        <w:rPr>
          <w:rFonts w:ascii="宋体" w:hAnsi="宋体"/>
          <w:b/>
          <w:sz w:val="24"/>
        </w:rPr>
      </w:pPr>
      <w:r>
        <w:rPr>
          <w:rFonts w:hint="eastAsia" w:ascii="宋体" w:hAnsi="宋体"/>
          <w:b/>
          <w:sz w:val="24"/>
        </w:rPr>
        <w:t>注：1、本法定代表人授权书正本一式二份，商务标中有一份，另一份可在递交资格审查文件时，随授权代表身份证一起交验。</w:t>
      </w:r>
    </w:p>
    <w:p w14:paraId="0941860E">
      <w:pPr>
        <w:spacing w:after="120" w:line="360" w:lineRule="auto"/>
        <w:ind w:firstLine="472" w:firstLineChars="196"/>
        <w:rPr>
          <w:rFonts w:ascii="宋体" w:hAnsi="宋体"/>
          <w:sz w:val="24"/>
          <w:szCs w:val="20"/>
        </w:rPr>
      </w:pPr>
      <w:r>
        <w:rPr>
          <w:rFonts w:hint="eastAsia" w:ascii="宋体" w:hAnsi="宋体"/>
          <w:b/>
          <w:sz w:val="24"/>
        </w:rPr>
        <w:t>2、法定代表人授权委托书格式不得随意变更且内容如实填写完整，否则将可能导致授权委托书无效。</w:t>
      </w:r>
    </w:p>
    <w:p w14:paraId="1713A7A7">
      <w:pPr>
        <w:shd w:val="clear" w:color="auto" w:fill="FFFFFF"/>
        <w:autoSpaceDE w:val="0"/>
        <w:autoSpaceDN w:val="0"/>
        <w:adjustRightInd w:val="0"/>
        <w:spacing w:line="500" w:lineRule="exact"/>
        <w:jc w:val="left"/>
        <w:rPr>
          <w:rFonts w:ascii="宋体" w:hAnsi="宋体"/>
          <w:b/>
          <w:kern w:val="0"/>
          <w:sz w:val="30"/>
          <w:szCs w:val="30"/>
        </w:rPr>
      </w:pPr>
      <w:r>
        <w:rPr>
          <w:rFonts w:ascii="宋体" w:hAnsi="宋体"/>
          <w:sz w:val="24"/>
          <w:szCs w:val="20"/>
        </w:rPr>
        <w:br w:type="page"/>
      </w:r>
      <w:r>
        <w:rPr>
          <w:rFonts w:hint="eastAsia" w:ascii="宋体" w:hAnsi="宋体"/>
          <w:b/>
          <w:kern w:val="0"/>
          <w:sz w:val="30"/>
          <w:szCs w:val="30"/>
        </w:rPr>
        <w:t>附件</w:t>
      </w:r>
      <w:r>
        <w:rPr>
          <w:rFonts w:hint="eastAsia" w:ascii="宋体" w:hAnsi="宋体"/>
          <w:b/>
          <w:kern w:val="0"/>
          <w:sz w:val="30"/>
          <w:szCs w:val="30"/>
          <w:lang w:val="en-US" w:eastAsia="zh-CN"/>
        </w:rPr>
        <w:t>五</w:t>
      </w:r>
      <w:r>
        <w:rPr>
          <w:rFonts w:hint="eastAsia" w:ascii="宋体" w:hAnsi="宋体"/>
          <w:b/>
          <w:kern w:val="0"/>
          <w:sz w:val="30"/>
          <w:szCs w:val="30"/>
        </w:rPr>
        <w:t>：</w:t>
      </w:r>
    </w:p>
    <w:p w14:paraId="274334E2">
      <w:pPr>
        <w:shd w:val="clear" w:color="auto" w:fill="FFFFFF"/>
        <w:autoSpaceDE w:val="0"/>
        <w:autoSpaceDN w:val="0"/>
        <w:adjustRightInd w:val="0"/>
        <w:spacing w:line="500" w:lineRule="exact"/>
        <w:jc w:val="center"/>
        <w:rPr>
          <w:rFonts w:ascii="宋体" w:hAnsi="宋体" w:cs="宋体"/>
          <w:b/>
          <w:sz w:val="32"/>
          <w:szCs w:val="32"/>
        </w:rPr>
      </w:pPr>
      <w:r>
        <w:rPr>
          <w:rFonts w:hint="eastAsia" w:ascii="宋体" w:hAnsi="宋体" w:cs="宋体"/>
          <w:b/>
          <w:sz w:val="32"/>
          <w:szCs w:val="32"/>
        </w:rPr>
        <w:t>磋商响应方基本情况一览表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988"/>
      </w:tblGrid>
      <w:tr w14:paraId="0C07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6453B97E">
            <w:pPr>
              <w:shd w:val="clear" w:color="auto" w:fill="FFFFFF"/>
              <w:spacing w:line="500" w:lineRule="exact"/>
              <w:jc w:val="center"/>
              <w:rPr>
                <w:rFonts w:ascii="宋体" w:hAnsi="宋体" w:cs="宋体"/>
                <w:b/>
                <w:szCs w:val="21"/>
              </w:rPr>
            </w:pPr>
            <w:r>
              <w:rPr>
                <w:rFonts w:hint="eastAsia" w:ascii="宋体" w:hAnsi="宋体" w:cs="宋体"/>
                <w:b/>
                <w:szCs w:val="21"/>
              </w:rPr>
              <w:t>单位名称</w:t>
            </w:r>
          </w:p>
        </w:tc>
        <w:tc>
          <w:tcPr>
            <w:tcW w:w="5988" w:type="dxa"/>
            <w:noWrap/>
          </w:tcPr>
          <w:p w14:paraId="2F39A4AF">
            <w:pPr>
              <w:shd w:val="clear" w:color="auto" w:fill="FFFFFF"/>
              <w:autoSpaceDE w:val="0"/>
              <w:autoSpaceDN w:val="0"/>
              <w:adjustRightInd w:val="0"/>
              <w:spacing w:line="500" w:lineRule="exact"/>
              <w:jc w:val="center"/>
              <w:rPr>
                <w:rFonts w:ascii="宋体" w:hAnsi="宋体" w:cs="宋体"/>
                <w:b/>
                <w:szCs w:val="21"/>
              </w:rPr>
            </w:pPr>
          </w:p>
        </w:tc>
      </w:tr>
      <w:tr w14:paraId="2137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4D524F3E">
            <w:pPr>
              <w:shd w:val="clear" w:color="auto" w:fill="FFFFFF"/>
              <w:spacing w:line="500" w:lineRule="exact"/>
              <w:jc w:val="center"/>
              <w:rPr>
                <w:rFonts w:ascii="宋体" w:hAnsi="宋体" w:cs="宋体"/>
                <w:b/>
                <w:szCs w:val="21"/>
              </w:rPr>
            </w:pPr>
            <w:r>
              <w:rPr>
                <w:rFonts w:hint="eastAsia" w:ascii="宋体" w:hAnsi="宋体" w:cs="宋体"/>
                <w:b/>
                <w:szCs w:val="21"/>
              </w:rPr>
              <w:t>企业代码</w:t>
            </w:r>
          </w:p>
        </w:tc>
        <w:tc>
          <w:tcPr>
            <w:tcW w:w="5988" w:type="dxa"/>
            <w:noWrap/>
          </w:tcPr>
          <w:p w14:paraId="409BB0AF">
            <w:pPr>
              <w:shd w:val="clear" w:color="auto" w:fill="FFFFFF"/>
              <w:autoSpaceDE w:val="0"/>
              <w:autoSpaceDN w:val="0"/>
              <w:adjustRightInd w:val="0"/>
              <w:spacing w:line="500" w:lineRule="exact"/>
              <w:jc w:val="center"/>
              <w:rPr>
                <w:rFonts w:ascii="宋体" w:hAnsi="宋体" w:cs="宋体"/>
                <w:b/>
                <w:szCs w:val="21"/>
              </w:rPr>
            </w:pPr>
          </w:p>
        </w:tc>
      </w:tr>
      <w:tr w14:paraId="71AF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5469B4BA">
            <w:pPr>
              <w:shd w:val="clear" w:color="auto" w:fill="FFFFFF"/>
              <w:spacing w:line="500" w:lineRule="exact"/>
              <w:jc w:val="center"/>
              <w:rPr>
                <w:rFonts w:ascii="宋体" w:hAnsi="宋体" w:cs="宋体"/>
                <w:b/>
                <w:szCs w:val="21"/>
              </w:rPr>
            </w:pPr>
            <w:r>
              <w:rPr>
                <w:rFonts w:hint="eastAsia" w:ascii="宋体" w:hAnsi="宋体" w:cs="宋体"/>
                <w:b/>
                <w:szCs w:val="21"/>
              </w:rPr>
              <w:t>经营地址</w:t>
            </w:r>
          </w:p>
        </w:tc>
        <w:tc>
          <w:tcPr>
            <w:tcW w:w="5988" w:type="dxa"/>
            <w:noWrap/>
          </w:tcPr>
          <w:p w14:paraId="79486F96">
            <w:pPr>
              <w:shd w:val="clear" w:color="auto" w:fill="FFFFFF"/>
              <w:autoSpaceDE w:val="0"/>
              <w:autoSpaceDN w:val="0"/>
              <w:adjustRightInd w:val="0"/>
              <w:spacing w:line="500" w:lineRule="exact"/>
              <w:jc w:val="center"/>
              <w:rPr>
                <w:rFonts w:ascii="宋体" w:hAnsi="宋体" w:cs="宋体"/>
                <w:b/>
                <w:szCs w:val="21"/>
              </w:rPr>
            </w:pPr>
          </w:p>
        </w:tc>
      </w:tr>
      <w:tr w14:paraId="792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31FF0495">
            <w:pPr>
              <w:shd w:val="clear" w:color="auto" w:fill="FFFFFF"/>
              <w:spacing w:line="500" w:lineRule="exact"/>
              <w:jc w:val="center"/>
              <w:rPr>
                <w:rFonts w:ascii="宋体" w:hAnsi="宋体" w:cs="宋体"/>
                <w:b/>
                <w:szCs w:val="21"/>
              </w:rPr>
            </w:pPr>
            <w:r>
              <w:rPr>
                <w:rFonts w:hint="eastAsia" w:ascii="宋体" w:hAnsi="宋体" w:cs="宋体"/>
                <w:b/>
                <w:szCs w:val="21"/>
              </w:rPr>
              <w:t>企业法人</w:t>
            </w:r>
          </w:p>
        </w:tc>
        <w:tc>
          <w:tcPr>
            <w:tcW w:w="5988" w:type="dxa"/>
            <w:noWrap/>
          </w:tcPr>
          <w:p w14:paraId="424B9135">
            <w:pPr>
              <w:shd w:val="clear" w:color="auto" w:fill="FFFFFF"/>
              <w:autoSpaceDE w:val="0"/>
              <w:autoSpaceDN w:val="0"/>
              <w:adjustRightInd w:val="0"/>
              <w:spacing w:line="500" w:lineRule="exact"/>
              <w:jc w:val="center"/>
              <w:rPr>
                <w:rFonts w:ascii="宋体" w:hAnsi="宋体" w:cs="宋体"/>
                <w:b/>
                <w:szCs w:val="21"/>
              </w:rPr>
            </w:pPr>
          </w:p>
        </w:tc>
      </w:tr>
      <w:tr w14:paraId="07CF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7E1099FE">
            <w:pPr>
              <w:shd w:val="clear" w:color="auto" w:fill="FFFFFF"/>
              <w:spacing w:line="500" w:lineRule="exact"/>
              <w:jc w:val="center"/>
              <w:rPr>
                <w:rFonts w:ascii="宋体" w:hAnsi="宋体" w:cs="宋体"/>
                <w:b/>
                <w:szCs w:val="21"/>
              </w:rPr>
            </w:pPr>
            <w:r>
              <w:rPr>
                <w:rFonts w:hint="eastAsia" w:ascii="宋体" w:hAnsi="宋体" w:cs="宋体"/>
                <w:b/>
                <w:szCs w:val="21"/>
              </w:rPr>
              <w:t>经济类型</w:t>
            </w:r>
          </w:p>
        </w:tc>
        <w:tc>
          <w:tcPr>
            <w:tcW w:w="5988" w:type="dxa"/>
            <w:noWrap/>
          </w:tcPr>
          <w:p w14:paraId="13458442">
            <w:pPr>
              <w:shd w:val="clear" w:color="auto" w:fill="FFFFFF"/>
              <w:autoSpaceDE w:val="0"/>
              <w:autoSpaceDN w:val="0"/>
              <w:adjustRightInd w:val="0"/>
              <w:spacing w:line="500" w:lineRule="exact"/>
              <w:jc w:val="center"/>
              <w:rPr>
                <w:rFonts w:ascii="宋体" w:hAnsi="宋体" w:cs="宋体"/>
                <w:b/>
                <w:szCs w:val="21"/>
              </w:rPr>
            </w:pPr>
          </w:p>
        </w:tc>
      </w:tr>
      <w:tr w14:paraId="5716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0495F2EF">
            <w:pPr>
              <w:shd w:val="clear" w:color="auto" w:fill="FFFFFF"/>
              <w:spacing w:line="500" w:lineRule="exact"/>
              <w:jc w:val="center"/>
              <w:rPr>
                <w:rFonts w:ascii="宋体" w:hAnsi="宋体" w:cs="宋体"/>
                <w:b/>
                <w:szCs w:val="21"/>
              </w:rPr>
            </w:pPr>
            <w:r>
              <w:rPr>
                <w:rFonts w:hint="eastAsia" w:ascii="宋体" w:hAnsi="宋体" w:cs="宋体"/>
                <w:b/>
                <w:szCs w:val="21"/>
              </w:rPr>
              <w:t>授权代表</w:t>
            </w:r>
          </w:p>
        </w:tc>
        <w:tc>
          <w:tcPr>
            <w:tcW w:w="5988" w:type="dxa"/>
            <w:noWrap/>
          </w:tcPr>
          <w:p w14:paraId="005CE88F">
            <w:pPr>
              <w:shd w:val="clear" w:color="auto" w:fill="FFFFFF"/>
              <w:autoSpaceDE w:val="0"/>
              <w:autoSpaceDN w:val="0"/>
              <w:adjustRightInd w:val="0"/>
              <w:spacing w:line="500" w:lineRule="exact"/>
              <w:jc w:val="center"/>
              <w:rPr>
                <w:rFonts w:ascii="宋体" w:hAnsi="宋体" w:cs="宋体"/>
                <w:b/>
                <w:szCs w:val="21"/>
              </w:rPr>
            </w:pPr>
          </w:p>
        </w:tc>
      </w:tr>
      <w:tr w14:paraId="64D1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51A56F82">
            <w:pPr>
              <w:shd w:val="clear" w:color="auto" w:fill="FFFFFF"/>
              <w:spacing w:line="500" w:lineRule="exact"/>
              <w:jc w:val="center"/>
              <w:rPr>
                <w:rFonts w:ascii="宋体" w:hAnsi="宋体" w:cs="宋体"/>
                <w:b/>
                <w:szCs w:val="21"/>
              </w:rPr>
            </w:pPr>
            <w:r>
              <w:rPr>
                <w:rFonts w:hint="eastAsia" w:ascii="宋体" w:hAnsi="宋体" w:cs="宋体"/>
                <w:b/>
                <w:szCs w:val="21"/>
              </w:rPr>
              <w:t>公司成立时间</w:t>
            </w:r>
          </w:p>
        </w:tc>
        <w:tc>
          <w:tcPr>
            <w:tcW w:w="5988" w:type="dxa"/>
            <w:noWrap/>
          </w:tcPr>
          <w:p w14:paraId="1E32925E">
            <w:pPr>
              <w:shd w:val="clear" w:color="auto" w:fill="FFFFFF"/>
              <w:autoSpaceDE w:val="0"/>
              <w:autoSpaceDN w:val="0"/>
              <w:adjustRightInd w:val="0"/>
              <w:spacing w:line="500" w:lineRule="exact"/>
              <w:jc w:val="center"/>
              <w:rPr>
                <w:rFonts w:ascii="宋体" w:hAnsi="宋体" w:cs="宋体"/>
                <w:b/>
                <w:szCs w:val="21"/>
              </w:rPr>
            </w:pPr>
          </w:p>
        </w:tc>
      </w:tr>
      <w:tr w14:paraId="1F81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45393C0A">
            <w:pPr>
              <w:shd w:val="clear" w:color="auto" w:fill="FFFFFF"/>
              <w:spacing w:line="500" w:lineRule="exact"/>
              <w:jc w:val="center"/>
              <w:rPr>
                <w:rFonts w:ascii="宋体" w:hAnsi="宋体" w:cs="宋体"/>
                <w:b/>
                <w:szCs w:val="21"/>
              </w:rPr>
            </w:pPr>
            <w:r>
              <w:rPr>
                <w:rFonts w:hint="eastAsia" w:ascii="宋体" w:hAnsi="宋体" w:cs="宋体"/>
                <w:b/>
                <w:szCs w:val="21"/>
              </w:rPr>
              <w:t>公司联系电话、传真</w:t>
            </w:r>
          </w:p>
        </w:tc>
        <w:tc>
          <w:tcPr>
            <w:tcW w:w="5988" w:type="dxa"/>
            <w:noWrap/>
          </w:tcPr>
          <w:p w14:paraId="1D4C18B5">
            <w:pPr>
              <w:shd w:val="clear" w:color="auto" w:fill="FFFFFF"/>
              <w:autoSpaceDE w:val="0"/>
              <w:autoSpaceDN w:val="0"/>
              <w:adjustRightInd w:val="0"/>
              <w:spacing w:line="500" w:lineRule="exact"/>
              <w:jc w:val="center"/>
              <w:rPr>
                <w:rFonts w:ascii="宋体" w:hAnsi="宋体" w:cs="宋体"/>
                <w:b/>
                <w:szCs w:val="21"/>
              </w:rPr>
            </w:pPr>
          </w:p>
        </w:tc>
      </w:tr>
      <w:tr w14:paraId="5D90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7C53AC8D">
            <w:pPr>
              <w:shd w:val="clear" w:color="auto" w:fill="FFFFFF"/>
              <w:spacing w:line="500" w:lineRule="exact"/>
              <w:jc w:val="center"/>
              <w:rPr>
                <w:rFonts w:ascii="宋体" w:hAnsi="宋体" w:cs="宋体"/>
                <w:b/>
                <w:szCs w:val="21"/>
              </w:rPr>
            </w:pPr>
            <w:r>
              <w:rPr>
                <w:rFonts w:hint="eastAsia" w:ascii="宋体" w:hAnsi="宋体" w:cs="宋体"/>
                <w:b/>
                <w:szCs w:val="21"/>
              </w:rPr>
              <w:t>职工总人数</w:t>
            </w:r>
          </w:p>
        </w:tc>
        <w:tc>
          <w:tcPr>
            <w:tcW w:w="5988" w:type="dxa"/>
            <w:noWrap/>
          </w:tcPr>
          <w:p w14:paraId="06CB2905">
            <w:pPr>
              <w:shd w:val="clear" w:color="auto" w:fill="FFFFFF"/>
              <w:autoSpaceDE w:val="0"/>
              <w:autoSpaceDN w:val="0"/>
              <w:adjustRightInd w:val="0"/>
              <w:spacing w:line="500" w:lineRule="exact"/>
              <w:jc w:val="center"/>
              <w:rPr>
                <w:rFonts w:ascii="宋体" w:hAnsi="宋体" w:cs="宋体"/>
                <w:b/>
                <w:szCs w:val="21"/>
              </w:rPr>
            </w:pPr>
          </w:p>
        </w:tc>
      </w:tr>
      <w:tr w14:paraId="04E7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1361EDCB">
            <w:pPr>
              <w:shd w:val="clear" w:color="auto" w:fill="FFFFFF"/>
              <w:spacing w:line="500" w:lineRule="exact"/>
              <w:jc w:val="center"/>
              <w:rPr>
                <w:rFonts w:ascii="宋体" w:hAnsi="宋体" w:cs="宋体"/>
                <w:b/>
                <w:szCs w:val="21"/>
              </w:rPr>
            </w:pPr>
            <w:r>
              <w:rPr>
                <w:rFonts w:hint="eastAsia" w:ascii="宋体" w:hAnsi="宋体" w:cs="宋体"/>
                <w:b/>
                <w:szCs w:val="21"/>
              </w:rPr>
              <w:t>资产总额</w:t>
            </w:r>
          </w:p>
        </w:tc>
        <w:tc>
          <w:tcPr>
            <w:tcW w:w="5988" w:type="dxa"/>
            <w:noWrap/>
          </w:tcPr>
          <w:p w14:paraId="15CBDF3D">
            <w:pPr>
              <w:shd w:val="clear" w:color="auto" w:fill="FFFFFF"/>
              <w:autoSpaceDE w:val="0"/>
              <w:autoSpaceDN w:val="0"/>
              <w:adjustRightInd w:val="0"/>
              <w:spacing w:line="500" w:lineRule="exact"/>
              <w:jc w:val="center"/>
              <w:rPr>
                <w:rFonts w:ascii="宋体" w:hAnsi="宋体" w:cs="宋体"/>
                <w:b/>
                <w:szCs w:val="21"/>
              </w:rPr>
            </w:pPr>
          </w:p>
        </w:tc>
      </w:tr>
      <w:tr w14:paraId="1E17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5C72C1B0">
            <w:pPr>
              <w:shd w:val="clear" w:color="auto" w:fill="FFFFFF"/>
              <w:spacing w:line="500" w:lineRule="exact"/>
              <w:jc w:val="center"/>
              <w:rPr>
                <w:rFonts w:ascii="宋体" w:hAnsi="宋体" w:cs="宋体"/>
                <w:b/>
                <w:szCs w:val="21"/>
              </w:rPr>
            </w:pPr>
            <w:r>
              <w:rPr>
                <w:rFonts w:hint="eastAsia" w:ascii="宋体" w:hAnsi="宋体" w:cs="宋体"/>
                <w:b/>
                <w:szCs w:val="21"/>
              </w:rPr>
              <w:t>其中固定资产原值</w:t>
            </w:r>
          </w:p>
        </w:tc>
        <w:tc>
          <w:tcPr>
            <w:tcW w:w="5988" w:type="dxa"/>
            <w:noWrap/>
          </w:tcPr>
          <w:p w14:paraId="7B7CEF54">
            <w:pPr>
              <w:shd w:val="clear" w:color="auto" w:fill="FFFFFF"/>
              <w:autoSpaceDE w:val="0"/>
              <w:autoSpaceDN w:val="0"/>
              <w:adjustRightInd w:val="0"/>
              <w:spacing w:line="500" w:lineRule="exact"/>
              <w:jc w:val="center"/>
              <w:rPr>
                <w:rFonts w:ascii="宋体" w:hAnsi="宋体" w:cs="宋体"/>
                <w:b/>
                <w:szCs w:val="21"/>
              </w:rPr>
            </w:pPr>
          </w:p>
        </w:tc>
      </w:tr>
      <w:tr w14:paraId="1B3F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0CF0EA52">
            <w:pPr>
              <w:shd w:val="clear" w:color="auto" w:fill="FFFFFF"/>
              <w:spacing w:line="500" w:lineRule="exact"/>
              <w:jc w:val="center"/>
              <w:rPr>
                <w:rFonts w:ascii="宋体" w:hAnsi="宋体" w:cs="宋体"/>
                <w:b/>
                <w:szCs w:val="21"/>
              </w:rPr>
            </w:pPr>
            <w:r>
              <w:rPr>
                <w:rFonts w:hint="eastAsia" w:ascii="宋体" w:hAnsi="宋体" w:cs="宋体"/>
                <w:b/>
                <w:szCs w:val="21"/>
              </w:rPr>
              <w:t>固定资产净值</w:t>
            </w:r>
          </w:p>
        </w:tc>
        <w:tc>
          <w:tcPr>
            <w:tcW w:w="5988" w:type="dxa"/>
            <w:noWrap/>
          </w:tcPr>
          <w:p w14:paraId="14C8E014">
            <w:pPr>
              <w:shd w:val="clear" w:color="auto" w:fill="FFFFFF"/>
              <w:autoSpaceDE w:val="0"/>
              <w:autoSpaceDN w:val="0"/>
              <w:adjustRightInd w:val="0"/>
              <w:spacing w:line="500" w:lineRule="exact"/>
              <w:jc w:val="center"/>
              <w:rPr>
                <w:rFonts w:ascii="宋体" w:hAnsi="宋体" w:cs="宋体"/>
                <w:b/>
                <w:szCs w:val="21"/>
              </w:rPr>
            </w:pPr>
          </w:p>
        </w:tc>
      </w:tr>
      <w:tr w14:paraId="6941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1795146E">
            <w:pPr>
              <w:shd w:val="clear" w:color="auto" w:fill="FFFFFF"/>
              <w:spacing w:line="500" w:lineRule="exact"/>
              <w:jc w:val="center"/>
              <w:rPr>
                <w:rFonts w:ascii="宋体" w:hAnsi="宋体" w:cs="宋体"/>
                <w:b/>
                <w:szCs w:val="21"/>
              </w:rPr>
            </w:pPr>
            <w:r>
              <w:rPr>
                <w:rFonts w:hint="eastAsia" w:ascii="宋体" w:hAnsi="宋体" w:cs="宋体"/>
                <w:b/>
                <w:szCs w:val="21"/>
              </w:rPr>
              <w:t>负债总额</w:t>
            </w:r>
          </w:p>
        </w:tc>
        <w:tc>
          <w:tcPr>
            <w:tcW w:w="5988" w:type="dxa"/>
            <w:noWrap/>
          </w:tcPr>
          <w:p w14:paraId="36EC0931">
            <w:pPr>
              <w:shd w:val="clear" w:color="auto" w:fill="FFFFFF"/>
              <w:autoSpaceDE w:val="0"/>
              <w:autoSpaceDN w:val="0"/>
              <w:adjustRightInd w:val="0"/>
              <w:spacing w:line="500" w:lineRule="exact"/>
              <w:jc w:val="center"/>
              <w:rPr>
                <w:rFonts w:ascii="宋体" w:hAnsi="宋体" w:cs="宋体"/>
                <w:b/>
                <w:szCs w:val="21"/>
              </w:rPr>
            </w:pPr>
          </w:p>
        </w:tc>
      </w:tr>
      <w:tr w14:paraId="55C3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1F96017D">
            <w:pPr>
              <w:shd w:val="clear" w:color="auto" w:fill="FFFFFF"/>
              <w:spacing w:line="500" w:lineRule="exact"/>
              <w:jc w:val="center"/>
              <w:rPr>
                <w:rFonts w:ascii="宋体" w:hAnsi="宋体" w:cs="宋体"/>
                <w:b/>
                <w:szCs w:val="21"/>
              </w:rPr>
            </w:pPr>
            <w:r>
              <w:rPr>
                <w:rFonts w:hint="eastAsia" w:ascii="宋体" w:hAnsi="宋体" w:cs="宋体"/>
                <w:b/>
                <w:szCs w:val="21"/>
              </w:rPr>
              <w:t>其中银行借款</w:t>
            </w:r>
          </w:p>
        </w:tc>
        <w:tc>
          <w:tcPr>
            <w:tcW w:w="5988" w:type="dxa"/>
            <w:noWrap/>
          </w:tcPr>
          <w:p w14:paraId="65116384">
            <w:pPr>
              <w:shd w:val="clear" w:color="auto" w:fill="FFFFFF"/>
              <w:autoSpaceDE w:val="0"/>
              <w:autoSpaceDN w:val="0"/>
              <w:adjustRightInd w:val="0"/>
              <w:spacing w:line="500" w:lineRule="exact"/>
              <w:jc w:val="center"/>
              <w:rPr>
                <w:rFonts w:ascii="宋体" w:hAnsi="宋体" w:cs="宋体"/>
                <w:b/>
                <w:szCs w:val="21"/>
              </w:rPr>
            </w:pPr>
          </w:p>
        </w:tc>
      </w:tr>
      <w:tr w14:paraId="0422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299EF8D1">
            <w:pPr>
              <w:shd w:val="clear" w:color="auto" w:fill="FFFFFF"/>
              <w:spacing w:line="500" w:lineRule="exact"/>
              <w:jc w:val="center"/>
              <w:rPr>
                <w:rFonts w:ascii="宋体" w:hAnsi="宋体" w:cs="宋体"/>
                <w:b/>
                <w:szCs w:val="21"/>
              </w:rPr>
            </w:pPr>
            <w:r>
              <w:rPr>
                <w:rFonts w:hint="eastAsia" w:ascii="宋体" w:hAnsi="宋体" w:cs="宋体"/>
                <w:b/>
                <w:szCs w:val="21"/>
              </w:rPr>
              <w:t>所有者权益总额</w:t>
            </w:r>
          </w:p>
        </w:tc>
        <w:tc>
          <w:tcPr>
            <w:tcW w:w="5988" w:type="dxa"/>
            <w:noWrap/>
          </w:tcPr>
          <w:p w14:paraId="252CB575">
            <w:pPr>
              <w:shd w:val="clear" w:color="auto" w:fill="FFFFFF"/>
              <w:autoSpaceDE w:val="0"/>
              <w:autoSpaceDN w:val="0"/>
              <w:adjustRightInd w:val="0"/>
              <w:spacing w:line="500" w:lineRule="exact"/>
              <w:jc w:val="center"/>
              <w:rPr>
                <w:rFonts w:ascii="宋体" w:hAnsi="宋体" w:cs="宋体"/>
                <w:b/>
                <w:szCs w:val="21"/>
              </w:rPr>
            </w:pPr>
          </w:p>
        </w:tc>
      </w:tr>
      <w:tr w14:paraId="0E9F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6FE9FFF8">
            <w:pPr>
              <w:shd w:val="clear" w:color="auto" w:fill="FFFFFF"/>
              <w:spacing w:line="500" w:lineRule="exact"/>
              <w:jc w:val="center"/>
              <w:rPr>
                <w:rFonts w:ascii="宋体" w:hAnsi="宋体" w:cs="宋体"/>
                <w:b/>
                <w:szCs w:val="21"/>
              </w:rPr>
            </w:pPr>
            <w:r>
              <w:rPr>
                <w:rFonts w:hint="eastAsia" w:ascii="宋体" w:hAnsi="宋体" w:cs="宋体"/>
                <w:b/>
                <w:szCs w:val="21"/>
              </w:rPr>
              <w:t>其中实收资本</w:t>
            </w:r>
          </w:p>
        </w:tc>
        <w:tc>
          <w:tcPr>
            <w:tcW w:w="5988" w:type="dxa"/>
            <w:noWrap/>
          </w:tcPr>
          <w:p w14:paraId="5A7B2A44">
            <w:pPr>
              <w:shd w:val="clear" w:color="auto" w:fill="FFFFFF"/>
              <w:autoSpaceDE w:val="0"/>
              <w:autoSpaceDN w:val="0"/>
              <w:adjustRightInd w:val="0"/>
              <w:spacing w:line="500" w:lineRule="exact"/>
              <w:jc w:val="center"/>
              <w:rPr>
                <w:rFonts w:ascii="宋体" w:hAnsi="宋体" w:cs="宋体"/>
                <w:b/>
                <w:szCs w:val="21"/>
              </w:rPr>
            </w:pPr>
          </w:p>
        </w:tc>
      </w:tr>
      <w:tr w14:paraId="4D0D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5C6A436A">
            <w:pPr>
              <w:shd w:val="clear" w:color="auto" w:fill="FFFFFF"/>
              <w:spacing w:line="500" w:lineRule="exact"/>
              <w:jc w:val="center"/>
              <w:rPr>
                <w:rFonts w:ascii="宋体" w:hAnsi="宋体" w:cs="宋体"/>
                <w:b/>
                <w:szCs w:val="21"/>
              </w:rPr>
            </w:pPr>
            <w:r>
              <w:rPr>
                <w:rFonts w:hint="eastAsia" w:ascii="宋体" w:hAnsi="宋体" w:cs="宋体"/>
                <w:b/>
                <w:szCs w:val="21"/>
              </w:rPr>
              <w:t>上年工业总产值</w:t>
            </w:r>
          </w:p>
        </w:tc>
        <w:tc>
          <w:tcPr>
            <w:tcW w:w="5988" w:type="dxa"/>
            <w:noWrap/>
          </w:tcPr>
          <w:p w14:paraId="6723FBF3">
            <w:pPr>
              <w:shd w:val="clear" w:color="auto" w:fill="FFFFFF"/>
              <w:autoSpaceDE w:val="0"/>
              <w:autoSpaceDN w:val="0"/>
              <w:adjustRightInd w:val="0"/>
              <w:spacing w:line="500" w:lineRule="exact"/>
              <w:jc w:val="center"/>
              <w:rPr>
                <w:rFonts w:ascii="宋体" w:hAnsi="宋体" w:cs="宋体"/>
                <w:b/>
                <w:szCs w:val="21"/>
              </w:rPr>
            </w:pPr>
          </w:p>
        </w:tc>
      </w:tr>
      <w:tr w14:paraId="29A9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noWrap/>
            <w:vAlign w:val="center"/>
          </w:tcPr>
          <w:p w14:paraId="67D138B6">
            <w:pPr>
              <w:shd w:val="clear" w:color="auto" w:fill="FFFFFF"/>
              <w:spacing w:line="500" w:lineRule="exact"/>
              <w:jc w:val="center"/>
              <w:rPr>
                <w:rFonts w:ascii="宋体" w:hAnsi="宋体" w:cs="宋体"/>
                <w:b/>
                <w:szCs w:val="21"/>
              </w:rPr>
            </w:pPr>
            <w:r>
              <w:rPr>
                <w:rFonts w:hint="eastAsia" w:ascii="宋体" w:hAnsi="宋体" w:cs="宋体"/>
                <w:b/>
                <w:szCs w:val="21"/>
              </w:rPr>
              <w:t>上年销售收入</w:t>
            </w:r>
          </w:p>
        </w:tc>
        <w:tc>
          <w:tcPr>
            <w:tcW w:w="5988" w:type="dxa"/>
            <w:noWrap/>
          </w:tcPr>
          <w:p w14:paraId="507347CB">
            <w:pPr>
              <w:shd w:val="clear" w:color="auto" w:fill="FFFFFF"/>
              <w:autoSpaceDE w:val="0"/>
              <w:autoSpaceDN w:val="0"/>
              <w:adjustRightInd w:val="0"/>
              <w:spacing w:line="500" w:lineRule="exact"/>
              <w:jc w:val="center"/>
              <w:rPr>
                <w:rFonts w:ascii="宋体" w:hAnsi="宋体" w:cs="宋体"/>
                <w:b/>
                <w:szCs w:val="21"/>
              </w:rPr>
            </w:pPr>
          </w:p>
        </w:tc>
      </w:tr>
      <w:tr w14:paraId="20BB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noWrap/>
            <w:vAlign w:val="center"/>
          </w:tcPr>
          <w:p w14:paraId="562C52FD">
            <w:pPr>
              <w:shd w:val="clear" w:color="auto" w:fill="FFFFFF"/>
              <w:spacing w:line="500" w:lineRule="exact"/>
              <w:jc w:val="center"/>
              <w:rPr>
                <w:rFonts w:ascii="宋体" w:hAnsi="宋体" w:cs="宋体"/>
                <w:b/>
                <w:szCs w:val="21"/>
              </w:rPr>
            </w:pPr>
            <w:r>
              <w:rPr>
                <w:rFonts w:hint="eastAsia" w:ascii="宋体" w:hAnsi="宋体" w:cs="宋体"/>
                <w:b/>
                <w:szCs w:val="21"/>
              </w:rPr>
              <w:t>上年销售利润</w:t>
            </w:r>
          </w:p>
        </w:tc>
        <w:tc>
          <w:tcPr>
            <w:tcW w:w="5988" w:type="dxa"/>
            <w:noWrap/>
          </w:tcPr>
          <w:p w14:paraId="3500AD67">
            <w:pPr>
              <w:shd w:val="clear" w:color="auto" w:fill="FFFFFF"/>
              <w:autoSpaceDE w:val="0"/>
              <w:autoSpaceDN w:val="0"/>
              <w:adjustRightInd w:val="0"/>
              <w:spacing w:line="500" w:lineRule="exact"/>
              <w:jc w:val="center"/>
              <w:rPr>
                <w:rFonts w:ascii="宋体" w:hAnsi="宋体" w:cs="宋体"/>
                <w:b/>
                <w:szCs w:val="21"/>
              </w:rPr>
            </w:pPr>
          </w:p>
        </w:tc>
      </w:tr>
    </w:tbl>
    <w:p w14:paraId="2FE89367">
      <w:pPr>
        <w:shd w:val="clear" w:color="auto" w:fill="FFFFFF"/>
        <w:autoSpaceDE w:val="0"/>
        <w:autoSpaceDN w:val="0"/>
        <w:adjustRightInd w:val="0"/>
        <w:spacing w:line="500" w:lineRule="exact"/>
        <w:ind w:firstLine="630" w:firstLineChars="300"/>
        <w:rPr>
          <w:rFonts w:ascii="宋体" w:hAnsi="宋体" w:cs="宋体"/>
          <w:szCs w:val="21"/>
          <w:u w:val="single"/>
          <w:lang w:val="zh-CN"/>
        </w:rPr>
      </w:pPr>
      <w:r>
        <w:rPr>
          <w:rFonts w:hint="eastAsia" w:ascii="宋体" w:hAnsi="宋体" w:cs="宋体"/>
          <w:szCs w:val="21"/>
          <w:lang w:val="zh-CN"/>
        </w:rPr>
        <w:t>磋商响应方：（公章）</w:t>
      </w:r>
    </w:p>
    <w:p w14:paraId="78E51D15">
      <w:pPr>
        <w:shd w:val="clear" w:color="auto" w:fill="FFFFFF"/>
        <w:autoSpaceDE w:val="0"/>
        <w:autoSpaceDN w:val="0"/>
        <w:adjustRightInd w:val="0"/>
        <w:spacing w:line="500" w:lineRule="exact"/>
        <w:ind w:firstLine="630" w:firstLineChars="300"/>
        <w:rPr>
          <w:rFonts w:ascii="宋体" w:hAnsi="宋体" w:cs="宋体"/>
          <w:szCs w:val="21"/>
          <w:u w:val="single"/>
          <w:lang w:val="zh-CN"/>
        </w:rPr>
      </w:pPr>
      <w:r>
        <w:rPr>
          <w:rFonts w:hint="eastAsia" w:ascii="宋体" w:hAnsi="宋体" w:cs="宋体"/>
          <w:szCs w:val="21"/>
          <w:lang w:val="zh-CN"/>
        </w:rPr>
        <w:t xml:space="preserve">日期：      </w:t>
      </w:r>
    </w:p>
    <w:p w14:paraId="034CF22A">
      <w:pPr>
        <w:spacing w:line="360" w:lineRule="auto"/>
        <w:outlineLvl w:val="1"/>
        <w:rPr>
          <w:rFonts w:ascii="宋体" w:hAnsi="宋体"/>
          <w:b/>
          <w:kern w:val="0"/>
          <w:sz w:val="30"/>
          <w:szCs w:val="30"/>
        </w:rPr>
      </w:pPr>
    </w:p>
    <w:p w14:paraId="0603677B">
      <w:pPr>
        <w:spacing w:line="360" w:lineRule="auto"/>
        <w:outlineLvl w:val="1"/>
        <w:rPr>
          <w:rFonts w:ascii="宋体" w:hAnsi="宋体"/>
          <w:b/>
          <w:kern w:val="0"/>
          <w:sz w:val="30"/>
          <w:szCs w:val="30"/>
        </w:rPr>
      </w:pPr>
    </w:p>
    <w:p w14:paraId="08700B8A">
      <w:pPr>
        <w:spacing w:line="360" w:lineRule="auto"/>
        <w:outlineLvl w:val="1"/>
        <w:rPr>
          <w:rFonts w:ascii="宋体" w:hAnsi="宋体"/>
          <w:b/>
          <w:kern w:val="0"/>
          <w:sz w:val="30"/>
          <w:szCs w:val="30"/>
        </w:rPr>
      </w:pPr>
    </w:p>
    <w:p w14:paraId="6C9C99C7">
      <w:pPr>
        <w:spacing w:line="360" w:lineRule="auto"/>
        <w:outlineLvl w:val="1"/>
        <w:rPr>
          <w:rFonts w:ascii="宋体" w:hAnsi="宋体"/>
          <w:b/>
          <w:kern w:val="0"/>
          <w:sz w:val="30"/>
          <w:szCs w:val="30"/>
        </w:rPr>
      </w:pPr>
    </w:p>
    <w:p w14:paraId="2EC31DAE">
      <w:pPr>
        <w:spacing w:line="360" w:lineRule="auto"/>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val="en-US" w:eastAsia="zh-CN"/>
        </w:rPr>
        <w:t>六</w:t>
      </w:r>
      <w:r>
        <w:rPr>
          <w:rFonts w:hint="eastAsia" w:ascii="宋体" w:hAnsi="宋体"/>
          <w:b/>
          <w:kern w:val="0"/>
          <w:sz w:val="30"/>
          <w:szCs w:val="30"/>
        </w:rPr>
        <w:t>：</w:t>
      </w:r>
    </w:p>
    <w:p w14:paraId="6D130C43">
      <w:pPr>
        <w:spacing w:line="360" w:lineRule="auto"/>
        <w:jc w:val="center"/>
        <w:outlineLvl w:val="1"/>
        <w:rPr>
          <w:rFonts w:ascii="宋体" w:hAnsi="宋体"/>
          <w:b/>
          <w:bCs/>
          <w:sz w:val="30"/>
          <w:szCs w:val="20"/>
        </w:rPr>
      </w:pPr>
      <w:r>
        <w:rPr>
          <w:rFonts w:hint="eastAsia" w:ascii="宋体" w:hAnsi="宋体"/>
          <w:b/>
          <w:kern w:val="0"/>
          <w:sz w:val="30"/>
          <w:szCs w:val="30"/>
        </w:rPr>
        <w:t>企业荣誉情况</w:t>
      </w:r>
    </w:p>
    <w:p w14:paraId="7B79C3A7">
      <w:pPr>
        <w:spacing w:line="360" w:lineRule="auto"/>
        <w:rPr>
          <w:rFonts w:ascii="宋体" w:hAnsi="宋体"/>
          <w:spacing w:val="14"/>
          <w:szCs w:val="21"/>
        </w:rPr>
      </w:pPr>
      <w:r>
        <w:rPr>
          <w:rFonts w:hint="eastAsia" w:ascii="宋体" w:hAnsi="宋体"/>
          <w:spacing w:val="14"/>
          <w:szCs w:val="21"/>
        </w:rPr>
        <w:t>企业荣誉证书（提供复印件并</w:t>
      </w:r>
      <w:r>
        <w:rPr>
          <w:rFonts w:hint="eastAsia" w:ascii="宋体" w:hAnsi="宋体"/>
          <w:bCs/>
          <w:szCs w:val="21"/>
        </w:rPr>
        <w:t>加盖公章</w:t>
      </w:r>
      <w:r>
        <w:rPr>
          <w:rFonts w:hint="eastAsia" w:ascii="宋体" w:hAnsi="宋体"/>
          <w:spacing w:val="14"/>
          <w:szCs w:val="21"/>
        </w:rPr>
        <w:t>）；</w:t>
      </w:r>
    </w:p>
    <w:p w14:paraId="5943D61B">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45D5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2CC69BE">
            <w:pPr>
              <w:spacing w:line="360" w:lineRule="auto"/>
              <w:jc w:val="center"/>
              <w:rPr>
                <w:rFonts w:ascii="宋体" w:hAnsi="宋体"/>
                <w:bCs/>
                <w:szCs w:val="21"/>
              </w:rPr>
            </w:pPr>
            <w:r>
              <w:rPr>
                <w:rFonts w:hint="eastAsia" w:ascii="宋体" w:hAnsi="宋体"/>
                <w:bCs/>
                <w:szCs w:val="21"/>
              </w:rPr>
              <w:t>序号</w:t>
            </w:r>
          </w:p>
        </w:tc>
        <w:tc>
          <w:tcPr>
            <w:tcW w:w="1811" w:type="dxa"/>
          </w:tcPr>
          <w:p w14:paraId="3EF8923A">
            <w:pPr>
              <w:spacing w:line="360" w:lineRule="auto"/>
              <w:jc w:val="center"/>
              <w:rPr>
                <w:rFonts w:ascii="宋体" w:hAnsi="宋体"/>
                <w:bCs/>
                <w:szCs w:val="21"/>
              </w:rPr>
            </w:pPr>
            <w:r>
              <w:rPr>
                <w:rFonts w:hint="eastAsia" w:ascii="宋体" w:hAnsi="宋体"/>
                <w:bCs/>
                <w:szCs w:val="21"/>
              </w:rPr>
              <w:t>证书名称</w:t>
            </w:r>
          </w:p>
        </w:tc>
        <w:tc>
          <w:tcPr>
            <w:tcW w:w="1596" w:type="dxa"/>
          </w:tcPr>
          <w:p w14:paraId="4F40FCB3">
            <w:pPr>
              <w:spacing w:line="360" w:lineRule="auto"/>
              <w:jc w:val="center"/>
              <w:rPr>
                <w:rFonts w:ascii="宋体" w:hAnsi="宋体"/>
                <w:bCs/>
                <w:szCs w:val="21"/>
              </w:rPr>
            </w:pPr>
            <w:r>
              <w:rPr>
                <w:rFonts w:hint="eastAsia" w:ascii="宋体" w:hAnsi="宋体"/>
                <w:bCs/>
                <w:szCs w:val="21"/>
              </w:rPr>
              <w:t>颁发机构</w:t>
            </w:r>
          </w:p>
        </w:tc>
        <w:tc>
          <w:tcPr>
            <w:tcW w:w="1980" w:type="dxa"/>
          </w:tcPr>
          <w:p w14:paraId="41A2FBF8">
            <w:pPr>
              <w:spacing w:line="360" w:lineRule="auto"/>
              <w:jc w:val="center"/>
              <w:rPr>
                <w:rFonts w:ascii="宋体" w:hAnsi="宋体"/>
                <w:bCs/>
                <w:szCs w:val="21"/>
              </w:rPr>
            </w:pPr>
            <w:r>
              <w:rPr>
                <w:rFonts w:hint="eastAsia" w:ascii="宋体" w:hAnsi="宋体"/>
                <w:bCs/>
                <w:szCs w:val="21"/>
              </w:rPr>
              <w:t>颁发时间</w:t>
            </w:r>
          </w:p>
        </w:tc>
        <w:tc>
          <w:tcPr>
            <w:tcW w:w="2474" w:type="dxa"/>
          </w:tcPr>
          <w:p w14:paraId="4300DB96">
            <w:pPr>
              <w:spacing w:line="360" w:lineRule="auto"/>
              <w:jc w:val="center"/>
              <w:rPr>
                <w:rFonts w:ascii="宋体" w:hAnsi="宋体"/>
                <w:bCs/>
                <w:szCs w:val="21"/>
              </w:rPr>
            </w:pPr>
            <w:r>
              <w:rPr>
                <w:rFonts w:hint="eastAsia" w:ascii="宋体" w:hAnsi="宋体"/>
                <w:bCs/>
                <w:szCs w:val="21"/>
              </w:rPr>
              <w:t>备注</w:t>
            </w:r>
          </w:p>
        </w:tc>
      </w:tr>
      <w:tr w14:paraId="3210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EF189E8">
            <w:pPr>
              <w:spacing w:line="360" w:lineRule="auto"/>
              <w:rPr>
                <w:rFonts w:ascii="宋体" w:hAnsi="宋体"/>
                <w:bCs/>
                <w:szCs w:val="21"/>
              </w:rPr>
            </w:pPr>
          </w:p>
        </w:tc>
        <w:tc>
          <w:tcPr>
            <w:tcW w:w="1811" w:type="dxa"/>
          </w:tcPr>
          <w:p w14:paraId="1A4BBC37">
            <w:pPr>
              <w:spacing w:line="360" w:lineRule="auto"/>
              <w:rPr>
                <w:rFonts w:ascii="宋体" w:hAnsi="宋体"/>
                <w:bCs/>
                <w:szCs w:val="21"/>
              </w:rPr>
            </w:pPr>
          </w:p>
        </w:tc>
        <w:tc>
          <w:tcPr>
            <w:tcW w:w="1596" w:type="dxa"/>
          </w:tcPr>
          <w:p w14:paraId="014B464C">
            <w:pPr>
              <w:spacing w:line="360" w:lineRule="auto"/>
              <w:rPr>
                <w:rFonts w:ascii="宋体" w:hAnsi="宋体"/>
                <w:bCs/>
                <w:szCs w:val="21"/>
              </w:rPr>
            </w:pPr>
          </w:p>
        </w:tc>
        <w:tc>
          <w:tcPr>
            <w:tcW w:w="1980" w:type="dxa"/>
          </w:tcPr>
          <w:p w14:paraId="0C9CBF47">
            <w:pPr>
              <w:spacing w:line="360" w:lineRule="auto"/>
              <w:rPr>
                <w:rFonts w:ascii="宋体" w:hAnsi="宋体"/>
                <w:bCs/>
                <w:szCs w:val="21"/>
              </w:rPr>
            </w:pPr>
          </w:p>
        </w:tc>
        <w:tc>
          <w:tcPr>
            <w:tcW w:w="2474" w:type="dxa"/>
          </w:tcPr>
          <w:p w14:paraId="1CB8238C">
            <w:pPr>
              <w:spacing w:line="360" w:lineRule="auto"/>
              <w:rPr>
                <w:rFonts w:ascii="宋体" w:hAnsi="宋体"/>
                <w:bCs/>
                <w:szCs w:val="21"/>
              </w:rPr>
            </w:pPr>
          </w:p>
        </w:tc>
      </w:tr>
      <w:tr w14:paraId="5A22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3FECAA">
            <w:pPr>
              <w:spacing w:line="360" w:lineRule="auto"/>
              <w:rPr>
                <w:rFonts w:ascii="宋体" w:hAnsi="宋体"/>
                <w:bCs/>
                <w:szCs w:val="21"/>
              </w:rPr>
            </w:pPr>
          </w:p>
        </w:tc>
        <w:tc>
          <w:tcPr>
            <w:tcW w:w="1811" w:type="dxa"/>
          </w:tcPr>
          <w:p w14:paraId="16877C5B">
            <w:pPr>
              <w:spacing w:line="360" w:lineRule="auto"/>
              <w:rPr>
                <w:rFonts w:ascii="宋体" w:hAnsi="宋体"/>
                <w:bCs/>
                <w:szCs w:val="21"/>
              </w:rPr>
            </w:pPr>
          </w:p>
        </w:tc>
        <w:tc>
          <w:tcPr>
            <w:tcW w:w="1596" w:type="dxa"/>
          </w:tcPr>
          <w:p w14:paraId="0239E561">
            <w:pPr>
              <w:spacing w:line="360" w:lineRule="auto"/>
              <w:rPr>
                <w:rFonts w:ascii="宋体" w:hAnsi="宋体"/>
                <w:bCs/>
                <w:szCs w:val="21"/>
              </w:rPr>
            </w:pPr>
          </w:p>
        </w:tc>
        <w:tc>
          <w:tcPr>
            <w:tcW w:w="1980" w:type="dxa"/>
          </w:tcPr>
          <w:p w14:paraId="3C7A442A">
            <w:pPr>
              <w:spacing w:line="360" w:lineRule="auto"/>
              <w:rPr>
                <w:rFonts w:ascii="宋体" w:hAnsi="宋体"/>
                <w:bCs/>
                <w:szCs w:val="21"/>
              </w:rPr>
            </w:pPr>
          </w:p>
        </w:tc>
        <w:tc>
          <w:tcPr>
            <w:tcW w:w="2474" w:type="dxa"/>
          </w:tcPr>
          <w:p w14:paraId="5E0524FF">
            <w:pPr>
              <w:spacing w:line="360" w:lineRule="auto"/>
              <w:rPr>
                <w:rFonts w:ascii="宋体" w:hAnsi="宋体"/>
                <w:bCs/>
                <w:szCs w:val="21"/>
              </w:rPr>
            </w:pPr>
          </w:p>
        </w:tc>
      </w:tr>
      <w:tr w14:paraId="7AB0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5586AEB">
            <w:pPr>
              <w:spacing w:line="360" w:lineRule="auto"/>
              <w:rPr>
                <w:rFonts w:ascii="宋体" w:hAnsi="宋体"/>
                <w:bCs/>
                <w:szCs w:val="21"/>
              </w:rPr>
            </w:pPr>
          </w:p>
        </w:tc>
        <w:tc>
          <w:tcPr>
            <w:tcW w:w="1811" w:type="dxa"/>
          </w:tcPr>
          <w:p w14:paraId="1A2918D8">
            <w:pPr>
              <w:spacing w:line="360" w:lineRule="auto"/>
              <w:rPr>
                <w:rFonts w:ascii="宋体" w:hAnsi="宋体"/>
                <w:bCs/>
                <w:szCs w:val="21"/>
              </w:rPr>
            </w:pPr>
          </w:p>
        </w:tc>
        <w:tc>
          <w:tcPr>
            <w:tcW w:w="1596" w:type="dxa"/>
          </w:tcPr>
          <w:p w14:paraId="1FEFDB52">
            <w:pPr>
              <w:spacing w:line="360" w:lineRule="auto"/>
              <w:rPr>
                <w:rFonts w:ascii="宋体" w:hAnsi="宋体"/>
                <w:bCs/>
                <w:szCs w:val="21"/>
              </w:rPr>
            </w:pPr>
          </w:p>
        </w:tc>
        <w:tc>
          <w:tcPr>
            <w:tcW w:w="1980" w:type="dxa"/>
          </w:tcPr>
          <w:p w14:paraId="2288C62F">
            <w:pPr>
              <w:spacing w:line="360" w:lineRule="auto"/>
              <w:rPr>
                <w:rFonts w:ascii="宋体" w:hAnsi="宋体"/>
                <w:bCs/>
                <w:szCs w:val="21"/>
              </w:rPr>
            </w:pPr>
          </w:p>
        </w:tc>
        <w:tc>
          <w:tcPr>
            <w:tcW w:w="2474" w:type="dxa"/>
          </w:tcPr>
          <w:p w14:paraId="0407DB25">
            <w:pPr>
              <w:spacing w:line="360" w:lineRule="auto"/>
              <w:rPr>
                <w:rFonts w:ascii="宋体" w:hAnsi="宋体"/>
                <w:bCs/>
                <w:szCs w:val="21"/>
              </w:rPr>
            </w:pPr>
          </w:p>
        </w:tc>
      </w:tr>
      <w:tr w14:paraId="2EEF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677D91">
            <w:pPr>
              <w:spacing w:line="360" w:lineRule="auto"/>
              <w:rPr>
                <w:rFonts w:ascii="宋体" w:hAnsi="宋体"/>
                <w:bCs/>
                <w:szCs w:val="21"/>
              </w:rPr>
            </w:pPr>
          </w:p>
        </w:tc>
        <w:tc>
          <w:tcPr>
            <w:tcW w:w="1811" w:type="dxa"/>
          </w:tcPr>
          <w:p w14:paraId="21279148">
            <w:pPr>
              <w:spacing w:line="360" w:lineRule="auto"/>
              <w:rPr>
                <w:rFonts w:ascii="宋体" w:hAnsi="宋体"/>
                <w:bCs/>
                <w:szCs w:val="21"/>
              </w:rPr>
            </w:pPr>
          </w:p>
        </w:tc>
        <w:tc>
          <w:tcPr>
            <w:tcW w:w="1596" w:type="dxa"/>
          </w:tcPr>
          <w:p w14:paraId="787D1BA9">
            <w:pPr>
              <w:spacing w:line="360" w:lineRule="auto"/>
              <w:rPr>
                <w:rFonts w:ascii="宋体" w:hAnsi="宋体"/>
                <w:bCs/>
                <w:szCs w:val="21"/>
              </w:rPr>
            </w:pPr>
          </w:p>
        </w:tc>
        <w:tc>
          <w:tcPr>
            <w:tcW w:w="1980" w:type="dxa"/>
          </w:tcPr>
          <w:p w14:paraId="41438FCA">
            <w:pPr>
              <w:spacing w:line="360" w:lineRule="auto"/>
              <w:rPr>
                <w:rFonts w:ascii="宋体" w:hAnsi="宋体"/>
                <w:bCs/>
                <w:szCs w:val="21"/>
              </w:rPr>
            </w:pPr>
          </w:p>
        </w:tc>
        <w:tc>
          <w:tcPr>
            <w:tcW w:w="2474" w:type="dxa"/>
          </w:tcPr>
          <w:p w14:paraId="12EEEBE4">
            <w:pPr>
              <w:spacing w:line="360" w:lineRule="auto"/>
              <w:rPr>
                <w:rFonts w:ascii="宋体" w:hAnsi="宋体"/>
                <w:bCs/>
                <w:szCs w:val="21"/>
              </w:rPr>
            </w:pPr>
          </w:p>
        </w:tc>
      </w:tr>
      <w:tr w14:paraId="2A9C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A041F20">
            <w:pPr>
              <w:spacing w:line="360" w:lineRule="auto"/>
              <w:rPr>
                <w:rFonts w:ascii="宋体" w:hAnsi="宋体"/>
                <w:bCs/>
                <w:szCs w:val="21"/>
              </w:rPr>
            </w:pPr>
          </w:p>
        </w:tc>
        <w:tc>
          <w:tcPr>
            <w:tcW w:w="1811" w:type="dxa"/>
          </w:tcPr>
          <w:p w14:paraId="05860379">
            <w:pPr>
              <w:spacing w:line="360" w:lineRule="auto"/>
              <w:rPr>
                <w:rFonts w:ascii="宋体" w:hAnsi="宋体"/>
                <w:bCs/>
                <w:szCs w:val="21"/>
              </w:rPr>
            </w:pPr>
          </w:p>
        </w:tc>
        <w:tc>
          <w:tcPr>
            <w:tcW w:w="1596" w:type="dxa"/>
          </w:tcPr>
          <w:p w14:paraId="598BEBDD">
            <w:pPr>
              <w:spacing w:line="360" w:lineRule="auto"/>
              <w:rPr>
                <w:rFonts w:ascii="宋体" w:hAnsi="宋体"/>
                <w:bCs/>
                <w:szCs w:val="21"/>
              </w:rPr>
            </w:pPr>
          </w:p>
        </w:tc>
        <w:tc>
          <w:tcPr>
            <w:tcW w:w="1980" w:type="dxa"/>
          </w:tcPr>
          <w:p w14:paraId="62166A9A">
            <w:pPr>
              <w:spacing w:line="360" w:lineRule="auto"/>
              <w:rPr>
                <w:rFonts w:ascii="宋体" w:hAnsi="宋体"/>
                <w:bCs/>
                <w:szCs w:val="21"/>
              </w:rPr>
            </w:pPr>
          </w:p>
        </w:tc>
        <w:tc>
          <w:tcPr>
            <w:tcW w:w="2474" w:type="dxa"/>
          </w:tcPr>
          <w:p w14:paraId="28DA1516">
            <w:pPr>
              <w:spacing w:line="360" w:lineRule="auto"/>
              <w:rPr>
                <w:rFonts w:ascii="宋体" w:hAnsi="宋体"/>
                <w:bCs/>
                <w:szCs w:val="21"/>
              </w:rPr>
            </w:pPr>
          </w:p>
        </w:tc>
      </w:tr>
      <w:tr w14:paraId="1FB2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6FD9697">
            <w:pPr>
              <w:spacing w:line="360" w:lineRule="auto"/>
              <w:rPr>
                <w:rFonts w:ascii="宋体" w:hAnsi="宋体"/>
                <w:bCs/>
                <w:szCs w:val="21"/>
              </w:rPr>
            </w:pPr>
          </w:p>
        </w:tc>
        <w:tc>
          <w:tcPr>
            <w:tcW w:w="1811" w:type="dxa"/>
          </w:tcPr>
          <w:p w14:paraId="0B8E5132">
            <w:pPr>
              <w:spacing w:line="360" w:lineRule="auto"/>
              <w:rPr>
                <w:rFonts w:ascii="宋体" w:hAnsi="宋体"/>
                <w:bCs/>
                <w:szCs w:val="21"/>
              </w:rPr>
            </w:pPr>
          </w:p>
        </w:tc>
        <w:tc>
          <w:tcPr>
            <w:tcW w:w="1596" w:type="dxa"/>
          </w:tcPr>
          <w:p w14:paraId="56BAF570">
            <w:pPr>
              <w:spacing w:line="360" w:lineRule="auto"/>
              <w:rPr>
                <w:rFonts w:ascii="宋体" w:hAnsi="宋体"/>
                <w:bCs/>
                <w:szCs w:val="21"/>
              </w:rPr>
            </w:pPr>
          </w:p>
        </w:tc>
        <w:tc>
          <w:tcPr>
            <w:tcW w:w="1980" w:type="dxa"/>
          </w:tcPr>
          <w:p w14:paraId="4B169A72">
            <w:pPr>
              <w:spacing w:line="360" w:lineRule="auto"/>
              <w:rPr>
                <w:rFonts w:ascii="宋体" w:hAnsi="宋体"/>
                <w:bCs/>
                <w:szCs w:val="21"/>
              </w:rPr>
            </w:pPr>
          </w:p>
        </w:tc>
        <w:tc>
          <w:tcPr>
            <w:tcW w:w="2474" w:type="dxa"/>
          </w:tcPr>
          <w:p w14:paraId="06706AFF">
            <w:pPr>
              <w:spacing w:line="360" w:lineRule="auto"/>
              <w:rPr>
                <w:rFonts w:ascii="宋体" w:hAnsi="宋体"/>
                <w:bCs/>
                <w:szCs w:val="21"/>
              </w:rPr>
            </w:pPr>
          </w:p>
        </w:tc>
      </w:tr>
      <w:tr w14:paraId="0218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E12D1C">
            <w:pPr>
              <w:spacing w:line="360" w:lineRule="auto"/>
              <w:rPr>
                <w:rFonts w:ascii="宋体" w:hAnsi="宋体"/>
                <w:bCs/>
                <w:szCs w:val="21"/>
              </w:rPr>
            </w:pPr>
          </w:p>
        </w:tc>
        <w:tc>
          <w:tcPr>
            <w:tcW w:w="1811" w:type="dxa"/>
          </w:tcPr>
          <w:p w14:paraId="258FDA83">
            <w:pPr>
              <w:spacing w:line="360" w:lineRule="auto"/>
              <w:rPr>
                <w:rFonts w:ascii="宋体" w:hAnsi="宋体"/>
                <w:bCs/>
                <w:szCs w:val="21"/>
              </w:rPr>
            </w:pPr>
          </w:p>
        </w:tc>
        <w:tc>
          <w:tcPr>
            <w:tcW w:w="1596" w:type="dxa"/>
          </w:tcPr>
          <w:p w14:paraId="633EBF75">
            <w:pPr>
              <w:spacing w:line="360" w:lineRule="auto"/>
              <w:rPr>
                <w:rFonts w:ascii="宋体" w:hAnsi="宋体"/>
                <w:bCs/>
                <w:szCs w:val="21"/>
              </w:rPr>
            </w:pPr>
          </w:p>
        </w:tc>
        <w:tc>
          <w:tcPr>
            <w:tcW w:w="1980" w:type="dxa"/>
          </w:tcPr>
          <w:p w14:paraId="7DE1324A">
            <w:pPr>
              <w:spacing w:line="360" w:lineRule="auto"/>
              <w:rPr>
                <w:rFonts w:ascii="宋体" w:hAnsi="宋体"/>
                <w:bCs/>
                <w:szCs w:val="21"/>
              </w:rPr>
            </w:pPr>
          </w:p>
        </w:tc>
        <w:tc>
          <w:tcPr>
            <w:tcW w:w="2474" w:type="dxa"/>
          </w:tcPr>
          <w:p w14:paraId="481A6033">
            <w:pPr>
              <w:spacing w:line="360" w:lineRule="auto"/>
              <w:rPr>
                <w:rFonts w:ascii="宋体" w:hAnsi="宋体"/>
                <w:bCs/>
                <w:szCs w:val="21"/>
              </w:rPr>
            </w:pPr>
          </w:p>
        </w:tc>
      </w:tr>
      <w:tr w14:paraId="5B21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1B24D91">
            <w:pPr>
              <w:spacing w:line="360" w:lineRule="auto"/>
              <w:rPr>
                <w:rFonts w:ascii="宋体" w:hAnsi="宋体"/>
                <w:bCs/>
                <w:szCs w:val="21"/>
              </w:rPr>
            </w:pPr>
          </w:p>
        </w:tc>
        <w:tc>
          <w:tcPr>
            <w:tcW w:w="1811" w:type="dxa"/>
          </w:tcPr>
          <w:p w14:paraId="7CBF80F5">
            <w:pPr>
              <w:spacing w:line="360" w:lineRule="auto"/>
              <w:rPr>
                <w:rFonts w:ascii="宋体" w:hAnsi="宋体"/>
                <w:bCs/>
                <w:szCs w:val="21"/>
              </w:rPr>
            </w:pPr>
          </w:p>
        </w:tc>
        <w:tc>
          <w:tcPr>
            <w:tcW w:w="1596" w:type="dxa"/>
          </w:tcPr>
          <w:p w14:paraId="70196209">
            <w:pPr>
              <w:spacing w:line="360" w:lineRule="auto"/>
              <w:rPr>
                <w:rFonts w:ascii="宋体" w:hAnsi="宋体"/>
                <w:bCs/>
                <w:szCs w:val="21"/>
              </w:rPr>
            </w:pPr>
          </w:p>
        </w:tc>
        <w:tc>
          <w:tcPr>
            <w:tcW w:w="1980" w:type="dxa"/>
          </w:tcPr>
          <w:p w14:paraId="1693D8B2">
            <w:pPr>
              <w:spacing w:line="360" w:lineRule="auto"/>
              <w:rPr>
                <w:rFonts w:ascii="宋体" w:hAnsi="宋体"/>
                <w:bCs/>
                <w:szCs w:val="21"/>
              </w:rPr>
            </w:pPr>
          </w:p>
        </w:tc>
        <w:tc>
          <w:tcPr>
            <w:tcW w:w="2474" w:type="dxa"/>
          </w:tcPr>
          <w:p w14:paraId="08B4057C">
            <w:pPr>
              <w:spacing w:line="360" w:lineRule="auto"/>
              <w:rPr>
                <w:rFonts w:ascii="宋体" w:hAnsi="宋体"/>
                <w:bCs/>
                <w:szCs w:val="21"/>
              </w:rPr>
            </w:pPr>
          </w:p>
        </w:tc>
      </w:tr>
      <w:tr w14:paraId="40F9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2328FA0">
            <w:pPr>
              <w:spacing w:line="360" w:lineRule="auto"/>
              <w:rPr>
                <w:rFonts w:ascii="宋体" w:hAnsi="宋体"/>
                <w:bCs/>
                <w:szCs w:val="21"/>
              </w:rPr>
            </w:pPr>
          </w:p>
        </w:tc>
        <w:tc>
          <w:tcPr>
            <w:tcW w:w="1811" w:type="dxa"/>
          </w:tcPr>
          <w:p w14:paraId="60736C0F">
            <w:pPr>
              <w:spacing w:line="360" w:lineRule="auto"/>
              <w:rPr>
                <w:rFonts w:ascii="宋体" w:hAnsi="宋体"/>
                <w:bCs/>
                <w:szCs w:val="21"/>
              </w:rPr>
            </w:pPr>
          </w:p>
        </w:tc>
        <w:tc>
          <w:tcPr>
            <w:tcW w:w="1596" w:type="dxa"/>
          </w:tcPr>
          <w:p w14:paraId="5E1A324C">
            <w:pPr>
              <w:spacing w:line="360" w:lineRule="auto"/>
              <w:rPr>
                <w:rFonts w:ascii="宋体" w:hAnsi="宋体"/>
                <w:bCs/>
                <w:szCs w:val="21"/>
              </w:rPr>
            </w:pPr>
          </w:p>
        </w:tc>
        <w:tc>
          <w:tcPr>
            <w:tcW w:w="1980" w:type="dxa"/>
          </w:tcPr>
          <w:p w14:paraId="44F812E1">
            <w:pPr>
              <w:spacing w:line="360" w:lineRule="auto"/>
              <w:rPr>
                <w:rFonts w:ascii="宋体" w:hAnsi="宋体"/>
                <w:bCs/>
                <w:szCs w:val="21"/>
              </w:rPr>
            </w:pPr>
          </w:p>
        </w:tc>
        <w:tc>
          <w:tcPr>
            <w:tcW w:w="2474" w:type="dxa"/>
          </w:tcPr>
          <w:p w14:paraId="097E8267">
            <w:pPr>
              <w:spacing w:line="360" w:lineRule="auto"/>
              <w:rPr>
                <w:rFonts w:ascii="宋体" w:hAnsi="宋体"/>
                <w:bCs/>
                <w:szCs w:val="21"/>
              </w:rPr>
            </w:pPr>
          </w:p>
        </w:tc>
      </w:tr>
      <w:tr w14:paraId="679F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625B82C">
            <w:pPr>
              <w:spacing w:line="360" w:lineRule="auto"/>
              <w:rPr>
                <w:rFonts w:ascii="宋体" w:hAnsi="宋体"/>
                <w:bCs/>
                <w:szCs w:val="21"/>
              </w:rPr>
            </w:pPr>
          </w:p>
        </w:tc>
        <w:tc>
          <w:tcPr>
            <w:tcW w:w="1811" w:type="dxa"/>
          </w:tcPr>
          <w:p w14:paraId="0C85E9B4">
            <w:pPr>
              <w:spacing w:line="360" w:lineRule="auto"/>
              <w:rPr>
                <w:rFonts w:ascii="宋体" w:hAnsi="宋体"/>
                <w:bCs/>
                <w:szCs w:val="21"/>
              </w:rPr>
            </w:pPr>
          </w:p>
        </w:tc>
        <w:tc>
          <w:tcPr>
            <w:tcW w:w="1596" w:type="dxa"/>
          </w:tcPr>
          <w:p w14:paraId="6BFE0448">
            <w:pPr>
              <w:spacing w:line="360" w:lineRule="auto"/>
              <w:rPr>
                <w:rFonts w:ascii="宋体" w:hAnsi="宋体"/>
                <w:bCs/>
                <w:szCs w:val="21"/>
              </w:rPr>
            </w:pPr>
          </w:p>
        </w:tc>
        <w:tc>
          <w:tcPr>
            <w:tcW w:w="1980" w:type="dxa"/>
          </w:tcPr>
          <w:p w14:paraId="589D5D94">
            <w:pPr>
              <w:spacing w:line="360" w:lineRule="auto"/>
              <w:rPr>
                <w:rFonts w:ascii="宋体" w:hAnsi="宋体"/>
                <w:bCs/>
                <w:szCs w:val="21"/>
              </w:rPr>
            </w:pPr>
          </w:p>
        </w:tc>
        <w:tc>
          <w:tcPr>
            <w:tcW w:w="2474" w:type="dxa"/>
          </w:tcPr>
          <w:p w14:paraId="0C1DF0B7">
            <w:pPr>
              <w:spacing w:line="360" w:lineRule="auto"/>
              <w:rPr>
                <w:rFonts w:ascii="宋体" w:hAnsi="宋体"/>
                <w:bCs/>
                <w:szCs w:val="21"/>
              </w:rPr>
            </w:pPr>
          </w:p>
        </w:tc>
      </w:tr>
    </w:tbl>
    <w:p w14:paraId="0AA83826">
      <w:pPr>
        <w:spacing w:beforeLines="50" w:afterLines="50" w:line="360" w:lineRule="auto"/>
        <w:rPr>
          <w:rFonts w:ascii="宋体" w:hAnsi="宋体"/>
          <w:szCs w:val="21"/>
        </w:rPr>
      </w:pPr>
      <w:r>
        <w:rPr>
          <w:rFonts w:hint="eastAsia" w:ascii="宋体" w:hAnsi="宋体"/>
          <w:szCs w:val="21"/>
        </w:rPr>
        <w:t>磋商响应方全称（加盖</w:t>
      </w:r>
      <w:r>
        <w:rPr>
          <w:rFonts w:ascii="宋体" w:hAnsi="宋体"/>
          <w:szCs w:val="21"/>
        </w:rPr>
        <w:t>公</w:t>
      </w:r>
      <w:r>
        <w:rPr>
          <w:rFonts w:hint="eastAsia" w:ascii="宋体" w:hAnsi="宋体"/>
          <w:szCs w:val="21"/>
        </w:rPr>
        <w:t>章）：</w:t>
      </w:r>
    </w:p>
    <w:p w14:paraId="163E5793">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14:paraId="2088F4A9">
      <w:pPr>
        <w:spacing w:line="360" w:lineRule="auto"/>
        <w:rPr>
          <w:rFonts w:ascii="宋体" w:hAnsi="宋体"/>
          <w:b/>
          <w:bCs/>
          <w:sz w:val="24"/>
          <w:szCs w:val="20"/>
        </w:rPr>
      </w:pPr>
      <w:r>
        <w:rPr>
          <w:rFonts w:hint="eastAsia" w:ascii="宋体" w:hAnsi="宋体"/>
          <w:b/>
          <w:sz w:val="24"/>
          <w:szCs w:val="20"/>
        </w:rPr>
        <w:t>注：1、</w:t>
      </w:r>
      <w:r>
        <w:rPr>
          <w:rFonts w:hint="eastAsia" w:ascii="宋体" w:hAnsi="宋体"/>
          <w:b/>
          <w:bCs/>
          <w:sz w:val="24"/>
          <w:szCs w:val="20"/>
        </w:rPr>
        <w:t>企业荣誉是     年1月1日至今由行政部门颁发的荣誉证书</w:t>
      </w:r>
    </w:p>
    <w:p w14:paraId="30201EFF">
      <w:pPr>
        <w:spacing w:line="360" w:lineRule="auto"/>
        <w:ind w:left="424" w:leftChars="202"/>
        <w:rPr>
          <w:rFonts w:ascii="宋体" w:hAnsi="宋体"/>
          <w:b/>
          <w:sz w:val="24"/>
          <w:szCs w:val="20"/>
        </w:rPr>
      </w:pPr>
      <w:r>
        <w:rPr>
          <w:rFonts w:hint="eastAsia" w:ascii="宋体" w:hAnsi="宋体"/>
          <w:b/>
          <w:sz w:val="24"/>
          <w:szCs w:val="20"/>
        </w:rPr>
        <w:t>2、此表仅提供了表格形式，磋商响应方应根据需要准备足够数量的表格来填写。</w:t>
      </w:r>
    </w:p>
    <w:p w14:paraId="747E6942">
      <w:pPr>
        <w:spacing w:line="360" w:lineRule="auto"/>
        <w:outlineLvl w:val="1"/>
        <w:rPr>
          <w:rFonts w:ascii="宋体" w:hAnsi="宋体"/>
          <w:b/>
          <w:kern w:val="0"/>
          <w:sz w:val="30"/>
          <w:szCs w:val="30"/>
        </w:rPr>
      </w:pPr>
      <w:r>
        <w:rPr>
          <w:rFonts w:ascii="宋体" w:hAnsi="宋体"/>
          <w:spacing w:val="14"/>
          <w:sz w:val="30"/>
          <w:szCs w:val="20"/>
        </w:rPr>
        <w:br w:type="page"/>
      </w:r>
      <w:r>
        <w:rPr>
          <w:rFonts w:hint="eastAsia" w:ascii="宋体" w:hAnsi="宋体"/>
          <w:b/>
          <w:kern w:val="0"/>
          <w:sz w:val="30"/>
          <w:szCs w:val="30"/>
        </w:rPr>
        <w:t>附件</w:t>
      </w:r>
      <w:r>
        <w:rPr>
          <w:rFonts w:hint="eastAsia" w:ascii="宋体" w:hAnsi="宋体"/>
          <w:b/>
          <w:kern w:val="0"/>
          <w:sz w:val="30"/>
          <w:szCs w:val="30"/>
          <w:lang w:val="en-US" w:eastAsia="zh-CN"/>
        </w:rPr>
        <w:t>七</w:t>
      </w:r>
      <w:r>
        <w:rPr>
          <w:rFonts w:ascii="宋体" w:hAnsi="宋体"/>
          <w:b/>
          <w:kern w:val="0"/>
          <w:sz w:val="30"/>
          <w:szCs w:val="30"/>
        </w:rPr>
        <w:t>：</w:t>
      </w:r>
    </w:p>
    <w:p w14:paraId="069A521B">
      <w:pPr>
        <w:spacing w:line="360" w:lineRule="auto"/>
        <w:jc w:val="center"/>
        <w:outlineLvl w:val="1"/>
        <w:rPr>
          <w:rFonts w:ascii="宋体" w:hAnsi="宋体"/>
          <w:b/>
          <w:bCs/>
          <w:sz w:val="30"/>
          <w:szCs w:val="20"/>
        </w:rPr>
      </w:pPr>
      <w:r>
        <w:rPr>
          <w:rFonts w:hint="eastAsia" w:ascii="宋体" w:hAnsi="宋体"/>
          <w:b/>
          <w:kern w:val="0"/>
          <w:sz w:val="30"/>
          <w:szCs w:val="30"/>
        </w:rPr>
        <w:t>企业业绩情况</w:t>
      </w:r>
    </w:p>
    <w:p w14:paraId="21D4452B">
      <w:pPr>
        <w:spacing w:line="360" w:lineRule="auto"/>
        <w:rPr>
          <w:rFonts w:ascii="宋体" w:hAnsi="宋体"/>
          <w:b/>
          <w:spacing w:val="14"/>
          <w:szCs w:val="21"/>
        </w:rPr>
      </w:pPr>
      <w:r>
        <w:rPr>
          <w:rFonts w:hint="eastAsia" w:ascii="宋体" w:hAnsi="宋体"/>
          <w:b/>
          <w:szCs w:val="21"/>
        </w:rPr>
        <w:t>注：</w:t>
      </w:r>
      <w:r>
        <w:rPr>
          <w:rFonts w:hint="eastAsia" w:ascii="宋体" w:hAnsi="宋体"/>
          <w:bCs/>
          <w:sz w:val="24"/>
          <w:szCs w:val="20"/>
        </w:rPr>
        <w:t>企业业绩是指磋商响应方     年1月1日至今            (复印件并加盖公章）；</w:t>
      </w:r>
    </w:p>
    <w:p w14:paraId="2424F507">
      <w:pPr>
        <w:spacing w:line="360" w:lineRule="auto"/>
        <w:rPr>
          <w:rFonts w:ascii="宋体" w:hAnsi="宋体"/>
          <w:b/>
          <w:bCs/>
          <w:sz w:val="24"/>
          <w:szCs w:val="24"/>
        </w:rPr>
      </w:pPr>
    </w:p>
    <w:p w14:paraId="5BBBA9D1">
      <w:pPr>
        <w:spacing w:line="360" w:lineRule="auto"/>
        <w:rPr>
          <w:rFonts w:ascii="Times New Roman" w:hAnsi="Times New Roman"/>
          <w:b/>
          <w:bCs/>
          <w:szCs w:val="21"/>
        </w:rPr>
      </w:pPr>
      <w:r>
        <w:rPr>
          <w:rFonts w:hint="eastAsia" w:ascii="Times New Roman" w:hAnsi="Times New Roman"/>
          <w:szCs w:val="21"/>
        </w:rPr>
        <w:t xml:space="preserve">采购项目名称：                  采购编号：             </w:t>
      </w:r>
    </w:p>
    <w:p w14:paraId="78CE911E">
      <w:pPr>
        <w:spacing w:line="360" w:lineRule="auto"/>
        <w:rPr>
          <w:rFonts w:ascii="宋体" w:hAnsi="宋体"/>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2C79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9BE089C">
            <w:pPr>
              <w:spacing w:line="360" w:lineRule="auto"/>
              <w:jc w:val="center"/>
              <w:rPr>
                <w:rFonts w:ascii="宋体" w:hAnsi="宋体"/>
                <w:bCs/>
                <w:szCs w:val="21"/>
              </w:rPr>
            </w:pPr>
            <w:r>
              <w:rPr>
                <w:rFonts w:hint="eastAsia" w:ascii="宋体" w:hAnsi="宋体"/>
                <w:bCs/>
                <w:szCs w:val="21"/>
              </w:rPr>
              <w:t>序号</w:t>
            </w:r>
          </w:p>
        </w:tc>
        <w:tc>
          <w:tcPr>
            <w:tcW w:w="1811" w:type="dxa"/>
          </w:tcPr>
          <w:p w14:paraId="46CD5141">
            <w:pPr>
              <w:spacing w:line="360" w:lineRule="auto"/>
              <w:jc w:val="center"/>
              <w:rPr>
                <w:rFonts w:ascii="宋体" w:hAnsi="宋体"/>
                <w:bCs/>
                <w:szCs w:val="21"/>
              </w:rPr>
            </w:pPr>
            <w:r>
              <w:rPr>
                <w:rFonts w:hint="eastAsia" w:ascii="宋体" w:hAnsi="宋体"/>
                <w:bCs/>
                <w:szCs w:val="21"/>
              </w:rPr>
              <w:t>业主方</w:t>
            </w:r>
          </w:p>
        </w:tc>
        <w:tc>
          <w:tcPr>
            <w:tcW w:w="1440" w:type="dxa"/>
          </w:tcPr>
          <w:p w14:paraId="7EBAFAD3">
            <w:pPr>
              <w:spacing w:line="360" w:lineRule="auto"/>
              <w:jc w:val="center"/>
              <w:rPr>
                <w:rFonts w:ascii="宋体" w:hAnsi="宋体"/>
                <w:bCs/>
                <w:szCs w:val="21"/>
              </w:rPr>
            </w:pPr>
            <w:r>
              <w:rPr>
                <w:rFonts w:hint="eastAsia" w:ascii="宋体" w:hAnsi="宋体"/>
                <w:bCs/>
                <w:szCs w:val="21"/>
              </w:rPr>
              <w:t>合同金额</w:t>
            </w:r>
          </w:p>
        </w:tc>
        <w:tc>
          <w:tcPr>
            <w:tcW w:w="1440" w:type="dxa"/>
          </w:tcPr>
          <w:p w14:paraId="2B92A745">
            <w:pPr>
              <w:spacing w:line="360" w:lineRule="auto"/>
              <w:jc w:val="center"/>
              <w:rPr>
                <w:rFonts w:ascii="宋体" w:hAnsi="宋体"/>
                <w:bCs/>
                <w:szCs w:val="21"/>
              </w:rPr>
            </w:pPr>
            <w:r>
              <w:rPr>
                <w:rFonts w:hint="eastAsia" w:ascii="宋体" w:hAnsi="宋体"/>
                <w:bCs/>
                <w:szCs w:val="21"/>
              </w:rPr>
              <w:t>签订时间</w:t>
            </w:r>
          </w:p>
        </w:tc>
        <w:tc>
          <w:tcPr>
            <w:tcW w:w="1971" w:type="dxa"/>
          </w:tcPr>
          <w:p w14:paraId="04E1CD95">
            <w:pPr>
              <w:spacing w:line="360" w:lineRule="auto"/>
              <w:jc w:val="center"/>
              <w:rPr>
                <w:rFonts w:ascii="宋体" w:hAnsi="宋体"/>
                <w:bCs/>
                <w:szCs w:val="21"/>
              </w:rPr>
            </w:pPr>
            <w:r>
              <w:rPr>
                <w:rFonts w:hint="eastAsia" w:ascii="宋体" w:hAnsi="宋体"/>
                <w:bCs/>
                <w:szCs w:val="21"/>
              </w:rPr>
              <w:t>业主联系人</w:t>
            </w:r>
          </w:p>
        </w:tc>
        <w:tc>
          <w:tcPr>
            <w:tcW w:w="1418" w:type="dxa"/>
          </w:tcPr>
          <w:p w14:paraId="7D8E4C74">
            <w:pPr>
              <w:spacing w:line="360" w:lineRule="auto"/>
              <w:jc w:val="center"/>
              <w:rPr>
                <w:rFonts w:ascii="宋体" w:hAnsi="宋体"/>
                <w:bCs/>
                <w:szCs w:val="21"/>
              </w:rPr>
            </w:pPr>
            <w:r>
              <w:rPr>
                <w:rFonts w:hint="eastAsia" w:ascii="宋体" w:hAnsi="宋体"/>
                <w:bCs/>
                <w:szCs w:val="21"/>
              </w:rPr>
              <w:t>联系方式</w:t>
            </w:r>
          </w:p>
        </w:tc>
      </w:tr>
      <w:tr w14:paraId="0718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4F83DD">
            <w:pPr>
              <w:spacing w:line="360" w:lineRule="auto"/>
              <w:rPr>
                <w:rFonts w:ascii="宋体" w:hAnsi="宋体"/>
                <w:bCs/>
                <w:szCs w:val="21"/>
              </w:rPr>
            </w:pPr>
          </w:p>
        </w:tc>
        <w:tc>
          <w:tcPr>
            <w:tcW w:w="1811" w:type="dxa"/>
          </w:tcPr>
          <w:p w14:paraId="31D87CA2">
            <w:pPr>
              <w:spacing w:line="360" w:lineRule="auto"/>
              <w:rPr>
                <w:rFonts w:ascii="宋体" w:hAnsi="宋体"/>
                <w:bCs/>
                <w:szCs w:val="21"/>
              </w:rPr>
            </w:pPr>
          </w:p>
        </w:tc>
        <w:tc>
          <w:tcPr>
            <w:tcW w:w="1440" w:type="dxa"/>
          </w:tcPr>
          <w:p w14:paraId="50467D11">
            <w:pPr>
              <w:spacing w:line="360" w:lineRule="auto"/>
              <w:rPr>
                <w:rFonts w:ascii="宋体" w:hAnsi="宋体"/>
                <w:bCs/>
                <w:szCs w:val="21"/>
              </w:rPr>
            </w:pPr>
          </w:p>
        </w:tc>
        <w:tc>
          <w:tcPr>
            <w:tcW w:w="1440" w:type="dxa"/>
          </w:tcPr>
          <w:p w14:paraId="68BA416E">
            <w:pPr>
              <w:spacing w:line="360" w:lineRule="auto"/>
              <w:rPr>
                <w:rFonts w:ascii="宋体" w:hAnsi="宋体"/>
                <w:bCs/>
                <w:szCs w:val="21"/>
              </w:rPr>
            </w:pPr>
          </w:p>
        </w:tc>
        <w:tc>
          <w:tcPr>
            <w:tcW w:w="1971" w:type="dxa"/>
          </w:tcPr>
          <w:p w14:paraId="47FDE4D0">
            <w:pPr>
              <w:spacing w:line="360" w:lineRule="auto"/>
              <w:rPr>
                <w:rFonts w:ascii="宋体" w:hAnsi="宋体"/>
                <w:bCs/>
                <w:szCs w:val="21"/>
              </w:rPr>
            </w:pPr>
          </w:p>
        </w:tc>
        <w:tc>
          <w:tcPr>
            <w:tcW w:w="1418" w:type="dxa"/>
          </w:tcPr>
          <w:p w14:paraId="3287050D">
            <w:pPr>
              <w:spacing w:line="360" w:lineRule="auto"/>
              <w:rPr>
                <w:rFonts w:ascii="宋体" w:hAnsi="宋体"/>
                <w:bCs/>
                <w:szCs w:val="21"/>
              </w:rPr>
            </w:pPr>
          </w:p>
        </w:tc>
      </w:tr>
      <w:tr w14:paraId="084D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409B2B9">
            <w:pPr>
              <w:spacing w:line="360" w:lineRule="auto"/>
              <w:rPr>
                <w:rFonts w:ascii="宋体" w:hAnsi="宋体"/>
                <w:bCs/>
                <w:szCs w:val="21"/>
              </w:rPr>
            </w:pPr>
          </w:p>
        </w:tc>
        <w:tc>
          <w:tcPr>
            <w:tcW w:w="1811" w:type="dxa"/>
          </w:tcPr>
          <w:p w14:paraId="73E3D50A">
            <w:pPr>
              <w:spacing w:line="360" w:lineRule="auto"/>
              <w:rPr>
                <w:rFonts w:ascii="宋体" w:hAnsi="宋体"/>
                <w:bCs/>
                <w:szCs w:val="21"/>
              </w:rPr>
            </w:pPr>
          </w:p>
        </w:tc>
        <w:tc>
          <w:tcPr>
            <w:tcW w:w="1440" w:type="dxa"/>
          </w:tcPr>
          <w:p w14:paraId="220967A8">
            <w:pPr>
              <w:spacing w:line="360" w:lineRule="auto"/>
              <w:rPr>
                <w:rFonts w:ascii="宋体" w:hAnsi="宋体"/>
                <w:bCs/>
                <w:szCs w:val="21"/>
              </w:rPr>
            </w:pPr>
          </w:p>
        </w:tc>
        <w:tc>
          <w:tcPr>
            <w:tcW w:w="1440" w:type="dxa"/>
          </w:tcPr>
          <w:p w14:paraId="59268B85">
            <w:pPr>
              <w:spacing w:line="360" w:lineRule="auto"/>
              <w:rPr>
                <w:rFonts w:ascii="宋体" w:hAnsi="宋体"/>
                <w:bCs/>
                <w:szCs w:val="21"/>
              </w:rPr>
            </w:pPr>
          </w:p>
        </w:tc>
        <w:tc>
          <w:tcPr>
            <w:tcW w:w="1971" w:type="dxa"/>
          </w:tcPr>
          <w:p w14:paraId="4A78D931">
            <w:pPr>
              <w:spacing w:line="360" w:lineRule="auto"/>
              <w:rPr>
                <w:rFonts w:ascii="宋体" w:hAnsi="宋体"/>
                <w:bCs/>
                <w:szCs w:val="21"/>
              </w:rPr>
            </w:pPr>
          </w:p>
        </w:tc>
        <w:tc>
          <w:tcPr>
            <w:tcW w:w="1418" w:type="dxa"/>
          </w:tcPr>
          <w:p w14:paraId="0EBADD52">
            <w:pPr>
              <w:spacing w:line="360" w:lineRule="auto"/>
              <w:rPr>
                <w:rFonts w:ascii="宋体" w:hAnsi="宋体"/>
                <w:bCs/>
                <w:szCs w:val="21"/>
              </w:rPr>
            </w:pPr>
          </w:p>
        </w:tc>
      </w:tr>
      <w:tr w14:paraId="2069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BA6DC0D">
            <w:pPr>
              <w:spacing w:line="360" w:lineRule="auto"/>
              <w:rPr>
                <w:rFonts w:ascii="宋体" w:hAnsi="宋体"/>
                <w:bCs/>
                <w:szCs w:val="21"/>
              </w:rPr>
            </w:pPr>
          </w:p>
        </w:tc>
        <w:tc>
          <w:tcPr>
            <w:tcW w:w="1811" w:type="dxa"/>
          </w:tcPr>
          <w:p w14:paraId="0A91908E">
            <w:pPr>
              <w:spacing w:line="360" w:lineRule="auto"/>
              <w:rPr>
                <w:rFonts w:ascii="宋体" w:hAnsi="宋体"/>
                <w:bCs/>
                <w:szCs w:val="21"/>
              </w:rPr>
            </w:pPr>
          </w:p>
        </w:tc>
        <w:tc>
          <w:tcPr>
            <w:tcW w:w="1440" w:type="dxa"/>
          </w:tcPr>
          <w:p w14:paraId="4E687B83">
            <w:pPr>
              <w:spacing w:line="360" w:lineRule="auto"/>
              <w:rPr>
                <w:rFonts w:ascii="宋体" w:hAnsi="宋体"/>
                <w:bCs/>
                <w:szCs w:val="21"/>
              </w:rPr>
            </w:pPr>
          </w:p>
        </w:tc>
        <w:tc>
          <w:tcPr>
            <w:tcW w:w="1440" w:type="dxa"/>
          </w:tcPr>
          <w:p w14:paraId="7B379BD7">
            <w:pPr>
              <w:spacing w:line="360" w:lineRule="auto"/>
              <w:rPr>
                <w:rFonts w:ascii="宋体" w:hAnsi="宋体"/>
                <w:bCs/>
                <w:szCs w:val="21"/>
              </w:rPr>
            </w:pPr>
          </w:p>
        </w:tc>
        <w:tc>
          <w:tcPr>
            <w:tcW w:w="1971" w:type="dxa"/>
          </w:tcPr>
          <w:p w14:paraId="49EC9FB4">
            <w:pPr>
              <w:spacing w:line="360" w:lineRule="auto"/>
              <w:rPr>
                <w:rFonts w:ascii="宋体" w:hAnsi="宋体"/>
                <w:bCs/>
                <w:szCs w:val="21"/>
              </w:rPr>
            </w:pPr>
          </w:p>
        </w:tc>
        <w:tc>
          <w:tcPr>
            <w:tcW w:w="1418" w:type="dxa"/>
          </w:tcPr>
          <w:p w14:paraId="348FF87E">
            <w:pPr>
              <w:spacing w:line="360" w:lineRule="auto"/>
              <w:rPr>
                <w:rFonts w:ascii="宋体" w:hAnsi="宋体"/>
                <w:bCs/>
                <w:szCs w:val="21"/>
              </w:rPr>
            </w:pPr>
          </w:p>
        </w:tc>
      </w:tr>
      <w:tr w14:paraId="2579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0EAE806">
            <w:pPr>
              <w:spacing w:line="360" w:lineRule="auto"/>
              <w:rPr>
                <w:rFonts w:ascii="宋体" w:hAnsi="宋体"/>
                <w:bCs/>
                <w:szCs w:val="21"/>
              </w:rPr>
            </w:pPr>
          </w:p>
        </w:tc>
        <w:tc>
          <w:tcPr>
            <w:tcW w:w="1811" w:type="dxa"/>
          </w:tcPr>
          <w:p w14:paraId="038ACBCC">
            <w:pPr>
              <w:spacing w:line="360" w:lineRule="auto"/>
              <w:rPr>
                <w:rFonts w:ascii="宋体" w:hAnsi="宋体"/>
                <w:bCs/>
                <w:szCs w:val="21"/>
              </w:rPr>
            </w:pPr>
          </w:p>
        </w:tc>
        <w:tc>
          <w:tcPr>
            <w:tcW w:w="1440" w:type="dxa"/>
          </w:tcPr>
          <w:p w14:paraId="4D47ADEE">
            <w:pPr>
              <w:spacing w:line="360" w:lineRule="auto"/>
              <w:rPr>
                <w:rFonts w:ascii="宋体" w:hAnsi="宋体"/>
                <w:bCs/>
                <w:szCs w:val="21"/>
              </w:rPr>
            </w:pPr>
          </w:p>
        </w:tc>
        <w:tc>
          <w:tcPr>
            <w:tcW w:w="1440" w:type="dxa"/>
          </w:tcPr>
          <w:p w14:paraId="0F51B195">
            <w:pPr>
              <w:spacing w:line="360" w:lineRule="auto"/>
              <w:rPr>
                <w:rFonts w:ascii="宋体" w:hAnsi="宋体"/>
                <w:bCs/>
                <w:szCs w:val="21"/>
              </w:rPr>
            </w:pPr>
          </w:p>
        </w:tc>
        <w:tc>
          <w:tcPr>
            <w:tcW w:w="1971" w:type="dxa"/>
          </w:tcPr>
          <w:p w14:paraId="444E5A66">
            <w:pPr>
              <w:spacing w:line="360" w:lineRule="auto"/>
              <w:rPr>
                <w:rFonts w:ascii="宋体" w:hAnsi="宋体"/>
                <w:bCs/>
                <w:szCs w:val="21"/>
              </w:rPr>
            </w:pPr>
          </w:p>
        </w:tc>
        <w:tc>
          <w:tcPr>
            <w:tcW w:w="1418" w:type="dxa"/>
          </w:tcPr>
          <w:p w14:paraId="60A2B199">
            <w:pPr>
              <w:spacing w:line="360" w:lineRule="auto"/>
              <w:rPr>
                <w:rFonts w:ascii="宋体" w:hAnsi="宋体"/>
                <w:bCs/>
                <w:szCs w:val="21"/>
              </w:rPr>
            </w:pPr>
          </w:p>
        </w:tc>
      </w:tr>
      <w:tr w14:paraId="6E37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6B1CBA5">
            <w:pPr>
              <w:spacing w:line="360" w:lineRule="auto"/>
              <w:rPr>
                <w:rFonts w:ascii="宋体" w:hAnsi="宋体"/>
                <w:bCs/>
                <w:szCs w:val="21"/>
              </w:rPr>
            </w:pPr>
          </w:p>
        </w:tc>
        <w:tc>
          <w:tcPr>
            <w:tcW w:w="1811" w:type="dxa"/>
          </w:tcPr>
          <w:p w14:paraId="08B3E676">
            <w:pPr>
              <w:spacing w:line="360" w:lineRule="auto"/>
              <w:rPr>
                <w:rFonts w:ascii="宋体" w:hAnsi="宋体"/>
                <w:bCs/>
                <w:szCs w:val="21"/>
              </w:rPr>
            </w:pPr>
          </w:p>
        </w:tc>
        <w:tc>
          <w:tcPr>
            <w:tcW w:w="1440" w:type="dxa"/>
          </w:tcPr>
          <w:p w14:paraId="1A158108">
            <w:pPr>
              <w:spacing w:line="360" w:lineRule="auto"/>
              <w:rPr>
                <w:rFonts w:ascii="宋体" w:hAnsi="宋体"/>
                <w:bCs/>
                <w:szCs w:val="21"/>
              </w:rPr>
            </w:pPr>
          </w:p>
        </w:tc>
        <w:tc>
          <w:tcPr>
            <w:tcW w:w="1440" w:type="dxa"/>
          </w:tcPr>
          <w:p w14:paraId="5A691F4E">
            <w:pPr>
              <w:spacing w:line="360" w:lineRule="auto"/>
              <w:rPr>
                <w:rFonts w:ascii="宋体" w:hAnsi="宋体"/>
                <w:bCs/>
                <w:szCs w:val="21"/>
              </w:rPr>
            </w:pPr>
          </w:p>
        </w:tc>
        <w:tc>
          <w:tcPr>
            <w:tcW w:w="1971" w:type="dxa"/>
          </w:tcPr>
          <w:p w14:paraId="491A4EC9">
            <w:pPr>
              <w:spacing w:line="360" w:lineRule="auto"/>
              <w:rPr>
                <w:rFonts w:ascii="宋体" w:hAnsi="宋体"/>
                <w:bCs/>
                <w:szCs w:val="21"/>
              </w:rPr>
            </w:pPr>
          </w:p>
        </w:tc>
        <w:tc>
          <w:tcPr>
            <w:tcW w:w="1418" w:type="dxa"/>
          </w:tcPr>
          <w:p w14:paraId="2F2F9671">
            <w:pPr>
              <w:spacing w:line="360" w:lineRule="auto"/>
              <w:rPr>
                <w:rFonts w:ascii="宋体" w:hAnsi="宋体"/>
                <w:bCs/>
                <w:szCs w:val="21"/>
              </w:rPr>
            </w:pPr>
          </w:p>
        </w:tc>
      </w:tr>
      <w:tr w14:paraId="338F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6D9A4A6">
            <w:pPr>
              <w:spacing w:line="360" w:lineRule="auto"/>
              <w:rPr>
                <w:rFonts w:ascii="宋体" w:hAnsi="宋体"/>
                <w:bCs/>
                <w:szCs w:val="21"/>
              </w:rPr>
            </w:pPr>
          </w:p>
        </w:tc>
        <w:tc>
          <w:tcPr>
            <w:tcW w:w="1811" w:type="dxa"/>
          </w:tcPr>
          <w:p w14:paraId="6813E452">
            <w:pPr>
              <w:spacing w:line="360" w:lineRule="auto"/>
              <w:rPr>
                <w:rFonts w:ascii="宋体" w:hAnsi="宋体"/>
                <w:bCs/>
                <w:szCs w:val="21"/>
              </w:rPr>
            </w:pPr>
          </w:p>
        </w:tc>
        <w:tc>
          <w:tcPr>
            <w:tcW w:w="1440" w:type="dxa"/>
          </w:tcPr>
          <w:p w14:paraId="1A1CC668">
            <w:pPr>
              <w:spacing w:line="360" w:lineRule="auto"/>
              <w:rPr>
                <w:rFonts w:ascii="宋体" w:hAnsi="宋体"/>
                <w:bCs/>
                <w:szCs w:val="21"/>
              </w:rPr>
            </w:pPr>
          </w:p>
        </w:tc>
        <w:tc>
          <w:tcPr>
            <w:tcW w:w="1440" w:type="dxa"/>
          </w:tcPr>
          <w:p w14:paraId="5CFBAFD0">
            <w:pPr>
              <w:spacing w:line="360" w:lineRule="auto"/>
              <w:rPr>
                <w:rFonts w:ascii="宋体" w:hAnsi="宋体"/>
                <w:bCs/>
                <w:szCs w:val="21"/>
              </w:rPr>
            </w:pPr>
          </w:p>
        </w:tc>
        <w:tc>
          <w:tcPr>
            <w:tcW w:w="1971" w:type="dxa"/>
          </w:tcPr>
          <w:p w14:paraId="36AC384A">
            <w:pPr>
              <w:spacing w:line="360" w:lineRule="auto"/>
              <w:rPr>
                <w:rFonts w:ascii="宋体" w:hAnsi="宋体"/>
                <w:bCs/>
                <w:szCs w:val="21"/>
              </w:rPr>
            </w:pPr>
          </w:p>
        </w:tc>
        <w:tc>
          <w:tcPr>
            <w:tcW w:w="1418" w:type="dxa"/>
          </w:tcPr>
          <w:p w14:paraId="133B0D4B">
            <w:pPr>
              <w:spacing w:line="360" w:lineRule="auto"/>
              <w:rPr>
                <w:rFonts w:ascii="宋体" w:hAnsi="宋体"/>
                <w:bCs/>
                <w:szCs w:val="21"/>
              </w:rPr>
            </w:pPr>
          </w:p>
        </w:tc>
      </w:tr>
      <w:tr w14:paraId="184C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F5D396C">
            <w:pPr>
              <w:spacing w:line="360" w:lineRule="auto"/>
              <w:rPr>
                <w:rFonts w:ascii="宋体" w:hAnsi="宋体"/>
                <w:bCs/>
                <w:szCs w:val="21"/>
              </w:rPr>
            </w:pPr>
          </w:p>
        </w:tc>
        <w:tc>
          <w:tcPr>
            <w:tcW w:w="1811" w:type="dxa"/>
          </w:tcPr>
          <w:p w14:paraId="6D22657B">
            <w:pPr>
              <w:spacing w:line="360" w:lineRule="auto"/>
              <w:rPr>
                <w:rFonts w:ascii="宋体" w:hAnsi="宋体"/>
                <w:bCs/>
                <w:szCs w:val="21"/>
              </w:rPr>
            </w:pPr>
          </w:p>
        </w:tc>
        <w:tc>
          <w:tcPr>
            <w:tcW w:w="1440" w:type="dxa"/>
          </w:tcPr>
          <w:p w14:paraId="5F609935">
            <w:pPr>
              <w:spacing w:line="360" w:lineRule="auto"/>
              <w:rPr>
                <w:rFonts w:ascii="宋体" w:hAnsi="宋体"/>
                <w:bCs/>
                <w:szCs w:val="21"/>
              </w:rPr>
            </w:pPr>
          </w:p>
        </w:tc>
        <w:tc>
          <w:tcPr>
            <w:tcW w:w="1440" w:type="dxa"/>
          </w:tcPr>
          <w:p w14:paraId="6C7B93D6">
            <w:pPr>
              <w:spacing w:line="360" w:lineRule="auto"/>
              <w:rPr>
                <w:rFonts w:ascii="宋体" w:hAnsi="宋体"/>
                <w:bCs/>
                <w:szCs w:val="21"/>
              </w:rPr>
            </w:pPr>
          </w:p>
        </w:tc>
        <w:tc>
          <w:tcPr>
            <w:tcW w:w="1971" w:type="dxa"/>
          </w:tcPr>
          <w:p w14:paraId="1C89C16A">
            <w:pPr>
              <w:spacing w:line="360" w:lineRule="auto"/>
              <w:rPr>
                <w:rFonts w:ascii="宋体" w:hAnsi="宋体"/>
                <w:bCs/>
                <w:szCs w:val="21"/>
              </w:rPr>
            </w:pPr>
          </w:p>
        </w:tc>
        <w:tc>
          <w:tcPr>
            <w:tcW w:w="1418" w:type="dxa"/>
          </w:tcPr>
          <w:p w14:paraId="726B6E03">
            <w:pPr>
              <w:spacing w:line="360" w:lineRule="auto"/>
              <w:rPr>
                <w:rFonts w:ascii="宋体" w:hAnsi="宋体"/>
                <w:bCs/>
                <w:szCs w:val="21"/>
              </w:rPr>
            </w:pPr>
          </w:p>
        </w:tc>
      </w:tr>
      <w:tr w14:paraId="35E1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B2A9215">
            <w:pPr>
              <w:spacing w:line="360" w:lineRule="auto"/>
              <w:rPr>
                <w:rFonts w:ascii="宋体" w:hAnsi="宋体"/>
                <w:bCs/>
                <w:szCs w:val="21"/>
              </w:rPr>
            </w:pPr>
          </w:p>
        </w:tc>
        <w:tc>
          <w:tcPr>
            <w:tcW w:w="1811" w:type="dxa"/>
          </w:tcPr>
          <w:p w14:paraId="70DFEEFF">
            <w:pPr>
              <w:spacing w:line="360" w:lineRule="auto"/>
              <w:rPr>
                <w:rFonts w:ascii="宋体" w:hAnsi="宋体"/>
                <w:bCs/>
                <w:szCs w:val="21"/>
              </w:rPr>
            </w:pPr>
          </w:p>
        </w:tc>
        <w:tc>
          <w:tcPr>
            <w:tcW w:w="1440" w:type="dxa"/>
          </w:tcPr>
          <w:p w14:paraId="2C6ACA4B">
            <w:pPr>
              <w:spacing w:line="360" w:lineRule="auto"/>
              <w:rPr>
                <w:rFonts w:ascii="宋体" w:hAnsi="宋体"/>
                <w:bCs/>
                <w:szCs w:val="21"/>
              </w:rPr>
            </w:pPr>
          </w:p>
        </w:tc>
        <w:tc>
          <w:tcPr>
            <w:tcW w:w="1440" w:type="dxa"/>
          </w:tcPr>
          <w:p w14:paraId="6F322E56">
            <w:pPr>
              <w:spacing w:line="360" w:lineRule="auto"/>
              <w:rPr>
                <w:rFonts w:ascii="宋体" w:hAnsi="宋体"/>
                <w:bCs/>
                <w:szCs w:val="21"/>
              </w:rPr>
            </w:pPr>
          </w:p>
        </w:tc>
        <w:tc>
          <w:tcPr>
            <w:tcW w:w="1971" w:type="dxa"/>
          </w:tcPr>
          <w:p w14:paraId="7B99097E">
            <w:pPr>
              <w:spacing w:line="360" w:lineRule="auto"/>
              <w:rPr>
                <w:rFonts w:ascii="宋体" w:hAnsi="宋体"/>
                <w:bCs/>
                <w:szCs w:val="21"/>
              </w:rPr>
            </w:pPr>
          </w:p>
        </w:tc>
        <w:tc>
          <w:tcPr>
            <w:tcW w:w="1418" w:type="dxa"/>
          </w:tcPr>
          <w:p w14:paraId="5DAA2271">
            <w:pPr>
              <w:spacing w:line="360" w:lineRule="auto"/>
              <w:rPr>
                <w:rFonts w:ascii="宋体" w:hAnsi="宋体"/>
                <w:bCs/>
                <w:szCs w:val="21"/>
              </w:rPr>
            </w:pPr>
          </w:p>
        </w:tc>
      </w:tr>
      <w:tr w14:paraId="142B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066DE0D">
            <w:pPr>
              <w:spacing w:line="360" w:lineRule="auto"/>
              <w:rPr>
                <w:rFonts w:ascii="宋体" w:hAnsi="宋体"/>
                <w:bCs/>
                <w:szCs w:val="21"/>
              </w:rPr>
            </w:pPr>
          </w:p>
        </w:tc>
        <w:tc>
          <w:tcPr>
            <w:tcW w:w="1811" w:type="dxa"/>
          </w:tcPr>
          <w:p w14:paraId="47005576">
            <w:pPr>
              <w:spacing w:line="360" w:lineRule="auto"/>
              <w:rPr>
                <w:rFonts w:ascii="宋体" w:hAnsi="宋体"/>
                <w:bCs/>
                <w:szCs w:val="21"/>
              </w:rPr>
            </w:pPr>
          </w:p>
        </w:tc>
        <w:tc>
          <w:tcPr>
            <w:tcW w:w="1440" w:type="dxa"/>
          </w:tcPr>
          <w:p w14:paraId="23685751">
            <w:pPr>
              <w:spacing w:line="360" w:lineRule="auto"/>
              <w:rPr>
                <w:rFonts w:ascii="宋体" w:hAnsi="宋体"/>
                <w:bCs/>
                <w:szCs w:val="21"/>
              </w:rPr>
            </w:pPr>
          </w:p>
        </w:tc>
        <w:tc>
          <w:tcPr>
            <w:tcW w:w="1440" w:type="dxa"/>
          </w:tcPr>
          <w:p w14:paraId="58D94E80">
            <w:pPr>
              <w:spacing w:line="360" w:lineRule="auto"/>
              <w:rPr>
                <w:rFonts w:ascii="宋体" w:hAnsi="宋体"/>
                <w:bCs/>
                <w:szCs w:val="21"/>
              </w:rPr>
            </w:pPr>
          </w:p>
        </w:tc>
        <w:tc>
          <w:tcPr>
            <w:tcW w:w="1971" w:type="dxa"/>
          </w:tcPr>
          <w:p w14:paraId="041AE840">
            <w:pPr>
              <w:spacing w:line="360" w:lineRule="auto"/>
              <w:rPr>
                <w:rFonts w:ascii="宋体" w:hAnsi="宋体"/>
                <w:bCs/>
                <w:szCs w:val="21"/>
              </w:rPr>
            </w:pPr>
          </w:p>
        </w:tc>
        <w:tc>
          <w:tcPr>
            <w:tcW w:w="1418" w:type="dxa"/>
          </w:tcPr>
          <w:p w14:paraId="7A0B2A20">
            <w:pPr>
              <w:spacing w:line="360" w:lineRule="auto"/>
              <w:rPr>
                <w:rFonts w:ascii="宋体" w:hAnsi="宋体"/>
                <w:bCs/>
                <w:szCs w:val="21"/>
              </w:rPr>
            </w:pPr>
          </w:p>
        </w:tc>
      </w:tr>
      <w:tr w14:paraId="289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24FD45">
            <w:pPr>
              <w:spacing w:line="360" w:lineRule="auto"/>
              <w:rPr>
                <w:rFonts w:ascii="宋体" w:hAnsi="宋体"/>
                <w:bCs/>
                <w:szCs w:val="21"/>
              </w:rPr>
            </w:pPr>
          </w:p>
        </w:tc>
        <w:tc>
          <w:tcPr>
            <w:tcW w:w="1811" w:type="dxa"/>
          </w:tcPr>
          <w:p w14:paraId="62D275B8">
            <w:pPr>
              <w:spacing w:line="360" w:lineRule="auto"/>
              <w:rPr>
                <w:rFonts w:ascii="宋体" w:hAnsi="宋体"/>
                <w:bCs/>
                <w:szCs w:val="21"/>
              </w:rPr>
            </w:pPr>
          </w:p>
        </w:tc>
        <w:tc>
          <w:tcPr>
            <w:tcW w:w="1440" w:type="dxa"/>
          </w:tcPr>
          <w:p w14:paraId="06A9843F">
            <w:pPr>
              <w:spacing w:line="360" w:lineRule="auto"/>
              <w:rPr>
                <w:rFonts w:ascii="宋体" w:hAnsi="宋体"/>
                <w:bCs/>
                <w:szCs w:val="21"/>
              </w:rPr>
            </w:pPr>
          </w:p>
        </w:tc>
        <w:tc>
          <w:tcPr>
            <w:tcW w:w="1440" w:type="dxa"/>
          </w:tcPr>
          <w:p w14:paraId="158064A0">
            <w:pPr>
              <w:spacing w:line="360" w:lineRule="auto"/>
              <w:rPr>
                <w:rFonts w:ascii="宋体" w:hAnsi="宋体"/>
                <w:bCs/>
                <w:szCs w:val="21"/>
              </w:rPr>
            </w:pPr>
          </w:p>
        </w:tc>
        <w:tc>
          <w:tcPr>
            <w:tcW w:w="1971" w:type="dxa"/>
          </w:tcPr>
          <w:p w14:paraId="5B63C3E5">
            <w:pPr>
              <w:spacing w:line="360" w:lineRule="auto"/>
              <w:rPr>
                <w:rFonts w:ascii="宋体" w:hAnsi="宋体"/>
                <w:bCs/>
                <w:szCs w:val="21"/>
              </w:rPr>
            </w:pPr>
          </w:p>
        </w:tc>
        <w:tc>
          <w:tcPr>
            <w:tcW w:w="1418" w:type="dxa"/>
          </w:tcPr>
          <w:p w14:paraId="1F9229E2">
            <w:pPr>
              <w:spacing w:line="360" w:lineRule="auto"/>
              <w:rPr>
                <w:rFonts w:ascii="宋体" w:hAnsi="宋体"/>
                <w:bCs/>
                <w:szCs w:val="21"/>
              </w:rPr>
            </w:pPr>
          </w:p>
        </w:tc>
      </w:tr>
    </w:tbl>
    <w:p w14:paraId="19136682">
      <w:pPr>
        <w:spacing w:beforeLines="50" w:afterLines="50" w:line="360" w:lineRule="auto"/>
        <w:rPr>
          <w:rFonts w:ascii="宋体" w:hAnsi="宋体"/>
          <w:szCs w:val="21"/>
        </w:rPr>
      </w:pPr>
      <w:r>
        <w:rPr>
          <w:rFonts w:hint="eastAsia" w:ascii="宋体" w:hAnsi="宋体"/>
          <w:szCs w:val="21"/>
        </w:rPr>
        <w:t>磋商响应方全称（加盖公章）：</w:t>
      </w:r>
    </w:p>
    <w:p w14:paraId="30BEB797">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7DDC099E">
      <w:pPr>
        <w:shd w:val="clear" w:color="auto" w:fill="FFFFFF"/>
        <w:spacing w:line="500" w:lineRule="exact"/>
        <w:jc w:val="left"/>
        <w:rPr>
          <w:rFonts w:ascii="Times New Roman" w:hAnsi="宋体"/>
          <w:b/>
          <w:bCs/>
          <w:sz w:val="30"/>
          <w:szCs w:val="20"/>
        </w:rPr>
      </w:pPr>
      <w:r>
        <w:rPr>
          <w:rFonts w:ascii="Times New Roman" w:hAnsi="宋体"/>
          <w:sz w:val="30"/>
          <w:szCs w:val="20"/>
        </w:rPr>
        <w:br w:type="page"/>
      </w:r>
      <w:r>
        <w:rPr>
          <w:rFonts w:hint="eastAsia" w:ascii="Times New Roman" w:hAnsi="宋体"/>
          <w:b/>
          <w:bCs/>
          <w:sz w:val="30"/>
          <w:szCs w:val="20"/>
        </w:rPr>
        <w:t>附件</w:t>
      </w:r>
      <w:r>
        <w:rPr>
          <w:rFonts w:hint="eastAsia" w:ascii="Times New Roman" w:hAnsi="宋体"/>
          <w:b/>
          <w:bCs/>
          <w:sz w:val="30"/>
          <w:szCs w:val="20"/>
          <w:lang w:val="en-US" w:eastAsia="zh-CN"/>
        </w:rPr>
        <w:t>八</w:t>
      </w:r>
      <w:r>
        <w:rPr>
          <w:rFonts w:hint="eastAsia" w:ascii="Times New Roman" w:hAnsi="宋体"/>
          <w:b/>
          <w:bCs/>
          <w:sz w:val="30"/>
          <w:szCs w:val="20"/>
        </w:rPr>
        <w:t>：</w:t>
      </w:r>
    </w:p>
    <w:p w14:paraId="2842F59E">
      <w:pPr>
        <w:shd w:val="clear" w:color="auto" w:fill="FFFFFF"/>
        <w:spacing w:line="500" w:lineRule="exact"/>
        <w:jc w:val="center"/>
        <w:rPr>
          <w:rFonts w:ascii="宋体" w:hAnsi="宋体" w:cs="宋体"/>
          <w:b/>
          <w:kern w:val="0"/>
          <w:sz w:val="32"/>
          <w:szCs w:val="32"/>
          <w:shd w:val="clear" w:color="auto" w:fill="FFFFFF"/>
        </w:rPr>
      </w:pPr>
      <w:r>
        <w:rPr>
          <w:rFonts w:hint="eastAsia" w:ascii="宋体" w:hAnsi="宋体" w:cs="宋体"/>
          <w:b/>
          <w:kern w:val="0"/>
          <w:sz w:val="32"/>
          <w:szCs w:val="32"/>
          <w:shd w:val="clear" w:color="auto" w:fill="FFFFFF"/>
        </w:rPr>
        <w:t>服务网点情况</w:t>
      </w:r>
    </w:p>
    <w:p w14:paraId="5062FEEC">
      <w:pPr>
        <w:shd w:val="clear" w:color="auto" w:fill="FFFFFF"/>
        <w:spacing w:line="500" w:lineRule="exact"/>
        <w:rPr>
          <w:rFonts w:ascii="宋体" w:hAnsi="宋体" w:cs="宋体"/>
          <w:szCs w:val="21"/>
        </w:rPr>
      </w:pPr>
      <w:r>
        <w:rPr>
          <w:rFonts w:hint="eastAsia" w:ascii="宋体" w:hAnsi="宋体" w:cs="宋体"/>
          <w:szCs w:val="21"/>
        </w:rPr>
        <w:t>距采购人最近或者能为本项目提供最优服务的网点情况表（如有本地售后服务点，须在投标文件中提供与售后服务点的协议）</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2280"/>
        <w:gridCol w:w="1759"/>
      </w:tblGrid>
      <w:tr w14:paraId="0AC75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ign w:val="center"/>
          </w:tcPr>
          <w:p w14:paraId="1EFF302D">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服务网点名称</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2249FB5F">
            <w:pPr>
              <w:shd w:val="clear" w:color="auto" w:fill="FFFFFF"/>
              <w:snapToGrid w:val="0"/>
              <w:spacing w:before="50" w:afterLines="50" w:line="500" w:lineRule="exact"/>
              <w:jc w:val="left"/>
              <w:rPr>
                <w:rFonts w:ascii="宋体" w:hAnsi="宋体" w:cs="宋体"/>
                <w:szCs w:val="21"/>
              </w:rPr>
            </w:pPr>
          </w:p>
        </w:tc>
        <w:tc>
          <w:tcPr>
            <w:tcW w:w="1759" w:type="dxa"/>
            <w:vMerge w:val="restart"/>
            <w:tcBorders>
              <w:top w:val="single" w:color="auto" w:sz="4" w:space="0"/>
              <w:left w:val="single" w:color="auto" w:sz="4" w:space="0"/>
              <w:bottom w:val="single" w:color="auto" w:sz="4" w:space="0"/>
              <w:right w:val="single" w:color="auto" w:sz="4" w:space="0"/>
            </w:tcBorders>
            <w:noWrap/>
            <w:vAlign w:val="center"/>
          </w:tcPr>
          <w:p w14:paraId="443253C2">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投标文件页码</w:t>
            </w:r>
          </w:p>
        </w:tc>
      </w:tr>
      <w:tr w14:paraId="4B92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ign w:val="center"/>
          </w:tcPr>
          <w:p w14:paraId="3DAC2C2B">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地址</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1F9E82D1">
            <w:pPr>
              <w:shd w:val="clear" w:color="auto" w:fill="FFFFFF"/>
              <w:snapToGrid w:val="0"/>
              <w:spacing w:before="50" w:afterLines="50" w:line="500" w:lineRule="exact"/>
              <w:jc w:val="left"/>
              <w:rPr>
                <w:rFonts w:ascii="宋体" w:hAnsi="宋体" w:cs="宋体"/>
                <w:szCs w:val="21"/>
              </w:rPr>
            </w:pPr>
          </w:p>
        </w:tc>
        <w:tc>
          <w:tcPr>
            <w:tcW w:w="1759" w:type="dxa"/>
            <w:vMerge w:val="continue"/>
            <w:tcBorders>
              <w:top w:val="single" w:color="auto" w:sz="4" w:space="0"/>
              <w:left w:val="single" w:color="auto" w:sz="4" w:space="0"/>
              <w:bottom w:val="single" w:color="auto" w:sz="4" w:space="0"/>
              <w:right w:val="single" w:color="auto" w:sz="4" w:space="0"/>
            </w:tcBorders>
            <w:noWrap/>
            <w:vAlign w:val="center"/>
          </w:tcPr>
          <w:p w14:paraId="1E9AFE0B">
            <w:pPr>
              <w:widowControl/>
              <w:shd w:val="clear" w:color="auto" w:fill="FFFFFF"/>
              <w:spacing w:line="500" w:lineRule="exact"/>
              <w:jc w:val="left"/>
              <w:rPr>
                <w:rFonts w:ascii="宋体" w:hAnsi="宋体" w:cs="宋体"/>
                <w:szCs w:val="21"/>
              </w:rPr>
            </w:pPr>
          </w:p>
        </w:tc>
      </w:tr>
      <w:tr w14:paraId="10E26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3C820722">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注册资本金</w:t>
            </w:r>
          </w:p>
        </w:tc>
        <w:tc>
          <w:tcPr>
            <w:tcW w:w="1622" w:type="dxa"/>
            <w:tcBorders>
              <w:top w:val="single" w:color="auto" w:sz="4" w:space="0"/>
              <w:left w:val="single" w:color="auto" w:sz="4" w:space="0"/>
              <w:bottom w:val="single" w:color="auto" w:sz="4" w:space="0"/>
              <w:right w:val="single" w:color="auto" w:sz="4" w:space="0"/>
            </w:tcBorders>
            <w:noWrap/>
            <w:vAlign w:val="center"/>
          </w:tcPr>
          <w:p w14:paraId="617284C9">
            <w:pPr>
              <w:shd w:val="clear" w:color="auto" w:fill="FFFFFF"/>
              <w:snapToGrid w:val="0"/>
              <w:spacing w:before="50" w:afterLines="50" w:line="500" w:lineRule="exact"/>
              <w:jc w:val="left"/>
              <w:rPr>
                <w:rFonts w:ascii="宋体" w:hAnsi="宋体" w:cs="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ign w:val="center"/>
          </w:tcPr>
          <w:p w14:paraId="5AE39DD3">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其中：投标方出资比例</w:t>
            </w:r>
          </w:p>
        </w:tc>
        <w:tc>
          <w:tcPr>
            <w:tcW w:w="2280" w:type="dxa"/>
            <w:tcBorders>
              <w:top w:val="single" w:color="auto" w:sz="4" w:space="0"/>
              <w:left w:val="single" w:color="auto" w:sz="4" w:space="0"/>
              <w:bottom w:val="single" w:color="auto" w:sz="4" w:space="0"/>
              <w:right w:val="single" w:color="auto" w:sz="4" w:space="0"/>
            </w:tcBorders>
            <w:noWrap/>
            <w:vAlign w:val="center"/>
          </w:tcPr>
          <w:p w14:paraId="31A545BD">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2593E400">
            <w:pPr>
              <w:shd w:val="clear" w:color="auto" w:fill="FFFFFF"/>
              <w:snapToGrid w:val="0"/>
              <w:spacing w:before="50" w:afterLines="50" w:line="500" w:lineRule="exact"/>
              <w:jc w:val="left"/>
              <w:rPr>
                <w:rFonts w:ascii="宋体" w:hAnsi="宋体" w:cs="宋体"/>
                <w:szCs w:val="21"/>
              </w:rPr>
            </w:pPr>
          </w:p>
        </w:tc>
      </w:tr>
      <w:tr w14:paraId="568B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1BABA404">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员工总人数</w:t>
            </w:r>
          </w:p>
        </w:tc>
        <w:tc>
          <w:tcPr>
            <w:tcW w:w="1622" w:type="dxa"/>
            <w:tcBorders>
              <w:top w:val="single" w:color="auto" w:sz="4" w:space="0"/>
              <w:left w:val="single" w:color="auto" w:sz="4" w:space="0"/>
              <w:bottom w:val="single" w:color="auto" w:sz="4" w:space="0"/>
              <w:right w:val="single" w:color="auto" w:sz="4" w:space="0"/>
            </w:tcBorders>
            <w:noWrap/>
            <w:vAlign w:val="center"/>
          </w:tcPr>
          <w:p w14:paraId="72E0348E">
            <w:pPr>
              <w:shd w:val="clear" w:color="auto" w:fill="FFFFFF"/>
              <w:snapToGrid w:val="0"/>
              <w:spacing w:before="50" w:afterLines="50" w:line="500" w:lineRule="exact"/>
              <w:jc w:val="left"/>
              <w:rPr>
                <w:rFonts w:ascii="宋体" w:hAnsi="宋体" w:cs="宋体"/>
                <w:szCs w:val="21"/>
              </w:rPr>
            </w:pPr>
          </w:p>
        </w:tc>
        <w:tc>
          <w:tcPr>
            <w:tcW w:w="2518" w:type="dxa"/>
            <w:gridSpan w:val="3"/>
            <w:tcBorders>
              <w:top w:val="single" w:color="auto" w:sz="4" w:space="0"/>
              <w:left w:val="single" w:color="auto" w:sz="4" w:space="0"/>
              <w:bottom w:val="single" w:color="auto" w:sz="4" w:space="0"/>
              <w:right w:val="single" w:color="auto" w:sz="4" w:space="0"/>
            </w:tcBorders>
            <w:noWrap/>
            <w:vAlign w:val="center"/>
          </w:tcPr>
          <w:p w14:paraId="311EF38D">
            <w:pPr>
              <w:shd w:val="clear" w:color="auto" w:fill="FFFFFF"/>
              <w:snapToGrid w:val="0"/>
              <w:spacing w:before="50" w:afterLines="50" w:line="500" w:lineRule="exact"/>
              <w:ind w:left="60"/>
              <w:jc w:val="left"/>
              <w:rPr>
                <w:rFonts w:ascii="宋体" w:hAnsi="宋体" w:cs="宋体"/>
                <w:szCs w:val="21"/>
              </w:rPr>
            </w:pPr>
            <w:r>
              <w:rPr>
                <w:rFonts w:hint="eastAsia" w:ascii="宋体" w:hAnsi="宋体" w:cs="宋体"/>
                <w:szCs w:val="21"/>
              </w:rPr>
              <w:t>其中：技术人员数</w:t>
            </w:r>
          </w:p>
        </w:tc>
        <w:tc>
          <w:tcPr>
            <w:tcW w:w="2280" w:type="dxa"/>
            <w:tcBorders>
              <w:top w:val="single" w:color="auto" w:sz="4" w:space="0"/>
              <w:left w:val="single" w:color="auto" w:sz="4" w:space="0"/>
              <w:bottom w:val="single" w:color="auto" w:sz="4" w:space="0"/>
              <w:right w:val="single" w:color="auto" w:sz="4" w:space="0"/>
            </w:tcBorders>
            <w:noWrap/>
            <w:vAlign w:val="center"/>
          </w:tcPr>
          <w:p w14:paraId="09DAE5BE">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35072D52">
            <w:pPr>
              <w:shd w:val="clear" w:color="auto" w:fill="FFFFFF"/>
              <w:snapToGrid w:val="0"/>
              <w:spacing w:before="50" w:afterLines="50" w:line="500" w:lineRule="exact"/>
              <w:jc w:val="left"/>
              <w:rPr>
                <w:rFonts w:ascii="宋体" w:hAnsi="宋体" w:cs="宋体"/>
                <w:szCs w:val="21"/>
              </w:rPr>
            </w:pPr>
          </w:p>
        </w:tc>
      </w:tr>
      <w:tr w14:paraId="789D4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6939D516">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经营期限</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3B9D01E6">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272A9634">
            <w:pPr>
              <w:shd w:val="clear" w:color="auto" w:fill="FFFFFF"/>
              <w:snapToGrid w:val="0"/>
              <w:spacing w:before="50" w:afterLines="50" w:line="500" w:lineRule="exact"/>
              <w:jc w:val="left"/>
              <w:rPr>
                <w:rFonts w:ascii="宋体" w:hAnsi="宋体" w:cs="宋体"/>
                <w:szCs w:val="21"/>
              </w:rPr>
            </w:pPr>
          </w:p>
        </w:tc>
      </w:tr>
      <w:tr w14:paraId="13D9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6434310B">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售后服务协议</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3D32F5A7">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05CF985D">
            <w:pPr>
              <w:shd w:val="clear" w:color="auto" w:fill="FFFFFF"/>
              <w:snapToGrid w:val="0"/>
              <w:spacing w:before="50" w:afterLines="50" w:line="500" w:lineRule="exact"/>
              <w:jc w:val="left"/>
              <w:rPr>
                <w:rFonts w:ascii="宋体" w:hAnsi="宋体" w:cs="宋体"/>
                <w:szCs w:val="21"/>
              </w:rPr>
            </w:pPr>
          </w:p>
        </w:tc>
      </w:tr>
      <w:tr w14:paraId="0D35E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607F647D">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售后服务内容</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43994812">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7AF72E6D">
            <w:pPr>
              <w:shd w:val="clear" w:color="auto" w:fill="FFFFFF"/>
              <w:snapToGrid w:val="0"/>
              <w:spacing w:before="50" w:afterLines="50" w:line="500" w:lineRule="exact"/>
              <w:jc w:val="left"/>
              <w:rPr>
                <w:rFonts w:ascii="宋体" w:hAnsi="宋体" w:cs="宋体"/>
                <w:szCs w:val="21"/>
              </w:rPr>
            </w:pPr>
          </w:p>
        </w:tc>
      </w:tr>
      <w:tr w14:paraId="0FF5B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5D21904A">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工作业绩</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152E2822">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6ACE0349">
            <w:pPr>
              <w:shd w:val="clear" w:color="auto" w:fill="FFFFFF"/>
              <w:snapToGrid w:val="0"/>
              <w:spacing w:before="50" w:afterLines="50" w:line="500" w:lineRule="exact"/>
              <w:jc w:val="left"/>
              <w:rPr>
                <w:rFonts w:ascii="宋体" w:hAnsi="宋体" w:cs="宋体"/>
                <w:szCs w:val="21"/>
              </w:rPr>
            </w:pPr>
          </w:p>
        </w:tc>
      </w:tr>
      <w:tr w14:paraId="66ED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79DC45B1">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服务承诺</w:t>
            </w:r>
          </w:p>
        </w:tc>
        <w:tc>
          <w:tcPr>
            <w:tcW w:w="6420" w:type="dxa"/>
            <w:gridSpan w:val="5"/>
            <w:tcBorders>
              <w:top w:val="single" w:color="auto" w:sz="4" w:space="0"/>
              <w:left w:val="single" w:color="auto" w:sz="4" w:space="0"/>
              <w:bottom w:val="single" w:color="auto" w:sz="4" w:space="0"/>
              <w:right w:val="single" w:color="auto" w:sz="4" w:space="0"/>
            </w:tcBorders>
            <w:noWrap/>
            <w:vAlign w:val="center"/>
          </w:tcPr>
          <w:p w14:paraId="70A0A2CA">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46DE4AB5">
            <w:pPr>
              <w:shd w:val="clear" w:color="auto" w:fill="FFFFFF"/>
              <w:snapToGrid w:val="0"/>
              <w:spacing w:before="50" w:afterLines="50" w:line="500" w:lineRule="exact"/>
              <w:jc w:val="left"/>
              <w:rPr>
                <w:rFonts w:ascii="宋体" w:hAnsi="宋体" w:cs="宋体"/>
                <w:szCs w:val="21"/>
              </w:rPr>
            </w:pPr>
          </w:p>
        </w:tc>
      </w:tr>
      <w:tr w14:paraId="24F80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03E81B3B">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ign w:val="center"/>
          </w:tcPr>
          <w:p w14:paraId="49CEAB93">
            <w:pPr>
              <w:shd w:val="clear" w:color="auto" w:fill="FFFFFF"/>
              <w:snapToGrid w:val="0"/>
              <w:spacing w:before="50" w:afterLines="50" w:line="500" w:lineRule="exact"/>
              <w:jc w:val="left"/>
              <w:rPr>
                <w:rFonts w:ascii="宋体" w:hAnsi="宋体" w:cs="宋体"/>
                <w:szCs w:val="21"/>
              </w:rPr>
            </w:pPr>
          </w:p>
        </w:tc>
        <w:tc>
          <w:tcPr>
            <w:tcW w:w="1439" w:type="dxa"/>
            <w:tcBorders>
              <w:top w:val="single" w:color="auto" w:sz="4" w:space="0"/>
              <w:left w:val="single" w:color="auto" w:sz="2" w:space="0"/>
              <w:bottom w:val="single" w:color="auto" w:sz="4" w:space="0"/>
              <w:right w:val="single" w:color="auto" w:sz="2" w:space="0"/>
            </w:tcBorders>
            <w:noWrap/>
            <w:vAlign w:val="center"/>
          </w:tcPr>
          <w:p w14:paraId="463C87B5">
            <w:pPr>
              <w:shd w:val="clear" w:color="auto" w:fill="FFFFFF"/>
              <w:snapToGrid w:val="0"/>
              <w:spacing w:before="50" w:afterLines="50" w:line="500" w:lineRule="exact"/>
              <w:ind w:firstLine="210" w:firstLineChars="100"/>
              <w:jc w:val="left"/>
              <w:rPr>
                <w:rFonts w:ascii="宋体" w:hAnsi="宋体" w:cs="宋体"/>
                <w:szCs w:val="21"/>
              </w:rPr>
            </w:pPr>
            <w:r>
              <w:rPr>
                <w:rFonts w:hint="eastAsia" w:ascii="宋体" w:hAnsi="宋体" w:cs="宋体"/>
                <w:szCs w:val="21"/>
              </w:rPr>
              <w:t>传真</w:t>
            </w:r>
          </w:p>
        </w:tc>
        <w:tc>
          <w:tcPr>
            <w:tcW w:w="3168" w:type="dxa"/>
            <w:gridSpan w:val="2"/>
            <w:tcBorders>
              <w:top w:val="single" w:color="auto" w:sz="4" w:space="0"/>
              <w:left w:val="single" w:color="auto" w:sz="2" w:space="0"/>
              <w:bottom w:val="single" w:color="auto" w:sz="4" w:space="0"/>
              <w:right w:val="single" w:color="auto" w:sz="2" w:space="0"/>
            </w:tcBorders>
            <w:noWrap/>
            <w:vAlign w:val="center"/>
          </w:tcPr>
          <w:p w14:paraId="42223154">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2" w:space="0"/>
              <w:bottom w:val="single" w:color="auto" w:sz="4" w:space="0"/>
              <w:right w:val="single" w:color="auto" w:sz="4" w:space="0"/>
            </w:tcBorders>
            <w:noWrap/>
            <w:vAlign w:val="center"/>
          </w:tcPr>
          <w:p w14:paraId="498578B2">
            <w:pPr>
              <w:shd w:val="clear" w:color="auto" w:fill="FFFFFF"/>
              <w:snapToGrid w:val="0"/>
              <w:spacing w:before="50" w:afterLines="50" w:line="500" w:lineRule="exact"/>
              <w:jc w:val="left"/>
              <w:rPr>
                <w:rFonts w:ascii="宋体" w:hAnsi="宋体" w:cs="宋体"/>
                <w:szCs w:val="21"/>
              </w:rPr>
            </w:pPr>
          </w:p>
        </w:tc>
      </w:tr>
      <w:tr w14:paraId="4B23A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ign w:val="center"/>
          </w:tcPr>
          <w:p w14:paraId="5BBD9E0F">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负责人</w:t>
            </w:r>
          </w:p>
        </w:tc>
        <w:tc>
          <w:tcPr>
            <w:tcW w:w="1813" w:type="dxa"/>
            <w:gridSpan w:val="2"/>
            <w:tcBorders>
              <w:top w:val="single" w:color="auto" w:sz="4" w:space="0"/>
              <w:left w:val="single" w:color="auto" w:sz="4" w:space="0"/>
              <w:bottom w:val="single" w:color="auto" w:sz="4" w:space="0"/>
              <w:right w:val="single" w:color="auto" w:sz="2" w:space="0"/>
            </w:tcBorders>
            <w:noWrap/>
            <w:vAlign w:val="center"/>
          </w:tcPr>
          <w:p w14:paraId="21147CAB">
            <w:pPr>
              <w:shd w:val="clear" w:color="auto" w:fill="FFFFFF"/>
              <w:snapToGrid w:val="0"/>
              <w:spacing w:before="50" w:afterLines="50" w:line="500" w:lineRule="exact"/>
              <w:jc w:val="left"/>
              <w:rPr>
                <w:rFonts w:ascii="宋体" w:hAnsi="宋体" w:cs="宋体"/>
                <w:szCs w:val="21"/>
              </w:rPr>
            </w:pPr>
          </w:p>
        </w:tc>
        <w:tc>
          <w:tcPr>
            <w:tcW w:w="1439" w:type="dxa"/>
            <w:tcBorders>
              <w:top w:val="single" w:color="auto" w:sz="4" w:space="0"/>
              <w:left w:val="single" w:color="auto" w:sz="2" w:space="0"/>
              <w:bottom w:val="single" w:color="auto" w:sz="4" w:space="0"/>
              <w:right w:val="single" w:color="auto" w:sz="2" w:space="0"/>
            </w:tcBorders>
            <w:noWrap/>
            <w:vAlign w:val="center"/>
          </w:tcPr>
          <w:p w14:paraId="45252ED7">
            <w:pPr>
              <w:shd w:val="clear" w:color="auto" w:fill="FFFFFF"/>
              <w:snapToGrid w:val="0"/>
              <w:spacing w:before="50" w:afterLines="50" w:line="500" w:lineRule="exact"/>
              <w:jc w:val="left"/>
              <w:rPr>
                <w:rFonts w:ascii="宋体" w:hAnsi="宋体" w:cs="宋体"/>
                <w:szCs w:val="21"/>
              </w:rPr>
            </w:pPr>
            <w:r>
              <w:rPr>
                <w:rFonts w:hint="eastAsia" w:ascii="宋体" w:hAnsi="宋体" w:cs="宋体"/>
                <w:szCs w:val="21"/>
              </w:rPr>
              <w:t>联系电话</w:t>
            </w:r>
          </w:p>
        </w:tc>
        <w:tc>
          <w:tcPr>
            <w:tcW w:w="3168" w:type="dxa"/>
            <w:gridSpan w:val="2"/>
            <w:tcBorders>
              <w:top w:val="single" w:color="auto" w:sz="4" w:space="0"/>
              <w:left w:val="single" w:color="auto" w:sz="2" w:space="0"/>
              <w:bottom w:val="single" w:color="auto" w:sz="4" w:space="0"/>
              <w:right w:val="single" w:color="auto" w:sz="4" w:space="0"/>
            </w:tcBorders>
            <w:noWrap/>
            <w:vAlign w:val="center"/>
          </w:tcPr>
          <w:p w14:paraId="0B58285E">
            <w:pPr>
              <w:shd w:val="clear" w:color="auto" w:fill="FFFFFF"/>
              <w:snapToGrid w:val="0"/>
              <w:spacing w:before="50" w:afterLines="50" w:line="500" w:lineRule="exact"/>
              <w:jc w:val="left"/>
              <w:rPr>
                <w:rFonts w:ascii="宋体" w:hAnsi="宋体" w:cs="宋体"/>
                <w:szCs w:val="21"/>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2C11E999">
            <w:pPr>
              <w:shd w:val="clear" w:color="auto" w:fill="FFFFFF"/>
              <w:snapToGrid w:val="0"/>
              <w:spacing w:before="50" w:afterLines="50" w:line="500" w:lineRule="exact"/>
              <w:jc w:val="left"/>
              <w:rPr>
                <w:rFonts w:ascii="宋体" w:hAnsi="宋体" w:cs="宋体"/>
                <w:szCs w:val="21"/>
              </w:rPr>
            </w:pPr>
          </w:p>
        </w:tc>
      </w:tr>
    </w:tbl>
    <w:p w14:paraId="5CCFC16F">
      <w:pPr>
        <w:shd w:val="clear" w:color="auto" w:fill="FFFFFF"/>
        <w:spacing w:line="500" w:lineRule="exact"/>
        <w:rPr>
          <w:rFonts w:ascii="宋体" w:hAnsi="宋体" w:cs="宋体"/>
          <w:szCs w:val="21"/>
          <w:u w:val="single"/>
          <w:shd w:val="clear" w:color="auto" w:fill="FFFFFF"/>
        </w:rPr>
      </w:pPr>
    </w:p>
    <w:p w14:paraId="4C347B06">
      <w:pPr>
        <w:shd w:val="clear" w:color="auto" w:fill="FFFFFF"/>
        <w:spacing w:line="500" w:lineRule="exact"/>
        <w:rPr>
          <w:rFonts w:ascii="宋体" w:hAnsi="宋体" w:cs="宋体"/>
          <w:szCs w:val="21"/>
          <w:shd w:val="clear" w:color="auto" w:fill="FFFFFF"/>
        </w:rPr>
      </w:pPr>
      <w:r>
        <w:rPr>
          <w:rFonts w:hint="eastAsia" w:ascii="宋体" w:hAnsi="宋体" w:cs="宋体"/>
          <w:szCs w:val="21"/>
          <w:shd w:val="clear" w:color="auto" w:fill="FFFFFF"/>
        </w:rPr>
        <w:t>响应供应商名称（签章）：</w:t>
      </w:r>
    </w:p>
    <w:p w14:paraId="6A86961D">
      <w:pPr>
        <w:shd w:val="clear" w:color="auto" w:fill="FFFFFF"/>
        <w:spacing w:line="500" w:lineRule="exact"/>
        <w:rPr>
          <w:rFonts w:ascii="宋体" w:hAnsi="宋体" w:cs="宋体"/>
          <w:szCs w:val="21"/>
          <w:shd w:val="clear" w:color="auto" w:fill="FFFFFF"/>
        </w:rPr>
      </w:pPr>
      <w:r>
        <w:rPr>
          <w:rFonts w:hint="eastAsia" w:ascii="宋体" w:hAnsi="宋体" w:cs="宋体"/>
          <w:szCs w:val="21"/>
          <w:shd w:val="clear" w:color="auto" w:fill="FFFFFF"/>
        </w:rPr>
        <w:t xml:space="preserve">日期：          </w:t>
      </w:r>
    </w:p>
    <w:p w14:paraId="29AE75EF">
      <w:pPr>
        <w:shd w:val="clear" w:color="auto" w:fill="FFFFFF"/>
        <w:spacing w:line="500" w:lineRule="exact"/>
        <w:rPr>
          <w:rFonts w:ascii="宋体" w:hAnsi="宋体" w:cs="宋体"/>
          <w:b/>
          <w:szCs w:val="21"/>
          <w:shd w:val="clear" w:color="auto" w:fill="FFFFFF"/>
        </w:rPr>
      </w:pPr>
    </w:p>
    <w:p w14:paraId="0C0CD8BE">
      <w:pPr>
        <w:snapToGrid w:val="0"/>
        <w:spacing w:before="120" w:after="120"/>
        <w:outlineLvl w:val="1"/>
        <w:rPr>
          <w:rFonts w:ascii="宋体" w:hAnsi="宋体"/>
          <w:b/>
          <w:color w:val="000000"/>
          <w:sz w:val="30"/>
          <w:szCs w:val="30"/>
        </w:rPr>
      </w:pPr>
      <w:r>
        <w:rPr>
          <w:rFonts w:hint="eastAsia" w:ascii="宋体" w:hAnsi="宋体" w:cs="宋体"/>
          <w:szCs w:val="21"/>
          <w:shd w:val="clear" w:color="auto" w:fill="FFFFFF"/>
        </w:rPr>
        <w:br w:type="page"/>
      </w:r>
      <w:r>
        <w:rPr>
          <w:rFonts w:hint="eastAsia" w:ascii="宋体" w:hAnsi="宋体"/>
          <w:b/>
          <w:color w:val="000000"/>
          <w:sz w:val="30"/>
          <w:szCs w:val="30"/>
        </w:rPr>
        <w:t>附件</w:t>
      </w:r>
      <w:r>
        <w:rPr>
          <w:rFonts w:hint="eastAsia" w:ascii="宋体" w:hAnsi="宋体"/>
          <w:b/>
          <w:color w:val="000000"/>
          <w:sz w:val="30"/>
          <w:szCs w:val="30"/>
          <w:lang w:val="en-US" w:eastAsia="zh-CN"/>
        </w:rPr>
        <w:t>九</w:t>
      </w:r>
      <w:r>
        <w:rPr>
          <w:rFonts w:hint="eastAsia" w:ascii="宋体" w:hAnsi="宋体"/>
          <w:b/>
          <w:color w:val="000000"/>
          <w:sz w:val="30"/>
          <w:szCs w:val="30"/>
        </w:rPr>
        <w:t xml:space="preserve">：                </w:t>
      </w:r>
    </w:p>
    <w:p w14:paraId="01B01990">
      <w:pPr>
        <w:snapToGrid w:val="0"/>
        <w:spacing w:before="120" w:after="120"/>
        <w:jc w:val="center"/>
        <w:outlineLvl w:val="1"/>
        <w:rPr>
          <w:rFonts w:ascii="宋体" w:hAnsi="宋体"/>
          <w:b/>
          <w:spacing w:val="6"/>
          <w:sz w:val="32"/>
          <w:szCs w:val="32"/>
        </w:rPr>
      </w:pPr>
      <w:r>
        <w:rPr>
          <w:rFonts w:hint="eastAsia" w:ascii="宋体" w:hAnsi="宋体"/>
          <w:b/>
          <w:color w:val="000000"/>
          <w:sz w:val="30"/>
          <w:szCs w:val="30"/>
        </w:rPr>
        <w:t>商务条款偏离表</w:t>
      </w:r>
    </w:p>
    <w:p w14:paraId="041F92BA">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3594"/>
        <w:gridCol w:w="3594"/>
        <w:gridCol w:w="1754"/>
      </w:tblGrid>
      <w:tr w14:paraId="66861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04D84AD">
            <w:pPr>
              <w:spacing w:before="120" w:after="120" w:line="360" w:lineRule="auto"/>
              <w:jc w:val="center"/>
              <w:rPr>
                <w:rFonts w:ascii="宋体" w:hAnsi="宋体"/>
                <w:szCs w:val="21"/>
              </w:rPr>
            </w:pPr>
            <w:r>
              <w:rPr>
                <w:rFonts w:hint="eastAsia" w:ascii="宋体" w:hAnsi="宋体"/>
                <w:szCs w:val="21"/>
              </w:rPr>
              <w:t>序号</w:t>
            </w:r>
          </w:p>
        </w:tc>
        <w:tc>
          <w:tcPr>
            <w:tcW w:w="3594" w:type="dxa"/>
            <w:tcBorders>
              <w:top w:val="single" w:color="auto" w:sz="4" w:space="0"/>
              <w:left w:val="single" w:color="auto" w:sz="4" w:space="0"/>
              <w:bottom w:val="single" w:color="auto" w:sz="4" w:space="0"/>
              <w:right w:val="single" w:color="auto" w:sz="4" w:space="0"/>
            </w:tcBorders>
            <w:vAlign w:val="center"/>
          </w:tcPr>
          <w:p w14:paraId="7BAD1697">
            <w:pPr>
              <w:spacing w:before="120" w:after="120" w:line="360" w:lineRule="auto"/>
              <w:jc w:val="center"/>
              <w:rPr>
                <w:rFonts w:ascii="宋体" w:hAnsi="宋体"/>
                <w:szCs w:val="21"/>
              </w:rPr>
            </w:pPr>
            <w:r>
              <w:rPr>
                <w:rFonts w:hint="eastAsia" w:ascii="宋体" w:hAnsi="宋体"/>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18F13BFB">
            <w:pPr>
              <w:spacing w:before="120" w:after="120" w:line="360" w:lineRule="auto"/>
              <w:jc w:val="center"/>
              <w:rPr>
                <w:rFonts w:ascii="宋体" w:hAnsi="宋体"/>
                <w:szCs w:val="21"/>
              </w:rPr>
            </w:pPr>
            <w:r>
              <w:rPr>
                <w:rFonts w:hint="eastAsia" w:ascii="宋体" w:hAnsi="宋体"/>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09FA4615">
            <w:pPr>
              <w:spacing w:before="120" w:after="120" w:line="360" w:lineRule="auto"/>
              <w:jc w:val="center"/>
              <w:rPr>
                <w:rFonts w:ascii="宋体" w:hAnsi="宋体"/>
                <w:szCs w:val="21"/>
              </w:rPr>
            </w:pPr>
            <w:r>
              <w:rPr>
                <w:rFonts w:hint="eastAsia" w:ascii="宋体" w:hAnsi="宋体"/>
                <w:szCs w:val="21"/>
              </w:rPr>
              <w:t>偏离原因</w:t>
            </w:r>
          </w:p>
        </w:tc>
      </w:tr>
      <w:tr w14:paraId="2A6E9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19CC039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BDEDC6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7CE8E32">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41C8CE0">
            <w:pPr>
              <w:spacing w:before="120" w:after="120" w:line="360" w:lineRule="auto"/>
              <w:jc w:val="center"/>
              <w:rPr>
                <w:rFonts w:ascii="宋体" w:hAnsi="宋体"/>
                <w:szCs w:val="21"/>
              </w:rPr>
            </w:pPr>
          </w:p>
        </w:tc>
      </w:tr>
      <w:tr w14:paraId="5DC0B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78435F1">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BE71D28">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6C14D62">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D3E8811">
            <w:pPr>
              <w:spacing w:before="120" w:after="120" w:line="360" w:lineRule="auto"/>
              <w:jc w:val="center"/>
              <w:rPr>
                <w:rFonts w:ascii="宋体" w:hAnsi="宋体"/>
                <w:szCs w:val="21"/>
              </w:rPr>
            </w:pPr>
          </w:p>
        </w:tc>
      </w:tr>
      <w:tr w14:paraId="368DB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12C817D">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B0B834D">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169E25D">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E4C9D73">
            <w:pPr>
              <w:spacing w:before="120" w:after="120" w:line="360" w:lineRule="auto"/>
              <w:jc w:val="center"/>
              <w:rPr>
                <w:rFonts w:ascii="宋体" w:hAnsi="宋体"/>
                <w:szCs w:val="21"/>
              </w:rPr>
            </w:pPr>
          </w:p>
        </w:tc>
      </w:tr>
      <w:tr w14:paraId="594AD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6A83EB9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E090DE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ADBD2ED">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A8B01EE">
            <w:pPr>
              <w:spacing w:before="120" w:after="120" w:line="360" w:lineRule="auto"/>
              <w:jc w:val="center"/>
              <w:rPr>
                <w:rFonts w:ascii="宋体" w:hAnsi="宋体"/>
                <w:szCs w:val="21"/>
              </w:rPr>
            </w:pPr>
          </w:p>
        </w:tc>
      </w:tr>
      <w:tr w14:paraId="15184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518DC8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D380D3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4A5840B">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3125C66">
            <w:pPr>
              <w:spacing w:before="120" w:after="120" w:line="360" w:lineRule="auto"/>
              <w:jc w:val="center"/>
              <w:rPr>
                <w:rFonts w:ascii="宋体" w:hAnsi="宋体"/>
                <w:szCs w:val="21"/>
              </w:rPr>
            </w:pPr>
          </w:p>
        </w:tc>
      </w:tr>
      <w:tr w14:paraId="59FAA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1A682E07">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6782C27">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53C8F50">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EF041EA">
            <w:pPr>
              <w:spacing w:before="120" w:after="120" w:line="360" w:lineRule="auto"/>
              <w:jc w:val="center"/>
              <w:rPr>
                <w:rFonts w:ascii="宋体" w:hAnsi="宋体"/>
                <w:szCs w:val="21"/>
              </w:rPr>
            </w:pPr>
          </w:p>
        </w:tc>
      </w:tr>
      <w:tr w14:paraId="42B5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FF4960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298249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1B80E76">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30B0871">
            <w:pPr>
              <w:spacing w:before="120" w:after="120" w:line="360" w:lineRule="auto"/>
              <w:jc w:val="center"/>
              <w:rPr>
                <w:rFonts w:ascii="宋体" w:hAnsi="宋体"/>
                <w:szCs w:val="21"/>
              </w:rPr>
            </w:pPr>
          </w:p>
        </w:tc>
      </w:tr>
      <w:tr w14:paraId="65436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1568502">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F593AD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C7C21A6">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9774490">
            <w:pPr>
              <w:spacing w:before="120" w:after="120" w:line="360" w:lineRule="auto"/>
              <w:jc w:val="center"/>
              <w:rPr>
                <w:rFonts w:ascii="宋体" w:hAnsi="宋体"/>
                <w:szCs w:val="21"/>
              </w:rPr>
            </w:pPr>
          </w:p>
        </w:tc>
      </w:tr>
      <w:tr w14:paraId="78DDC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C1F2BB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6FD13C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E02FDB8">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B03CAE5">
            <w:pPr>
              <w:spacing w:before="120" w:after="120" w:line="360" w:lineRule="auto"/>
              <w:jc w:val="center"/>
              <w:rPr>
                <w:rFonts w:ascii="宋体" w:hAnsi="宋体"/>
                <w:szCs w:val="21"/>
              </w:rPr>
            </w:pPr>
          </w:p>
        </w:tc>
      </w:tr>
      <w:tr w14:paraId="2AE88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2911768">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3EB2864">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69AB830">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48A6052C">
            <w:pPr>
              <w:spacing w:before="120" w:after="120" w:line="360" w:lineRule="auto"/>
              <w:jc w:val="center"/>
              <w:rPr>
                <w:rFonts w:ascii="宋体" w:hAnsi="宋体"/>
                <w:szCs w:val="21"/>
              </w:rPr>
            </w:pPr>
          </w:p>
        </w:tc>
      </w:tr>
      <w:tr w14:paraId="17A4C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4A5B8A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2A055A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44FA196">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46822F2">
            <w:pPr>
              <w:spacing w:before="120" w:after="120" w:line="360" w:lineRule="auto"/>
              <w:jc w:val="center"/>
              <w:rPr>
                <w:rFonts w:ascii="宋体" w:hAnsi="宋体"/>
                <w:szCs w:val="21"/>
              </w:rPr>
            </w:pPr>
          </w:p>
        </w:tc>
      </w:tr>
      <w:tr w14:paraId="330E0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EC6712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36C8C72">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012B0AF">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18604A9">
            <w:pPr>
              <w:spacing w:before="120" w:after="120" w:line="360" w:lineRule="auto"/>
              <w:jc w:val="center"/>
              <w:rPr>
                <w:rFonts w:ascii="宋体" w:hAnsi="宋体"/>
                <w:szCs w:val="21"/>
              </w:rPr>
            </w:pPr>
          </w:p>
        </w:tc>
      </w:tr>
      <w:tr w14:paraId="2140D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6AAD9E9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B0FF2F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5A8C29B">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3AC6E1E">
            <w:pPr>
              <w:spacing w:before="120" w:after="120" w:line="360" w:lineRule="auto"/>
              <w:jc w:val="center"/>
              <w:rPr>
                <w:rFonts w:ascii="宋体" w:hAnsi="宋体"/>
                <w:szCs w:val="21"/>
              </w:rPr>
            </w:pPr>
          </w:p>
        </w:tc>
      </w:tr>
    </w:tbl>
    <w:p w14:paraId="0684D623">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商务要求中除报价以外的其他要求，“偏离原因”项应填写“正偏离”或“负偏离”，填写“无偏离”或未填写项将视同完全响应采购文件要求，</w:t>
      </w:r>
      <w:r>
        <w:rPr>
          <w:rFonts w:hint="eastAsia" w:ascii="宋体" w:hAnsi="宋体"/>
          <w:b/>
          <w:sz w:val="24"/>
          <w:szCs w:val="24"/>
        </w:rPr>
        <w:t>此表可在不改变格式的情况下自行制作。</w:t>
      </w:r>
    </w:p>
    <w:p w14:paraId="771DDB0D">
      <w:pPr>
        <w:spacing w:beforeLines="50" w:afterLines="50" w:line="360" w:lineRule="auto"/>
        <w:rPr>
          <w:rFonts w:ascii="宋体" w:hAnsi="宋体"/>
          <w:szCs w:val="21"/>
        </w:rPr>
      </w:pPr>
      <w:r>
        <w:rPr>
          <w:rFonts w:hint="eastAsia" w:ascii="宋体" w:hAnsi="宋体"/>
          <w:szCs w:val="21"/>
        </w:rPr>
        <w:t>磋商响应方全称（加盖公章）：</w:t>
      </w:r>
    </w:p>
    <w:p w14:paraId="38A793FE">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048F1DDD">
      <w:pPr>
        <w:snapToGrid w:val="0"/>
        <w:spacing w:before="120" w:after="120"/>
        <w:jc w:val="left"/>
        <w:outlineLvl w:val="1"/>
        <w:rPr>
          <w:rFonts w:ascii="宋体" w:hAnsi="宋体"/>
          <w:b/>
          <w:color w:val="000000"/>
          <w:sz w:val="30"/>
          <w:szCs w:val="30"/>
        </w:rPr>
      </w:pPr>
      <w:r>
        <w:rPr>
          <w:rFonts w:ascii="宋体" w:hAnsi="宋体"/>
          <w:sz w:val="24"/>
          <w:szCs w:val="20"/>
        </w:rPr>
        <w:br w:type="page"/>
      </w:r>
      <w:r>
        <w:rPr>
          <w:rFonts w:hint="eastAsia" w:ascii="宋体" w:hAnsi="宋体"/>
          <w:b/>
          <w:color w:val="000000"/>
          <w:sz w:val="30"/>
          <w:szCs w:val="30"/>
        </w:rPr>
        <w:t>附件</w:t>
      </w:r>
      <w:r>
        <w:rPr>
          <w:rFonts w:hint="eastAsia" w:ascii="宋体" w:hAnsi="宋体"/>
          <w:b/>
          <w:color w:val="000000"/>
          <w:sz w:val="30"/>
          <w:szCs w:val="30"/>
          <w:lang w:val="en-US" w:eastAsia="zh-CN"/>
        </w:rPr>
        <w:t>十</w:t>
      </w:r>
      <w:r>
        <w:rPr>
          <w:rFonts w:ascii="宋体" w:hAnsi="宋体"/>
          <w:b/>
          <w:color w:val="000000"/>
          <w:sz w:val="30"/>
          <w:szCs w:val="30"/>
        </w:rPr>
        <w:t>：</w:t>
      </w:r>
    </w:p>
    <w:p w14:paraId="566B540B">
      <w:pPr>
        <w:snapToGrid w:val="0"/>
        <w:spacing w:before="120" w:after="120"/>
        <w:jc w:val="center"/>
        <w:outlineLvl w:val="1"/>
        <w:rPr>
          <w:rFonts w:ascii="宋体" w:hAnsi="宋体"/>
          <w:szCs w:val="21"/>
        </w:rPr>
      </w:pPr>
      <w:r>
        <w:rPr>
          <w:rFonts w:hint="eastAsia" w:ascii="宋体" w:hAnsi="宋体"/>
          <w:b/>
          <w:color w:val="000000"/>
          <w:sz w:val="30"/>
          <w:szCs w:val="30"/>
        </w:rPr>
        <w:t>技术偏离表</w:t>
      </w:r>
    </w:p>
    <w:p w14:paraId="7761D4D5">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4922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14:paraId="7C6CADF0">
            <w:pPr>
              <w:spacing w:line="360" w:lineRule="auto"/>
              <w:rPr>
                <w:rFonts w:ascii="宋体" w:hAnsi="宋体"/>
                <w:b/>
                <w:szCs w:val="20"/>
              </w:rPr>
            </w:pPr>
            <w:r>
              <w:rPr>
                <w:rFonts w:hint="eastAsia" w:ascii="宋体" w:hAnsi="宋体"/>
                <w:b/>
                <w:szCs w:val="20"/>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214167E6">
            <w:pPr>
              <w:spacing w:line="360" w:lineRule="auto"/>
              <w:jc w:val="center"/>
              <w:rPr>
                <w:rFonts w:ascii="宋体" w:hAnsi="宋体"/>
                <w:b/>
                <w:szCs w:val="20"/>
              </w:rPr>
            </w:pPr>
            <w:r>
              <w:rPr>
                <w:rFonts w:hint="eastAsia" w:ascii="宋体" w:hAnsi="宋体"/>
                <w:b/>
                <w:szCs w:val="20"/>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28DCCE48">
            <w:pPr>
              <w:spacing w:line="360" w:lineRule="auto"/>
              <w:jc w:val="center"/>
              <w:rPr>
                <w:rFonts w:ascii="宋体" w:hAnsi="宋体"/>
                <w:b/>
                <w:szCs w:val="20"/>
              </w:rPr>
            </w:pPr>
            <w:r>
              <w:rPr>
                <w:rFonts w:hint="eastAsia" w:ascii="宋体" w:hAnsi="宋体"/>
                <w:b/>
                <w:szCs w:val="20"/>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04ADEA5B">
            <w:pPr>
              <w:spacing w:line="360" w:lineRule="auto"/>
              <w:jc w:val="center"/>
              <w:rPr>
                <w:rFonts w:ascii="宋体" w:hAnsi="宋体"/>
                <w:b/>
                <w:szCs w:val="20"/>
              </w:rPr>
            </w:pPr>
            <w:r>
              <w:rPr>
                <w:rFonts w:hint="eastAsia" w:ascii="宋体" w:hAnsi="宋体"/>
                <w:b/>
                <w:szCs w:val="20"/>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14:paraId="13B3916B">
            <w:pPr>
              <w:spacing w:line="360" w:lineRule="auto"/>
              <w:ind w:firstLine="422" w:firstLineChars="200"/>
              <w:rPr>
                <w:rFonts w:ascii="宋体" w:hAnsi="宋体"/>
                <w:b/>
                <w:szCs w:val="20"/>
              </w:rPr>
            </w:pPr>
            <w:r>
              <w:rPr>
                <w:rFonts w:hint="eastAsia" w:ascii="宋体" w:hAnsi="宋体"/>
                <w:b/>
                <w:szCs w:val="20"/>
              </w:rPr>
              <w:t>备 注</w:t>
            </w:r>
          </w:p>
        </w:tc>
      </w:tr>
      <w:tr w14:paraId="5AF1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A44F187">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6BCA927">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7CB603F1">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D17620E">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285A72A">
            <w:pPr>
              <w:spacing w:line="360" w:lineRule="auto"/>
              <w:ind w:firstLine="420" w:firstLineChars="200"/>
              <w:rPr>
                <w:rFonts w:ascii="宋体" w:hAnsi="宋体"/>
                <w:szCs w:val="20"/>
              </w:rPr>
            </w:pPr>
          </w:p>
        </w:tc>
      </w:tr>
      <w:tr w14:paraId="4D2E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2D79CC9A">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41BF92FF">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97C8BC8">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47A39305">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4B15A6BD">
            <w:pPr>
              <w:spacing w:line="360" w:lineRule="auto"/>
              <w:ind w:firstLine="420" w:firstLineChars="200"/>
              <w:rPr>
                <w:rFonts w:ascii="宋体" w:hAnsi="宋体"/>
                <w:szCs w:val="20"/>
              </w:rPr>
            </w:pPr>
          </w:p>
        </w:tc>
      </w:tr>
      <w:tr w14:paraId="59E8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A370A74">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1322B18">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974C3CE">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3946FC67">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595732CF">
            <w:pPr>
              <w:spacing w:line="360" w:lineRule="auto"/>
              <w:ind w:firstLine="420" w:firstLineChars="200"/>
              <w:rPr>
                <w:rFonts w:ascii="宋体" w:hAnsi="宋体"/>
                <w:szCs w:val="20"/>
              </w:rPr>
            </w:pPr>
          </w:p>
        </w:tc>
      </w:tr>
      <w:tr w14:paraId="3A0A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6A6D1AE">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E14D03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AD38352">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6978B77F">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1EEB74E">
            <w:pPr>
              <w:spacing w:line="360" w:lineRule="auto"/>
              <w:ind w:firstLine="420" w:firstLineChars="200"/>
              <w:rPr>
                <w:rFonts w:ascii="宋体" w:hAnsi="宋体"/>
                <w:szCs w:val="20"/>
              </w:rPr>
            </w:pPr>
          </w:p>
        </w:tc>
      </w:tr>
      <w:tr w14:paraId="7376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C053B69">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1DF0F8AE">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17AA5641">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474FDA9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66C2783B">
            <w:pPr>
              <w:spacing w:line="360" w:lineRule="auto"/>
              <w:ind w:firstLine="420" w:firstLineChars="200"/>
              <w:rPr>
                <w:rFonts w:ascii="宋体" w:hAnsi="宋体"/>
                <w:szCs w:val="20"/>
              </w:rPr>
            </w:pPr>
          </w:p>
        </w:tc>
      </w:tr>
      <w:tr w14:paraId="4F0E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CB78CB8">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09537F7">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3148C32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69BF2B4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83EA402">
            <w:pPr>
              <w:spacing w:line="360" w:lineRule="auto"/>
              <w:ind w:firstLine="420" w:firstLineChars="200"/>
              <w:rPr>
                <w:rFonts w:ascii="宋体" w:hAnsi="宋体"/>
                <w:szCs w:val="20"/>
              </w:rPr>
            </w:pPr>
          </w:p>
        </w:tc>
      </w:tr>
      <w:tr w14:paraId="2423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07B954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754094C">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0F76ECF">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4EE0139">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E130B3A">
            <w:pPr>
              <w:spacing w:line="360" w:lineRule="auto"/>
              <w:ind w:firstLine="420" w:firstLineChars="200"/>
              <w:rPr>
                <w:rFonts w:ascii="宋体" w:hAnsi="宋体"/>
                <w:szCs w:val="20"/>
              </w:rPr>
            </w:pPr>
          </w:p>
        </w:tc>
      </w:tr>
      <w:tr w14:paraId="4F9A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A65ABE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0E83C6B">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73E50D7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36A961DA">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17A6073">
            <w:pPr>
              <w:spacing w:line="360" w:lineRule="auto"/>
              <w:ind w:firstLine="420" w:firstLineChars="200"/>
              <w:rPr>
                <w:rFonts w:ascii="宋体" w:hAnsi="宋体"/>
                <w:szCs w:val="20"/>
              </w:rPr>
            </w:pPr>
          </w:p>
        </w:tc>
      </w:tr>
      <w:tr w14:paraId="27F0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4DF3453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632256FF">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1EF1E5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15FCECE6">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C4C57FF">
            <w:pPr>
              <w:spacing w:line="360" w:lineRule="auto"/>
              <w:ind w:firstLine="420" w:firstLineChars="200"/>
              <w:rPr>
                <w:rFonts w:ascii="宋体" w:hAnsi="宋体"/>
                <w:szCs w:val="20"/>
              </w:rPr>
            </w:pPr>
          </w:p>
        </w:tc>
      </w:tr>
      <w:tr w14:paraId="4FC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E71ABB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7111988">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31A53088">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8DA51D5">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32C443D">
            <w:pPr>
              <w:spacing w:line="360" w:lineRule="auto"/>
              <w:ind w:firstLine="420" w:firstLineChars="200"/>
              <w:rPr>
                <w:rFonts w:ascii="宋体" w:hAnsi="宋体"/>
                <w:szCs w:val="20"/>
              </w:rPr>
            </w:pPr>
          </w:p>
        </w:tc>
      </w:tr>
      <w:tr w14:paraId="17BF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5C2768E1">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763927DD">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60FEA4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EB8AB4F">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0C5B508">
            <w:pPr>
              <w:spacing w:line="360" w:lineRule="auto"/>
              <w:ind w:firstLine="420" w:firstLineChars="200"/>
              <w:rPr>
                <w:rFonts w:ascii="宋体" w:hAnsi="宋体"/>
                <w:szCs w:val="20"/>
              </w:rPr>
            </w:pPr>
          </w:p>
        </w:tc>
      </w:tr>
      <w:tr w14:paraId="6826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5D22C5D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6FA339C1">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F23F47F">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7F80350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9DF5320">
            <w:pPr>
              <w:spacing w:line="360" w:lineRule="auto"/>
              <w:ind w:firstLine="420" w:firstLineChars="200"/>
              <w:rPr>
                <w:rFonts w:ascii="宋体" w:hAnsi="宋体"/>
                <w:szCs w:val="20"/>
              </w:rPr>
            </w:pPr>
          </w:p>
        </w:tc>
      </w:tr>
      <w:tr w14:paraId="417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5EB9B46E">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6BFF420">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35D92660">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1F976E8E">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E42EA47">
            <w:pPr>
              <w:spacing w:line="360" w:lineRule="auto"/>
              <w:ind w:firstLine="420" w:firstLineChars="200"/>
              <w:rPr>
                <w:rFonts w:ascii="宋体" w:hAnsi="宋体"/>
                <w:szCs w:val="20"/>
              </w:rPr>
            </w:pPr>
          </w:p>
        </w:tc>
      </w:tr>
      <w:tr w14:paraId="17F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BFA778B">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BCEA796">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66D775FA">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19739D6">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56D20E3">
            <w:pPr>
              <w:spacing w:line="360" w:lineRule="auto"/>
              <w:ind w:firstLine="420" w:firstLineChars="200"/>
              <w:rPr>
                <w:rFonts w:ascii="宋体" w:hAnsi="宋体"/>
                <w:szCs w:val="20"/>
              </w:rPr>
            </w:pPr>
          </w:p>
        </w:tc>
      </w:tr>
    </w:tbl>
    <w:p w14:paraId="706C61D7">
      <w:pPr>
        <w:spacing w:line="360" w:lineRule="auto"/>
        <w:ind w:firstLine="420" w:firstLineChars="200"/>
        <w:rPr>
          <w:rFonts w:ascii="宋体" w:hAnsi="宋体"/>
          <w:szCs w:val="20"/>
        </w:rPr>
      </w:pPr>
    </w:p>
    <w:p w14:paraId="1A1C908E">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商务要求中除报价以外的其他要求，“偏离原因”项应填写“正偏离”、“负偏离”或“无偏离”，未填写项将视同完全响应采购文件要求，</w:t>
      </w:r>
      <w:r>
        <w:rPr>
          <w:rFonts w:hint="eastAsia" w:ascii="宋体" w:hAnsi="宋体"/>
          <w:b/>
          <w:sz w:val="24"/>
          <w:szCs w:val="24"/>
        </w:rPr>
        <w:t>此表可在不改变格式的情况下自行制作。</w:t>
      </w:r>
    </w:p>
    <w:p w14:paraId="3785E4A6">
      <w:pPr>
        <w:spacing w:beforeLines="50" w:afterLines="50" w:line="360" w:lineRule="auto"/>
        <w:rPr>
          <w:rFonts w:ascii="宋体" w:hAnsi="宋体"/>
          <w:szCs w:val="21"/>
        </w:rPr>
      </w:pPr>
      <w:r>
        <w:rPr>
          <w:rFonts w:hint="eastAsia" w:ascii="宋体" w:hAnsi="宋体"/>
          <w:szCs w:val="21"/>
        </w:rPr>
        <w:t>磋商响应方全称（加盖公章）：</w:t>
      </w:r>
    </w:p>
    <w:p w14:paraId="4973FA62">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76763B21">
      <w:pPr>
        <w:spacing w:beforeLines="50" w:afterLines="50"/>
        <w:ind w:right="-10"/>
        <w:rPr>
          <w:rFonts w:ascii="宋体" w:hAnsi="宋体"/>
          <w:sz w:val="24"/>
          <w:szCs w:val="20"/>
        </w:rPr>
      </w:pPr>
      <w:r>
        <w:br w:type="page"/>
      </w:r>
      <w:r>
        <w:rPr>
          <w:rFonts w:hint="eastAsia" w:ascii="宋体" w:hAnsi="宋体"/>
          <w:b/>
          <w:color w:val="000000"/>
          <w:sz w:val="30"/>
          <w:szCs w:val="30"/>
        </w:rPr>
        <w:t>附件十</w:t>
      </w:r>
      <w:r>
        <w:rPr>
          <w:rFonts w:hint="eastAsia" w:ascii="宋体" w:hAnsi="宋体"/>
          <w:b/>
          <w:color w:val="000000"/>
          <w:sz w:val="30"/>
          <w:szCs w:val="30"/>
          <w:lang w:val="en-US" w:eastAsia="zh-CN"/>
        </w:rPr>
        <w:t>一</w:t>
      </w:r>
      <w:r>
        <w:rPr>
          <w:rFonts w:hint="eastAsia" w:ascii="宋体" w:hAnsi="宋体"/>
          <w:b/>
          <w:color w:val="000000"/>
          <w:sz w:val="30"/>
          <w:szCs w:val="30"/>
        </w:rPr>
        <w:t>：</w:t>
      </w:r>
    </w:p>
    <w:p w14:paraId="2B9498E3">
      <w:pPr>
        <w:spacing w:beforeLines="50" w:afterLines="50" w:line="400" w:lineRule="exact"/>
        <w:jc w:val="center"/>
        <w:rPr>
          <w:rFonts w:ascii="宋体" w:hAnsi="宋体"/>
          <w:b/>
          <w:bCs/>
          <w:sz w:val="30"/>
          <w:szCs w:val="20"/>
        </w:rPr>
      </w:pPr>
      <w:r>
        <w:rPr>
          <w:rFonts w:hint="eastAsia" w:ascii="宋体" w:hAnsi="宋体"/>
          <w:b/>
          <w:bCs/>
          <w:sz w:val="30"/>
          <w:szCs w:val="20"/>
        </w:rPr>
        <w:t>项目实施方案</w:t>
      </w:r>
    </w:p>
    <w:p w14:paraId="2CBE6787">
      <w:pPr>
        <w:spacing w:beforeLines="50" w:afterLines="50" w:line="400" w:lineRule="exact"/>
        <w:rPr>
          <w:rFonts w:ascii="宋体" w:hAnsi="宋体"/>
          <w:b/>
          <w:bCs/>
          <w:sz w:val="30"/>
          <w:szCs w:val="20"/>
        </w:rPr>
      </w:pPr>
      <w:r>
        <w:rPr>
          <w:rFonts w:hint="eastAsia" w:ascii="宋体" w:hAnsi="宋体"/>
          <w:szCs w:val="21"/>
        </w:rPr>
        <w:t xml:space="preserve">采购项目名称：                             采购编号：            </w:t>
      </w:r>
    </w:p>
    <w:p w14:paraId="5D233EAA">
      <w:pPr>
        <w:spacing w:beforeLines="50" w:afterLines="50" w:line="400" w:lineRule="exact"/>
        <w:rPr>
          <w:rFonts w:ascii="宋体" w:hAnsi="宋体"/>
          <w:szCs w:val="21"/>
        </w:rPr>
      </w:pPr>
    </w:p>
    <w:p w14:paraId="0444222F">
      <w:pPr>
        <w:spacing w:beforeLines="50" w:afterLines="50" w:line="400" w:lineRule="exact"/>
        <w:rPr>
          <w:rFonts w:ascii="宋体" w:hAnsi="宋体"/>
          <w:szCs w:val="21"/>
        </w:rPr>
      </w:pPr>
    </w:p>
    <w:p w14:paraId="17D2D9F9">
      <w:pPr>
        <w:spacing w:beforeLines="50" w:afterLines="50" w:line="400" w:lineRule="exact"/>
        <w:rPr>
          <w:rFonts w:ascii="宋体" w:hAnsi="宋体"/>
          <w:szCs w:val="21"/>
        </w:rPr>
      </w:pPr>
    </w:p>
    <w:p w14:paraId="6099AC17">
      <w:pPr>
        <w:spacing w:beforeLines="50" w:afterLines="50" w:line="400" w:lineRule="exact"/>
        <w:rPr>
          <w:rFonts w:ascii="宋体" w:hAnsi="宋体"/>
          <w:szCs w:val="21"/>
        </w:rPr>
      </w:pPr>
    </w:p>
    <w:p w14:paraId="2C77FB0E">
      <w:pPr>
        <w:spacing w:beforeLines="50" w:afterLines="50" w:line="400" w:lineRule="exact"/>
        <w:rPr>
          <w:rFonts w:ascii="宋体" w:hAnsi="宋体"/>
          <w:szCs w:val="21"/>
        </w:rPr>
      </w:pPr>
    </w:p>
    <w:p w14:paraId="1C265AAC">
      <w:pPr>
        <w:spacing w:beforeLines="50" w:afterLines="50" w:line="400" w:lineRule="exact"/>
        <w:rPr>
          <w:rFonts w:ascii="宋体" w:hAnsi="宋体"/>
          <w:szCs w:val="21"/>
        </w:rPr>
      </w:pPr>
    </w:p>
    <w:p w14:paraId="0A8505F0">
      <w:pPr>
        <w:spacing w:beforeLines="50" w:afterLines="50" w:line="400" w:lineRule="exact"/>
        <w:rPr>
          <w:rFonts w:ascii="宋体" w:hAnsi="宋体"/>
          <w:szCs w:val="21"/>
        </w:rPr>
      </w:pPr>
    </w:p>
    <w:p w14:paraId="408A274B">
      <w:pPr>
        <w:spacing w:beforeLines="50" w:afterLines="50" w:line="400" w:lineRule="exact"/>
        <w:rPr>
          <w:rFonts w:ascii="宋体" w:hAnsi="宋体"/>
          <w:szCs w:val="21"/>
        </w:rPr>
      </w:pPr>
    </w:p>
    <w:p w14:paraId="02181208">
      <w:pPr>
        <w:spacing w:beforeLines="50" w:afterLines="50" w:line="400" w:lineRule="exact"/>
        <w:rPr>
          <w:rFonts w:ascii="宋体" w:hAnsi="宋体"/>
          <w:szCs w:val="21"/>
        </w:rPr>
      </w:pPr>
    </w:p>
    <w:p w14:paraId="424ED52F">
      <w:pPr>
        <w:spacing w:beforeLines="50" w:afterLines="50" w:line="400" w:lineRule="exact"/>
        <w:rPr>
          <w:rFonts w:ascii="宋体" w:hAnsi="宋体"/>
          <w:szCs w:val="21"/>
        </w:rPr>
      </w:pPr>
    </w:p>
    <w:p w14:paraId="6FB0E679">
      <w:pPr>
        <w:spacing w:beforeLines="50" w:afterLines="50" w:line="400" w:lineRule="exact"/>
        <w:rPr>
          <w:rFonts w:ascii="宋体" w:hAnsi="宋体"/>
          <w:szCs w:val="21"/>
        </w:rPr>
      </w:pPr>
    </w:p>
    <w:p w14:paraId="5AF618F8">
      <w:pPr>
        <w:spacing w:beforeLines="50" w:afterLines="50" w:line="400" w:lineRule="exact"/>
        <w:rPr>
          <w:rFonts w:ascii="宋体" w:hAnsi="宋体"/>
          <w:szCs w:val="21"/>
        </w:rPr>
      </w:pPr>
    </w:p>
    <w:p w14:paraId="74F5742C">
      <w:pPr>
        <w:spacing w:beforeLines="50" w:afterLines="50" w:line="400" w:lineRule="exact"/>
        <w:rPr>
          <w:rFonts w:ascii="宋体" w:hAnsi="宋体"/>
          <w:szCs w:val="21"/>
        </w:rPr>
      </w:pPr>
      <w:r>
        <w:rPr>
          <w:rFonts w:hint="eastAsia" w:ascii="宋体" w:hAnsi="宋体"/>
          <w:szCs w:val="21"/>
        </w:rPr>
        <w:t>磋商响应方（盖章）：</w:t>
      </w:r>
    </w:p>
    <w:p w14:paraId="47779213">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14:paraId="573F8FBF">
      <w:pPr>
        <w:spacing w:beforeLines="50" w:afterLines="50"/>
        <w:ind w:right="-10"/>
        <w:rPr>
          <w:rFonts w:ascii="宋体" w:hAnsi="宋体"/>
          <w:kern w:val="0"/>
          <w:sz w:val="24"/>
          <w:szCs w:val="20"/>
        </w:rPr>
      </w:pPr>
      <w:r>
        <w:rPr>
          <w:rFonts w:ascii="宋体" w:hAnsi="宋体"/>
          <w:kern w:val="0"/>
          <w:szCs w:val="20"/>
        </w:rPr>
        <w:br w:type="page"/>
      </w:r>
      <w:r>
        <w:rPr>
          <w:rFonts w:hint="eastAsia" w:ascii="宋体" w:hAnsi="宋体"/>
          <w:b/>
          <w:color w:val="000000"/>
          <w:sz w:val="30"/>
          <w:szCs w:val="30"/>
        </w:rPr>
        <w:t>附件十</w:t>
      </w:r>
      <w:r>
        <w:rPr>
          <w:rFonts w:hint="eastAsia" w:ascii="宋体" w:hAnsi="宋体"/>
          <w:b/>
          <w:color w:val="000000"/>
          <w:sz w:val="30"/>
          <w:szCs w:val="30"/>
          <w:lang w:val="en-US" w:eastAsia="zh-CN"/>
        </w:rPr>
        <w:t>二</w:t>
      </w:r>
      <w:r>
        <w:rPr>
          <w:rFonts w:hint="eastAsia" w:ascii="宋体" w:hAnsi="宋体"/>
          <w:b/>
          <w:color w:val="000000"/>
          <w:sz w:val="30"/>
          <w:szCs w:val="30"/>
        </w:rPr>
        <w:t>：</w:t>
      </w:r>
    </w:p>
    <w:p w14:paraId="62F9DE88">
      <w:pPr>
        <w:jc w:val="center"/>
        <w:rPr>
          <w:rFonts w:ascii="宋体" w:hAnsi="宋体"/>
          <w:b/>
          <w:sz w:val="28"/>
          <w:szCs w:val="28"/>
        </w:rPr>
      </w:pPr>
      <w:r>
        <w:rPr>
          <w:rFonts w:hint="eastAsia" w:ascii="宋体" w:hAnsi="宋体"/>
          <w:b/>
          <w:sz w:val="28"/>
          <w:szCs w:val="28"/>
        </w:rPr>
        <w:t>技术资料</w:t>
      </w:r>
    </w:p>
    <w:p w14:paraId="239A0F56">
      <w:pPr>
        <w:jc w:val="center"/>
        <w:rPr>
          <w:rFonts w:ascii="宋体" w:hAnsi="宋体"/>
          <w:b/>
          <w:sz w:val="28"/>
          <w:szCs w:val="28"/>
        </w:rPr>
      </w:pPr>
    </w:p>
    <w:p w14:paraId="05719457">
      <w:pPr>
        <w:jc w:val="center"/>
        <w:rPr>
          <w:rFonts w:ascii="宋体" w:hAnsi="宋体"/>
          <w:b/>
          <w:sz w:val="28"/>
          <w:szCs w:val="28"/>
        </w:rPr>
      </w:pPr>
    </w:p>
    <w:p w14:paraId="05BC3DA2">
      <w:pPr>
        <w:jc w:val="center"/>
        <w:rPr>
          <w:rFonts w:ascii="宋体" w:hAnsi="宋体"/>
          <w:b/>
          <w:sz w:val="28"/>
          <w:szCs w:val="28"/>
        </w:rPr>
      </w:pPr>
    </w:p>
    <w:p w14:paraId="7AFF544D">
      <w:pPr>
        <w:jc w:val="center"/>
        <w:rPr>
          <w:rFonts w:ascii="宋体" w:hAnsi="宋体"/>
          <w:b/>
          <w:sz w:val="28"/>
          <w:szCs w:val="28"/>
        </w:rPr>
      </w:pPr>
    </w:p>
    <w:p w14:paraId="5BBAC4D9">
      <w:pPr>
        <w:jc w:val="center"/>
        <w:rPr>
          <w:rFonts w:ascii="宋体" w:hAnsi="宋体"/>
          <w:b/>
          <w:sz w:val="28"/>
          <w:szCs w:val="28"/>
        </w:rPr>
      </w:pPr>
    </w:p>
    <w:p w14:paraId="0193DA92">
      <w:pPr>
        <w:jc w:val="center"/>
        <w:rPr>
          <w:rFonts w:ascii="宋体" w:hAnsi="宋体"/>
          <w:b/>
          <w:sz w:val="28"/>
          <w:szCs w:val="28"/>
        </w:rPr>
      </w:pPr>
    </w:p>
    <w:p w14:paraId="019D32D6">
      <w:pPr>
        <w:jc w:val="center"/>
        <w:rPr>
          <w:rFonts w:ascii="宋体" w:hAnsi="宋体"/>
          <w:b/>
          <w:sz w:val="28"/>
          <w:szCs w:val="28"/>
        </w:rPr>
      </w:pPr>
    </w:p>
    <w:p w14:paraId="481D5B42">
      <w:pPr>
        <w:spacing w:line="500" w:lineRule="exact"/>
        <w:ind w:firstLine="1836" w:firstLineChars="656"/>
        <w:rPr>
          <w:rFonts w:ascii="宋体" w:hAnsi="宋体"/>
          <w:sz w:val="28"/>
          <w:szCs w:val="28"/>
        </w:rPr>
      </w:pPr>
      <w:r>
        <w:rPr>
          <w:rFonts w:hint="eastAsia" w:ascii="宋体" w:hAnsi="宋体"/>
          <w:sz w:val="28"/>
          <w:szCs w:val="28"/>
        </w:rPr>
        <w:t>磋商响应方：（盖章）</w:t>
      </w:r>
    </w:p>
    <w:p w14:paraId="66608887">
      <w:pPr>
        <w:spacing w:line="500" w:lineRule="exact"/>
        <w:ind w:firstLine="436" w:firstLineChars="156"/>
        <w:rPr>
          <w:rFonts w:ascii="宋体" w:hAnsi="宋体"/>
          <w:sz w:val="28"/>
          <w:szCs w:val="28"/>
        </w:rPr>
      </w:pPr>
    </w:p>
    <w:p w14:paraId="0E3C5C40">
      <w:pPr>
        <w:spacing w:line="500" w:lineRule="exact"/>
        <w:ind w:firstLine="436" w:firstLineChars="156"/>
        <w:rPr>
          <w:rFonts w:ascii="宋体" w:hAnsi="宋体"/>
          <w:sz w:val="28"/>
          <w:szCs w:val="28"/>
        </w:rPr>
      </w:pPr>
    </w:p>
    <w:p w14:paraId="7409B7D9">
      <w:pPr>
        <w:spacing w:line="500" w:lineRule="exact"/>
        <w:ind w:firstLine="436" w:firstLineChars="156"/>
        <w:jc w:val="center"/>
        <w:rPr>
          <w:rFonts w:ascii="宋体" w:hAnsi="宋体"/>
          <w:sz w:val="28"/>
          <w:szCs w:val="28"/>
        </w:rPr>
      </w:pPr>
    </w:p>
    <w:p w14:paraId="0AC991EC">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0"/>
        </w:rPr>
        <w:t xml:space="preserve">              日期：    年   月   日</w:t>
      </w:r>
    </w:p>
    <w:p w14:paraId="41662B79">
      <w:pPr>
        <w:rPr>
          <w:rFonts w:ascii="宋体" w:hAnsi="宋体"/>
          <w:sz w:val="36"/>
          <w:szCs w:val="36"/>
        </w:rPr>
      </w:pPr>
    </w:p>
    <w:p w14:paraId="350CF8C7"/>
    <w:p w14:paraId="7E132C3C"/>
    <w:p w14:paraId="02440C17"/>
    <w:p w14:paraId="0D813F1E"/>
    <w:p w14:paraId="1E29D2E2"/>
    <w:p w14:paraId="62907AF7"/>
    <w:p w14:paraId="039BD099"/>
    <w:p w14:paraId="0A6DF687"/>
    <w:p w14:paraId="3EED33A2"/>
    <w:p w14:paraId="316970FF"/>
    <w:p w14:paraId="47B32A18"/>
    <w:p w14:paraId="61350B7D"/>
    <w:p w14:paraId="0E1AAB2D"/>
    <w:p w14:paraId="29C7D5DB"/>
    <w:p w14:paraId="07DE3DF6"/>
    <w:p w14:paraId="48C2B162"/>
    <w:p w14:paraId="6540A30B"/>
    <w:p w14:paraId="0197D501"/>
    <w:p w14:paraId="449E6B0D"/>
    <w:p w14:paraId="3488A1F6"/>
    <w:p w14:paraId="75F9AC0E"/>
    <w:p w14:paraId="2DF8261C"/>
    <w:p w14:paraId="1B98D949"/>
    <w:p w14:paraId="5966BBA6"/>
    <w:p w14:paraId="4C5F4E31"/>
    <w:p w14:paraId="023E0DBD"/>
    <w:p w14:paraId="169C902A"/>
    <w:p w14:paraId="500767BC"/>
    <w:p w14:paraId="49CF9208">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三</w:t>
      </w:r>
      <w:r>
        <w:rPr>
          <w:rFonts w:hint="eastAsia" w:ascii="宋体" w:hAnsi="宋体"/>
          <w:b/>
          <w:color w:val="000000"/>
          <w:sz w:val="30"/>
          <w:szCs w:val="30"/>
        </w:rPr>
        <w:t>：</w:t>
      </w:r>
    </w:p>
    <w:p w14:paraId="5C90DAEE">
      <w:pPr>
        <w:tabs>
          <w:tab w:val="left" w:pos="540"/>
        </w:tabs>
        <w:rPr>
          <w:rFonts w:ascii="宋体" w:hAnsi="宋体"/>
          <w:b/>
          <w:color w:val="000000"/>
          <w:sz w:val="30"/>
          <w:szCs w:val="30"/>
        </w:rPr>
      </w:pPr>
    </w:p>
    <w:p w14:paraId="45012F26">
      <w:pPr>
        <w:tabs>
          <w:tab w:val="left" w:pos="540"/>
        </w:tabs>
        <w:jc w:val="center"/>
        <w:rPr>
          <w:rFonts w:ascii="仿宋_GB2312" w:hAnsi="宋体" w:eastAsia="仿宋_GB2312"/>
          <w:b/>
          <w:sz w:val="28"/>
          <w:szCs w:val="28"/>
        </w:rPr>
      </w:pPr>
      <w:r>
        <w:rPr>
          <w:rFonts w:hint="eastAsia" w:ascii="仿宋_GB2312" w:hAnsi="宋体" w:eastAsia="仿宋_GB2312"/>
          <w:b/>
          <w:sz w:val="36"/>
          <w:szCs w:val="36"/>
          <w:lang w:val="en-GB"/>
        </w:rPr>
        <w:t>其它重要事项说明及承诺</w:t>
      </w:r>
    </w:p>
    <w:p w14:paraId="3AEF45FA">
      <w:pPr>
        <w:pStyle w:val="74"/>
        <w:jc w:val="center"/>
        <w:rPr>
          <w:rFonts w:ascii="宋体" w:hAnsi="宋体"/>
          <w:sz w:val="28"/>
          <w:szCs w:val="28"/>
        </w:rPr>
      </w:pPr>
    </w:p>
    <w:p w14:paraId="7DB430D0">
      <w:pPr>
        <w:pStyle w:val="74"/>
        <w:rPr>
          <w:rFonts w:ascii="宋体" w:hAnsi="宋体"/>
          <w:sz w:val="28"/>
          <w:szCs w:val="28"/>
        </w:rPr>
      </w:pPr>
    </w:p>
    <w:p w14:paraId="4C4172CB">
      <w:pPr>
        <w:pStyle w:val="74"/>
        <w:rPr>
          <w:rFonts w:ascii="宋体" w:hAnsi="宋体"/>
          <w:sz w:val="28"/>
          <w:szCs w:val="28"/>
        </w:rPr>
      </w:pPr>
    </w:p>
    <w:p w14:paraId="08F0A0D0">
      <w:pPr>
        <w:pStyle w:val="74"/>
        <w:rPr>
          <w:rFonts w:ascii="宋体" w:hAnsi="宋体"/>
          <w:sz w:val="28"/>
          <w:szCs w:val="28"/>
        </w:rPr>
      </w:pPr>
    </w:p>
    <w:p w14:paraId="79C9DE11">
      <w:pPr>
        <w:pStyle w:val="74"/>
        <w:rPr>
          <w:rFonts w:ascii="宋体" w:hAnsi="宋体"/>
          <w:sz w:val="28"/>
          <w:szCs w:val="28"/>
        </w:rPr>
      </w:pPr>
    </w:p>
    <w:p w14:paraId="07EAA125">
      <w:pPr>
        <w:spacing w:line="500" w:lineRule="exact"/>
        <w:rPr>
          <w:rFonts w:ascii="宋体" w:hAnsi="宋体"/>
          <w:sz w:val="28"/>
          <w:szCs w:val="28"/>
        </w:rPr>
      </w:pPr>
    </w:p>
    <w:p w14:paraId="2F3788FE">
      <w:pPr>
        <w:spacing w:line="500" w:lineRule="exact"/>
        <w:rPr>
          <w:rFonts w:ascii="宋体" w:hAnsi="宋体"/>
          <w:sz w:val="28"/>
          <w:szCs w:val="28"/>
        </w:rPr>
      </w:pPr>
    </w:p>
    <w:p w14:paraId="6A461A76">
      <w:pPr>
        <w:spacing w:line="500" w:lineRule="exact"/>
        <w:rPr>
          <w:rFonts w:ascii="宋体" w:hAnsi="宋体"/>
          <w:sz w:val="28"/>
          <w:szCs w:val="28"/>
        </w:rPr>
      </w:pPr>
    </w:p>
    <w:p w14:paraId="50476BC4">
      <w:pPr>
        <w:spacing w:line="500" w:lineRule="exact"/>
        <w:rPr>
          <w:rFonts w:ascii="宋体" w:hAnsi="宋体"/>
          <w:sz w:val="28"/>
          <w:szCs w:val="28"/>
        </w:rPr>
      </w:pPr>
    </w:p>
    <w:p w14:paraId="481425C1">
      <w:pPr>
        <w:spacing w:line="500" w:lineRule="exact"/>
        <w:rPr>
          <w:rFonts w:ascii="宋体" w:hAnsi="宋体"/>
          <w:sz w:val="28"/>
          <w:szCs w:val="28"/>
        </w:rPr>
      </w:pPr>
      <w:r>
        <w:rPr>
          <w:rFonts w:hint="eastAsia" w:ascii="宋体" w:hAnsi="宋体"/>
          <w:sz w:val="28"/>
          <w:szCs w:val="28"/>
        </w:rPr>
        <w:t xml:space="preserve">响应供应商名称（签章）：                        </w:t>
      </w:r>
    </w:p>
    <w:p w14:paraId="796137D4">
      <w:pPr>
        <w:spacing w:line="500" w:lineRule="exact"/>
        <w:rPr>
          <w:rFonts w:ascii="宋体" w:hAnsi="宋体"/>
          <w:sz w:val="28"/>
          <w:szCs w:val="28"/>
        </w:rPr>
      </w:pPr>
      <w:r>
        <w:rPr>
          <w:rFonts w:hint="eastAsia" w:ascii="宋体" w:hAnsi="宋体"/>
          <w:sz w:val="28"/>
          <w:szCs w:val="28"/>
        </w:rPr>
        <w:t>日期：          年      月     日</w:t>
      </w:r>
    </w:p>
    <w:p w14:paraId="48194188">
      <w:pPr>
        <w:pStyle w:val="74"/>
        <w:rPr>
          <w:rFonts w:ascii="宋体" w:hAnsi="宋体"/>
          <w:szCs w:val="24"/>
        </w:rPr>
      </w:pPr>
    </w:p>
    <w:p w14:paraId="5A2B7EF3"/>
    <w:p w14:paraId="6FA1BB78"/>
    <w:p w14:paraId="607B5F01"/>
    <w:p w14:paraId="7FB0B5FA"/>
    <w:p w14:paraId="40D5201B"/>
    <w:p w14:paraId="5429F4C2"/>
    <w:p w14:paraId="60E6F369"/>
    <w:p w14:paraId="62981A52"/>
    <w:p w14:paraId="01A08EF2"/>
    <w:p w14:paraId="5A250168"/>
    <w:p w14:paraId="65570402"/>
    <w:p w14:paraId="7206FD4E"/>
    <w:p w14:paraId="75EA3849"/>
    <w:p w14:paraId="1193EE06"/>
    <w:p w14:paraId="04ABA808"/>
    <w:p w14:paraId="3B0551F5"/>
    <w:p w14:paraId="05A72576"/>
    <w:p w14:paraId="3D48FFB3"/>
    <w:p w14:paraId="36DBA4D9"/>
    <w:p w14:paraId="52F43B72"/>
    <w:p w14:paraId="5D8ED4F1"/>
    <w:p w14:paraId="4FFCB10C"/>
    <w:p w14:paraId="74AE1F3C"/>
    <w:p w14:paraId="34B4EDFE"/>
    <w:p w14:paraId="6F1D29E6"/>
    <w:p w14:paraId="613FD8A0"/>
    <w:p w14:paraId="262418E4"/>
    <w:p w14:paraId="5B98AF47"/>
    <w:p w14:paraId="273A4D73">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四</w:t>
      </w:r>
      <w:r>
        <w:rPr>
          <w:rFonts w:hint="eastAsia" w:ascii="宋体" w:hAnsi="宋体"/>
          <w:b/>
          <w:color w:val="000000"/>
          <w:sz w:val="30"/>
          <w:szCs w:val="30"/>
        </w:rPr>
        <w:t>：</w:t>
      </w:r>
    </w:p>
    <w:p w14:paraId="5BDBD958">
      <w:pPr>
        <w:tabs>
          <w:tab w:val="left" w:pos="540"/>
        </w:tabs>
        <w:jc w:val="center"/>
        <w:rPr>
          <w:rFonts w:ascii="仿宋_GB2312" w:hAnsi="宋体" w:eastAsia="仿宋_GB2312"/>
          <w:b/>
          <w:sz w:val="28"/>
          <w:szCs w:val="28"/>
          <w:lang w:val="en-GB"/>
        </w:rPr>
      </w:pPr>
      <w:r>
        <w:rPr>
          <w:rFonts w:hint="eastAsia" w:ascii="宋体" w:hAnsi="宋体" w:cs="宋体"/>
          <w:b/>
          <w:kern w:val="0"/>
          <w:sz w:val="32"/>
          <w:szCs w:val="32"/>
          <w:shd w:val="clear" w:color="auto" w:fill="FFFFFF"/>
        </w:rPr>
        <w:t>针对本项目的服务技术团队情况</w:t>
      </w:r>
    </w:p>
    <w:p w14:paraId="2BD47CBF">
      <w:pPr>
        <w:spacing w:line="500" w:lineRule="exact"/>
        <w:jc w:val="center"/>
        <w:rPr>
          <w:rFonts w:ascii="仿宋_GB2312" w:hAnsi="宋体" w:eastAsia="仿宋_GB2312"/>
          <w:b/>
          <w:sz w:val="28"/>
          <w:szCs w:val="28"/>
        </w:rPr>
      </w:pPr>
    </w:p>
    <w:tbl>
      <w:tblPr>
        <w:tblStyle w:val="62"/>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237"/>
        <w:gridCol w:w="705"/>
        <w:gridCol w:w="1380"/>
        <w:gridCol w:w="1929"/>
      </w:tblGrid>
      <w:tr w14:paraId="126E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79627681">
            <w:pPr>
              <w:jc w:val="center"/>
              <w:rPr>
                <w:rFonts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60CDBA35">
            <w:pPr>
              <w:ind w:firstLine="116" w:firstLineChars="48"/>
              <w:rPr>
                <w:rFonts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vAlign w:val="center"/>
          </w:tcPr>
          <w:p w14:paraId="4972AED6">
            <w:pPr>
              <w:jc w:val="center"/>
              <w:rPr>
                <w:rFonts w:ascii="宋体" w:hAnsi="宋体"/>
                <w:b/>
                <w:sz w:val="24"/>
              </w:rPr>
            </w:pPr>
            <w:r>
              <w:rPr>
                <w:rFonts w:hint="eastAsia" w:ascii="宋体" w:hAnsi="宋体"/>
                <w:b/>
                <w:sz w:val="24"/>
              </w:rPr>
              <w:t>现职务</w:t>
            </w:r>
          </w:p>
        </w:tc>
        <w:tc>
          <w:tcPr>
            <w:tcW w:w="3237" w:type="dxa"/>
            <w:tcBorders>
              <w:top w:val="single" w:color="auto" w:sz="4" w:space="0"/>
              <w:bottom w:val="nil"/>
            </w:tcBorders>
            <w:shd w:val="clear" w:color="auto" w:fill="F3F3F3"/>
            <w:vAlign w:val="center"/>
          </w:tcPr>
          <w:p w14:paraId="010E2003">
            <w:pPr>
              <w:rPr>
                <w:rFonts w:ascii="宋体" w:hAnsi="宋体"/>
                <w:b/>
                <w:sz w:val="24"/>
              </w:rPr>
            </w:pPr>
            <w:r>
              <w:rPr>
                <w:rFonts w:hint="eastAsia" w:ascii="宋体" w:hAnsi="宋体"/>
                <w:b/>
                <w:sz w:val="24"/>
              </w:rPr>
              <w:t>曾主持/参与的同类项目经历</w:t>
            </w:r>
          </w:p>
        </w:tc>
        <w:tc>
          <w:tcPr>
            <w:tcW w:w="705" w:type="dxa"/>
            <w:tcBorders>
              <w:top w:val="single" w:color="auto" w:sz="4" w:space="0"/>
              <w:bottom w:val="nil"/>
            </w:tcBorders>
            <w:shd w:val="clear" w:color="auto" w:fill="F3F3F3"/>
            <w:vAlign w:val="center"/>
          </w:tcPr>
          <w:p w14:paraId="7FFE1EC7">
            <w:pPr>
              <w:rPr>
                <w:rFonts w:ascii="宋体" w:hAnsi="宋体"/>
                <w:b/>
                <w:sz w:val="24"/>
              </w:rPr>
            </w:pPr>
            <w:r>
              <w:rPr>
                <w:rFonts w:hint="eastAsia" w:ascii="宋体" w:hAnsi="宋体"/>
                <w:b/>
                <w:sz w:val="24"/>
              </w:rPr>
              <w:t>职称</w:t>
            </w:r>
          </w:p>
        </w:tc>
        <w:tc>
          <w:tcPr>
            <w:tcW w:w="1380" w:type="dxa"/>
            <w:tcBorders>
              <w:top w:val="single" w:color="auto" w:sz="4" w:space="0"/>
              <w:bottom w:val="nil"/>
              <w:right w:val="single" w:color="auto" w:sz="4" w:space="0"/>
            </w:tcBorders>
            <w:shd w:val="clear" w:color="auto" w:fill="F3F3F3"/>
            <w:vAlign w:val="center"/>
          </w:tcPr>
          <w:p w14:paraId="0D3B19E6">
            <w:pPr>
              <w:ind w:firstLine="12"/>
              <w:jc w:val="center"/>
              <w:rPr>
                <w:rFonts w:ascii="宋体" w:hAnsi="宋体"/>
                <w:b/>
                <w:sz w:val="24"/>
              </w:rPr>
            </w:pPr>
            <w:r>
              <w:rPr>
                <w:rFonts w:hint="eastAsia" w:ascii="宋体" w:hAnsi="宋体"/>
                <w:b/>
                <w:sz w:val="24"/>
              </w:rPr>
              <w:t>专业工龄</w:t>
            </w:r>
          </w:p>
        </w:tc>
        <w:tc>
          <w:tcPr>
            <w:tcW w:w="1929" w:type="dxa"/>
            <w:tcBorders>
              <w:top w:val="single" w:color="auto" w:sz="4" w:space="0"/>
              <w:bottom w:val="nil"/>
              <w:right w:val="single" w:color="auto" w:sz="4" w:space="0"/>
            </w:tcBorders>
            <w:shd w:val="clear" w:color="auto" w:fill="F3F3F3"/>
            <w:vAlign w:val="center"/>
          </w:tcPr>
          <w:p w14:paraId="26933A38">
            <w:pPr>
              <w:ind w:firstLine="12"/>
              <w:rPr>
                <w:rFonts w:ascii="宋体" w:hAnsi="宋体"/>
                <w:b/>
                <w:sz w:val="24"/>
              </w:rPr>
            </w:pPr>
            <w:r>
              <w:rPr>
                <w:rFonts w:hint="eastAsia" w:ascii="宋体" w:hAnsi="宋体"/>
                <w:b/>
                <w:sz w:val="24"/>
              </w:rPr>
              <w:t>联系电话/手机</w:t>
            </w:r>
          </w:p>
        </w:tc>
      </w:tr>
      <w:tr w14:paraId="2C2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56F220A6">
            <w:pPr>
              <w:rPr>
                <w:rFonts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vAlign w:val="center"/>
          </w:tcPr>
          <w:p w14:paraId="1C081B68">
            <w:pPr>
              <w:jc w:val="center"/>
              <w:rPr>
                <w:rFonts w:ascii="宋体" w:hAnsi="宋体"/>
                <w:sz w:val="24"/>
              </w:rPr>
            </w:pPr>
          </w:p>
        </w:tc>
        <w:tc>
          <w:tcPr>
            <w:tcW w:w="1105" w:type="dxa"/>
            <w:tcBorders>
              <w:top w:val="single" w:color="auto" w:sz="4" w:space="0"/>
              <w:left w:val="single" w:color="auto" w:sz="4" w:space="0"/>
              <w:bottom w:val="nil"/>
            </w:tcBorders>
            <w:vAlign w:val="center"/>
          </w:tcPr>
          <w:p w14:paraId="78A6A203">
            <w:pPr>
              <w:jc w:val="center"/>
              <w:rPr>
                <w:rFonts w:ascii="宋体" w:hAnsi="宋体"/>
                <w:sz w:val="24"/>
              </w:rPr>
            </w:pPr>
          </w:p>
        </w:tc>
        <w:tc>
          <w:tcPr>
            <w:tcW w:w="3237" w:type="dxa"/>
            <w:tcBorders>
              <w:top w:val="single" w:color="auto" w:sz="4" w:space="0"/>
              <w:bottom w:val="nil"/>
            </w:tcBorders>
            <w:vAlign w:val="center"/>
          </w:tcPr>
          <w:p w14:paraId="5B304E71">
            <w:pPr>
              <w:pStyle w:val="230"/>
              <w:keepNext w:val="0"/>
              <w:adjustRightInd/>
              <w:spacing w:before="0" w:after="0" w:line="240" w:lineRule="auto"/>
              <w:textAlignment w:val="auto"/>
              <w:rPr>
                <w:rFonts w:ascii="宋体" w:hAnsi="宋体"/>
                <w:snapToGrid/>
                <w:spacing w:val="0"/>
                <w:kern w:val="2"/>
                <w:szCs w:val="24"/>
              </w:rPr>
            </w:pPr>
          </w:p>
        </w:tc>
        <w:tc>
          <w:tcPr>
            <w:tcW w:w="705" w:type="dxa"/>
            <w:tcBorders>
              <w:top w:val="single" w:color="auto" w:sz="4" w:space="0"/>
              <w:bottom w:val="nil"/>
            </w:tcBorders>
            <w:vAlign w:val="center"/>
          </w:tcPr>
          <w:p w14:paraId="413D36FA">
            <w:pPr>
              <w:jc w:val="center"/>
              <w:rPr>
                <w:rFonts w:ascii="宋体" w:hAnsi="宋体"/>
                <w:sz w:val="24"/>
              </w:rPr>
            </w:pPr>
          </w:p>
        </w:tc>
        <w:tc>
          <w:tcPr>
            <w:tcW w:w="1380" w:type="dxa"/>
            <w:tcBorders>
              <w:top w:val="single" w:color="auto" w:sz="4" w:space="0"/>
              <w:bottom w:val="nil"/>
              <w:right w:val="single" w:color="auto" w:sz="4" w:space="0"/>
            </w:tcBorders>
            <w:vAlign w:val="center"/>
          </w:tcPr>
          <w:p w14:paraId="41632A51">
            <w:pPr>
              <w:ind w:firstLine="12"/>
              <w:jc w:val="center"/>
              <w:rPr>
                <w:rFonts w:ascii="宋体" w:hAnsi="宋体"/>
                <w:sz w:val="24"/>
              </w:rPr>
            </w:pPr>
          </w:p>
        </w:tc>
        <w:tc>
          <w:tcPr>
            <w:tcW w:w="1929" w:type="dxa"/>
            <w:tcBorders>
              <w:top w:val="single" w:color="auto" w:sz="4" w:space="0"/>
              <w:bottom w:val="nil"/>
              <w:right w:val="single" w:color="auto" w:sz="4" w:space="0"/>
            </w:tcBorders>
            <w:vAlign w:val="center"/>
          </w:tcPr>
          <w:p w14:paraId="6D1F1AFA">
            <w:pPr>
              <w:ind w:firstLine="12"/>
              <w:jc w:val="center"/>
              <w:rPr>
                <w:rFonts w:ascii="宋体" w:hAnsi="宋体"/>
                <w:sz w:val="24"/>
              </w:rPr>
            </w:pPr>
          </w:p>
        </w:tc>
      </w:tr>
      <w:tr w14:paraId="7032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73101672">
            <w:pPr>
              <w:rPr>
                <w:rFonts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vAlign w:val="center"/>
          </w:tcPr>
          <w:p w14:paraId="254A3B94">
            <w:pPr>
              <w:jc w:val="center"/>
              <w:rPr>
                <w:rFonts w:ascii="宋体" w:hAnsi="宋体"/>
                <w:sz w:val="24"/>
              </w:rPr>
            </w:pPr>
          </w:p>
        </w:tc>
        <w:tc>
          <w:tcPr>
            <w:tcW w:w="1105" w:type="dxa"/>
            <w:tcBorders>
              <w:left w:val="single" w:color="auto" w:sz="4" w:space="0"/>
            </w:tcBorders>
            <w:vAlign w:val="center"/>
          </w:tcPr>
          <w:p w14:paraId="5015CAEA">
            <w:pPr>
              <w:jc w:val="center"/>
              <w:rPr>
                <w:rFonts w:ascii="宋体" w:hAnsi="宋体"/>
                <w:sz w:val="24"/>
              </w:rPr>
            </w:pPr>
          </w:p>
        </w:tc>
        <w:tc>
          <w:tcPr>
            <w:tcW w:w="3237" w:type="dxa"/>
            <w:vAlign w:val="center"/>
          </w:tcPr>
          <w:p w14:paraId="60CD4F4F">
            <w:pPr>
              <w:jc w:val="center"/>
              <w:rPr>
                <w:rFonts w:ascii="宋体" w:hAnsi="宋体"/>
                <w:sz w:val="24"/>
              </w:rPr>
            </w:pPr>
          </w:p>
        </w:tc>
        <w:tc>
          <w:tcPr>
            <w:tcW w:w="705" w:type="dxa"/>
            <w:vAlign w:val="center"/>
          </w:tcPr>
          <w:p w14:paraId="19B687E9">
            <w:pPr>
              <w:jc w:val="center"/>
              <w:rPr>
                <w:rFonts w:ascii="宋体" w:hAnsi="宋体"/>
                <w:sz w:val="24"/>
              </w:rPr>
            </w:pPr>
          </w:p>
        </w:tc>
        <w:tc>
          <w:tcPr>
            <w:tcW w:w="1380" w:type="dxa"/>
            <w:tcBorders>
              <w:right w:val="single" w:color="auto" w:sz="4" w:space="0"/>
            </w:tcBorders>
            <w:vAlign w:val="center"/>
          </w:tcPr>
          <w:p w14:paraId="6EEAE163">
            <w:pPr>
              <w:jc w:val="center"/>
              <w:rPr>
                <w:rFonts w:ascii="宋体" w:hAnsi="宋体"/>
                <w:sz w:val="24"/>
              </w:rPr>
            </w:pPr>
          </w:p>
        </w:tc>
        <w:tc>
          <w:tcPr>
            <w:tcW w:w="1929" w:type="dxa"/>
            <w:tcBorders>
              <w:right w:val="single" w:color="auto" w:sz="4" w:space="0"/>
            </w:tcBorders>
            <w:vAlign w:val="center"/>
          </w:tcPr>
          <w:p w14:paraId="3415182D">
            <w:pPr>
              <w:jc w:val="center"/>
              <w:rPr>
                <w:rFonts w:ascii="宋体" w:hAnsi="宋体"/>
                <w:sz w:val="24"/>
              </w:rPr>
            </w:pPr>
          </w:p>
        </w:tc>
      </w:tr>
      <w:tr w14:paraId="656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1614F890">
            <w:pPr>
              <w:rPr>
                <w:rFonts w:ascii="宋体" w:hAnsi="宋体"/>
                <w:sz w:val="24"/>
              </w:rPr>
            </w:pPr>
          </w:p>
        </w:tc>
        <w:tc>
          <w:tcPr>
            <w:tcW w:w="1015" w:type="dxa"/>
            <w:tcBorders>
              <w:left w:val="single" w:color="auto" w:sz="4" w:space="0"/>
              <w:right w:val="single" w:color="auto" w:sz="4" w:space="0"/>
            </w:tcBorders>
            <w:vAlign w:val="center"/>
          </w:tcPr>
          <w:p w14:paraId="70932EFD">
            <w:pPr>
              <w:jc w:val="center"/>
              <w:rPr>
                <w:rFonts w:ascii="宋体" w:hAnsi="宋体"/>
                <w:sz w:val="24"/>
              </w:rPr>
            </w:pPr>
          </w:p>
        </w:tc>
        <w:tc>
          <w:tcPr>
            <w:tcW w:w="1105" w:type="dxa"/>
            <w:tcBorders>
              <w:left w:val="single" w:color="auto" w:sz="4" w:space="0"/>
            </w:tcBorders>
            <w:vAlign w:val="center"/>
          </w:tcPr>
          <w:p w14:paraId="17FB81B1">
            <w:pPr>
              <w:jc w:val="center"/>
              <w:rPr>
                <w:rFonts w:ascii="宋体" w:hAnsi="宋体"/>
                <w:sz w:val="24"/>
              </w:rPr>
            </w:pPr>
          </w:p>
        </w:tc>
        <w:tc>
          <w:tcPr>
            <w:tcW w:w="3237" w:type="dxa"/>
            <w:vAlign w:val="center"/>
          </w:tcPr>
          <w:p w14:paraId="2040A96B">
            <w:pPr>
              <w:jc w:val="center"/>
              <w:rPr>
                <w:rFonts w:ascii="宋体" w:hAnsi="宋体"/>
                <w:sz w:val="24"/>
              </w:rPr>
            </w:pPr>
          </w:p>
        </w:tc>
        <w:tc>
          <w:tcPr>
            <w:tcW w:w="705" w:type="dxa"/>
            <w:vAlign w:val="center"/>
          </w:tcPr>
          <w:p w14:paraId="15EE3AF1">
            <w:pPr>
              <w:jc w:val="center"/>
              <w:rPr>
                <w:rFonts w:ascii="宋体" w:hAnsi="宋体"/>
                <w:sz w:val="24"/>
              </w:rPr>
            </w:pPr>
          </w:p>
        </w:tc>
        <w:tc>
          <w:tcPr>
            <w:tcW w:w="1380" w:type="dxa"/>
            <w:tcBorders>
              <w:right w:val="single" w:color="auto" w:sz="4" w:space="0"/>
            </w:tcBorders>
            <w:vAlign w:val="center"/>
          </w:tcPr>
          <w:p w14:paraId="63C8F1A0">
            <w:pPr>
              <w:jc w:val="center"/>
              <w:rPr>
                <w:rFonts w:ascii="宋体" w:hAnsi="宋体"/>
                <w:sz w:val="24"/>
              </w:rPr>
            </w:pPr>
          </w:p>
        </w:tc>
        <w:tc>
          <w:tcPr>
            <w:tcW w:w="1929" w:type="dxa"/>
            <w:tcBorders>
              <w:right w:val="single" w:color="auto" w:sz="4" w:space="0"/>
            </w:tcBorders>
            <w:vAlign w:val="center"/>
          </w:tcPr>
          <w:p w14:paraId="1EE5A373">
            <w:pPr>
              <w:jc w:val="center"/>
              <w:rPr>
                <w:rFonts w:ascii="宋体" w:hAnsi="宋体"/>
                <w:sz w:val="24"/>
              </w:rPr>
            </w:pPr>
          </w:p>
        </w:tc>
      </w:tr>
      <w:tr w14:paraId="0D37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08C6671B">
            <w:pPr>
              <w:rPr>
                <w:rFonts w:ascii="宋体" w:hAnsi="宋体"/>
                <w:sz w:val="24"/>
              </w:rPr>
            </w:pPr>
          </w:p>
        </w:tc>
        <w:tc>
          <w:tcPr>
            <w:tcW w:w="1015" w:type="dxa"/>
            <w:tcBorders>
              <w:left w:val="single" w:color="auto" w:sz="4" w:space="0"/>
              <w:right w:val="single" w:color="auto" w:sz="4" w:space="0"/>
            </w:tcBorders>
            <w:vAlign w:val="center"/>
          </w:tcPr>
          <w:p w14:paraId="3768AA92">
            <w:pPr>
              <w:jc w:val="center"/>
              <w:rPr>
                <w:rFonts w:ascii="宋体" w:hAnsi="宋体"/>
                <w:sz w:val="24"/>
              </w:rPr>
            </w:pPr>
          </w:p>
        </w:tc>
        <w:tc>
          <w:tcPr>
            <w:tcW w:w="1105" w:type="dxa"/>
            <w:tcBorders>
              <w:left w:val="single" w:color="auto" w:sz="4" w:space="0"/>
            </w:tcBorders>
            <w:vAlign w:val="center"/>
          </w:tcPr>
          <w:p w14:paraId="2C08CED0">
            <w:pPr>
              <w:jc w:val="center"/>
              <w:rPr>
                <w:rFonts w:ascii="宋体" w:hAnsi="宋体"/>
                <w:sz w:val="24"/>
              </w:rPr>
            </w:pPr>
          </w:p>
        </w:tc>
        <w:tc>
          <w:tcPr>
            <w:tcW w:w="3237" w:type="dxa"/>
            <w:vAlign w:val="center"/>
          </w:tcPr>
          <w:p w14:paraId="43EF0EB8">
            <w:pPr>
              <w:jc w:val="center"/>
              <w:rPr>
                <w:rFonts w:ascii="宋体" w:hAnsi="宋体"/>
                <w:sz w:val="24"/>
              </w:rPr>
            </w:pPr>
          </w:p>
        </w:tc>
        <w:tc>
          <w:tcPr>
            <w:tcW w:w="705" w:type="dxa"/>
            <w:vAlign w:val="center"/>
          </w:tcPr>
          <w:p w14:paraId="16D03C0A">
            <w:pPr>
              <w:jc w:val="center"/>
              <w:rPr>
                <w:rFonts w:ascii="宋体" w:hAnsi="宋体"/>
                <w:sz w:val="24"/>
              </w:rPr>
            </w:pPr>
          </w:p>
        </w:tc>
        <w:tc>
          <w:tcPr>
            <w:tcW w:w="1380" w:type="dxa"/>
            <w:tcBorders>
              <w:right w:val="single" w:color="auto" w:sz="4" w:space="0"/>
            </w:tcBorders>
            <w:vAlign w:val="center"/>
          </w:tcPr>
          <w:p w14:paraId="5E8DD36A">
            <w:pPr>
              <w:jc w:val="center"/>
              <w:rPr>
                <w:rFonts w:ascii="宋体" w:hAnsi="宋体"/>
                <w:sz w:val="24"/>
              </w:rPr>
            </w:pPr>
          </w:p>
        </w:tc>
        <w:tc>
          <w:tcPr>
            <w:tcW w:w="1929" w:type="dxa"/>
            <w:tcBorders>
              <w:right w:val="single" w:color="auto" w:sz="4" w:space="0"/>
            </w:tcBorders>
            <w:vAlign w:val="center"/>
          </w:tcPr>
          <w:p w14:paraId="31F889E7">
            <w:pPr>
              <w:jc w:val="center"/>
              <w:rPr>
                <w:rFonts w:ascii="宋体" w:hAnsi="宋体"/>
                <w:sz w:val="24"/>
              </w:rPr>
            </w:pPr>
          </w:p>
        </w:tc>
      </w:tr>
      <w:tr w14:paraId="0AF1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77F9CF72">
            <w:pPr>
              <w:jc w:val="center"/>
              <w:rPr>
                <w:rFonts w:ascii="宋体" w:hAnsi="宋体"/>
                <w:sz w:val="24"/>
              </w:rPr>
            </w:pPr>
          </w:p>
        </w:tc>
        <w:tc>
          <w:tcPr>
            <w:tcW w:w="1015" w:type="dxa"/>
            <w:tcBorders>
              <w:left w:val="single" w:color="auto" w:sz="4" w:space="0"/>
              <w:right w:val="single" w:color="auto" w:sz="4" w:space="0"/>
            </w:tcBorders>
            <w:vAlign w:val="center"/>
          </w:tcPr>
          <w:p w14:paraId="316F04C2">
            <w:pPr>
              <w:jc w:val="center"/>
              <w:rPr>
                <w:rFonts w:ascii="宋体" w:hAnsi="宋体"/>
                <w:sz w:val="24"/>
              </w:rPr>
            </w:pPr>
          </w:p>
        </w:tc>
        <w:tc>
          <w:tcPr>
            <w:tcW w:w="1105" w:type="dxa"/>
            <w:tcBorders>
              <w:left w:val="single" w:color="auto" w:sz="4" w:space="0"/>
            </w:tcBorders>
            <w:vAlign w:val="center"/>
          </w:tcPr>
          <w:p w14:paraId="4E376FB3">
            <w:pPr>
              <w:jc w:val="center"/>
              <w:rPr>
                <w:rFonts w:ascii="宋体" w:hAnsi="宋体"/>
                <w:sz w:val="24"/>
              </w:rPr>
            </w:pPr>
          </w:p>
        </w:tc>
        <w:tc>
          <w:tcPr>
            <w:tcW w:w="3237" w:type="dxa"/>
            <w:vAlign w:val="center"/>
          </w:tcPr>
          <w:p w14:paraId="0221959E">
            <w:pPr>
              <w:jc w:val="center"/>
              <w:rPr>
                <w:rFonts w:ascii="宋体" w:hAnsi="宋体"/>
                <w:sz w:val="24"/>
              </w:rPr>
            </w:pPr>
          </w:p>
        </w:tc>
        <w:tc>
          <w:tcPr>
            <w:tcW w:w="705" w:type="dxa"/>
            <w:vAlign w:val="center"/>
          </w:tcPr>
          <w:p w14:paraId="3BBC4B7C">
            <w:pPr>
              <w:jc w:val="center"/>
              <w:rPr>
                <w:rFonts w:ascii="宋体" w:hAnsi="宋体"/>
                <w:sz w:val="24"/>
              </w:rPr>
            </w:pPr>
          </w:p>
        </w:tc>
        <w:tc>
          <w:tcPr>
            <w:tcW w:w="1380" w:type="dxa"/>
            <w:tcBorders>
              <w:right w:val="single" w:color="auto" w:sz="4" w:space="0"/>
            </w:tcBorders>
            <w:vAlign w:val="center"/>
          </w:tcPr>
          <w:p w14:paraId="69758E63">
            <w:pPr>
              <w:jc w:val="center"/>
              <w:rPr>
                <w:rFonts w:ascii="宋体" w:hAnsi="宋体"/>
                <w:sz w:val="24"/>
              </w:rPr>
            </w:pPr>
          </w:p>
        </w:tc>
        <w:tc>
          <w:tcPr>
            <w:tcW w:w="1929" w:type="dxa"/>
            <w:tcBorders>
              <w:right w:val="single" w:color="auto" w:sz="4" w:space="0"/>
            </w:tcBorders>
            <w:vAlign w:val="center"/>
          </w:tcPr>
          <w:p w14:paraId="18BD62FF">
            <w:pPr>
              <w:jc w:val="center"/>
              <w:rPr>
                <w:rFonts w:ascii="宋体" w:hAnsi="宋体"/>
                <w:sz w:val="24"/>
              </w:rPr>
            </w:pPr>
          </w:p>
        </w:tc>
      </w:tr>
      <w:tr w14:paraId="799A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452BA630">
            <w:pPr>
              <w:jc w:val="center"/>
              <w:rPr>
                <w:rFonts w:ascii="宋体" w:hAnsi="宋体"/>
                <w:sz w:val="24"/>
              </w:rPr>
            </w:pPr>
          </w:p>
        </w:tc>
        <w:tc>
          <w:tcPr>
            <w:tcW w:w="1015" w:type="dxa"/>
            <w:tcBorders>
              <w:left w:val="single" w:color="auto" w:sz="4" w:space="0"/>
              <w:right w:val="single" w:color="auto" w:sz="4" w:space="0"/>
            </w:tcBorders>
            <w:vAlign w:val="center"/>
          </w:tcPr>
          <w:p w14:paraId="02340D9F">
            <w:pPr>
              <w:jc w:val="center"/>
              <w:rPr>
                <w:rFonts w:ascii="宋体" w:hAnsi="宋体"/>
                <w:sz w:val="24"/>
              </w:rPr>
            </w:pPr>
            <w:r>
              <w:rPr>
                <w:rFonts w:hint="eastAsia" w:ascii="宋体" w:hAnsi="宋体"/>
                <w:sz w:val="24"/>
              </w:rPr>
              <w:t>…</w:t>
            </w:r>
          </w:p>
        </w:tc>
        <w:tc>
          <w:tcPr>
            <w:tcW w:w="1105" w:type="dxa"/>
            <w:tcBorders>
              <w:left w:val="single" w:color="auto" w:sz="4" w:space="0"/>
            </w:tcBorders>
            <w:vAlign w:val="center"/>
          </w:tcPr>
          <w:p w14:paraId="2EACC323">
            <w:pPr>
              <w:jc w:val="center"/>
              <w:rPr>
                <w:rFonts w:ascii="宋体" w:hAnsi="宋体"/>
                <w:sz w:val="24"/>
              </w:rPr>
            </w:pPr>
          </w:p>
        </w:tc>
        <w:tc>
          <w:tcPr>
            <w:tcW w:w="3237" w:type="dxa"/>
            <w:vAlign w:val="center"/>
          </w:tcPr>
          <w:p w14:paraId="23787EF0">
            <w:pPr>
              <w:jc w:val="center"/>
              <w:rPr>
                <w:rFonts w:ascii="宋体" w:hAnsi="宋体"/>
                <w:sz w:val="24"/>
              </w:rPr>
            </w:pPr>
          </w:p>
        </w:tc>
        <w:tc>
          <w:tcPr>
            <w:tcW w:w="705" w:type="dxa"/>
            <w:vAlign w:val="center"/>
          </w:tcPr>
          <w:p w14:paraId="79F33E7F">
            <w:pPr>
              <w:jc w:val="center"/>
              <w:rPr>
                <w:rFonts w:ascii="宋体" w:hAnsi="宋体"/>
                <w:sz w:val="24"/>
              </w:rPr>
            </w:pPr>
          </w:p>
        </w:tc>
        <w:tc>
          <w:tcPr>
            <w:tcW w:w="1380" w:type="dxa"/>
            <w:tcBorders>
              <w:right w:val="single" w:color="auto" w:sz="4" w:space="0"/>
            </w:tcBorders>
            <w:vAlign w:val="center"/>
          </w:tcPr>
          <w:p w14:paraId="4981F9B1">
            <w:pPr>
              <w:jc w:val="center"/>
              <w:rPr>
                <w:rFonts w:ascii="宋体" w:hAnsi="宋体"/>
                <w:sz w:val="24"/>
              </w:rPr>
            </w:pPr>
          </w:p>
        </w:tc>
        <w:tc>
          <w:tcPr>
            <w:tcW w:w="1929" w:type="dxa"/>
            <w:tcBorders>
              <w:right w:val="single" w:color="auto" w:sz="4" w:space="0"/>
            </w:tcBorders>
            <w:vAlign w:val="center"/>
          </w:tcPr>
          <w:p w14:paraId="0CD90812">
            <w:pPr>
              <w:jc w:val="center"/>
              <w:rPr>
                <w:rFonts w:ascii="宋体" w:hAnsi="宋体"/>
                <w:sz w:val="24"/>
              </w:rPr>
            </w:pPr>
          </w:p>
        </w:tc>
      </w:tr>
    </w:tbl>
    <w:p w14:paraId="1E4909AE">
      <w:pPr>
        <w:spacing w:line="500" w:lineRule="exact"/>
        <w:jc w:val="center"/>
        <w:rPr>
          <w:rFonts w:ascii="宋体" w:hAnsi="宋体"/>
          <w:b/>
          <w:bCs/>
          <w:sz w:val="28"/>
          <w:szCs w:val="28"/>
        </w:rPr>
      </w:pPr>
    </w:p>
    <w:p w14:paraId="39492CD0">
      <w:pPr>
        <w:rPr>
          <w:rFonts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注：项目负责人和其他主要技术人员应附有关身份证明、从业资格证明、职称证、社保缴费等等有关证明文件等。</w:t>
      </w:r>
    </w:p>
    <w:p w14:paraId="0ECFED34">
      <w:pPr>
        <w:tabs>
          <w:tab w:val="left" w:pos="540"/>
        </w:tabs>
        <w:ind w:firstLine="560" w:firstLineChars="200"/>
        <w:rPr>
          <w:rFonts w:ascii="宋体" w:hAnsi="宋体"/>
          <w:b/>
          <w:sz w:val="28"/>
          <w:szCs w:val="28"/>
          <w:lang w:val="en-GB"/>
        </w:rPr>
      </w:pPr>
      <w:r>
        <w:rPr>
          <w:rFonts w:hint="eastAsia" w:ascii="宋体" w:hAnsi="宋体"/>
          <w:sz w:val="28"/>
          <w:szCs w:val="28"/>
        </w:rPr>
        <w:t>此表仅提供了表格形式，磋商响应方应根据需要准备足够数量的表格来填写。</w:t>
      </w:r>
    </w:p>
    <w:p w14:paraId="3EF5BA5A">
      <w:pPr>
        <w:tabs>
          <w:tab w:val="left" w:pos="540"/>
        </w:tabs>
        <w:rPr>
          <w:rFonts w:ascii="宋体" w:hAnsi="宋体"/>
          <w:b/>
          <w:sz w:val="28"/>
          <w:szCs w:val="28"/>
          <w:lang w:val="en-GB"/>
        </w:rPr>
      </w:pPr>
    </w:p>
    <w:p w14:paraId="5555376F">
      <w:pPr>
        <w:adjustRightInd w:val="0"/>
        <w:snapToGrid w:val="0"/>
        <w:spacing w:line="300" w:lineRule="auto"/>
        <w:rPr>
          <w:rFonts w:ascii="宋体" w:hAnsi="宋体"/>
          <w:sz w:val="28"/>
          <w:szCs w:val="28"/>
        </w:rPr>
      </w:pPr>
    </w:p>
    <w:p w14:paraId="5F14B263">
      <w:pPr>
        <w:adjustRightInd w:val="0"/>
        <w:snapToGrid w:val="0"/>
        <w:spacing w:line="300" w:lineRule="auto"/>
        <w:rPr>
          <w:rFonts w:ascii="宋体" w:hAnsi="宋体"/>
          <w:sz w:val="28"/>
          <w:szCs w:val="28"/>
          <w:u w:val="single"/>
        </w:rPr>
      </w:pPr>
      <w:r>
        <w:rPr>
          <w:rFonts w:hint="eastAsia" w:ascii="宋体" w:hAnsi="宋体"/>
          <w:sz w:val="28"/>
          <w:szCs w:val="28"/>
        </w:rPr>
        <w:t>响应供应商名称（签章）：</w:t>
      </w:r>
    </w:p>
    <w:p w14:paraId="61AB545D">
      <w:pPr>
        <w:spacing w:line="500" w:lineRule="exact"/>
        <w:rPr>
          <w:rFonts w:ascii="宋体" w:hAnsi="宋体"/>
          <w:sz w:val="28"/>
          <w:szCs w:val="28"/>
        </w:rPr>
      </w:pPr>
      <w:r>
        <w:rPr>
          <w:rFonts w:hint="eastAsia" w:ascii="宋体" w:hAnsi="宋体"/>
          <w:sz w:val="28"/>
          <w:szCs w:val="28"/>
        </w:rPr>
        <w:t>日期：年 月 日</w:t>
      </w:r>
    </w:p>
    <w:p w14:paraId="0276B540">
      <w:pPr>
        <w:tabs>
          <w:tab w:val="left" w:pos="540"/>
        </w:tabs>
        <w:jc w:val="center"/>
        <w:rPr>
          <w:rFonts w:ascii="仿宋_GB2312" w:hAnsi="宋体" w:eastAsia="仿宋_GB2312"/>
          <w:b/>
          <w:sz w:val="28"/>
          <w:szCs w:val="28"/>
          <w:lang w:val="en-GB"/>
        </w:rPr>
      </w:pPr>
    </w:p>
    <w:p w14:paraId="41CFEA2A">
      <w:pPr>
        <w:tabs>
          <w:tab w:val="left" w:pos="540"/>
        </w:tabs>
        <w:jc w:val="center"/>
        <w:rPr>
          <w:rFonts w:ascii="仿宋_GB2312" w:hAnsi="宋体" w:eastAsia="仿宋_GB2312"/>
          <w:b/>
          <w:sz w:val="28"/>
          <w:szCs w:val="28"/>
          <w:lang w:val="en-GB"/>
        </w:rPr>
      </w:pPr>
    </w:p>
    <w:p w14:paraId="3459F0B3">
      <w:pPr>
        <w:tabs>
          <w:tab w:val="left" w:pos="540"/>
        </w:tabs>
        <w:jc w:val="center"/>
        <w:rPr>
          <w:rFonts w:ascii="仿宋_GB2312" w:hAnsi="宋体" w:eastAsia="仿宋_GB2312"/>
          <w:b/>
          <w:sz w:val="28"/>
          <w:szCs w:val="28"/>
          <w:lang w:val="en-GB"/>
        </w:rPr>
      </w:pPr>
    </w:p>
    <w:p w14:paraId="684593E6">
      <w:pPr>
        <w:tabs>
          <w:tab w:val="left" w:pos="540"/>
        </w:tabs>
        <w:jc w:val="center"/>
        <w:rPr>
          <w:rFonts w:ascii="仿宋_GB2312" w:hAnsi="宋体" w:eastAsia="仿宋_GB2312"/>
          <w:b/>
          <w:sz w:val="28"/>
          <w:szCs w:val="28"/>
          <w:lang w:val="en-GB"/>
        </w:rPr>
      </w:pPr>
    </w:p>
    <w:p w14:paraId="7F736702">
      <w:pPr>
        <w:tabs>
          <w:tab w:val="left" w:pos="540"/>
        </w:tabs>
        <w:jc w:val="center"/>
        <w:rPr>
          <w:rFonts w:ascii="仿宋_GB2312" w:hAnsi="宋体" w:eastAsia="仿宋_GB2312"/>
          <w:b/>
          <w:sz w:val="28"/>
          <w:szCs w:val="28"/>
          <w:lang w:val="en-GB"/>
        </w:rPr>
      </w:pPr>
    </w:p>
    <w:p w14:paraId="02E1C202">
      <w:pPr>
        <w:tabs>
          <w:tab w:val="left" w:pos="540"/>
        </w:tabs>
        <w:jc w:val="center"/>
        <w:rPr>
          <w:rFonts w:ascii="仿宋_GB2312" w:hAnsi="宋体" w:eastAsia="仿宋_GB2312"/>
          <w:b/>
          <w:sz w:val="28"/>
          <w:szCs w:val="28"/>
          <w:lang w:val="en-GB"/>
        </w:rPr>
      </w:pPr>
    </w:p>
    <w:p w14:paraId="3ECE9B39">
      <w:pPr>
        <w:tabs>
          <w:tab w:val="left" w:pos="540"/>
        </w:tabs>
        <w:jc w:val="center"/>
        <w:rPr>
          <w:rFonts w:ascii="仿宋_GB2312" w:hAnsi="宋体" w:eastAsia="仿宋_GB2312"/>
          <w:b/>
          <w:sz w:val="28"/>
          <w:szCs w:val="28"/>
          <w:lang w:val="en-GB"/>
        </w:rPr>
      </w:pPr>
    </w:p>
    <w:p w14:paraId="700FE209">
      <w:pPr>
        <w:pStyle w:val="75"/>
        <w:rPr>
          <w:lang w:val="en-GB"/>
        </w:rPr>
      </w:pPr>
    </w:p>
    <w:p w14:paraId="1D319BF2">
      <w:pPr>
        <w:tabs>
          <w:tab w:val="left" w:pos="540"/>
        </w:tabs>
        <w:jc w:val="center"/>
        <w:rPr>
          <w:rFonts w:ascii="仿宋_GB2312" w:hAnsi="宋体" w:eastAsia="仿宋_GB2312"/>
          <w:b/>
          <w:sz w:val="28"/>
          <w:szCs w:val="28"/>
          <w:lang w:val="en-GB"/>
        </w:rPr>
      </w:pPr>
    </w:p>
    <w:p w14:paraId="13F0B5EC">
      <w:pPr>
        <w:tabs>
          <w:tab w:val="left" w:pos="540"/>
        </w:tabs>
        <w:jc w:val="center"/>
        <w:rPr>
          <w:rFonts w:ascii="仿宋_GB2312" w:hAnsi="宋体" w:eastAsia="仿宋_GB2312"/>
          <w:b/>
          <w:sz w:val="28"/>
          <w:szCs w:val="28"/>
          <w:lang w:val="en-GB"/>
        </w:rPr>
      </w:pPr>
    </w:p>
    <w:p w14:paraId="7D7E8219">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五</w:t>
      </w:r>
      <w:r>
        <w:rPr>
          <w:rFonts w:hint="eastAsia" w:ascii="宋体" w:hAnsi="宋体"/>
          <w:b/>
          <w:color w:val="000000"/>
          <w:sz w:val="30"/>
          <w:szCs w:val="30"/>
        </w:rPr>
        <w:t>：</w:t>
      </w:r>
    </w:p>
    <w:p w14:paraId="5103BE7B">
      <w:pPr>
        <w:widowControl/>
        <w:spacing w:line="360" w:lineRule="auto"/>
        <w:jc w:val="center"/>
        <w:rPr>
          <w:rFonts w:ascii="宋体" w:hAnsi="宋体"/>
          <w:b/>
          <w:color w:val="000000"/>
          <w:sz w:val="30"/>
          <w:szCs w:val="30"/>
        </w:rPr>
      </w:pPr>
      <w:r>
        <w:rPr>
          <w:rFonts w:hint="eastAsia" w:ascii="宋体" w:hAnsi="宋体"/>
          <w:b/>
          <w:color w:val="000000"/>
          <w:sz w:val="30"/>
          <w:szCs w:val="30"/>
        </w:rPr>
        <w:t>承诺函</w:t>
      </w:r>
    </w:p>
    <w:p w14:paraId="7DB4B699">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14:paraId="0907C74E">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（供应商）</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14:paraId="02373E41">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14:paraId="403A753D">
      <w:pPr>
        <w:widowControl/>
        <w:spacing w:line="360" w:lineRule="auto"/>
        <w:jc w:val="left"/>
        <w:rPr>
          <w:rFonts w:ascii="宋体" w:hAnsi="宋体" w:cs="宋体"/>
          <w:color w:val="000000"/>
          <w:kern w:val="0"/>
          <w:sz w:val="28"/>
          <w:szCs w:val="28"/>
        </w:rPr>
      </w:pPr>
    </w:p>
    <w:p w14:paraId="7AEE4F4F">
      <w:pPr>
        <w:widowControl/>
        <w:spacing w:line="360" w:lineRule="auto"/>
        <w:jc w:val="left"/>
        <w:rPr>
          <w:rFonts w:ascii="宋体" w:hAnsi="宋体"/>
          <w:sz w:val="28"/>
          <w:szCs w:val="28"/>
        </w:rPr>
      </w:pPr>
      <w:r>
        <w:rPr>
          <w:rFonts w:hint="eastAsia" w:ascii="宋体" w:hAnsi="宋体" w:cs="宋体"/>
          <w:color w:val="000000"/>
          <w:kern w:val="0"/>
          <w:sz w:val="28"/>
          <w:szCs w:val="28"/>
        </w:rPr>
        <w:t>供应商全称：（</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14:paraId="74AAD965">
      <w:pPr>
        <w:widowControl/>
        <w:spacing w:line="360" w:lineRule="auto"/>
        <w:jc w:val="left"/>
        <w:rPr>
          <w:rFonts w:ascii="宋体" w:hAnsi="宋体" w:cs="宋体"/>
          <w:color w:val="000000"/>
          <w:kern w:val="0"/>
          <w:sz w:val="28"/>
          <w:szCs w:val="28"/>
        </w:rPr>
      </w:pPr>
    </w:p>
    <w:p w14:paraId="7F4D9D42">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14:paraId="7BDC4185">
      <w:pPr>
        <w:widowControl/>
        <w:spacing w:line="360" w:lineRule="auto"/>
        <w:jc w:val="left"/>
        <w:rPr>
          <w:rFonts w:ascii="宋体" w:hAnsi="宋体" w:cs="宋体"/>
          <w:color w:val="000000"/>
          <w:kern w:val="0"/>
          <w:sz w:val="28"/>
          <w:szCs w:val="28"/>
        </w:rPr>
      </w:pPr>
    </w:p>
    <w:p w14:paraId="4D07A5F0">
      <w:pPr>
        <w:spacing w:line="360" w:lineRule="auto"/>
        <w:rPr>
          <w:rFonts w:ascii="宋体" w:hAnsi="宋体"/>
          <w:sz w:val="28"/>
          <w:szCs w:val="28"/>
        </w:rPr>
      </w:pPr>
      <w:r>
        <w:rPr>
          <w:rFonts w:hint="eastAsia" w:ascii="宋体" w:hAnsi="宋体" w:cs="宋体"/>
          <w:color w:val="000000"/>
          <w:kern w:val="0"/>
          <w:sz w:val="28"/>
          <w:szCs w:val="28"/>
        </w:rPr>
        <w:t>日期：年  月  日</w:t>
      </w:r>
    </w:p>
    <w:p w14:paraId="1137AB1F">
      <w:pPr>
        <w:tabs>
          <w:tab w:val="left" w:pos="540"/>
        </w:tabs>
        <w:rPr>
          <w:rFonts w:ascii="宋体" w:hAnsi="宋体"/>
          <w:b/>
          <w:color w:val="000000"/>
          <w:sz w:val="30"/>
          <w:szCs w:val="30"/>
        </w:rPr>
      </w:pPr>
    </w:p>
    <w:p w14:paraId="77258289">
      <w:pPr>
        <w:tabs>
          <w:tab w:val="left" w:pos="540"/>
        </w:tabs>
        <w:rPr>
          <w:rFonts w:ascii="宋体" w:hAnsi="宋体"/>
          <w:b/>
          <w:color w:val="000000"/>
          <w:sz w:val="30"/>
          <w:szCs w:val="30"/>
        </w:rPr>
      </w:pPr>
    </w:p>
    <w:p w14:paraId="252453AF">
      <w:pPr>
        <w:tabs>
          <w:tab w:val="left" w:pos="540"/>
        </w:tabs>
        <w:rPr>
          <w:rFonts w:ascii="宋体" w:hAnsi="宋体"/>
          <w:b/>
          <w:color w:val="000000"/>
          <w:sz w:val="30"/>
          <w:szCs w:val="30"/>
        </w:rPr>
      </w:pPr>
    </w:p>
    <w:p w14:paraId="73831E89">
      <w:pPr>
        <w:tabs>
          <w:tab w:val="left" w:pos="540"/>
        </w:tabs>
        <w:rPr>
          <w:rFonts w:ascii="宋体" w:hAnsi="宋体"/>
          <w:b/>
          <w:color w:val="000000"/>
          <w:sz w:val="30"/>
          <w:szCs w:val="30"/>
        </w:rPr>
      </w:pPr>
    </w:p>
    <w:p w14:paraId="666F2AC7">
      <w:pPr>
        <w:tabs>
          <w:tab w:val="left" w:pos="540"/>
        </w:tabs>
        <w:rPr>
          <w:rFonts w:ascii="宋体" w:hAnsi="宋体"/>
          <w:b/>
          <w:color w:val="000000"/>
          <w:sz w:val="30"/>
          <w:szCs w:val="30"/>
        </w:rPr>
      </w:pPr>
    </w:p>
    <w:p w14:paraId="04A682BF">
      <w:pPr>
        <w:tabs>
          <w:tab w:val="left" w:pos="540"/>
        </w:tabs>
        <w:rPr>
          <w:rFonts w:ascii="宋体" w:hAnsi="宋体"/>
          <w:b/>
          <w:color w:val="000000"/>
          <w:sz w:val="30"/>
          <w:szCs w:val="30"/>
        </w:rPr>
      </w:pPr>
    </w:p>
    <w:p w14:paraId="318BEEA7">
      <w:pPr>
        <w:tabs>
          <w:tab w:val="left" w:pos="540"/>
        </w:tabs>
        <w:rPr>
          <w:rFonts w:ascii="宋体" w:hAnsi="宋体"/>
          <w:b/>
          <w:color w:val="000000"/>
          <w:sz w:val="30"/>
          <w:szCs w:val="30"/>
        </w:rPr>
      </w:pPr>
    </w:p>
    <w:p w14:paraId="39203434">
      <w:pPr>
        <w:tabs>
          <w:tab w:val="left" w:pos="540"/>
        </w:tabs>
        <w:rPr>
          <w:rFonts w:ascii="宋体" w:hAnsi="宋体"/>
          <w:b/>
          <w:color w:val="000000"/>
          <w:sz w:val="30"/>
          <w:szCs w:val="30"/>
        </w:rPr>
      </w:pPr>
    </w:p>
    <w:p w14:paraId="3F17840D">
      <w:pPr>
        <w:tabs>
          <w:tab w:val="left" w:pos="540"/>
        </w:tabs>
        <w:rPr>
          <w:rFonts w:ascii="宋体" w:hAnsi="宋体"/>
          <w:b/>
          <w:color w:val="000000"/>
          <w:sz w:val="30"/>
          <w:szCs w:val="30"/>
        </w:rPr>
      </w:pPr>
    </w:p>
    <w:p w14:paraId="2DC1DE00">
      <w:pPr>
        <w:tabs>
          <w:tab w:val="left" w:pos="540"/>
        </w:tabs>
        <w:rPr>
          <w:rFonts w:ascii="宋体" w:hAnsi="宋体"/>
          <w:b/>
          <w:color w:val="000000"/>
          <w:sz w:val="30"/>
          <w:szCs w:val="30"/>
        </w:rPr>
      </w:pPr>
    </w:p>
    <w:p w14:paraId="28F68638">
      <w:pPr>
        <w:tabs>
          <w:tab w:val="left" w:pos="540"/>
        </w:tabs>
        <w:rPr>
          <w:rFonts w:ascii="宋体" w:hAnsi="宋体"/>
          <w:b/>
          <w:color w:val="000000"/>
          <w:sz w:val="30"/>
          <w:szCs w:val="30"/>
        </w:rPr>
      </w:pPr>
    </w:p>
    <w:p w14:paraId="039CF2A1">
      <w:pPr>
        <w:tabs>
          <w:tab w:val="left" w:pos="540"/>
        </w:tabs>
        <w:rPr>
          <w:rFonts w:ascii="宋体" w:hAnsi="宋体"/>
          <w:b/>
          <w:color w:val="000000"/>
          <w:sz w:val="30"/>
          <w:szCs w:val="30"/>
        </w:rPr>
      </w:pPr>
    </w:p>
    <w:p w14:paraId="0F167CB1">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六</w:t>
      </w:r>
      <w:r>
        <w:rPr>
          <w:rFonts w:hint="eastAsia" w:ascii="宋体" w:hAnsi="宋体"/>
          <w:b/>
          <w:color w:val="000000"/>
          <w:sz w:val="30"/>
          <w:szCs w:val="30"/>
        </w:rPr>
        <w:t>：</w:t>
      </w:r>
    </w:p>
    <w:p w14:paraId="589089F7">
      <w:pPr>
        <w:tabs>
          <w:tab w:val="center" w:pos="4156"/>
        </w:tabs>
        <w:snapToGrid w:val="0"/>
        <w:spacing w:beforeLines="50" w:after="50"/>
        <w:jc w:val="center"/>
        <w:rPr>
          <w:rFonts w:ascii="宋体" w:hAnsi="宋体"/>
          <w:b/>
          <w:sz w:val="44"/>
          <w:szCs w:val="44"/>
        </w:rPr>
      </w:pPr>
      <w:r>
        <w:rPr>
          <w:rFonts w:hint="eastAsia" w:ascii="宋体" w:hAnsi="宋体"/>
          <w:b/>
          <w:sz w:val="44"/>
          <w:szCs w:val="44"/>
        </w:rPr>
        <w:t>磋 商 声 明 书</w:t>
      </w:r>
    </w:p>
    <w:p w14:paraId="01F37AAE">
      <w:pPr>
        <w:snapToGrid w:val="0"/>
        <w:spacing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（代理公司、采购单位名称）：</w:t>
      </w:r>
    </w:p>
    <w:p w14:paraId="6A67B2CA">
      <w:pPr>
        <w:snapToGrid w:val="0"/>
        <w:spacing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（磋商响应供应商名称）系中华人民共和国合法</w:t>
      </w:r>
      <w:r>
        <w:rPr>
          <w:rFonts w:hint="eastAsia" w:ascii="宋体" w:hAnsi="宋体"/>
          <w:sz w:val="24"/>
          <w:szCs w:val="20"/>
          <w:u w:val="single"/>
        </w:rPr>
        <w:t xml:space="preserve">      （企业、法人或其他）</w:t>
      </w:r>
      <w:r>
        <w:rPr>
          <w:rFonts w:hint="eastAsia" w:ascii="宋体" w:hAnsi="宋体"/>
          <w:sz w:val="24"/>
          <w:szCs w:val="20"/>
        </w:rPr>
        <w:t>，经营地址。</w:t>
      </w:r>
    </w:p>
    <w:p w14:paraId="0F30C201">
      <w:pPr>
        <w:snapToGrid w:val="0"/>
        <w:spacing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（磋商响应供应商名称）的法定代表人，我方愿意参加贵方组织的</w:t>
      </w:r>
      <w:r>
        <w:rPr>
          <w:rFonts w:ascii="宋体" w:hAnsi="宋体"/>
          <w:sz w:val="24"/>
          <w:szCs w:val="20"/>
        </w:rPr>
        <w:t>__</w:t>
      </w:r>
      <w:r>
        <w:rPr>
          <w:rFonts w:ascii="宋体" w:hAnsi="宋体"/>
          <w:sz w:val="24"/>
          <w:szCs w:val="20"/>
          <w:u w:val="single"/>
        </w:rPr>
        <w:t>__</w:t>
      </w:r>
      <w:r>
        <w:rPr>
          <w:rFonts w:ascii="宋体" w:hAnsi="宋体"/>
          <w:sz w:val="24"/>
          <w:szCs w:val="20"/>
        </w:rPr>
        <w:t>_</w:t>
      </w:r>
      <w:r>
        <w:rPr>
          <w:rFonts w:ascii="宋体" w:hAnsi="宋体"/>
          <w:sz w:val="24"/>
          <w:szCs w:val="20"/>
          <w:u w:val="single"/>
        </w:rPr>
        <w:t>___</w:t>
      </w:r>
      <w:r>
        <w:rPr>
          <w:rFonts w:ascii="宋体" w:hAnsi="宋体"/>
          <w:sz w:val="24"/>
          <w:szCs w:val="20"/>
        </w:rPr>
        <w:t>_</w:t>
      </w:r>
      <w:r>
        <w:rPr>
          <w:rFonts w:hint="eastAsia" w:ascii="宋体" w:hAnsi="宋体"/>
          <w:sz w:val="24"/>
          <w:szCs w:val="20"/>
        </w:rPr>
        <w:t>项目的磋商，为便于贵方公正、择优地确定成交人及其成交产品和服务，我方就本次磋商有关事项郑重声明如下：</w:t>
      </w:r>
    </w:p>
    <w:p w14:paraId="7F15EF7B">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我方向贵方提交的所有磋商响应文件、资料都是准确的和真实的</w:t>
      </w:r>
      <w:r>
        <w:rPr>
          <w:rFonts w:hint="eastAsia" w:ascii="宋体" w:hAnsi="宋体"/>
          <w:sz w:val="24"/>
          <w:szCs w:val="20"/>
        </w:rPr>
        <w:t>。</w:t>
      </w:r>
    </w:p>
    <w:p w14:paraId="105831F0">
      <w:pPr>
        <w:snapToGrid w:val="0"/>
        <w:spacing w:beforeLines="50"/>
        <w:ind w:firstLine="480" w:firstLineChars="200"/>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14:paraId="765B96C9">
      <w:pPr>
        <w:snapToGrid w:val="0"/>
        <w:spacing w:beforeLines="50"/>
        <w:ind w:firstLine="480" w:firstLineChars="200"/>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14:paraId="0FB657B2">
      <w:pPr>
        <w:snapToGrid w:val="0"/>
        <w:spacing w:beforeLines="50"/>
        <w:ind w:firstLine="480" w:firstLineChars="200"/>
        <w:rPr>
          <w:rFonts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14:paraId="260A819C">
      <w:pPr>
        <w:snapToGrid w:val="0"/>
        <w:spacing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14:paraId="51C2B871">
      <w:pPr>
        <w:snapToGrid w:val="0"/>
        <w:spacing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68232EED">
      <w:pPr>
        <w:snapToGrid w:val="0"/>
        <w:spacing w:beforeLines="50"/>
        <w:ind w:firstLine="480" w:firstLineChars="200"/>
        <w:rPr>
          <w:rFonts w:ascii="宋体" w:hAnsi="宋体"/>
          <w:sz w:val="24"/>
          <w:szCs w:val="20"/>
        </w:rPr>
      </w:pPr>
      <w:r>
        <w:rPr>
          <w:rFonts w:hint="eastAsia" w:ascii="宋体" w:hAnsi="宋体"/>
          <w:sz w:val="24"/>
          <w:szCs w:val="20"/>
          <w:u w:val="single"/>
        </w:rPr>
        <w:t>　　　　　　　　　　　　　　　　　　　　　　　　　　　</w:t>
      </w:r>
    </w:p>
    <w:p w14:paraId="679CC93F">
      <w:pPr>
        <w:snapToGrid w:val="0"/>
        <w:ind w:firstLine="464" w:firstLineChars="200"/>
        <w:rPr>
          <w:rFonts w:ascii="宋体" w:hAnsi="宋体"/>
          <w:spacing w:val="-4"/>
          <w:sz w:val="24"/>
          <w:szCs w:val="20"/>
        </w:rPr>
      </w:pPr>
      <w:r>
        <w:rPr>
          <w:rFonts w:hint="eastAsia" w:ascii="宋体" w:hAnsi="宋体"/>
          <w:spacing w:val="-4"/>
          <w:sz w:val="24"/>
          <w:szCs w:val="20"/>
        </w:rPr>
        <w:t>6.我方及由本人担任法定代表人的其他机构</w:t>
      </w:r>
      <w:r>
        <w:rPr>
          <w:rFonts w:ascii="宋体" w:hAnsi="宋体"/>
          <w:spacing w:val="-4"/>
          <w:sz w:val="24"/>
          <w:szCs w:val="20"/>
        </w:rPr>
        <w:t>最近三年内被</w:t>
      </w:r>
      <w:r>
        <w:rPr>
          <w:rFonts w:hint="eastAsia" w:ascii="宋体" w:hAnsi="宋体"/>
          <w:spacing w:val="-4"/>
          <w:sz w:val="24"/>
          <w:szCs w:val="20"/>
        </w:rPr>
        <w:t>通报或者被处罚的</w:t>
      </w:r>
      <w:r>
        <w:rPr>
          <w:rFonts w:ascii="宋体" w:hAnsi="宋体"/>
          <w:spacing w:val="-4"/>
          <w:sz w:val="24"/>
          <w:szCs w:val="20"/>
        </w:rPr>
        <w:t>违法行为有：</w:t>
      </w:r>
    </w:p>
    <w:p w14:paraId="43173F2F">
      <w:pPr>
        <w:snapToGrid w:val="0"/>
        <w:spacing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0FFEE3B3">
      <w:pPr>
        <w:snapToGrid w:val="0"/>
        <w:spacing w:beforeLines="50"/>
        <w:ind w:firstLine="480" w:firstLineChars="200"/>
        <w:rPr>
          <w:rFonts w:ascii="宋体" w:hAnsi="宋体"/>
          <w:sz w:val="24"/>
          <w:szCs w:val="20"/>
          <w:u w:val="single"/>
        </w:rPr>
      </w:pPr>
      <w:r>
        <w:rPr>
          <w:rFonts w:hint="eastAsia" w:ascii="宋体" w:hAnsi="宋体"/>
          <w:sz w:val="24"/>
          <w:szCs w:val="20"/>
          <w:u w:val="single"/>
        </w:rPr>
        <w:t>　　　　　　　　　　　　　　　　　　　　　　　　　　　</w:t>
      </w:r>
    </w:p>
    <w:p w14:paraId="3E038C9C">
      <w:pPr>
        <w:snapToGrid w:val="0"/>
        <w:ind w:firstLine="480" w:firstLineChars="200"/>
        <w:rPr>
          <w:rFonts w:ascii="宋体" w:hAnsi="宋体"/>
          <w:sz w:val="24"/>
          <w:szCs w:val="20"/>
        </w:rPr>
      </w:pPr>
      <w:r>
        <w:rPr>
          <w:rFonts w:hint="eastAsia" w:ascii="宋体" w:hAnsi="宋体"/>
          <w:sz w:val="24"/>
          <w:szCs w:val="20"/>
        </w:rPr>
        <w:t>7.以上事项如有虚假或隐瞒，我方愿意承担一切后果，并不再寻求任何旨在减轻或免除法律责任的辩解。</w:t>
      </w:r>
    </w:p>
    <w:p w14:paraId="2A03D5C6">
      <w:pPr>
        <w:tabs>
          <w:tab w:val="left" w:pos="939"/>
        </w:tabs>
        <w:snapToGrid w:val="0"/>
        <w:ind w:left="773" w:leftChars="150" w:hanging="458" w:hangingChars="191"/>
        <w:rPr>
          <w:rFonts w:ascii="宋体" w:hAnsi="宋体"/>
          <w:sz w:val="24"/>
        </w:rPr>
      </w:pPr>
    </w:p>
    <w:p w14:paraId="4B36AD98">
      <w:pPr>
        <w:snapToGrid w:val="0"/>
        <w:spacing w:beforeLines="50"/>
        <w:ind w:firstLine="200"/>
        <w:rPr>
          <w:rFonts w:ascii="宋体" w:hAnsi="宋体"/>
          <w:sz w:val="24"/>
          <w:szCs w:val="20"/>
        </w:rPr>
      </w:pPr>
    </w:p>
    <w:p w14:paraId="68A1DD94">
      <w:pPr>
        <w:snapToGrid w:val="0"/>
        <w:spacing w:beforeLines="50"/>
        <w:ind w:firstLine="200"/>
        <w:rPr>
          <w:rFonts w:ascii="宋体" w:hAnsi="宋体"/>
          <w:sz w:val="24"/>
          <w:szCs w:val="20"/>
          <w:u w:val="single"/>
        </w:rPr>
      </w:pPr>
      <w:r>
        <w:rPr>
          <w:rFonts w:hint="eastAsia" w:ascii="宋体" w:hAnsi="宋体"/>
          <w:sz w:val="24"/>
          <w:szCs w:val="20"/>
        </w:rPr>
        <w:t>法定代表人签字或盖章：</w:t>
      </w:r>
    </w:p>
    <w:p w14:paraId="3FA245FC">
      <w:pPr>
        <w:snapToGrid w:val="0"/>
        <w:spacing w:beforeLines="50" w:after="50"/>
        <w:ind w:firstLine="240" w:firstLineChars="100"/>
        <w:rPr>
          <w:rFonts w:ascii="宋体" w:hAnsi="宋体"/>
          <w:sz w:val="24"/>
          <w:szCs w:val="20"/>
        </w:rPr>
      </w:pPr>
      <w:r>
        <w:rPr>
          <w:rFonts w:hint="eastAsia" w:ascii="宋体" w:hAnsi="宋体"/>
          <w:sz w:val="24"/>
          <w:szCs w:val="20"/>
        </w:rPr>
        <w:t xml:space="preserve">磋商响应供应商公章： </w:t>
      </w:r>
      <w:r>
        <w:rPr>
          <w:rFonts w:ascii="宋体" w:hAnsi="宋体"/>
          <w:sz w:val="24"/>
          <w:szCs w:val="20"/>
        </w:rPr>
        <w:t>年月日</w:t>
      </w:r>
    </w:p>
    <w:p w14:paraId="46A0E577">
      <w:pPr>
        <w:spacing w:line="360" w:lineRule="auto"/>
        <w:jc w:val="center"/>
        <w:rPr>
          <w:lang w:val="en-GB"/>
        </w:rPr>
      </w:pPr>
    </w:p>
    <w:p w14:paraId="21BFC5E8">
      <w:pPr>
        <w:spacing w:line="360" w:lineRule="auto"/>
        <w:jc w:val="center"/>
        <w:rPr>
          <w:lang w:val="en-GB"/>
        </w:rPr>
      </w:pPr>
    </w:p>
    <w:p w14:paraId="5525057C">
      <w:pPr>
        <w:spacing w:line="360" w:lineRule="auto"/>
        <w:jc w:val="center"/>
        <w:rPr>
          <w:lang w:val="en-GB"/>
        </w:rPr>
      </w:pPr>
    </w:p>
    <w:p w14:paraId="1B29C857">
      <w:pPr>
        <w:spacing w:line="360" w:lineRule="auto"/>
        <w:jc w:val="center"/>
        <w:rPr>
          <w:lang w:val="en-GB"/>
        </w:rPr>
      </w:pPr>
    </w:p>
    <w:p w14:paraId="34F0A381">
      <w:pPr>
        <w:spacing w:line="360" w:lineRule="auto"/>
        <w:jc w:val="center"/>
        <w:rPr>
          <w:lang w:val="en-GB"/>
        </w:rPr>
      </w:pPr>
    </w:p>
    <w:p w14:paraId="0182E7DA">
      <w:pPr>
        <w:spacing w:line="360" w:lineRule="auto"/>
        <w:jc w:val="center"/>
        <w:rPr>
          <w:lang w:val="en-GB"/>
        </w:rPr>
      </w:pPr>
    </w:p>
    <w:p w14:paraId="18B2F8AB">
      <w:pPr>
        <w:spacing w:line="360" w:lineRule="auto"/>
        <w:jc w:val="center"/>
        <w:rPr>
          <w:lang w:val="en-GB"/>
        </w:rPr>
      </w:pPr>
    </w:p>
    <w:p w14:paraId="75366B96">
      <w:pPr>
        <w:spacing w:line="360" w:lineRule="auto"/>
        <w:jc w:val="center"/>
        <w:rPr>
          <w:lang w:val="en-GB"/>
        </w:rPr>
      </w:pPr>
    </w:p>
    <w:p w14:paraId="25F71305">
      <w:pPr>
        <w:spacing w:line="360" w:lineRule="auto"/>
        <w:jc w:val="center"/>
        <w:rPr>
          <w:lang w:val="en-GB"/>
        </w:rPr>
      </w:pPr>
    </w:p>
    <w:p w14:paraId="00346CF8">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七</w:t>
      </w:r>
      <w:r>
        <w:rPr>
          <w:rFonts w:hint="eastAsia" w:ascii="宋体" w:hAnsi="宋体"/>
          <w:b/>
          <w:color w:val="000000"/>
          <w:sz w:val="30"/>
          <w:szCs w:val="30"/>
        </w:rPr>
        <w:t>：</w:t>
      </w:r>
    </w:p>
    <w:p w14:paraId="1CF5945F">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14:paraId="64EFB9B1">
      <w:pPr>
        <w:spacing w:line="460" w:lineRule="exact"/>
        <w:ind w:firstLine="480" w:firstLineChars="200"/>
        <w:rPr>
          <w:rFonts w:ascii="宋体" w:hAnsi="宋体" w:cs="宋体"/>
          <w:sz w:val="24"/>
        </w:rPr>
      </w:pPr>
    </w:p>
    <w:p w14:paraId="04B7E900">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64ED2CC">
      <w:pPr>
        <w:numPr>
          <w:ilvl w:val="0"/>
          <w:numId w:val="41"/>
        </w:numPr>
        <w:spacing w:line="460" w:lineRule="exact"/>
        <w:ind w:firstLine="480" w:firstLineChars="200"/>
        <w:rPr>
          <w:rFonts w:ascii="宋体" w:hAnsi="宋体" w:cs="宋体"/>
          <w:sz w:val="24"/>
        </w:rPr>
      </w:pP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，从业人员人，营业收入为万元，资产总额为</w:t>
      </w:r>
      <w:r>
        <w:rPr>
          <w:rFonts w:hint="eastAsia" w:ascii="宋体" w:hAnsi="宋体" w:cs="宋体"/>
          <w:sz w:val="24"/>
          <w:u w:val="single"/>
        </w:rPr>
        <w:t xml:space="preserve">  万元</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D6E0F97">
      <w:pPr>
        <w:numPr>
          <w:ilvl w:val="0"/>
          <w:numId w:val="41"/>
        </w:numPr>
        <w:spacing w:line="460" w:lineRule="exact"/>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2C6F21">
      <w:pPr>
        <w:spacing w:line="460" w:lineRule="exact"/>
        <w:ind w:left="420" w:leftChars="200"/>
        <w:rPr>
          <w:rFonts w:ascii="宋体" w:hAnsi="宋体" w:cs="宋体"/>
          <w:sz w:val="24"/>
        </w:rPr>
      </w:pPr>
      <w:r>
        <w:rPr>
          <w:rFonts w:hint="eastAsia" w:ascii="宋体" w:hAnsi="宋体" w:cs="宋体"/>
          <w:sz w:val="24"/>
        </w:rPr>
        <w:t>……</w:t>
      </w:r>
    </w:p>
    <w:p w14:paraId="34FF0347">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E424E77">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0A8F905">
      <w:pPr>
        <w:spacing w:line="460" w:lineRule="exact"/>
        <w:ind w:firstLine="480" w:firstLineChars="200"/>
        <w:rPr>
          <w:sz w:val="24"/>
        </w:rPr>
      </w:pPr>
    </w:p>
    <w:p w14:paraId="5E1B151A">
      <w:pPr>
        <w:spacing w:line="460" w:lineRule="exact"/>
        <w:ind w:firstLine="480" w:firstLineChars="200"/>
        <w:rPr>
          <w:sz w:val="24"/>
        </w:rPr>
      </w:pPr>
    </w:p>
    <w:p w14:paraId="672B8746">
      <w:pPr>
        <w:spacing w:line="460" w:lineRule="exact"/>
        <w:ind w:firstLine="480" w:firstLineChars="200"/>
        <w:rPr>
          <w:sz w:val="24"/>
        </w:rPr>
      </w:pPr>
      <w:r>
        <w:rPr>
          <w:rFonts w:hint="eastAsia"/>
          <w:sz w:val="24"/>
        </w:rPr>
        <w:t>企业名称（盖章）：</w:t>
      </w:r>
    </w:p>
    <w:p w14:paraId="0170B1B0">
      <w:pPr>
        <w:spacing w:line="460" w:lineRule="exact"/>
        <w:ind w:firstLine="480" w:firstLineChars="200"/>
        <w:rPr>
          <w:sz w:val="24"/>
        </w:rPr>
      </w:pPr>
    </w:p>
    <w:p w14:paraId="6F753CB8">
      <w:pPr>
        <w:spacing w:line="460" w:lineRule="exact"/>
        <w:ind w:firstLine="480" w:firstLineChars="200"/>
        <w:rPr>
          <w:sz w:val="24"/>
        </w:rPr>
      </w:pPr>
      <w:r>
        <w:rPr>
          <w:rFonts w:hint="eastAsia"/>
          <w:sz w:val="24"/>
        </w:rPr>
        <w:t>日 期：</w:t>
      </w:r>
    </w:p>
    <w:p w14:paraId="03A4F1F5">
      <w:pPr>
        <w:rPr>
          <w:rFonts w:ascii="宋体" w:hAnsi="宋体"/>
          <w:szCs w:val="20"/>
        </w:rPr>
      </w:pPr>
    </w:p>
    <w:p w14:paraId="1F1F0369">
      <w:pPr>
        <w:widowControl/>
        <w:jc w:val="left"/>
        <w:rPr>
          <w:rFonts w:ascii="宋体" w:hAnsi="宋体"/>
          <w:sz w:val="24"/>
          <w:szCs w:val="20"/>
        </w:rPr>
      </w:pPr>
    </w:p>
    <w:p w14:paraId="0967536F">
      <w:pPr>
        <w:widowControl/>
        <w:jc w:val="left"/>
        <w:rPr>
          <w:rFonts w:ascii="宋体" w:hAnsi="宋体"/>
          <w:sz w:val="24"/>
          <w:szCs w:val="20"/>
        </w:rPr>
      </w:pPr>
    </w:p>
    <w:p w14:paraId="3C98BC53">
      <w:pPr>
        <w:widowControl/>
        <w:jc w:val="left"/>
        <w:rPr>
          <w:rFonts w:ascii="宋体" w:hAnsi="宋体"/>
          <w:sz w:val="24"/>
          <w:szCs w:val="20"/>
        </w:rPr>
      </w:pPr>
    </w:p>
    <w:p w14:paraId="583A5D44"/>
    <w:p w14:paraId="12BF8AB7"/>
    <w:p w14:paraId="5C135A91"/>
    <w:p w14:paraId="19C64E3C"/>
    <w:p w14:paraId="1515B0D7"/>
    <w:p w14:paraId="34BAD82D"/>
    <w:p w14:paraId="30B951C1"/>
    <w:p w14:paraId="3635E818">
      <w:pPr>
        <w:spacing w:line="588" w:lineRule="exact"/>
        <w:jc w:val="center"/>
        <w:rPr>
          <w:rFonts w:ascii="宋体" w:hAnsi="宋体"/>
          <w:b/>
          <w:spacing w:val="6"/>
          <w:sz w:val="44"/>
          <w:szCs w:val="44"/>
        </w:rPr>
      </w:pPr>
    </w:p>
    <w:p w14:paraId="2B8AA8EA">
      <w:pPr>
        <w:spacing w:line="588" w:lineRule="exact"/>
        <w:jc w:val="center"/>
        <w:rPr>
          <w:rFonts w:ascii="宋体" w:hAnsi="宋体"/>
          <w:b/>
          <w:spacing w:val="6"/>
          <w:sz w:val="44"/>
          <w:szCs w:val="44"/>
        </w:rPr>
      </w:pPr>
    </w:p>
    <w:p w14:paraId="762E2923">
      <w:pPr>
        <w:spacing w:line="588" w:lineRule="exact"/>
        <w:jc w:val="center"/>
        <w:rPr>
          <w:rFonts w:ascii="宋体" w:hAnsi="宋体"/>
          <w:b/>
          <w:spacing w:val="6"/>
          <w:sz w:val="44"/>
          <w:szCs w:val="44"/>
        </w:rPr>
      </w:pPr>
    </w:p>
    <w:p w14:paraId="4C18897C">
      <w:pPr>
        <w:spacing w:line="588" w:lineRule="exact"/>
        <w:jc w:val="center"/>
        <w:rPr>
          <w:rFonts w:ascii="宋体" w:hAnsi="宋体"/>
          <w:b/>
          <w:spacing w:val="6"/>
          <w:sz w:val="44"/>
          <w:szCs w:val="44"/>
        </w:rPr>
      </w:pPr>
      <w:r>
        <w:rPr>
          <w:rFonts w:hint="eastAsia" w:ascii="宋体" w:hAnsi="宋体"/>
          <w:b/>
          <w:spacing w:val="6"/>
          <w:sz w:val="44"/>
          <w:szCs w:val="44"/>
        </w:rPr>
        <w:t>残疾人福利性单位声明函</w:t>
      </w:r>
    </w:p>
    <w:p w14:paraId="534F8232">
      <w:pPr>
        <w:spacing w:line="588" w:lineRule="exact"/>
        <w:jc w:val="center"/>
        <w:rPr>
          <w:rFonts w:ascii="宋体" w:hAnsi="宋体"/>
          <w:b/>
          <w:spacing w:val="6"/>
          <w:sz w:val="32"/>
          <w:szCs w:val="32"/>
        </w:rPr>
      </w:pPr>
    </w:p>
    <w:p w14:paraId="1D74B23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2EB6D8">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77FD948">
      <w:pPr>
        <w:snapToGrid w:val="0"/>
        <w:spacing w:line="360" w:lineRule="auto"/>
        <w:ind w:firstLine="560" w:firstLineChars="200"/>
        <w:rPr>
          <w:rFonts w:ascii="仿宋" w:hAnsi="仿宋" w:eastAsia="仿宋"/>
          <w:sz w:val="28"/>
          <w:szCs w:val="28"/>
        </w:rPr>
      </w:pPr>
    </w:p>
    <w:p w14:paraId="46006003">
      <w:pPr>
        <w:spacing w:line="588" w:lineRule="exact"/>
        <w:ind w:firstLine="624" w:firstLineChars="200"/>
        <w:rPr>
          <w:rFonts w:ascii="仿宋_GB2312" w:eastAsia="仿宋_GB2312"/>
          <w:spacing w:val="6"/>
          <w:sz w:val="30"/>
          <w:szCs w:val="30"/>
        </w:rPr>
      </w:pPr>
    </w:p>
    <w:p w14:paraId="44BCC55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14:paraId="1094C617">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4ABCF246">
      <w:pPr>
        <w:spacing w:line="360" w:lineRule="auto"/>
        <w:rPr>
          <w:lang w:val="en-GB"/>
        </w:rPr>
      </w:pPr>
    </w:p>
    <w:p w14:paraId="22FDF4E3">
      <w:pPr>
        <w:spacing w:line="360" w:lineRule="auto"/>
        <w:rPr>
          <w:lang w:val="en-GB"/>
        </w:rPr>
      </w:pPr>
    </w:p>
    <w:p w14:paraId="2D7F4A6F">
      <w:pPr>
        <w:tabs>
          <w:tab w:val="left" w:pos="540"/>
        </w:tabs>
        <w:rPr>
          <w:rFonts w:ascii="宋体" w:hAnsi="宋体"/>
          <w:b/>
          <w:color w:val="000000"/>
          <w:sz w:val="30"/>
          <w:szCs w:val="30"/>
        </w:rPr>
      </w:pPr>
    </w:p>
    <w:p w14:paraId="5A70CAED">
      <w:pPr>
        <w:tabs>
          <w:tab w:val="left" w:pos="540"/>
        </w:tabs>
        <w:rPr>
          <w:rFonts w:ascii="宋体" w:hAnsi="宋体"/>
          <w:b/>
          <w:color w:val="000000"/>
          <w:sz w:val="30"/>
          <w:szCs w:val="30"/>
        </w:rPr>
      </w:pPr>
    </w:p>
    <w:p w14:paraId="187B347D">
      <w:pPr>
        <w:tabs>
          <w:tab w:val="left" w:pos="540"/>
        </w:tabs>
        <w:rPr>
          <w:rFonts w:ascii="宋体" w:hAnsi="宋体"/>
          <w:b/>
          <w:color w:val="000000"/>
          <w:sz w:val="30"/>
          <w:szCs w:val="30"/>
        </w:rPr>
      </w:pPr>
    </w:p>
    <w:p w14:paraId="0572E934">
      <w:pPr>
        <w:tabs>
          <w:tab w:val="left" w:pos="540"/>
        </w:tabs>
        <w:rPr>
          <w:rFonts w:ascii="宋体" w:hAnsi="宋体"/>
          <w:b/>
          <w:color w:val="000000"/>
          <w:sz w:val="30"/>
          <w:szCs w:val="30"/>
        </w:rPr>
      </w:pPr>
    </w:p>
    <w:p w14:paraId="37057DAA">
      <w:pPr>
        <w:tabs>
          <w:tab w:val="left" w:pos="540"/>
        </w:tabs>
        <w:rPr>
          <w:rFonts w:ascii="宋体" w:hAnsi="宋体"/>
          <w:b/>
          <w:color w:val="000000"/>
          <w:sz w:val="30"/>
          <w:szCs w:val="30"/>
        </w:rPr>
      </w:pPr>
    </w:p>
    <w:p w14:paraId="49C3F6BC">
      <w:pPr>
        <w:tabs>
          <w:tab w:val="left" w:pos="540"/>
        </w:tabs>
        <w:rPr>
          <w:rFonts w:ascii="宋体" w:hAnsi="宋体"/>
          <w:b/>
          <w:color w:val="000000"/>
          <w:sz w:val="30"/>
          <w:szCs w:val="30"/>
        </w:rPr>
      </w:pPr>
    </w:p>
    <w:p w14:paraId="0B12D850">
      <w:pPr>
        <w:tabs>
          <w:tab w:val="left" w:pos="540"/>
        </w:tabs>
        <w:rPr>
          <w:rFonts w:ascii="宋体" w:hAnsi="宋体"/>
          <w:b/>
          <w:color w:val="000000"/>
          <w:sz w:val="30"/>
          <w:szCs w:val="30"/>
        </w:rPr>
      </w:pPr>
    </w:p>
    <w:p w14:paraId="606431FC">
      <w:pPr>
        <w:tabs>
          <w:tab w:val="left" w:pos="540"/>
        </w:tabs>
        <w:rPr>
          <w:rFonts w:ascii="宋体" w:hAnsi="宋体"/>
          <w:b/>
          <w:color w:val="000000"/>
          <w:sz w:val="30"/>
          <w:szCs w:val="30"/>
        </w:rPr>
      </w:pPr>
    </w:p>
    <w:p w14:paraId="44D1FD9C">
      <w:pPr>
        <w:tabs>
          <w:tab w:val="left" w:pos="540"/>
        </w:tabs>
        <w:rPr>
          <w:rFonts w:ascii="宋体" w:hAnsi="宋体"/>
          <w:b/>
          <w:color w:val="000000"/>
          <w:sz w:val="30"/>
          <w:szCs w:val="30"/>
        </w:rPr>
      </w:pPr>
    </w:p>
    <w:p w14:paraId="612BA16C">
      <w:pPr>
        <w:tabs>
          <w:tab w:val="left" w:pos="540"/>
        </w:tabs>
        <w:rPr>
          <w:rFonts w:ascii="宋体" w:hAnsi="宋体"/>
          <w:b/>
          <w:color w:val="000000"/>
          <w:sz w:val="30"/>
          <w:szCs w:val="30"/>
        </w:rPr>
      </w:pPr>
    </w:p>
    <w:p w14:paraId="7C562632">
      <w:pPr>
        <w:tabs>
          <w:tab w:val="left" w:pos="540"/>
        </w:tabs>
        <w:rPr>
          <w:rFonts w:ascii="宋体" w:hAnsi="宋体"/>
          <w:b/>
          <w:color w:val="000000"/>
          <w:sz w:val="30"/>
          <w:szCs w:val="30"/>
        </w:rPr>
      </w:pPr>
    </w:p>
    <w:p w14:paraId="05E2E4D4">
      <w:pPr>
        <w:tabs>
          <w:tab w:val="left" w:pos="540"/>
        </w:tabs>
        <w:rPr>
          <w:rFonts w:ascii="宋体" w:hAnsi="宋体"/>
          <w:b/>
          <w:color w:val="000000"/>
          <w:sz w:val="30"/>
          <w:szCs w:val="30"/>
        </w:rPr>
      </w:pPr>
    </w:p>
    <w:p w14:paraId="3091B0AC">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val="en-US" w:eastAsia="zh-CN"/>
        </w:rPr>
        <w:t>八</w:t>
      </w:r>
      <w:r>
        <w:rPr>
          <w:rFonts w:hint="eastAsia" w:ascii="宋体" w:hAnsi="宋体"/>
          <w:b/>
          <w:color w:val="000000"/>
          <w:sz w:val="30"/>
          <w:szCs w:val="30"/>
        </w:rPr>
        <w:t>：</w:t>
      </w:r>
    </w:p>
    <w:p w14:paraId="392D34CD">
      <w:pPr>
        <w:spacing w:line="360" w:lineRule="auto"/>
        <w:jc w:val="center"/>
        <w:rPr>
          <w:rFonts w:hint="eastAsia" w:ascii="宋体" w:hAnsi="宋体"/>
          <w:b/>
          <w:bCs/>
          <w:sz w:val="30"/>
          <w:szCs w:val="30"/>
        </w:rPr>
      </w:pPr>
    </w:p>
    <w:p w14:paraId="3E3F365E">
      <w:pPr>
        <w:spacing w:line="360" w:lineRule="auto"/>
        <w:jc w:val="center"/>
        <w:rPr>
          <w:rFonts w:ascii="宋体" w:hAnsi="宋体"/>
          <w:szCs w:val="21"/>
        </w:rPr>
      </w:pPr>
      <w:r>
        <w:rPr>
          <w:rFonts w:hint="eastAsia" w:ascii="宋体" w:hAnsi="宋体"/>
          <w:b/>
          <w:bCs/>
          <w:sz w:val="30"/>
          <w:szCs w:val="30"/>
        </w:rPr>
        <w:t>供应商磋商响应文件评分索引一览表（</w:t>
      </w:r>
      <w:r>
        <w:rPr>
          <w:rFonts w:hint="eastAsia" w:ascii="宋体" w:hAnsi="宋体"/>
          <w:b/>
          <w:sz w:val="32"/>
          <w:szCs w:val="32"/>
        </w:rPr>
        <w:t>格式仅供参考</w:t>
      </w:r>
      <w:r>
        <w:rPr>
          <w:rFonts w:hint="eastAsia" w:ascii="宋体" w:hAnsi="宋体"/>
          <w:b/>
          <w:bCs/>
          <w:sz w:val="30"/>
          <w:szCs w:val="30"/>
        </w:rPr>
        <w:t>）</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618703B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0D900533">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vAlign w:val="center"/>
          </w:tcPr>
          <w:p w14:paraId="68F2B4CF">
            <w:pPr>
              <w:widowControl/>
              <w:spacing w:line="400" w:lineRule="exact"/>
              <w:ind w:left="-29" w:leftChars="-14" w:right="-88" w:rightChars="-42"/>
              <w:jc w:val="center"/>
              <w:rPr>
                <w:rFonts w:ascii="宋体" w:hAnsi="宋体"/>
                <w:szCs w:val="21"/>
              </w:rPr>
            </w:pPr>
            <w:r>
              <w:rPr>
                <w:rFonts w:ascii="宋体" w:hAnsi="宋体"/>
                <w:szCs w:val="21"/>
              </w:rPr>
              <w:t>分值</w:t>
            </w:r>
          </w:p>
        </w:tc>
        <w:tc>
          <w:tcPr>
            <w:tcW w:w="6980" w:type="dxa"/>
            <w:vAlign w:val="center"/>
          </w:tcPr>
          <w:p w14:paraId="10647C7B">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0" w:type="dxa"/>
            <w:vAlign w:val="center"/>
          </w:tcPr>
          <w:p w14:paraId="66C37722">
            <w:pPr>
              <w:widowControl/>
              <w:spacing w:line="300" w:lineRule="exact"/>
              <w:ind w:left="-29" w:leftChars="-14" w:right="-88" w:rightChars="-42"/>
              <w:jc w:val="center"/>
              <w:rPr>
                <w:rFonts w:ascii="宋体" w:hAnsi="宋体"/>
                <w:szCs w:val="21"/>
              </w:rPr>
            </w:pPr>
            <w:r>
              <w:rPr>
                <w:rFonts w:hint="eastAsia" w:ascii="宋体" w:hAnsi="宋体"/>
                <w:szCs w:val="21"/>
              </w:rPr>
              <w:t>相应内容所在磋商响应文件页码</w:t>
            </w:r>
          </w:p>
        </w:tc>
      </w:tr>
      <w:tr w14:paraId="03965B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4751457D">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vAlign w:val="center"/>
          </w:tcPr>
          <w:p w14:paraId="53FCEC5D">
            <w:pPr>
              <w:widowControl/>
              <w:spacing w:line="400" w:lineRule="exact"/>
              <w:ind w:left="118" w:leftChars="56" w:right="84" w:rightChars="40"/>
              <w:jc w:val="center"/>
              <w:rPr>
                <w:rFonts w:ascii="宋体" w:hAnsi="宋体"/>
                <w:szCs w:val="21"/>
              </w:rPr>
            </w:pPr>
          </w:p>
        </w:tc>
        <w:tc>
          <w:tcPr>
            <w:tcW w:w="6980" w:type="dxa"/>
            <w:vAlign w:val="center"/>
          </w:tcPr>
          <w:p w14:paraId="1315000E">
            <w:pPr>
              <w:widowControl/>
              <w:spacing w:line="400" w:lineRule="exact"/>
              <w:ind w:left="118" w:leftChars="56" w:right="84" w:rightChars="40"/>
              <w:rPr>
                <w:rFonts w:ascii="宋体" w:hAnsi="宋体"/>
                <w:szCs w:val="21"/>
              </w:rPr>
            </w:pPr>
          </w:p>
        </w:tc>
        <w:tc>
          <w:tcPr>
            <w:tcW w:w="1150" w:type="dxa"/>
          </w:tcPr>
          <w:p w14:paraId="2BEB1AF8">
            <w:pPr>
              <w:widowControl/>
              <w:spacing w:line="300" w:lineRule="exact"/>
              <w:ind w:left="-29" w:leftChars="-14" w:right="-88" w:rightChars="-42"/>
              <w:jc w:val="center"/>
              <w:rPr>
                <w:rFonts w:ascii="宋体" w:hAnsi="宋体"/>
                <w:szCs w:val="21"/>
              </w:rPr>
            </w:pPr>
          </w:p>
        </w:tc>
      </w:tr>
      <w:tr w14:paraId="2D77D8A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4011FA6">
            <w:pPr>
              <w:widowControl/>
              <w:spacing w:line="300" w:lineRule="exact"/>
              <w:ind w:left="147" w:leftChars="70" w:right="84" w:rightChars="40"/>
              <w:rPr>
                <w:rFonts w:ascii="宋体" w:hAnsi="宋体"/>
                <w:szCs w:val="21"/>
              </w:rPr>
            </w:pPr>
          </w:p>
        </w:tc>
        <w:tc>
          <w:tcPr>
            <w:tcW w:w="949" w:type="dxa"/>
            <w:vAlign w:val="center"/>
          </w:tcPr>
          <w:p w14:paraId="425A360E">
            <w:pPr>
              <w:widowControl/>
              <w:spacing w:line="400" w:lineRule="exact"/>
              <w:ind w:left="118" w:leftChars="56" w:right="84" w:rightChars="40"/>
              <w:jc w:val="center"/>
              <w:rPr>
                <w:rFonts w:ascii="宋体" w:hAnsi="宋体"/>
                <w:szCs w:val="21"/>
              </w:rPr>
            </w:pPr>
          </w:p>
        </w:tc>
        <w:tc>
          <w:tcPr>
            <w:tcW w:w="6980" w:type="dxa"/>
            <w:vAlign w:val="center"/>
          </w:tcPr>
          <w:p w14:paraId="36316425">
            <w:pPr>
              <w:widowControl/>
              <w:spacing w:line="400" w:lineRule="exact"/>
              <w:ind w:left="118" w:leftChars="56" w:right="84" w:rightChars="40"/>
              <w:rPr>
                <w:rFonts w:ascii="宋体" w:hAnsi="宋体"/>
                <w:szCs w:val="21"/>
              </w:rPr>
            </w:pPr>
          </w:p>
        </w:tc>
        <w:tc>
          <w:tcPr>
            <w:tcW w:w="1150" w:type="dxa"/>
          </w:tcPr>
          <w:p w14:paraId="4B7A0A5E">
            <w:pPr>
              <w:widowControl/>
              <w:spacing w:line="300" w:lineRule="exact"/>
              <w:ind w:left="118" w:leftChars="56" w:right="84" w:rightChars="40"/>
              <w:rPr>
                <w:rFonts w:ascii="宋体" w:hAnsi="宋体"/>
                <w:szCs w:val="21"/>
              </w:rPr>
            </w:pPr>
          </w:p>
        </w:tc>
      </w:tr>
      <w:tr w14:paraId="2534E8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9C88017">
            <w:pPr>
              <w:widowControl/>
              <w:spacing w:line="300" w:lineRule="exact"/>
              <w:ind w:left="147" w:leftChars="70" w:right="84" w:rightChars="40"/>
              <w:rPr>
                <w:rFonts w:ascii="宋体" w:hAnsi="宋体"/>
                <w:szCs w:val="21"/>
              </w:rPr>
            </w:pPr>
          </w:p>
        </w:tc>
        <w:tc>
          <w:tcPr>
            <w:tcW w:w="949" w:type="dxa"/>
            <w:vAlign w:val="center"/>
          </w:tcPr>
          <w:p w14:paraId="300A156E">
            <w:pPr>
              <w:widowControl/>
              <w:spacing w:line="400" w:lineRule="exact"/>
              <w:ind w:left="118" w:leftChars="56" w:right="84" w:rightChars="40"/>
              <w:jc w:val="center"/>
              <w:rPr>
                <w:rFonts w:ascii="宋体" w:hAnsi="宋体"/>
                <w:szCs w:val="21"/>
              </w:rPr>
            </w:pPr>
          </w:p>
        </w:tc>
        <w:tc>
          <w:tcPr>
            <w:tcW w:w="6980" w:type="dxa"/>
            <w:vAlign w:val="center"/>
          </w:tcPr>
          <w:p w14:paraId="08290F69">
            <w:pPr>
              <w:widowControl/>
              <w:spacing w:line="400" w:lineRule="exact"/>
              <w:ind w:left="118" w:leftChars="56" w:right="84" w:rightChars="40"/>
              <w:rPr>
                <w:rFonts w:ascii="宋体" w:hAnsi="宋体"/>
                <w:szCs w:val="21"/>
              </w:rPr>
            </w:pPr>
          </w:p>
        </w:tc>
        <w:tc>
          <w:tcPr>
            <w:tcW w:w="1150" w:type="dxa"/>
          </w:tcPr>
          <w:p w14:paraId="71E68A56">
            <w:pPr>
              <w:widowControl/>
              <w:spacing w:line="300" w:lineRule="exact"/>
              <w:ind w:left="118" w:leftChars="56" w:right="84" w:rightChars="40"/>
              <w:rPr>
                <w:rFonts w:ascii="宋体" w:hAnsi="宋体"/>
                <w:szCs w:val="21"/>
              </w:rPr>
            </w:pPr>
          </w:p>
        </w:tc>
      </w:tr>
      <w:tr w14:paraId="61FA63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1B49E43">
            <w:pPr>
              <w:widowControl/>
              <w:spacing w:line="300" w:lineRule="exact"/>
              <w:ind w:left="147" w:leftChars="70" w:right="84" w:rightChars="40"/>
              <w:rPr>
                <w:rFonts w:ascii="宋体" w:hAnsi="宋体"/>
                <w:szCs w:val="21"/>
              </w:rPr>
            </w:pPr>
          </w:p>
        </w:tc>
        <w:tc>
          <w:tcPr>
            <w:tcW w:w="949" w:type="dxa"/>
            <w:vAlign w:val="center"/>
          </w:tcPr>
          <w:p w14:paraId="54BD1FE3">
            <w:pPr>
              <w:widowControl/>
              <w:spacing w:line="400" w:lineRule="exact"/>
              <w:ind w:left="118" w:leftChars="56" w:right="84" w:rightChars="40"/>
              <w:jc w:val="center"/>
              <w:rPr>
                <w:rFonts w:ascii="宋体" w:hAnsi="宋体"/>
                <w:szCs w:val="21"/>
              </w:rPr>
            </w:pPr>
          </w:p>
        </w:tc>
        <w:tc>
          <w:tcPr>
            <w:tcW w:w="6980" w:type="dxa"/>
            <w:vAlign w:val="center"/>
          </w:tcPr>
          <w:p w14:paraId="0A435CA2">
            <w:pPr>
              <w:widowControl/>
              <w:spacing w:line="400" w:lineRule="exact"/>
              <w:ind w:left="118" w:leftChars="56" w:right="84" w:rightChars="40"/>
              <w:rPr>
                <w:rFonts w:ascii="宋体" w:hAnsi="宋体"/>
                <w:szCs w:val="21"/>
              </w:rPr>
            </w:pPr>
          </w:p>
        </w:tc>
        <w:tc>
          <w:tcPr>
            <w:tcW w:w="1150" w:type="dxa"/>
          </w:tcPr>
          <w:p w14:paraId="6C1A570E">
            <w:pPr>
              <w:widowControl/>
              <w:spacing w:line="300" w:lineRule="exact"/>
              <w:ind w:left="118" w:leftChars="56" w:right="84" w:rightChars="40"/>
              <w:rPr>
                <w:rFonts w:ascii="宋体" w:hAnsi="宋体"/>
                <w:szCs w:val="21"/>
              </w:rPr>
            </w:pPr>
          </w:p>
        </w:tc>
      </w:tr>
      <w:tr w14:paraId="7BE04E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14B1C9CA">
            <w:pPr>
              <w:widowControl/>
              <w:spacing w:line="300" w:lineRule="exact"/>
              <w:ind w:left="147" w:leftChars="70" w:right="84" w:rightChars="40"/>
              <w:rPr>
                <w:rFonts w:ascii="宋体" w:hAnsi="宋体"/>
                <w:szCs w:val="21"/>
              </w:rPr>
            </w:pPr>
          </w:p>
        </w:tc>
        <w:tc>
          <w:tcPr>
            <w:tcW w:w="949" w:type="dxa"/>
            <w:vAlign w:val="center"/>
          </w:tcPr>
          <w:p w14:paraId="693BB17B">
            <w:pPr>
              <w:widowControl/>
              <w:spacing w:line="400" w:lineRule="exact"/>
              <w:ind w:left="118" w:leftChars="56" w:right="84" w:rightChars="40"/>
              <w:jc w:val="center"/>
              <w:rPr>
                <w:rFonts w:ascii="宋体" w:hAnsi="宋体"/>
                <w:szCs w:val="21"/>
              </w:rPr>
            </w:pPr>
          </w:p>
        </w:tc>
        <w:tc>
          <w:tcPr>
            <w:tcW w:w="6980" w:type="dxa"/>
            <w:vAlign w:val="center"/>
          </w:tcPr>
          <w:p w14:paraId="2911AE54">
            <w:pPr>
              <w:widowControl/>
              <w:spacing w:line="400" w:lineRule="exact"/>
              <w:ind w:left="118" w:leftChars="56" w:right="84" w:rightChars="40"/>
              <w:rPr>
                <w:rFonts w:ascii="宋体" w:hAnsi="宋体" w:cs="宋体"/>
                <w:szCs w:val="21"/>
              </w:rPr>
            </w:pPr>
          </w:p>
        </w:tc>
        <w:tc>
          <w:tcPr>
            <w:tcW w:w="1150" w:type="dxa"/>
          </w:tcPr>
          <w:p w14:paraId="37B8068A">
            <w:pPr>
              <w:widowControl/>
              <w:spacing w:line="300" w:lineRule="exact"/>
              <w:ind w:left="118" w:leftChars="56" w:right="84" w:rightChars="40"/>
              <w:rPr>
                <w:rFonts w:ascii="宋体" w:hAnsi="宋体"/>
                <w:szCs w:val="21"/>
              </w:rPr>
            </w:pPr>
          </w:p>
        </w:tc>
      </w:tr>
      <w:tr w14:paraId="693AE5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C237C46">
            <w:pPr>
              <w:widowControl/>
              <w:spacing w:line="300" w:lineRule="exact"/>
              <w:ind w:left="147" w:leftChars="70" w:right="84" w:rightChars="40"/>
              <w:rPr>
                <w:rFonts w:ascii="宋体" w:hAnsi="宋体"/>
                <w:szCs w:val="21"/>
              </w:rPr>
            </w:pPr>
          </w:p>
        </w:tc>
        <w:tc>
          <w:tcPr>
            <w:tcW w:w="949" w:type="dxa"/>
            <w:vAlign w:val="center"/>
          </w:tcPr>
          <w:p w14:paraId="6B92A27D">
            <w:pPr>
              <w:widowControl/>
              <w:spacing w:line="400" w:lineRule="exact"/>
              <w:ind w:left="118" w:leftChars="56" w:right="84" w:rightChars="40"/>
              <w:jc w:val="center"/>
              <w:rPr>
                <w:rFonts w:ascii="宋体" w:hAnsi="宋体"/>
                <w:szCs w:val="21"/>
              </w:rPr>
            </w:pPr>
          </w:p>
        </w:tc>
        <w:tc>
          <w:tcPr>
            <w:tcW w:w="6980" w:type="dxa"/>
            <w:vAlign w:val="center"/>
          </w:tcPr>
          <w:p w14:paraId="298C47F5">
            <w:pPr>
              <w:widowControl/>
              <w:spacing w:line="400" w:lineRule="exact"/>
              <w:ind w:left="118" w:leftChars="56" w:right="84" w:rightChars="40"/>
              <w:rPr>
                <w:rFonts w:ascii="宋体" w:hAnsi="宋体" w:cs="宋体"/>
                <w:szCs w:val="21"/>
              </w:rPr>
            </w:pPr>
          </w:p>
        </w:tc>
        <w:tc>
          <w:tcPr>
            <w:tcW w:w="1150" w:type="dxa"/>
          </w:tcPr>
          <w:p w14:paraId="6E96D235">
            <w:pPr>
              <w:widowControl/>
              <w:spacing w:line="300" w:lineRule="exact"/>
              <w:ind w:left="118" w:leftChars="56" w:right="84" w:rightChars="40"/>
              <w:rPr>
                <w:rFonts w:ascii="宋体" w:hAnsi="宋体"/>
                <w:szCs w:val="21"/>
              </w:rPr>
            </w:pPr>
          </w:p>
        </w:tc>
      </w:tr>
      <w:tr w14:paraId="586DA6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2207C25">
            <w:pPr>
              <w:widowControl/>
              <w:spacing w:line="300" w:lineRule="exact"/>
              <w:ind w:left="147" w:leftChars="70" w:right="84" w:rightChars="40"/>
              <w:rPr>
                <w:rFonts w:ascii="宋体" w:hAnsi="宋体"/>
                <w:szCs w:val="21"/>
              </w:rPr>
            </w:pPr>
          </w:p>
        </w:tc>
        <w:tc>
          <w:tcPr>
            <w:tcW w:w="949" w:type="dxa"/>
            <w:vAlign w:val="center"/>
          </w:tcPr>
          <w:p w14:paraId="6D31DAC8">
            <w:pPr>
              <w:widowControl/>
              <w:spacing w:line="400" w:lineRule="exact"/>
              <w:ind w:left="118" w:leftChars="56" w:right="84" w:rightChars="40"/>
              <w:jc w:val="center"/>
              <w:rPr>
                <w:rFonts w:ascii="宋体" w:hAnsi="宋体"/>
                <w:szCs w:val="21"/>
              </w:rPr>
            </w:pPr>
          </w:p>
        </w:tc>
        <w:tc>
          <w:tcPr>
            <w:tcW w:w="6980" w:type="dxa"/>
            <w:vAlign w:val="center"/>
          </w:tcPr>
          <w:p w14:paraId="2984ADF2">
            <w:pPr>
              <w:widowControl/>
              <w:spacing w:line="400" w:lineRule="exact"/>
              <w:ind w:left="118" w:leftChars="56" w:right="84" w:rightChars="40"/>
              <w:rPr>
                <w:rFonts w:ascii="宋体" w:hAnsi="宋体"/>
                <w:szCs w:val="21"/>
              </w:rPr>
            </w:pPr>
          </w:p>
        </w:tc>
        <w:tc>
          <w:tcPr>
            <w:tcW w:w="1150" w:type="dxa"/>
          </w:tcPr>
          <w:p w14:paraId="2A4560F2">
            <w:pPr>
              <w:widowControl/>
              <w:spacing w:line="300" w:lineRule="exact"/>
              <w:ind w:left="118" w:leftChars="56" w:right="84" w:rightChars="40"/>
              <w:rPr>
                <w:rFonts w:ascii="宋体" w:hAnsi="宋体"/>
                <w:szCs w:val="21"/>
              </w:rPr>
            </w:pPr>
          </w:p>
        </w:tc>
      </w:tr>
      <w:tr w14:paraId="0B6BAE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0977B5FC">
            <w:pPr>
              <w:jc w:val="center"/>
              <w:rPr>
                <w:rFonts w:ascii="宋体" w:hAnsi="宋体"/>
                <w:kern w:val="0"/>
                <w:szCs w:val="21"/>
              </w:rPr>
            </w:pPr>
            <w:r>
              <w:rPr>
                <w:rFonts w:hint="eastAsia" w:ascii="宋体" w:hAnsi="宋体" w:cs="Arial"/>
                <w:snapToGrid w:val="0"/>
                <w:kern w:val="0"/>
                <w:sz w:val="22"/>
              </w:rPr>
              <w:t>商务、资信及其他分</w:t>
            </w:r>
          </w:p>
          <w:p w14:paraId="133B2CDF">
            <w:pPr>
              <w:widowControl/>
              <w:spacing w:line="300" w:lineRule="exact"/>
              <w:ind w:left="118" w:leftChars="56" w:right="84" w:rightChars="40"/>
              <w:rPr>
                <w:rFonts w:ascii="宋体" w:hAnsi="宋体"/>
                <w:szCs w:val="21"/>
              </w:rPr>
            </w:pPr>
          </w:p>
        </w:tc>
        <w:tc>
          <w:tcPr>
            <w:tcW w:w="7929" w:type="dxa"/>
            <w:gridSpan w:val="2"/>
            <w:vAlign w:val="center"/>
          </w:tcPr>
          <w:p w14:paraId="0322609B">
            <w:pPr>
              <w:rPr>
                <w:rFonts w:ascii="宋体" w:hAnsi="宋体"/>
                <w:color w:val="FF0000"/>
                <w:kern w:val="0"/>
                <w:szCs w:val="21"/>
              </w:rPr>
            </w:pPr>
          </w:p>
        </w:tc>
        <w:tc>
          <w:tcPr>
            <w:tcW w:w="1150" w:type="dxa"/>
          </w:tcPr>
          <w:p w14:paraId="2C1D441A">
            <w:pPr>
              <w:widowControl/>
              <w:spacing w:line="300" w:lineRule="exact"/>
              <w:ind w:left="118" w:leftChars="56" w:right="84" w:rightChars="40"/>
              <w:rPr>
                <w:rFonts w:ascii="宋体" w:hAnsi="宋体"/>
                <w:szCs w:val="21"/>
              </w:rPr>
            </w:pPr>
          </w:p>
        </w:tc>
      </w:tr>
      <w:tr w14:paraId="01E53E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37E23BFA">
            <w:pPr>
              <w:widowControl/>
              <w:spacing w:line="300" w:lineRule="exact"/>
              <w:ind w:left="118" w:leftChars="56" w:right="84" w:rightChars="40"/>
              <w:rPr>
                <w:rFonts w:ascii="宋体" w:hAnsi="宋体"/>
                <w:szCs w:val="21"/>
              </w:rPr>
            </w:pPr>
          </w:p>
        </w:tc>
        <w:tc>
          <w:tcPr>
            <w:tcW w:w="7929" w:type="dxa"/>
            <w:gridSpan w:val="2"/>
            <w:vAlign w:val="center"/>
          </w:tcPr>
          <w:p w14:paraId="015A0C79">
            <w:pPr>
              <w:rPr>
                <w:rFonts w:ascii="宋体" w:hAnsi="宋体"/>
                <w:kern w:val="0"/>
                <w:szCs w:val="21"/>
              </w:rPr>
            </w:pPr>
          </w:p>
        </w:tc>
        <w:tc>
          <w:tcPr>
            <w:tcW w:w="1150" w:type="dxa"/>
          </w:tcPr>
          <w:p w14:paraId="3E62D78D">
            <w:pPr>
              <w:widowControl/>
              <w:spacing w:line="300" w:lineRule="exact"/>
              <w:ind w:left="118" w:leftChars="56" w:right="84" w:rightChars="40"/>
              <w:rPr>
                <w:rFonts w:ascii="宋体" w:hAnsi="宋体"/>
                <w:szCs w:val="21"/>
              </w:rPr>
            </w:pPr>
          </w:p>
        </w:tc>
      </w:tr>
      <w:tr w14:paraId="1E2C6E3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7C486162">
            <w:pPr>
              <w:widowControl/>
              <w:spacing w:line="300" w:lineRule="exact"/>
              <w:ind w:left="118" w:leftChars="56" w:right="84" w:rightChars="40"/>
              <w:rPr>
                <w:rFonts w:ascii="宋体" w:hAnsi="宋体"/>
                <w:szCs w:val="21"/>
              </w:rPr>
            </w:pPr>
          </w:p>
        </w:tc>
        <w:tc>
          <w:tcPr>
            <w:tcW w:w="7929" w:type="dxa"/>
            <w:gridSpan w:val="2"/>
            <w:vAlign w:val="center"/>
          </w:tcPr>
          <w:p w14:paraId="164B6CB0">
            <w:pPr>
              <w:rPr>
                <w:rFonts w:ascii="宋体" w:hAnsi="宋体"/>
                <w:kern w:val="0"/>
                <w:szCs w:val="21"/>
              </w:rPr>
            </w:pPr>
          </w:p>
        </w:tc>
        <w:tc>
          <w:tcPr>
            <w:tcW w:w="1150" w:type="dxa"/>
          </w:tcPr>
          <w:p w14:paraId="7D5236FC">
            <w:pPr>
              <w:widowControl/>
              <w:spacing w:line="300" w:lineRule="exact"/>
              <w:ind w:left="118" w:leftChars="56" w:right="84" w:rightChars="40"/>
              <w:rPr>
                <w:rFonts w:ascii="宋体" w:hAnsi="宋体"/>
                <w:szCs w:val="21"/>
              </w:rPr>
            </w:pPr>
          </w:p>
        </w:tc>
      </w:tr>
      <w:tr w14:paraId="2252F6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499CE7F8">
            <w:pPr>
              <w:widowControl/>
              <w:spacing w:line="300" w:lineRule="exact"/>
              <w:ind w:left="118" w:leftChars="56" w:right="84" w:rightChars="40"/>
              <w:rPr>
                <w:rFonts w:ascii="宋体" w:hAnsi="宋体"/>
                <w:szCs w:val="21"/>
              </w:rPr>
            </w:pPr>
          </w:p>
        </w:tc>
        <w:tc>
          <w:tcPr>
            <w:tcW w:w="7929" w:type="dxa"/>
            <w:gridSpan w:val="2"/>
            <w:vAlign w:val="center"/>
          </w:tcPr>
          <w:p w14:paraId="50D2E41B">
            <w:pPr>
              <w:rPr>
                <w:rFonts w:ascii="宋体" w:hAnsi="宋体"/>
                <w:szCs w:val="21"/>
              </w:rPr>
            </w:pPr>
          </w:p>
        </w:tc>
        <w:tc>
          <w:tcPr>
            <w:tcW w:w="1150" w:type="dxa"/>
          </w:tcPr>
          <w:p w14:paraId="6EE30216">
            <w:pPr>
              <w:widowControl/>
              <w:spacing w:line="300" w:lineRule="exact"/>
              <w:ind w:left="118" w:leftChars="56" w:right="84" w:rightChars="40"/>
              <w:rPr>
                <w:rFonts w:ascii="宋体" w:hAnsi="宋体" w:cs="宋体"/>
                <w:szCs w:val="21"/>
              </w:rPr>
            </w:pPr>
          </w:p>
        </w:tc>
      </w:tr>
      <w:tr w14:paraId="4D5E08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518A7195">
            <w:pPr>
              <w:widowControl/>
              <w:spacing w:line="300" w:lineRule="exact"/>
              <w:ind w:left="118" w:leftChars="56" w:right="84" w:rightChars="40"/>
              <w:rPr>
                <w:rFonts w:ascii="宋体" w:hAnsi="宋体"/>
                <w:szCs w:val="21"/>
              </w:rPr>
            </w:pPr>
          </w:p>
        </w:tc>
        <w:tc>
          <w:tcPr>
            <w:tcW w:w="7929" w:type="dxa"/>
            <w:gridSpan w:val="2"/>
            <w:vAlign w:val="center"/>
          </w:tcPr>
          <w:p w14:paraId="28EDE5CB">
            <w:pPr>
              <w:rPr>
                <w:rFonts w:ascii="宋体" w:hAnsi="宋体"/>
                <w:kern w:val="0"/>
                <w:szCs w:val="21"/>
              </w:rPr>
            </w:pPr>
          </w:p>
        </w:tc>
        <w:tc>
          <w:tcPr>
            <w:tcW w:w="1150" w:type="dxa"/>
          </w:tcPr>
          <w:p w14:paraId="139C53D2">
            <w:pPr>
              <w:widowControl/>
              <w:spacing w:line="300" w:lineRule="exact"/>
              <w:ind w:left="118" w:leftChars="56" w:right="84" w:rightChars="40"/>
              <w:rPr>
                <w:rFonts w:ascii="宋体" w:hAnsi="宋体" w:cs="宋体"/>
                <w:szCs w:val="21"/>
              </w:rPr>
            </w:pPr>
          </w:p>
        </w:tc>
      </w:tr>
      <w:tr w14:paraId="243EE8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3315417B">
            <w:pPr>
              <w:widowControl/>
              <w:spacing w:line="300" w:lineRule="exact"/>
              <w:ind w:left="118" w:leftChars="56" w:right="84" w:rightChars="40"/>
              <w:rPr>
                <w:rFonts w:ascii="宋体" w:hAnsi="宋体"/>
                <w:szCs w:val="21"/>
              </w:rPr>
            </w:pPr>
          </w:p>
        </w:tc>
        <w:tc>
          <w:tcPr>
            <w:tcW w:w="7929" w:type="dxa"/>
            <w:gridSpan w:val="2"/>
            <w:vAlign w:val="center"/>
          </w:tcPr>
          <w:p w14:paraId="64CB8CD3">
            <w:pPr>
              <w:rPr>
                <w:rFonts w:ascii="宋体" w:hAnsi="宋体"/>
                <w:kern w:val="0"/>
                <w:szCs w:val="21"/>
              </w:rPr>
            </w:pPr>
          </w:p>
        </w:tc>
        <w:tc>
          <w:tcPr>
            <w:tcW w:w="1150" w:type="dxa"/>
          </w:tcPr>
          <w:p w14:paraId="0C29F1EC">
            <w:pPr>
              <w:widowControl/>
              <w:spacing w:line="300" w:lineRule="exact"/>
              <w:ind w:left="118" w:leftChars="56" w:right="84" w:rightChars="40"/>
              <w:rPr>
                <w:rFonts w:ascii="宋体" w:hAnsi="宋体" w:cs="宋体"/>
                <w:szCs w:val="21"/>
              </w:rPr>
            </w:pPr>
          </w:p>
        </w:tc>
      </w:tr>
    </w:tbl>
    <w:p w14:paraId="2F111FF9">
      <w:pPr>
        <w:spacing w:line="360" w:lineRule="auto"/>
        <w:jc w:val="center"/>
        <w:rPr>
          <w:rFonts w:ascii="宋体" w:hAnsi="宋体"/>
          <w:szCs w:val="21"/>
        </w:rPr>
      </w:pPr>
    </w:p>
    <w:p w14:paraId="6B5639D6">
      <w:pPr>
        <w:spacing w:line="360" w:lineRule="auto"/>
        <w:jc w:val="center"/>
        <w:rPr>
          <w:rFonts w:ascii="宋体" w:hAnsi="宋体"/>
          <w:sz w:val="22"/>
        </w:rPr>
      </w:pPr>
      <w:r>
        <w:rPr>
          <w:rFonts w:hint="eastAsia" w:ascii="宋体" w:hAnsi="宋体" w:cs="宋体"/>
          <w:szCs w:val="21"/>
        </w:rPr>
        <w:t>备注：为方便专家评审，请各供应商将本表编入磋商响应文件，并置于磋商响应文件目录之前。</w:t>
      </w:r>
    </w:p>
    <w:p w14:paraId="4C947A96">
      <w:pPr>
        <w:spacing w:line="360" w:lineRule="auto"/>
        <w:rPr>
          <w:lang w:val="en-GB"/>
        </w:rPr>
      </w:pPr>
    </w:p>
    <w:p w14:paraId="7AB4BCD5">
      <w:pPr>
        <w:spacing w:line="360" w:lineRule="auto"/>
        <w:rPr>
          <w:lang w:val="en-GB"/>
        </w:rPr>
      </w:pPr>
    </w:p>
    <w:p w14:paraId="724FF127">
      <w:pPr>
        <w:spacing w:line="360" w:lineRule="auto"/>
        <w:rPr>
          <w:lang w:val="en-GB"/>
        </w:rPr>
      </w:pPr>
    </w:p>
    <w:p w14:paraId="574D5749">
      <w:pPr>
        <w:spacing w:line="360" w:lineRule="auto"/>
        <w:rPr>
          <w:lang w:val="en-GB"/>
        </w:rPr>
      </w:pPr>
    </w:p>
    <w:p w14:paraId="2CB2EF6A">
      <w:pPr>
        <w:spacing w:line="360" w:lineRule="auto"/>
        <w:rPr>
          <w:lang w:val="en-GB"/>
        </w:rPr>
      </w:pPr>
    </w:p>
    <w:p w14:paraId="3C8EDFFB">
      <w:pPr>
        <w:spacing w:line="360" w:lineRule="auto"/>
        <w:rPr>
          <w:lang w:val="en-GB"/>
        </w:rPr>
      </w:pPr>
    </w:p>
    <w:p w14:paraId="5836D5CE">
      <w:pPr>
        <w:spacing w:line="360" w:lineRule="auto"/>
        <w:rPr>
          <w:lang w:val="en-GB"/>
        </w:rPr>
      </w:pPr>
    </w:p>
    <w:p w14:paraId="2D20B47F">
      <w:pPr>
        <w:spacing w:line="360" w:lineRule="auto"/>
        <w:rPr>
          <w:lang w:val="en-GB"/>
        </w:rPr>
      </w:pPr>
    </w:p>
    <w:p w14:paraId="651AE2FA">
      <w:pPr>
        <w:spacing w:line="360" w:lineRule="auto"/>
        <w:rPr>
          <w:lang w:val="en-GB"/>
        </w:rPr>
      </w:pPr>
    </w:p>
    <w:p w14:paraId="29E39881">
      <w:pPr>
        <w:spacing w:line="360" w:lineRule="auto"/>
        <w:rPr>
          <w:lang w:val="en-GB"/>
        </w:rPr>
      </w:pPr>
    </w:p>
    <w:p w14:paraId="1862A4FE">
      <w:pPr>
        <w:spacing w:line="360" w:lineRule="auto"/>
        <w:jc w:val="left"/>
        <w:rPr>
          <w:lang w:val="en-GB"/>
        </w:rPr>
      </w:pPr>
    </w:p>
    <w:sectPr>
      <w:footerReference r:id="rId16" w:type="first"/>
      <w:footerReference r:id="rId15" w:type="default"/>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FF2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C517">
    <w:pPr>
      <w:pStyle w:val="40"/>
      <w:ind w:right="360"/>
    </w:pPr>
    <w:r>
      <w:rPr>
        <w:sz w:val="18"/>
      </w:rPr>
      <w:pict>
        <v:shape id="_x0000_s4132" o:spid="_x0000_s413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31721A3">
                <w:pPr>
                  <w:pStyle w:val="40"/>
                </w:pPr>
                <w:r>
                  <w:fldChar w:fldCharType="begin"/>
                </w:r>
                <w:r>
                  <w:instrText xml:space="preserve"> PAGE  \* MERGEFORMAT </w:instrText>
                </w:r>
                <w:r>
                  <w:fldChar w:fldCharType="separate"/>
                </w:r>
                <w:r>
                  <w:t>38</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5C29">
    <w:pPr>
      <w:pStyle w:val="40"/>
    </w:pPr>
    <w:r>
      <w:rPr>
        <w:sz w:val="18"/>
      </w:rPr>
      <w:pict>
        <v:shape id="_x0000_s4133" o:spid="_x0000_s413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3ADA2BEC">
                <w:pPr>
                  <w:pStyle w:val="40"/>
                </w:pPr>
                <w:r>
                  <w:fldChar w:fldCharType="begin"/>
                </w:r>
                <w:r>
                  <w:instrText xml:space="preserve"> PAGE  \* MERGEFORMAT </w:instrText>
                </w:r>
                <w:r>
                  <w:fldChar w:fldCharType="separate"/>
                </w:r>
                <w:r>
                  <w:t>37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5FED">
    <w:pPr>
      <w:pStyle w:val="40"/>
      <w:framePr w:wrap="around" w:vAnchor="text" w:hAnchor="margin" w:xAlign="center" w:y="1"/>
      <w:rPr>
        <w:rStyle w:val="68"/>
      </w:rPr>
    </w:pPr>
    <w:r>
      <w:fldChar w:fldCharType="begin"/>
    </w:r>
    <w:r>
      <w:rPr>
        <w:rStyle w:val="68"/>
      </w:rPr>
      <w:instrText xml:space="preserve">PAGE  </w:instrText>
    </w:r>
    <w:r>
      <w:fldChar w:fldCharType="end"/>
    </w:r>
  </w:p>
  <w:p w14:paraId="1DEEF1F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5DF9">
    <w:pPr>
      <w:pStyle w:val="40"/>
      <w:ind w:right="360"/>
    </w:pPr>
    <w:r>
      <w:rPr>
        <w:sz w:val="18"/>
      </w:rPr>
      <w:pict>
        <v:shape id="_x0000_s4126" o:spid="_x0000_s41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651A5B">
                <w:pPr>
                  <w:pStyle w:val="40"/>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F624">
    <w:pPr>
      <w:pStyle w:val="40"/>
    </w:pPr>
    <w:r>
      <w:rPr>
        <w:sz w:val="18"/>
      </w:rPr>
      <w:pict>
        <v:shape id="_x0000_s4127" o:spid="_x0000_s41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5B7B2DC">
                <w:pPr>
                  <w:pStyle w:val="4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0DD5">
    <w:pPr>
      <w:pStyle w:val="40"/>
    </w:pPr>
    <w:r>
      <w:rPr>
        <w:sz w:val="18"/>
      </w:rPr>
      <w:pict>
        <v:shape id="_x0000_s4128" o:spid="_x0000_s41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2D6E0E">
                <w:pPr>
                  <w:pStyle w:val="40"/>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379F">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3298">
    <w:pPr>
      <w:pStyle w:val="24"/>
      <w:spacing w:line="14" w:lineRule="auto"/>
      <w:rPr>
        <w:sz w:val="20"/>
      </w:rPr>
    </w:pPr>
    <w:r>
      <w:rPr>
        <w:sz w:val="20"/>
      </w:rPr>
      <w:pict>
        <v:shape id="_x0000_s4129" o:spid="_x0000_s41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D3C8DBC">
                <w:pPr>
                  <w:pStyle w:val="40"/>
                </w:pPr>
                <w:r>
                  <w:fldChar w:fldCharType="begin"/>
                </w:r>
                <w:r>
                  <w:instrText xml:space="preserve"> PAGE  \* MERGEFORMAT </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CCDC">
    <w:pPr>
      <w:pStyle w:val="40"/>
    </w:pPr>
    <w:r>
      <w:rPr>
        <w:sz w:val="18"/>
      </w:rPr>
      <w:pict>
        <v:shape id="_x0000_s4130" o:spid="_x0000_s413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30E8BFE">
                <w:pPr>
                  <w:pStyle w:val="40"/>
                </w:pPr>
                <w:r>
                  <w:fldChar w:fldCharType="begin"/>
                </w:r>
                <w:r>
                  <w:instrText xml:space="preserve"> PAGE  \* MERGEFORMAT </w:instrText>
                </w:r>
                <w:r>
                  <w:fldChar w:fldCharType="separate"/>
                </w:r>
                <w:r>
                  <w:t>41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6794">
    <w:pPr>
      <w:pStyle w:val="40"/>
    </w:pPr>
    <w:r>
      <w:rPr>
        <w:sz w:val="18"/>
      </w:rPr>
      <w:pict>
        <v:shape id="_x0000_s4131" o:spid="_x0000_s41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0B2F01B">
                <w:pPr>
                  <w:pStyle w:val="40"/>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3AB7">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606B">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5276">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7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1">
    <w:nsid w:val="B2C88436"/>
    <w:multiLevelType w:val="singleLevel"/>
    <w:tmpl w:val="B2C88436"/>
    <w:lvl w:ilvl="0" w:tentative="0">
      <w:start w:val="2"/>
      <w:numFmt w:val="decimal"/>
      <w:suff w:val="nothing"/>
      <w:lvlText w:val="%1、"/>
      <w:lvlJc w:val="left"/>
    </w:lvl>
  </w:abstractNum>
  <w:abstractNum w:abstractNumId="2">
    <w:nsid w:val="B8CEF35B"/>
    <w:multiLevelType w:val="multilevel"/>
    <w:tmpl w:val="B8CEF35B"/>
    <w:lvl w:ilvl="0" w:tentative="0">
      <w:start w:val="1"/>
      <w:numFmt w:val="decimal"/>
      <w:lvlText w:val="（%1）"/>
      <w:lvlJc w:val="left"/>
      <w:pPr>
        <w:ind w:left="1758"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3">
    <w:nsid w:val="BB64CFA9"/>
    <w:multiLevelType w:val="multilevel"/>
    <w:tmpl w:val="BB64CFA9"/>
    <w:lvl w:ilvl="0" w:tentative="0">
      <w:start w:val="1"/>
      <w:numFmt w:val="decimal"/>
      <w:lvlText w:val="（%1）"/>
      <w:lvlJc w:val="left"/>
      <w:pPr>
        <w:ind w:left="677" w:hanging="601"/>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642" w:hanging="601"/>
      </w:pPr>
      <w:rPr>
        <w:rFonts w:hint="default"/>
        <w:lang w:val="zh-CN" w:eastAsia="zh-CN" w:bidi="zh-CN"/>
      </w:rPr>
    </w:lvl>
    <w:lvl w:ilvl="2" w:tentative="0">
      <w:start w:val="0"/>
      <w:numFmt w:val="bullet"/>
      <w:lvlText w:val="•"/>
      <w:lvlJc w:val="left"/>
      <w:pPr>
        <w:ind w:left="2605" w:hanging="601"/>
      </w:pPr>
      <w:rPr>
        <w:rFonts w:hint="default"/>
        <w:lang w:val="zh-CN" w:eastAsia="zh-CN" w:bidi="zh-CN"/>
      </w:rPr>
    </w:lvl>
    <w:lvl w:ilvl="3" w:tentative="0">
      <w:start w:val="0"/>
      <w:numFmt w:val="bullet"/>
      <w:lvlText w:val="•"/>
      <w:lvlJc w:val="left"/>
      <w:pPr>
        <w:ind w:left="3567" w:hanging="601"/>
      </w:pPr>
      <w:rPr>
        <w:rFonts w:hint="default"/>
        <w:lang w:val="zh-CN" w:eastAsia="zh-CN" w:bidi="zh-CN"/>
      </w:rPr>
    </w:lvl>
    <w:lvl w:ilvl="4" w:tentative="0">
      <w:start w:val="0"/>
      <w:numFmt w:val="bullet"/>
      <w:lvlText w:val="•"/>
      <w:lvlJc w:val="left"/>
      <w:pPr>
        <w:ind w:left="4530"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455" w:hanging="601"/>
      </w:pPr>
      <w:rPr>
        <w:rFonts w:hint="default"/>
        <w:lang w:val="zh-CN" w:eastAsia="zh-CN" w:bidi="zh-CN"/>
      </w:rPr>
    </w:lvl>
    <w:lvl w:ilvl="7" w:tentative="0">
      <w:start w:val="0"/>
      <w:numFmt w:val="bullet"/>
      <w:lvlText w:val="•"/>
      <w:lvlJc w:val="left"/>
      <w:pPr>
        <w:ind w:left="7418" w:hanging="601"/>
      </w:pPr>
      <w:rPr>
        <w:rFonts w:hint="default"/>
        <w:lang w:val="zh-CN" w:eastAsia="zh-CN" w:bidi="zh-CN"/>
      </w:rPr>
    </w:lvl>
    <w:lvl w:ilvl="8" w:tentative="0">
      <w:start w:val="0"/>
      <w:numFmt w:val="bullet"/>
      <w:lvlText w:val="•"/>
      <w:lvlJc w:val="left"/>
      <w:pPr>
        <w:ind w:left="8380" w:hanging="601"/>
      </w:pPr>
      <w:rPr>
        <w:rFonts w:hint="default"/>
        <w:lang w:val="zh-CN" w:eastAsia="zh-CN" w:bidi="zh-CN"/>
      </w:rPr>
    </w:lvl>
  </w:abstractNum>
  <w:abstractNum w:abstractNumId="4">
    <w:nsid w:val="F7735DC9"/>
    <w:multiLevelType w:val="multilevel"/>
    <w:tmpl w:val="F7735DC9"/>
    <w:lvl w:ilvl="0" w:tentative="0">
      <w:start w:val="1"/>
      <w:numFmt w:val="decimal"/>
      <w:lvlText w:val="（%1）"/>
      <w:lvlJc w:val="left"/>
      <w:pPr>
        <w:ind w:left="677"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642" w:hanging="601"/>
      </w:pPr>
      <w:rPr>
        <w:rFonts w:hint="default"/>
        <w:lang w:val="zh-CN" w:eastAsia="zh-CN" w:bidi="zh-CN"/>
      </w:rPr>
    </w:lvl>
    <w:lvl w:ilvl="2" w:tentative="0">
      <w:start w:val="0"/>
      <w:numFmt w:val="bullet"/>
      <w:lvlText w:val="•"/>
      <w:lvlJc w:val="left"/>
      <w:pPr>
        <w:ind w:left="2605" w:hanging="601"/>
      </w:pPr>
      <w:rPr>
        <w:rFonts w:hint="default"/>
        <w:lang w:val="zh-CN" w:eastAsia="zh-CN" w:bidi="zh-CN"/>
      </w:rPr>
    </w:lvl>
    <w:lvl w:ilvl="3" w:tentative="0">
      <w:start w:val="0"/>
      <w:numFmt w:val="bullet"/>
      <w:lvlText w:val="•"/>
      <w:lvlJc w:val="left"/>
      <w:pPr>
        <w:ind w:left="3567" w:hanging="601"/>
      </w:pPr>
      <w:rPr>
        <w:rFonts w:hint="default"/>
        <w:lang w:val="zh-CN" w:eastAsia="zh-CN" w:bidi="zh-CN"/>
      </w:rPr>
    </w:lvl>
    <w:lvl w:ilvl="4" w:tentative="0">
      <w:start w:val="0"/>
      <w:numFmt w:val="bullet"/>
      <w:lvlText w:val="•"/>
      <w:lvlJc w:val="left"/>
      <w:pPr>
        <w:ind w:left="4530"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455" w:hanging="601"/>
      </w:pPr>
      <w:rPr>
        <w:rFonts w:hint="default"/>
        <w:lang w:val="zh-CN" w:eastAsia="zh-CN" w:bidi="zh-CN"/>
      </w:rPr>
    </w:lvl>
    <w:lvl w:ilvl="7" w:tentative="0">
      <w:start w:val="0"/>
      <w:numFmt w:val="bullet"/>
      <w:lvlText w:val="•"/>
      <w:lvlJc w:val="left"/>
      <w:pPr>
        <w:ind w:left="7418" w:hanging="601"/>
      </w:pPr>
      <w:rPr>
        <w:rFonts w:hint="default"/>
        <w:lang w:val="zh-CN" w:eastAsia="zh-CN" w:bidi="zh-CN"/>
      </w:rPr>
    </w:lvl>
    <w:lvl w:ilvl="8" w:tentative="0">
      <w:start w:val="0"/>
      <w:numFmt w:val="bullet"/>
      <w:lvlText w:val="•"/>
      <w:lvlJc w:val="left"/>
      <w:pPr>
        <w:ind w:left="8380" w:hanging="601"/>
      </w:pPr>
      <w:rPr>
        <w:rFonts w:hint="default"/>
        <w:lang w:val="zh-CN" w:eastAsia="zh-CN" w:bidi="zh-CN"/>
      </w:rPr>
    </w:lvl>
  </w:abstractNum>
  <w:abstractNum w:abstractNumId="5">
    <w:nsid w:val="FFFFFF89"/>
    <w:multiLevelType w:val="singleLevel"/>
    <w:tmpl w:val="FFFFFF89"/>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6">
    <w:nsid w:val="FFFFFFFB"/>
    <w:multiLevelType w:val="multilevel"/>
    <w:tmpl w:val="FFFFFFFB"/>
    <w:lvl w:ilvl="0" w:tentative="0">
      <w:start w:val="1"/>
      <w:numFmt w:val="chineseCountingThousand"/>
      <w:pStyle w:val="289"/>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6"/>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7">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9">
    <w:nsid w:val="11268450"/>
    <w:multiLevelType w:val="singleLevel"/>
    <w:tmpl w:val="11268450"/>
    <w:lvl w:ilvl="0" w:tentative="0">
      <w:start w:val="1"/>
      <w:numFmt w:val="decimal"/>
      <w:suff w:val="space"/>
      <w:lvlText w:val="%1."/>
      <w:lvlJc w:val="left"/>
    </w:lvl>
  </w:abstractNum>
  <w:abstractNum w:abstractNumId="10">
    <w:nsid w:val="13C98B99"/>
    <w:multiLevelType w:val="singleLevel"/>
    <w:tmpl w:val="13C98B99"/>
    <w:lvl w:ilvl="0" w:tentative="0">
      <w:start w:val="1"/>
      <w:numFmt w:val="chineseCounting"/>
      <w:suff w:val="space"/>
      <w:lvlText w:val="第%1章"/>
      <w:lvlJc w:val="left"/>
      <w:rPr>
        <w:rFonts w:hint="eastAsia"/>
      </w:rPr>
    </w:lvl>
  </w:abstractNum>
  <w:abstractNum w:abstractNumId="11">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4"/>
      <w:suff w:val="nothing"/>
      <w:lvlText w:val="%1.%2."/>
      <w:lvlJc w:val="left"/>
      <w:pPr>
        <w:ind w:left="380" w:hanging="380"/>
      </w:pPr>
      <w:rPr>
        <w:rFonts w:hint="eastAsia"/>
        <w:b/>
        <w:i w:val="0"/>
        <w:sz w:val="28"/>
        <w:szCs w:val="28"/>
      </w:rPr>
    </w:lvl>
    <w:lvl w:ilvl="2" w:tentative="0">
      <w:start w:val="1"/>
      <w:numFmt w:val="decimal"/>
      <w:pStyle w:val="173"/>
      <w:suff w:val="nothing"/>
      <w:lvlText w:val="%1.%2.%3."/>
      <w:lvlJc w:val="left"/>
      <w:pPr>
        <w:ind w:left="0" w:firstLine="0"/>
      </w:pPr>
      <w:rPr>
        <w:rFonts w:hint="eastAsia"/>
        <w:b/>
        <w:i w:val="0"/>
        <w:sz w:val="24"/>
        <w:szCs w:val="24"/>
      </w:rPr>
    </w:lvl>
    <w:lvl w:ilvl="3" w:tentative="0">
      <w:start w:val="1"/>
      <w:numFmt w:val="decimal"/>
      <w:pStyle w:val="201"/>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D7C62"/>
    <w:multiLevelType w:val="multilevel"/>
    <w:tmpl w:val="1B9D7C62"/>
    <w:lvl w:ilvl="0" w:tentative="0">
      <w:start w:val="1"/>
      <w:numFmt w:val="decimal"/>
      <w:pStyle w:val="254"/>
      <w:lvlText w:val="（%1）"/>
      <w:lvlJc w:val="left"/>
      <w:pPr>
        <w:tabs>
          <w:tab w:val="left" w:pos="1140"/>
        </w:tabs>
        <w:ind w:left="1140" w:hanging="720"/>
      </w:pPr>
      <w:rPr>
        <w:rFonts w:hint="eastAsia"/>
      </w:rPr>
    </w:lvl>
    <w:lvl w:ilvl="1" w:tentative="0">
      <w:start w:val="1"/>
      <w:numFmt w:val="lowerLetter"/>
      <w:pStyle w:val="22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5"/>
      <w:lvlText w:val="%4."/>
      <w:lvlJc w:val="left"/>
      <w:pPr>
        <w:tabs>
          <w:tab w:val="left" w:pos="2100"/>
        </w:tabs>
        <w:ind w:left="2100" w:hanging="420"/>
      </w:pPr>
    </w:lvl>
    <w:lvl w:ilvl="4" w:tentative="0">
      <w:start w:val="1"/>
      <w:numFmt w:val="lowerLetter"/>
      <w:pStyle w:val="186"/>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FE55DAC"/>
    <w:multiLevelType w:val="singleLevel"/>
    <w:tmpl w:val="1FE55DAC"/>
    <w:lvl w:ilvl="0" w:tentative="0">
      <w:start w:val="1"/>
      <w:numFmt w:val="bullet"/>
      <w:pStyle w:val="250"/>
      <w:lvlText w:val=""/>
      <w:lvlJc w:val="left"/>
      <w:pPr>
        <w:tabs>
          <w:tab w:val="left" w:pos="2126"/>
        </w:tabs>
        <w:ind w:left="2126" w:hanging="425"/>
      </w:pPr>
      <w:rPr>
        <w:rFonts w:hint="default" w:ascii="Wingdings" w:hAnsi="Wingdings"/>
        <w:sz w:val="13"/>
        <w:u w:val="none"/>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B247A2"/>
    <w:multiLevelType w:val="multilevel"/>
    <w:tmpl w:val="22B247A2"/>
    <w:lvl w:ilvl="0" w:tentative="0">
      <w:start w:val="1"/>
      <w:numFmt w:val="decimal"/>
      <w:pStyle w:val="274"/>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7757579"/>
    <w:multiLevelType w:val="singleLevel"/>
    <w:tmpl w:val="27757579"/>
    <w:lvl w:ilvl="0" w:tentative="0">
      <w:start w:val="1"/>
      <w:numFmt w:val="bullet"/>
      <w:pStyle w:val="89"/>
      <w:lvlText w:val=""/>
      <w:lvlJc w:val="left"/>
      <w:pPr>
        <w:tabs>
          <w:tab w:val="left" w:pos="425"/>
        </w:tabs>
        <w:ind w:left="425" w:hanging="425"/>
      </w:pPr>
      <w:rPr>
        <w:rFonts w:hint="default" w:ascii="Wingdings" w:hAnsi="Wingdings"/>
      </w:rPr>
    </w:lvl>
  </w:abstractNum>
  <w:abstractNum w:abstractNumId="18">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6"/>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9">
    <w:nsid w:val="30FC5B15"/>
    <w:multiLevelType w:val="multilevel"/>
    <w:tmpl w:val="30FC5B15"/>
    <w:lvl w:ilvl="0" w:tentative="0">
      <w:start w:val="1"/>
      <w:numFmt w:val="decimal"/>
      <w:lvlText w:val="（%1）"/>
      <w:lvlJc w:val="left"/>
      <w:pPr>
        <w:ind w:left="175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20">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2"/>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7"/>
      <w:suff w:val="space"/>
      <w:lvlText w:val="表%1-%6"/>
      <w:lvlJc w:val="center"/>
      <w:pPr>
        <w:ind w:left="1701" w:firstLine="0"/>
      </w:pPr>
    </w:lvl>
    <w:lvl w:ilvl="6" w:tentative="0">
      <w:start w:val="1"/>
      <w:numFmt w:val="decimal"/>
      <w:pStyle w:val="223"/>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21">
    <w:nsid w:val="4514406C"/>
    <w:multiLevelType w:val="multilevel"/>
    <w:tmpl w:val="4514406C"/>
    <w:lvl w:ilvl="0" w:tentative="0">
      <w:start w:val="1"/>
      <w:numFmt w:val="bullet"/>
      <w:pStyle w:val="262"/>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
    <w:nsid w:val="4BDD3030"/>
    <w:multiLevelType w:val="multilevel"/>
    <w:tmpl w:val="4BDD3030"/>
    <w:lvl w:ilvl="0" w:tentative="0">
      <w:start w:val="1"/>
      <w:numFmt w:val="decimal"/>
      <w:pStyle w:val="52"/>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23">
    <w:nsid w:val="4C3D7A74"/>
    <w:multiLevelType w:val="multilevel"/>
    <w:tmpl w:val="4C3D7A74"/>
    <w:lvl w:ilvl="0" w:tentative="0">
      <w:start w:val="1"/>
      <w:numFmt w:val="decimal"/>
      <w:lvlText w:val="%1."/>
      <w:lvlJc w:val="left"/>
      <w:pPr>
        <w:ind w:left="677" w:hanging="241"/>
      </w:pPr>
      <w:rPr>
        <w:rFonts w:hint="default"/>
        <w:sz w:val="22"/>
        <w:szCs w:val="22"/>
        <w:u w:val="single" w:color="000000"/>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24">
    <w:nsid w:val="4C9400ED"/>
    <w:multiLevelType w:val="multilevel"/>
    <w:tmpl w:val="4C9400E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D94DA66"/>
    <w:multiLevelType w:val="multilevel"/>
    <w:tmpl w:val="4D94DA66"/>
    <w:lvl w:ilvl="0" w:tentative="0">
      <w:start w:val="1"/>
      <w:numFmt w:val="decimal"/>
      <w:lvlText w:val="（%1）"/>
      <w:lvlJc w:val="left"/>
      <w:pPr>
        <w:ind w:left="175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1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23" w:hanging="601"/>
      </w:pPr>
      <w:rPr>
        <w:rFonts w:hint="default"/>
        <w:lang w:val="zh-CN" w:eastAsia="zh-CN" w:bidi="zh-CN"/>
      </w:rPr>
    </w:lvl>
    <w:lvl w:ilvl="4" w:tentative="0">
      <w:start w:val="0"/>
      <w:numFmt w:val="bullet"/>
      <w:lvlText w:val="•"/>
      <w:lvlJc w:val="left"/>
      <w:pPr>
        <w:ind w:left="5178" w:hanging="601"/>
      </w:pPr>
      <w:rPr>
        <w:rFonts w:hint="default"/>
        <w:lang w:val="zh-CN" w:eastAsia="zh-CN" w:bidi="zh-CN"/>
      </w:rPr>
    </w:lvl>
    <w:lvl w:ilvl="5" w:tentative="0">
      <w:start w:val="0"/>
      <w:numFmt w:val="bullet"/>
      <w:lvlText w:val="•"/>
      <w:lvlJc w:val="left"/>
      <w:pPr>
        <w:ind w:left="6033" w:hanging="601"/>
      </w:pPr>
      <w:rPr>
        <w:rFonts w:hint="default"/>
        <w:lang w:val="zh-CN" w:eastAsia="zh-CN" w:bidi="zh-CN"/>
      </w:rPr>
    </w:lvl>
    <w:lvl w:ilvl="6" w:tentative="0">
      <w:start w:val="0"/>
      <w:numFmt w:val="bullet"/>
      <w:lvlText w:val="•"/>
      <w:lvlJc w:val="left"/>
      <w:pPr>
        <w:ind w:left="6887" w:hanging="601"/>
      </w:pPr>
      <w:rPr>
        <w:rFonts w:hint="default"/>
        <w:lang w:val="zh-CN" w:eastAsia="zh-CN" w:bidi="zh-CN"/>
      </w:rPr>
    </w:lvl>
    <w:lvl w:ilvl="7" w:tentative="0">
      <w:start w:val="0"/>
      <w:numFmt w:val="bullet"/>
      <w:lvlText w:val="•"/>
      <w:lvlJc w:val="left"/>
      <w:pPr>
        <w:ind w:left="7742" w:hanging="601"/>
      </w:pPr>
      <w:rPr>
        <w:rFonts w:hint="default"/>
        <w:lang w:val="zh-CN" w:eastAsia="zh-CN" w:bidi="zh-CN"/>
      </w:rPr>
    </w:lvl>
    <w:lvl w:ilvl="8" w:tentative="0">
      <w:start w:val="0"/>
      <w:numFmt w:val="bullet"/>
      <w:lvlText w:val="•"/>
      <w:lvlJc w:val="left"/>
      <w:pPr>
        <w:ind w:left="8596" w:hanging="601"/>
      </w:pPr>
      <w:rPr>
        <w:rFonts w:hint="default"/>
        <w:lang w:val="zh-CN" w:eastAsia="zh-CN" w:bidi="zh-CN"/>
      </w:rPr>
    </w:lvl>
  </w:abstractNum>
  <w:abstractNum w:abstractNumId="26">
    <w:nsid w:val="59BD78D3"/>
    <w:multiLevelType w:val="multilevel"/>
    <w:tmpl w:val="59BD78D3"/>
    <w:lvl w:ilvl="0" w:tentative="0">
      <w:start w:val="1"/>
      <w:numFmt w:val="bullet"/>
      <w:pStyle w:val="26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7">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29AB5A"/>
    <w:multiLevelType w:val="multilevel"/>
    <w:tmpl w:val="5E29AB5A"/>
    <w:lvl w:ilvl="0" w:tentative="0">
      <w:start w:val="1"/>
      <w:numFmt w:val="decimal"/>
      <w:lvlText w:val="%1."/>
      <w:lvlJc w:val="left"/>
      <w:pPr>
        <w:ind w:left="677" w:hanging="241"/>
      </w:pPr>
      <w:rPr>
        <w:rFonts w:hint="default"/>
        <w:sz w:val="22"/>
        <w:szCs w:val="22"/>
        <w:u w:val="single" w:color="000000"/>
        <w:lang w:val="zh-CN" w:eastAsia="zh-CN" w:bidi="zh-CN"/>
      </w:rPr>
    </w:lvl>
    <w:lvl w:ilvl="1" w:tentative="0">
      <w:start w:val="0"/>
      <w:numFmt w:val="bullet"/>
      <w:lvlText w:val="•"/>
      <w:lvlJc w:val="left"/>
      <w:pPr>
        <w:ind w:left="1642" w:hanging="241"/>
      </w:pPr>
      <w:rPr>
        <w:rFonts w:hint="default"/>
        <w:lang w:val="zh-CN" w:eastAsia="zh-CN" w:bidi="zh-CN"/>
      </w:rPr>
    </w:lvl>
    <w:lvl w:ilvl="2" w:tentative="0">
      <w:start w:val="0"/>
      <w:numFmt w:val="bullet"/>
      <w:lvlText w:val="•"/>
      <w:lvlJc w:val="left"/>
      <w:pPr>
        <w:ind w:left="2605" w:hanging="241"/>
      </w:pPr>
      <w:rPr>
        <w:rFonts w:hint="default"/>
        <w:lang w:val="zh-CN" w:eastAsia="zh-CN" w:bidi="zh-CN"/>
      </w:rPr>
    </w:lvl>
    <w:lvl w:ilvl="3" w:tentative="0">
      <w:start w:val="0"/>
      <w:numFmt w:val="bullet"/>
      <w:lvlText w:val="•"/>
      <w:lvlJc w:val="left"/>
      <w:pPr>
        <w:ind w:left="3567" w:hanging="241"/>
      </w:pPr>
      <w:rPr>
        <w:rFonts w:hint="default"/>
        <w:lang w:val="zh-CN" w:eastAsia="zh-CN" w:bidi="zh-CN"/>
      </w:rPr>
    </w:lvl>
    <w:lvl w:ilvl="4" w:tentative="0">
      <w:start w:val="0"/>
      <w:numFmt w:val="bullet"/>
      <w:lvlText w:val="•"/>
      <w:lvlJc w:val="left"/>
      <w:pPr>
        <w:ind w:left="4530" w:hanging="241"/>
      </w:pPr>
      <w:rPr>
        <w:rFonts w:hint="default"/>
        <w:lang w:val="zh-CN" w:eastAsia="zh-CN" w:bidi="zh-CN"/>
      </w:rPr>
    </w:lvl>
    <w:lvl w:ilvl="5" w:tentative="0">
      <w:start w:val="0"/>
      <w:numFmt w:val="bullet"/>
      <w:lvlText w:val="•"/>
      <w:lvlJc w:val="left"/>
      <w:pPr>
        <w:ind w:left="5493" w:hanging="241"/>
      </w:pPr>
      <w:rPr>
        <w:rFonts w:hint="default"/>
        <w:lang w:val="zh-CN" w:eastAsia="zh-CN" w:bidi="zh-CN"/>
      </w:rPr>
    </w:lvl>
    <w:lvl w:ilvl="6" w:tentative="0">
      <w:start w:val="0"/>
      <w:numFmt w:val="bullet"/>
      <w:lvlText w:val="•"/>
      <w:lvlJc w:val="left"/>
      <w:pPr>
        <w:ind w:left="6455" w:hanging="241"/>
      </w:pPr>
      <w:rPr>
        <w:rFonts w:hint="default"/>
        <w:lang w:val="zh-CN" w:eastAsia="zh-CN" w:bidi="zh-CN"/>
      </w:rPr>
    </w:lvl>
    <w:lvl w:ilvl="7" w:tentative="0">
      <w:start w:val="0"/>
      <w:numFmt w:val="bullet"/>
      <w:lvlText w:val="•"/>
      <w:lvlJc w:val="left"/>
      <w:pPr>
        <w:ind w:left="7418" w:hanging="241"/>
      </w:pPr>
      <w:rPr>
        <w:rFonts w:hint="default"/>
        <w:lang w:val="zh-CN" w:eastAsia="zh-CN" w:bidi="zh-CN"/>
      </w:rPr>
    </w:lvl>
    <w:lvl w:ilvl="8" w:tentative="0">
      <w:start w:val="0"/>
      <w:numFmt w:val="bullet"/>
      <w:lvlText w:val="•"/>
      <w:lvlJc w:val="left"/>
      <w:pPr>
        <w:ind w:left="8380" w:hanging="241"/>
      </w:pPr>
      <w:rPr>
        <w:rFonts w:hint="default"/>
        <w:lang w:val="zh-CN" w:eastAsia="zh-CN" w:bidi="zh-CN"/>
      </w:rPr>
    </w:lvl>
  </w:abstractNum>
  <w:abstractNum w:abstractNumId="30">
    <w:nsid w:val="64CE6E7C"/>
    <w:multiLevelType w:val="multilevel"/>
    <w:tmpl w:val="64CE6E7C"/>
    <w:lvl w:ilvl="0" w:tentative="0">
      <w:start w:val="1"/>
      <w:numFmt w:val="decimal"/>
      <w:pStyle w:val="273"/>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7403E98"/>
    <w:multiLevelType w:val="singleLevel"/>
    <w:tmpl w:val="67403E98"/>
    <w:lvl w:ilvl="0" w:tentative="0">
      <w:start w:val="1"/>
      <w:numFmt w:val="bullet"/>
      <w:pStyle w:val="82"/>
      <w:lvlText w:val=""/>
      <w:lvlJc w:val="left"/>
      <w:pPr>
        <w:tabs>
          <w:tab w:val="left" w:pos="360"/>
        </w:tabs>
        <w:ind w:left="360" w:hanging="360"/>
      </w:pPr>
      <w:rPr>
        <w:rFonts w:hint="default" w:ascii="Symbol" w:hAnsi="Symbol"/>
      </w:rPr>
    </w:lvl>
  </w:abstractNum>
  <w:abstractNum w:abstractNumId="32">
    <w:nsid w:val="68315CF3"/>
    <w:multiLevelType w:val="multilevel"/>
    <w:tmpl w:val="68315CF3"/>
    <w:lvl w:ilvl="0" w:tentative="0">
      <w:start w:val="1"/>
      <w:numFmt w:val="japaneseCounting"/>
      <w:pStyle w:val="206"/>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8426F4D"/>
    <w:multiLevelType w:val="multilevel"/>
    <w:tmpl w:val="68426F4D"/>
    <w:lvl w:ilvl="0" w:tentative="0">
      <w:start w:val="1"/>
      <w:numFmt w:val="chineseCountingThousand"/>
      <w:lvlText w:val="(%1)"/>
      <w:lvlJc w:val="left"/>
      <w:pPr>
        <w:ind w:left="832" w:hanging="420"/>
      </w:pPr>
      <w:rPr>
        <w:b w:val="0"/>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4">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35">
    <w:nsid w:val="6D9F4248"/>
    <w:multiLevelType w:val="singleLevel"/>
    <w:tmpl w:val="6D9F4248"/>
    <w:lvl w:ilvl="0" w:tentative="0">
      <w:start w:val="1"/>
      <w:numFmt w:val="decimal"/>
      <w:pStyle w:val="157"/>
      <w:lvlText w:val="%1）"/>
      <w:lvlJc w:val="left"/>
      <w:pPr>
        <w:tabs>
          <w:tab w:val="left" w:pos="1050"/>
        </w:tabs>
        <w:ind w:left="1050" w:hanging="450"/>
      </w:pPr>
      <w:rPr>
        <w:rFonts w:hint="eastAsia"/>
      </w:rPr>
    </w:lvl>
  </w:abstractNum>
  <w:abstractNum w:abstractNumId="36">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7">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9">
    <w:nsid w:val="79AA4FA4"/>
    <w:multiLevelType w:val="multilevel"/>
    <w:tmpl w:val="79AA4FA4"/>
    <w:lvl w:ilvl="0" w:tentative="0">
      <w:start w:val="1"/>
      <w:numFmt w:val="decimal"/>
      <w:lvlText w:val="（%1）"/>
      <w:lvlJc w:val="left"/>
      <w:pPr>
        <w:ind w:left="677"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1642" w:hanging="605"/>
      </w:pPr>
      <w:rPr>
        <w:rFonts w:hint="default"/>
        <w:lang w:val="zh-CN" w:eastAsia="zh-CN" w:bidi="zh-CN"/>
      </w:rPr>
    </w:lvl>
    <w:lvl w:ilvl="2" w:tentative="0">
      <w:start w:val="0"/>
      <w:numFmt w:val="bullet"/>
      <w:lvlText w:val="•"/>
      <w:lvlJc w:val="left"/>
      <w:pPr>
        <w:ind w:left="2605" w:hanging="605"/>
      </w:pPr>
      <w:rPr>
        <w:rFonts w:hint="default"/>
        <w:lang w:val="zh-CN" w:eastAsia="zh-CN" w:bidi="zh-CN"/>
      </w:rPr>
    </w:lvl>
    <w:lvl w:ilvl="3" w:tentative="0">
      <w:start w:val="0"/>
      <w:numFmt w:val="bullet"/>
      <w:lvlText w:val="•"/>
      <w:lvlJc w:val="left"/>
      <w:pPr>
        <w:ind w:left="3567" w:hanging="605"/>
      </w:pPr>
      <w:rPr>
        <w:rFonts w:hint="default"/>
        <w:lang w:val="zh-CN" w:eastAsia="zh-CN" w:bidi="zh-CN"/>
      </w:rPr>
    </w:lvl>
    <w:lvl w:ilvl="4" w:tentative="0">
      <w:start w:val="0"/>
      <w:numFmt w:val="bullet"/>
      <w:lvlText w:val="•"/>
      <w:lvlJc w:val="left"/>
      <w:pPr>
        <w:ind w:left="4530" w:hanging="605"/>
      </w:pPr>
      <w:rPr>
        <w:rFonts w:hint="default"/>
        <w:lang w:val="zh-CN" w:eastAsia="zh-CN" w:bidi="zh-CN"/>
      </w:rPr>
    </w:lvl>
    <w:lvl w:ilvl="5" w:tentative="0">
      <w:start w:val="0"/>
      <w:numFmt w:val="bullet"/>
      <w:lvlText w:val="•"/>
      <w:lvlJc w:val="left"/>
      <w:pPr>
        <w:ind w:left="5493" w:hanging="605"/>
      </w:pPr>
      <w:rPr>
        <w:rFonts w:hint="default"/>
        <w:lang w:val="zh-CN" w:eastAsia="zh-CN" w:bidi="zh-CN"/>
      </w:rPr>
    </w:lvl>
    <w:lvl w:ilvl="6" w:tentative="0">
      <w:start w:val="0"/>
      <w:numFmt w:val="bullet"/>
      <w:lvlText w:val="•"/>
      <w:lvlJc w:val="left"/>
      <w:pPr>
        <w:ind w:left="6455" w:hanging="605"/>
      </w:pPr>
      <w:rPr>
        <w:rFonts w:hint="default"/>
        <w:lang w:val="zh-CN" w:eastAsia="zh-CN" w:bidi="zh-CN"/>
      </w:rPr>
    </w:lvl>
    <w:lvl w:ilvl="7" w:tentative="0">
      <w:start w:val="0"/>
      <w:numFmt w:val="bullet"/>
      <w:lvlText w:val="•"/>
      <w:lvlJc w:val="left"/>
      <w:pPr>
        <w:ind w:left="7418" w:hanging="605"/>
      </w:pPr>
      <w:rPr>
        <w:rFonts w:hint="default"/>
        <w:lang w:val="zh-CN" w:eastAsia="zh-CN" w:bidi="zh-CN"/>
      </w:rPr>
    </w:lvl>
    <w:lvl w:ilvl="8" w:tentative="0">
      <w:start w:val="0"/>
      <w:numFmt w:val="bullet"/>
      <w:lvlText w:val="•"/>
      <w:lvlJc w:val="left"/>
      <w:pPr>
        <w:ind w:left="8380" w:hanging="605"/>
      </w:pPr>
      <w:rPr>
        <w:rFonts w:hint="default"/>
        <w:lang w:val="zh-CN" w:eastAsia="zh-CN" w:bidi="zh-CN"/>
      </w:rPr>
    </w:lvl>
  </w:abstractNum>
  <w:abstractNum w:abstractNumId="40">
    <w:nsid w:val="7A0A2572"/>
    <w:multiLevelType w:val="multilevel"/>
    <w:tmpl w:val="7A0A2572"/>
    <w:lvl w:ilvl="0" w:tentative="0">
      <w:start w:val="1"/>
      <w:numFmt w:val="decimal"/>
      <w:pStyle w:val="25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7"/>
  </w:num>
  <w:num w:numId="2">
    <w:abstractNumId w:val="6"/>
  </w:num>
  <w:num w:numId="3">
    <w:abstractNumId w:val="28"/>
  </w:num>
  <w:num w:numId="4">
    <w:abstractNumId w:val="22"/>
  </w:num>
  <w:num w:numId="5">
    <w:abstractNumId w:val="31"/>
  </w:num>
  <w:num w:numId="6">
    <w:abstractNumId w:val="17"/>
  </w:num>
  <w:num w:numId="7">
    <w:abstractNumId w:val="35"/>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8"/>
  </w:num>
  <w:num w:numId="14">
    <w:abstractNumId w:val="15"/>
  </w:num>
  <w:num w:numId="15">
    <w:abstractNumId w:val="14"/>
  </w:num>
  <w:num w:numId="16">
    <w:abstractNumId w:val="40"/>
  </w:num>
  <w:num w:numId="17">
    <w:abstractNumId w:val="21"/>
  </w:num>
  <w:num w:numId="18">
    <w:abstractNumId w:val="26"/>
  </w:num>
  <w:num w:numId="19">
    <w:abstractNumId w:val="30"/>
  </w:num>
  <w:num w:numId="20">
    <w:abstractNumId w:val="16"/>
  </w:num>
  <w:num w:numId="21">
    <w:abstractNumId w:val="38"/>
  </w:num>
  <w:num w:numId="22">
    <w:abstractNumId w:val="10"/>
  </w:num>
  <w:num w:numId="23">
    <w:abstractNumId w:val="7"/>
  </w:num>
  <w:num w:numId="24">
    <w:abstractNumId w:val="24"/>
  </w:num>
  <w:num w:numId="25">
    <w:abstractNumId w:val="36"/>
  </w:num>
  <w:num w:numId="26">
    <w:abstractNumId w:val="1"/>
  </w:num>
  <w:num w:numId="27">
    <w:abstractNumId w:val="34"/>
  </w:num>
  <w:num w:numId="28">
    <w:abstractNumId w:val="27"/>
  </w:num>
  <w:num w:numId="29">
    <w:abstractNumId w:val="33"/>
  </w:num>
  <w:num w:numId="30">
    <w:abstractNumId w:val="8"/>
  </w:num>
  <w:num w:numId="31">
    <w:abstractNumId w:val="11"/>
  </w:num>
  <w:num w:numId="32">
    <w:abstractNumId w:val="25"/>
  </w:num>
  <w:num w:numId="33">
    <w:abstractNumId w:val="4"/>
  </w:num>
  <w:num w:numId="34">
    <w:abstractNumId w:val="19"/>
  </w:num>
  <w:num w:numId="35">
    <w:abstractNumId w:val="39"/>
  </w:num>
  <w:num w:numId="36">
    <w:abstractNumId w:val="3"/>
  </w:num>
  <w:num w:numId="37">
    <w:abstractNumId w:val="0"/>
  </w:num>
  <w:num w:numId="38">
    <w:abstractNumId w:val="2"/>
  </w:num>
  <w:num w:numId="39">
    <w:abstractNumId w:val="29"/>
  </w:num>
  <w:num w:numId="40">
    <w:abstractNumId w:val="2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1ZDc1NmRkNTljNWY0MjNhNjI2ZTM3NmZhMjc2ZjkifQ=="/>
  </w:docVars>
  <w:rsids>
    <w:rsidRoot w:val="00D91FA6"/>
    <w:rsid w:val="00001473"/>
    <w:rsid w:val="00004205"/>
    <w:rsid w:val="000056ED"/>
    <w:rsid w:val="000067C8"/>
    <w:rsid w:val="00007692"/>
    <w:rsid w:val="000101AC"/>
    <w:rsid w:val="00016034"/>
    <w:rsid w:val="00016978"/>
    <w:rsid w:val="00016E02"/>
    <w:rsid w:val="00016EB5"/>
    <w:rsid w:val="00017618"/>
    <w:rsid w:val="00017697"/>
    <w:rsid w:val="00021DF3"/>
    <w:rsid w:val="00026E36"/>
    <w:rsid w:val="000275A4"/>
    <w:rsid w:val="0003353C"/>
    <w:rsid w:val="00033ACA"/>
    <w:rsid w:val="00041BC5"/>
    <w:rsid w:val="0004215A"/>
    <w:rsid w:val="00045438"/>
    <w:rsid w:val="000467AC"/>
    <w:rsid w:val="0004791B"/>
    <w:rsid w:val="000531B0"/>
    <w:rsid w:val="0005403E"/>
    <w:rsid w:val="00056490"/>
    <w:rsid w:val="0005688D"/>
    <w:rsid w:val="00057459"/>
    <w:rsid w:val="00057515"/>
    <w:rsid w:val="00061453"/>
    <w:rsid w:val="00063449"/>
    <w:rsid w:val="000637E5"/>
    <w:rsid w:val="00063A7B"/>
    <w:rsid w:val="00064BD9"/>
    <w:rsid w:val="00066547"/>
    <w:rsid w:val="00071613"/>
    <w:rsid w:val="00073A9F"/>
    <w:rsid w:val="0008294D"/>
    <w:rsid w:val="0008312F"/>
    <w:rsid w:val="00083EFF"/>
    <w:rsid w:val="000856B3"/>
    <w:rsid w:val="00086F9C"/>
    <w:rsid w:val="00087C1E"/>
    <w:rsid w:val="000903F9"/>
    <w:rsid w:val="00093942"/>
    <w:rsid w:val="000948FC"/>
    <w:rsid w:val="000A1C61"/>
    <w:rsid w:val="000A2940"/>
    <w:rsid w:val="000A3913"/>
    <w:rsid w:val="000A4CC9"/>
    <w:rsid w:val="000A694F"/>
    <w:rsid w:val="000B0D6A"/>
    <w:rsid w:val="000B1081"/>
    <w:rsid w:val="000B197C"/>
    <w:rsid w:val="000B6E52"/>
    <w:rsid w:val="000B708F"/>
    <w:rsid w:val="000B7F8D"/>
    <w:rsid w:val="000C7DC7"/>
    <w:rsid w:val="000D0B24"/>
    <w:rsid w:val="000D5F9C"/>
    <w:rsid w:val="000E17EE"/>
    <w:rsid w:val="000F0CB8"/>
    <w:rsid w:val="000F1105"/>
    <w:rsid w:val="000F796F"/>
    <w:rsid w:val="00102AF7"/>
    <w:rsid w:val="00103B27"/>
    <w:rsid w:val="0010562B"/>
    <w:rsid w:val="00111366"/>
    <w:rsid w:val="00112A9C"/>
    <w:rsid w:val="00113072"/>
    <w:rsid w:val="00116E10"/>
    <w:rsid w:val="00123832"/>
    <w:rsid w:val="0012682D"/>
    <w:rsid w:val="00131892"/>
    <w:rsid w:val="001319D8"/>
    <w:rsid w:val="001320FD"/>
    <w:rsid w:val="00136155"/>
    <w:rsid w:val="001370FC"/>
    <w:rsid w:val="0013792B"/>
    <w:rsid w:val="0014161F"/>
    <w:rsid w:val="00142F41"/>
    <w:rsid w:val="00143997"/>
    <w:rsid w:val="001439B8"/>
    <w:rsid w:val="00147041"/>
    <w:rsid w:val="00150B5E"/>
    <w:rsid w:val="0015530D"/>
    <w:rsid w:val="00156124"/>
    <w:rsid w:val="00162B3E"/>
    <w:rsid w:val="00165AC2"/>
    <w:rsid w:val="001705A7"/>
    <w:rsid w:val="00170774"/>
    <w:rsid w:val="001735D9"/>
    <w:rsid w:val="00174CDF"/>
    <w:rsid w:val="00177003"/>
    <w:rsid w:val="0018266A"/>
    <w:rsid w:val="00184535"/>
    <w:rsid w:val="00186462"/>
    <w:rsid w:val="0018658F"/>
    <w:rsid w:val="00190BE2"/>
    <w:rsid w:val="00192F38"/>
    <w:rsid w:val="0019377E"/>
    <w:rsid w:val="00194358"/>
    <w:rsid w:val="001A0B3F"/>
    <w:rsid w:val="001A1273"/>
    <w:rsid w:val="001A4D77"/>
    <w:rsid w:val="001A76DD"/>
    <w:rsid w:val="001B1AEB"/>
    <w:rsid w:val="001B2176"/>
    <w:rsid w:val="001B2651"/>
    <w:rsid w:val="001B3146"/>
    <w:rsid w:val="001B7D53"/>
    <w:rsid w:val="001C099B"/>
    <w:rsid w:val="001C34CE"/>
    <w:rsid w:val="001C59F4"/>
    <w:rsid w:val="001C6B85"/>
    <w:rsid w:val="001C7912"/>
    <w:rsid w:val="001C7D8A"/>
    <w:rsid w:val="001D0B17"/>
    <w:rsid w:val="001D21B3"/>
    <w:rsid w:val="001D3DA5"/>
    <w:rsid w:val="001D5DD2"/>
    <w:rsid w:val="001E03AB"/>
    <w:rsid w:val="001E2627"/>
    <w:rsid w:val="001E2CC0"/>
    <w:rsid w:val="001E67A0"/>
    <w:rsid w:val="001F06F0"/>
    <w:rsid w:val="001F1032"/>
    <w:rsid w:val="001F5B62"/>
    <w:rsid w:val="001F6383"/>
    <w:rsid w:val="001F706D"/>
    <w:rsid w:val="001F7F8F"/>
    <w:rsid w:val="002000D8"/>
    <w:rsid w:val="002057ED"/>
    <w:rsid w:val="00210AA8"/>
    <w:rsid w:val="00211463"/>
    <w:rsid w:val="00213E9B"/>
    <w:rsid w:val="00217AF3"/>
    <w:rsid w:val="00221AA9"/>
    <w:rsid w:val="00222BEC"/>
    <w:rsid w:val="002236D6"/>
    <w:rsid w:val="00223E63"/>
    <w:rsid w:val="00226360"/>
    <w:rsid w:val="002273DC"/>
    <w:rsid w:val="0023150E"/>
    <w:rsid w:val="00232A7A"/>
    <w:rsid w:val="00233BAC"/>
    <w:rsid w:val="0023404C"/>
    <w:rsid w:val="002359D1"/>
    <w:rsid w:val="00237CC0"/>
    <w:rsid w:val="002410B0"/>
    <w:rsid w:val="00241C23"/>
    <w:rsid w:val="0024275A"/>
    <w:rsid w:val="00242E79"/>
    <w:rsid w:val="00254F62"/>
    <w:rsid w:val="00254FA7"/>
    <w:rsid w:val="00255FAC"/>
    <w:rsid w:val="00260F2C"/>
    <w:rsid w:val="002615B0"/>
    <w:rsid w:val="00261D47"/>
    <w:rsid w:val="002623FA"/>
    <w:rsid w:val="00262B36"/>
    <w:rsid w:val="002648CD"/>
    <w:rsid w:val="00265911"/>
    <w:rsid w:val="00265B74"/>
    <w:rsid w:val="002713F9"/>
    <w:rsid w:val="0027209D"/>
    <w:rsid w:val="0027398A"/>
    <w:rsid w:val="00275AC3"/>
    <w:rsid w:val="002806DE"/>
    <w:rsid w:val="00280FA0"/>
    <w:rsid w:val="002821E0"/>
    <w:rsid w:val="002838EE"/>
    <w:rsid w:val="00283C59"/>
    <w:rsid w:val="002864D8"/>
    <w:rsid w:val="00290A81"/>
    <w:rsid w:val="00291977"/>
    <w:rsid w:val="00292F8D"/>
    <w:rsid w:val="002932F6"/>
    <w:rsid w:val="00293DA4"/>
    <w:rsid w:val="00295372"/>
    <w:rsid w:val="00295A1C"/>
    <w:rsid w:val="00296EFC"/>
    <w:rsid w:val="002A1785"/>
    <w:rsid w:val="002A3374"/>
    <w:rsid w:val="002A40EC"/>
    <w:rsid w:val="002A4282"/>
    <w:rsid w:val="002A4449"/>
    <w:rsid w:val="002A44D2"/>
    <w:rsid w:val="002A4B55"/>
    <w:rsid w:val="002A632E"/>
    <w:rsid w:val="002B0D28"/>
    <w:rsid w:val="002B118C"/>
    <w:rsid w:val="002B2696"/>
    <w:rsid w:val="002B3C24"/>
    <w:rsid w:val="002B3E7B"/>
    <w:rsid w:val="002C0317"/>
    <w:rsid w:val="002C0B42"/>
    <w:rsid w:val="002C0DEB"/>
    <w:rsid w:val="002C2C69"/>
    <w:rsid w:val="002C3AB3"/>
    <w:rsid w:val="002C6323"/>
    <w:rsid w:val="002D1B6C"/>
    <w:rsid w:val="002D5A10"/>
    <w:rsid w:val="002D60CA"/>
    <w:rsid w:val="002D6723"/>
    <w:rsid w:val="002E0E18"/>
    <w:rsid w:val="002E4CA6"/>
    <w:rsid w:val="002E5F4A"/>
    <w:rsid w:val="002E791B"/>
    <w:rsid w:val="002F0616"/>
    <w:rsid w:val="002F069E"/>
    <w:rsid w:val="002F0C15"/>
    <w:rsid w:val="002F309C"/>
    <w:rsid w:val="002F41DC"/>
    <w:rsid w:val="00301937"/>
    <w:rsid w:val="00305719"/>
    <w:rsid w:val="0031112A"/>
    <w:rsid w:val="00314867"/>
    <w:rsid w:val="0032043C"/>
    <w:rsid w:val="00321798"/>
    <w:rsid w:val="00321BC3"/>
    <w:rsid w:val="003221FB"/>
    <w:rsid w:val="00322E43"/>
    <w:rsid w:val="00323FBE"/>
    <w:rsid w:val="00326396"/>
    <w:rsid w:val="003265A4"/>
    <w:rsid w:val="00327032"/>
    <w:rsid w:val="00330EC8"/>
    <w:rsid w:val="00331B91"/>
    <w:rsid w:val="003334B9"/>
    <w:rsid w:val="00337E63"/>
    <w:rsid w:val="0034047C"/>
    <w:rsid w:val="003410E2"/>
    <w:rsid w:val="00353791"/>
    <w:rsid w:val="003544C4"/>
    <w:rsid w:val="003572FC"/>
    <w:rsid w:val="00361353"/>
    <w:rsid w:val="00364771"/>
    <w:rsid w:val="00374F88"/>
    <w:rsid w:val="00375C27"/>
    <w:rsid w:val="00377088"/>
    <w:rsid w:val="003845E8"/>
    <w:rsid w:val="003A18C6"/>
    <w:rsid w:val="003A2467"/>
    <w:rsid w:val="003A2CEF"/>
    <w:rsid w:val="003A4592"/>
    <w:rsid w:val="003A7D46"/>
    <w:rsid w:val="003B28DC"/>
    <w:rsid w:val="003B3120"/>
    <w:rsid w:val="003B52D7"/>
    <w:rsid w:val="003B5489"/>
    <w:rsid w:val="003C6A63"/>
    <w:rsid w:val="003D008D"/>
    <w:rsid w:val="003D0404"/>
    <w:rsid w:val="003D2FD0"/>
    <w:rsid w:val="003D52BF"/>
    <w:rsid w:val="003E1DA2"/>
    <w:rsid w:val="003E2D95"/>
    <w:rsid w:val="003E498C"/>
    <w:rsid w:val="003E7742"/>
    <w:rsid w:val="003E77AE"/>
    <w:rsid w:val="003F11A6"/>
    <w:rsid w:val="003F4869"/>
    <w:rsid w:val="003F52FA"/>
    <w:rsid w:val="003F5612"/>
    <w:rsid w:val="003F5AF6"/>
    <w:rsid w:val="004001C6"/>
    <w:rsid w:val="00400EE0"/>
    <w:rsid w:val="00403116"/>
    <w:rsid w:val="004034E7"/>
    <w:rsid w:val="0040356C"/>
    <w:rsid w:val="004039AD"/>
    <w:rsid w:val="00403A45"/>
    <w:rsid w:val="00406A49"/>
    <w:rsid w:val="004135A4"/>
    <w:rsid w:val="00413E98"/>
    <w:rsid w:val="00416872"/>
    <w:rsid w:val="004213D4"/>
    <w:rsid w:val="00421E6C"/>
    <w:rsid w:val="004244B9"/>
    <w:rsid w:val="00425D96"/>
    <w:rsid w:val="0042782A"/>
    <w:rsid w:val="00434CB4"/>
    <w:rsid w:val="004366BE"/>
    <w:rsid w:val="00444210"/>
    <w:rsid w:val="00446149"/>
    <w:rsid w:val="00446209"/>
    <w:rsid w:val="00447B5E"/>
    <w:rsid w:val="00451DCB"/>
    <w:rsid w:val="00453858"/>
    <w:rsid w:val="00453FC2"/>
    <w:rsid w:val="00455BE3"/>
    <w:rsid w:val="004568AB"/>
    <w:rsid w:val="0046249F"/>
    <w:rsid w:val="00464954"/>
    <w:rsid w:val="00464D26"/>
    <w:rsid w:val="00466615"/>
    <w:rsid w:val="0046753C"/>
    <w:rsid w:val="00467E74"/>
    <w:rsid w:val="00470B7C"/>
    <w:rsid w:val="004729A2"/>
    <w:rsid w:val="0048094C"/>
    <w:rsid w:val="0048097F"/>
    <w:rsid w:val="004824CA"/>
    <w:rsid w:val="00482ACC"/>
    <w:rsid w:val="00482BCE"/>
    <w:rsid w:val="0048476A"/>
    <w:rsid w:val="00485727"/>
    <w:rsid w:val="004862E1"/>
    <w:rsid w:val="0049064C"/>
    <w:rsid w:val="00492194"/>
    <w:rsid w:val="004957A6"/>
    <w:rsid w:val="00497117"/>
    <w:rsid w:val="00497173"/>
    <w:rsid w:val="004A298A"/>
    <w:rsid w:val="004A53C4"/>
    <w:rsid w:val="004A6A3D"/>
    <w:rsid w:val="004B2C96"/>
    <w:rsid w:val="004B4312"/>
    <w:rsid w:val="004B5B3C"/>
    <w:rsid w:val="004C1BBE"/>
    <w:rsid w:val="004C1EAE"/>
    <w:rsid w:val="004C5816"/>
    <w:rsid w:val="004C68D8"/>
    <w:rsid w:val="004D44C1"/>
    <w:rsid w:val="004D7259"/>
    <w:rsid w:val="004D7BDB"/>
    <w:rsid w:val="004E508C"/>
    <w:rsid w:val="004E627E"/>
    <w:rsid w:val="004E67C8"/>
    <w:rsid w:val="004E7DF9"/>
    <w:rsid w:val="004F12A5"/>
    <w:rsid w:val="004F4534"/>
    <w:rsid w:val="004F5EF9"/>
    <w:rsid w:val="004F7820"/>
    <w:rsid w:val="005104AB"/>
    <w:rsid w:val="00510DF7"/>
    <w:rsid w:val="00512156"/>
    <w:rsid w:val="005134E3"/>
    <w:rsid w:val="00514EBC"/>
    <w:rsid w:val="00520120"/>
    <w:rsid w:val="00525027"/>
    <w:rsid w:val="005259C7"/>
    <w:rsid w:val="00531A2D"/>
    <w:rsid w:val="00532AB1"/>
    <w:rsid w:val="00535150"/>
    <w:rsid w:val="00535698"/>
    <w:rsid w:val="005366E7"/>
    <w:rsid w:val="00540DB5"/>
    <w:rsid w:val="005459EF"/>
    <w:rsid w:val="00551036"/>
    <w:rsid w:val="0055560C"/>
    <w:rsid w:val="0056165A"/>
    <w:rsid w:val="0056686D"/>
    <w:rsid w:val="00571AAA"/>
    <w:rsid w:val="00571CD9"/>
    <w:rsid w:val="00572461"/>
    <w:rsid w:val="0057425B"/>
    <w:rsid w:val="00576EA0"/>
    <w:rsid w:val="00576F14"/>
    <w:rsid w:val="005778A9"/>
    <w:rsid w:val="005829C3"/>
    <w:rsid w:val="005833B9"/>
    <w:rsid w:val="005858DA"/>
    <w:rsid w:val="00594A3C"/>
    <w:rsid w:val="005961F5"/>
    <w:rsid w:val="005A1D73"/>
    <w:rsid w:val="005A30A5"/>
    <w:rsid w:val="005A3F7F"/>
    <w:rsid w:val="005A4029"/>
    <w:rsid w:val="005A53A5"/>
    <w:rsid w:val="005A6473"/>
    <w:rsid w:val="005B34A6"/>
    <w:rsid w:val="005B5BD0"/>
    <w:rsid w:val="005B7186"/>
    <w:rsid w:val="005C0AF4"/>
    <w:rsid w:val="005C2BA8"/>
    <w:rsid w:val="005C3115"/>
    <w:rsid w:val="005D4BCA"/>
    <w:rsid w:val="005D4E56"/>
    <w:rsid w:val="005D5F6E"/>
    <w:rsid w:val="005D7C12"/>
    <w:rsid w:val="005E1CF0"/>
    <w:rsid w:val="005E4393"/>
    <w:rsid w:val="005E52A3"/>
    <w:rsid w:val="005E55CF"/>
    <w:rsid w:val="005E6DB4"/>
    <w:rsid w:val="005E7BFC"/>
    <w:rsid w:val="005F2E67"/>
    <w:rsid w:val="005F3D49"/>
    <w:rsid w:val="005F3F3F"/>
    <w:rsid w:val="005F498C"/>
    <w:rsid w:val="00600DF5"/>
    <w:rsid w:val="00601F36"/>
    <w:rsid w:val="00603EB9"/>
    <w:rsid w:val="006046EF"/>
    <w:rsid w:val="00605151"/>
    <w:rsid w:val="00611BE9"/>
    <w:rsid w:val="00613194"/>
    <w:rsid w:val="00617E49"/>
    <w:rsid w:val="006214A5"/>
    <w:rsid w:val="00622A0D"/>
    <w:rsid w:val="0063066C"/>
    <w:rsid w:val="0063591B"/>
    <w:rsid w:val="006371BC"/>
    <w:rsid w:val="00637A46"/>
    <w:rsid w:val="00640103"/>
    <w:rsid w:val="00640686"/>
    <w:rsid w:val="00642872"/>
    <w:rsid w:val="00655B36"/>
    <w:rsid w:val="00655C55"/>
    <w:rsid w:val="006569E9"/>
    <w:rsid w:val="00660D5C"/>
    <w:rsid w:val="00663234"/>
    <w:rsid w:val="006659DA"/>
    <w:rsid w:val="006663D9"/>
    <w:rsid w:val="006721D8"/>
    <w:rsid w:val="00672B5D"/>
    <w:rsid w:val="00673D5E"/>
    <w:rsid w:val="0067593F"/>
    <w:rsid w:val="006772AE"/>
    <w:rsid w:val="00680A18"/>
    <w:rsid w:val="00681571"/>
    <w:rsid w:val="00682CC5"/>
    <w:rsid w:val="0068480E"/>
    <w:rsid w:val="00691FBB"/>
    <w:rsid w:val="00694FFA"/>
    <w:rsid w:val="00695332"/>
    <w:rsid w:val="006967E9"/>
    <w:rsid w:val="00696D11"/>
    <w:rsid w:val="006A0087"/>
    <w:rsid w:val="006A3C53"/>
    <w:rsid w:val="006A6A67"/>
    <w:rsid w:val="006A750A"/>
    <w:rsid w:val="006C13A3"/>
    <w:rsid w:val="006C1770"/>
    <w:rsid w:val="006C286D"/>
    <w:rsid w:val="006C32B7"/>
    <w:rsid w:val="006C38D5"/>
    <w:rsid w:val="006C4A16"/>
    <w:rsid w:val="006C5336"/>
    <w:rsid w:val="006C5BE8"/>
    <w:rsid w:val="006D0D05"/>
    <w:rsid w:val="006D1331"/>
    <w:rsid w:val="006D2AF4"/>
    <w:rsid w:val="006D795E"/>
    <w:rsid w:val="006D7C9D"/>
    <w:rsid w:val="006D7F95"/>
    <w:rsid w:val="006E4456"/>
    <w:rsid w:val="006E494F"/>
    <w:rsid w:val="006E5980"/>
    <w:rsid w:val="006E59E8"/>
    <w:rsid w:val="006E62D6"/>
    <w:rsid w:val="006F277D"/>
    <w:rsid w:val="006F3CB1"/>
    <w:rsid w:val="006F43B9"/>
    <w:rsid w:val="006F74B9"/>
    <w:rsid w:val="007063F8"/>
    <w:rsid w:val="00711A2E"/>
    <w:rsid w:val="0071254C"/>
    <w:rsid w:val="00714D43"/>
    <w:rsid w:val="00717199"/>
    <w:rsid w:val="00721463"/>
    <w:rsid w:val="00722B0B"/>
    <w:rsid w:val="00722EDB"/>
    <w:rsid w:val="00726BBF"/>
    <w:rsid w:val="00726C9F"/>
    <w:rsid w:val="00727CA8"/>
    <w:rsid w:val="0073012A"/>
    <w:rsid w:val="0073284A"/>
    <w:rsid w:val="0073516B"/>
    <w:rsid w:val="007415AC"/>
    <w:rsid w:val="007422B5"/>
    <w:rsid w:val="00743852"/>
    <w:rsid w:val="00743D13"/>
    <w:rsid w:val="00744BFB"/>
    <w:rsid w:val="00744DF3"/>
    <w:rsid w:val="00745B0F"/>
    <w:rsid w:val="00746B6A"/>
    <w:rsid w:val="007553A8"/>
    <w:rsid w:val="00756DD2"/>
    <w:rsid w:val="00757056"/>
    <w:rsid w:val="00762CE3"/>
    <w:rsid w:val="007646DF"/>
    <w:rsid w:val="00767591"/>
    <w:rsid w:val="00774A74"/>
    <w:rsid w:val="0077516A"/>
    <w:rsid w:val="007756D3"/>
    <w:rsid w:val="00775B28"/>
    <w:rsid w:val="0078054C"/>
    <w:rsid w:val="007829DF"/>
    <w:rsid w:val="00782E4A"/>
    <w:rsid w:val="00783F17"/>
    <w:rsid w:val="007856F0"/>
    <w:rsid w:val="00787868"/>
    <w:rsid w:val="0079226D"/>
    <w:rsid w:val="007A0C97"/>
    <w:rsid w:val="007A3585"/>
    <w:rsid w:val="007A61D5"/>
    <w:rsid w:val="007A61FB"/>
    <w:rsid w:val="007A7991"/>
    <w:rsid w:val="007A7F20"/>
    <w:rsid w:val="007B07DF"/>
    <w:rsid w:val="007B2765"/>
    <w:rsid w:val="007B2B5A"/>
    <w:rsid w:val="007B785A"/>
    <w:rsid w:val="007C2A95"/>
    <w:rsid w:val="007C4347"/>
    <w:rsid w:val="007C7D8F"/>
    <w:rsid w:val="007D0256"/>
    <w:rsid w:val="007D282D"/>
    <w:rsid w:val="007E0699"/>
    <w:rsid w:val="007E0C22"/>
    <w:rsid w:val="007E228A"/>
    <w:rsid w:val="007E37D0"/>
    <w:rsid w:val="007E56AC"/>
    <w:rsid w:val="007E752B"/>
    <w:rsid w:val="007F4294"/>
    <w:rsid w:val="007F6A72"/>
    <w:rsid w:val="0080018D"/>
    <w:rsid w:val="00801ACB"/>
    <w:rsid w:val="0080288F"/>
    <w:rsid w:val="0080568E"/>
    <w:rsid w:val="008056E3"/>
    <w:rsid w:val="008065D2"/>
    <w:rsid w:val="00812E5E"/>
    <w:rsid w:val="00813A2B"/>
    <w:rsid w:val="00823AF0"/>
    <w:rsid w:val="00823E05"/>
    <w:rsid w:val="008272C6"/>
    <w:rsid w:val="00830708"/>
    <w:rsid w:val="00830899"/>
    <w:rsid w:val="0083459D"/>
    <w:rsid w:val="00836E6F"/>
    <w:rsid w:val="008430D9"/>
    <w:rsid w:val="00843D87"/>
    <w:rsid w:val="0084553D"/>
    <w:rsid w:val="00847C46"/>
    <w:rsid w:val="008525D7"/>
    <w:rsid w:val="008608F5"/>
    <w:rsid w:val="008615E9"/>
    <w:rsid w:val="00863900"/>
    <w:rsid w:val="00865300"/>
    <w:rsid w:val="0087036C"/>
    <w:rsid w:val="0087127B"/>
    <w:rsid w:val="00874BB5"/>
    <w:rsid w:val="00877735"/>
    <w:rsid w:val="00884CDD"/>
    <w:rsid w:val="00884F08"/>
    <w:rsid w:val="008873AF"/>
    <w:rsid w:val="0089090F"/>
    <w:rsid w:val="00893C1E"/>
    <w:rsid w:val="00893C67"/>
    <w:rsid w:val="008942CA"/>
    <w:rsid w:val="0089744C"/>
    <w:rsid w:val="008A00C0"/>
    <w:rsid w:val="008A08D5"/>
    <w:rsid w:val="008A1352"/>
    <w:rsid w:val="008A1B00"/>
    <w:rsid w:val="008A385C"/>
    <w:rsid w:val="008A4DC3"/>
    <w:rsid w:val="008A68CE"/>
    <w:rsid w:val="008B09B5"/>
    <w:rsid w:val="008B1E89"/>
    <w:rsid w:val="008B23B2"/>
    <w:rsid w:val="008B4D8B"/>
    <w:rsid w:val="008C350B"/>
    <w:rsid w:val="008C3AA2"/>
    <w:rsid w:val="008C45A9"/>
    <w:rsid w:val="008C54A3"/>
    <w:rsid w:val="008C55F9"/>
    <w:rsid w:val="008D0A0E"/>
    <w:rsid w:val="008D1848"/>
    <w:rsid w:val="008D3636"/>
    <w:rsid w:val="008D5D28"/>
    <w:rsid w:val="008D68DC"/>
    <w:rsid w:val="008E3209"/>
    <w:rsid w:val="008E6387"/>
    <w:rsid w:val="008F0C75"/>
    <w:rsid w:val="008F34E2"/>
    <w:rsid w:val="008F3916"/>
    <w:rsid w:val="0090076F"/>
    <w:rsid w:val="00906229"/>
    <w:rsid w:val="00910D91"/>
    <w:rsid w:val="00911059"/>
    <w:rsid w:val="009145C2"/>
    <w:rsid w:val="00914F0F"/>
    <w:rsid w:val="0091607D"/>
    <w:rsid w:val="00920271"/>
    <w:rsid w:val="009217C7"/>
    <w:rsid w:val="00922433"/>
    <w:rsid w:val="00924DAD"/>
    <w:rsid w:val="00925519"/>
    <w:rsid w:val="00927401"/>
    <w:rsid w:val="00930782"/>
    <w:rsid w:val="009340AC"/>
    <w:rsid w:val="009348C3"/>
    <w:rsid w:val="00937842"/>
    <w:rsid w:val="009427A7"/>
    <w:rsid w:val="00942CD1"/>
    <w:rsid w:val="00942F8F"/>
    <w:rsid w:val="00944A8B"/>
    <w:rsid w:val="00945F1E"/>
    <w:rsid w:val="00952844"/>
    <w:rsid w:val="00953EC6"/>
    <w:rsid w:val="0095568F"/>
    <w:rsid w:val="00956290"/>
    <w:rsid w:val="00956B7F"/>
    <w:rsid w:val="00957421"/>
    <w:rsid w:val="009578B5"/>
    <w:rsid w:val="00961ACF"/>
    <w:rsid w:val="0096426F"/>
    <w:rsid w:val="00965F7D"/>
    <w:rsid w:val="00967C04"/>
    <w:rsid w:val="00970B2D"/>
    <w:rsid w:val="00975069"/>
    <w:rsid w:val="00977485"/>
    <w:rsid w:val="00977C30"/>
    <w:rsid w:val="00980A4D"/>
    <w:rsid w:val="00983231"/>
    <w:rsid w:val="0098586E"/>
    <w:rsid w:val="00991544"/>
    <w:rsid w:val="00992D9A"/>
    <w:rsid w:val="00994721"/>
    <w:rsid w:val="009A1947"/>
    <w:rsid w:val="009A46FD"/>
    <w:rsid w:val="009B3719"/>
    <w:rsid w:val="009B45DE"/>
    <w:rsid w:val="009B4C69"/>
    <w:rsid w:val="009C16F6"/>
    <w:rsid w:val="009C2BEF"/>
    <w:rsid w:val="009C3574"/>
    <w:rsid w:val="009C3847"/>
    <w:rsid w:val="009C5103"/>
    <w:rsid w:val="009C72B2"/>
    <w:rsid w:val="009D1266"/>
    <w:rsid w:val="009D1C90"/>
    <w:rsid w:val="009D247D"/>
    <w:rsid w:val="009D315A"/>
    <w:rsid w:val="009D39C5"/>
    <w:rsid w:val="009D5B6A"/>
    <w:rsid w:val="009D77D6"/>
    <w:rsid w:val="009E476E"/>
    <w:rsid w:val="009E4A44"/>
    <w:rsid w:val="009E4E7C"/>
    <w:rsid w:val="009E4E80"/>
    <w:rsid w:val="009E5B44"/>
    <w:rsid w:val="009F027D"/>
    <w:rsid w:val="009F0A6D"/>
    <w:rsid w:val="009F52F8"/>
    <w:rsid w:val="009F65E4"/>
    <w:rsid w:val="009F6BCE"/>
    <w:rsid w:val="009F6F03"/>
    <w:rsid w:val="009F79AA"/>
    <w:rsid w:val="00A00E90"/>
    <w:rsid w:val="00A032A7"/>
    <w:rsid w:val="00A05ED7"/>
    <w:rsid w:val="00A108DE"/>
    <w:rsid w:val="00A124B5"/>
    <w:rsid w:val="00A140F7"/>
    <w:rsid w:val="00A14AFE"/>
    <w:rsid w:val="00A14DB7"/>
    <w:rsid w:val="00A153DA"/>
    <w:rsid w:val="00A16B84"/>
    <w:rsid w:val="00A17480"/>
    <w:rsid w:val="00A20782"/>
    <w:rsid w:val="00A23801"/>
    <w:rsid w:val="00A23B98"/>
    <w:rsid w:val="00A2532D"/>
    <w:rsid w:val="00A270D5"/>
    <w:rsid w:val="00A302AD"/>
    <w:rsid w:val="00A352B7"/>
    <w:rsid w:val="00A353BB"/>
    <w:rsid w:val="00A37E40"/>
    <w:rsid w:val="00A409D6"/>
    <w:rsid w:val="00A450E0"/>
    <w:rsid w:val="00A453E7"/>
    <w:rsid w:val="00A50616"/>
    <w:rsid w:val="00A559F0"/>
    <w:rsid w:val="00A60F4C"/>
    <w:rsid w:val="00A657F8"/>
    <w:rsid w:val="00A71E69"/>
    <w:rsid w:val="00A73A5A"/>
    <w:rsid w:val="00A74A96"/>
    <w:rsid w:val="00A83780"/>
    <w:rsid w:val="00A85D38"/>
    <w:rsid w:val="00A877DF"/>
    <w:rsid w:val="00A906AE"/>
    <w:rsid w:val="00A90799"/>
    <w:rsid w:val="00A96942"/>
    <w:rsid w:val="00A978DB"/>
    <w:rsid w:val="00AA06F5"/>
    <w:rsid w:val="00AA1299"/>
    <w:rsid w:val="00AA18AC"/>
    <w:rsid w:val="00AA5161"/>
    <w:rsid w:val="00AA63C2"/>
    <w:rsid w:val="00AA677E"/>
    <w:rsid w:val="00AB16EA"/>
    <w:rsid w:val="00AB1D79"/>
    <w:rsid w:val="00AB21E1"/>
    <w:rsid w:val="00AB411F"/>
    <w:rsid w:val="00AB7953"/>
    <w:rsid w:val="00AC0E70"/>
    <w:rsid w:val="00AD29AA"/>
    <w:rsid w:val="00AD4CF8"/>
    <w:rsid w:val="00AD636B"/>
    <w:rsid w:val="00AE0224"/>
    <w:rsid w:val="00AE4A27"/>
    <w:rsid w:val="00AE7D38"/>
    <w:rsid w:val="00AF0C63"/>
    <w:rsid w:val="00AF2824"/>
    <w:rsid w:val="00B0050F"/>
    <w:rsid w:val="00B00C49"/>
    <w:rsid w:val="00B042C8"/>
    <w:rsid w:val="00B043C1"/>
    <w:rsid w:val="00B073F8"/>
    <w:rsid w:val="00B10849"/>
    <w:rsid w:val="00B17C46"/>
    <w:rsid w:val="00B21087"/>
    <w:rsid w:val="00B22753"/>
    <w:rsid w:val="00B25547"/>
    <w:rsid w:val="00B25A50"/>
    <w:rsid w:val="00B341A3"/>
    <w:rsid w:val="00B34C6E"/>
    <w:rsid w:val="00B36085"/>
    <w:rsid w:val="00B400EC"/>
    <w:rsid w:val="00B44E1B"/>
    <w:rsid w:val="00B53FE1"/>
    <w:rsid w:val="00B61A27"/>
    <w:rsid w:val="00B63F0D"/>
    <w:rsid w:val="00B64BB7"/>
    <w:rsid w:val="00B65D6D"/>
    <w:rsid w:val="00B7689B"/>
    <w:rsid w:val="00B82391"/>
    <w:rsid w:val="00B82F76"/>
    <w:rsid w:val="00B84EFA"/>
    <w:rsid w:val="00B86D02"/>
    <w:rsid w:val="00B93820"/>
    <w:rsid w:val="00B93A20"/>
    <w:rsid w:val="00B96366"/>
    <w:rsid w:val="00B96D40"/>
    <w:rsid w:val="00B97184"/>
    <w:rsid w:val="00BA11DF"/>
    <w:rsid w:val="00BA1A18"/>
    <w:rsid w:val="00BA1D7B"/>
    <w:rsid w:val="00BA3234"/>
    <w:rsid w:val="00BA3BD0"/>
    <w:rsid w:val="00BA3E95"/>
    <w:rsid w:val="00BA5496"/>
    <w:rsid w:val="00BB6440"/>
    <w:rsid w:val="00BB6F21"/>
    <w:rsid w:val="00BC1619"/>
    <w:rsid w:val="00BC5A5D"/>
    <w:rsid w:val="00BD1662"/>
    <w:rsid w:val="00BD18DB"/>
    <w:rsid w:val="00BD29CB"/>
    <w:rsid w:val="00BE0B02"/>
    <w:rsid w:val="00BE3603"/>
    <w:rsid w:val="00BE507D"/>
    <w:rsid w:val="00BE50FC"/>
    <w:rsid w:val="00BE61BC"/>
    <w:rsid w:val="00BF0567"/>
    <w:rsid w:val="00BF05D4"/>
    <w:rsid w:val="00BF0AE7"/>
    <w:rsid w:val="00BF1D0B"/>
    <w:rsid w:val="00BF226B"/>
    <w:rsid w:val="00BF5613"/>
    <w:rsid w:val="00C000BD"/>
    <w:rsid w:val="00C00D1A"/>
    <w:rsid w:val="00C01094"/>
    <w:rsid w:val="00C044D8"/>
    <w:rsid w:val="00C057EF"/>
    <w:rsid w:val="00C1098E"/>
    <w:rsid w:val="00C16347"/>
    <w:rsid w:val="00C164CA"/>
    <w:rsid w:val="00C20745"/>
    <w:rsid w:val="00C21C01"/>
    <w:rsid w:val="00C227EF"/>
    <w:rsid w:val="00C23C2B"/>
    <w:rsid w:val="00C241C7"/>
    <w:rsid w:val="00C32992"/>
    <w:rsid w:val="00C34094"/>
    <w:rsid w:val="00C3666A"/>
    <w:rsid w:val="00C37A09"/>
    <w:rsid w:val="00C404D1"/>
    <w:rsid w:val="00C442C0"/>
    <w:rsid w:val="00C472C3"/>
    <w:rsid w:val="00C47BAD"/>
    <w:rsid w:val="00C508F6"/>
    <w:rsid w:val="00C55766"/>
    <w:rsid w:val="00C5757D"/>
    <w:rsid w:val="00C57B2B"/>
    <w:rsid w:val="00C60510"/>
    <w:rsid w:val="00C61199"/>
    <w:rsid w:val="00C63E97"/>
    <w:rsid w:val="00C64335"/>
    <w:rsid w:val="00C70959"/>
    <w:rsid w:val="00C711AD"/>
    <w:rsid w:val="00C750FE"/>
    <w:rsid w:val="00C801B2"/>
    <w:rsid w:val="00C81E52"/>
    <w:rsid w:val="00C82D89"/>
    <w:rsid w:val="00C83677"/>
    <w:rsid w:val="00C841C1"/>
    <w:rsid w:val="00C85502"/>
    <w:rsid w:val="00C97D25"/>
    <w:rsid w:val="00CA0F7A"/>
    <w:rsid w:val="00CA11FA"/>
    <w:rsid w:val="00CA2488"/>
    <w:rsid w:val="00CA4476"/>
    <w:rsid w:val="00CA4AE8"/>
    <w:rsid w:val="00CA549A"/>
    <w:rsid w:val="00CB04CA"/>
    <w:rsid w:val="00CB21BF"/>
    <w:rsid w:val="00CB4526"/>
    <w:rsid w:val="00CC0328"/>
    <w:rsid w:val="00CC1292"/>
    <w:rsid w:val="00CC3AA6"/>
    <w:rsid w:val="00CC44E7"/>
    <w:rsid w:val="00CC468A"/>
    <w:rsid w:val="00CD238A"/>
    <w:rsid w:val="00CD5027"/>
    <w:rsid w:val="00CD7FAC"/>
    <w:rsid w:val="00CE0E3F"/>
    <w:rsid w:val="00CF0E78"/>
    <w:rsid w:val="00CF1045"/>
    <w:rsid w:val="00CF5B86"/>
    <w:rsid w:val="00D00767"/>
    <w:rsid w:val="00D061D1"/>
    <w:rsid w:val="00D066AF"/>
    <w:rsid w:val="00D072CA"/>
    <w:rsid w:val="00D07AD4"/>
    <w:rsid w:val="00D07DC7"/>
    <w:rsid w:val="00D136F5"/>
    <w:rsid w:val="00D16032"/>
    <w:rsid w:val="00D23AC7"/>
    <w:rsid w:val="00D25A8B"/>
    <w:rsid w:val="00D305D2"/>
    <w:rsid w:val="00D3126B"/>
    <w:rsid w:val="00D32EF7"/>
    <w:rsid w:val="00D37AF7"/>
    <w:rsid w:val="00D407A9"/>
    <w:rsid w:val="00D42225"/>
    <w:rsid w:val="00D44331"/>
    <w:rsid w:val="00D46A53"/>
    <w:rsid w:val="00D476E6"/>
    <w:rsid w:val="00D47D16"/>
    <w:rsid w:val="00D5358E"/>
    <w:rsid w:val="00D53D92"/>
    <w:rsid w:val="00D55D67"/>
    <w:rsid w:val="00D569D5"/>
    <w:rsid w:val="00D5745F"/>
    <w:rsid w:val="00D60507"/>
    <w:rsid w:val="00D60FB9"/>
    <w:rsid w:val="00D6308E"/>
    <w:rsid w:val="00D637A9"/>
    <w:rsid w:val="00D66264"/>
    <w:rsid w:val="00D71D65"/>
    <w:rsid w:val="00D74111"/>
    <w:rsid w:val="00D74EF1"/>
    <w:rsid w:val="00D7640D"/>
    <w:rsid w:val="00D85EA1"/>
    <w:rsid w:val="00D91FA6"/>
    <w:rsid w:val="00D93B79"/>
    <w:rsid w:val="00D954A5"/>
    <w:rsid w:val="00D96587"/>
    <w:rsid w:val="00DA20EB"/>
    <w:rsid w:val="00DB1516"/>
    <w:rsid w:val="00DB2AB4"/>
    <w:rsid w:val="00DB2ABF"/>
    <w:rsid w:val="00DB6CCA"/>
    <w:rsid w:val="00DB6D79"/>
    <w:rsid w:val="00DB7014"/>
    <w:rsid w:val="00DC0BE0"/>
    <w:rsid w:val="00DC1487"/>
    <w:rsid w:val="00DC61D7"/>
    <w:rsid w:val="00DC7790"/>
    <w:rsid w:val="00DD11FD"/>
    <w:rsid w:val="00DD2FE6"/>
    <w:rsid w:val="00DD57A2"/>
    <w:rsid w:val="00DD68A8"/>
    <w:rsid w:val="00DE59FE"/>
    <w:rsid w:val="00DF3F28"/>
    <w:rsid w:val="00DF4367"/>
    <w:rsid w:val="00E02084"/>
    <w:rsid w:val="00E02203"/>
    <w:rsid w:val="00E02F63"/>
    <w:rsid w:val="00E034EC"/>
    <w:rsid w:val="00E03683"/>
    <w:rsid w:val="00E054D8"/>
    <w:rsid w:val="00E061AB"/>
    <w:rsid w:val="00E103BF"/>
    <w:rsid w:val="00E1339A"/>
    <w:rsid w:val="00E142D2"/>
    <w:rsid w:val="00E15B3B"/>
    <w:rsid w:val="00E220A4"/>
    <w:rsid w:val="00E22709"/>
    <w:rsid w:val="00E22948"/>
    <w:rsid w:val="00E249D3"/>
    <w:rsid w:val="00E26220"/>
    <w:rsid w:val="00E30B4C"/>
    <w:rsid w:val="00E368DA"/>
    <w:rsid w:val="00E372C7"/>
    <w:rsid w:val="00E37E31"/>
    <w:rsid w:val="00E37E8C"/>
    <w:rsid w:val="00E40D39"/>
    <w:rsid w:val="00E42041"/>
    <w:rsid w:val="00E425F0"/>
    <w:rsid w:val="00E52937"/>
    <w:rsid w:val="00E52A7C"/>
    <w:rsid w:val="00E53FDB"/>
    <w:rsid w:val="00E5712A"/>
    <w:rsid w:val="00E60821"/>
    <w:rsid w:val="00E6371E"/>
    <w:rsid w:val="00E66DD2"/>
    <w:rsid w:val="00E71CB6"/>
    <w:rsid w:val="00E72B91"/>
    <w:rsid w:val="00E771B9"/>
    <w:rsid w:val="00E77769"/>
    <w:rsid w:val="00E86EA8"/>
    <w:rsid w:val="00E87133"/>
    <w:rsid w:val="00E87AD3"/>
    <w:rsid w:val="00E90C32"/>
    <w:rsid w:val="00E91AC3"/>
    <w:rsid w:val="00E92B98"/>
    <w:rsid w:val="00E934A3"/>
    <w:rsid w:val="00E9490A"/>
    <w:rsid w:val="00E958FA"/>
    <w:rsid w:val="00EA229C"/>
    <w:rsid w:val="00EA5842"/>
    <w:rsid w:val="00EA6662"/>
    <w:rsid w:val="00EA70FF"/>
    <w:rsid w:val="00EB186B"/>
    <w:rsid w:val="00EC1676"/>
    <w:rsid w:val="00EC354A"/>
    <w:rsid w:val="00EC37AF"/>
    <w:rsid w:val="00ED0994"/>
    <w:rsid w:val="00ED121A"/>
    <w:rsid w:val="00ED1443"/>
    <w:rsid w:val="00ED4942"/>
    <w:rsid w:val="00EE10DF"/>
    <w:rsid w:val="00EE76A6"/>
    <w:rsid w:val="00EF1CA2"/>
    <w:rsid w:val="00EF2238"/>
    <w:rsid w:val="00EF5822"/>
    <w:rsid w:val="00F0051E"/>
    <w:rsid w:val="00F04361"/>
    <w:rsid w:val="00F04B4F"/>
    <w:rsid w:val="00F04E68"/>
    <w:rsid w:val="00F11355"/>
    <w:rsid w:val="00F11415"/>
    <w:rsid w:val="00F1245C"/>
    <w:rsid w:val="00F140B5"/>
    <w:rsid w:val="00F169E8"/>
    <w:rsid w:val="00F173E8"/>
    <w:rsid w:val="00F20D46"/>
    <w:rsid w:val="00F23715"/>
    <w:rsid w:val="00F25517"/>
    <w:rsid w:val="00F26BAC"/>
    <w:rsid w:val="00F319C0"/>
    <w:rsid w:val="00F31D5B"/>
    <w:rsid w:val="00F3321B"/>
    <w:rsid w:val="00F34F83"/>
    <w:rsid w:val="00F35D25"/>
    <w:rsid w:val="00F36176"/>
    <w:rsid w:val="00F3682A"/>
    <w:rsid w:val="00F43CE4"/>
    <w:rsid w:val="00F43D60"/>
    <w:rsid w:val="00F461DE"/>
    <w:rsid w:val="00F46E28"/>
    <w:rsid w:val="00F51E31"/>
    <w:rsid w:val="00F535F0"/>
    <w:rsid w:val="00F60BDA"/>
    <w:rsid w:val="00F66DC4"/>
    <w:rsid w:val="00F752A5"/>
    <w:rsid w:val="00F80974"/>
    <w:rsid w:val="00F8294F"/>
    <w:rsid w:val="00F87D8D"/>
    <w:rsid w:val="00F90668"/>
    <w:rsid w:val="00F906DD"/>
    <w:rsid w:val="00F94180"/>
    <w:rsid w:val="00FA27AE"/>
    <w:rsid w:val="00FA498F"/>
    <w:rsid w:val="00FA6421"/>
    <w:rsid w:val="00FA72F5"/>
    <w:rsid w:val="00FB3122"/>
    <w:rsid w:val="00FB3D72"/>
    <w:rsid w:val="00FC0476"/>
    <w:rsid w:val="00FC296F"/>
    <w:rsid w:val="00FC3173"/>
    <w:rsid w:val="00FC5A00"/>
    <w:rsid w:val="00FC7ACA"/>
    <w:rsid w:val="00FD0A35"/>
    <w:rsid w:val="00FD14A2"/>
    <w:rsid w:val="00FD5C3F"/>
    <w:rsid w:val="00FE2370"/>
    <w:rsid w:val="00FE41F0"/>
    <w:rsid w:val="00FE46B4"/>
    <w:rsid w:val="00FE6845"/>
    <w:rsid w:val="00FE71BB"/>
    <w:rsid w:val="00FE764A"/>
    <w:rsid w:val="00FF066A"/>
    <w:rsid w:val="00FF6B3C"/>
    <w:rsid w:val="014F0231"/>
    <w:rsid w:val="01536B74"/>
    <w:rsid w:val="01964BFF"/>
    <w:rsid w:val="019B49E1"/>
    <w:rsid w:val="01B71D19"/>
    <w:rsid w:val="01F74D8D"/>
    <w:rsid w:val="029305F4"/>
    <w:rsid w:val="02A623FA"/>
    <w:rsid w:val="02DD01B1"/>
    <w:rsid w:val="02FD713C"/>
    <w:rsid w:val="033B4CE2"/>
    <w:rsid w:val="043612FC"/>
    <w:rsid w:val="045E01F1"/>
    <w:rsid w:val="04711E8B"/>
    <w:rsid w:val="04820ADC"/>
    <w:rsid w:val="04B36C29"/>
    <w:rsid w:val="04C1288B"/>
    <w:rsid w:val="05260FE5"/>
    <w:rsid w:val="054C5472"/>
    <w:rsid w:val="05516A3D"/>
    <w:rsid w:val="055339D9"/>
    <w:rsid w:val="057124B6"/>
    <w:rsid w:val="057D5DD7"/>
    <w:rsid w:val="05905582"/>
    <w:rsid w:val="05AE3DF3"/>
    <w:rsid w:val="05EE7D2D"/>
    <w:rsid w:val="064125AA"/>
    <w:rsid w:val="06705AC4"/>
    <w:rsid w:val="06802698"/>
    <w:rsid w:val="069C626C"/>
    <w:rsid w:val="07094452"/>
    <w:rsid w:val="07660CB7"/>
    <w:rsid w:val="0797747F"/>
    <w:rsid w:val="07AF0522"/>
    <w:rsid w:val="07C77FF8"/>
    <w:rsid w:val="07E8235E"/>
    <w:rsid w:val="07EE494A"/>
    <w:rsid w:val="07EF5C5A"/>
    <w:rsid w:val="080745BB"/>
    <w:rsid w:val="0867612A"/>
    <w:rsid w:val="0872540B"/>
    <w:rsid w:val="089E0FFB"/>
    <w:rsid w:val="08A1628A"/>
    <w:rsid w:val="08C10AD4"/>
    <w:rsid w:val="08D226F8"/>
    <w:rsid w:val="09D2070C"/>
    <w:rsid w:val="09F97E63"/>
    <w:rsid w:val="0A026C0A"/>
    <w:rsid w:val="0A053323"/>
    <w:rsid w:val="0A5D5ED3"/>
    <w:rsid w:val="0A60228D"/>
    <w:rsid w:val="0AA63647"/>
    <w:rsid w:val="0AB07796"/>
    <w:rsid w:val="0ABE55B6"/>
    <w:rsid w:val="0B0A3FB0"/>
    <w:rsid w:val="0B1966E0"/>
    <w:rsid w:val="0B412CEC"/>
    <w:rsid w:val="0B50487E"/>
    <w:rsid w:val="0BA21E96"/>
    <w:rsid w:val="0BA36158"/>
    <w:rsid w:val="0BAD2287"/>
    <w:rsid w:val="0C5E697A"/>
    <w:rsid w:val="0C822D61"/>
    <w:rsid w:val="0CDE4D1C"/>
    <w:rsid w:val="0D3D0135"/>
    <w:rsid w:val="0D921D8F"/>
    <w:rsid w:val="0DB35132"/>
    <w:rsid w:val="0DB56F83"/>
    <w:rsid w:val="0DC92377"/>
    <w:rsid w:val="0DC96D67"/>
    <w:rsid w:val="0E30278B"/>
    <w:rsid w:val="0EF01B76"/>
    <w:rsid w:val="0F0D3E8D"/>
    <w:rsid w:val="0FCE06CA"/>
    <w:rsid w:val="101D43D8"/>
    <w:rsid w:val="104617F9"/>
    <w:rsid w:val="10556E90"/>
    <w:rsid w:val="107B5085"/>
    <w:rsid w:val="10B83A71"/>
    <w:rsid w:val="112C271D"/>
    <w:rsid w:val="11816541"/>
    <w:rsid w:val="11B622F8"/>
    <w:rsid w:val="11EB3312"/>
    <w:rsid w:val="124D7DF9"/>
    <w:rsid w:val="12562386"/>
    <w:rsid w:val="12772EFE"/>
    <w:rsid w:val="12A77AA5"/>
    <w:rsid w:val="12D171D0"/>
    <w:rsid w:val="12DD3EF2"/>
    <w:rsid w:val="12F06C0B"/>
    <w:rsid w:val="131E7FD4"/>
    <w:rsid w:val="13543B9B"/>
    <w:rsid w:val="135F2A61"/>
    <w:rsid w:val="13795F2E"/>
    <w:rsid w:val="138203DC"/>
    <w:rsid w:val="145535DF"/>
    <w:rsid w:val="145D185F"/>
    <w:rsid w:val="14660D2A"/>
    <w:rsid w:val="146830F3"/>
    <w:rsid w:val="148B0F9B"/>
    <w:rsid w:val="14CA6FE9"/>
    <w:rsid w:val="150F0019"/>
    <w:rsid w:val="152C0F87"/>
    <w:rsid w:val="155C551D"/>
    <w:rsid w:val="159937C0"/>
    <w:rsid w:val="15B72F98"/>
    <w:rsid w:val="1608145B"/>
    <w:rsid w:val="163229A2"/>
    <w:rsid w:val="163A2DE5"/>
    <w:rsid w:val="16492641"/>
    <w:rsid w:val="165C249F"/>
    <w:rsid w:val="167A5B2F"/>
    <w:rsid w:val="16834672"/>
    <w:rsid w:val="16984014"/>
    <w:rsid w:val="16BF44E1"/>
    <w:rsid w:val="16C2623C"/>
    <w:rsid w:val="16D16CC7"/>
    <w:rsid w:val="16D92B33"/>
    <w:rsid w:val="16FC4783"/>
    <w:rsid w:val="17052A20"/>
    <w:rsid w:val="171101A2"/>
    <w:rsid w:val="17190F7E"/>
    <w:rsid w:val="173057EE"/>
    <w:rsid w:val="173F08C2"/>
    <w:rsid w:val="175673F3"/>
    <w:rsid w:val="177265DB"/>
    <w:rsid w:val="177A2236"/>
    <w:rsid w:val="178E5B9C"/>
    <w:rsid w:val="17980753"/>
    <w:rsid w:val="179E2D70"/>
    <w:rsid w:val="183D71A3"/>
    <w:rsid w:val="188F0022"/>
    <w:rsid w:val="18B76B4E"/>
    <w:rsid w:val="18E37E85"/>
    <w:rsid w:val="19341259"/>
    <w:rsid w:val="19384073"/>
    <w:rsid w:val="19DF1C21"/>
    <w:rsid w:val="19DF42FC"/>
    <w:rsid w:val="19EC7F69"/>
    <w:rsid w:val="19FB78D6"/>
    <w:rsid w:val="19FC28E7"/>
    <w:rsid w:val="1A311411"/>
    <w:rsid w:val="1ACD3B8F"/>
    <w:rsid w:val="1B167D7C"/>
    <w:rsid w:val="1B171F87"/>
    <w:rsid w:val="1B397023"/>
    <w:rsid w:val="1BAC1A95"/>
    <w:rsid w:val="1BAC71DD"/>
    <w:rsid w:val="1BCD5783"/>
    <w:rsid w:val="1BDC5820"/>
    <w:rsid w:val="1BE87C06"/>
    <w:rsid w:val="1BF3388A"/>
    <w:rsid w:val="1C24026B"/>
    <w:rsid w:val="1C267F21"/>
    <w:rsid w:val="1C525B0F"/>
    <w:rsid w:val="1D0B212D"/>
    <w:rsid w:val="1D165CAF"/>
    <w:rsid w:val="1D6D1C3C"/>
    <w:rsid w:val="1D8A2A83"/>
    <w:rsid w:val="1DD43425"/>
    <w:rsid w:val="1DF86559"/>
    <w:rsid w:val="1E0D76B2"/>
    <w:rsid w:val="1E365395"/>
    <w:rsid w:val="1E611B6E"/>
    <w:rsid w:val="1E71378E"/>
    <w:rsid w:val="1E931AA8"/>
    <w:rsid w:val="1E9539F0"/>
    <w:rsid w:val="1EC550A0"/>
    <w:rsid w:val="1EDC15C4"/>
    <w:rsid w:val="1EE94F44"/>
    <w:rsid w:val="1F2C336D"/>
    <w:rsid w:val="1F6024FC"/>
    <w:rsid w:val="1F6B752D"/>
    <w:rsid w:val="1F721A21"/>
    <w:rsid w:val="1F8663CD"/>
    <w:rsid w:val="1F9D0B53"/>
    <w:rsid w:val="1FAC78E1"/>
    <w:rsid w:val="1FB8673F"/>
    <w:rsid w:val="1FC35093"/>
    <w:rsid w:val="1FD16E1D"/>
    <w:rsid w:val="20083BDC"/>
    <w:rsid w:val="200B3C7B"/>
    <w:rsid w:val="20295C86"/>
    <w:rsid w:val="20B02E89"/>
    <w:rsid w:val="2102257A"/>
    <w:rsid w:val="210A78A5"/>
    <w:rsid w:val="215473B7"/>
    <w:rsid w:val="21A92C5F"/>
    <w:rsid w:val="21DC0629"/>
    <w:rsid w:val="21ED48F3"/>
    <w:rsid w:val="22372806"/>
    <w:rsid w:val="224724A4"/>
    <w:rsid w:val="2286366D"/>
    <w:rsid w:val="22A6644C"/>
    <w:rsid w:val="22B72AE2"/>
    <w:rsid w:val="22C33C48"/>
    <w:rsid w:val="22F510A3"/>
    <w:rsid w:val="22F567F6"/>
    <w:rsid w:val="23025673"/>
    <w:rsid w:val="233B79E4"/>
    <w:rsid w:val="23AB6072"/>
    <w:rsid w:val="23B32F82"/>
    <w:rsid w:val="240D798A"/>
    <w:rsid w:val="24257D34"/>
    <w:rsid w:val="242946AB"/>
    <w:rsid w:val="2467291D"/>
    <w:rsid w:val="247C27DE"/>
    <w:rsid w:val="248334D2"/>
    <w:rsid w:val="24EB0D58"/>
    <w:rsid w:val="25477AB3"/>
    <w:rsid w:val="255F329B"/>
    <w:rsid w:val="256245D6"/>
    <w:rsid w:val="25830F12"/>
    <w:rsid w:val="258E711B"/>
    <w:rsid w:val="25943BFA"/>
    <w:rsid w:val="25B24A82"/>
    <w:rsid w:val="25BF0069"/>
    <w:rsid w:val="260966B2"/>
    <w:rsid w:val="26374D34"/>
    <w:rsid w:val="263F73E7"/>
    <w:rsid w:val="26647F85"/>
    <w:rsid w:val="26934219"/>
    <w:rsid w:val="26B03DB0"/>
    <w:rsid w:val="26C00BB3"/>
    <w:rsid w:val="27047252"/>
    <w:rsid w:val="27190330"/>
    <w:rsid w:val="2789493F"/>
    <w:rsid w:val="27E17D24"/>
    <w:rsid w:val="27FD0EE7"/>
    <w:rsid w:val="28690CC1"/>
    <w:rsid w:val="289A2248"/>
    <w:rsid w:val="28CA7C47"/>
    <w:rsid w:val="28F96B72"/>
    <w:rsid w:val="295564A4"/>
    <w:rsid w:val="296C635C"/>
    <w:rsid w:val="299E5623"/>
    <w:rsid w:val="29E66502"/>
    <w:rsid w:val="2A0402D1"/>
    <w:rsid w:val="2A162697"/>
    <w:rsid w:val="2A1D4F02"/>
    <w:rsid w:val="2A5E70E2"/>
    <w:rsid w:val="2A7A5128"/>
    <w:rsid w:val="2A7A5C60"/>
    <w:rsid w:val="2ADF2B46"/>
    <w:rsid w:val="2AF501CB"/>
    <w:rsid w:val="2AFD613E"/>
    <w:rsid w:val="2B3907C6"/>
    <w:rsid w:val="2B8743C4"/>
    <w:rsid w:val="2B8C64C6"/>
    <w:rsid w:val="2BAF5F4F"/>
    <w:rsid w:val="2BBA4E0D"/>
    <w:rsid w:val="2C193E03"/>
    <w:rsid w:val="2C417526"/>
    <w:rsid w:val="2C99261F"/>
    <w:rsid w:val="2D0D635C"/>
    <w:rsid w:val="2D3847A5"/>
    <w:rsid w:val="2D6E1611"/>
    <w:rsid w:val="2D915408"/>
    <w:rsid w:val="2DAA2BE9"/>
    <w:rsid w:val="2DD21FAD"/>
    <w:rsid w:val="2E462C57"/>
    <w:rsid w:val="2E597919"/>
    <w:rsid w:val="2E6B0726"/>
    <w:rsid w:val="2E7B222C"/>
    <w:rsid w:val="2E930991"/>
    <w:rsid w:val="2E9A07DC"/>
    <w:rsid w:val="2E9E07C7"/>
    <w:rsid w:val="2EA244EF"/>
    <w:rsid w:val="2EA80E82"/>
    <w:rsid w:val="2EB7049F"/>
    <w:rsid w:val="2EDE4A16"/>
    <w:rsid w:val="2EEE3CFB"/>
    <w:rsid w:val="2F085E10"/>
    <w:rsid w:val="2F226CF3"/>
    <w:rsid w:val="2F41123F"/>
    <w:rsid w:val="2F447BCF"/>
    <w:rsid w:val="2F501D89"/>
    <w:rsid w:val="2F883476"/>
    <w:rsid w:val="2FA91E58"/>
    <w:rsid w:val="2FC02397"/>
    <w:rsid w:val="2FD32F44"/>
    <w:rsid w:val="2FD37D5B"/>
    <w:rsid w:val="2FE13D2E"/>
    <w:rsid w:val="3083524A"/>
    <w:rsid w:val="30E34FB0"/>
    <w:rsid w:val="310A26F5"/>
    <w:rsid w:val="31AD4663"/>
    <w:rsid w:val="31D13F3A"/>
    <w:rsid w:val="31E01A35"/>
    <w:rsid w:val="31ED365E"/>
    <w:rsid w:val="3242176C"/>
    <w:rsid w:val="324D05E4"/>
    <w:rsid w:val="325C43D8"/>
    <w:rsid w:val="32617684"/>
    <w:rsid w:val="328C040B"/>
    <w:rsid w:val="32A16ECB"/>
    <w:rsid w:val="32C25B5F"/>
    <w:rsid w:val="32CB6B5A"/>
    <w:rsid w:val="32F06182"/>
    <w:rsid w:val="33F13051"/>
    <w:rsid w:val="33F96A14"/>
    <w:rsid w:val="34146F3C"/>
    <w:rsid w:val="34BF1C04"/>
    <w:rsid w:val="34CF5674"/>
    <w:rsid w:val="350D7538"/>
    <w:rsid w:val="35455385"/>
    <w:rsid w:val="35F85564"/>
    <w:rsid w:val="363F5AC4"/>
    <w:rsid w:val="36436ACD"/>
    <w:rsid w:val="364F533D"/>
    <w:rsid w:val="376E670C"/>
    <w:rsid w:val="3789503E"/>
    <w:rsid w:val="378B294A"/>
    <w:rsid w:val="37F0450E"/>
    <w:rsid w:val="38296387"/>
    <w:rsid w:val="38352679"/>
    <w:rsid w:val="38577147"/>
    <w:rsid w:val="38F91CA3"/>
    <w:rsid w:val="39072A79"/>
    <w:rsid w:val="390804FD"/>
    <w:rsid w:val="39495F16"/>
    <w:rsid w:val="39723F3B"/>
    <w:rsid w:val="398E4B03"/>
    <w:rsid w:val="39A57335"/>
    <w:rsid w:val="3A3D4013"/>
    <w:rsid w:val="3A601A2D"/>
    <w:rsid w:val="3A9D0E45"/>
    <w:rsid w:val="3AA73679"/>
    <w:rsid w:val="3AD7436F"/>
    <w:rsid w:val="3AE4753F"/>
    <w:rsid w:val="3B145AE7"/>
    <w:rsid w:val="3B3A13F8"/>
    <w:rsid w:val="3BAA5C47"/>
    <w:rsid w:val="3BAC67BC"/>
    <w:rsid w:val="3BDF3297"/>
    <w:rsid w:val="3C4165AB"/>
    <w:rsid w:val="3C590119"/>
    <w:rsid w:val="3C727F3C"/>
    <w:rsid w:val="3C7C431A"/>
    <w:rsid w:val="3CA03F0B"/>
    <w:rsid w:val="3CC935E9"/>
    <w:rsid w:val="3D21417E"/>
    <w:rsid w:val="3D6218B1"/>
    <w:rsid w:val="3D815CA9"/>
    <w:rsid w:val="3D952C16"/>
    <w:rsid w:val="3DA14074"/>
    <w:rsid w:val="3DBC3341"/>
    <w:rsid w:val="3E837A82"/>
    <w:rsid w:val="3E8A4BFE"/>
    <w:rsid w:val="3EC31B60"/>
    <w:rsid w:val="3EDE07A3"/>
    <w:rsid w:val="3EE272A7"/>
    <w:rsid w:val="3EFF2C57"/>
    <w:rsid w:val="3F3B5A60"/>
    <w:rsid w:val="3F40543E"/>
    <w:rsid w:val="3F9527EE"/>
    <w:rsid w:val="3F9E5928"/>
    <w:rsid w:val="3FA0793D"/>
    <w:rsid w:val="3FE57180"/>
    <w:rsid w:val="40377C45"/>
    <w:rsid w:val="40523658"/>
    <w:rsid w:val="40635514"/>
    <w:rsid w:val="40C307D1"/>
    <w:rsid w:val="40D42EE9"/>
    <w:rsid w:val="41FA19BD"/>
    <w:rsid w:val="4224601C"/>
    <w:rsid w:val="423A0708"/>
    <w:rsid w:val="4242307D"/>
    <w:rsid w:val="42555D5C"/>
    <w:rsid w:val="42602FB7"/>
    <w:rsid w:val="42696874"/>
    <w:rsid w:val="429A0EFD"/>
    <w:rsid w:val="42A04349"/>
    <w:rsid w:val="42FB5A91"/>
    <w:rsid w:val="43002317"/>
    <w:rsid w:val="43371B74"/>
    <w:rsid w:val="43C04259"/>
    <w:rsid w:val="43DA407E"/>
    <w:rsid w:val="4401798E"/>
    <w:rsid w:val="442E1C22"/>
    <w:rsid w:val="447C7F30"/>
    <w:rsid w:val="447F7B4D"/>
    <w:rsid w:val="448C1BBE"/>
    <w:rsid w:val="448E0C23"/>
    <w:rsid w:val="449B27F1"/>
    <w:rsid w:val="44E36FD9"/>
    <w:rsid w:val="4513302E"/>
    <w:rsid w:val="453C654D"/>
    <w:rsid w:val="45454F92"/>
    <w:rsid w:val="456F687F"/>
    <w:rsid w:val="457D1025"/>
    <w:rsid w:val="45B4337E"/>
    <w:rsid w:val="45F01FED"/>
    <w:rsid w:val="45F66CD0"/>
    <w:rsid w:val="45FD13FA"/>
    <w:rsid w:val="46042C6E"/>
    <w:rsid w:val="461A748D"/>
    <w:rsid w:val="461B1361"/>
    <w:rsid w:val="462A13AF"/>
    <w:rsid w:val="46B412EF"/>
    <w:rsid w:val="46DA06F1"/>
    <w:rsid w:val="46DE694F"/>
    <w:rsid w:val="470D67FC"/>
    <w:rsid w:val="489017C9"/>
    <w:rsid w:val="48C1144A"/>
    <w:rsid w:val="48C2348F"/>
    <w:rsid w:val="48D510FB"/>
    <w:rsid w:val="48F85951"/>
    <w:rsid w:val="48FB4D0D"/>
    <w:rsid w:val="49115C5A"/>
    <w:rsid w:val="4949119C"/>
    <w:rsid w:val="497C55C1"/>
    <w:rsid w:val="49F156F3"/>
    <w:rsid w:val="4A347F56"/>
    <w:rsid w:val="4A5F26D2"/>
    <w:rsid w:val="4A9707B1"/>
    <w:rsid w:val="4AAA6914"/>
    <w:rsid w:val="4ABB01D0"/>
    <w:rsid w:val="4ACA1656"/>
    <w:rsid w:val="4B246752"/>
    <w:rsid w:val="4C7F69CF"/>
    <w:rsid w:val="4CA461FD"/>
    <w:rsid w:val="4CC530AB"/>
    <w:rsid w:val="4CC56D84"/>
    <w:rsid w:val="4CF07DA2"/>
    <w:rsid w:val="4D3543CF"/>
    <w:rsid w:val="4D5E6917"/>
    <w:rsid w:val="4D7563EB"/>
    <w:rsid w:val="4DDC1609"/>
    <w:rsid w:val="4E1C6613"/>
    <w:rsid w:val="4E412773"/>
    <w:rsid w:val="4E8E76FB"/>
    <w:rsid w:val="4ECE6995"/>
    <w:rsid w:val="4EDC42A2"/>
    <w:rsid w:val="4F033172"/>
    <w:rsid w:val="4F192919"/>
    <w:rsid w:val="4F31266A"/>
    <w:rsid w:val="4F474D23"/>
    <w:rsid w:val="4F9377BD"/>
    <w:rsid w:val="4FAD042A"/>
    <w:rsid w:val="4FE16C13"/>
    <w:rsid w:val="4FF059B7"/>
    <w:rsid w:val="4FF43D5B"/>
    <w:rsid w:val="4FF82D10"/>
    <w:rsid w:val="4FF97651"/>
    <w:rsid w:val="500A7E79"/>
    <w:rsid w:val="5018364E"/>
    <w:rsid w:val="504878C9"/>
    <w:rsid w:val="509E6CE9"/>
    <w:rsid w:val="50B43EA7"/>
    <w:rsid w:val="50C80FD0"/>
    <w:rsid w:val="50D964C6"/>
    <w:rsid w:val="50FA2092"/>
    <w:rsid w:val="50FA4571"/>
    <w:rsid w:val="510C7A25"/>
    <w:rsid w:val="512E4C70"/>
    <w:rsid w:val="5136738F"/>
    <w:rsid w:val="51387B25"/>
    <w:rsid w:val="5179536B"/>
    <w:rsid w:val="518D1597"/>
    <w:rsid w:val="51DE2039"/>
    <w:rsid w:val="51FD0C58"/>
    <w:rsid w:val="520870A9"/>
    <w:rsid w:val="52A9548D"/>
    <w:rsid w:val="52F942AB"/>
    <w:rsid w:val="5348342E"/>
    <w:rsid w:val="535F2002"/>
    <w:rsid w:val="53693427"/>
    <w:rsid w:val="53A339A7"/>
    <w:rsid w:val="53D23CF4"/>
    <w:rsid w:val="54125C6E"/>
    <w:rsid w:val="54135DA4"/>
    <w:rsid w:val="542624E7"/>
    <w:rsid w:val="54266FC7"/>
    <w:rsid w:val="543B660C"/>
    <w:rsid w:val="544952C9"/>
    <w:rsid w:val="545D316A"/>
    <w:rsid w:val="54A3217B"/>
    <w:rsid w:val="54F00747"/>
    <w:rsid w:val="55055702"/>
    <w:rsid w:val="55130EEC"/>
    <w:rsid w:val="5561711B"/>
    <w:rsid w:val="55877222"/>
    <w:rsid w:val="561834F7"/>
    <w:rsid w:val="56281CAD"/>
    <w:rsid w:val="56F758A4"/>
    <w:rsid w:val="571A1A45"/>
    <w:rsid w:val="572C2846"/>
    <w:rsid w:val="575E2215"/>
    <w:rsid w:val="579B34B7"/>
    <w:rsid w:val="57C74812"/>
    <w:rsid w:val="57D214B6"/>
    <w:rsid w:val="57DE2C77"/>
    <w:rsid w:val="57FB5EAA"/>
    <w:rsid w:val="584B5D73"/>
    <w:rsid w:val="584E0335"/>
    <w:rsid w:val="58847AF3"/>
    <w:rsid w:val="59066C26"/>
    <w:rsid w:val="597B0A32"/>
    <w:rsid w:val="598D29D8"/>
    <w:rsid w:val="59F9033C"/>
    <w:rsid w:val="5A966FB1"/>
    <w:rsid w:val="5A9D31B0"/>
    <w:rsid w:val="5B5F38EF"/>
    <w:rsid w:val="5BAE2333"/>
    <w:rsid w:val="5BCC14B5"/>
    <w:rsid w:val="5C0163C7"/>
    <w:rsid w:val="5C0E091C"/>
    <w:rsid w:val="5C171DCC"/>
    <w:rsid w:val="5C5E260B"/>
    <w:rsid w:val="5CBA10E6"/>
    <w:rsid w:val="5CC44A44"/>
    <w:rsid w:val="5CF67872"/>
    <w:rsid w:val="5D010D8E"/>
    <w:rsid w:val="5D2B2504"/>
    <w:rsid w:val="5D3E5A4C"/>
    <w:rsid w:val="5DEA6610"/>
    <w:rsid w:val="5E28306B"/>
    <w:rsid w:val="5E374587"/>
    <w:rsid w:val="5F27769F"/>
    <w:rsid w:val="5F9D69FF"/>
    <w:rsid w:val="5FED4403"/>
    <w:rsid w:val="60475896"/>
    <w:rsid w:val="605976D2"/>
    <w:rsid w:val="6068388D"/>
    <w:rsid w:val="607A4148"/>
    <w:rsid w:val="609A08B1"/>
    <w:rsid w:val="60CE4608"/>
    <w:rsid w:val="60D93521"/>
    <w:rsid w:val="61002A63"/>
    <w:rsid w:val="6172312C"/>
    <w:rsid w:val="618812CC"/>
    <w:rsid w:val="618C413B"/>
    <w:rsid w:val="62471805"/>
    <w:rsid w:val="627B46D9"/>
    <w:rsid w:val="62B677E3"/>
    <w:rsid w:val="62FE311C"/>
    <w:rsid w:val="64041ADD"/>
    <w:rsid w:val="64C574C8"/>
    <w:rsid w:val="64DB1CCD"/>
    <w:rsid w:val="6517002A"/>
    <w:rsid w:val="6587288C"/>
    <w:rsid w:val="65A05662"/>
    <w:rsid w:val="65BD1B07"/>
    <w:rsid w:val="65DC572E"/>
    <w:rsid w:val="660A5616"/>
    <w:rsid w:val="660E4FB5"/>
    <w:rsid w:val="66521BB0"/>
    <w:rsid w:val="66565AD0"/>
    <w:rsid w:val="666B187C"/>
    <w:rsid w:val="667414C1"/>
    <w:rsid w:val="6679710B"/>
    <w:rsid w:val="66F37584"/>
    <w:rsid w:val="679F1340"/>
    <w:rsid w:val="67A712CB"/>
    <w:rsid w:val="68343099"/>
    <w:rsid w:val="684D54A3"/>
    <w:rsid w:val="6872122E"/>
    <w:rsid w:val="689C39A5"/>
    <w:rsid w:val="68BE3C36"/>
    <w:rsid w:val="68C656C9"/>
    <w:rsid w:val="68E712C0"/>
    <w:rsid w:val="68E722B3"/>
    <w:rsid w:val="68ED23DE"/>
    <w:rsid w:val="69072B3A"/>
    <w:rsid w:val="694D316B"/>
    <w:rsid w:val="69DD4B6D"/>
    <w:rsid w:val="6A2E772B"/>
    <w:rsid w:val="6A4F0FBC"/>
    <w:rsid w:val="6A5E5D0F"/>
    <w:rsid w:val="6A625885"/>
    <w:rsid w:val="6A641533"/>
    <w:rsid w:val="6A742BBA"/>
    <w:rsid w:val="6A835C14"/>
    <w:rsid w:val="6AA022A6"/>
    <w:rsid w:val="6AC20571"/>
    <w:rsid w:val="6AC3034E"/>
    <w:rsid w:val="6B065C24"/>
    <w:rsid w:val="6B094A26"/>
    <w:rsid w:val="6B0C15AA"/>
    <w:rsid w:val="6B4865EE"/>
    <w:rsid w:val="6B6059C4"/>
    <w:rsid w:val="6BB86794"/>
    <w:rsid w:val="6C2A63E5"/>
    <w:rsid w:val="6C4376C7"/>
    <w:rsid w:val="6C5D5A9B"/>
    <w:rsid w:val="6C836BA8"/>
    <w:rsid w:val="6C9F766F"/>
    <w:rsid w:val="6D067AE3"/>
    <w:rsid w:val="6D582EAC"/>
    <w:rsid w:val="6D8A054D"/>
    <w:rsid w:val="6DB10439"/>
    <w:rsid w:val="6DC93964"/>
    <w:rsid w:val="6E9903EF"/>
    <w:rsid w:val="6ED644CC"/>
    <w:rsid w:val="6F065555"/>
    <w:rsid w:val="6F5749AF"/>
    <w:rsid w:val="6F6D6533"/>
    <w:rsid w:val="6F952079"/>
    <w:rsid w:val="6FAD2DD2"/>
    <w:rsid w:val="6FE12A9E"/>
    <w:rsid w:val="7028089B"/>
    <w:rsid w:val="70683F54"/>
    <w:rsid w:val="70785034"/>
    <w:rsid w:val="707A1649"/>
    <w:rsid w:val="70A960A7"/>
    <w:rsid w:val="714529ED"/>
    <w:rsid w:val="717768F4"/>
    <w:rsid w:val="717D1C47"/>
    <w:rsid w:val="718A7EF2"/>
    <w:rsid w:val="71A31D8E"/>
    <w:rsid w:val="71E55175"/>
    <w:rsid w:val="721B48FE"/>
    <w:rsid w:val="72296899"/>
    <w:rsid w:val="72E9207E"/>
    <w:rsid w:val="73045EB2"/>
    <w:rsid w:val="73277555"/>
    <w:rsid w:val="732E23B3"/>
    <w:rsid w:val="738E4F54"/>
    <w:rsid w:val="73B64E31"/>
    <w:rsid w:val="73C3468F"/>
    <w:rsid w:val="740D0D79"/>
    <w:rsid w:val="74132DCA"/>
    <w:rsid w:val="74430300"/>
    <w:rsid w:val="74D0751F"/>
    <w:rsid w:val="75AE76DA"/>
    <w:rsid w:val="75EC3B73"/>
    <w:rsid w:val="7614279C"/>
    <w:rsid w:val="76286E6F"/>
    <w:rsid w:val="76C45EFE"/>
    <w:rsid w:val="76CB2F07"/>
    <w:rsid w:val="76D5344E"/>
    <w:rsid w:val="76FD0444"/>
    <w:rsid w:val="7711659E"/>
    <w:rsid w:val="77230A3F"/>
    <w:rsid w:val="772459AA"/>
    <w:rsid w:val="775B462E"/>
    <w:rsid w:val="77972EAF"/>
    <w:rsid w:val="779E542F"/>
    <w:rsid w:val="77D10C5E"/>
    <w:rsid w:val="780A63DF"/>
    <w:rsid w:val="78221F6E"/>
    <w:rsid w:val="78366A8F"/>
    <w:rsid w:val="783712B2"/>
    <w:rsid w:val="789D1965"/>
    <w:rsid w:val="78A76207"/>
    <w:rsid w:val="79332E65"/>
    <w:rsid w:val="79350A3D"/>
    <w:rsid w:val="79B453C1"/>
    <w:rsid w:val="7AC17CC6"/>
    <w:rsid w:val="7AEE6D21"/>
    <w:rsid w:val="7B001978"/>
    <w:rsid w:val="7B5951B0"/>
    <w:rsid w:val="7B82477B"/>
    <w:rsid w:val="7B856009"/>
    <w:rsid w:val="7B946B1E"/>
    <w:rsid w:val="7B984B65"/>
    <w:rsid w:val="7BEC5EE2"/>
    <w:rsid w:val="7BF059CC"/>
    <w:rsid w:val="7C100FCE"/>
    <w:rsid w:val="7C3B3CBA"/>
    <w:rsid w:val="7C6C7E2C"/>
    <w:rsid w:val="7C7062F5"/>
    <w:rsid w:val="7CF00949"/>
    <w:rsid w:val="7D0B6BB5"/>
    <w:rsid w:val="7D1B0F8E"/>
    <w:rsid w:val="7D5A7CC0"/>
    <w:rsid w:val="7DD86245"/>
    <w:rsid w:val="7DFA08A0"/>
    <w:rsid w:val="7E164193"/>
    <w:rsid w:val="7E240220"/>
    <w:rsid w:val="7E5B1687"/>
    <w:rsid w:val="7EDF55BB"/>
    <w:rsid w:val="7F0634A3"/>
    <w:rsid w:val="7F271E21"/>
    <w:rsid w:val="7F2724F3"/>
    <w:rsid w:val="7F542BD4"/>
    <w:rsid w:val="7F547575"/>
    <w:rsid w:val="7F66424B"/>
    <w:rsid w:val="7F8D4C4F"/>
    <w:rsid w:val="7FFF7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0"/>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124"/>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80"/>
    <w:autoRedefine/>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107"/>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4"/>
    <w:autoRedefine/>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0"/>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6"/>
    <w:autoRedefine/>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19"/>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99"/>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0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6">
    <w:name w:val="Normal Indent"/>
    <w:basedOn w:val="1"/>
    <w:link w:val="76"/>
    <w:autoRedefine/>
    <w:qFormat/>
    <w:uiPriority w:val="0"/>
    <w:pPr>
      <w:ind w:firstLine="420"/>
    </w:pPr>
    <w:rPr>
      <w:rFonts w:ascii="Times New Roman" w:hAnsi="Times New Roman"/>
      <w:kern w:val="0"/>
      <w:sz w:val="2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caption"/>
    <w:basedOn w:val="1"/>
    <w:next w:val="1"/>
    <w:autoRedefine/>
    <w:qFormat/>
    <w:uiPriority w:val="0"/>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4"/>
    </w:rPr>
  </w:style>
  <w:style w:type="paragraph" w:styleId="18">
    <w:name w:val="List Bullet"/>
    <w:basedOn w:val="1"/>
    <w:autoRedefine/>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0"/>
    <w:autoRedefine/>
    <w:qFormat/>
    <w:uiPriority w:val="0"/>
    <w:pPr>
      <w:shd w:val="clear" w:color="auto" w:fill="000080"/>
    </w:pPr>
    <w:rPr>
      <w:rFonts w:ascii="Times New Roman" w:hAnsi="Times New Roman"/>
      <w:kern w:val="0"/>
      <w:sz w:val="20"/>
      <w:szCs w:val="20"/>
    </w:rPr>
  </w:style>
  <w:style w:type="paragraph" w:styleId="20">
    <w:name w:val="toa heading"/>
    <w:basedOn w:val="1"/>
    <w:next w:val="1"/>
    <w:autoRedefine/>
    <w:qFormat/>
    <w:uiPriority w:val="0"/>
    <w:pPr>
      <w:spacing w:before="120"/>
    </w:pPr>
    <w:rPr>
      <w:rFonts w:ascii="Arial" w:hAnsi="Arial" w:cs="Arial"/>
      <w:sz w:val="24"/>
      <w:szCs w:val="24"/>
    </w:rPr>
  </w:style>
  <w:style w:type="paragraph" w:styleId="21">
    <w:name w:val="annotation text"/>
    <w:basedOn w:val="1"/>
    <w:link w:val="85"/>
    <w:autoRedefine/>
    <w:qFormat/>
    <w:uiPriority w:val="0"/>
    <w:pPr>
      <w:jc w:val="left"/>
    </w:pPr>
    <w:rPr>
      <w:rFonts w:ascii="Times New Roman" w:hAnsi="Times New Roman"/>
      <w:kern w:val="0"/>
      <w:sz w:val="20"/>
      <w:szCs w:val="24"/>
    </w:rPr>
  </w:style>
  <w:style w:type="paragraph" w:styleId="22">
    <w:name w:val="index 6"/>
    <w:basedOn w:val="1"/>
    <w:next w:val="1"/>
    <w:autoRedefine/>
    <w:qFormat/>
    <w:uiPriority w:val="0"/>
    <w:pPr>
      <w:ind w:left="1000" w:leftChars="1000"/>
    </w:pPr>
    <w:rPr>
      <w:rFonts w:ascii="Times New Roman" w:hAnsi="Times New Roman"/>
      <w:szCs w:val="24"/>
    </w:rPr>
  </w:style>
  <w:style w:type="paragraph" w:styleId="23">
    <w:name w:val="Body Text 3"/>
    <w:basedOn w:val="1"/>
    <w:link w:val="141"/>
    <w:autoRedefine/>
    <w:qFormat/>
    <w:uiPriority w:val="0"/>
    <w:rPr>
      <w:rFonts w:ascii="宋体" w:hAnsi="宋体"/>
      <w:kern w:val="0"/>
      <w:sz w:val="36"/>
      <w:szCs w:val="24"/>
    </w:rPr>
  </w:style>
  <w:style w:type="paragraph" w:styleId="24">
    <w:name w:val="Body Text"/>
    <w:basedOn w:val="1"/>
    <w:next w:val="25"/>
    <w:link w:val="142"/>
    <w:autoRedefine/>
    <w:unhideWhenUsed/>
    <w:qFormat/>
    <w:uiPriority w:val="0"/>
    <w:pPr>
      <w:spacing w:after="120"/>
    </w:pPr>
  </w:style>
  <w:style w:type="paragraph" w:styleId="25">
    <w:name w:val="Body Text First Indent"/>
    <w:basedOn w:val="24"/>
    <w:next w:val="1"/>
    <w:autoRedefine/>
    <w:qFormat/>
    <w:uiPriority w:val="0"/>
    <w:pPr>
      <w:spacing w:line="520" w:lineRule="exact"/>
      <w:ind w:firstLine="100" w:firstLineChars="100"/>
      <w:jc w:val="left"/>
    </w:pPr>
    <w:rPr>
      <w:sz w:val="28"/>
    </w:rPr>
  </w:style>
  <w:style w:type="paragraph" w:styleId="26">
    <w:name w:val="Body Text Indent"/>
    <w:basedOn w:val="1"/>
    <w:link w:val="147"/>
    <w:autoRedefine/>
    <w:qFormat/>
    <w:uiPriority w:val="0"/>
    <w:pPr>
      <w:spacing w:line="480" w:lineRule="auto"/>
      <w:ind w:firstLine="600"/>
    </w:pPr>
    <w:rPr>
      <w:rFonts w:ascii="Times New Roman" w:hAnsi="Times New Roman"/>
      <w:kern w:val="0"/>
      <w:sz w:val="28"/>
      <w:szCs w:val="20"/>
    </w:rPr>
  </w:style>
  <w:style w:type="paragraph" w:styleId="27">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8">
    <w:name w:val="Block Text"/>
    <w:basedOn w:val="1"/>
    <w:autoRedefine/>
    <w:qFormat/>
    <w:uiPriority w:val="0"/>
    <w:pPr>
      <w:ind w:left="1200" w:right="-72" w:hanging="30"/>
    </w:pPr>
    <w:rPr>
      <w:rFonts w:ascii="Arial" w:hAnsi="Arial" w:eastAsia="幼圆" w:cs="Arial"/>
      <w:sz w:val="22"/>
      <w:szCs w:val="20"/>
    </w:rPr>
  </w:style>
  <w:style w:type="paragraph" w:styleId="29">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0">
    <w:name w:val="index 4"/>
    <w:basedOn w:val="1"/>
    <w:next w:val="1"/>
    <w:autoRedefine/>
    <w:qFormat/>
    <w:uiPriority w:val="0"/>
    <w:pPr>
      <w:ind w:left="600" w:leftChars="6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qFormat/>
    <w:uiPriority w:val="0"/>
    <w:pPr>
      <w:tabs>
        <w:tab w:val="right" w:leader="dot" w:pos="8296"/>
      </w:tabs>
      <w:jc w:val="left"/>
    </w:pPr>
    <w:rPr>
      <w:rFonts w:ascii="Times New Roman" w:hAnsi="Times New Roman"/>
      <w:b/>
      <w:bCs/>
      <w:iCs/>
      <w:szCs w:val="24"/>
    </w:rPr>
  </w:style>
  <w:style w:type="paragraph" w:styleId="33">
    <w:name w:val="Plain Text"/>
    <w:basedOn w:val="1"/>
    <w:link w:val="95"/>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4">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5">
    <w:name w:val="index 3"/>
    <w:basedOn w:val="1"/>
    <w:next w:val="1"/>
    <w:autoRedefine/>
    <w:qFormat/>
    <w:uiPriority w:val="0"/>
    <w:pPr>
      <w:ind w:left="400" w:leftChars="400"/>
    </w:pPr>
    <w:rPr>
      <w:rFonts w:ascii="Times New Roman" w:hAnsi="Times New Roman"/>
      <w:szCs w:val="24"/>
    </w:rPr>
  </w:style>
  <w:style w:type="paragraph" w:styleId="36">
    <w:name w:val="Date"/>
    <w:basedOn w:val="1"/>
    <w:next w:val="1"/>
    <w:link w:val="108"/>
    <w:autoRedefine/>
    <w:qFormat/>
    <w:uiPriority w:val="0"/>
    <w:pPr>
      <w:ind w:left="100"/>
    </w:pPr>
    <w:rPr>
      <w:rFonts w:ascii="Times New Roman" w:hAnsi="Times New Roman"/>
      <w:kern w:val="0"/>
      <w:sz w:val="28"/>
      <w:szCs w:val="20"/>
    </w:rPr>
  </w:style>
  <w:style w:type="paragraph" w:styleId="37">
    <w:name w:val="Body Text Indent 2"/>
    <w:basedOn w:val="1"/>
    <w:link w:val="120"/>
    <w:autoRedefine/>
    <w:qFormat/>
    <w:uiPriority w:val="0"/>
    <w:pPr>
      <w:spacing w:after="120" w:line="480" w:lineRule="auto"/>
      <w:ind w:left="420" w:leftChars="200"/>
    </w:pPr>
    <w:rPr>
      <w:rFonts w:ascii="Times New Roman" w:hAnsi="Times New Roman"/>
      <w:kern w:val="0"/>
      <w:sz w:val="20"/>
      <w:szCs w:val="20"/>
    </w:rPr>
  </w:style>
  <w:style w:type="paragraph" w:styleId="38">
    <w:name w:val="endnote text"/>
    <w:basedOn w:val="1"/>
    <w:link w:val="146"/>
    <w:autoRedefine/>
    <w:qFormat/>
    <w:uiPriority w:val="0"/>
    <w:pPr>
      <w:snapToGrid w:val="0"/>
      <w:spacing w:afterLines="50"/>
      <w:jc w:val="left"/>
    </w:pPr>
    <w:rPr>
      <w:rFonts w:ascii="宋体" w:hAnsi="Times New Roman"/>
      <w:snapToGrid w:val="0"/>
      <w:kern w:val="0"/>
      <w:sz w:val="20"/>
      <w:szCs w:val="20"/>
    </w:rPr>
  </w:style>
  <w:style w:type="paragraph" w:styleId="39">
    <w:name w:val="Balloon Text"/>
    <w:basedOn w:val="1"/>
    <w:link w:val="121"/>
    <w:autoRedefine/>
    <w:qFormat/>
    <w:uiPriority w:val="0"/>
    <w:rPr>
      <w:rFonts w:ascii="Times New Roman" w:hAnsi="Times New Roman"/>
      <w:kern w:val="0"/>
      <w:sz w:val="18"/>
      <w:szCs w:val="18"/>
    </w:rPr>
  </w:style>
  <w:style w:type="paragraph" w:styleId="40">
    <w:name w:val="footer"/>
    <w:basedOn w:val="1"/>
    <w:link w:val="129"/>
    <w:autoRedefine/>
    <w:unhideWhenUsed/>
    <w:qFormat/>
    <w:uiPriority w:val="0"/>
    <w:pPr>
      <w:tabs>
        <w:tab w:val="center" w:pos="4153"/>
        <w:tab w:val="right" w:pos="8306"/>
      </w:tabs>
      <w:snapToGrid w:val="0"/>
      <w:jc w:val="left"/>
    </w:pPr>
    <w:rPr>
      <w:kern w:val="0"/>
      <w:sz w:val="18"/>
      <w:szCs w:val="18"/>
    </w:rPr>
  </w:style>
  <w:style w:type="paragraph" w:styleId="41">
    <w:name w:val="header"/>
    <w:basedOn w:val="1"/>
    <w:next w:val="28"/>
    <w:link w:val="13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0"/>
    <w:pPr>
      <w:spacing w:before="120" w:after="120"/>
      <w:jc w:val="left"/>
    </w:pPr>
    <w:rPr>
      <w:rFonts w:ascii="Times New Roman" w:hAnsi="Times New Roman"/>
      <w:b/>
      <w:bCs/>
      <w:caps/>
      <w:szCs w:val="24"/>
    </w:rPr>
  </w:style>
  <w:style w:type="paragraph" w:styleId="43">
    <w:name w:val="toc 4"/>
    <w:basedOn w:val="1"/>
    <w:next w:val="1"/>
    <w:autoRedefine/>
    <w:qFormat/>
    <w:uiPriority w:val="0"/>
    <w:pPr>
      <w:ind w:left="629"/>
      <w:jc w:val="left"/>
    </w:pPr>
    <w:rPr>
      <w:rFonts w:ascii="Times New Roman" w:hAnsi="Times New Roman"/>
      <w:snapToGrid w:val="0"/>
      <w:kern w:val="0"/>
      <w:szCs w:val="18"/>
    </w:rPr>
  </w:style>
  <w:style w:type="paragraph" w:styleId="44">
    <w:name w:val="index heading"/>
    <w:basedOn w:val="1"/>
    <w:next w:val="45"/>
    <w:autoRedefine/>
    <w:qFormat/>
    <w:uiPriority w:val="0"/>
    <w:rPr>
      <w:rFonts w:ascii="Arial" w:hAnsi="Arial" w:cs="Arial"/>
      <w:b/>
      <w:bCs/>
      <w:szCs w:val="24"/>
    </w:rPr>
  </w:style>
  <w:style w:type="paragraph" w:styleId="45">
    <w:name w:val="index 1"/>
    <w:basedOn w:val="1"/>
    <w:next w:val="1"/>
    <w:autoRedefine/>
    <w:qFormat/>
    <w:uiPriority w:val="0"/>
    <w:rPr>
      <w:rFonts w:ascii="Times New Roman" w:hAnsi="Times New Roman"/>
      <w:szCs w:val="20"/>
    </w:rPr>
  </w:style>
  <w:style w:type="paragraph" w:styleId="46">
    <w:name w:val="Subtitle"/>
    <w:basedOn w:val="1"/>
    <w:link w:val="132"/>
    <w:autoRedefine/>
    <w:qFormat/>
    <w:uiPriority w:val="0"/>
    <w:pPr>
      <w:spacing w:afterLines="50"/>
      <w:jc w:val="center"/>
    </w:pPr>
    <w:rPr>
      <w:rFonts w:ascii="宋体" w:hAnsi="Times New Roman"/>
      <w:i/>
      <w:snapToGrid w:val="0"/>
      <w:kern w:val="0"/>
      <w:sz w:val="36"/>
      <w:szCs w:val="20"/>
      <w:lang w:val="en-AU"/>
    </w:rPr>
  </w:style>
  <w:style w:type="paragraph" w:styleId="47">
    <w:name w:val="footnote text"/>
    <w:basedOn w:val="1"/>
    <w:link w:val="112"/>
    <w:autoRedefine/>
    <w:qFormat/>
    <w:uiPriority w:val="0"/>
    <w:pPr>
      <w:snapToGrid w:val="0"/>
      <w:jc w:val="left"/>
    </w:pPr>
    <w:rPr>
      <w:rFonts w:ascii="Times New Roman" w:hAnsi="Times New Roman"/>
      <w:kern w:val="0"/>
      <w:sz w:val="18"/>
      <w:szCs w:val="18"/>
    </w:rPr>
  </w:style>
  <w:style w:type="paragraph" w:styleId="48">
    <w:name w:val="toc 6"/>
    <w:basedOn w:val="1"/>
    <w:next w:val="1"/>
    <w:autoRedefine/>
    <w:qFormat/>
    <w:uiPriority w:val="0"/>
    <w:pPr>
      <w:ind w:left="2100" w:leftChars="1000"/>
    </w:pPr>
    <w:rPr>
      <w:rFonts w:ascii="Times New Roman" w:hAnsi="Times New Roman"/>
      <w:szCs w:val="24"/>
    </w:rPr>
  </w:style>
  <w:style w:type="paragraph" w:styleId="49">
    <w:name w:val="Body Text Indent 3"/>
    <w:basedOn w:val="1"/>
    <w:link w:val="118"/>
    <w:autoRedefine/>
    <w:qFormat/>
    <w:uiPriority w:val="0"/>
    <w:pPr>
      <w:spacing w:line="500" w:lineRule="atLeast"/>
      <w:ind w:firstLine="720" w:firstLineChars="300"/>
    </w:pPr>
    <w:rPr>
      <w:rFonts w:ascii="Times New Roman" w:hAnsi="Times New Roman"/>
      <w:kern w:val="0"/>
      <w:sz w:val="24"/>
      <w:szCs w:val="24"/>
    </w:rPr>
  </w:style>
  <w:style w:type="paragraph" w:styleId="50">
    <w:name w:val="index 7"/>
    <w:basedOn w:val="1"/>
    <w:next w:val="1"/>
    <w:autoRedefine/>
    <w:qFormat/>
    <w:uiPriority w:val="0"/>
    <w:pPr>
      <w:ind w:left="1200" w:leftChars="1200"/>
    </w:pPr>
    <w:rPr>
      <w:rFonts w:ascii="Times New Roman" w:hAnsi="Times New Roman"/>
      <w:szCs w:val="24"/>
    </w:rPr>
  </w:style>
  <w:style w:type="paragraph" w:styleId="51">
    <w:name w:val="index 9"/>
    <w:basedOn w:val="1"/>
    <w:next w:val="1"/>
    <w:autoRedefine/>
    <w:qFormat/>
    <w:uiPriority w:val="0"/>
    <w:pPr>
      <w:ind w:left="1600" w:leftChars="1600"/>
    </w:pPr>
    <w:rPr>
      <w:rFonts w:ascii="Times New Roman" w:hAnsi="Times New Roman"/>
      <w:szCs w:val="24"/>
    </w:rPr>
  </w:style>
  <w:style w:type="paragraph" w:styleId="52">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3">
    <w:name w:val="toc 2"/>
    <w:basedOn w:val="1"/>
    <w:next w:val="1"/>
    <w:autoRedefine/>
    <w:qFormat/>
    <w:uiPriority w:val="0"/>
    <w:pPr>
      <w:tabs>
        <w:tab w:val="right" w:leader="dot" w:pos="8296"/>
      </w:tabs>
      <w:ind w:left="210"/>
      <w:jc w:val="left"/>
    </w:pPr>
    <w:rPr>
      <w:rFonts w:ascii="Times New Roman" w:hAnsi="Times New Roman"/>
      <w:b/>
      <w:smallCaps/>
      <w:szCs w:val="24"/>
    </w:rPr>
  </w:style>
  <w:style w:type="paragraph" w:styleId="54">
    <w:name w:val="toc 9"/>
    <w:basedOn w:val="1"/>
    <w:next w:val="1"/>
    <w:autoRedefine/>
    <w:qFormat/>
    <w:uiPriority w:val="0"/>
    <w:pPr>
      <w:ind w:left="3360" w:leftChars="1600"/>
    </w:pPr>
    <w:rPr>
      <w:rFonts w:ascii="Times New Roman" w:hAnsi="Times New Roman"/>
      <w:szCs w:val="24"/>
    </w:rPr>
  </w:style>
  <w:style w:type="paragraph" w:styleId="55">
    <w:name w:val="Body Text 2"/>
    <w:basedOn w:val="1"/>
    <w:link w:val="111"/>
    <w:autoRedefine/>
    <w:qFormat/>
    <w:uiPriority w:val="0"/>
    <w:pPr>
      <w:autoSpaceDE w:val="0"/>
      <w:autoSpaceDN w:val="0"/>
      <w:adjustRightInd w:val="0"/>
    </w:pPr>
    <w:rPr>
      <w:rFonts w:ascii="Times New Roman" w:hAnsi="Times New Roman"/>
      <w:color w:val="000000"/>
      <w:kern w:val="0"/>
      <w:sz w:val="20"/>
      <w:szCs w:val="24"/>
    </w:rPr>
  </w:style>
  <w:style w:type="paragraph" w:styleId="56">
    <w:name w:val="HTML Preformatted"/>
    <w:basedOn w:val="1"/>
    <w:link w:val="135"/>
    <w:autoRedefine/>
    <w:qFormat/>
    <w:uiPriority w:val="0"/>
    <w:rPr>
      <w:rFonts w:ascii="Courier New" w:hAnsi="Courier New"/>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8">
    <w:name w:val="index 2"/>
    <w:basedOn w:val="1"/>
    <w:next w:val="1"/>
    <w:autoRedefine/>
    <w:qFormat/>
    <w:uiPriority w:val="0"/>
    <w:pPr>
      <w:ind w:left="200" w:leftChars="200"/>
    </w:pPr>
    <w:rPr>
      <w:rFonts w:ascii="Times New Roman" w:hAnsi="Times New Roman"/>
      <w:szCs w:val="24"/>
    </w:rPr>
  </w:style>
  <w:style w:type="paragraph" w:styleId="59">
    <w:name w:val="Title"/>
    <w:basedOn w:val="1"/>
    <w:link w:val="84"/>
    <w:autoRedefine/>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60">
    <w:name w:val="annotation subject"/>
    <w:basedOn w:val="21"/>
    <w:next w:val="21"/>
    <w:link w:val="122"/>
    <w:autoRedefine/>
    <w:qFormat/>
    <w:uiPriority w:val="0"/>
    <w:rPr>
      <w:b/>
      <w:bCs/>
    </w:rPr>
  </w:style>
  <w:style w:type="paragraph" w:styleId="61">
    <w:name w:val="Body Text First Indent 2"/>
    <w:basedOn w:val="26"/>
    <w:autoRedefine/>
    <w:unhideWhenUsed/>
    <w:qFormat/>
    <w:uiPriority w:val="0"/>
    <w:pPr>
      <w:autoSpaceDE w:val="0"/>
      <w:autoSpaceDN w:val="0"/>
      <w:adjustRightInd w:val="0"/>
      <w:ind w:firstLine="420" w:firstLineChars="200"/>
      <w:jc w:val="left"/>
    </w:pPr>
    <w:rPr>
      <w:sz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Grid 1"/>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Emphasis"/>
    <w:autoRedefine/>
    <w:qFormat/>
    <w:uiPriority w:val="20"/>
    <w:rPr>
      <w:i/>
      <w:iCs/>
    </w:rPr>
  </w:style>
  <w:style w:type="character" w:styleId="70">
    <w:name w:val="Hyperlink"/>
    <w:autoRedefine/>
    <w:qFormat/>
    <w:uiPriority w:val="0"/>
    <w:rPr>
      <w:color w:val="0000FF"/>
      <w:u w:val="single"/>
    </w:rPr>
  </w:style>
  <w:style w:type="character" w:styleId="71">
    <w:name w:val="annotation reference"/>
    <w:autoRedefine/>
    <w:qFormat/>
    <w:uiPriority w:val="0"/>
    <w:rPr>
      <w:sz w:val="21"/>
      <w:szCs w:val="21"/>
    </w:rPr>
  </w:style>
  <w:style w:type="character" w:styleId="72">
    <w:name w:val="footnote reference"/>
    <w:autoRedefine/>
    <w:qFormat/>
    <w:uiPriority w:val="0"/>
    <w:rPr>
      <w:vertAlign w:val="superscript"/>
    </w:rPr>
  </w:style>
  <w:style w:type="paragraph" w:customStyle="1" w:styleId="73">
    <w:name w:val="PlainText"/>
    <w:basedOn w:val="1"/>
    <w:autoRedefine/>
    <w:qFormat/>
    <w:uiPriority w:val="0"/>
    <w:rPr>
      <w:rFonts w:ascii="宋体" w:hAnsi="Courier New"/>
    </w:rPr>
  </w:style>
  <w:style w:type="paragraph" w:customStyle="1" w:styleId="74">
    <w:name w:val="表格文字"/>
    <w:basedOn w:val="1"/>
    <w:next w:val="24"/>
    <w:autoRedefine/>
    <w:qFormat/>
    <w:uiPriority w:val="0"/>
    <w:pPr>
      <w:spacing w:before="25" w:after="25"/>
      <w:jc w:val="left"/>
    </w:pPr>
    <w:rPr>
      <w:rFonts w:ascii="Times New Roman" w:hAnsi="Times New Roman"/>
      <w:bCs/>
      <w:spacing w:val="10"/>
      <w:kern w:val="0"/>
      <w:sz w:val="24"/>
      <w:szCs w:val="20"/>
    </w:rPr>
  </w:style>
  <w:style w:type="paragraph" w:customStyle="1" w:styleId="75">
    <w:name w:val="正文文本首行缩进 2"/>
    <w:basedOn w:val="26"/>
    <w:autoRedefine/>
    <w:qFormat/>
    <w:uiPriority w:val="0"/>
    <w:pPr>
      <w:tabs>
        <w:tab w:val="left" w:pos="900"/>
      </w:tabs>
      <w:spacing w:after="120" w:line="240" w:lineRule="auto"/>
      <w:ind w:left="420" w:leftChars="200" w:firstLine="420"/>
    </w:pPr>
    <w:rPr>
      <w:rFonts w:cs="宋体"/>
      <w:sz w:val="21"/>
      <w:szCs w:val="21"/>
    </w:rPr>
  </w:style>
  <w:style w:type="character" w:customStyle="1" w:styleId="76">
    <w:name w:val="正文缩进 Char"/>
    <w:link w:val="6"/>
    <w:autoRedefine/>
    <w:qFormat/>
    <w:uiPriority w:val="0"/>
    <w:rPr>
      <w:rFonts w:eastAsia="宋体"/>
      <w:lang w:bidi="ar-SA"/>
    </w:rPr>
  </w:style>
  <w:style w:type="character" w:customStyle="1" w:styleId="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7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79">
    <w:name w:val="tw4winMark"/>
    <w:autoRedefine/>
    <w:qFormat/>
    <w:uiPriority w:val="0"/>
    <w:rPr>
      <w:rFonts w:ascii="Courier New" w:hAnsi="Courier New"/>
      <w:vanish/>
      <w:color w:val="800080"/>
      <w:vertAlign w:val="subscript"/>
    </w:rPr>
  </w:style>
  <w:style w:type="character" w:customStyle="1" w:styleId="80">
    <w:name w:val="标题 3 Char"/>
    <w:link w:val="5"/>
    <w:autoRedefine/>
    <w:qFormat/>
    <w:uiPriority w:val="0"/>
    <w:rPr>
      <w:rFonts w:ascii="黑体" w:eastAsia="黑体"/>
      <w:b/>
      <w:color w:val="000000"/>
      <w:sz w:val="28"/>
      <w:lang w:bidi="ar-SA"/>
    </w:rPr>
  </w:style>
  <w:style w:type="character" w:customStyle="1" w:styleId="81">
    <w:name w:val="表格标题 Char"/>
    <w:link w:val="82"/>
    <w:autoRedefine/>
    <w:qFormat/>
    <w:uiPriority w:val="0"/>
    <w:rPr>
      <w:rFonts w:eastAsia="宋体"/>
      <w:b/>
      <w:bCs/>
      <w:i/>
      <w:iCs/>
      <w:kern w:val="1"/>
      <w:sz w:val="21"/>
      <w:szCs w:val="24"/>
      <w:lang w:eastAsia="ar-SA" w:bidi="ar-SA"/>
    </w:rPr>
  </w:style>
  <w:style w:type="paragraph" w:customStyle="1" w:styleId="82">
    <w:name w:val="表格标题"/>
    <w:basedOn w:val="83"/>
    <w:link w:val="81"/>
    <w:autoRedefine/>
    <w:qFormat/>
    <w:uiPriority w:val="0"/>
    <w:pPr>
      <w:numPr>
        <w:ilvl w:val="0"/>
        <w:numId w:val="5"/>
      </w:numPr>
      <w:jc w:val="center"/>
    </w:pPr>
    <w:rPr>
      <w:b/>
      <w:bCs/>
      <w:i/>
      <w:iCs/>
    </w:rPr>
  </w:style>
  <w:style w:type="paragraph" w:customStyle="1" w:styleId="83">
    <w:name w:val="表格内容"/>
    <w:basedOn w:val="24"/>
    <w:autoRedefine/>
    <w:qFormat/>
    <w:uiPriority w:val="0"/>
    <w:pPr>
      <w:suppressLineNumbers/>
      <w:suppressAutoHyphens/>
    </w:pPr>
    <w:rPr>
      <w:rFonts w:ascii="Times New Roman" w:hAnsi="Times New Roman"/>
      <w:kern w:val="1"/>
      <w:szCs w:val="24"/>
      <w:lang w:eastAsia="ar-SA"/>
    </w:rPr>
  </w:style>
  <w:style w:type="character" w:customStyle="1" w:styleId="84">
    <w:name w:val="标题 Char"/>
    <w:link w:val="59"/>
    <w:autoRedefine/>
    <w:qFormat/>
    <w:uiPriority w:val="0"/>
    <w:rPr>
      <w:rFonts w:eastAsia="宋体"/>
      <w:b/>
      <w:sz w:val="24"/>
      <w:lang w:val="en-GB" w:bidi="ar-SA"/>
    </w:rPr>
  </w:style>
  <w:style w:type="character" w:customStyle="1" w:styleId="85">
    <w:name w:val="批注文字 Char"/>
    <w:link w:val="21"/>
    <w:autoRedefine/>
    <w:qFormat/>
    <w:uiPriority w:val="0"/>
    <w:rPr>
      <w:rFonts w:eastAsia="宋体"/>
      <w:szCs w:val="24"/>
      <w:lang w:bidi="ar-SA"/>
    </w:rPr>
  </w:style>
  <w:style w:type="character" w:customStyle="1" w:styleId="86">
    <w:name w:val="f11"/>
    <w:autoRedefine/>
    <w:qFormat/>
    <w:uiPriority w:val="0"/>
    <w:rPr>
      <w:sz w:val="24"/>
      <w:szCs w:val="24"/>
    </w:rPr>
  </w:style>
  <w:style w:type="character" w:customStyle="1" w:styleId="87">
    <w:name w:val="访问过的超链接"/>
    <w:autoRedefine/>
    <w:qFormat/>
    <w:uiPriority w:val="0"/>
    <w:rPr>
      <w:color w:val="800080"/>
      <w:u w:val="single"/>
    </w:rPr>
  </w:style>
  <w:style w:type="character" w:customStyle="1" w:styleId="88">
    <w:name w:val="public 箭头 Char"/>
    <w:link w:val="89"/>
    <w:autoRedefine/>
    <w:qFormat/>
    <w:uiPriority w:val="0"/>
    <w:rPr>
      <w:rFonts w:ascii="宋体" w:hAnsi="宋体" w:eastAsia="宋体"/>
      <w:kern w:val="2"/>
      <w:sz w:val="24"/>
      <w:szCs w:val="24"/>
      <w:lang w:bidi="ar-SA"/>
    </w:rPr>
  </w:style>
  <w:style w:type="paragraph" w:customStyle="1" w:styleId="89">
    <w:name w:val="public 箭头"/>
    <w:basedOn w:val="1"/>
    <w:link w:val="88"/>
    <w:autoRedefine/>
    <w:qFormat/>
    <w:uiPriority w:val="0"/>
    <w:pPr>
      <w:numPr>
        <w:ilvl w:val="0"/>
        <w:numId w:val="6"/>
      </w:numPr>
      <w:spacing w:beforeLines="50" w:after="50" w:line="360" w:lineRule="auto"/>
    </w:pPr>
    <w:rPr>
      <w:rFonts w:ascii="宋体" w:hAnsi="宋体"/>
      <w:sz w:val="24"/>
      <w:szCs w:val="24"/>
    </w:rPr>
  </w:style>
  <w:style w:type="character" w:customStyle="1" w:styleId="90">
    <w:name w:val="文档结构图 Char"/>
    <w:link w:val="19"/>
    <w:autoRedefine/>
    <w:qFormat/>
    <w:uiPriority w:val="0"/>
    <w:rPr>
      <w:rFonts w:eastAsia="宋体"/>
      <w:lang w:bidi="ar-SA"/>
    </w:rPr>
  </w:style>
  <w:style w:type="character" w:customStyle="1" w:styleId="91">
    <w:name w:val="line1"/>
    <w:autoRedefine/>
    <w:qFormat/>
    <w:uiPriority w:val="0"/>
    <w:rPr>
      <w:u w:val="none"/>
    </w:rPr>
  </w:style>
  <w:style w:type="character" w:customStyle="1" w:styleId="92">
    <w:name w:val="tw4winInternal"/>
    <w:autoRedefine/>
    <w:qFormat/>
    <w:uiPriority w:val="0"/>
    <w:rPr>
      <w:rFonts w:ascii="Courier New" w:hAnsi="Courier New"/>
      <w:color w:val="FF0000"/>
    </w:rPr>
  </w:style>
  <w:style w:type="character" w:customStyle="1" w:styleId="93">
    <w:name w:val="样式 小四"/>
    <w:autoRedefine/>
    <w:qFormat/>
    <w:uiPriority w:val="0"/>
    <w:rPr>
      <w:sz w:val="21"/>
    </w:rPr>
  </w:style>
  <w:style w:type="character" w:customStyle="1" w:styleId="94">
    <w:name w:val="tw4winTerm"/>
    <w:autoRedefine/>
    <w:qFormat/>
    <w:uiPriority w:val="0"/>
    <w:rPr>
      <w:color w:val="0000FF"/>
    </w:rPr>
  </w:style>
  <w:style w:type="character" w:customStyle="1" w:styleId="95">
    <w:name w:val="纯文本 Char1"/>
    <w:link w:val="33"/>
    <w:autoRedefine/>
    <w:qFormat/>
    <w:uiPriority w:val="0"/>
    <w:rPr>
      <w:rFonts w:ascii="宋体" w:hAnsi="Courier New" w:eastAsia="宋体"/>
      <w:lang w:val="en-US" w:eastAsia="zh-CN" w:bidi="ar-SA"/>
    </w:rPr>
  </w:style>
  <w:style w:type="character" w:customStyle="1" w:styleId="96">
    <w:name w:val="段落正文 Char"/>
    <w:link w:val="97"/>
    <w:autoRedefine/>
    <w:qFormat/>
    <w:uiPriority w:val="0"/>
    <w:rPr>
      <w:rFonts w:eastAsia="宋体"/>
      <w:sz w:val="24"/>
      <w:szCs w:val="24"/>
      <w:lang w:bidi="ar-SA"/>
    </w:rPr>
  </w:style>
  <w:style w:type="paragraph" w:customStyle="1" w:styleId="97">
    <w:name w:val="段落正文"/>
    <w:basedOn w:val="1"/>
    <w:link w:val="96"/>
    <w:autoRedefine/>
    <w:qFormat/>
    <w:uiPriority w:val="0"/>
    <w:pPr>
      <w:spacing w:line="360" w:lineRule="auto"/>
      <w:ind w:firstLine="200" w:firstLineChars="200"/>
    </w:pPr>
    <w:rPr>
      <w:rFonts w:ascii="Times New Roman" w:hAnsi="Times New Roman"/>
      <w:kern w:val="0"/>
      <w:sz w:val="24"/>
      <w:szCs w:val="24"/>
    </w:rPr>
  </w:style>
  <w:style w:type="character" w:customStyle="1" w:styleId="98">
    <w:name w:val="ca-2"/>
    <w:basedOn w:val="65"/>
    <w:autoRedefine/>
    <w:qFormat/>
    <w:uiPriority w:val="0"/>
  </w:style>
  <w:style w:type="character" w:customStyle="1" w:styleId="99">
    <w:name w:val="标题 9 Char"/>
    <w:link w:val="12"/>
    <w:autoRedefine/>
    <w:qFormat/>
    <w:uiPriority w:val="0"/>
    <w:rPr>
      <w:rFonts w:ascii="Arial" w:hAnsi="Arial" w:eastAsia="黑体"/>
      <w:sz w:val="28"/>
      <w:lang w:bidi="ar-SA"/>
    </w:rPr>
  </w:style>
  <w:style w:type="character" w:customStyle="1" w:styleId="100">
    <w:name w:val="ptb181"/>
    <w:autoRedefine/>
    <w:qFormat/>
    <w:uiPriority w:val="0"/>
    <w:rPr>
      <w:rFonts w:hint="default" w:ascii="Verdana" w:hAnsi="Verdana"/>
      <w:b/>
      <w:bCs/>
      <w:color w:val="000000"/>
      <w:sz w:val="26"/>
      <w:szCs w:val="26"/>
    </w:rPr>
  </w:style>
  <w:style w:type="character" w:customStyle="1" w:styleId="101">
    <w:name w:val="正文文本首行缩进 字符"/>
    <w:link w:val="102"/>
    <w:autoRedefine/>
    <w:qFormat/>
    <w:uiPriority w:val="0"/>
    <w:rPr>
      <w:rFonts w:eastAsia="宋体"/>
      <w:bCs/>
      <w:sz w:val="24"/>
      <w:szCs w:val="24"/>
      <w:lang w:bidi="ar-SA"/>
    </w:rPr>
  </w:style>
  <w:style w:type="paragraph" w:customStyle="1" w:styleId="102">
    <w:name w:val="正文文本首行缩进"/>
    <w:basedOn w:val="24"/>
    <w:link w:val="101"/>
    <w:autoRedefine/>
    <w:qFormat/>
    <w:uiPriority w:val="0"/>
    <w:pPr>
      <w:spacing w:line="360" w:lineRule="auto"/>
      <w:ind w:firstLine="200" w:firstLineChars="200"/>
      <w:jc w:val="left"/>
    </w:pPr>
    <w:rPr>
      <w:rFonts w:ascii="Times New Roman" w:hAnsi="Times New Roman"/>
      <w:bCs/>
      <w:kern w:val="0"/>
      <w:sz w:val="24"/>
      <w:szCs w:val="24"/>
    </w:rPr>
  </w:style>
  <w:style w:type="character" w:customStyle="1" w:styleId="103">
    <w:name w:val="huide001"/>
    <w:autoRedefine/>
    <w:qFormat/>
    <w:uiPriority w:val="0"/>
    <w:rPr>
      <w:rFonts w:hint="default" w:ascii="Arial" w:hAnsi="Arial" w:cs="Arial"/>
      <w:color w:val="666666"/>
      <w:sz w:val="18"/>
      <w:szCs w:val="18"/>
    </w:rPr>
  </w:style>
  <w:style w:type="character" w:customStyle="1" w:styleId="104">
    <w:name w:val="宏文本 Char"/>
    <w:link w:val="3"/>
    <w:autoRedefine/>
    <w:qFormat/>
    <w:uiPriority w:val="0"/>
    <w:rPr>
      <w:rFonts w:ascii="Courier New" w:hAnsi="Courier New"/>
      <w:sz w:val="24"/>
      <w:szCs w:val="24"/>
      <w:lang w:val="en-US" w:eastAsia="zh-CN" w:bidi="ar-SA"/>
    </w:rPr>
  </w:style>
  <w:style w:type="character" w:customStyle="1" w:styleId="105">
    <w:name w:val="paragraph1 Char"/>
    <w:link w:val="106"/>
    <w:autoRedefine/>
    <w:qFormat/>
    <w:uiPriority w:val="0"/>
    <w:rPr>
      <w:rFonts w:eastAsia="楷体_GB2312"/>
      <w:sz w:val="24"/>
      <w:lang w:bidi="ar-SA"/>
    </w:rPr>
  </w:style>
  <w:style w:type="paragraph" w:customStyle="1" w:styleId="106">
    <w:name w:val="paragraph1"/>
    <w:basedOn w:val="1"/>
    <w:link w:val="105"/>
    <w:autoRedefine/>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7">
    <w:name w:val="标题 4 Char"/>
    <w:link w:val="7"/>
    <w:autoRedefine/>
    <w:qFormat/>
    <w:uiPriority w:val="0"/>
    <w:rPr>
      <w:rFonts w:ascii="Arial" w:hAnsi="Arial" w:eastAsia="黑体"/>
      <w:b/>
      <w:bCs/>
      <w:sz w:val="28"/>
      <w:szCs w:val="28"/>
      <w:lang w:bidi="ar-SA"/>
    </w:rPr>
  </w:style>
  <w:style w:type="character" w:customStyle="1" w:styleId="108">
    <w:name w:val="日期 Char"/>
    <w:link w:val="36"/>
    <w:autoRedefine/>
    <w:qFormat/>
    <w:uiPriority w:val="0"/>
    <w:rPr>
      <w:rFonts w:eastAsia="宋体"/>
      <w:sz w:val="28"/>
      <w:lang w:bidi="ar-SA"/>
    </w:rPr>
  </w:style>
  <w:style w:type="character" w:customStyle="1" w:styleId="109">
    <w:name w:val="列表段落 字符"/>
    <w:link w:val="110"/>
    <w:autoRedefine/>
    <w:qFormat/>
    <w:locked/>
    <w:uiPriority w:val="0"/>
    <w:rPr>
      <w:rFonts w:eastAsia="宋体"/>
      <w:lang w:bidi="ar-SA"/>
    </w:rPr>
  </w:style>
  <w:style w:type="paragraph" w:customStyle="1" w:styleId="110">
    <w:name w:val="列表段落"/>
    <w:basedOn w:val="1"/>
    <w:link w:val="109"/>
    <w:autoRedefine/>
    <w:qFormat/>
    <w:uiPriority w:val="0"/>
    <w:pPr>
      <w:ind w:firstLine="420" w:firstLineChars="200"/>
    </w:pPr>
    <w:rPr>
      <w:rFonts w:ascii="Times New Roman" w:hAnsi="Times New Roman"/>
      <w:kern w:val="0"/>
      <w:sz w:val="20"/>
      <w:szCs w:val="20"/>
    </w:rPr>
  </w:style>
  <w:style w:type="character" w:customStyle="1" w:styleId="111">
    <w:name w:val="正文文本 2 Char"/>
    <w:link w:val="55"/>
    <w:autoRedefine/>
    <w:qFormat/>
    <w:uiPriority w:val="0"/>
    <w:rPr>
      <w:rFonts w:eastAsia="宋体"/>
      <w:color w:val="000000"/>
      <w:szCs w:val="24"/>
      <w:lang w:bidi="ar-SA"/>
    </w:rPr>
  </w:style>
  <w:style w:type="character" w:customStyle="1" w:styleId="112">
    <w:name w:val="脚注文本 Char"/>
    <w:link w:val="47"/>
    <w:autoRedefine/>
    <w:qFormat/>
    <w:uiPriority w:val="0"/>
    <w:rPr>
      <w:rFonts w:eastAsia="宋体"/>
      <w:sz w:val="18"/>
      <w:szCs w:val="18"/>
      <w:lang w:bidi="ar-SA"/>
    </w:rPr>
  </w:style>
  <w:style w:type="character" w:customStyle="1" w:styleId="113">
    <w:name w:val="public 箭头加粗 Char"/>
    <w:link w:val="114"/>
    <w:autoRedefine/>
    <w:qFormat/>
    <w:uiPriority w:val="0"/>
    <w:rPr>
      <w:rFonts w:ascii="宋体" w:hAnsi="宋体" w:eastAsia="宋体"/>
      <w:b/>
      <w:bCs/>
      <w:sz w:val="24"/>
      <w:szCs w:val="24"/>
      <w:lang w:bidi="ar-SA"/>
    </w:rPr>
  </w:style>
  <w:style w:type="paragraph" w:customStyle="1" w:styleId="114">
    <w:name w:val="public 箭头加粗"/>
    <w:basedOn w:val="1"/>
    <w:link w:val="113"/>
    <w:autoRedefine/>
    <w:qFormat/>
    <w:uiPriority w:val="0"/>
    <w:pPr>
      <w:spacing w:beforeLines="50" w:after="50" w:line="360" w:lineRule="auto"/>
    </w:pPr>
    <w:rPr>
      <w:rFonts w:ascii="宋体" w:hAnsi="宋体"/>
      <w:b/>
      <w:bCs/>
      <w:kern w:val="0"/>
      <w:sz w:val="24"/>
      <w:szCs w:val="24"/>
    </w:rPr>
  </w:style>
  <w:style w:type="character" w:customStyle="1" w:styleId="115">
    <w:name w:val="纯文本 Char"/>
    <w:autoRedefine/>
    <w:qFormat/>
    <w:uiPriority w:val="0"/>
    <w:rPr>
      <w:rFonts w:ascii="宋体" w:hAnsi="Courier New" w:eastAsia="宋体" w:cs="Courier New"/>
      <w:szCs w:val="21"/>
    </w:rPr>
  </w:style>
  <w:style w:type="character" w:customStyle="1" w:styleId="116">
    <w:name w:val="tw4winPopup"/>
    <w:autoRedefine/>
    <w:qFormat/>
    <w:uiPriority w:val="0"/>
    <w:rPr>
      <w:rFonts w:ascii="Courier New" w:hAnsi="Courier New"/>
      <w:color w:val="008000"/>
    </w:rPr>
  </w:style>
  <w:style w:type="character" w:customStyle="1" w:styleId="117">
    <w:name w:val="表正文 Char"/>
    <w:autoRedefine/>
    <w:qFormat/>
    <w:uiPriority w:val="0"/>
    <w:rPr>
      <w:rFonts w:eastAsia="宋体"/>
      <w:kern w:val="2"/>
      <w:sz w:val="21"/>
      <w:lang w:val="en-US" w:eastAsia="zh-CN" w:bidi="ar-SA"/>
    </w:rPr>
  </w:style>
  <w:style w:type="character" w:customStyle="1" w:styleId="118">
    <w:name w:val="正文文本缩进 3 Char"/>
    <w:link w:val="49"/>
    <w:autoRedefine/>
    <w:qFormat/>
    <w:uiPriority w:val="0"/>
    <w:rPr>
      <w:rFonts w:eastAsia="宋体"/>
      <w:sz w:val="24"/>
      <w:szCs w:val="24"/>
      <w:lang w:bidi="ar-SA"/>
    </w:rPr>
  </w:style>
  <w:style w:type="character" w:customStyle="1" w:styleId="119">
    <w:name w:val="标题 8 Char"/>
    <w:link w:val="11"/>
    <w:autoRedefine/>
    <w:qFormat/>
    <w:uiPriority w:val="0"/>
    <w:rPr>
      <w:rFonts w:ascii="Arial" w:hAnsi="Arial" w:eastAsia="黑体"/>
      <w:sz w:val="24"/>
      <w:lang w:bidi="ar-SA"/>
    </w:rPr>
  </w:style>
  <w:style w:type="character" w:customStyle="1" w:styleId="120">
    <w:name w:val="正文文本缩进 2 Char"/>
    <w:link w:val="37"/>
    <w:autoRedefine/>
    <w:qFormat/>
    <w:uiPriority w:val="0"/>
    <w:rPr>
      <w:rFonts w:eastAsia="宋体"/>
      <w:lang w:bidi="ar-SA"/>
    </w:rPr>
  </w:style>
  <w:style w:type="character" w:customStyle="1" w:styleId="121">
    <w:name w:val="批注框文本 Char"/>
    <w:link w:val="39"/>
    <w:autoRedefine/>
    <w:qFormat/>
    <w:uiPriority w:val="0"/>
    <w:rPr>
      <w:rFonts w:eastAsia="宋体"/>
      <w:sz w:val="18"/>
      <w:szCs w:val="18"/>
      <w:lang w:bidi="ar-SA"/>
    </w:rPr>
  </w:style>
  <w:style w:type="character" w:customStyle="1" w:styleId="122">
    <w:name w:val="批注主题 Char"/>
    <w:link w:val="60"/>
    <w:autoRedefine/>
    <w:qFormat/>
    <w:uiPriority w:val="0"/>
    <w:rPr>
      <w:rFonts w:eastAsia="宋体"/>
      <w:b/>
      <w:bCs/>
      <w:szCs w:val="24"/>
      <w:lang w:bidi="ar-SA"/>
    </w:rPr>
  </w:style>
  <w:style w:type="character" w:customStyle="1" w:styleId="123">
    <w:name w:val="tw4winError"/>
    <w:autoRedefine/>
    <w:qFormat/>
    <w:uiPriority w:val="0"/>
    <w:rPr>
      <w:rFonts w:ascii="Courier New" w:hAnsi="Courier New"/>
      <w:color w:val="00FF00"/>
      <w:sz w:val="40"/>
    </w:rPr>
  </w:style>
  <w:style w:type="character" w:customStyle="1" w:styleId="124">
    <w:name w:val="标题 2 Char"/>
    <w:link w:val="4"/>
    <w:autoRedefine/>
    <w:qFormat/>
    <w:uiPriority w:val="0"/>
    <w:rPr>
      <w:rFonts w:ascii="Arial" w:hAnsi="Arial" w:eastAsia="黑体"/>
      <w:b/>
      <w:bCs/>
      <w:kern w:val="2"/>
      <w:sz w:val="32"/>
      <w:szCs w:val="32"/>
      <w:lang w:bidi="ar-SA"/>
    </w:rPr>
  </w:style>
  <w:style w:type="character" w:customStyle="1" w:styleId="125">
    <w:name w:val="para"/>
    <w:autoRedefine/>
    <w:qFormat/>
    <w:uiPriority w:val="0"/>
  </w:style>
  <w:style w:type="character" w:customStyle="1" w:styleId="126">
    <w:name w:val="public正文段落 Char"/>
    <w:link w:val="127"/>
    <w:autoRedefine/>
    <w:qFormat/>
    <w:uiPriority w:val="0"/>
    <w:rPr>
      <w:rFonts w:eastAsia="宋体"/>
      <w:sz w:val="24"/>
      <w:szCs w:val="28"/>
      <w:lang w:bidi="ar-SA"/>
    </w:rPr>
  </w:style>
  <w:style w:type="paragraph" w:customStyle="1" w:styleId="127">
    <w:name w:val="public正文段落"/>
    <w:basedOn w:val="1"/>
    <w:link w:val="126"/>
    <w:autoRedefine/>
    <w:qFormat/>
    <w:uiPriority w:val="0"/>
    <w:pPr>
      <w:spacing w:line="360" w:lineRule="auto"/>
      <w:ind w:firstLine="480" w:firstLineChars="200"/>
    </w:pPr>
    <w:rPr>
      <w:rFonts w:ascii="Times New Roman" w:hAnsi="Times New Roman"/>
      <w:kern w:val="0"/>
      <w:sz w:val="24"/>
      <w:szCs w:val="28"/>
    </w:rPr>
  </w:style>
  <w:style w:type="character" w:customStyle="1" w:styleId="128">
    <w:name w:val="unnamed11"/>
    <w:autoRedefine/>
    <w:qFormat/>
    <w:uiPriority w:val="0"/>
    <w:rPr>
      <w:sz w:val="20"/>
      <w:szCs w:val="20"/>
    </w:rPr>
  </w:style>
  <w:style w:type="character" w:customStyle="1" w:styleId="129">
    <w:name w:val="页脚 Char"/>
    <w:link w:val="40"/>
    <w:autoRedefine/>
    <w:qFormat/>
    <w:uiPriority w:val="0"/>
    <w:rPr>
      <w:rFonts w:ascii="Calibri" w:hAnsi="Calibri" w:eastAsia="宋体"/>
      <w:sz w:val="18"/>
      <w:szCs w:val="18"/>
      <w:lang w:bidi="ar-SA"/>
    </w:rPr>
  </w:style>
  <w:style w:type="character" w:customStyle="1" w:styleId="130">
    <w:name w:val="标题 6 Char"/>
    <w:link w:val="9"/>
    <w:autoRedefine/>
    <w:qFormat/>
    <w:uiPriority w:val="0"/>
    <w:rPr>
      <w:rFonts w:ascii="Arial" w:hAnsi="Arial" w:eastAsia="黑体"/>
      <w:b/>
      <w:bCs/>
      <w:sz w:val="24"/>
      <w:lang w:bidi="ar-SA"/>
    </w:rPr>
  </w:style>
  <w:style w:type="character" w:customStyle="1" w:styleId="131">
    <w:name w:val="A C"/>
    <w:autoRedefine/>
    <w:qFormat/>
    <w:uiPriority w:val="0"/>
    <w:rPr>
      <w:rFonts w:ascii="仿宋_GB2312"/>
      <w:bCs/>
      <w:iCs/>
      <w:sz w:val="24"/>
    </w:rPr>
  </w:style>
  <w:style w:type="character" w:customStyle="1" w:styleId="132">
    <w:name w:val="副标题 Char"/>
    <w:link w:val="46"/>
    <w:autoRedefine/>
    <w:qFormat/>
    <w:uiPriority w:val="0"/>
    <w:rPr>
      <w:rFonts w:ascii="宋体" w:eastAsia="宋体"/>
      <w:i/>
      <w:snapToGrid w:val="0"/>
      <w:sz w:val="36"/>
      <w:lang w:val="en-AU" w:bidi="ar-SA"/>
    </w:rPr>
  </w:style>
  <w:style w:type="character" w:customStyle="1" w:styleId="133">
    <w:name w:val="ss9"/>
    <w:autoRedefine/>
    <w:qFormat/>
    <w:uiPriority w:val="0"/>
  </w:style>
  <w:style w:type="character" w:customStyle="1" w:styleId="134">
    <w:name w:val="标题 1 Char Char"/>
    <w:autoRedefine/>
    <w:qFormat/>
    <w:uiPriority w:val="0"/>
    <w:rPr>
      <w:rFonts w:eastAsia="宋体"/>
      <w:b/>
      <w:spacing w:val="-2"/>
      <w:sz w:val="24"/>
      <w:lang w:val="en-US" w:eastAsia="zh-CN" w:bidi="ar-SA"/>
    </w:rPr>
  </w:style>
  <w:style w:type="character" w:customStyle="1" w:styleId="135">
    <w:name w:val="HTML 预设格式 Char"/>
    <w:link w:val="56"/>
    <w:autoRedefine/>
    <w:qFormat/>
    <w:uiPriority w:val="0"/>
    <w:rPr>
      <w:rFonts w:ascii="Courier New" w:hAnsi="Courier New" w:eastAsia="宋体"/>
      <w:lang w:bidi="ar-SA"/>
    </w:rPr>
  </w:style>
  <w:style w:type="character" w:customStyle="1" w:styleId="136">
    <w:name w:val="标题 7 Char"/>
    <w:link w:val="10"/>
    <w:autoRedefine/>
    <w:qFormat/>
    <w:uiPriority w:val="0"/>
    <w:rPr>
      <w:rFonts w:ascii="宋体" w:eastAsia="仿宋_GB2312"/>
      <w:b/>
      <w:sz w:val="24"/>
      <w:lang w:bidi="ar-SA"/>
    </w:rPr>
  </w:style>
  <w:style w:type="character" w:customStyle="1" w:styleId="137">
    <w:name w:val="页眉 Char"/>
    <w:link w:val="41"/>
    <w:autoRedefine/>
    <w:qFormat/>
    <w:uiPriority w:val="0"/>
    <w:rPr>
      <w:rFonts w:ascii="Calibri" w:hAnsi="Calibri" w:eastAsia="宋体"/>
      <w:sz w:val="18"/>
      <w:szCs w:val="18"/>
      <w:lang w:bidi="ar-SA"/>
    </w:rPr>
  </w:style>
  <w:style w:type="character" w:customStyle="1" w:styleId="138">
    <w:name w:val="tw4winExternal"/>
    <w:autoRedefine/>
    <w:qFormat/>
    <w:uiPriority w:val="0"/>
    <w:rPr>
      <w:rFonts w:ascii="Courier New" w:hAnsi="Courier New"/>
      <w:color w:val="808080"/>
    </w:rPr>
  </w:style>
  <w:style w:type="character" w:customStyle="1" w:styleId="139">
    <w:name w:val="point_normal1"/>
    <w:autoRedefine/>
    <w:qFormat/>
    <w:uiPriority w:val="0"/>
    <w:rPr>
      <w:rFonts w:hint="default" w:ascii="Arial" w:hAnsi="Arial" w:cs="Arial"/>
      <w:sz w:val="18"/>
      <w:szCs w:val="18"/>
    </w:rPr>
  </w:style>
  <w:style w:type="character" w:customStyle="1" w:styleId="140">
    <w:name w:val="标题 1 Char"/>
    <w:link w:val="2"/>
    <w:autoRedefine/>
    <w:qFormat/>
    <w:uiPriority w:val="0"/>
    <w:rPr>
      <w:rFonts w:ascii="宋体" w:hAnsi="Arial" w:eastAsia="黑体"/>
      <w:b/>
      <w:color w:val="000000"/>
      <w:kern w:val="44"/>
      <w:sz w:val="36"/>
      <w:lang w:bidi="ar-SA"/>
    </w:rPr>
  </w:style>
  <w:style w:type="character" w:customStyle="1" w:styleId="141">
    <w:name w:val="正文文本 3 Char"/>
    <w:link w:val="23"/>
    <w:autoRedefine/>
    <w:qFormat/>
    <w:uiPriority w:val="0"/>
    <w:rPr>
      <w:rFonts w:ascii="宋体" w:hAnsi="宋体" w:eastAsia="宋体"/>
      <w:sz w:val="36"/>
      <w:szCs w:val="24"/>
      <w:lang w:bidi="ar-SA"/>
    </w:rPr>
  </w:style>
  <w:style w:type="character" w:customStyle="1" w:styleId="142">
    <w:name w:val="正文文本 Char"/>
    <w:link w:val="24"/>
    <w:autoRedefine/>
    <w:semiHidden/>
    <w:qFormat/>
    <w:uiPriority w:val="0"/>
    <w:rPr>
      <w:rFonts w:ascii="Calibri" w:hAnsi="Calibri" w:eastAsia="宋体"/>
      <w:kern w:val="2"/>
      <w:sz w:val="21"/>
      <w:szCs w:val="22"/>
      <w:lang w:val="en-US" w:eastAsia="zh-CN" w:bidi="ar-SA"/>
    </w:rPr>
  </w:style>
  <w:style w:type="character" w:customStyle="1" w:styleId="143">
    <w:name w:val="tw4winJump"/>
    <w:autoRedefine/>
    <w:qFormat/>
    <w:uiPriority w:val="0"/>
    <w:rPr>
      <w:rFonts w:ascii="Courier New" w:hAnsi="Courier New"/>
      <w:color w:val="008080"/>
    </w:rPr>
  </w:style>
  <w:style w:type="character" w:customStyle="1" w:styleId="144">
    <w:name w:val="标题 5 Char"/>
    <w:link w:val="8"/>
    <w:autoRedefine/>
    <w:qFormat/>
    <w:uiPriority w:val="0"/>
    <w:rPr>
      <w:rFonts w:eastAsia="宋体"/>
      <w:b/>
      <w:bCs/>
      <w:sz w:val="28"/>
      <w:szCs w:val="28"/>
      <w:lang w:bidi="ar-SA"/>
    </w:rPr>
  </w:style>
  <w:style w:type="character" w:customStyle="1" w:styleId="145">
    <w:name w:val="spelle"/>
    <w:autoRedefine/>
    <w:qFormat/>
    <w:uiPriority w:val="0"/>
  </w:style>
  <w:style w:type="character" w:customStyle="1" w:styleId="146">
    <w:name w:val="尾注文本 Char"/>
    <w:link w:val="38"/>
    <w:autoRedefine/>
    <w:qFormat/>
    <w:uiPriority w:val="0"/>
    <w:rPr>
      <w:rFonts w:ascii="宋体" w:eastAsia="宋体"/>
      <w:snapToGrid w:val="0"/>
      <w:lang w:bidi="ar-SA"/>
    </w:rPr>
  </w:style>
  <w:style w:type="character" w:customStyle="1" w:styleId="147">
    <w:name w:val="正文文本缩进 Char"/>
    <w:link w:val="26"/>
    <w:autoRedefine/>
    <w:qFormat/>
    <w:uiPriority w:val="0"/>
    <w:rPr>
      <w:rFonts w:eastAsia="宋体"/>
      <w:sz w:val="28"/>
      <w:lang w:bidi="ar-SA"/>
    </w:rPr>
  </w:style>
  <w:style w:type="character" w:customStyle="1" w:styleId="148">
    <w:name w:val="bulletintext1"/>
    <w:autoRedefine/>
    <w:qFormat/>
    <w:uiPriority w:val="0"/>
    <w:rPr>
      <w:color w:val="000000"/>
      <w:sz w:val="18"/>
      <w:szCs w:val="18"/>
    </w:rPr>
  </w:style>
  <w:style w:type="character" w:customStyle="1" w:styleId="149">
    <w:name w:val="large1"/>
    <w:autoRedefine/>
    <w:qFormat/>
    <w:uiPriority w:val="0"/>
    <w:rPr>
      <w:rFonts w:hint="eastAsia" w:ascii="宋体" w:hAnsi="宋体" w:eastAsia="宋体"/>
      <w:sz w:val="21"/>
      <w:szCs w:val="21"/>
    </w:rPr>
  </w:style>
  <w:style w:type="paragraph" w:customStyle="1" w:styleId="150">
    <w:name w:val="public 4级"/>
    <w:basedOn w:val="7"/>
    <w:autoRedefine/>
    <w:qFormat/>
    <w:uiPriority w:val="0"/>
    <w:pPr>
      <w:tabs>
        <w:tab w:val="left" w:pos="2100"/>
      </w:tabs>
      <w:ind w:left="2100" w:hanging="420"/>
    </w:pPr>
    <w:rPr>
      <w:sz w:val="24"/>
      <w:szCs w:val="24"/>
    </w:rPr>
  </w:style>
  <w:style w:type="paragraph" w:customStyle="1" w:styleId="151">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2">
    <w:name w:val="!标题1 Ctrl+1"/>
    <w:basedOn w:val="2"/>
    <w:next w:val="1"/>
    <w:autoRedefine/>
    <w:qFormat/>
    <w:uiPriority w:val="0"/>
    <w:pPr>
      <w:keepNext w:val="0"/>
      <w:keepLines w:val="0"/>
      <w:pageBreakBefore/>
      <w:tabs>
        <w:tab w:val="left" w:pos="360"/>
        <w:tab w:val="left" w:pos="1800"/>
      </w:tabs>
      <w:autoSpaceDE/>
      <w:autoSpaceDN/>
      <w:snapToGrid w:val="0"/>
      <w:spacing w:beforeLines="100" w:afterLines="100" w:line="240" w:lineRule="auto"/>
      <w:jc w:val="center"/>
      <w:textAlignment w:val="auto"/>
    </w:pPr>
    <w:rPr>
      <w:rFonts w:ascii="Arial"/>
      <w:bCs/>
      <w:color w:val="auto"/>
      <w:kern w:val="2"/>
      <w:sz w:val="44"/>
      <w:szCs w:val="44"/>
    </w:rPr>
  </w:style>
  <w:style w:type="paragraph" w:customStyle="1" w:styleId="153">
    <w:name w:val="样式 标题 3Chapter X.X.X"/>
    <w:basedOn w:val="154"/>
    <w:autoRedefine/>
    <w:qFormat/>
    <w:uiPriority w:val="0"/>
    <w:pPr>
      <w:spacing w:after="120"/>
    </w:pPr>
  </w:style>
  <w:style w:type="paragraph" w:customStyle="1" w:styleId="154">
    <w:name w:val="标题 3Chapter X.X.X. + 段后: 0.5 行 + 段后: 0.5 行 + 段后: 0.5 行1"/>
    <w:basedOn w:val="155"/>
    <w:autoRedefine/>
    <w:qFormat/>
    <w:uiPriority w:val="0"/>
  </w:style>
  <w:style w:type="paragraph" w:customStyle="1" w:styleId="155">
    <w:name w:val="样式 样式 标题 3Chapter X.X.X. + 段后: 0.5 行 + 段后: 0.5 行"/>
    <w:basedOn w:val="156"/>
    <w:autoRedefine/>
    <w:qFormat/>
    <w:uiPriority w:val="0"/>
  </w:style>
  <w:style w:type="paragraph" w:customStyle="1" w:styleId="156">
    <w:name w:val="样式 标题 3Chapter X.X.X. +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7">
    <w:name w:val="标准标题3"/>
    <w:basedOn w:val="5"/>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59">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61">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162">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63">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64">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S4-I-L15-U"/>
    <w:basedOn w:val="1"/>
    <w:autoRedefine/>
    <w:qFormat/>
    <w:uiPriority w:val="0"/>
    <w:pPr>
      <w:spacing w:line="360" w:lineRule="auto"/>
    </w:pPr>
    <w:rPr>
      <w:rFonts w:ascii="Times New Roman" w:hAnsi="Times New Roman"/>
      <w:b/>
      <w:i/>
      <w:sz w:val="24"/>
      <w:szCs w:val="24"/>
      <w:u w:val="single"/>
    </w:rPr>
  </w:style>
  <w:style w:type="paragraph" w:customStyle="1" w:styleId="166">
    <w:name w:val="样式 标题 1 + 五号"/>
    <w:basedOn w:val="2"/>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170">
    <w:name w:val="Table - Col. Head"/>
    <w:basedOn w:val="1"/>
    <w:autoRedefine/>
    <w:qFormat/>
    <w:uiPriority w:val="0"/>
    <w:pPr>
      <w:keepNext/>
      <w:widowControl/>
      <w:numPr>
        <w:ilvl w:val="0"/>
        <w:numId w:val="8"/>
      </w:numPr>
      <w:tabs>
        <w:tab w:val="clear" w:pos="360"/>
      </w:tabs>
      <w:spacing w:before="60" w:afterLines="50"/>
      <w:ind w:left="0" w:firstLine="0"/>
      <w:jc w:val="left"/>
    </w:pPr>
    <w:rPr>
      <w:rFonts w:ascii="Arial" w:hAnsi="Arial"/>
      <w:b/>
      <w:kern w:val="0"/>
      <w:sz w:val="18"/>
      <w:szCs w:val="20"/>
      <w:lang w:eastAsia="en-US"/>
    </w:rPr>
  </w:style>
  <w:style w:type="paragraph" w:customStyle="1" w:styleId="171">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72">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73">
    <w:name w:val="样式 标题 3"/>
    <w:basedOn w:val="5"/>
    <w:next w:val="174"/>
    <w:autoRedefine/>
    <w:qFormat/>
    <w:uiPriority w:val="0"/>
    <w:pPr>
      <w:keepNext/>
      <w:numPr>
        <w:ilvl w:val="2"/>
        <w:numId w:val="9"/>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4">
    <w:name w:val="最新标题4"/>
    <w:basedOn w:val="175"/>
    <w:next w:val="1"/>
    <w:autoRedefine/>
    <w:qFormat/>
    <w:uiPriority w:val="0"/>
    <w:pPr>
      <w:numPr>
        <w:ilvl w:val="1"/>
        <w:numId w:val="9"/>
      </w:numPr>
      <w:tabs>
        <w:tab w:val="left" w:pos="2100"/>
      </w:tabs>
      <w:spacing w:after="120"/>
      <w:ind w:left="0" w:firstLine="0"/>
    </w:pPr>
  </w:style>
  <w:style w:type="paragraph" w:customStyle="1" w:styleId="175">
    <w:name w:val="样式 标题 4"/>
    <w:basedOn w:val="176"/>
    <w:next w:val="178"/>
    <w:autoRedefine/>
    <w:qFormat/>
    <w:uiPriority w:val="0"/>
    <w:pPr>
      <w:numPr>
        <w:ilvl w:val="3"/>
        <w:numId w:val="10"/>
      </w:numPr>
      <w:spacing w:after="50"/>
    </w:pPr>
  </w:style>
  <w:style w:type="paragraph" w:customStyle="1" w:styleId="176">
    <w:name w:val="样式 标题 4Chapter X.X.X.X. + 段后: 0.5 行1"/>
    <w:basedOn w:val="177"/>
    <w:autoRedefine/>
    <w:qFormat/>
    <w:uiPriority w:val="0"/>
    <w:pPr>
      <w:spacing w:after="120"/>
    </w:pPr>
  </w:style>
  <w:style w:type="paragraph" w:customStyle="1" w:styleId="177">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8">
    <w:name w:val="样式 正文"/>
    <w:basedOn w:val="1"/>
    <w:next w:val="1"/>
    <w:autoRedefine/>
    <w:qFormat/>
    <w:uiPriority w:val="0"/>
    <w:pPr>
      <w:spacing w:afterLines="50"/>
      <w:jc w:val="left"/>
    </w:pPr>
    <w:rPr>
      <w:rFonts w:ascii="宋体" w:hAnsi="Times New Roman" w:cs="宋体"/>
      <w:snapToGrid w:val="0"/>
      <w:kern w:val="0"/>
      <w:szCs w:val="20"/>
    </w:rPr>
  </w:style>
  <w:style w:type="paragraph" w:customStyle="1" w:styleId="17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18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1">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2">
    <w:name w:val="标准标题1"/>
    <w:basedOn w:val="2"/>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184">
    <w:name w:val="样式 标题 1 + 五号1 Char Char Char Char Char Char Char Char Char Char Char Char Char Char Char Char Char"/>
    <w:basedOn w:val="2"/>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5">
    <w:name w:val="public 5级斜体"/>
    <w:basedOn w:val="186"/>
    <w:autoRedefine/>
    <w:qFormat/>
    <w:uiPriority w:val="0"/>
    <w:pPr>
      <w:numPr>
        <w:ilvl w:val="0"/>
        <w:numId w:val="0"/>
      </w:numPr>
      <w:tabs>
        <w:tab w:val="left" w:pos="2520"/>
      </w:tabs>
    </w:pPr>
    <w:rPr>
      <w:i/>
    </w:rPr>
  </w:style>
  <w:style w:type="paragraph" w:customStyle="1" w:styleId="186">
    <w:name w:val="public 5级"/>
    <w:basedOn w:val="8"/>
    <w:autoRedefine/>
    <w:qFormat/>
    <w:uiPriority w:val="0"/>
    <w:pPr>
      <w:numPr>
        <w:ilvl w:val="4"/>
        <w:numId w:val="10"/>
      </w:numPr>
    </w:pPr>
    <w:rPr>
      <w:rFonts w:ascii="黑体" w:hAnsi="黑体" w:eastAsia="黑体"/>
      <w:sz w:val="24"/>
      <w:szCs w:val="24"/>
    </w:rPr>
  </w:style>
  <w:style w:type="paragraph" w:customStyle="1" w:styleId="18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8">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89">
    <w:name w:val="正文1"/>
    <w:basedOn w:val="1"/>
    <w:autoRedefine/>
    <w:qFormat/>
    <w:uiPriority w:val="0"/>
    <w:rPr>
      <w:rFonts w:ascii="Times New Roman" w:hAnsi="Times New Roman"/>
      <w:sz w:val="24"/>
      <w:szCs w:val="20"/>
    </w:rPr>
  </w:style>
  <w:style w:type="paragraph" w:customStyle="1" w:styleId="190">
    <w:name w:val="样式 标题 3(A-3)sect1.2.3h3H3level_3PIM 3Level 3 HeadHeading..."/>
    <w:basedOn w:val="5"/>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1">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2">
    <w:name w:val="Figure Description"/>
    <w:next w:val="1"/>
    <w:autoRedefine/>
    <w:qFormat/>
    <w:uiPriority w:val="0"/>
    <w:pPr>
      <w:numPr>
        <w:ilvl w:val="4"/>
        <w:numId w:val="11"/>
      </w:numPr>
      <w:snapToGrid w:val="0"/>
      <w:spacing w:before="80" w:after="320"/>
      <w:jc w:val="center"/>
    </w:pPr>
    <w:rPr>
      <w:rFonts w:ascii="Arial" w:hAnsi="Arial" w:eastAsia="黑体" w:cs="Times New Roman"/>
      <w:sz w:val="18"/>
      <w:lang w:val="en-US" w:eastAsia="en-US" w:bidi="ar-SA"/>
    </w:rPr>
  </w:style>
  <w:style w:type="paragraph" w:customStyle="1" w:styleId="193">
    <w:name w:val="样式 样式 正文文本缩进 + 仿宋_GB2312 小四 首行缩进:  0 厘米 行距: 1.5 倍行距 + (中文) 仿宋_GB... Char Char"/>
    <w:basedOn w:val="194"/>
    <w:autoRedefine/>
    <w:qFormat/>
    <w:uiPriority w:val="0"/>
    <w:pPr>
      <w:ind w:firstLine="480" w:firstLineChars="200"/>
    </w:pPr>
  </w:style>
  <w:style w:type="paragraph" w:customStyle="1" w:styleId="194">
    <w:name w:val="样式 正文文本缩进 + 仿宋_GB2312 小四 首行缩进:  0 厘米 行距: 1.5 倍行距"/>
    <w:basedOn w:val="26"/>
    <w:autoRedefine/>
    <w:qFormat/>
    <w:uiPriority w:val="0"/>
    <w:pPr>
      <w:spacing w:line="360" w:lineRule="auto"/>
      <w:ind w:firstLine="0"/>
    </w:pPr>
    <w:rPr>
      <w:rFonts w:ascii="仿宋_GB2312" w:eastAsia="新宋体"/>
      <w:sz w:val="24"/>
    </w:rPr>
  </w:style>
  <w:style w:type="paragraph" w:customStyle="1" w:styleId="19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97">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198">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99">
    <w:name w:val="最新标题3"/>
    <w:basedOn w:val="173"/>
    <w:next w:val="174"/>
    <w:autoRedefine/>
    <w:qFormat/>
    <w:uiPriority w:val="0"/>
    <w:pPr>
      <w:spacing w:after="120"/>
    </w:pPr>
  </w:style>
  <w:style w:type="paragraph" w:customStyle="1" w:styleId="200">
    <w:name w:val="样式10"/>
    <w:basedOn w:val="5"/>
    <w:autoRedefine/>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1">
    <w:name w:val="样式 标题 2"/>
    <w:basedOn w:val="4"/>
    <w:next w:val="199"/>
    <w:autoRedefine/>
    <w:qFormat/>
    <w:uiPriority w:val="0"/>
    <w:pPr>
      <w:keepLines w:val="0"/>
      <w:numPr>
        <w:ilvl w:val="3"/>
        <w:numId w:val="9"/>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2">
    <w:name w:val="样式 样式 标题 4 + 段后: 0.5 行1"/>
    <w:basedOn w:val="177"/>
    <w:next w:val="38"/>
    <w:autoRedefine/>
    <w:qFormat/>
    <w:uiPriority w:val="0"/>
    <w:pPr>
      <w:spacing w:after="120"/>
    </w:pPr>
  </w:style>
  <w:style w:type="paragraph" w:customStyle="1" w:styleId="20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4">
    <w:name w:val="列出段落1"/>
    <w:basedOn w:val="1"/>
    <w:autoRedefine/>
    <w:qFormat/>
    <w:uiPriority w:val="0"/>
    <w:pPr>
      <w:ind w:firstLine="420" w:firstLineChars="200"/>
    </w:pPr>
    <w:rPr>
      <w:rFonts w:ascii="Times New Roman" w:hAnsi="Times New Roman"/>
      <w:szCs w:val="21"/>
    </w:rPr>
  </w:style>
  <w:style w:type="paragraph" w:customStyle="1" w:styleId="205">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206">
    <w:name w:val="S4-L15-No"/>
    <w:basedOn w:val="207"/>
    <w:autoRedefine/>
    <w:qFormat/>
    <w:uiPriority w:val="0"/>
    <w:pPr>
      <w:numPr>
        <w:ilvl w:val="0"/>
        <w:numId w:val="12"/>
      </w:numPr>
    </w:pPr>
  </w:style>
  <w:style w:type="paragraph" w:customStyle="1" w:styleId="207">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08">
    <w:name w:val="Style-正文"/>
    <w:basedOn w:val="1"/>
    <w:autoRedefine/>
    <w:qFormat/>
    <w:uiPriority w:val="0"/>
    <w:pPr>
      <w:spacing w:line="360" w:lineRule="auto"/>
      <w:ind w:firstLine="420"/>
    </w:pPr>
    <w:rPr>
      <w:rFonts w:ascii="宋体" w:hAnsi="宋体"/>
      <w:sz w:val="24"/>
      <w:szCs w:val="24"/>
    </w:rPr>
  </w:style>
  <w:style w:type="paragraph" w:customStyle="1" w:styleId="209">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0">
    <w:name w:val="样式 标题 2Chapter X.X. Statementh22Header 2l2Level 2 Headhea...1"/>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1">
    <w:name w:val="Body"/>
    <w:basedOn w:val="1"/>
    <w:autoRedefine/>
    <w:qFormat/>
    <w:uiPriority w:val="0"/>
    <w:pPr>
      <w:widowControl/>
      <w:spacing w:before="120" w:afterLines="50"/>
    </w:pPr>
    <w:rPr>
      <w:rFonts w:ascii="宋体" w:hAnsi="Times New Roman"/>
      <w:snapToGrid w:val="0"/>
      <w:kern w:val="0"/>
      <w:szCs w:val="20"/>
    </w:rPr>
  </w:style>
  <w:style w:type="paragraph" w:customStyle="1" w:styleId="212">
    <w:name w:val="方案正文样式"/>
    <w:basedOn w:val="6"/>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1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4">
    <w:name w:val="表内文字"/>
    <w:basedOn w:val="1"/>
    <w:autoRedefine/>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5">
    <w:name w:val="TOC 标题1"/>
    <w:basedOn w:val="2"/>
    <w:next w:val="1"/>
    <w:autoRedefine/>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6">
    <w:name w:val="样式　标题4"/>
    <w:basedOn w:val="217"/>
    <w:next w:val="1"/>
    <w:autoRedefine/>
    <w:qFormat/>
    <w:uiPriority w:val="0"/>
    <w:pPr>
      <w:numPr>
        <w:ilvl w:val="3"/>
        <w:numId w:val="2"/>
      </w:numPr>
    </w:pPr>
  </w:style>
  <w:style w:type="paragraph" w:customStyle="1" w:styleId="217">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0">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1">
    <w:name w:val="public 2级"/>
    <w:basedOn w:val="4"/>
    <w:autoRedefine/>
    <w:qFormat/>
    <w:uiPriority w:val="0"/>
    <w:pPr>
      <w:numPr>
        <w:numId w:val="10"/>
      </w:numPr>
      <w:tabs>
        <w:tab w:val="left" w:pos="1140"/>
        <w:tab w:val="left" w:pos="1260"/>
      </w:tabs>
      <w:jc w:val="center"/>
    </w:pPr>
    <w:rPr>
      <w:rFonts w:ascii="黑体" w:hAnsi="黑体"/>
    </w:rPr>
  </w:style>
  <w:style w:type="paragraph" w:customStyle="1" w:styleId="222">
    <w:name w:val="!标题3 Ctrl+3"/>
    <w:basedOn w:val="5"/>
    <w:next w:val="1"/>
    <w:autoRedefine/>
    <w:qFormat/>
    <w:uiPriority w:val="0"/>
    <w:pPr>
      <w:tabs>
        <w:tab w:val="left" w:pos="0"/>
        <w:tab w:val="left" w:pos="360"/>
        <w:tab w:val="left" w:pos="425"/>
      </w:tabs>
      <w:autoSpaceDE/>
      <w:autoSpaceDN/>
      <w:snapToGrid w:val="0"/>
      <w:spacing w:beforeLines="75" w:afterLines="25" w:line="360" w:lineRule="auto"/>
      <w:textAlignment w:val="auto"/>
    </w:pPr>
    <w:rPr>
      <w:rFonts w:ascii="Arial" w:hAnsi="Arial"/>
      <w:color w:val="auto"/>
      <w:kern w:val="2"/>
      <w:sz w:val="32"/>
      <w:szCs w:val="32"/>
    </w:rPr>
  </w:style>
  <w:style w:type="paragraph" w:customStyle="1" w:styleId="223">
    <w:name w:val="首行缩进"/>
    <w:basedOn w:val="1"/>
    <w:autoRedefine/>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224">
    <w:name w:val="样式 标题 2 + 五号"/>
    <w:basedOn w:val="4"/>
    <w:autoRedefine/>
    <w:qFormat/>
    <w:uiPriority w:val="0"/>
    <w:pPr>
      <w:numPr>
        <w:ilvl w:val="0"/>
        <w:numId w:val="0"/>
      </w:numPr>
      <w:spacing w:before="0" w:after="0" w:line="240" w:lineRule="auto"/>
    </w:pPr>
    <w:rPr>
      <w:rFonts w:ascii="宋体" w:hAnsi="宋体" w:eastAsia="宋体"/>
      <w:sz w:val="21"/>
    </w:rPr>
  </w:style>
  <w:style w:type="paragraph" w:customStyle="1" w:styleId="225">
    <w:name w:val="Char2"/>
    <w:basedOn w:val="1"/>
    <w:autoRedefine/>
    <w:qFormat/>
    <w:uiPriority w:val="0"/>
    <w:rPr>
      <w:rFonts w:ascii="仿宋_GB2312" w:hAnsi="Times New Roman" w:eastAsia="仿宋_GB2312"/>
      <w:b/>
      <w:sz w:val="32"/>
      <w:szCs w:val="32"/>
    </w:rPr>
  </w:style>
  <w:style w:type="paragraph" w:customStyle="1" w:styleId="226">
    <w:name w:val="S4-I-U-L15-No-dot"/>
    <w:basedOn w:val="1"/>
    <w:autoRedefine/>
    <w:qFormat/>
    <w:uiPriority w:val="0"/>
    <w:pPr>
      <w:numPr>
        <w:ilvl w:val="1"/>
        <w:numId w:val="13"/>
      </w:numPr>
      <w:tabs>
        <w:tab w:val="left" w:pos="1112"/>
      </w:tabs>
      <w:spacing w:after="120" w:line="360" w:lineRule="auto"/>
      <w:ind w:left="1112" w:hanging="420"/>
    </w:pPr>
    <w:rPr>
      <w:rFonts w:ascii="Times New Roman" w:hAnsi="Times New Roman"/>
      <w:i/>
      <w:sz w:val="24"/>
      <w:szCs w:val="24"/>
      <w:u w:val="single"/>
    </w:rPr>
  </w:style>
  <w:style w:type="paragraph" w:customStyle="1" w:styleId="227">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228">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229">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230">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3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3">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szCs w:val="24"/>
    </w:rPr>
  </w:style>
  <w:style w:type="paragraph" w:customStyle="1" w:styleId="234">
    <w:name w:val="标题1"/>
    <w:basedOn w:val="33"/>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35">
    <w:name w:val="标准标题2"/>
    <w:basedOn w:val="4"/>
    <w:autoRedefine/>
    <w:qFormat/>
    <w:uiPriority w:val="0"/>
    <w:pPr>
      <w:numPr>
        <w:ilvl w:val="0"/>
        <w:numId w:val="0"/>
      </w:numPr>
      <w:spacing w:line="360" w:lineRule="auto"/>
    </w:pPr>
    <w:rPr>
      <w:rFonts w:eastAsia="仿宋_GB2312"/>
      <w:bCs w:val="0"/>
      <w:sz w:val="28"/>
    </w:rPr>
  </w:style>
  <w:style w:type="paragraph" w:customStyle="1" w:styleId="236">
    <w:name w:val="样式 样式 样式 标题 3Chapter X.X.X. + 段后: 0.5 行 + 段后: 0.5 行 + 段后: 0.5 行"/>
    <w:basedOn w:val="155"/>
    <w:autoRedefine/>
    <w:qFormat/>
    <w:uiPriority w:val="0"/>
    <w:pPr>
      <w:spacing w:after="120"/>
    </w:pPr>
  </w:style>
  <w:style w:type="paragraph" w:customStyle="1" w:styleId="237">
    <w:name w:val="Char"/>
    <w:basedOn w:val="1"/>
    <w:autoRedefine/>
    <w:qFormat/>
    <w:uiPriority w:val="0"/>
    <w:rPr>
      <w:rFonts w:ascii="仿宋_GB2312" w:hAnsi="Times New Roman" w:eastAsia="仿宋_GB2312"/>
      <w:b/>
      <w:sz w:val="32"/>
      <w:szCs w:val="32"/>
    </w:rPr>
  </w:style>
  <w:style w:type="paragraph" w:customStyle="1" w:styleId="238">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23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1">
    <w:name w:val="最新标题2"/>
    <w:basedOn w:val="201"/>
    <w:next w:val="199"/>
    <w:autoRedefine/>
    <w:qFormat/>
    <w:uiPriority w:val="0"/>
    <w:pPr>
      <w:spacing w:after="120"/>
    </w:pPr>
  </w:style>
  <w:style w:type="paragraph" w:customStyle="1" w:styleId="242">
    <w:name w:val="IBM 正文"/>
    <w:basedOn w:val="1"/>
    <w:autoRedefine/>
    <w:qFormat/>
    <w:uiPriority w:val="0"/>
    <w:pPr>
      <w:spacing w:line="360" w:lineRule="atLeast"/>
    </w:pPr>
    <w:rPr>
      <w:rFonts w:ascii="Times New Roman" w:hAnsi="Times New Roman"/>
      <w:sz w:val="24"/>
      <w:szCs w:val="20"/>
    </w:rPr>
  </w:style>
  <w:style w:type="paragraph" w:customStyle="1" w:styleId="243">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44">
    <w:name w:val="样式 标题 3Chapter X.X.X. + 段后: 0.5 行1"/>
    <w:basedOn w:val="5"/>
    <w:next w:val="1"/>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5">
    <w:name w:val="Char Char"/>
    <w:basedOn w:val="1"/>
    <w:autoRedefine/>
    <w:qFormat/>
    <w:uiPriority w:val="0"/>
    <w:rPr>
      <w:rFonts w:ascii="Tahoma" w:hAnsi="Tahoma"/>
      <w:sz w:val="24"/>
      <w:szCs w:val="20"/>
    </w:rPr>
  </w:style>
  <w:style w:type="paragraph" w:customStyle="1" w:styleId="246">
    <w:name w:val="标准有序列表（L1）"/>
    <w:basedOn w:val="6"/>
    <w:autoRedefine/>
    <w:qFormat/>
    <w:uiPriority w:val="0"/>
    <w:pPr>
      <w:numPr>
        <w:ilvl w:val="4"/>
        <w:numId w:val="14"/>
      </w:numPr>
      <w:tabs>
        <w:tab w:val="left" w:pos="0"/>
        <w:tab w:val="clear" w:pos="2040"/>
      </w:tabs>
      <w:spacing w:line="360" w:lineRule="auto"/>
      <w:ind w:left="0" w:firstLine="0"/>
    </w:pPr>
    <w:rPr>
      <w:rFonts w:ascii="黑体" w:eastAsia="黑体"/>
      <w:color w:val="000000"/>
      <w:sz w:val="24"/>
    </w:rPr>
  </w:style>
  <w:style w:type="paragraph" w:customStyle="1" w:styleId="247">
    <w:name w:val="Table Description"/>
    <w:next w:val="1"/>
    <w:autoRedefine/>
    <w:qFormat/>
    <w:uiPriority w:val="0"/>
    <w:pPr>
      <w:keepNext/>
      <w:numPr>
        <w:ilvl w:val="5"/>
        <w:numId w:val="11"/>
      </w:numPr>
      <w:snapToGrid w:val="0"/>
      <w:spacing w:before="160" w:after="80"/>
      <w:jc w:val="center"/>
    </w:pPr>
    <w:rPr>
      <w:rFonts w:ascii="Arial" w:hAnsi="Arial" w:eastAsia="黑体" w:cs="Times New Roman"/>
      <w:sz w:val="18"/>
      <w:lang w:val="en-US" w:eastAsia="en-US" w:bidi="ar-SA"/>
    </w:rPr>
  </w:style>
  <w:style w:type="paragraph" w:customStyle="1" w:styleId="24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49">
    <w:name w:val="public 1级"/>
    <w:basedOn w:val="2"/>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0">
    <w:name w:val="Item List"/>
    <w:autoRedefine/>
    <w:qFormat/>
    <w:uiPriority w:val="0"/>
    <w:pPr>
      <w:numPr>
        <w:ilvl w:val="0"/>
        <w:numId w:val="15"/>
      </w:numPr>
      <w:spacing w:line="300" w:lineRule="auto"/>
      <w:jc w:val="both"/>
    </w:pPr>
    <w:rPr>
      <w:rFonts w:ascii="Arial" w:hAnsi="Arial" w:eastAsia="宋体" w:cs="Times New Roman"/>
      <w:sz w:val="21"/>
      <w:lang w:val="en-US" w:eastAsia="en-US" w:bidi="ar-SA"/>
    </w:rPr>
  </w:style>
  <w:style w:type="paragraph" w:customStyle="1" w:styleId="251">
    <w:name w:val="public 括号序号"/>
    <w:basedOn w:val="1"/>
    <w:autoRedefine/>
    <w:qFormat/>
    <w:uiPriority w:val="0"/>
    <w:pPr>
      <w:numPr>
        <w:ilvl w:val="0"/>
        <w:numId w:val="16"/>
      </w:numPr>
      <w:spacing w:line="360" w:lineRule="auto"/>
    </w:pPr>
    <w:rPr>
      <w:rFonts w:ascii="宋体" w:hAnsi="宋体"/>
      <w:sz w:val="24"/>
      <w:szCs w:val="24"/>
    </w:rPr>
  </w:style>
  <w:style w:type="paragraph" w:customStyle="1" w:styleId="252">
    <w:name w:val="图片居中"/>
    <w:basedOn w:val="82"/>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样式 标题1"/>
    <w:basedOn w:val="255"/>
    <w:next w:val="241"/>
    <w:autoRedefine/>
    <w:qFormat/>
    <w:uiPriority w:val="0"/>
    <w:pPr>
      <w:numPr>
        <w:ilvl w:val="0"/>
        <w:numId w:val="10"/>
      </w:numPr>
      <w:spacing w:after="50"/>
    </w:pPr>
    <w:rPr>
      <w:bCs w:val="0"/>
      <w:sz w:val="32"/>
    </w:rPr>
  </w:style>
  <w:style w:type="paragraph" w:customStyle="1" w:styleId="255">
    <w:name w:val="样式 标题 1 + 段后: 0.5 行"/>
    <w:basedOn w:val="2"/>
    <w:autoRedefine/>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7">
    <w:name w:val="S4-L15-C"/>
    <w:basedOn w:val="1"/>
    <w:autoRedefine/>
    <w:qFormat/>
    <w:uiPriority w:val="0"/>
    <w:pPr>
      <w:spacing w:after="120" w:line="360" w:lineRule="auto"/>
      <w:jc w:val="center"/>
    </w:pPr>
    <w:rPr>
      <w:rFonts w:ascii="Times New Roman" w:hAnsi="Times New Roman"/>
      <w:szCs w:val="21"/>
    </w:rPr>
  </w:style>
  <w:style w:type="paragraph" w:customStyle="1" w:styleId="258">
    <w:name w:val="样式 样式 正文文本缩进 + 仿宋_GB2312 小四 首行缩进:  0 厘米 行距: 1.5 倍行距 + (中文) 仿宋_GB..."/>
    <w:basedOn w:val="194"/>
    <w:autoRedefine/>
    <w:qFormat/>
    <w:uiPriority w:val="0"/>
    <w:pPr>
      <w:ind w:firstLine="480" w:firstLineChars="200"/>
    </w:pPr>
  </w:style>
  <w:style w:type="paragraph" w:customStyle="1" w:styleId="259">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0">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61">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2">
    <w:name w:val="二级项目符号"/>
    <w:basedOn w:val="1"/>
    <w:autoRedefine/>
    <w:qFormat/>
    <w:uiPriority w:val="0"/>
    <w:pPr>
      <w:widowControl/>
      <w:numPr>
        <w:ilvl w:val="0"/>
        <w:numId w:val="17"/>
      </w:numPr>
      <w:spacing w:line="360" w:lineRule="auto"/>
    </w:pPr>
    <w:rPr>
      <w:rFonts w:ascii="Times New Roman" w:hAnsi="Times New Roman"/>
      <w:kern w:val="0"/>
      <w:sz w:val="24"/>
      <w:szCs w:val="20"/>
    </w:rPr>
  </w:style>
  <w:style w:type="paragraph" w:customStyle="1" w:styleId="263">
    <w:name w:val="样式 标题 2Chapter X.X. Statementh22Header 2l2Level 2 Headhea..."/>
    <w:basedOn w:val="4"/>
    <w:autoRedefine/>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5">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66">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268">
    <w:name w:val="public 圆点"/>
    <w:basedOn w:val="1"/>
    <w:autoRedefine/>
    <w:qFormat/>
    <w:uiPriority w:val="0"/>
    <w:pPr>
      <w:numPr>
        <w:ilvl w:val="0"/>
        <w:numId w:val="18"/>
      </w:numPr>
      <w:spacing w:line="360" w:lineRule="auto"/>
    </w:pPr>
    <w:rPr>
      <w:rFonts w:ascii="宋体" w:hAnsi="宋体"/>
      <w:color w:val="000000"/>
      <w:sz w:val="24"/>
      <w:szCs w:val="24"/>
    </w:rPr>
  </w:style>
  <w:style w:type="paragraph" w:customStyle="1" w:styleId="26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0">
    <w:name w:val="public 小圆序号"/>
    <w:basedOn w:val="1"/>
    <w:autoRedefine/>
    <w:qFormat/>
    <w:uiPriority w:val="0"/>
    <w:pPr>
      <w:spacing w:line="360" w:lineRule="auto"/>
    </w:pPr>
    <w:rPr>
      <w:rFonts w:ascii="宋体" w:hAnsi="宋体"/>
      <w:sz w:val="24"/>
      <w:szCs w:val="24"/>
    </w:rPr>
  </w:style>
  <w:style w:type="paragraph" w:customStyle="1" w:styleId="271">
    <w:name w:val="样式2"/>
    <w:basedOn w:val="4"/>
    <w:autoRedefine/>
    <w:qFormat/>
    <w:uiPriority w:val="0"/>
    <w:pPr>
      <w:numPr>
        <w:ilvl w:val="0"/>
        <w:numId w:val="0"/>
      </w:numPr>
      <w:tabs>
        <w:tab w:val="left" w:pos="600"/>
      </w:tabs>
      <w:ind w:left="600" w:hanging="600"/>
    </w:pPr>
    <w:rPr>
      <w:rFonts w:eastAsia="宋体"/>
    </w:rPr>
  </w:style>
  <w:style w:type="paragraph" w:customStyle="1" w:styleId="272">
    <w:name w:val="S4-B-L15"/>
    <w:basedOn w:val="1"/>
    <w:autoRedefine/>
    <w:qFormat/>
    <w:uiPriority w:val="0"/>
    <w:pPr>
      <w:spacing w:line="360" w:lineRule="auto"/>
    </w:pPr>
    <w:rPr>
      <w:rFonts w:ascii="Times New Roman" w:hAnsi="Times New Roman"/>
      <w:b/>
      <w:bCs/>
      <w:sz w:val="24"/>
      <w:szCs w:val="24"/>
    </w:rPr>
  </w:style>
  <w:style w:type="paragraph" w:customStyle="1" w:styleId="273">
    <w:name w:val="public 小圆序号2"/>
    <w:basedOn w:val="270"/>
    <w:autoRedefine/>
    <w:qFormat/>
    <w:uiPriority w:val="0"/>
    <w:pPr>
      <w:numPr>
        <w:ilvl w:val="0"/>
        <w:numId w:val="19"/>
      </w:numPr>
    </w:pPr>
  </w:style>
  <w:style w:type="paragraph" w:customStyle="1" w:styleId="274">
    <w:name w:val="public 小序号"/>
    <w:basedOn w:val="1"/>
    <w:autoRedefine/>
    <w:qFormat/>
    <w:uiPriority w:val="0"/>
    <w:pPr>
      <w:numPr>
        <w:ilvl w:val="0"/>
        <w:numId w:val="20"/>
      </w:numPr>
      <w:spacing w:beforeLines="50" w:after="50" w:line="360" w:lineRule="auto"/>
    </w:pPr>
    <w:rPr>
      <w:rFonts w:ascii="宋体" w:hAnsi="宋体"/>
      <w:sz w:val="24"/>
      <w:szCs w:val="24"/>
    </w:rPr>
  </w:style>
  <w:style w:type="paragraph" w:customStyle="1" w:styleId="275">
    <w:name w:val="样式 标题 4Chapter X.X.X. + 段后: 0.5 行1 + 段后: 0.5 行"/>
    <w:basedOn w:val="217"/>
    <w:autoRedefine/>
    <w:qFormat/>
    <w:uiPriority w:val="0"/>
    <w:rPr>
      <w:szCs w:val="21"/>
    </w:rPr>
  </w:style>
  <w:style w:type="paragraph" w:customStyle="1" w:styleId="276">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77">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8">
    <w:name w:val="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7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1">
    <w:name w:val="p0"/>
    <w:basedOn w:val="1"/>
    <w:autoRedefine/>
    <w:qFormat/>
    <w:uiPriority w:val="0"/>
    <w:pPr>
      <w:widowControl/>
      <w:spacing w:line="360" w:lineRule="atLeast"/>
    </w:pPr>
    <w:rPr>
      <w:rFonts w:ascii="Times New Roman" w:hAnsi="Times New Roman"/>
      <w:kern w:val="0"/>
      <w:szCs w:val="21"/>
    </w:rPr>
  </w:style>
  <w:style w:type="paragraph" w:customStyle="1" w:styleId="282">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283">
    <w:name w:val="最新标题1"/>
    <w:basedOn w:val="254"/>
    <w:next w:val="241"/>
    <w:autoRedefine/>
    <w:qFormat/>
    <w:uiPriority w:val="0"/>
    <w:pPr>
      <w:spacing w:after="120"/>
    </w:pPr>
    <w:rPr>
      <w:bCs/>
    </w:rPr>
  </w:style>
  <w:style w:type="paragraph" w:customStyle="1" w:styleId="284">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286">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样式 模板描述"/>
    <w:basedOn w:val="1"/>
    <w:next w:val="178"/>
    <w:autoRedefine/>
    <w:qFormat/>
    <w:uiPriority w:val="0"/>
    <w:pPr>
      <w:spacing w:afterLines="50"/>
      <w:jc w:val="left"/>
    </w:pPr>
    <w:rPr>
      <w:rFonts w:ascii="宋体" w:hAnsi="Times New Roman" w:cs="宋体"/>
      <w:i/>
      <w:iCs/>
      <w:snapToGrid w:val="0"/>
      <w:color w:val="0000FF"/>
      <w:kern w:val="0"/>
      <w:szCs w:val="21"/>
    </w:rPr>
  </w:style>
  <w:style w:type="paragraph" w:customStyle="1" w:styleId="288">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89">
    <w:name w:val="Char Char Char"/>
    <w:basedOn w:val="1"/>
    <w:autoRedefine/>
    <w:qFormat/>
    <w:uiPriority w:val="0"/>
    <w:pPr>
      <w:numPr>
        <w:ilvl w:val="0"/>
        <w:numId w:val="2"/>
      </w:numPr>
    </w:pPr>
    <w:rPr>
      <w:rFonts w:ascii="Tahoma" w:hAnsi="Tahoma"/>
      <w:sz w:val="24"/>
      <w:szCs w:val="20"/>
    </w:rPr>
  </w:style>
  <w:style w:type="paragraph" w:customStyle="1" w:styleId="290">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291">
    <w:name w:val="样式1"/>
    <w:basedOn w:val="59"/>
    <w:autoRedefine/>
    <w:qFormat/>
    <w:uiPriority w:val="0"/>
    <w:pPr>
      <w:spacing w:line="480" w:lineRule="auto"/>
      <w:ind w:left="600"/>
    </w:pPr>
    <w:rPr>
      <w:rFonts w:ascii="宋体" w:hAnsi="宋体"/>
      <w:b w:val="0"/>
      <w:sz w:val="36"/>
      <w:szCs w:val="36"/>
    </w:rPr>
  </w:style>
  <w:style w:type="paragraph" w:customStyle="1" w:styleId="292">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293">
    <w:name w:val="Paragraph1"/>
    <w:basedOn w:val="1"/>
    <w:autoRedefine/>
    <w:qFormat/>
    <w:uiPriority w:val="0"/>
    <w:pPr>
      <w:spacing w:before="80" w:afterLines="50"/>
    </w:pPr>
    <w:rPr>
      <w:rFonts w:ascii="宋体" w:hAnsi="Times New Roman"/>
      <w:snapToGrid w:val="0"/>
      <w:kern w:val="0"/>
      <w:szCs w:val="20"/>
    </w:rPr>
  </w:style>
  <w:style w:type="paragraph" w:customStyle="1" w:styleId="294">
    <w:name w:val="样式 样式 标题 4 + 段后: 0.5 行 + 段后: 0.5 行"/>
    <w:basedOn w:val="177"/>
    <w:autoRedefine/>
    <w:qFormat/>
    <w:uiPriority w:val="0"/>
  </w:style>
  <w:style w:type="paragraph" w:customStyle="1" w:styleId="295">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7">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99">
    <w:name w:val="正文文字表格居中"/>
    <w:basedOn w:val="1"/>
    <w:next w:val="55"/>
    <w:autoRedefine/>
    <w:qFormat/>
    <w:uiPriority w:val="0"/>
    <w:pPr>
      <w:snapToGrid w:val="0"/>
      <w:spacing w:afterLines="50" w:line="360" w:lineRule="auto"/>
    </w:pPr>
    <w:rPr>
      <w:rFonts w:ascii="宋体" w:hAnsi="宋体"/>
      <w:b/>
      <w:bCs/>
      <w:szCs w:val="21"/>
    </w:rPr>
  </w:style>
  <w:style w:type="paragraph" w:customStyle="1" w:styleId="300">
    <w:name w:val="样式 标题 3Chapter X.X.X. + 五号 段后: 0.5 行"/>
    <w:basedOn w:val="5"/>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1">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3">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4">
    <w:name w:val="!标题2 Ctrl+2"/>
    <w:basedOn w:val="4"/>
    <w:next w:val="1"/>
    <w:autoRedefine/>
    <w:qFormat/>
    <w:uiPriority w:val="0"/>
    <w:pPr>
      <w:keepNext w:val="0"/>
      <w:keepLines w:val="0"/>
      <w:numPr>
        <w:ilvl w:val="0"/>
        <w:numId w:val="0"/>
      </w:numPr>
      <w:tabs>
        <w:tab w:val="left" w:pos="425"/>
        <w:tab w:val="left" w:pos="567"/>
      </w:tabs>
      <w:adjustRightInd w:val="0"/>
      <w:snapToGrid w:val="0"/>
      <w:spacing w:beforeLines="200" w:afterLines="50" w:line="360" w:lineRule="auto"/>
      <w:ind w:left="567" w:hanging="567"/>
    </w:pPr>
    <w:rPr>
      <w:bCs w:val="0"/>
      <w:sz w:val="36"/>
      <w:szCs w:val="36"/>
    </w:rPr>
  </w:style>
  <w:style w:type="paragraph" w:customStyle="1" w:styleId="305">
    <w:name w:val="public 3级"/>
    <w:basedOn w:val="5"/>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6">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table" w:customStyle="1" w:styleId="309">
    <w:name w:val="清单表 4"/>
    <w:basedOn w:val="62"/>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0">
    <w:name w:val="无格式表格 1"/>
    <w:basedOn w:val="62"/>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1">
    <w:name w:val="清单表 4 - 着色 3"/>
    <w:basedOn w:val="62"/>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2">
    <w:name w:val="网格表 2"/>
    <w:basedOn w:val="62"/>
    <w:autoRedefine/>
    <w:qFormat/>
    <w:uiPriority w:val="0"/>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3">
    <w:name w:val="清单表 6 彩色"/>
    <w:basedOn w:val="62"/>
    <w:autoRedefine/>
    <w:qFormat/>
    <w:uiPriority w:val="0"/>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4">
    <w:name w:val="Heading 9"/>
    <w:basedOn w:val="1"/>
    <w:autoRedefine/>
    <w:qFormat/>
    <w:uiPriority w:val="1"/>
    <w:pPr>
      <w:ind w:left="931"/>
    </w:pPr>
    <w:rPr>
      <w:b/>
      <w:bCs/>
      <w:sz w:val="24"/>
      <w:szCs w:val="24"/>
    </w:rPr>
  </w:style>
  <w:style w:type="paragraph" w:customStyle="1" w:styleId="315">
    <w:name w:val="Heading 8"/>
    <w:basedOn w:val="1"/>
    <w:autoRedefine/>
    <w:qFormat/>
    <w:uiPriority w:val="1"/>
    <w:pPr>
      <w:ind w:left="461" w:right="313"/>
      <w:jc w:val="center"/>
      <w:outlineLvl w:val="8"/>
    </w:pPr>
    <w:rPr>
      <w:sz w:val="28"/>
      <w:szCs w:val="28"/>
    </w:rPr>
  </w:style>
  <w:style w:type="paragraph" w:customStyle="1" w:styleId="316">
    <w:name w:val="列出段落2"/>
    <w:basedOn w:val="1"/>
    <w:autoRedefine/>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26" textRotate="1"/>
    <customShpInfo spid="_x0000_s4127" textRotate="1"/>
    <customShpInfo spid="_x0000_s4128" textRotate="1"/>
    <customShpInfo spid="_x0000_s4129" textRotate="1"/>
    <customShpInfo spid="_x0000_s4130" textRotate="1"/>
    <customShpInfo spid="_x0000_s4131" textRotate="1"/>
    <customShpInfo spid="_x0000_s4132" textRotate="1"/>
    <customShpInfo spid="_x0000_s413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18557</Words>
  <Characters>19466</Characters>
  <Lines>247</Lines>
  <Paragraphs>69</Paragraphs>
  <TotalTime>46</TotalTime>
  <ScaleCrop>false</ScaleCrop>
  <LinksUpToDate>false</LinksUpToDate>
  <CharactersWithSpaces>19573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2024-05-06T03:30:00Z</dcterms:created>
  <dc:creator>Van Helsing</dc:creator>
  <cp:lastModifiedBy>Always</cp:lastModifiedBy>
  <cp:lastPrinted>2024-05-20T01:57:00Z</cp:lastPrinted>
  <dcterms:modified xsi:type="dcterms:W3CDTF">2025-02-24T07:26:15Z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7235648622804AD39557B5B0C0CAE038</vt:lpwstr>
  </property>
  <property fmtid="{D5CDD505-2E9C-101B-9397-08002B2CF9AE}" pid="4" name="commondata">
    <vt:lpwstr>eyJoZGlkIjoiMTI5NjU1NGU1MTNhY2Q1NjNmMGFhMzFmYjhjN2I0NTQifQ==</vt:lpwstr>
  </property>
  <property fmtid="{D5CDD505-2E9C-101B-9397-08002B2CF9AE}" pid="5" name="KSOTemplateDocerSaveRecord">
    <vt:lpwstr>eyJoZGlkIjoiMDA1ZDc1NmRkNTljNWY0MjNhNjI2ZTM3NmZhMjc2ZjkiLCJ1c2VySWQiOiI1NTAwOTcwNDkifQ==</vt:lpwstr>
  </property>
</Properties>
</file>