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杭州城市大脑智能化体系建设项目标段三——视觉智能中心</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HZZFCG-2024-139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杭州市数据资源管理局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杭州城市大脑智能化体系建设项目标段三——视觉智能中心</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HZZFCG-2024-139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杭州城市大脑智能化体系建设项目标段三——视觉智能中心</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rPr>
        <w:t>5960000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rPr>
        <w:t>5960000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杭州城市大脑智能化体系建设项目标段三——视觉智能中心</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rPr>
        <w:t>充分利用公共视频、智能计算等领域资源，构建高共享、深应用的一体化视觉智能分析应用底座，提升视频共享能力，推进算法共管，算力共融，事件共治。包括建设市数据局平台本级算法仓库，纳管数据局全量算法资源，并实现平台算法全生命周期管理和自优化功能；建设资源管理调度能力、算法编排能力，实现平台解析资源的调度使用，视频智能化分析与应用；建设智能标注和标签共享管理能力，通过AI能力实现视频治理打标，共享标签能力；提升平台共享应用能力，包括视频调度管控，智能分析共享，业务事件共享三个方面；解决共享数据安全问题以及实现对不规范操作行为的事中预警和事后审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szCs w:val="24"/>
          <w:highlight w:val="none"/>
        </w:rPr>
        <w:t>自合同签订之日起至2025年6月30日。特别说明：2024年7月1日至合同签订之日前的空档期运维服务产生的费用由原供应商承担，相应运维费用由中标人按本次中标“运维保障服务总价”求得的平均单日金额乘以实际服务天数，与原供应商结算，费用包含在本次投标报价中。</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91124355"/>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696014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876029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9514189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2484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782335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611956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称：杭州市数据资源管理局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址：市民中心A座4楼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项目联系人（询问）：徐俊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0571-85250465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屠友军</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0571-85250465</w:t>
      </w:r>
      <w:r>
        <w:rPr>
          <w:rFonts w:hint="eastAsia" w:ascii="宋体" w:hAnsi="宋体" w:cs="宋体"/>
          <w:color w:val="auto"/>
          <w:sz w:val="24"/>
          <w:highlight w:val="none"/>
        </w:rPr>
        <w:t xml:space="preserve"> </w:t>
      </w:r>
      <w:r>
        <w:rPr>
          <w:rFonts w:hint="eastAsia" w:ascii="宋体" w:hAnsi="宋体" w:cs="宋体"/>
          <w:color w:val="auto"/>
          <w:sz w:val="24"/>
          <w:highlight w:val="none"/>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rPr>
        <w:t>0571-85085082、85085067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质疑联系方式：0571-85085477（请通过以下路径在线提起质疑：政采云-项目采购-询问质疑投诉-质疑列表）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color w:val="auto"/>
                <w:highlight w:val="none"/>
                <w:lang w:val="en-US"/>
              </w:rPr>
            </w:pPr>
            <w:r>
              <w:rPr>
                <w:rFonts w:hint="eastAsia" w:asciiTheme="minorEastAsia" w:hAnsiTheme="minorEastAsia" w:eastAsiaTheme="minorEastAsia" w:cstheme="minorEastAsia"/>
                <w:b w:val="0"/>
                <w:bCs w:val="0"/>
                <w:color w:val="auto"/>
                <w:kern w:val="0"/>
                <w:sz w:val="24"/>
                <w:highlight w:val="none"/>
              </w:rPr>
              <w:t>标的：</w:t>
            </w:r>
            <w:r>
              <w:rPr>
                <w:rFonts w:hint="eastAsia" w:asciiTheme="minorEastAsia" w:hAnsiTheme="minorEastAsia" w:eastAsiaTheme="minorEastAsia" w:cstheme="minorEastAsia"/>
                <w:b w:val="0"/>
                <w:bCs w:val="0"/>
                <w:color w:val="auto"/>
                <w:kern w:val="0"/>
                <w:sz w:val="24"/>
                <w:highlight w:val="none"/>
                <w:u w:val="single"/>
              </w:rPr>
              <w:t>杭州城市大脑智能化体系建设项目标段三——视觉智能中心</w:t>
            </w:r>
            <w:r>
              <w:rPr>
                <w:rFonts w:hint="eastAsia" w:asciiTheme="minorEastAsia" w:hAnsiTheme="minorEastAsia" w:eastAsiaTheme="minorEastAsia" w:cstheme="minorEastAsia"/>
                <w:b w:val="0"/>
                <w:bCs w:val="0"/>
                <w:color w:val="auto"/>
                <w:kern w:val="0"/>
                <w:sz w:val="24"/>
                <w:highlight w:val="none"/>
              </w:rPr>
              <w:t>，属于</w:t>
            </w:r>
            <w:r>
              <w:rPr>
                <w:rFonts w:hint="eastAsia" w:asciiTheme="minorEastAsia" w:hAnsiTheme="minorEastAsia" w:eastAsiaTheme="minorEastAsia" w:cstheme="minorEastAsia"/>
                <w:b w:val="0"/>
                <w:bCs w:val="0"/>
                <w:color w:val="auto"/>
                <w:kern w:val="0"/>
                <w:sz w:val="24"/>
                <w:highlight w:val="none"/>
                <w:u w:val="single"/>
              </w:rPr>
              <w:t>软件和信息技术服务</w:t>
            </w:r>
            <w:r>
              <w:rPr>
                <w:rFonts w:hint="eastAsia" w:asciiTheme="minorEastAsia" w:hAnsiTheme="minorEastAsia" w:eastAsiaTheme="minorEastAsia" w:cstheme="minorEastAsia"/>
                <w:b w:val="0"/>
                <w:bCs w:val="0"/>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3812846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5226676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left="210" w:leftChars="100"/>
              <w:rPr>
                <w:rFonts w:ascii="宋体" w:hAnsi="宋体" w:cs="宋体"/>
                <w:color w:val="auto"/>
                <w:sz w:val="24"/>
                <w:highlight w:val="none"/>
              </w:rPr>
            </w:pPr>
            <w:sdt>
              <w:sdtPr>
                <w:rPr>
                  <w:rFonts w:hint="eastAsia" w:ascii="宋体" w:hAnsi="宋体" w:cs="宋体"/>
                  <w:color w:val="auto"/>
                  <w:kern w:val="0"/>
                  <w:sz w:val="24"/>
                  <w:highlight w:val="none"/>
                </w:rPr>
                <w:id w:val="687257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运维运营服务、边界安全保障服务 </w:t>
            </w:r>
            <w:r>
              <w:rPr>
                <w:rFonts w:hint="eastAsia" w:ascii="宋体" w:hAnsi="宋体" w:cs="宋体"/>
                <w:color w:val="auto"/>
                <w:sz w:val="24"/>
                <w:highlight w:val="none"/>
              </w:rPr>
              <w:t>工作分包</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04049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5363828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3231564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068489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1681424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9278905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rPr>
              <w:t>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9117631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w:t>
            </w:r>
            <w:r>
              <w:rPr>
                <w:rFonts w:hint="eastAsia" w:ascii="宋体" w:hAnsi="宋体" w:cs="宋体"/>
                <w:color w:val="auto"/>
                <w:kern w:val="0"/>
                <w:sz w:val="24"/>
                <w:highlight w:val="none"/>
                <w:lang w:val="zh-CN"/>
              </w:rPr>
              <w:t>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7083741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6206877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32434948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color w:val="auto"/>
                <w:kern w:val="0"/>
                <w:sz w:val="24"/>
                <w:highlight w:val="none"/>
                <w:lang w:val="en"/>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8"/>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投诉书范本及制作说明详见附件3。</w:t>
      </w:r>
    </w:p>
    <w:p>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pPr>
        <w:pStyle w:val="888"/>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before="0" w:beforeAutospacing="0" w:after="240" w:afterAutospacing="0" w:line="360" w:lineRule="auto"/>
        <w:ind w:firstLine="400"/>
        <w:contextualSpacing/>
        <w:rPr>
          <w:color w:val="auto"/>
          <w:highlight w:val="none"/>
        </w:rPr>
      </w:pP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ascii="宋体" w:hAnsi="宋体" w:cs="宋体"/>
          <w:b/>
          <w:color w:val="auto"/>
          <w:sz w:val="24"/>
          <w:szCs w:val="21"/>
          <w:highlight w:val="none"/>
        </w:rPr>
      </w:pPr>
      <w:r>
        <w:rPr>
          <w:rFonts w:hint="eastAsia"/>
          <w:b/>
          <w:bCs/>
          <w:color w:val="auto"/>
          <w:sz w:val="24"/>
          <w:highlight w:val="none"/>
          <w:shd w:val="clear" w:color="auto" w:fill="FFFFFF"/>
        </w:rPr>
        <w:t>投标人应对投标文件中材料的真实性、合法性负责。</w:t>
      </w:r>
    </w:p>
    <w:p>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2"/>
        <w:spacing w:before="0"/>
        <w:ind w:firstLine="643"/>
        <w:rPr>
          <w:rFonts w:ascii="宋体" w:hAnsi="宋体" w:cs="宋体"/>
          <w:b/>
          <w:color w:val="auto"/>
          <w:sz w:val="32"/>
          <w:highlight w:val="none"/>
        </w:rPr>
      </w:pPr>
    </w:p>
    <w:p>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olor w:val="auto"/>
          <w:sz w:val="24"/>
          <w:highlight w:val="none"/>
          <w:lang w:val="en-US"/>
        </w:rPr>
        <w:t>27.预付款</w:t>
      </w:r>
    </w:p>
    <w:p>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81"/>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4730295"/>
      <w:bookmarkEnd w:id="17"/>
      <w:bookmarkStart w:id="18" w:name="_Hlt74729768"/>
      <w:bookmarkEnd w:id="18"/>
      <w:bookmarkStart w:id="19" w:name="_Hlt68057669"/>
      <w:bookmarkEnd w:id="19"/>
      <w:bookmarkStart w:id="20" w:name="_Hlt75236290"/>
      <w:bookmarkEnd w:id="20"/>
      <w:bookmarkStart w:id="21" w:name="_Hlt74714665"/>
      <w:bookmarkEnd w:id="21"/>
      <w:bookmarkStart w:id="22" w:name="_Hlt74707468"/>
      <w:bookmarkEnd w:id="22"/>
      <w:bookmarkStart w:id="23" w:name="_Hlt68072998"/>
      <w:bookmarkEnd w:id="23"/>
      <w:bookmarkStart w:id="24" w:name="_Hlt75236011"/>
      <w:bookmarkEnd w:id="24"/>
      <w:bookmarkStart w:id="25" w:name="_Hlt68073093"/>
      <w:bookmarkEnd w:id="25"/>
      <w:bookmarkStart w:id="26" w:name="_Hlt6840382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一、项目基本情况</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杭州市数据资源管理局公共安全图像信息资源共享交换平台于2022年开始建设，打造全市统一视频资源汇聚共享中心，目前已经汇聚全市40余万路视频，为20余个市级部门提供视频共享能力支撑。平台建设了视频汇聚接入、资源管理、视频运维等能力，从多个方面提升视频感知应用能力、对外服务共享能力。</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次建设，旨在在公共安全图像信息资源共享交换平台基础上充分利用公共视频、智能计算等领域资源，构建高共享、深应用的一体化视觉智能分析应用底座，提升视频共享能力，推进算法共管，算力共融，事件共治，实现视频应用的智能化赋能跃升。</w:t>
      </w: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二、项目工作总体需求</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在公共安全图像信息资源共享交换平台基础上，利用已建设的视频监控资源，横向拓展视频资源的应用范围，纵向提升视频资源对各部门业务的支撑能力，进一步提升视频资源的联网整合、智能分析、开放共享能力，提供视频图像解析、视频事件检测等视觉智能手段，促进视频应用与各部门职能相融合，并初步建立起自动化、智能化的预警防范机制，促进社会治理智慧化水平提升，为提升城市运行安全提供技术支撑能力。主要建设内容包括以下：</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1、算法仓构建，构建算法管理一本账，实现多类型、多厂商算法资源的共建、共管、共享。搭建市数据局平台本级算法仓库，纳管数据局全量算法资源，建设不低于40类算法应用，并实现平台算法全生命周期管理和自优化功能，实现视频智能分析、价值挖掘的核心。完成统一算法接入标准制定，兼顾兼容开放，更好实现算法资源开放共享。</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2、调度中台构建，打造资源调度一平台，实现跨业务、跨层级智能资源的多策略调度。搭建市数据局平台本级资源调度平台，建设资源管理调度能力、算法编排能力，实现平台解析资源的调度使用，视频智能化分析与应用。</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3、标签能力构建，引入“AI标签标注、地理场所空间关联”二类智能化手段，通过智能化手段提高视频治理和标签标注效率，提升视频资源可用性。建设智能标注和标签共享管理能力，通过AI能力实现视频治理打标，共享标签能力，赋能各个部门按业务需求打私有化标签，实现业务标签专属专用，真正发挥标签价值。</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4、支持全市各部门使用。全市共享应用能力建设，包括视频调度管控，智能分析共享，业务事件共享三个方面。</w:t>
      </w:r>
    </w:p>
    <w:p>
      <w:pPr>
        <w:pStyle w:val="132"/>
        <w:ind w:firstLine="470" w:firstLineChars="196"/>
        <w:rPr>
          <w:rFonts w:cs="仿宋" w:asciiTheme="minorEastAsia" w:hAnsiTheme="minorEastAsia" w:eastAsiaTheme="minorEastAsia"/>
          <w:color w:val="auto"/>
          <w:szCs w:val="24"/>
          <w:highlight w:val="none"/>
        </w:rPr>
      </w:pPr>
      <w:r>
        <w:rPr>
          <w:rFonts w:hint="eastAsia" w:cs="仿宋" w:asciiTheme="minorEastAsia" w:hAnsiTheme="minorEastAsia" w:eastAsiaTheme="minorEastAsia"/>
          <w:color w:val="auto"/>
          <w:szCs w:val="24"/>
          <w:highlight w:val="none"/>
        </w:rPr>
        <w:t>5、安全能力构建。针对安全隔离区部署安全防护设备，实现视频和数据与行业专网的安全隔离与信息共享，解决与横向各部门间共享政务网与行业专网之间的网络安全问题。建设视频数据保护系统，实现对不规范操作行为的事中预警和事后审计，保障应用内容和播放素材的内容安全，解决视频和数据使用安全问题。</w:t>
      </w:r>
    </w:p>
    <w:p>
      <w:pPr>
        <w:pStyle w:val="132"/>
        <w:ind w:firstLine="470" w:firstLineChars="196"/>
        <w:rPr>
          <w:rFonts w:cs="仿宋" w:asciiTheme="minorEastAsia" w:hAnsiTheme="minorEastAsia" w:eastAsiaTheme="minorEastAsia"/>
          <w:color w:val="auto"/>
          <w:kern w:val="0"/>
          <w:highlight w:val="none"/>
        </w:rPr>
      </w:pPr>
      <w:r>
        <w:rPr>
          <w:rFonts w:hint="eastAsia" w:cs="仿宋" w:asciiTheme="minorEastAsia" w:hAnsiTheme="minorEastAsia" w:eastAsiaTheme="minorEastAsia"/>
          <w:color w:val="auto"/>
          <w:szCs w:val="24"/>
          <w:highlight w:val="none"/>
        </w:rPr>
        <w:t>（三）对接要求</w:t>
      </w:r>
    </w:p>
    <w:p>
      <w:pPr>
        <w:pStyle w:val="132"/>
        <w:ind w:firstLine="470" w:firstLineChars="196"/>
        <w:rPr>
          <w:rFonts w:cs="仿宋" w:asciiTheme="minorEastAsia" w:hAnsiTheme="minorEastAsia" w:eastAsiaTheme="minorEastAsia"/>
          <w:color w:val="auto"/>
          <w:kern w:val="0"/>
          <w:highlight w:val="none"/>
        </w:rPr>
      </w:pPr>
      <w:r>
        <w:rPr>
          <w:rFonts w:cs="仿宋" w:asciiTheme="minorEastAsia" w:hAnsiTheme="minorEastAsia" w:eastAsiaTheme="minorEastAsia"/>
          <w:color w:val="auto"/>
          <w:kern w:val="0"/>
          <w:highlight w:val="none"/>
        </w:rPr>
        <w:t>1、</w:t>
      </w:r>
      <w:r>
        <w:rPr>
          <w:rFonts w:hint="eastAsia" w:cs="仿宋" w:asciiTheme="minorEastAsia" w:hAnsiTheme="minorEastAsia" w:eastAsiaTheme="minorEastAsia"/>
          <w:color w:val="auto"/>
          <w:kern w:val="0"/>
          <w:highlight w:val="none"/>
        </w:rPr>
        <w:t>为了保证</w:t>
      </w:r>
      <w:r>
        <w:rPr>
          <w:rFonts w:hint="eastAsia" w:cs="仿宋" w:asciiTheme="minorEastAsia" w:hAnsiTheme="minorEastAsia" w:eastAsiaTheme="minorEastAsia"/>
          <w:color w:val="auto"/>
          <w:kern w:val="0"/>
          <w:highlight w:val="none"/>
        </w:rPr>
        <w:t>数据的顺利接入和功能平稳运行，本次建设功能系统须在原平台（公共安全图像信息资源共享交换平台）基础上进行扩容或实现无缝对接，数据及功能</w:t>
      </w:r>
      <w:r>
        <w:rPr>
          <w:rFonts w:cs="仿宋" w:asciiTheme="minorEastAsia" w:hAnsiTheme="minorEastAsia" w:eastAsiaTheme="minorEastAsia"/>
          <w:color w:val="auto"/>
          <w:kern w:val="0"/>
          <w:highlight w:val="none"/>
        </w:rPr>
        <w:t>须</w:t>
      </w:r>
      <w:r>
        <w:rPr>
          <w:rFonts w:hint="eastAsia" w:cs="仿宋" w:asciiTheme="minorEastAsia" w:hAnsiTheme="minorEastAsia" w:eastAsiaTheme="minorEastAsia"/>
          <w:color w:val="auto"/>
          <w:kern w:val="0"/>
          <w:highlight w:val="none"/>
        </w:rPr>
        <w:t>在原平台上统一平台使用。</w:t>
      </w:r>
      <w:r>
        <w:rPr>
          <w:rFonts w:hint="eastAsia" w:ascii="宋体" w:hAnsi="宋体" w:cs="宋体"/>
          <w:color w:val="auto"/>
          <w:kern w:val="0"/>
          <w:highlight w:val="none"/>
        </w:rPr>
        <w:t>同时，为了保证项目的顺利运行，中标后15个工作日中标单位需完成新老系统的对接测试。</w:t>
      </w:r>
    </w:p>
    <w:p>
      <w:pPr>
        <w:pStyle w:val="132"/>
        <w:ind w:firstLine="470" w:firstLineChars="196"/>
        <w:rPr>
          <w:rFonts w:cs="仿宋" w:asciiTheme="minorEastAsia" w:hAnsiTheme="minorEastAsia" w:eastAsiaTheme="minorEastAsia"/>
          <w:color w:val="auto"/>
          <w:kern w:val="0"/>
          <w:highlight w:val="none"/>
        </w:rPr>
      </w:pPr>
      <w:r>
        <w:rPr>
          <w:rFonts w:hint="eastAsia" w:cs="仿宋" w:asciiTheme="minorEastAsia" w:hAnsiTheme="minorEastAsia" w:eastAsiaTheme="minorEastAsia"/>
          <w:color w:val="auto"/>
          <w:kern w:val="0"/>
          <w:highlight w:val="none"/>
        </w:rPr>
        <w:t>2、为满足业务需求，平台须实现与市公安侧平台标签数据、资产数据的真实有效传输同步。</w:t>
      </w: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三、项目采购清单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02"/>
        <w:gridCol w:w="466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shd w:val="clear" w:color="000000" w:fill="FFFFFF"/>
            <w:vAlign w:val="center"/>
          </w:tcPr>
          <w:p>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943" w:type="pct"/>
            <w:shd w:val="clear" w:color="000000" w:fill="FFFFFF"/>
            <w:vAlign w:val="center"/>
          </w:tcPr>
          <w:p>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服务大类</w:t>
            </w:r>
          </w:p>
        </w:tc>
        <w:tc>
          <w:tcPr>
            <w:tcW w:w="2743" w:type="pct"/>
            <w:shd w:val="clear" w:color="000000" w:fill="FFFFFF"/>
            <w:vAlign w:val="center"/>
          </w:tcPr>
          <w:p>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服务子类</w:t>
            </w:r>
          </w:p>
        </w:tc>
        <w:tc>
          <w:tcPr>
            <w:tcW w:w="802" w:type="pct"/>
            <w:shd w:val="clear" w:color="000000" w:fill="FFFFFF"/>
            <w:vAlign w:val="center"/>
          </w:tcPr>
          <w:p>
            <w:pPr>
              <w:widowControl/>
              <w:adjustRightInd/>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43"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平台资源服务</w:t>
            </w: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算法接入与管理服务</w:t>
            </w:r>
          </w:p>
        </w:tc>
        <w:tc>
          <w:tcPr>
            <w:tcW w:w="802"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详见“具体服务技术要求”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算法资源服务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解析增效服务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智能分析编排服务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资源调度服务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Cs w:val="21"/>
                <w:highlight w:val="none"/>
              </w:rPr>
              <w:t>智能标注服务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资源调度服务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43"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共享应用服务</w:t>
            </w: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运维基础服务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算法共享应用服务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事件共享应用服务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视频快速调阅应用服务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视频共享管控应用服务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地图数据服务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数据同步服务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43"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基础设施与安全保障服务</w:t>
            </w: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计算资源服务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事件存储服务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边界安全保障服务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视频安全保障服务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2"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943"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运维运营服务</w:t>
            </w: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安全检测/运维服务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2" w:type="pct"/>
            <w:vMerge w:val="continue"/>
            <w:vAlign w:val="center"/>
          </w:tcPr>
          <w:p>
            <w:pPr>
              <w:widowControl/>
              <w:adjustRightInd/>
              <w:jc w:val="left"/>
              <w:rPr>
                <w:rFonts w:ascii="宋体" w:hAnsi="宋体" w:cs="宋体"/>
                <w:color w:val="auto"/>
                <w:kern w:val="0"/>
                <w:sz w:val="24"/>
                <w:highlight w:val="none"/>
              </w:rPr>
            </w:pPr>
          </w:p>
        </w:tc>
        <w:tc>
          <w:tcPr>
            <w:tcW w:w="943" w:type="pct"/>
            <w:vMerge w:val="continue"/>
            <w:vAlign w:val="center"/>
          </w:tcPr>
          <w:p>
            <w:pPr>
              <w:widowControl/>
              <w:adjustRightInd/>
              <w:jc w:val="left"/>
              <w:rPr>
                <w:rFonts w:ascii="宋体" w:hAnsi="宋体" w:cs="宋体"/>
                <w:color w:val="auto"/>
                <w:kern w:val="0"/>
                <w:sz w:val="24"/>
                <w:highlight w:val="none"/>
              </w:rPr>
            </w:pPr>
          </w:p>
        </w:tc>
        <w:tc>
          <w:tcPr>
            <w:tcW w:w="274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驻场服务</w:t>
            </w:r>
          </w:p>
        </w:tc>
        <w:tc>
          <w:tcPr>
            <w:tcW w:w="802" w:type="pct"/>
            <w:vMerge w:val="continue"/>
            <w:shd w:val="clear" w:color="auto" w:fill="auto"/>
            <w:vAlign w:val="center"/>
          </w:tcPr>
          <w:p>
            <w:pPr>
              <w:widowControl/>
              <w:adjustRightInd/>
              <w:jc w:val="center"/>
              <w:rPr>
                <w:rFonts w:ascii="宋体" w:hAnsi="宋体" w:cs="宋体"/>
                <w:color w:val="auto"/>
                <w:kern w:val="0"/>
                <w:sz w:val="24"/>
                <w:highlight w:val="none"/>
              </w:rPr>
            </w:pPr>
          </w:p>
        </w:tc>
      </w:tr>
    </w:tbl>
    <w:p>
      <w:pPr>
        <w:widowControl/>
        <w:ind w:firstLine="720" w:firstLineChars="300"/>
        <w:jc w:val="left"/>
        <w:rPr>
          <w:rFonts w:ascii="宋体" w:hAnsi="宋体" w:cs="宋体"/>
          <w:bCs/>
          <w:color w:val="auto"/>
          <w:sz w:val="24"/>
          <w:highlight w:val="none"/>
        </w:rPr>
      </w:pP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四、项目技术要求</w:t>
      </w:r>
    </w:p>
    <w:p>
      <w:pPr>
        <w:pStyle w:val="964"/>
        <w:spacing w:before="120" w:after="120"/>
        <w:rPr>
          <w:color w:val="auto"/>
          <w:highlight w:val="none"/>
        </w:rPr>
      </w:pPr>
      <w:r>
        <w:rPr>
          <w:rFonts w:hint="eastAsia"/>
          <w:color w:val="auto"/>
          <w:highlight w:val="none"/>
        </w:rPr>
        <w:t>1.平台资源服务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697"/>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服务子类</w:t>
            </w:r>
          </w:p>
        </w:tc>
        <w:tc>
          <w:tcPr>
            <w:tcW w:w="360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算法接入与管理服务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算法包或算法系统的接入服务，借助采购人制定统一算法接入技术规范，通过定义算法包或算法系统接口技术要求，屏蔽智能算法多样化导致的接口差异，实现算法的即插即用。算法接入服务，包含算法包或算法系统对接服务的流程设计和流程管理服务，算法接入需保持开放性，算法管理规范性。算法接入服务是形成统一算法管理的基础，在统一技术要求下，可通过规范化的方式接入多厂商算法，进行统一管理与调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为满足算法开放性和拓展性的要求以及满足多类算法管理便利性的要求，系统需满足以下能力：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1、支持算法包上传管理，同时实现算法包按调度需求加载到对应的解析资源中；支持上传裸包时，批量校验算法包中的每个算法授权情况，包含授权检测和去授权的入口。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算法包的管理，支持算法包的管理，支持根据算法名称、分析源类型、来源厂商、计算平台、上架状态、创建时间、目标类型等条件检索，检索出的结果支持分页显示；支持上传算法包中的算法以及级联算法上架、下架、删除管理，可单个/批量操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3、需支持第三方算法包授权注册，包括厂商名称、厂商标识、授权类型、授权地址信息填写。提供对接第三方算法仓库与解析系统能力，存在第三方算法系统时，可以调用第三方的接口进行系统级对接。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4、提供对第三方算法的管理服务，通过标准算法包形式对算法进行管理，实现算法和软件的解耦。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5、支持在未申请算法授权的情况下，上传图片进行算法功能测试，以验证算法与场景的适配性。</w:t>
            </w:r>
            <w:r>
              <w:rPr>
                <w:rFonts w:hint="eastAsia" w:ascii="宋体" w:hAnsi="宋体" w:cs="宋体"/>
                <w:b/>
                <w:bCs/>
                <w:color w:val="auto"/>
                <w:kern w:val="0"/>
                <w:szCs w:val="21"/>
                <w:highlight w:val="none"/>
              </w:rPr>
              <w:t>（要求演示）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算法资源服务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基于业务调研，第一批上线算法应满足图片实时解析和视频实时解析服务，服务包含提供基础的算法资源：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至少40种算法，包含但不限于车牌识别分析、店外经营检测、道路积水检测、非机动车乱停检测、无照游商检测、占道经营检测、暴露垃圾检测、机动车乱停检测、违规户外广告检测、垃圾箱满溢检测、乱堆物堆料检测、沿街晾挂检测、违规撑伞检测；电瓶车违规进电梯检测、钓鱼检测、水面漂浮物检测、游泳检测、违法占地检测；街面人员倒地检测、街面人员聚集视频检测、街面肢体冲突检测、街面快速移动目标检测、街面物品遗留视频检测；态势客流统计、人群态势分析、区域人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解析增效服务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解析增效服务，通过算法策略设计，提高算法准确性。主要内容包括用户算法应用场景的分析服务，包含算法版本、网络资源、计算资源类型、点位实时场景、距离、高度等；实现根据不同使用场景应用所需的算法策略来提高算法和事件的准确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为满足采购人提供不同场景下的算法组合策略服务，系统需包含策略运行、元件管理、策略编排等能力。提供策略场景优化服务，根据算法要素变化情况进行评估分析，输出策略优化方案并进行策略场景优化。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10个优化算法策略，包括但不限于：乱堆物堆料去误报策略、违规撑伞去误报策略、露垃圾去重策略、钓鱼策略包、漂浮物策略包、非机动车乱停去误报策略、店外经营去误报策略、机动车乱停去误报策略、无照游商去误报策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添加事件元件，可根据事件类型自动生成事件报文并进行字段解析，可填报元件名称、元件描述、事件类型等元件信息并进行消息队列参数配置操作。支持事件元件的编辑、删除、导入和导出操作。支持对事件源输入类型的元件生成的对应的输出元件。支持事件元件的条件检索与列表展示，并可展示元件详细信息。支持对多个事件元件进行消息队列的批量修改操作。（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3、支持添加策略算法元件（火点检测算法、高速抛洒物算法等），可进行算法包上传、元件的基本信息编辑和算法输入输出参数配置操作。支持策略算法元件的编辑、删除、导入和导出操作。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4、支持策略算法元件的条件检索与列表展示，并可展示元件详细信息。（需提供具有检验检测机构资质认定标志（CMA）等认证资格的机构出具的佐证材料复印件证明）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5、支持算法串联能力：策略编排过程中支持在已有算法元件的下游节点添加二次分析算法元件并选择指定算法。（需提供具有检验检测机构资质认定标志（CMA）等认证资格的机构出具的佐证材料复印件证明）</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6、具有元件函数管理、策略编排、运行配置、规则绘制等能力，包括：</w:t>
            </w:r>
            <w:r>
              <w:rPr>
                <w:rFonts w:hint="eastAsia" w:ascii="宋体" w:hAnsi="宋体" w:cs="宋体"/>
                <w:b/>
                <w:bCs/>
                <w:color w:val="auto"/>
                <w:kern w:val="0"/>
                <w:szCs w:val="21"/>
                <w:highlight w:val="none"/>
              </w:rPr>
              <w:t>（以下功能要求演示）</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1）支持算法元件的条件检索与列表展示，并可展示元件详细信息。演示添加函数元件，进行函数包上传、元件的基本信息编辑和函数输入输出参数配置。</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2）支持通过元件拖拉拽的方式编排策略，能够添加、删除元件并配置元件的各类参数信息，策略进行运行、校验、元件参数配置、回溯、策略运行参数配置等操作。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3）支持配置算法策略的执行计划和策略执行范围。</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4）支持点位规则绘制，绘制点位规则线、点位规则框；利用点位信息查询元件、线框相交元件等元件组合可查询并筛选出满足规则的事件。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智能分析编排服务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利用点位和算法资源进行算法编排配置，提供场景清单、场景配置、场景编排的服务能力，实现可视化管理与自动化适配调度。通过场景清单创建，邀请多人协同场景治理，实现对枪机、球机做场景治理，完成不同算法的规则配置，实现一视频多算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一、算法编排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实时视图分析：支持对实时视频和算法资源进行任务编排，包括执行计划、执行方式、事件等级等算法执行参数的配置，支持关联算法策略、支持任务的启停，并且能够查看该任务产生的事件和任务执行监控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为保障实时视图分析编排效率，需支持配置算法执行的参数包括执行计划、执行方式、事件等级、人工核验配置、关联算法策略。执行方式包括图片算法设置闲时分析，视频算法可以持续分析/轮巡分析。（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历史视图分析：支持对离线视频、图片、在线的录像和算法资源进行任务编排，包括倍速分析、抽帧间隔、事件关注度等算法执行参数的配置，支持任务的启停，并且能够查看该任务产生的事件和任务执行监控情况。</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4、支持在实时视图分析编排时，将任务点位和分析时间计划复制到其他算法中。支持场景核验，保证实时场景与配置场景一致性。</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支持批量场景治理：演示一次性对多个点位进行统一的场景治理，包括检测区域、屏蔽区域、置信度、灵敏度、持续时间（视频算法）等的配置，支持对已经治理的场景进行统一修改。支持单个点位进行精细化场景治理：选择一个点位，绘制分析区域，配置分析规则，包括尺寸过滤，图片叠加目标框、图片叠加规则等，支持已配置规则的复制。</w:t>
            </w:r>
            <w:r>
              <w:rPr>
                <w:rFonts w:hint="eastAsia" w:ascii="宋体" w:hAnsi="宋体" w:cs="宋体"/>
                <w:b/>
                <w:bCs/>
                <w:color w:val="auto"/>
                <w:kern w:val="0"/>
                <w:szCs w:val="21"/>
                <w:highlight w:val="none"/>
              </w:rPr>
              <w:t>（要求演示）</w:t>
            </w:r>
            <w:r>
              <w:rPr>
                <w:rFonts w:ascii="宋体" w:hAnsi="宋体" w:cs="宋体"/>
                <w:b/>
                <w:bCs/>
                <w:color w:val="auto"/>
                <w:kern w:val="0"/>
                <w:szCs w:val="21"/>
                <w:highlight w:val="none"/>
              </w:rPr>
              <w:br w:type="textWrapping"/>
            </w:r>
            <w:r>
              <w:rPr>
                <w:rFonts w:hint="eastAsia" w:ascii="宋体" w:hAnsi="宋体" w:cs="宋体"/>
                <w:color w:val="auto"/>
                <w:kern w:val="0"/>
                <w:szCs w:val="21"/>
                <w:highlight w:val="none"/>
              </w:rPr>
              <w:t>二、场景治理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视频点位场景治理服务，旨在提高智能算法与解析场景的适配性，在提高解析效率的同时，降低解析资源的消耗。场景治理服务应具备场景、算法、规则的内容配置服务能力，满足同时多用户进行场景治理。主要针对的治理类型包括云台式摄像机和固定式摄像机两种，云台式摄像机支持以设备预置点作为基础场景进行场景治理，同时进行场景预置点的核验避免篡改；固定式摄像机支持通过配置分析区域和关联智能算法完成场景治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为球机配置巡航计划，支持基于编排单关联能力过滤已绘制区域的预置点，支持配置多条巡航路径，支持多条巡航路径巡航时段重叠的校验;支持巡航路径配置，支持巡航路径配置巡航时段、巡航周期、巡航间隔，支持配置巡航预置点转动时长，支持巡航路径中添加预置点，支持为每个预置点配置停留时长、抓拍张数、抓拍间隔，支持巡航路径、巡航中预置点的删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为提升场景治理与共享效率，支持点击卡片或者列表，进入治理清单详细信息界面，展示清单的基本信息包括清单名称，清单编号，创建人，创建时间，关联算法，算法的治理进度，每个算法关联的点位信息，详情界面可进行治理，支持删减点位。（需提供具有检验检测机构资质认定标志（CMA）等认证资格的机构出具的佐证材料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资源调度服务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提供计算资源接入管理与调度服务，通过软件与硬件解耦、数据与应用解耦、算法与算力解耦，以实现计算资源的弹性共享服务，及数据、计算、算法和应用的全面分层解耦并开放服务， 提供多厂商的算法调度和配置服务，支持在不同任务需求和数据源自动或手动配置算法、计算资源，实现资源和算法的灵活调度，并根据用户、算法、环境、任务等信息，提供调度策略配置服务，运用有限的资源，更高效的完成智能分析任务服务。提供计算资源、智能分析任务、算法行状态检测能力，支持异常事件一键报警。为实现资源精细化管理调度目标系统需具备以下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1、本次建设不少于8颗G</w:t>
            </w:r>
            <w:r>
              <w:rPr>
                <w:rFonts w:ascii="宋体" w:hAnsi="宋体" w:cs="宋体"/>
                <w:color w:val="auto"/>
                <w:kern w:val="0"/>
                <w:szCs w:val="21"/>
                <w:highlight w:val="none"/>
              </w:rPr>
              <w:t>PU</w:t>
            </w:r>
            <w:r>
              <w:rPr>
                <w:rFonts w:hint="eastAsia" w:ascii="宋体" w:hAnsi="宋体" w:cs="宋体"/>
                <w:color w:val="auto"/>
                <w:kern w:val="0"/>
                <w:szCs w:val="21"/>
                <w:highlight w:val="none"/>
              </w:rPr>
              <w:t>的调度能力。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下发视频流解析任务，包括视频流、图片流和图片库解析任务；支持视频解析任务查询，可以按照任务名称、算法名称、任务来源、任务类型、时间范围(开始时间/结束时间)关键字进行查询；支持视频解析任务列表分页展示，支持展示任务名称、任务类型、任务状态、算法名称、任务来源、数据源、创建时间、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图片流解析任务，支持图片解析任务查询，可以按照任务名称、算法名称、任务来源、时间范围(开始时间/结束时间)关键字进行查询，算法名称支持点击下拉框进行选择，可选状态包括算法仓库的所有图片类算法，支持任务查询条件的重置；支持图片解析任务在任务列表分页展示，支持展示任务名称、任务状态、算法名称、任务来源、数据源、创建时间、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4、支持任务流配置，包括图片流任务流程，支持对编排类抓图任务和二次分析任务的工作流程展示；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对编排类抓图任务和二次分析任务的工作流程展示；支持修改AIS（抓图）、AIT（拉取）、数据处理、等待列队、投递分析、分析结果转发的参数配置。（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具有闲时调度策略、优先级和抢占策略、分时复用策略；闲时调度策略计算资源不充足或者提高计算资源利用率等场景，使用闲时分析，例如在赋能平台中算法编排时选择错峰分析、人车算法升级使用空闲资源做重建模、夜晚分析白天录像等场景；优先级和抢占策略支持高优先级任务优先分析；对于允许抢占的场景，可以高优先级任务抢占低优先级任务执行；分时复用策略支持对相应算法不同时间段在计算单元的占用情况的展示可视化，当算法名称过长无法直接显示时，鼠标悬浮展示名称。支持同一计算资源时间分片来加载不同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智能标注服务</w:t>
            </w:r>
          </w:p>
        </w:tc>
        <w:tc>
          <w:tcPr>
            <w:tcW w:w="3606"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为减少海量感知设备人工标注带来的人工工作量和标准错误，提升场景智能标签的标注效能，需提供视频点位的AI标注服务。可通过AI业务标签服务和AI标签运行分析服务，结合标注点位、算法情况、计算资源情况、网络情况进行AI标签业务的创建，以及标签任务执行状态的监测；AI标签运行分析服务，通过标签标注后，核验标签准确性，包括但不限于AI标签点位、成功/失败点位、标签准确率、失败原因等，同时提供AI标签计算占用情况的实时监测能力，标签任务并发量的调整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为提高资源高效A</w:t>
            </w:r>
            <w:r>
              <w:rPr>
                <w:rFonts w:ascii="宋体" w:hAnsi="宋体" w:cs="宋体"/>
                <w:color w:val="auto"/>
                <w:kern w:val="0"/>
                <w:szCs w:val="21"/>
                <w:highlight w:val="none"/>
              </w:rPr>
              <w:t>I</w:t>
            </w:r>
            <w:r>
              <w:rPr>
                <w:rFonts w:hint="eastAsia" w:ascii="宋体" w:hAnsi="宋体" w:cs="宋体"/>
                <w:color w:val="auto"/>
                <w:kern w:val="0"/>
                <w:szCs w:val="21"/>
                <w:highlight w:val="none"/>
              </w:rPr>
              <w:t>治理与共享效率，系统需具备以下能力：</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通过AI智能算法分析任务自动对视频实际场景进行识别检测，通过算法将点位进行智能分类，具备不少于10种AI标签算法识别能力，包括但不限于：水面、树木、道路、车辆卡口、林区、路口、人行横道、天空、电梯内部。</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支持通过AI标签对应的AI算法批量分析识别视频点位画面，对于分析识别成功的视频点位自动打上对应的AI标签；自动打上的AI标签需要人工核验后才能生效；在自动标注基础上，对于未自动标注或自动标注有误的物联设备、视频点位资源，支持用户手动给物联设备、视频点位资源标注自定义标签、场所标签、AI标签、场所空间等。</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AI标签标注支持创建任务根据视频点位情况关联所选的AI标签；AI标签标注筛选视频点位支持按目录、名称、编码、自定义标签、AI标签、场所标签等组合条件筛选、批量选择；AI签标注任务的关联的标签支持人工复核；AI标签标注的支持多个任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AI标签标注结果支持审核，点击结果核验，支持点位标注结果实时审核（任务未完成时，也可以审核）。支持任务进度查看，任务支持中途终止。支持任务标注失败点位快捷重启标注或者快捷进行手动标注。（需提供具有检验检测机构资质认定标志（CMA）等认证资格的机构出具的佐证材料复印件证明）</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提供设备标签中心的标签概况查询，支持按照专题形式展示标签分类；支持展示标签层级关系以及具有某标签的设备数量统计；支持查看某个标签的基本信息、包含设备数量以及设备信息，设备信息包含设备名称、设备编码、设备类型、安装地址和标签数；支持查看某一设备具备的所有标签信息。</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场所标注：通过添加或导入全杭州市地理数据完成场所空间标签标注，如xx火车站、xx医院、xx广场等场所的场所信息和地址等，用于和感知资源进行关联，实现通过场所空间检索相关联的视频资源；场所标注筛选视频点位支持按目录、名称、编码、自定义标签、AI标签、场所标签等组合条件过滤、批量选择；场所标注任务：根据物联资源的经纬度信息智能计算资源所属的场所空间，并将场所空间及其关联场所标签与物联资源关联。</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7、支持手动给基础设施、物联设备标注场所标签、场所空间、自定义标签.支持手动给视频点位标注AI标签、场所标签、场所空间、自定义标签。</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8、实现自定义标签共享使用，支持将自建的自定义标签共享为公用标签，变成公用标签后，系统中所有角色均可以查看和使用此共享出来的标签，使用此标签对资源进行打标签。</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9、对全市重点部位点位进行标签治理，治理成果应包括：</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1）完成全市44个大中型场馆控制区、分流区、周界、观众区域及持证通道等相关点位标注，标注点位数量不少于5000个。</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2）完成机场、主要火车站及客运站内部点位标注，标注点位数量不少于500个。</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3）完成全市主要大型广场点位标注，标注点位数量不少于300个。</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4）完成灵隐寺、雷峰塔、断桥、苏堤、河坊街、城市阳台等重要旅游景点的点位标注，标注点位数量不低于60个。</w:t>
            </w:r>
          </w:p>
        </w:tc>
      </w:tr>
    </w:tbl>
    <w:p>
      <w:pPr>
        <w:rPr>
          <w:color w:val="auto"/>
          <w:highlight w:val="none"/>
        </w:rPr>
      </w:pPr>
    </w:p>
    <w:p>
      <w:pPr>
        <w:pStyle w:val="964"/>
        <w:spacing w:before="120" w:after="120"/>
        <w:rPr>
          <w:color w:val="auto"/>
          <w:highlight w:val="none"/>
        </w:rPr>
      </w:pPr>
      <w:r>
        <w:rPr>
          <w:rFonts w:hint="eastAsia"/>
          <w:color w:val="auto"/>
          <w:highlight w:val="none"/>
        </w:rPr>
        <w:t>2.共享应用服务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56"/>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服务子类</w:t>
            </w:r>
          </w:p>
        </w:tc>
        <w:tc>
          <w:tcPr>
            <w:tcW w:w="368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算法共享应用服务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算法共享服务，提供智能算法的能力展示，已发布算法的算法展示查询、算法详情查看等功能，通过算法和点位申请，实现算法能力赋能。支持智能分析申请，部门单位可以选择需要的AI能力并关联相应的视频点位，设定相应服务质量，进行智能分析需求提交。为保障算法共享的高效性和有效性，系统需具备以下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算法超市支持首页顶部轮播展示最新/最热算法，包含算法封面、算法名称、算法描述、算法版本、上架时间等信息，支持进入算法详情页；支持按照城市流水形式3D立体展示热门算法。支持对分析源类型为图片、且已授权的AI训练算法或城管算法，提供算法在线演示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支持使用算法包内自带的算法示例图对算法进行快速演示，查看算法运行结果，将分析结果与算法示例图的预期结果做对比进行展示。支持本地上传测试图片对算法进行快速演示，输出算法运行后的结果。（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面向各委办局，及各级用户，提供AI算法的申请共享能力，支持选择单个算法或多个算法进行申请；支持算法申请结果推送配置，包消息、邮件、短信三种模式；支持算法分析计划的配置，包括全天计划，工作日计划，分时段计划；支持分析点位的预览，帮忙申请者、审批者对申请点位的确认；支持申请点位的联动配置，包括抓图联动，录像联动，云台联动、视频上墙，报警联动；支持支持申请审批管理，支持多级审批，支持按照申请单查看审批进度及审批意见。支持从点位搜索、视频广场、工作台（若有）直接发起智能分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事件共享应用服务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提供事件共享应用服务，包括提供智能事件库能力、事件研判能力、事件检索能力以及事件订阅管理能力，系统应具备以下功能：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1、智能事件库：具有10大行业共100个以上场景分类，可展示三级场景目录树，展示场景关联的事件模型数量；支持通过场景名字搜索相关场景。</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2、事件模型：支持通过场景、标签、事件名称查询事件模型，委办局用户可通过“我的事件”条件查询出所属用户组下的事件模型；</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支持查看事件的详细信息，包括事件模型标识、事件来源单位、关联场景、关联标签、事件协议字段信息等；支持添加事件模型，包含事件基本信息、事件协议。（需提供具有检验检测机构资质认定标志（CMA）等认证资格的机构出具的佐证材料复印件证明）</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事件研判：支持待研判事件检索，研判详情查看以及研判统计；待研判事件检索支持检索条件包括事件模型名称，事件状态内置待研判，该菜单对运营人员可见；支持卡片和列表的形式展示事件，卡片右侧可以进行切换，支持按事件时间排序，可以选择时间倒序或者正序；支持对待研判事件，当前页全选或多选进行批量研判，选择处理意见（正报、误报）填写备注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5、事件检索：支持事件进行检索，检索条件包括事件模型名称，事件时间，设备点位，事件地址，事件分析来源，事件状态；检索条件可重置。具有事件详细信息界面：算法事件展示事件的基本信息包括事件模型名称，事件地址，事件状态，事件时间，事件图片，点位名称、点位编号，事件关注度、算法信息、分析名称、任务类型、检测目标信息以及地图展示点位、事件位置信息；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事项详情检索：支持展示事件分析规则（分析规则区域、规则详情、基础、高级参数展示），支持隐藏绘制区域、对运维用户支持跳转修改分析规则操作；支持展示联动信息（联动抓图、对应点位名称），支持查看联动图片；（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事件订阅管理：所有用户支持事件订阅任务单检索；检索条件包括订阅任务名称、事件订阅方式、订阅类型、任务状态，检索条件可以被重置；展示内容包括订阅任务名称、关联事件模型、订阅平台名称、订阅方式、订阅类型、任务状态、创建人、创建时间及操作按钮展示；操作按钮：支持对单条任务，查看任务详情、启动/停止任务、删除任务；任务详情包括显示关联事件模型、任务状态，任务基本信息、设备列表、事件订阅方式。（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事件订阅申请、审批：对于委办局用户，支持通过事件检索页面、事件订阅管理页面、工作台—智能分析申请与事件查询—事件订阅申请页面新建事件订阅申请；事件订阅申请单内容包括自动校验申请人，事件接收地址有无配置，未配置时进行相关提示，不影响正常申请流程；支持按照事件场景、类型、状态、设备点位进行筛选订阅对应事件数据；支持政数局用户审批对应事件订阅申请，申请通过且申请用户事件接收地址信息配置完成发起事件推送。（需提供具有检验检测机构资质认定标志（CMA）等认证资格的机构出具的佐证材料复印件证明）</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9、支持对算法分析产生的智能事件进行研判，对于研判为误报的事件可以直接跳转到编排页面，修改分析规则，调整场景治理的参数。支持事件模型管理，添加、查看和编辑平台事件模型，为事件模型配置场景和关联业务标签，配置事件协议的报文结构。支持在事件检索中通过事件模型中配置的场景和业务事件类型对事件进行检索，可选择一种或多种条件检索。</w:t>
            </w:r>
            <w:r>
              <w:rPr>
                <w:rFonts w:hint="eastAsia" w:ascii="宋体" w:hAnsi="宋体" w:cs="宋体"/>
                <w:b/>
                <w:bCs/>
                <w:color w:val="auto"/>
                <w:kern w:val="0"/>
                <w:szCs w:val="21"/>
                <w:highlight w:val="none"/>
              </w:rPr>
              <w:t>（要求演示）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视频快速调阅应用服务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提供视频快速调阅应用服务，实现点位的精准定位和快速查阅。系统需具备以下能力：</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支持点位综合搜索，通过输入关键字，系统按照预设定的搜索规则匹配推荐的资源包括视频点位，场所空间和应用场景标签；系统也支持单独返回搜索规则匹配的视频点位，场所空间和应用场景标签，并按照匹配度从高向低进行排序；支持定义推荐搜索规则，对搜索结果根据设置权重配置进行智能排序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点位调阅，支持在搜索结果中查阅视频点位的多种属性，包括基础属性与位置属性等，可查看监控点缩略图及通过地图位置快速判断是否为目标点位进行视频调阅；支持在搜索结果中，批量选择目标点位进行添加收藏夹、播放等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应用场景调阅，支持以应用场景标签为出发点快速找点，基于搜索展示匹配到的监控点结果列表，可查看应用场景下的监控点缩略图及地图位置，并可进一步按应用场景标签分类筛选到目标监控点；支持查看目标应用场景标签下的所有点位信息，并可进行批量播放、添加收藏夹等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视频点位地图散点，支持在地图上撒点展示点位信息，可根据搜索结果对地图上的点位按照距离、匹配度等进行编号；支持在地图上通过各类选择框选择点位，支持对搜索结果、点位详情、地图进行三级联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5、支持资源标注，支持对点位进行应用场景标签标注和点位基础信息修改等操作。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支持视频综合调阅搜索能力，输入关键字后可以综合展示点位、编组、地名等多类结果。支持查看点位搜索结果，支持搜索结果一键平铺播放，支持查看目标点位自定义范围内周边设备和地名支持动态治理能力，用户可以在查看目标点位视频的同时对点位标注标签，当前标签体系没有某标签时可以自行增加标签。</w:t>
            </w:r>
            <w:r>
              <w:rPr>
                <w:rFonts w:hint="eastAsia" w:ascii="宋体" w:hAnsi="宋体" w:cs="宋体"/>
                <w:b/>
                <w:bCs/>
                <w:color w:val="auto"/>
                <w:kern w:val="0"/>
                <w:szCs w:val="21"/>
                <w:highlight w:val="none"/>
              </w:rPr>
              <w:t>（要求演示）</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7、针对重点部位的球机点位，支持展示球机全景缩略图，支持通过点位标签反控球机预置位，实现目标部位的快速查阅。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视频共享管控应用服务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视频共享管控应用服务，实现视频权限控制，对取流路数、取流时长、使用期限等变量进行设置，提升平台视频业务调度的灵活性；满足紧急管控需求，支持快速回收监控点视频业务使用权限。通过视频业务调用审计分析平台历史运行状态、取流链路详情和业务问题排查；通过视频预热，保障重点点位取流。提供视频播放叠加水印功能，保证视频码流叠加水印不可擦除，视频外泄后便于用户进行溯源，维护用户视频版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1、提供视频共享管控专用设备1台，硬件规格如下：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处理器不低于HG3285@3.0GHz8核；内存容量不低于32GB DDR4；硬盘容量不低于256GB SSD；网络接口不少于7个10/100/1000M自适应电口，2个10/100/1000M自适应光口；输出接口不少于1个HDMI，1个VGA，USB接口不少于2个USB 3.0。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单台设备支持不低于144路分辨率为1920*1080，码流为4Mbps的视频水印叠加能力。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支持6个维度（应用、客户端、边缘系统（下级平台）、联网系统（上级平台）、用户组、用户）的取流路数、取流时长、使用期限、录像时间段等变量进行设置，对超限的业务请求做剔除、拒绝处理。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设备本级（客户端、应用、解码上墙、用户）和上级平台在实时预览、回放、下载视频流中叠加的水印信息；支持选择部分点位、播放类型（预览、回放、下载）叠加水印。支持配置以下水印内容：本级（监控点名称、ip地址、时间、自定义内容展示），上级（域编码、域名称、监控点名称、ip地址、时间、自定义内容展示）。（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2、系统软件功能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1）权限控制：提供对平台用户、用户组、监控点、客户端类型、OpenAPI对外开放账号、上级域平台、下级域平台等对象的实时预览、录像回放、录像下载、云台控制的权限开关；</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2）业务限制：支持对取流路数、取流时长、使用期限等变量进行设置，提升平台视频业务调度的灵活性；</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3）紧急管控：支持快速回收监控点视频业务使用权限，并支持添加白名单对象，及时有效防止突发事件外泄。</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视频业务调用审计：主动采集视频业务数据，呈现监控平台的取流路数、取流流量等业务的管控实时数据和业务数据异常操作的告警提示，并能实时回放平台的监测数据，方便回顾分析平台历史运行状态；提供监控链路的数据查询，包括用户、IP、取流业务、监控点名称、操作时间等，便于分析实时管控链路的详情和业务问题的排查追溯；提供管控业务数据的统计分析，便于分析平台运行态势及时掌握业务用量，支持报表方式导出统计数据。</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5）视频智能调度：支持不同取流场景下的调度需求，级联场景下可检测更优的取流路径，并支持手动切换。</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6）视频预热：通过智能缓存的方式提高平台点位取流速度与画面流畅度，并对预取流点位视频质量诊断，提供图像检测数据做业务参考，保障重点点位的取流体验。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地图数据服务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提供杭州市全量地理数据服务。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数据同步服务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数据同步能力服务，实现从不同数据来源，对数据进行抽取、转换、加载至ODS或者数据消息流中，将分散、零乱、标准不统一的各类数据，通过简单的web任务配置整合。工作台有任务管理、任务开发工作台、模板管理、程序包管理、实例管理、插件管理、属性管理、通用参数配置等子模块。包括以下功能：</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上下级域管理：支持分页展示本级视图库的所有上级视图和下级视图，查看视图库编号、视图库名称、IP地址、端口等信息。支持添加上级域视图库和下级域视图库，包括视图库编号、视图库名称、IP地址、端口、登录用户、是否转码、厂商、联网信息等信息。支持编辑上级域视图库和下级域视图库信息，支持单个和批量删除上\下级域。</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资源级联：接收xres通道、设备及关联关系和资源目录等信息，并在页面上展示。支持分页查看所有通道信息，包括通道编号、通道名称、能力集、已级联能力集、数据状态、级联状态、已数据级联状态等信息。</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3、实现公安侧标签数据、资产数据等数据信息真实有效传输同步至本次建设系统。</w:t>
            </w:r>
          </w:p>
        </w:tc>
      </w:tr>
    </w:tbl>
    <w:p>
      <w:pPr>
        <w:rPr>
          <w:color w:val="auto"/>
          <w:highlight w:val="none"/>
        </w:rPr>
      </w:pPr>
    </w:p>
    <w:p>
      <w:pPr>
        <w:pStyle w:val="964"/>
        <w:spacing w:before="120" w:after="120"/>
        <w:rPr>
          <w:color w:val="auto"/>
          <w:highlight w:val="none"/>
        </w:rPr>
      </w:pPr>
      <w:r>
        <w:rPr>
          <w:rFonts w:hint="eastAsia"/>
          <w:color w:val="auto"/>
          <w:highlight w:val="none"/>
        </w:rPr>
        <w:t>3.基础设施与安全保障服务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56"/>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服务子类</w:t>
            </w:r>
          </w:p>
        </w:tc>
        <w:tc>
          <w:tcPr>
            <w:tcW w:w="368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总体服务要求</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总体服务要求：为公共安全图像信息资源共享交换平台提供CPU、内存、存储、网络的专用基础设施。根据《网络安全等级保护基本要求》（GB/T 22239-2019）要求，需承诺基础设施及公共安全图像信息资源共享交换平台能够满足三级等级保护测评要求，在服务期内要求完成等保三级测评。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计算资源服务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提供本次建设任务需求所需基础设施资源，并实现公共安全图像信息资源共享交换平台新老资源的统一无缝管理。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一、硬件规格：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1、提供管理节点2台，规格如下：单台CPU配置不少于2颗，CPU为x86架构，单颗CPU核数≥24核，主频≥2.2GHz；CPU满足中国信息安全测评中心、国家保密科技测评中心发布公告，安全可靠等级I级；内存配置不低于128G DDR4，32根内存插槽，最大支持扩展至2TB内存；硬盘配置不低于2块480G SATA接口SSD 硬盘，2块4T 7.2K SATA硬盘，配置8个硬盘槽位；配置SAS_HBA卡，支持RAID 0/1/10；最大可支持10个PCIe扩展插槽；网口配置不低于2个千兆电口，4个万兆光口；其他接口配置不低于1个千兆RJ-45管理接口，4个USB 3.0接口，2个位于机箱后部，2个位于机箱前部；1个VGA口。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2、提供计算节点9台，规格如下：单台CPU配置不少于2颗，CPU为x86架构，单颗核数≥32核，频率≥2.2GHz；CPU满足中国信息安全测评中心、国家保密科技测评中心发布公告，安全可靠等级I级；内存配置不低于512G DDR4，32根内存插槽，最大支持扩展至4TB内存；硬盘部少于2块960G 2.5寸 SSD硬盘,2块600G 10K SAS硬盘,6块6T 7.2K SATA硬盘；阵列卡：SAS_HBA卡，支持RAID 0/1/10；PCIE扩展：最大可支持10个PCIE扩展插槽；网口不少于2个千兆电口,4个万兆光口；其他接口不少于1个RJ45管理接口，4个USB 3.0接口，1个VGA接口。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二、系统软件功能要求如下：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支持同时接入多个分布式存储集群进行统一的管理和调度，分布式存储集群支持不同架构类型，包括X86架构和ARM架构，支持按照节点划分不同的存储集群和存储池，并支持为存储集群配置不同的故障域，可按照节点、集群或者机架划分故障域，也可以根据集群规模进行一键配置，提供最优实践的故障域配置。（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配置弹性伸缩组及伸缩策略,包括对虚拟机进行纵向自动弹性扩展和横向伸缩，若配置自动弹性扩展，虚拟机资源量达到策略定义的阈值,系统可以自动为虚拟机增加相应的CPU、内存资源；若配置了横向弹性伸缩组，当虚拟机资源量达到策略定义的阈值或到达配置的定时周期时，系统将自动增加、删除虚拟机数量；支持流媒体的弹性伸缩，在流媒体服务集群资源使用率达到阈值，可自动添加流媒体服务，自动分担、平衡流媒体业务流量。（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在不中断已有业务的情况下，对数据中心内部各类已有服务器设备进行监控纳管，包括X86服务器、ARM服务器、存储服务器、专有智能设备。支持通过IPMI协议对纳管的存量服务器进行远程开关机、远程监控等，管理员或租户可对纳管的服务器进行资产分配，分配给不同的租户或用户进行管理，并支持资产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事件存储服务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提供事件图像视频存储服务，用于解析生产的事件图片/视频数据存储，存储周期不少于6个月。</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提供包括不少于1台存储设备及系统软件：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一、硬件规格如下：不少于2颗64位多核处理器，不低于8GB内存，内存支持扩展到≥256GB，内置SSD固态硬盘（可以扩展到4个SSD作为缓存盘），配置≥3个风扇，支持风扇热插拔冗余温控调速风扇。（需提供具有检验检测机构资质认定标志（CMA）等认证资格的机构出具的佐证材料复印件证明）；需满配容量不低于8T硬盘，2个千兆口，2个万兆口，支持网络RIAD，支持视音频、图片、直接写入，支持视频高速预览、回放、下载，支持云内容灾备份；支持GB/T28181-2011、Onvif、RTSP、H265、SVAC等标准视频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二、系统功能要求如下：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支持集群管理功能，包括集群单元弹性扩容、负载均衡、故障迁移等；支持集群节点生命周期管理，支持集群节点服务启动/停止，集群节点服务组建、扩展、删除；（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集群支持多CPU架构(X86架构、ARM架构)存储设备混合组网、部署，可同时支持麒麟操作系统、OpenEuler操作系统等系统的混合部署、扩容、调度；支持将不同CPU架构的存储资源虚拟化成统一存储资源池，读写业务在多CPU架构存储节点间动态负载均衡；（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系统支持手动、自动对智能事件关联的多个录像片段设置录像标签。支持标签与其关联的录像片段同生命周期管理；支持通过按标签内容查询、回放、下载录像片段数据；支持对标签关联的录像片段进行锁定、备份；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并对硬盘健康状态进行分级分类，包括健康（良好、正常）、亚健康（警告、即将损坏）、故障（错误、损坏）等；可对系统中的磁盘进行周期性体检、对有风险的磁盘做深度体检，并给出处理意见，对有损坏风险的磁盘，可使用RAID技术进行数据处理； 支持磁盘故障预测，通过对硬盘SMART信息进行周期性检测，监测会导致硬盘故障的关键指标，通过分析关键指标的变化趋势实现硬盘故障预测。（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三、为保障系统和数据安全性，需提供国家密码管理局商用密码检测中心出具“云存储平台系统密码安全功能和性能检测报告”；提供公安部《信息系统安全等级保护》三级证书。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边界安全保障服务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根据《信息安全技术网络安全等级保护安全设计要求》GB/T 22239-2019、《公安视频图像信息系统安全技术要求》GA/T 1788.x-2021要求等国家标准要求，针对安全隔离区部署安全防护设备，提供边界安全保障服务，实现视频和数据与行业专网的安全隔离与信息共享，解决与横向各部门间共享政务网与行业专网之间的网络安全问题。</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1、下一代防火墙1台：国产化C</w:t>
            </w:r>
            <w:r>
              <w:rPr>
                <w:rFonts w:ascii="宋体" w:hAnsi="宋体" w:cs="宋体"/>
                <w:color w:val="auto"/>
                <w:kern w:val="0"/>
                <w:szCs w:val="21"/>
                <w:highlight w:val="none"/>
              </w:rPr>
              <w:t>PU</w:t>
            </w:r>
            <w:r>
              <w:rPr>
                <w:rFonts w:hint="eastAsia" w:ascii="宋体" w:hAnsi="宋体" w:cs="宋体"/>
                <w:color w:val="auto"/>
                <w:kern w:val="0"/>
                <w:szCs w:val="21"/>
                <w:highlight w:val="none"/>
              </w:rPr>
              <w:t>及操作系统， 1个管理口、1个HA口、6个千兆电口、4个千兆光口（需满配千兆多模模块）和2个万兆光口（需满配万兆多模模块），16G内存，4T机械盘,冗余电源,1个扩展槽位,网络层吞吐量11G， TCP新建连接速率： 100万/秒, TCP并发连接数： 2000.000万。</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2、数据安全交换系统1套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前置代理系统：包含不少于7个10/100/1000BASE-T接口（含1个管理口，1个HA口，1个BMC口），4个万兆光口插槽，1个VGA接口，一个RS232串口，4个USB2.0口，2个USB3.0口,冗余电源,网络吞吐量：8Gbps，访问延时&lt;10ms，并发连接数&gt;20w，硬盘配置不低于4*4TB机械硬盘或6*1TB硬盘，内存不低于32G。</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后置代理系统：包含不少于7个10/100/1000BASE-T接口（含1个管理口，1个HA口，1个BMC口），4个万兆光口插槽，1个VGA接口，一个RS232串口，4个USB2.0口，2个USB3.0口,冗余电源,网络吞吐量：8Gbps，访问延时&lt;10ms，并发连接数&gt;20w，硬盘配置不低于4*4TB机械硬盘或6*1TB硬盘，内存不低于32G。</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网闸：国产化C</w:t>
            </w:r>
            <w:r>
              <w:rPr>
                <w:rFonts w:ascii="宋体" w:hAnsi="宋体" w:cs="宋体"/>
                <w:color w:val="auto"/>
                <w:kern w:val="0"/>
                <w:szCs w:val="21"/>
                <w:highlight w:val="none"/>
              </w:rPr>
              <w:t>PU</w:t>
            </w:r>
            <w:r>
              <w:rPr>
                <w:rFonts w:hint="eastAsia" w:ascii="宋体" w:hAnsi="宋体" w:cs="宋体"/>
                <w:color w:val="auto"/>
                <w:kern w:val="0"/>
                <w:szCs w:val="21"/>
                <w:highlight w:val="none"/>
              </w:rPr>
              <w:t>及操作系统，内外端机各不少于32GB内存，内外端机各不少于4TB机械硬盘,内外分别1个HA口、1个管理口、4个千兆电口和4个千兆光口（需配置不少于4个千兆多模光模块），4个万兆光口（需配置不少于4个万兆多模光模块）,网络层交换速率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视频安全保障服务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具备但不限于数据安全态势感知、权限管控，实现视频数据保护，打水印、视频数据下载加密等能力；帮助明确视频共享安全责任，完善数据共享审批流程。建立安全视频访问机制，实现视频调阅管控，满足应急响应视频共享管控要求，实现项目内各类视频操作的安全审计，保证视频调用操作的合规，实现数据的安全可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一、视频数据共享保护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1、视频数据保护设备1台：配置≥2个万兆兆电口(含光模块)，可用空间不低于1.2TB，内置国密密码卡，内置国产化CPU，银河麒麟等国产操作系统；客户端管理数量≥5000；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基于用户名口令+智能密码钥匙（基于数字证书）的双因子身份鉴别方式，数字证书支持根据预定义的时效策略定期更新。（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数字证书认证过程采用经过国家密码管理局认证的硬件密码模块实现。（要求提供硬件密码模块《商用密码产品认证证书》复印件）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采用国密安全技术为用户终端存储的视频数据提供机密性和完整性保护，密码算法全部采用国产商用密码算法，且采用经过国家密码管理局认证的硬件密码模块实现；（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运用明文水印、二维码水印、图片水印等多种技术对视频监控平台播放的视频画面进行防护，包括通过视频监控平台（CS和BS）对视频进行实时预览、回放、下载以及抓图后的播放画面。水印内容包括：当前登录用户名、主机名、终端IP地址、终端MAC地址、系统时间、开机时间和自定义信息，下载的加密视频播放画面支持增加显示下载外发时间。支持客户端视频大屏投放时的水印保护，水印支持适应监控画面窗口的移动。（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为保证加密性能以及硬件兼容性，内置硬件密码模块与视频数据保护系统需为统一品牌。（需提供内置密码卡国产商用密码证书复印件）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视频安全共享设备1台：配置≥128G内存，≥2个千兆电口，内置国密密码卡，800W冗余电源；银河麒麟等国产操作系统，海光等国产CPU；视频调阅并发（1080P@25帧4M码流）：64路；数字水印增加调阅延迟：＜400ms；码流加密增加调阅延迟：＜400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多级单位视频在线共享场景下，视频编解码水印的逐级叠加，至少支持三级水印叠加，且多级水印之间互不干扰。（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支持基于商密数字证书的双因子（智能密码钥匙+PIN码）身份认证，数字证书支持根据预定义的时效策略进行更新。（需提供具有检验检测机构资质认定标志（CMA）等认证资格的机构出具的佐证材料复印件证明）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对系统内所有有效操作进行详细日志记录，并使用系统私钥进行签名，记录内容至少应包括事件的日期、时间、操作人员、操作类型、操作内容和操作结果等。支持采用国家商用密码算法对日志记录的完整性进行校验。支持日志记录数据的统计、查询、分析功能，提供不同维度的操作日志统计、动态趋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采用商密安全技术为平台间的共享视频数据提供机密性和完整性保护，保证视频共享数据的一致性。密码算法全部采用国家商用密码算法，且采用经过国家密码管理局认证的硬件密码模块实现。 提供密码卡商用密码产品认证证书复印件。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二、视频安全监测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1、视频安全审计1台：配置≥128G内存，可用空间不少于960GB+8TB*2，2个千兆电口，2个千兆光口；550W冗余电源；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视频异常行为检测，包括：视频指令报文异常、视频信令未授权调用、视频信令弱密码操作、视频信令未认证调用、视频信令使用不安全认证方式等。（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能够感知视频专网中的流量数据，实时监听流量数据，解析发现其中的登录和获取安全信息、设备取流、取流终止、获取媒体信息、获取图像、查找录像/图片文件、视频文件预览、控制镜头、通知订阅、获取警报等视频行为。（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支持结合流量探针对视频流量进行还原分析，实时还原出回放和预览的视频，并能对还原的视频进行内容安全审计。</w:t>
            </w:r>
            <w:r>
              <w:rPr>
                <w:rFonts w:hint="eastAsia" w:ascii="宋体" w:hAnsi="宋体" w:cs="宋体"/>
                <w:b/>
                <w:color w:val="auto"/>
                <w:kern w:val="0"/>
                <w:szCs w:val="21"/>
                <w:highlight w:val="none"/>
              </w:rPr>
              <w:t>（要求演示）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2、视频内容安全管控：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标准2U机架式设备1台：配置≥32G内存，≥512G 硬盘，≥2个千兆电口，≥2个3.0USB口，≥2个扩展槽位，国产化CPU及操作系统；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对嵌入式IoT设备（如IPC设备）进行安全防护，支持对IoT设备本地出现异常文件、可疑进程、网络扫描、设备重启等情况进行实时监控，支持根据用户配置的安全策略进行异常文件删除、非法IP阻断、恶意进程拦截等操作。（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支持对带文本的图片进行检测，支持敏感词检测详情查看，同时支持配置敏感词白名单。（需提供具有检验检测机构资质认定标志（CMA）等认证资格的机构出具的佐证材料复印件证明）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对播放素材进行预检，支持的视频格式包括MP4、MOV、M4A、3GP、AVI、FLV、ASF、MPG,支持下载播放素材中存在的异常帧。支持对敏感图片白名单、敏感词白名单进行删除、配置操作；支持配置屏幕遮盖策略、关机策略禁止智慧屏敏感内容播放。（需提供具有检验检测机构资质认定标志（CMA）等认证资格的机构出具的佐证材料复印件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四、组网设备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包含建设所需交换机、光模块以及跳线等辅材。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1、不少于2台万兆交换机，规格不低于： 48个1G/10G SFP+光接口，2个40G QSFP+光接口，1个console口，1个usb接口，1个带外管理网口；2个业务扩展槽，2个电源模块槽位，2个风扇模块槽位，交换容量：2.56Tbps/25.6Tbps，包转发率：1080Mpps/1620Mpps；支持RIP/OSPF/BGP/IS-IS/VRRP，IPv6，VLAN，流量控制，ACL，QoS，端口镜像，环网RRPP/ERPS、支持SNMP V1/V2c/V3网管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2、不少于1台千兆交换机，规格不低于： 48个千兆电口，4个万兆SFP+光口；1个业务扩展槽，2个电源模块槽位，2个风扇模块槽位，交换容量：756Gbps/7.56Tbps，包转发率：252Mpps/432Mpps；支持RIP/OSPF/BGP/IS-IS/VRRP，IPv6，VLAN，流量控制，ACL，QoS，端口镜像，环网RRPP/ERPS、支持SNMP V1/V2c/V3网管。支持10KV业务端口防雷能力。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3、包括本次设备组网所需的万兆多模双纤光模块、多模跳线等建设组网所必须的辅材。</w:t>
            </w:r>
          </w:p>
        </w:tc>
      </w:tr>
    </w:tbl>
    <w:p>
      <w:pPr>
        <w:rPr>
          <w:color w:val="auto"/>
          <w:highlight w:val="none"/>
        </w:rPr>
      </w:pPr>
    </w:p>
    <w:p>
      <w:pPr>
        <w:pStyle w:val="964"/>
        <w:spacing w:before="120" w:after="120"/>
        <w:rPr>
          <w:color w:val="auto"/>
          <w:highlight w:val="none"/>
        </w:rPr>
      </w:pPr>
      <w:r>
        <w:rPr>
          <w:rFonts w:hint="eastAsia"/>
          <w:color w:val="auto"/>
          <w:highlight w:val="none"/>
        </w:rPr>
        <w:t>4.运维运营服务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56"/>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服务子类</w:t>
            </w:r>
          </w:p>
        </w:tc>
        <w:tc>
          <w:tcPr>
            <w:tcW w:w="3689"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安全检测/运维服务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提供安全检测/运维服务，包括常规安全检测服务以及安全运维服务。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一、常规安全检测服务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1、对网内重要业务系统服务器、数据库、网络设备开展一年二次的漏洞扫描服务，基本扫描结果进行人工分析，并输出《漏洞扫描报告》。</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2、对网内重要业务系统服务器、数据库、网络设备执行安全配置检查（每年二次，服务期内一共二次），并输出《安全配置核查报告》</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3、对网内重要业务系统检查信息系统自身健壮性，验证可能遭受的安全威胁，并输出《渗透测试报告》（每年二次，服务期内一共二次）。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二、安全运维服务</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1、按甲方要求派遣工程师到甲方指定地点驻场,执行现场安全值守（每次一天24小时，服务期内不少于3次），如重大安保活动期间执行安全值守。</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2、针对安全设备/系统，进行策略的合理性和有效性检查，并对日志进行审计分析，记录保存检查和审计结果（每年二次，服务期内一共二次），并输出《安全巡检报告》。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16"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驻场服务</w:t>
            </w:r>
          </w:p>
        </w:tc>
        <w:tc>
          <w:tcPr>
            <w:tcW w:w="3689" w:type="pct"/>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日常运维管理、服务响应、故障修复、软件加固优化、重大活动保障等，驻场运维人员不低于5人，12个月，7*24小时运维保障服务，以满足当下和未来数字化改革所需要的平台稳定和快速响应能力，实现全方位平台维护的实际需求。通过建设专业运营运维队伍，为各部门资源共享和事件共治提供可持续支撑保障。</w:t>
            </w:r>
          </w:p>
        </w:tc>
      </w:tr>
    </w:tbl>
    <w:p>
      <w:pPr>
        <w:rPr>
          <w:color w:val="auto"/>
          <w:highlight w:val="none"/>
        </w:rPr>
      </w:pP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五、工期、培训及服务等需求</w:t>
      </w:r>
    </w:p>
    <w:p>
      <w:pPr>
        <w:pStyle w:val="964"/>
        <w:spacing w:before="120" w:after="120"/>
        <w:rPr>
          <w:color w:val="auto"/>
          <w:highlight w:val="none"/>
        </w:rPr>
      </w:pPr>
      <w:r>
        <w:rPr>
          <w:rFonts w:hint="eastAsia"/>
          <w:color w:val="auto"/>
          <w:highlight w:val="none"/>
        </w:rPr>
        <w:t>1．工期要求</w:t>
      </w:r>
    </w:p>
    <w:p>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w:t>
      </w:r>
      <w:r>
        <w:rPr>
          <w:rFonts w:hint="eastAsia" w:ascii="宋体" w:hAnsi="宋体" w:cs="宋体"/>
          <w:b/>
          <w:bCs/>
          <w:color w:val="auto"/>
          <w:sz w:val="24"/>
          <w:highlight w:val="none"/>
          <w:u w:val="single"/>
        </w:rPr>
        <w:t>▲实施周期：投标人在投标文件中承诺：自合同签订之日起45个工作日内完成本次新建功能系统的软硬件部署，并完成以下对接工作：①为了保证数据的顺利接入和功能平稳运行，本次建设功能系统须在原平台（公共安全图像信息资源共享交换平台）基础上进行扩容或实现无缝对接，数据及功能须在原平台上统一平台使用。②为满足业务需求，平台须实现与市公安侧平台标签数据、资产数据的真实有效传输同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2）服务期：自合同签订之日起至2025年6月30日；服务期满3个月进行初验，服务期至2025年6月30日进行终验。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实施人员要求：项目实施组应包含实施本项目所必须的各类技术和管理人员，其中包括但不限于项目经理、业务专家以及系统分析、架构设计、应用开发、系统测试等方面的专业人员。项目负责人需同时具备信息系统项目管理师证书、系统集成项目管理工程师证书。项目团队组内人员具有人社部门颁发的高级系统架构设计师、网络工程师、软件设计师、高级工程师证书。</w:t>
      </w:r>
    </w:p>
    <w:p>
      <w:pPr>
        <w:pStyle w:val="964"/>
        <w:spacing w:before="120" w:after="120"/>
        <w:rPr>
          <w:color w:val="auto"/>
          <w:highlight w:val="none"/>
        </w:rPr>
      </w:pPr>
      <w:r>
        <w:rPr>
          <w:rFonts w:hint="eastAsia"/>
          <w:color w:val="auto"/>
          <w:highlight w:val="none"/>
        </w:rPr>
        <w:t>2．培训、技术支持服务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投标人需提供平台正常运行所需的培训，包括但不限于以下内容：</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）用户培训服务：培训内容包含但不限于平台能力宣讲培训、视频数据价值应用案例培训、视频资源体系赋能培训、安全日常管理培训、规范标准体系培训等。</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）开发者培训服务：培训内容包括但不限于</w:t>
      </w:r>
      <w:r>
        <w:rPr>
          <w:rFonts w:ascii="宋体" w:hAnsi="宋体" w:cs="宋体"/>
          <w:color w:val="auto"/>
          <w:sz w:val="24"/>
          <w:highlight w:val="none"/>
        </w:rPr>
        <w:t>API</w:t>
      </w:r>
      <w:r>
        <w:rPr>
          <w:rFonts w:hint="eastAsia" w:ascii="宋体" w:hAnsi="宋体" w:cs="宋体"/>
          <w:color w:val="auto"/>
          <w:sz w:val="24"/>
          <w:highlight w:val="none"/>
        </w:rPr>
        <w:t>接口调用开发培训、</w:t>
      </w:r>
      <w:r>
        <w:rPr>
          <w:rFonts w:ascii="宋体" w:hAnsi="宋体" w:cs="宋体"/>
          <w:color w:val="auto"/>
          <w:sz w:val="24"/>
          <w:highlight w:val="none"/>
        </w:rPr>
        <w:t>API</w:t>
      </w:r>
      <w:r>
        <w:rPr>
          <w:rFonts w:hint="eastAsia" w:ascii="宋体" w:hAnsi="宋体" w:cs="宋体"/>
          <w:color w:val="auto"/>
          <w:sz w:val="24"/>
          <w:highlight w:val="none"/>
        </w:rPr>
        <w:t>接口调用实例演示、算法训练实战培训、事件订阅与推送开发培训等。</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）远程支持服务：提供技术专家工程师远程支持服务，服务内容包括技术咨询、问题处理及远程协助服务，提供问分析指导、问题排查指导、操作方案指导等。</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）现场支持服务：提供技术专家工程师现场支持服务，包括问题处理、系统巡检、现场问题分析、系统调优等服务内容。</w:t>
      </w:r>
    </w:p>
    <w:p>
      <w:pPr>
        <w:pStyle w:val="964"/>
        <w:spacing w:before="120" w:after="120"/>
        <w:rPr>
          <w:color w:val="auto"/>
          <w:highlight w:val="none"/>
        </w:rPr>
      </w:pPr>
      <w:r>
        <w:rPr>
          <w:rFonts w:hint="eastAsia"/>
          <w:color w:val="auto"/>
          <w:highlight w:val="none"/>
        </w:rPr>
        <w:t>3．驻场运维服务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）平台运维服务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常运维管理、服务响应、故障修复、软件加固优化、重大活动保障等，驻场运维人员不低于5人，12个月，7*24小时运维保障服务，以满足当下和未来数字化改革所需要的平台稳定和快速响应能力，实现全方位平台维护的实际需求。通过建设专业运营运维队伍，为各部门资源共享和事件共治提供可持续支撑保障。管理好设备的运行状况，建立日常运维台账，提供一站式运维服务，为运维管理降本增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2）考核办法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654"/>
        <w:gridCol w:w="765"/>
        <w:gridCol w:w="991"/>
        <w:gridCol w:w="227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序号</w:t>
            </w:r>
          </w:p>
        </w:tc>
        <w:tc>
          <w:tcPr>
            <w:tcW w:w="38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考核维度</w:t>
            </w: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考核内容</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考核细项</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标准定义</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color w:val="auto"/>
                <w:szCs w:val="21"/>
                <w:highlight w:val="none"/>
              </w:rPr>
              <w:t>1</w:t>
            </w:r>
          </w:p>
        </w:tc>
        <w:tc>
          <w:tcPr>
            <w:tcW w:w="3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日常工作（</w:t>
            </w:r>
            <w:r>
              <w:rPr>
                <w:color w:val="auto"/>
                <w:szCs w:val="21"/>
                <w:highlight w:val="none"/>
              </w:rPr>
              <w:t>40</w:t>
            </w:r>
            <w:r>
              <w:rPr>
                <w:rFonts w:hint="eastAsia"/>
                <w:color w:val="auto"/>
                <w:szCs w:val="21"/>
                <w:highlight w:val="none"/>
              </w:rPr>
              <w:t>分）</w:t>
            </w: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出勤及工作态度（</w:t>
            </w:r>
            <w:r>
              <w:rPr>
                <w:color w:val="auto"/>
                <w:szCs w:val="21"/>
                <w:highlight w:val="none"/>
              </w:rPr>
              <w:t>20</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出勤率（</w:t>
            </w:r>
            <w:r>
              <w:rPr>
                <w:color w:val="auto"/>
                <w:szCs w:val="21"/>
                <w:highlight w:val="none"/>
              </w:rPr>
              <w:t>5</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正常上下班及非工作时间的值班情况</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满勤</w:t>
            </w:r>
            <w:r>
              <w:rPr>
                <w:color w:val="auto"/>
                <w:szCs w:val="21"/>
                <w:highlight w:val="none"/>
              </w:rPr>
              <w:t>5</w:t>
            </w:r>
            <w:r>
              <w:rPr>
                <w:rFonts w:hint="eastAsia"/>
                <w:color w:val="auto"/>
                <w:szCs w:val="21"/>
                <w:highlight w:val="none"/>
              </w:rPr>
              <w:t>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无故缺勤，每人次扣</w:t>
            </w:r>
            <w:r>
              <w:rPr>
                <w:color w:val="auto"/>
                <w:szCs w:val="21"/>
                <w:highlight w:val="none"/>
              </w:rPr>
              <w:t>1</w:t>
            </w:r>
            <w:r>
              <w:rPr>
                <w:rFonts w:hint="eastAsia"/>
                <w:color w:val="auto"/>
                <w:szCs w:val="21"/>
                <w:highlight w:val="none"/>
              </w:rPr>
              <w:t>分；</w:t>
            </w:r>
          </w:p>
          <w:p>
            <w:pPr>
              <w:widowControl/>
              <w:spacing w:line="360" w:lineRule="exact"/>
              <w:rPr>
                <w:color w:val="auto"/>
                <w:szCs w:val="21"/>
                <w:highlight w:val="none"/>
              </w:rPr>
            </w:pPr>
            <w:r>
              <w:rPr>
                <w:color w:val="auto"/>
                <w:szCs w:val="21"/>
                <w:highlight w:val="none"/>
              </w:rPr>
              <w:t>3.</w:t>
            </w:r>
            <w:r>
              <w:rPr>
                <w:rFonts w:hint="eastAsia"/>
                <w:color w:val="auto"/>
                <w:szCs w:val="21"/>
                <w:highlight w:val="none"/>
              </w:rPr>
              <w:t>迟到或早退，每人次扣</w:t>
            </w:r>
            <w:r>
              <w:rPr>
                <w:color w:val="auto"/>
                <w:szCs w:val="21"/>
                <w:highlight w:val="none"/>
              </w:rPr>
              <w:t>0.5</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会议及演练出勤（</w:t>
            </w:r>
            <w:r>
              <w:rPr>
                <w:color w:val="auto"/>
                <w:szCs w:val="21"/>
                <w:highlight w:val="none"/>
              </w:rPr>
              <w:t>5</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会议及安全演练的出勤情况</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满勤</w:t>
            </w:r>
            <w:r>
              <w:rPr>
                <w:color w:val="auto"/>
                <w:szCs w:val="21"/>
                <w:highlight w:val="none"/>
              </w:rPr>
              <w:t>5</w:t>
            </w:r>
            <w:r>
              <w:rPr>
                <w:rFonts w:hint="eastAsia"/>
                <w:color w:val="auto"/>
                <w:szCs w:val="21"/>
                <w:highlight w:val="none"/>
              </w:rPr>
              <w:t>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无故缺勤，每人次扣</w:t>
            </w:r>
            <w:r>
              <w:rPr>
                <w:color w:val="auto"/>
                <w:szCs w:val="21"/>
                <w:highlight w:val="none"/>
              </w:rPr>
              <w:t>1</w:t>
            </w:r>
            <w:r>
              <w:rPr>
                <w:rFonts w:hint="eastAsia"/>
                <w:color w:val="auto"/>
                <w:szCs w:val="21"/>
                <w:highlight w:val="none"/>
              </w:rPr>
              <w:t>分；</w:t>
            </w:r>
            <w:r>
              <w:rPr>
                <w:color w:val="auto"/>
                <w:szCs w:val="21"/>
                <w:highlight w:val="none"/>
              </w:rPr>
              <w:t xml:space="preserve">      </w:t>
            </w:r>
          </w:p>
          <w:p>
            <w:pPr>
              <w:widowControl/>
              <w:spacing w:line="360" w:lineRule="exact"/>
              <w:rPr>
                <w:color w:val="auto"/>
                <w:szCs w:val="21"/>
                <w:highlight w:val="none"/>
              </w:rPr>
            </w:pPr>
            <w:r>
              <w:rPr>
                <w:color w:val="auto"/>
                <w:szCs w:val="21"/>
                <w:highlight w:val="none"/>
              </w:rPr>
              <w:t>3.</w:t>
            </w:r>
            <w:r>
              <w:rPr>
                <w:rFonts w:hint="eastAsia"/>
                <w:color w:val="auto"/>
                <w:szCs w:val="21"/>
                <w:highlight w:val="none"/>
              </w:rPr>
              <w:t>根据年度演练计划，未完成当月演练的，每个演练扣</w:t>
            </w:r>
            <w:r>
              <w:rPr>
                <w:color w:val="auto"/>
                <w:szCs w:val="21"/>
                <w:highlight w:val="none"/>
              </w:rPr>
              <w:t>1</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工作态度（</w:t>
            </w:r>
            <w:r>
              <w:rPr>
                <w:color w:val="auto"/>
                <w:szCs w:val="21"/>
                <w:highlight w:val="none"/>
              </w:rPr>
              <w:t>10</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所有驻场人员服从工作分配情况</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auto"/>
                <w:szCs w:val="21"/>
                <w:highlight w:val="none"/>
              </w:rPr>
            </w:pPr>
            <w:r>
              <w:rPr>
                <w:color w:val="auto"/>
                <w:szCs w:val="21"/>
                <w:highlight w:val="none"/>
              </w:rPr>
              <w:t>1.</w:t>
            </w:r>
            <w:r>
              <w:rPr>
                <w:rFonts w:hint="eastAsia"/>
                <w:color w:val="auto"/>
                <w:szCs w:val="21"/>
                <w:highlight w:val="none"/>
              </w:rPr>
              <w:t>态度积极，得</w:t>
            </w:r>
            <w:r>
              <w:rPr>
                <w:color w:val="auto"/>
                <w:szCs w:val="21"/>
                <w:highlight w:val="none"/>
              </w:rPr>
              <w:t>10</w:t>
            </w:r>
            <w:r>
              <w:rPr>
                <w:rFonts w:hint="eastAsia"/>
                <w:color w:val="auto"/>
                <w:szCs w:val="21"/>
                <w:highlight w:val="none"/>
              </w:rPr>
              <w:t>分；</w:t>
            </w:r>
            <w:r>
              <w:rPr>
                <w:color w:val="auto"/>
                <w:szCs w:val="21"/>
                <w:highlight w:val="none"/>
              </w:rPr>
              <w:t xml:space="preserve">                        2.</w:t>
            </w:r>
            <w:r>
              <w:rPr>
                <w:rFonts w:hint="eastAsia"/>
                <w:color w:val="auto"/>
                <w:szCs w:val="21"/>
                <w:highlight w:val="none"/>
              </w:rPr>
              <w:t>若出现不服从分配情况，每人每次扣</w:t>
            </w:r>
            <w:r>
              <w:rPr>
                <w:color w:val="auto"/>
                <w:szCs w:val="21"/>
                <w:highlight w:val="none"/>
              </w:rPr>
              <w:t>1</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安全管理</w:t>
            </w:r>
          </w:p>
          <w:p>
            <w:pPr>
              <w:widowControl/>
              <w:spacing w:line="360" w:lineRule="exact"/>
              <w:jc w:val="center"/>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信息安全（</w:t>
            </w:r>
            <w:r>
              <w:rPr>
                <w:color w:val="auto"/>
                <w:szCs w:val="21"/>
                <w:highlight w:val="none"/>
              </w:rPr>
              <w:t>4</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遵循运维管理规范保密管理制度，因运维单位及人员过错造成信息泄露或不可恢复损失。</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严格遵守，得</w:t>
            </w:r>
            <w:r>
              <w:rPr>
                <w:color w:val="auto"/>
                <w:szCs w:val="21"/>
                <w:highlight w:val="none"/>
              </w:rPr>
              <w:t>4</w:t>
            </w:r>
            <w:r>
              <w:rPr>
                <w:rFonts w:hint="eastAsia"/>
                <w:color w:val="auto"/>
                <w:szCs w:val="21"/>
                <w:highlight w:val="none"/>
              </w:rPr>
              <w:t>分</w:t>
            </w:r>
          </w:p>
          <w:p>
            <w:pPr>
              <w:widowControl/>
              <w:spacing w:line="360" w:lineRule="exact"/>
              <w:rPr>
                <w:color w:val="auto"/>
                <w:szCs w:val="21"/>
                <w:highlight w:val="none"/>
              </w:rPr>
            </w:pPr>
            <w:r>
              <w:rPr>
                <w:rFonts w:hint="eastAsia"/>
                <w:color w:val="auto"/>
                <w:szCs w:val="21"/>
                <w:highlight w:val="none"/>
              </w:rPr>
              <w:t>若出现严重违反信息安全管理要求，被国家级业务主管部门通报，造成损失的，不得分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流程遵守（</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在维护过程中，按指导规范中的资源管理、日常运维管理、故障管理规定流程执行。</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严格遵守，得</w:t>
            </w:r>
            <w:r>
              <w:rPr>
                <w:color w:val="auto"/>
                <w:szCs w:val="21"/>
                <w:highlight w:val="none"/>
              </w:rPr>
              <w:t>2</w:t>
            </w:r>
            <w:r>
              <w:rPr>
                <w:rFonts w:hint="eastAsia"/>
                <w:color w:val="auto"/>
                <w:szCs w:val="21"/>
                <w:highlight w:val="none"/>
              </w:rPr>
              <w:t>分</w:t>
            </w:r>
          </w:p>
          <w:p>
            <w:pPr>
              <w:widowControl/>
              <w:spacing w:line="360" w:lineRule="exact"/>
              <w:rPr>
                <w:color w:val="auto"/>
                <w:szCs w:val="21"/>
                <w:highlight w:val="none"/>
              </w:rPr>
            </w:pPr>
            <w:r>
              <w:rPr>
                <w:rFonts w:hint="eastAsia"/>
                <w:color w:val="auto"/>
                <w:szCs w:val="21"/>
                <w:highlight w:val="none"/>
              </w:rPr>
              <w:t>若违反一次，每次扣除</w:t>
            </w:r>
            <w:r>
              <w:rPr>
                <w:color w:val="auto"/>
                <w:szCs w:val="21"/>
                <w:highlight w:val="none"/>
              </w:rPr>
              <w:t>1</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响应支持（</w:t>
            </w:r>
            <w:r>
              <w:rPr>
                <w:color w:val="auto"/>
                <w:szCs w:val="21"/>
                <w:highlight w:val="none"/>
              </w:rPr>
              <w:t>4</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响应支持及时率（</w:t>
            </w:r>
            <w:r>
              <w:rPr>
                <w:color w:val="auto"/>
                <w:szCs w:val="21"/>
                <w:highlight w:val="none"/>
              </w:rPr>
              <w:t>4</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平台故障、服务响应支持，月及时响应次数</w:t>
            </w:r>
            <w:r>
              <w:rPr>
                <w:color w:val="auto"/>
                <w:szCs w:val="21"/>
                <w:highlight w:val="none"/>
              </w:rPr>
              <w:t>/</w:t>
            </w:r>
            <w:r>
              <w:rPr>
                <w:rFonts w:hint="eastAsia"/>
                <w:color w:val="auto"/>
                <w:szCs w:val="21"/>
                <w:highlight w:val="none"/>
              </w:rPr>
              <w:t>月响应次数</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故障处理服务响应时间小于30分钟，得4分</w:t>
            </w:r>
          </w:p>
          <w:p>
            <w:pPr>
              <w:widowControl/>
              <w:spacing w:line="360" w:lineRule="exact"/>
              <w:rPr>
                <w:color w:val="auto"/>
                <w:szCs w:val="21"/>
                <w:highlight w:val="none"/>
              </w:rPr>
            </w:pPr>
            <w:r>
              <w:rPr>
                <w:rFonts w:hint="eastAsia"/>
                <w:color w:val="auto"/>
                <w:szCs w:val="21"/>
                <w:highlight w:val="none"/>
              </w:rPr>
              <w:t>故障处理服务响应时间大于30分钟小于3小时，得2分</w:t>
            </w:r>
          </w:p>
          <w:p>
            <w:pPr>
              <w:widowControl/>
              <w:spacing w:line="360" w:lineRule="exact"/>
              <w:rPr>
                <w:color w:val="auto"/>
                <w:szCs w:val="21"/>
                <w:highlight w:val="none"/>
              </w:rPr>
            </w:pPr>
            <w:r>
              <w:rPr>
                <w:rFonts w:hint="eastAsia"/>
                <w:color w:val="auto"/>
                <w:szCs w:val="21"/>
                <w:highlight w:val="none"/>
              </w:rPr>
              <w:t>故障处理服务响应时间大于3小时，不得分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运营运维月度报告（</w:t>
            </w:r>
            <w:r>
              <w:rPr>
                <w:color w:val="auto"/>
                <w:szCs w:val="21"/>
                <w:highlight w:val="none"/>
              </w:rPr>
              <w:t>10</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资产清单（</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每月更新资产清单</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若资产清单当月未更新，不得分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平台运维总结（</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平台月度总结</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若有月度总结欠缺，不得分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平台运行总结（</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根据现有资源情况，使用情况做平台运行总结</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若平台运行总结欠缺，不得分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巡检情况总结（</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平台涉及到的基础设备、平台资源，相关设备进行日常监控与巡检工作，并形成巡检记录。</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若出现巡检资料欠缺，不得分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故障处理总结（</w:t>
            </w:r>
            <w:r>
              <w:rPr>
                <w:color w:val="auto"/>
                <w:szCs w:val="21"/>
                <w:highlight w:val="none"/>
              </w:rPr>
              <w:t>2</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故障汇总</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若故障总结欠缺，不得分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color w:val="auto"/>
                <w:szCs w:val="21"/>
                <w:highlight w:val="none"/>
              </w:rPr>
              <w:t>2</w:t>
            </w:r>
          </w:p>
        </w:tc>
        <w:tc>
          <w:tcPr>
            <w:tcW w:w="3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运营运维质量（</w:t>
            </w:r>
            <w:r>
              <w:rPr>
                <w:color w:val="auto"/>
                <w:szCs w:val="21"/>
                <w:highlight w:val="none"/>
              </w:rPr>
              <w:t>40</w:t>
            </w:r>
            <w:r>
              <w:rPr>
                <w:rFonts w:hint="eastAsia"/>
                <w:color w:val="auto"/>
                <w:szCs w:val="21"/>
                <w:highlight w:val="none"/>
              </w:rPr>
              <w:t>分）</w:t>
            </w: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资源管理（</w:t>
            </w:r>
            <w:r>
              <w:rPr>
                <w:color w:val="auto"/>
                <w:szCs w:val="21"/>
                <w:highlight w:val="none"/>
              </w:rPr>
              <w:t>1</w:t>
            </w:r>
            <w:r>
              <w:rPr>
                <w:rFonts w:hint="eastAsia"/>
                <w:color w:val="auto"/>
                <w:szCs w:val="21"/>
                <w:highlight w:val="none"/>
              </w:rPr>
              <w:t>3分）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场景治理（13分）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对可解析设备按需进行设备场景治理</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需求范围内，场景治理完成率高于</w:t>
            </w:r>
            <w:r>
              <w:rPr>
                <w:color w:val="auto"/>
                <w:szCs w:val="21"/>
                <w:highlight w:val="none"/>
              </w:rPr>
              <w:t>9</w:t>
            </w:r>
            <w:r>
              <w:rPr>
                <w:rFonts w:hint="eastAsia"/>
                <w:color w:val="auto"/>
                <w:szCs w:val="21"/>
                <w:highlight w:val="none"/>
              </w:rPr>
              <w:t>0</w:t>
            </w:r>
            <w:r>
              <w:rPr>
                <w:color w:val="auto"/>
                <w:szCs w:val="21"/>
                <w:highlight w:val="none"/>
              </w:rPr>
              <w:t>%</w:t>
            </w:r>
            <w:r>
              <w:rPr>
                <w:rFonts w:hint="eastAsia"/>
                <w:color w:val="auto"/>
                <w:szCs w:val="21"/>
                <w:highlight w:val="none"/>
              </w:rPr>
              <w:t>，得13分；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接入率每低10</w:t>
            </w:r>
            <w:r>
              <w:rPr>
                <w:color w:val="auto"/>
                <w:szCs w:val="21"/>
                <w:highlight w:val="none"/>
              </w:rPr>
              <w:t>%</w:t>
            </w:r>
            <w:r>
              <w:rPr>
                <w:rFonts w:hint="eastAsia"/>
                <w:color w:val="auto"/>
                <w:szCs w:val="21"/>
                <w:highlight w:val="none"/>
              </w:rPr>
              <w:t>，扣</w:t>
            </w:r>
            <w:r>
              <w:rPr>
                <w:color w:val="auto"/>
                <w:szCs w:val="21"/>
                <w:highlight w:val="none"/>
              </w:rPr>
              <w:t>2</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解析服务（14分）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运行服务（14分）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平台解析任务运行情况</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平台解析任务停滞大于</w:t>
            </w:r>
            <w:r>
              <w:rPr>
                <w:color w:val="auto"/>
                <w:szCs w:val="21"/>
                <w:highlight w:val="none"/>
              </w:rPr>
              <w:t>48</w:t>
            </w:r>
            <w:r>
              <w:rPr>
                <w:rFonts w:hint="eastAsia"/>
                <w:color w:val="auto"/>
                <w:szCs w:val="21"/>
                <w:highlight w:val="none"/>
              </w:rPr>
              <w:t>小时，扣</w:t>
            </w:r>
            <w:r>
              <w:rPr>
                <w:color w:val="auto"/>
                <w:szCs w:val="21"/>
                <w:highlight w:val="none"/>
              </w:rPr>
              <w:t>2</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事件服务（13分）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事件调用（13分）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第三方事件调用成功率</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事件调用成功率大于90</w:t>
            </w:r>
            <w:r>
              <w:rPr>
                <w:color w:val="auto"/>
                <w:szCs w:val="21"/>
                <w:highlight w:val="none"/>
              </w:rPr>
              <w:t>%</w:t>
            </w:r>
            <w:r>
              <w:rPr>
                <w:rFonts w:hint="eastAsia"/>
                <w:color w:val="auto"/>
                <w:szCs w:val="21"/>
                <w:highlight w:val="none"/>
              </w:rPr>
              <w:t>，得13分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满足率每低10</w:t>
            </w:r>
            <w:r>
              <w:rPr>
                <w:color w:val="auto"/>
                <w:szCs w:val="21"/>
                <w:highlight w:val="none"/>
              </w:rPr>
              <w:t>%</w:t>
            </w:r>
            <w:r>
              <w:rPr>
                <w:rFonts w:hint="eastAsia"/>
                <w:color w:val="auto"/>
                <w:szCs w:val="21"/>
                <w:highlight w:val="none"/>
              </w:rPr>
              <w:t>，扣</w:t>
            </w:r>
            <w:r>
              <w:rPr>
                <w:color w:val="auto"/>
                <w:szCs w:val="21"/>
                <w:highlight w:val="none"/>
              </w:rPr>
              <w:t>2</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color w:val="auto"/>
                <w:szCs w:val="21"/>
                <w:highlight w:val="none"/>
              </w:rPr>
              <w:t>3</w:t>
            </w:r>
          </w:p>
        </w:tc>
        <w:tc>
          <w:tcPr>
            <w:tcW w:w="3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运维效率（</w:t>
            </w:r>
            <w:r>
              <w:rPr>
                <w:color w:val="auto"/>
                <w:szCs w:val="21"/>
                <w:highlight w:val="none"/>
              </w:rPr>
              <w:t>20</w:t>
            </w:r>
            <w:r>
              <w:rPr>
                <w:rFonts w:hint="eastAsia"/>
                <w:color w:val="auto"/>
                <w:szCs w:val="21"/>
                <w:highlight w:val="none"/>
              </w:rPr>
              <w:t>分）</w:t>
            </w: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资源开通效率（</w:t>
            </w:r>
            <w:r>
              <w:rPr>
                <w:color w:val="auto"/>
                <w:szCs w:val="21"/>
                <w:highlight w:val="none"/>
              </w:rPr>
              <w:t>10</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资源开通效率（</w:t>
            </w:r>
            <w:r>
              <w:rPr>
                <w:color w:val="auto"/>
                <w:szCs w:val="21"/>
                <w:highlight w:val="none"/>
              </w:rPr>
              <w:t>10</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为各部门开通设备、资源授权的效率</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根据用户要求，按时完成各项资源开通，得</w:t>
            </w:r>
            <w:r>
              <w:rPr>
                <w:color w:val="auto"/>
                <w:szCs w:val="21"/>
                <w:highlight w:val="none"/>
              </w:rPr>
              <w:t>10</w:t>
            </w:r>
            <w:r>
              <w:rPr>
                <w:rFonts w:hint="eastAsia"/>
                <w:color w:val="auto"/>
                <w:szCs w:val="21"/>
                <w:highlight w:val="none"/>
              </w:rPr>
              <w:t>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未及时完成的，每超期一个工作日扣</w:t>
            </w:r>
            <w:r>
              <w:rPr>
                <w:color w:val="auto"/>
                <w:szCs w:val="21"/>
                <w:highlight w:val="none"/>
              </w:rPr>
              <w:t>1</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交办工作效率（</w:t>
            </w:r>
            <w:r>
              <w:rPr>
                <w:color w:val="auto"/>
                <w:szCs w:val="21"/>
                <w:highlight w:val="none"/>
              </w:rPr>
              <w:t>10</w:t>
            </w:r>
            <w:r>
              <w:rPr>
                <w:rFonts w:hint="eastAsia"/>
                <w:color w:val="auto"/>
                <w:szCs w:val="21"/>
                <w:highlight w:val="none"/>
              </w:rPr>
              <w:t>分）</w:t>
            </w:r>
          </w:p>
        </w:tc>
        <w:tc>
          <w:tcPr>
            <w:tcW w:w="58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auto"/>
                <w:szCs w:val="21"/>
                <w:highlight w:val="none"/>
              </w:rPr>
            </w:pPr>
            <w:r>
              <w:rPr>
                <w:rFonts w:hint="eastAsia"/>
                <w:color w:val="auto"/>
                <w:szCs w:val="21"/>
                <w:highlight w:val="none"/>
              </w:rPr>
              <w:t>甲方交办的工作效率（</w:t>
            </w:r>
            <w:r>
              <w:rPr>
                <w:color w:val="auto"/>
                <w:szCs w:val="21"/>
                <w:highlight w:val="none"/>
              </w:rPr>
              <w:t>10</w:t>
            </w:r>
            <w:r>
              <w:rPr>
                <w:rFonts w:hint="eastAsia"/>
                <w:color w:val="auto"/>
                <w:szCs w:val="21"/>
                <w:highlight w:val="none"/>
              </w:rPr>
              <w:t>分）</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rFonts w:hint="eastAsia"/>
                <w:color w:val="auto"/>
                <w:szCs w:val="21"/>
                <w:highlight w:val="none"/>
              </w:rPr>
              <w:t>按用户要求完成平台配置调整、文档整理等甲方交代的工作</w:t>
            </w:r>
          </w:p>
        </w:tc>
        <w:tc>
          <w:tcPr>
            <w:tcW w:w="198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color w:val="auto"/>
                <w:szCs w:val="21"/>
                <w:highlight w:val="none"/>
              </w:rPr>
            </w:pPr>
            <w:r>
              <w:rPr>
                <w:color w:val="auto"/>
                <w:szCs w:val="21"/>
                <w:highlight w:val="none"/>
              </w:rPr>
              <w:t>1.</w:t>
            </w:r>
            <w:r>
              <w:rPr>
                <w:rFonts w:hint="eastAsia"/>
                <w:color w:val="auto"/>
                <w:szCs w:val="21"/>
                <w:highlight w:val="none"/>
              </w:rPr>
              <w:t>根据用户要求，按时完成平台配置调整等工作，得</w:t>
            </w:r>
            <w:r>
              <w:rPr>
                <w:color w:val="auto"/>
                <w:szCs w:val="21"/>
                <w:highlight w:val="none"/>
              </w:rPr>
              <w:t>10</w:t>
            </w:r>
            <w:r>
              <w:rPr>
                <w:rFonts w:hint="eastAsia"/>
                <w:color w:val="auto"/>
                <w:szCs w:val="21"/>
                <w:highlight w:val="none"/>
              </w:rPr>
              <w:t>分；</w:t>
            </w:r>
          </w:p>
          <w:p>
            <w:pPr>
              <w:widowControl/>
              <w:spacing w:line="360" w:lineRule="exact"/>
              <w:rPr>
                <w:color w:val="auto"/>
                <w:szCs w:val="21"/>
                <w:highlight w:val="none"/>
              </w:rPr>
            </w:pPr>
            <w:r>
              <w:rPr>
                <w:color w:val="auto"/>
                <w:szCs w:val="21"/>
                <w:highlight w:val="none"/>
              </w:rPr>
              <w:t>2.</w:t>
            </w:r>
            <w:r>
              <w:rPr>
                <w:rFonts w:hint="eastAsia"/>
                <w:color w:val="auto"/>
                <w:szCs w:val="21"/>
                <w:highlight w:val="none"/>
              </w:rPr>
              <w:t>未及时完成的，每超期一个工作日扣</w:t>
            </w:r>
            <w:r>
              <w:rPr>
                <w:color w:val="auto"/>
                <w:szCs w:val="21"/>
                <w:highlight w:val="none"/>
              </w:rPr>
              <w:t>1</w:t>
            </w:r>
            <w:r>
              <w:rPr>
                <w:rFonts w:hint="eastAsia"/>
                <w:color w:val="auto"/>
                <w:szCs w:val="21"/>
                <w:highlight w:val="none"/>
              </w:rPr>
              <w:t>分</w:t>
            </w:r>
          </w:p>
        </w:tc>
      </w:tr>
    </w:tbl>
    <w:p>
      <w:pPr>
        <w:pStyle w:val="132"/>
        <w:ind w:firstLine="470" w:firstLineChars="196"/>
        <w:rPr>
          <w:rFonts w:cs="仿宋" w:asciiTheme="minorEastAsia" w:hAnsiTheme="minorEastAsia" w:eastAsiaTheme="minorEastAsia"/>
          <w:color w:val="auto"/>
          <w:kern w:val="0"/>
          <w:highlight w:val="none"/>
        </w:rPr>
      </w:pPr>
      <w:r>
        <w:rPr>
          <w:rFonts w:hint="eastAsia" w:cs="仿宋" w:asciiTheme="minorEastAsia" w:hAnsiTheme="minorEastAsia" w:eastAsiaTheme="minorEastAsia"/>
          <w:color w:val="auto"/>
          <w:kern w:val="0"/>
          <w:highlight w:val="none"/>
        </w:rPr>
        <w:t>根据季度考核分数取平均值得出年度考核分：90（含）分以上，按当年计划支付金额的100%支付年度运维运营服务部分的费用；90-85分，按当年计划支付金额的95%支付年度运维运营服务部分的费用；85-80分，按当年计划支付金额的88%支付年度运维运营服务部分的费用；80（不含）分以下，按当年计划支付金额的80%支付年度运维运营服务部分的费用。</w:t>
      </w:r>
    </w:p>
    <w:p>
      <w:pPr>
        <w:pStyle w:val="964"/>
        <w:spacing w:before="120" w:after="120"/>
        <w:rPr>
          <w:color w:val="auto"/>
          <w:highlight w:val="none"/>
        </w:rPr>
      </w:pPr>
      <w:r>
        <w:rPr>
          <w:rFonts w:hint="eastAsia"/>
          <w:color w:val="auto"/>
          <w:highlight w:val="none"/>
        </w:rPr>
        <w:t>4.验收要求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验收需根据招标文件以及合同的需求，由采购人召集专家组织项目验收。验收时需提供的文档包括但不仅限于：项目投标文件电子稿、项目实施方案、测试记录及报告、配置和维护手册、系统试运行报告、项目用户报告等相关材料。投标人需提供具体的功能测试方案和验收方案。功能测试方案包括测试工作准备、功能测试、性能测试的具体介绍；验收方案包括验收组织、验收过程、验收成果物等关键描述。</w:t>
      </w:r>
    </w:p>
    <w:p>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val="en-US" w:eastAsia="zh-CN"/>
        </w:rPr>
        <w:t>六</w:t>
      </w:r>
      <w:r>
        <w:rPr>
          <w:rFonts w:hint="eastAsia" w:asciiTheme="minorEastAsia" w:hAnsiTheme="minorEastAsia" w:eastAsiaTheme="minorEastAsia"/>
          <w:b/>
          <w:bCs/>
          <w:color w:val="auto"/>
          <w:sz w:val="28"/>
          <w:szCs w:val="28"/>
          <w:highlight w:val="none"/>
        </w:rPr>
        <w:t>、项目功能投标演示要求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投标人针对招标文件“</w:t>
      </w:r>
      <w:r>
        <w:rPr>
          <w:rFonts w:hint="eastAsia" w:ascii="宋体" w:hAnsi="宋体" w:cs="宋体"/>
          <w:color w:val="auto"/>
          <w:kern w:val="0"/>
          <w:sz w:val="24"/>
          <w:highlight w:val="none"/>
        </w:rPr>
        <w:t>具体服务技术要求</w:t>
      </w:r>
      <w:r>
        <w:rPr>
          <w:rFonts w:hint="eastAsia" w:ascii="宋体" w:hAnsi="宋体" w:cs="宋体"/>
          <w:color w:val="auto"/>
          <w:sz w:val="24"/>
          <w:highlight w:val="none"/>
        </w:rPr>
        <w:t>”要求中需要演示的内容进行演示。</w:t>
      </w:r>
    </w:p>
    <w:p>
      <w:pPr>
        <w:spacing w:line="360" w:lineRule="auto"/>
        <w:ind w:firstLine="0" w:firstLineChars="0"/>
        <w:rPr>
          <w:rFonts w:ascii="宋体" w:hAnsi="宋体" w:cs="宋体"/>
          <w:color w:val="auto"/>
          <w:sz w:val="24"/>
          <w:highlight w:val="none"/>
        </w:rPr>
      </w:pPr>
      <w:r>
        <w:rPr>
          <w:rFonts w:hint="eastAsia" w:asciiTheme="minorEastAsia" w:hAnsiTheme="minorEastAsia" w:eastAsiaTheme="minorEastAsia"/>
          <w:b/>
          <w:bCs/>
          <w:color w:val="auto"/>
          <w:sz w:val="28"/>
          <w:szCs w:val="28"/>
          <w:highlight w:val="none"/>
          <w:lang w:val="en-US" w:eastAsia="zh-CN"/>
        </w:rPr>
        <w:t>七</w:t>
      </w:r>
      <w:r>
        <w:rPr>
          <w:rFonts w:hint="eastAsia" w:asciiTheme="minorEastAsia" w:hAnsiTheme="minorEastAsia" w:eastAsiaTheme="minorEastAsia"/>
          <w:b/>
          <w:bCs/>
          <w:color w:val="auto"/>
          <w:sz w:val="28"/>
          <w:szCs w:val="28"/>
          <w:highlight w:val="none"/>
        </w:rPr>
        <w:t>、其它：</w:t>
      </w:r>
      <w:r>
        <w:rPr>
          <w:rFonts w:hint="eastAsia" w:ascii="宋体" w:hAnsi="宋体" w:cs="宋体"/>
          <w:color w:val="auto"/>
          <w:sz w:val="24"/>
          <w:highlight w:val="none"/>
        </w:rPr>
        <w:t>招标文件第四部分评分办法中评审因素相应的其它要求及第五部分采购合同中相应的其他要求。</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48"/>
      <w:bookmarkEnd w:id="28"/>
      <w:bookmarkStart w:id="29" w:name="_Toc184313306"/>
      <w:bookmarkEnd w:id="29"/>
      <w:bookmarkStart w:id="30" w:name="_Toc184312129"/>
      <w:bookmarkEnd w:id="30"/>
      <w:bookmarkStart w:id="31" w:name="_Toc184313278"/>
      <w:bookmarkEnd w:id="31"/>
      <w:bookmarkStart w:id="32" w:name="_Toc184310291"/>
      <w:bookmarkEnd w:id="32"/>
      <w:bookmarkStart w:id="33" w:name="_Toc184314417"/>
      <w:bookmarkEnd w:id="33"/>
      <w:bookmarkStart w:id="34" w:name="_Toc184308089"/>
      <w:bookmarkEnd w:id="34"/>
      <w:bookmarkStart w:id="35" w:name="_Toc184308101"/>
      <w:bookmarkEnd w:id="35"/>
      <w:bookmarkStart w:id="36" w:name="_Toc184314455"/>
      <w:bookmarkEnd w:id="36"/>
      <w:bookmarkStart w:id="37" w:name="_Toc184310330"/>
      <w:bookmarkEnd w:id="37"/>
      <w:bookmarkStart w:id="38" w:name="_Toc184314425"/>
      <w:bookmarkEnd w:id="38"/>
      <w:bookmarkStart w:id="39" w:name="_Toc184312121"/>
      <w:bookmarkEnd w:id="39"/>
      <w:bookmarkStart w:id="40" w:name="_Toc184312112"/>
      <w:bookmarkEnd w:id="40"/>
      <w:bookmarkStart w:id="41" w:name="_Toc184314470"/>
      <w:bookmarkEnd w:id="41"/>
      <w:bookmarkStart w:id="42" w:name="_Toc184308067"/>
      <w:bookmarkEnd w:id="42"/>
      <w:bookmarkStart w:id="43" w:name="_Toc184308092"/>
      <w:bookmarkEnd w:id="43"/>
      <w:bookmarkStart w:id="44" w:name="_Toc184312109"/>
      <w:bookmarkEnd w:id="44"/>
      <w:bookmarkStart w:id="45" w:name="_Toc184308036"/>
      <w:bookmarkEnd w:id="45"/>
      <w:bookmarkStart w:id="46" w:name="_Toc184308104"/>
      <w:bookmarkEnd w:id="46"/>
      <w:bookmarkStart w:id="47" w:name="_Toc184314415"/>
      <w:bookmarkEnd w:id="47"/>
      <w:bookmarkStart w:id="48" w:name="_Toc184312118"/>
      <w:bookmarkEnd w:id="48"/>
      <w:bookmarkStart w:id="49" w:name="_Toc184312068"/>
      <w:bookmarkEnd w:id="49"/>
      <w:bookmarkStart w:id="50" w:name="_Toc184314427"/>
      <w:bookmarkEnd w:id="50"/>
      <w:bookmarkStart w:id="51" w:name="_Toc184313289"/>
      <w:bookmarkEnd w:id="51"/>
      <w:bookmarkStart w:id="52" w:name="_Toc184308075"/>
      <w:bookmarkEnd w:id="52"/>
      <w:bookmarkStart w:id="53" w:name="_Toc184310278"/>
      <w:bookmarkEnd w:id="53"/>
      <w:bookmarkStart w:id="54" w:name="_Toc184310333"/>
      <w:bookmarkEnd w:id="54"/>
      <w:bookmarkStart w:id="55" w:name="_Toc184313298"/>
      <w:bookmarkEnd w:id="55"/>
      <w:bookmarkStart w:id="56" w:name="_Toc184313301"/>
      <w:bookmarkEnd w:id="56"/>
      <w:bookmarkStart w:id="57" w:name="_Toc184308072"/>
      <w:bookmarkEnd w:id="57"/>
      <w:bookmarkStart w:id="58" w:name="_Toc184308096"/>
      <w:bookmarkEnd w:id="58"/>
      <w:bookmarkStart w:id="59" w:name="_Toc184312119"/>
      <w:bookmarkEnd w:id="59"/>
      <w:bookmarkStart w:id="60" w:name="_Toc184310287"/>
      <w:bookmarkEnd w:id="60"/>
      <w:bookmarkStart w:id="61" w:name="_Toc184314479"/>
      <w:bookmarkEnd w:id="61"/>
      <w:bookmarkStart w:id="62" w:name="_Toc184312116"/>
      <w:bookmarkEnd w:id="62"/>
      <w:bookmarkStart w:id="63" w:name="_Toc184313246"/>
      <w:bookmarkEnd w:id="63"/>
      <w:bookmarkStart w:id="64" w:name="_Toc184312131"/>
      <w:bookmarkEnd w:id="64"/>
      <w:bookmarkStart w:id="65" w:name="_Toc184308057"/>
      <w:bookmarkEnd w:id="65"/>
      <w:bookmarkStart w:id="66" w:name="_Toc184310300"/>
      <w:bookmarkEnd w:id="66"/>
      <w:bookmarkStart w:id="67" w:name="_Toc184312075"/>
      <w:bookmarkEnd w:id="67"/>
      <w:bookmarkStart w:id="68" w:name="_Toc184310329"/>
      <w:bookmarkEnd w:id="68"/>
      <w:bookmarkStart w:id="69" w:name="_Toc184313293"/>
      <w:bookmarkEnd w:id="69"/>
      <w:bookmarkStart w:id="70" w:name="_Toc184314448"/>
      <w:bookmarkEnd w:id="70"/>
      <w:bookmarkStart w:id="71" w:name="_Toc184313240"/>
      <w:bookmarkEnd w:id="71"/>
      <w:bookmarkStart w:id="72" w:name="_Toc184308108"/>
      <w:bookmarkEnd w:id="72"/>
      <w:bookmarkStart w:id="73" w:name="_Toc184308085"/>
      <w:bookmarkEnd w:id="73"/>
      <w:bookmarkStart w:id="74" w:name="_Toc184308039"/>
      <w:bookmarkEnd w:id="74"/>
      <w:bookmarkStart w:id="75" w:name="_Toc184312069"/>
      <w:bookmarkEnd w:id="75"/>
      <w:bookmarkStart w:id="76" w:name="_Toc184314420"/>
      <w:bookmarkEnd w:id="76"/>
      <w:bookmarkStart w:id="77" w:name="_Toc184313259"/>
      <w:bookmarkEnd w:id="77"/>
      <w:bookmarkStart w:id="78" w:name="_Toc184308084"/>
      <w:bookmarkEnd w:id="78"/>
      <w:bookmarkStart w:id="79" w:name="_Toc184308091"/>
      <w:bookmarkEnd w:id="79"/>
      <w:bookmarkStart w:id="80" w:name="_Toc184314480"/>
      <w:bookmarkEnd w:id="80"/>
      <w:bookmarkStart w:id="81" w:name="_Toc184312079"/>
      <w:bookmarkEnd w:id="81"/>
      <w:bookmarkStart w:id="82" w:name="_Toc184314441"/>
      <w:bookmarkEnd w:id="82"/>
      <w:bookmarkStart w:id="83" w:name="_Toc184313260"/>
      <w:bookmarkEnd w:id="83"/>
      <w:bookmarkStart w:id="84" w:name="_Toc184313267"/>
      <w:bookmarkEnd w:id="84"/>
      <w:bookmarkStart w:id="85" w:name="_Toc184310301"/>
      <w:bookmarkEnd w:id="85"/>
      <w:bookmarkStart w:id="86" w:name="_Toc184314410"/>
      <w:bookmarkEnd w:id="86"/>
      <w:bookmarkStart w:id="87" w:name="_Toc184308042"/>
      <w:bookmarkEnd w:id="87"/>
      <w:bookmarkStart w:id="88" w:name="_Toc184314453"/>
      <w:bookmarkEnd w:id="88"/>
      <w:bookmarkStart w:id="89" w:name="_Toc184308107"/>
      <w:bookmarkEnd w:id="89"/>
      <w:bookmarkStart w:id="90" w:name="_Toc184310318"/>
      <w:bookmarkEnd w:id="90"/>
      <w:bookmarkStart w:id="91" w:name="_Toc184313280"/>
      <w:bookmarkEnd w:id="91"/>
      <w:bookmarkStart w:id="92" w:name="_Toc184313241"/>
      <w:bookmarkEnd w:id="92"/>
      <w:bookmarkStart w:id="93" w:name="_Toc184308097"/>
      <w:bookmarkEnd w:id="93"/>
      <w:bookmarkStart w:id="94" w:name="_Toc184308099"/>
      <w:bookmarkEnd w:id="94"/>
      <w:bookmarkStart w:id="95" w:name="_Toc184313261"/>
      <w:bookmarkEnd w:id="95"/>
      <w:bookmarkStart w:id="96" w:name="_Toc184314436"/>
      <w:bookmarkEnd w:id="96"/>
      <w:bookmarkStart w:id="97" w:name="_Toc184314481"/>
      <w:bookmarkEnd w:id="97"/>
      <w:bookmarkStart w:id="98" w:name="_Toc184313304"/>
      <w:bookmarkEnd w:id="98"/>
      <w:bookmarkStart w:id="99" w:name="_Toc184312138"/>
      <w:bookmarkEnd w:id="99"/>
      <w:bookmarkStart w:id="100" w:name="_Toc184310289"/>
      <w:bookmarkEnd w:id="100"/>
      <w:bookmarkStart w:id="101" w:name="_Toc184310277"/>
      <w:bookmarkEnd w:id="101"/>
      <w:bookmarkStart w:id="102" w:name="_Toc184312091"/>
      <w:bookmarkEnd w:id="102"/>
      <w:bookmarkStart w:id="103" w:name="_Toc184312078"/>
      <w:bookmarkEnd w:id="103"/>
      <w:bookmarkStart w:id="104" w:name="_Toc184310302"/>
      <w:bookmarkEnd w:id="104"/>
      <w:bookmarkStart w:id="105" w:name="_Toc184308079"/>
      <w:bookmarkEnd w:id="105"/>
      <w:bookmarkStart w:id="106" w:name="_Toc184308048"/>
      <w:bookmarkEnd w:id="106"/>
      <w:bookmarkStart w:id="107" w:name="_Toc184314458"/>
      <w:bookmarkEnd w:id="107"/>
      <w:bookmarkStart w:id="108" w:name="_Toc184313287"/>
      <w:bookmarkEnd w:id="108"/>
      <w:bookmarkStart w:id="109" w:name="_Toc184308054"/>
      <w:bookmarkEnd w:id="109"/>
      <w:bookmarkStart w:id="110" w:name="_Toc184314469"/>
      <w:bookmarkEnd w:id="110"/>
      <w:bookmarkStart w:id="111" w:name="_Toc184312115"/>
      <w:bookmarkEnd w:id="111"/>
      <w:bookmarkStart w:id="112" w:name="_Toc184313251"/>
      <w:bookmarkEnd w:id="112"/>
      <w:bookmarkStart w:id="113" w:name="_Toc184313244"/>
      <w:bookmarkEnd w:id="113"/>
      <w:bookmarkStart w:id="114" w:name="_Toc184310307"/>
      <w:bookmarkEnd w:id="114"/>
      <w:bookmarkStart w:id="115" w:name="_Toc184312097"/>
      <w:bookmarkEnd w:id="115"/>
      <w:bookmarkStart w:id="116" w:name="_Toc184313277"/>
      <w:bookmarkEnd w:id="116"/>
      <w:bookmarkStart w:id="117" w:name="_Toc184312132"/>
      <w:bookmarkEnd w:id="117"/>
      <w:bookmarkStart w:id="118" w:name="_Toc184308045"/>
      <w:bookmarkEnd w:id="118"/>
      <w:bookmarkStart w:id="119" w:name="_Toc184310326"/>
      <w:bookmarkEnd w:id="119"/>
      <w:bookmarkStart w:id="120" w:name="_Toc184310292"/>
      <w:bookmarkEnd w:id="120"/>
      <w:bookmarkStart w:id="121" w:name="_Toc184314437"/>
      <w:bookmarkEnd w:id="121"/>
      <w:bookmarkStart w:id="122" w:name="_Toc184314429"/>
      <w:bookmarkEnd w:id="122"/>
      <w:bookmarkStart w:id="123" w:name="_Toc184314456"/>
      <w:bookmarkEnd w:id="123"/>
      <w:bookmarkStart w:id="124" w:name="_Toc184310315"/>
      <w:bookmarkEnd w:id="124"/>
      <w:bookmarkStart w:id="125" w:name="_Toc184312073"/>
      <w:bookmarkEnd w:id="125"/>
      <w:bookmarkStart w:id="126" w:name="_Toc184310280"/>
      <w:bookmarkEnd w:id="126"/>
      <w:bookmarkStart w:id="127" w:name="_Toc184314438"/>
      <w:bookmarkEnd w:id="127"/>
      <w:bookmarkStart w:id="128" w:name="_Toc184310338"/>
      <w:bookmarkEnd w:id="128"/>
      <w:bookmarkStart w:id="129" w:name="_Toc184312096"/>
      <w:bookmarkEnd w:id="129"/>
      <w:bookmarkStart w:id="130" w:name="_Toc184313275"/>
      <w:bookmarkEnd w:id="130"/>
      <w:bookmarkStart w:id="131" w:name="_Toc184308077"/>
      <w:bookmarkEnd w:id="131"/>
      <w:bookmarkStart w:id="132" w:name="_Toc184312108"/>
      <w:bookmarkEnd w:id="132"/>
      <w:bookmarkStart w:id="133" w:name="_Toc184313258"/>
      <w:bookmarkEnd w:id="133"/>
      <w:bookmarkStart w:id="134" w:name="_Toc184314461"/>
      <w:bookmarkEnd w:id="134"/>
      <w:bookmarkStart w:id="135" w:name="_Toc184308037"/>
      <w:bookmarkEnd w:id="135"/>
      <w:bookmarkStart w:id="136" w:name="_Toc184313254"/>
      <w:bookmarkEnd w:id="136"/>
      <w:bookmarkStart w:id="137" w:name="_Toc184313297"/>
      <w:bookmarkEnd w:id="137"/>
      <w:bookmarkStart w:id="138" w:name="_Toc184312113"/>
      <w:bookmarkEnd w:id="138"/>
      <w:bookmarkStart w:id="139" w:name="_Toc184308070"/>
      <w:bookmarkEnd w:id="139"/>
      <w:bookmarkStart w:id="140" w:name="_Toc184310304"/>
      <w:bookmarkEnd w:id="140"/>
      <w:bookmarkStart w:id="141" w:name="_Toc184312090"/>
      <w:bookmarkEnd w:id="141"/>
      <w:bookmarkStart w:id="142" w:name="_Toc184314434"/>
      <w:bookmarkEnd w:id="142"/>
      <w:bookmarkStart w:id="143" w:name="_Toc184314460"/>
      <w:bookmarkEnd w:id="143"/>
      <w:bookmarkStart w:id="144" w:name="_Toc184308100"/>
      <w:bookmarkEnd w:id="144"/>
      <w:bookmarkStart w:id="145" w:name="_Toc184314418"/>
      <w:bookmarkEnd w:id="145"/>
      <w:bookmarkStart w:id="146" w:name="_Toc184310295"/>
      <w:bookmarkEnd w:id="146"/>
      <w:bookmarkStart w:id="147" w:name="_Toc184310325"/>
      <w:bookmarkEnd w:id="147"/>
      <w:bookmarkStart w:id="148" w:name="_Toc184310303"/>
      <w:bookmarkEnd w:id="148"/>
      <w:bookmarkStart w:id="149" w:name="_Toc184310288"/>
      <w:bookmarkEnd w:id="149"/>
      <w:bookmarkStart w:id="150" w:name="_Toc184314413"/>
      <w:bookmarkEnd w:id="150"/>
      <w:bookmarkStart w:id="151" w:name="_Toc184313272"/>
      <w:bookmarkEnd w:id="151"/>
      <w:bookmarkStart w:id="152" w:name="_Toc184308095"/>
      <w:bookmarkEnd w:id="152"/>
      <w:bookmarkStart w:id="153" w:name="_Toc184314422"/>
      <w:bookmarkEnd w:id="153"/>
      <w:bookmarkStart w:id="154" w:name="_Toc184313247"/>
      <w:bookmarkEnd w:id="154"/>
      <w:bookmarkStart w:id="155" w:name="_Toc184308058"/>
      <w:bookmarkEnd w:id="155"/>
      <w:bookmarkStart w:id="156" w:name="_Toc184310286"/>
      <w:bookmarkEnd w:id="156"/>
      <w:bookmarkStart w:id="157" w:name="_Toc184313279"/>
      <w:bookmarkEnd w:id="157"/>
      <w:bookmarkStart w:id="158" w:name="_Toc184308078"/>
      <w:bookmarkEnd w:id="158"/>
      <w:bookmarkStart w:id="159" w:name="_Toc184313300"/>
      <w:bookmarkEnd w:id="159"/>
      <w:bookmarkStart w:id="160" w:name="_Toc184310293"/>
      <w:bookmarkEnd w:id="160"/>
      <w:bookmarkStart w:id="161" w:name="_Toc184312111"/>
      <w:bookmarkEnd w:id="161"/>
      <w:bookmarkStart w:id="162" w:name="_Toc184313294"/>
      <w:bookmarkEnd w:id="162"/>
      <w:bookmarkStart w:id="163" w:name="_Toc184314435"/>
      <w:bookmarkEnd w:id="163"/>
      <w:bookmarkStart w:id="164" w:name="_Toc184312092"/>
      <w:bookmarkEnd w:id="164"/>
      <w:bookmarkStart w:id="165" w:name="_Toc184314432"/>
      <w:bookmarkEnd w:id="165"/>
      <w:bookmarkStart w:id="166" w:name="_Toc184312107"/>
      <w:bookmarkEnd w:id="166"/>
      <w:bookmarkStart w:id="167" w:name="_Toc184312103"/>
      <w:bookmarkEnd w:id="167"/>
      <w:bookmarkStart w:id="168" w:name="_Toc184310276"/>
      <w:bookmarkEnd w:id="168"/>
      <w:bookmarkStart w:id="169" w:name="_Toc184312072"/>
      <w:bookmarkEnd w:id="169"/>
      <w:bookmarkStart w:id="170" w:name="_Toc184310334"/>
      <w:bookmarkEnd w:id="170"/>
      <w:bookmarkStart w:id="171" w:name="_Toc184313252"/>
      <w:bookmarkEnd w:id="171"/>
      <w:bookmarkStart w:id="172" w:name="_Toc184308103"/>
      <w:bookmarkEnd w:id="172"/>
      <w:bookmarkStart w:id="173" w:name="_Toc184312124"/>
      <w:bookmarkEnd w:id="173"/>
      <w:bookmarkStart w:id="174" w:name="_Toc184313249"/>
      <w:bookmarkEnd w:id="174"/>
      <w:bookmarkStart w:id="175" w:name="_Toc184310337"/>
      <w:bookmarkEnd w:id="175"/>
      <w:bookmarkStart w:id="176" w:name="_Toc184308073"/>
      <w:bookmarkEnd w:id="176"/>
      <w:bookmarkStart w:id="177" w:name="_Toc184310332"/>
      <w:bookmarkEnd w:id="177"/>
      <w:bookmarkStart w:id="178" w:name="_Toc184310275"/>
      <w:bookmarkEnd w:id="178"/>
      <w:bookmarkStart w:id="179" w:name="_Toc184313273"/>
      <w:bookmarkEnd w:id="179"/>
      <w:bookmarkStart w:id="180" w:name="_Toc184308062"/>
      <w:bookmarkEnd w:id="180"/>
      <w:bookmarkStart w:id="181" w:name="_Toc184314477"/>
      <w:bookmarkEnd w:id="181"/>
      <w:bookmarkStart w:id="182" w:name="_Toc184314465"/>
      <w:bookmarkEnd w:id="182"/>
      <w:bookmarkStart w:id="183" w:name="_Toc184314414"/>
      <w:bookmarkEnd w:id="183"/>
      <w:bookmarkStart w:id="184" w:name="_Toc184312105"/>
      <w:bookmarkEnd w:id="184"/>
      <w:bookmarkStart w:id="185" w:name="_Toc184314473"/>
      <w:bookmarkEnd w:id="185"/>
      <w:bookmarkStart w:id="186" w:name="_Toc184308041"/>
      <w:bookmarkEnd w:id="186"/>
      <w:bookmarkStart w:id="187" w:name="_Toc184313281"/>
      <w:bookmarkEnd w:id="187"/>
      <w:bookmarkStart w:id="188" w:name="_Toc184310274"/>
      <w:bookmarkEnd w:id="188"/>
      <w:bookmarkStart w:id="189" w:name="_Toc184312082"/>
      <w:bookmarkEnd w:id="189"/>
      <w:bookmarkStart w:id="190" w:name="_Toc184312120"/>
      <w:bookmarkEnd w:id="190"/>
      <w:bookmarkStart w:id="191" w:name="_Toc184314468"/>
      <w:bookmarkEnd w:id="191"/>
      <w:bookmarkStart w:id="192" w:name="_Toc184310272"/>
      <w:bookmarkEnd w:id="192"/>
      <w:bookmarkStart w:id="193" w:name="_Toc184312106"/>
      <w:bookmarkEnd w:id="193"/>
      <w:bookmarkStart w:id="194" w:name="_Toc184313263"/>
      <w:bookmarkEnd w:id="194"/>
      <w:bookmarkStart w:id="195" w:name="_Toc184312126"/>
      <w:bookmarkEnd w:id="195"/>
      <w:bookmarkStart w:id="196" w:name="_Toc184314426"/>
      <w:bookmarkEnd w:id="196"/>
      <w:bookmarkStart w:id="197" w:name="_Toc184310284"/>
      <w:bookmarkEnd w:id="197"/>
      <w:bookmarkStart w:id="198" w:name="_Toc184312127"/>
      <w:bookmarkEnd w:id="198"/>
      <w:bookmarkStart w:id="199" w:name="_Toc184313255"/>
      <w:bookmarkEnd w:id="199"/>
      <w:bookmarkStart w:id="200" w:name="_Toc184314428"/>
      <w:bookmarkEnd w:id="200"/>
      <w:bookmarkStart w:id="201" w:name="_Toc184313308"/>
      <w:bookmarkEnd w:id="201"/>
      <w:bookmarkStart w:id="202" w:name="_Toc184308053"/>
      <w:bookmarkEnd w:id="202"/>
      <w:bookmarkStart w:id="203" w:name="_Toc184312084"/>
      <w:bookmarkEnd w:id="203"/>
      <w:bookmarkStart w:id="204" w:name="_Toc184308083"/>
      <w:bookmarkEnd w:id="204"/>
      <w:bookmarkStart w:id="205" w:name="_Toc184308050"/>
      <w:bookmarkEnd w:id="205"/>
      <w:bookmarkStart w:id="206" w:name="_Toc184308047"/>
      <w:bookmarkEnd w:id="206"/>
      <w:bookmarkStart w:id="207" w:name="_Toc184308046"/>
      <w:bookmarkEnd w:id="207"/>
      <w:bookmarkStart w:id="208" w:name="_Toc184313290"/>
      <w:bookmarkEnd w:id="208"/>
      <w:bookmarkStart w:id="209" w:name="_Toc184314450"/>
      <w:bookmarkEnd w:id="209"/>
      <w:bookmarkStart w:id="210" w:name="_Toc184314454"/>
      <w:bookmarkEnd w:id="210"/>
      <w:bookmarkStart w:id="211" w:name="_Toc184308074"/>
      <w:bookmarkEnd w:id="211"/>
      <w:bookmarkStart w:id="212" w:name="_Toc184310273"/>
      <w:bookmarkEnd w:id="212"/>
      <w:bookmarkStart w:id="213" w:name="_Toc184312110"/>
      <w:bookmarkEnd w:id="213"/>
      <w:bookmarkStart w:id="214" w:name="_Toc184314457"/>
      <w:bookmarkEnd w:id="214"/>
      <w:bookmarkStart w:id="215" w:name="_Toc184313265"/>
      <w:bookmarkEnd w:id="215"/>
      <w:bookmarkStart w:id="216" w:name="_Toc184314440"/>
      <w:bookmarkEnd w:id="216"/>
      <w:bookmarkStart w:id="217" w:name="_Toc184314446"/>
      <w:bookmarkEnd w:id="217"/>
      <w:bookmarkStart w:id="218" w:name="_Toc184314411"/>
      <w:bookmarkEnd w:id="218"/>
      <w:bookmarkStart w:id="219" w:name="_Toc184308049"/>
      <w:bookmarkEnd w:id="219"/>
      <w:bookmarkStart w:id="220" w:name="_Toc184312130"/>
      <w:bookmarkEnd w:id="220"/>
      <w:bookmarkStart w:id="221" w:name="_Toc184313250"/>
      <w:bookmarkEnd w:id="221"/>
      <w:bookmarkStart w:id="222" w:name="_Toc184310323"/>
      <w:bookmarkEnd w:id="222"/>
      <w:bookmarkStart w:id="223" w:name="_Toc184310296"/>
      <w:bookmarkEnd w:id="223"/>
      <w:bookmarkStart w:id="224" w:name="_Toc184313302"/>
      <w:bookmarkEnd w:id="224"/>
      <w:bookmarkStart w:id="225" w:name="_Toc184310339"/>
      <w:bookmarkEnd w:id="225"/>
      <w:bookmarkStart w:id="226" w:name="_Toc184313303"/>
      <w:bookmarkEnd w:id="226"/>
      <w:bookmarkStart w:id="227" w:name="_Toc184310312"/>
      <w:bookmarkEnd w:id="227"/>
      <w:bookmarkStart w:id="228" w:name="_Toc184310328"/>
      <w:bookmarkEnd w:id="228"/>
      <w:bookmarkStart w:id="229" w:name="_Toc184308055"/>
      <w:bookmarkEnd w:id="229"/>
      <w:bookmarkStart w:id="230" w:name="_Toc184314474"/>
      <w:bookmarkEnd w:id="230"/>
      <w:bookmarkStart w:id="231" w:name="_Toc184308064"/>
      <w:bookmarkEnd w:id="231"/>
      <w:bookmarkStart w:id="232" w:name="_Toc184314412"/>
      <w:bookmarkEnd w:id="232"/>
      <w:bookmarkStart w:id="233" w:name="_Toc184310308"/>
      <w:bookmarkEnd w:id="233"/>
      <w:bookmarkStart w:id="234" w:name="_Toc184314463"/>
      <w:bookmarkEnd w:id="234"/>
      <w:bookmarkStart w:id="235" w:name="_Toc184310311"/>
      <w:bookmarkEnd w:id="235"/>
      <w:bookmarkStart w:id="236" w:name="_Toc184310285"/>
      <w:bookmarkEnd w:id="236"/>
      <w:bookmarkStart w:id="237" w:name="_Toc184310320"/>
      <w:bookmarkEnd w:id="237"/>
      <w:bookmarkStart w:id="238" w:name="_Toc184314433"/>
      <w:bookmarkEnd w:id="238"/>
      <w:bookmarkStart w:id="239" w:name="_Toc184312095"/>
      <w:bookmarkEnd w:id="239"/>
      <w:bookmarkStart w:id="240" w:name="_Toc184312123"/>
      <w:bookmarkEnd w:id="240"/>
      <w:bookmarkStart w:id="241" w:name="_Toc184308081"/>
      <w:bookmarkEnd w:id="241"/>
      <w:bookmarkStart w:id="242" w:name="_Toc184314421"/>
      <w:bookmarkEnd w:id="242"/>
      <w:bookmarkStart w:id="243" w:name="_Toc184312114"/>
      <w:bookmarkEnd w:id="243"/>
      <w:bookmarkStart w:id="244" w:name="_Toc184314475"/>
      <w:bookmarkEnd w:id="244"/>
      <w:bookmarkStart w:id="245" w:name="_Toc184313309"/>
      <w:bookmarkEnd w:id="245"/>
      <w:bookmarkStart w:id="246" w:name="_Toc184308088"/>
      <w:bookmarkEnd w:id="246"/>
      <w:bookmarkStart w:id="247" w:name="_Toc184308106"/>
      <w:bookmarkEnd w:id="247"/>
      <w:bookmarkStart w:id="248" w:name="_Toc184314424"/>
      <w:bookmarkEnd w:id="248"/>
      <w:bookmarkStart w:id="249" w:name="_Toc184310306"/>
      <w:bookmarkEnd w:id="249"/>
      <w:bookmarkStart w:id="250" w:name="_Toc184312133"/>
      <w:bookmarkEnd w:id="250"/>
      <w:bookmarkStart w:id="251" w:name="_Toc184313305"/>
      <w:bookmarkEnd w:id="251"/>
      <w:bookmarkStart w:id="252" w:name="_Toc184312088"/>
      <w:bookmarkEnd w:id="252"/>
      <w:bookmarkStart w:id="253" w:name="_Toc184313243"/>
      <w:bookmarkEnd w:id="253"/>
      <w:bookmarkStart w:id="254" w:name="_Toc184312122"/>
      <w:bookmarkEnd w:id="254"/>
      <w:bookmarkStart w:id="255" w:name="_Toc184310316"/>
      <w:bookmarkEnd w:id="255"/>
      <w:bookmarkStart w:id="256" w:name="_Toc184313264"/>
      <w:bookmarkEnd w:id="256"/>
      <w:bookmarkStart w:id="257" w:name="_Toc184312093"/>
      <w:bookmarkEnd w:id="257"/>
      <w:bookmarkStart w:id="258" w:name="_Toc184310344"/>
      <w:bookmarkEnd w:id="258"/>
      <w:bookmarkStart w:id="259" w:name="_Toc184308094"/>
      <w:bookmarkEnd w:id="259"/>
      <w:bookmarkStart w:id="260" w:name="_Toc184312080"/>
      <w:bookmarkEnd w:id="260"/>
      <w:bookmarkStart w:id="261" w:name="_Toc184312076"/>
      <w:bookmarkEnd w:id="261"/>
      <w:bookmarkStart w:id="262" w:name="_Toc184312071"/>
      <w:bookmarkEnd w:id="262"/>
      <w:bookmarkStart w:id="263" w:name="_Toc184312087"/>
      <w:bookmarkEnd w:id="263"/>
      <w:bookmarkStart w:id="264" w:name="_Toc184308044"/>
      <w:bookmarkEnd w:id="264"/>
      <w:bookmarkStart w:id="265" w:name="_Toc184314482"/>
      <w:bookmarkEnd w:id="265"/>
      <w:bookmarkStart w:id="266" w:name="_Toc184312135"/>
      <w:bookmarkEnd w:id="266"/>
      <w:bookmarkStart w:id="267" w:name="_Toc184313296"/>
      <w:bookmarkEnd w:id="267"/>
      <w:bookmarkStart w:id="268" w:name="_Toc184308069"/>
      <w:bookmarkEnd w:id="268"/>
      <w:bookmarkStart w:id="269" w:name="_Toc184308051"/>
      <w:bookmarkEnd w:id="269"/>
      <w:bookmarkStart w:id="270" w:name="_Toc184310281"/>
      <w:bookmarkEnd w:id="270"/>
      <w:bookmarkStart w:id="271" w:name="_Toc184313245"/>
      <w:bookmarkEnd w:id="271"/>
      <w:bookmarkStart w:id="272" w:name="_Toc184312081"/>
      <w:bookmarkEnd w:id="272"/>
      <w:bookmarkStart w:id="273" w:name="_Toc184313292"/>
      <w:bookmarkEnd w:id="273"/>
      <w:bookmarkStart w:id="274" w:name="_Toc184313253"/>
      <w:bookmarkEnd w:id="274"/>
      <w:bookmarkStart w:id="275" w:name="_Toc184314471"/>
      <w:bookmarkEnd w:id="275"/>
      <w:bookmarkStart w:id="276" w:name="_Toc184308082"/>
      <w:bookmarkEnd w:id="276"/>
      <w:bookmarkStart w:id="277" w:name="_Toc184308043"/>
      <w:bookmarkEnd w:id="277"/>
      <w:bookmarkStart w:id="278" w:name="_Toc184313283"/>
      <w:bookmarkEnd w:id="278"/>
      <w:bookmarkStart w:id="279" w:name="_Toc184314443"/>
      <w:bookmarkEnd w:id="279"/>
      <w:bookmarkStart w:id="280" w:name="_Toc184314439"/>
      <w:bookmarkEnd w:id="280"/>
      <w:bookmarkStart w:id="281" w:name="_Toc184308056"/>
      <w:bookmarkEnd w:id="281"/>
      <w:bookmarkStart w:id="282" w:name="_Toc184308087"/>
      <w:bookmarkEnd w:id="282"/>
      <w:bookmarkStart w:id="283" w:name="_Toc184310297"/>
      <w:bookmarkEnd w:id="283"/>
      <w:bookmarkStart w:id="284" w:name="_Toc184313307"/>
      <w:bookmarkEnd w:id="284"/>
      <w:bookmarkStart w:id="285" w:name="_Toc184314419"/>
      <w:bookmarkEnd w:id="285"/>
      <w:bookmarkStart w:id="286" w:name="_Toc184310319"/>
      <w:bookmarkEnd w:id="286"/>
      <w:bookmarkStart w:id="287" w:name="_Toc184308063"/>
      <w:bookmarkEnd w:id="287"/>
      <w:bookmarkStart w:id="288" w:name="_Toc184314447"/>
      <w:bookmarkEnd w:id="288"/>
      <w:bookmarkStart w:id="289" w:name="_Toc184313269"/>
      <w:bookmarkEnd w:id="289"/>
      <w:bookmarkStart w:id="290" w:name="_Toc184310282"/>
      <w:bookmarkEnd w:id="290"/>
      <w:bookmarkStart w:id="291" w:name="_Toc184314431"/>
      <w:bookmarkEnd w:id="291"/>
      <w:bookmarkStart w:id="292" w:name="_Toc184314423"/>
      <w:bookmarkEnd w:id="292"/>
      <w:bookmarkStart w:id="293" w:name="_Toc184308066"/>
      <w:bookmarkEnd w:id="293"/>
      <w:bookmarkStart w:id="294" w:name="_Toc184314449"/>
      <w:bookmarkEnd w:id="294"/>
      <w:bookmarkStart w:id="295" w:name="_Toc184313257"/>
      <w:bookmarkEnd w:id="295"/>
      <w:bookmarkStart w:id="296" w:name="_Toc184314416"/>
      <w:bookmarkEnd w:id="296"/>
      <w:bookmarkStart w:id="297" w:name="_Toc184313291"/>
      <w:bookmarkEnd w:id="297"/>
      <w:bookmarkStart w:id="298" w:name="_Toc184310298"/>
      <w:bookmarkEnd w:id="298"/>
      <w:bookmarkStart w:id="299" w:name="_Toc184313274"/>
      <w:bookmarkEnd w:id="299"/>
      <w:bookmarkStart w:id="300" w:name="_Toc184312070"/>
      <w:bookmarkEnd w:id="300"/>
      <w:bookmarkStart w:id="301" w:name="_Toc184310314"/>
      <w:bookmarkEnd w:id="301"/>
      <w:bookmarkStart w:id="302" w:name="_Toc184310324"/>
      <w:bookmarkEnd w:id="302"/>
      <w:bookmarkStart w:id="303" w:name="_Toc184310336"/>
      <w:bookmarkEnd w:id="303"/>
      <w:bookmarkStart w:id="304" w:name="_Toc184310290"/>
      <w:bookmarkEnd w:id="304"/>
      <w:bookmarkStart w:id="305" w:name="_Toc184314466"/>
      <w:bookmarkEnd w:id="305"/>
      <w:bookmarkStart w:id="306" w:name="_Toc184310310"/>
      <w:bookmarkEnd w:id="306"/>
      <w:bookmarkStart w:id="307" w:name="_Toc184308038"/>
      <w:bookmarkEnd w:id="307"/>
      <w:bookmarkStart w:id="308" w:name="_Toc184310321"/>
      <w:bookmarkEnd w:id="308"/>
      <w:bookmarkStart w:id="309" w:name="_Toc184312086"/>
      <w:bookmarkEnd w:id="309"/>
      <w:bookmarkStart w:id="310" w:name="_Toc184310340"/>
      <w:bookmarkEnd w:id="310"/>
      <w:bookmarkStart w:id="311" w:name="_Toc184308059"/>
      <w:bookmarkEnd w:id="311"/>
      <w:bookmarkStart w:id="312" w:name="_Toc184310327"/>
      <w:bookmarkEnd w:id="312"/>
      <w:bookmarkStart w:id="313" w:name="_Toc184312104"/>
      <w:bookmarkEnd w:id="313"/>
      <w:bookmarkStart w:id="314" w:name="_Toc184312101"/>
      <w:bookmarkEnd w:id="314"/>
      <w:bookmarkStart w:id="315" w:name="_Toc184310279"/>
      <w:bookmarkEnd w:id="315"/>
      <w:bookmarkStart w:id="316" w:name="_Toc184314442"/>
      <w:bookmarkEnd w:id="316"/>
      <w:bookmarkStart w:id="317" w:name="_Toc184313310"/>
      <w:bookmarkEnd w:id="317"/>
      <w:bookmarkStart w:id="318" w:name="_Toc184308098"/>
      <w:bookmarkEnd w:id="318"/>
      <w:bookmarkStart w:id="319" w:name="_Toc184312128"/>
      <w:bookmarkEnd w:id="319"/>
      <w:bookmarkStart w:id="320" w:name="_Toc184314464"/>
      <w:bookmarkEnd w:id="320"/>
      <w:bookmarkStart w:id="321" w:name="_Toc184312137"/>
      <w:bookmarkEnd w:id="321"/>
      <w:bookmarkStart w:id="322" w:name="_Toc184310309"/>
      <w:bookmarkEnd w:id="322"/>
      <w:bookmarkStart w:id="323" w:name="_Toc184310313"/>
      <w:bookmarkEnd w:id="323"/>
      <w:bookmarkStart w:id="324" w:name="_Toc184313299"/>
      <w:bookmarkEnd w:id="324"/>
      <w:bookmarkStart w:id="325" w:name="_Toc184313262"/>
      <w:bookmarkEnd w:id="325"/>
      <w:bookmarkStart w:id="326" w:name="_Toc184313268"/>
      <w:bookmarkEnd w:id="326"/>
      <w:bookmarkStart w:id="327" w:name="_Toc184310305"/>
      <w:bookmarkEnd w:id="327"/>
      <w:bookmarkStart w:id="328" w:name="_Toc184310331"/>
      <w:bookmarkEnd w:id="328"/>
      <w:bookmarkStart w:id="329" w:name="_Toc184313242"/>
      <w:bookmarkEnd w:id="329"/>
      <w:bookmarkStart w:id="330" w:name="_Toc184313266"/>
      <w:bookmarkEnd w:id="330"/>
      <w:bookmarkStart w:id="331" w:name="_Toc184313288"/>
      <w:bookmarkEnd w:id="331"/>
      <w:bookmarkStart w:id="332" w:name="_Toc184312094"/>
      <w:bookmarkEnd w:id="332"/>
      <w:bookmarkStart w:id="333" w:name="_Toc184308105"/>
      <w:bookmarkEnd w:id="333"/>
      <w:bookmarkStart w:id="334" w:name="_Toc184308040"/>
      <w:bookmarkEnd w:id="334"/>
      <w:bookmarkStart w:id="335" w:name="_Toc184308071"/>
      <w:bookmarkEnd w:id="335"/>
      <w:bookmarkStart w:id="336" w:name="_Toc184310342"/>
      <w:bookmarkEnd w:id="336"/>
      <w:bookmarkStart w:id="337" w:name="_Toc184310283"/>
      <w:bookmarkEnd w:id="337"/>
      <w:bookmarkStart w:id="338" w:name="_Toc184310294"/>
      <w:bookmarkEnd w:id="338"/>
      <w:bookmarkStart w:id="339" w:name="_Toc184313276"/>
      <w:bookmarkEnd w:id="339"/>
      <w:bookmarkStart w:id="340" w:name="_Toc184313270"/>
      <w:bookmarkEnd w:id="340"/>
      <w:bookmarkStart w:id="341" w:name="_Toc184314462"/>
      <w:bookmarkEnd w:id="341"/>
      <w:bookmarkStart w:id="342" w:name="_Toc184312099"/>
      <w:bookmarkEnd w:id="342"/>
      <w:bookmarkStart w:id="343" w:name="_Toc184312089"/>
      <w:bookmarkEnd w:id="343"/>
      <w:bookmarkStart w:id="344" w:name="_Toc184308060"/>
      <w:bookmarkEnd w:id="344"/>
      <w:bookmarkStart w:id="345" w:name="_Toc184314476"/>
      <w:bookmarkEnd w:id="345"/>
      <w:bookmarkStart w:id="346" w:name="_Toc184314467"/>
      <w:bookmarkEnd w:id="346"/>
      <w:bookmarkStart w:id="347" w:name="_Toc184308090"/>
      <w:bookmarkEnd w:id="347"/>
      <w:bookmarkStart w:id="348" w:name="_Toc184314451"/>
      <w:bookmarkEnd w:id="348"/>
      <w:bookmarkStart w:id="349" w:name="_Toc184308065"/>
      <w:bookmarkEnd w:id="349"/>
      <w:bookmarkStart w:id="350" w:name="_Toc184310317"/>
      <w:bookmarkEnd w:id="350"/>
      <w:bookmarkStart w:id="351" w:name="_Toc184313284"/>
      <w:bookmarkEnd w:id="351"/>
      <w:bookmarkStart w:id="352" w:name="_Toc184312098"/>
      <w:bookmarkEnd w:id="352"/>
      <w:bookmarkStart w:id="353" w:name="_Toc184312074"/>
      <w:bookmarkEnd w:id="353"/>
      <w:bookmarkStart w:id="354" w:name="_Toc184314430"/>
      <w:bookmarkEnd w:id="354"/>
      <w:bookmarkStart w:id="355" w:name="_Toc184312085"/>
      <w:bookmarkEnd w:id="355"/>
      <w:bookmarkStart w:id="356" w:name="_Toc184310299"/>
      <w:bookmarkEnd w:id="356"/>
      <w:bookmarkStart w:id="357" w:name="_Toc184313238"/>
      <w:bookmarkEnd w:id="357"/>
      <w:bookmarkStart w:id="358" w:name="_Toc184310322"/>
      <w:bookmarkEnd w:id="358"/>
      <w:bookmarkStart w:id="359" w:name="_Toc184308052"/>
      <w:bookmarkEnd w:id="359"/>
      <w:bookmarkStart w:id="360" w:name="_Toc184313282"/>
      <w:bookmarkEnd w:id="360"/>
      <w:bookmarkStart w:id="361" w:name="_Toc184308102"/>
      <w:bookmarkEnd w:id="361"/>
      <w:bookmarkStart w:id="362" w:name="_Toc184312083"/>
      <w:bookmarkEnd w:id="362"/>
      <w:bookmarkStart w:id="363" w:name="_Toc184308068"/>
      <w:bookmarkEnd w:id="363"/>
      <w:bookmarkStart w:id="364" w:name="_Toc184312117"/>
      <w:bookmarkEnd w:id="364"/>
      <w:bookmarkStart w:id="365" w:name="_Toc184312134"/>
      <w:bookmarkEnd w:id="365"/>
      <w:bookmarkStart w:id="366" w:name="_Toc184310343"/>
      <w:bookmarkEnd w:id="366"/>
      <w:bookmarkStart w:id="367" w:name="_Toc184310341"/>
      <w:bookmarkEnd w:id="367"/>
      <w:bookmarkStart w:id="368" w:name="_Toc184308076"/>
      <w:bookmarkEnd w:id="368"/>
      <w:bookmarkStart w:id="369" w:name="_Toc184308061"/>
      <w:bookmarkEnd w:id="369"/>
      <w:bookmarkStart w:id="370" w:name="_Toc184312067"/>
      <w:bookmarkEnd w:id="370"/>
      <w:bookmarkStart w:id="371" w:name="_Toc184308086"/>
      <w:bookmarkEnd w:id="371"/>
      <w:bookmarkStart w:id="372" w:name="_Toc184312136"/>
      <w:bookmarkEnd w:id="372"/>
      <w:bookmarkStart w:id="373" w:name="_Toc184308093"/>
      <w:bookmarkEnd w:id="373"/>
      <w:bookmarkStart w:id="374" w:name="_Toc184308080"/>
      <w:bookmarkEnd w:id="374"/>
      <w:bookmarkStart w:id="375" w:name="_Toc184313239"/>
      <w:bookmarkEnd w:id="375"/>
      <w:bookmarkStart w:id="376" w:name="_Toc184314444"/>
      <w:bookmarkEnd w:id="376"/>
      <w:bookmarkStart w:id="377" w:name="_Toc184313256"/>
      <w:bookmarkEnd w:id="377"/>
      <w:bookmarkStart w:id="378" w:name="_Toc184313271"/>
      <w:bookmarkEnd w:id="378"/>
      <w:bookmarkStart w:id="379" w:name="_Toc184312100"/>
      <w:bookmarkEnd w:id="379"/>
      <w:bookmarkStart w:id="380" w:name="_Toc184314478"/>
      <w:bookmarkEnd w:id="380"/>
      <w:bookmarkStart w:id="381" w:name="_Toc184312077"/>
      <w:bookmarkEnd w:id="381"/>
      <w:bookmarkStart w:id="382" w:name="_Toc184314472"/>
      <w:bookmarkEnd w:id="382"/>
      <w:bookmarkStart w:id="383" w:name="_Toc184313295"/>
      <w:bookmarkEnd w:id="383"/>
      <w:bookmarkStart w:id="384" w:name="_Toc184314445"/>
      <w:bookmarkEnd w:id="384"/>
      <w:bookmarkStart w:id="385" w:name="_Toc184313286"/>
      <w:bookmarkEnd w:id="385"/>
      <w:bookmarkStart w:id="386" w:name="_Toc184312139"/>
      <w:bookmarkEnd w:id="386"/>
      <w:bookmarkStart w:id="387" w:name="_Toc184314452"/>
      <w:bookmarkEnd w:id="387"/>
      <w:bookmarkStart w:id="388" w:name="_Toc184313285"/>
      <w:bookmarkEnd w:id="388"/>
      <w:bookmarkStart w:id="389" w:name="_Toc184314459"/>
      <w:bookmarkEnd w:id="389"/>
      <w:bookmarkStart w:id="390" w:name="_Toc184312125"/>
      <w:bookmarkEnd w:id="390"/>
      <w:bookmarkStart w:id="391" w:name="_Toc184312102"/>
      <w:bookmarkEnd w:id="391"/>
      <w:bookmarkStart w:id="392" w:name="_Toc184310335"/>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5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96"/>
        <w:gridCol w:w="4403"/>
        <w:gridCol w:w="456"/>
        <w:gridCol w:w="943"/>
        <w:gridCol w:w="782"/>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219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80" w:type="pct"/>
            <w:gridSpan w:val="2"/>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评标标准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最高分值</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主观分/客观分属</w:t>
            </w:r>
          </w:p>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性</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948"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投标人资信</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1）投标人同时具有IS</w:t>
            </w:r>
            <w:r>
              <w:rPr>
                <w:rFonts w:ascii="宋体" w:hAnsi="宋体" w:cs="宋体"/>
                <w:color w:val="auto"/>
                <w:kern w:val="0"/>
                <w:sz w:val="24"/>
                <w:highlight w:val="none"/>
              </w:rPr>
              <w:t>O</w:t>
            </w:r>
            <w:r>
              <w:rPr>
                <w:rFonts w:hint="eastAsia" w:ascii="宋体" w:hAnsi="宋体" w:cs="宋体"/>
                <w:color w:val="auto"/>
                <w:kern w:val="0"/>
                <w:sz w:val="24"/>
                <w:highlight w:val="none"/>
              </w:rPr>
              <w:t>9001质量管理体系证书和ISO14001环境管理体系认证证书的得1分，否则不得分；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2）投标人具有ISO20000信息技术服务管理体系证书的得1分，没有不得分；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3）投标人具有ISO45001职业健康安全管理体系证书的得1分，没有不得分；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4）投标人具有信息系统安全运维服务资质证书的得1分，没有不得分；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注：投标文件中提供有效期内的相关证书复印件并加盖电子签名，否则不得分。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投标人资信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45"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同类业绩</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投标截止时间前三年内，投标人承担类似项目实施的成功经验情况。结合已完成的项目案例和用户反应情况，依照投标人提供的合同和用户验收报告。每个案例（以用户验收报告时间为准）得0.5分,最高得1分。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 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同类业绩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260"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47" w:type="pct"/>
            <w:vMerge w:val="restar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技术服务方案</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根据投标人提供的方案，与招标文件要求的技术标准要求符合度进行打分。满足招标文件明确的全部“项目技术要求”的得满分30分；技术条款低于本项目采购需求中的项目技术要求的每一项扣2分，无法提供项目技术要求中要求提供的相关检测报告等证明材料的，等同为技术指标负偏离每一项扣2分，扣完为止（30分）；</w:t>
            </w:r>
            <w:r>
              <w:rPr>
                <w:rFonts w:ascii="宋体" w:hAnsi="宋体" w:cs="宋体"/>
                <w:color w:val="auto"/>
                <w:kern w:val="0"/>
                <w:sz w:val="24"/>
                <w:highlight w:val="none"/>
              </w:rPr>
              <w:t xml:space="preserve"> </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vMerge w:val="restar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453"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（1）投标方案对项目的①总体架构、②平台架构、③业务架构、④网络架构、⑤安全架构有详细的分析，内容提供完整、分析详细的视为符合。每一点符合得0.5分，不符合不得分。最高得2.5分；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（2）要求投标人在投标文件中详细阐述系统建设的功能模块。建设内容充实全面，满足采购需求的视为符合。符合得4.5分，部分符合得2分，不符合不得分。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vMerge w:val="continue"/>
            <w:vAlign w:val="center"/>
          </w:tcPr>
          <w:p>
            <w:pPr>
              <w:widowControl/>
              <w:adjustRightInd/>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63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　</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numPr>
                <w:ilvl w:val="0"/>
                <w:numId w:val="1"/>
              </w:numPr>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投标方案中所提供的针对市公安侧平台资产数据同步、标签数据同步的流程图情况，流程图详细、分析全面的视为符合。符合得4分，部分符合得2分，不符合不得分。</w:t>
            </w:r>
          </w:p>
          <w:p>
            <w:pPr>
              <w:widowControl/>
              <w:numPr>
                <w:ilvl w:val="0"/>
                <w:numId w:val="1"/>
              </w:numPr>
              <w:adjustRightInd/>
              <w:rPr>
                <w:rFonts w:ascii="宋体" w:hAnsi="宋体" w:cs="宋体"/>
                <w:color w:val="auto"/>
                <w:kern w:val="0"/>
                <w:sz w:val="24"/>
                <w:highlight w:val="none"/>
              </w:rPr>
            </w:pPr>
            <w:r>
              <w:rPr>
                <w:rFonts w:hint="eastAsia" w:ascii="宋体" w:hAnsi="宋体" w:cs="宋体"/>
                <w:color w:val="auto"/>
                <w:kern w:val="0"/>
                <w:sz w:val="24"/>
                <w:highlight w:val="none"/>
              </w:rPr>
              <w:t>投标方案针对资产属性字段和联网准入条件重难点进行分析提出解决方案。内容充实全面的视为符合。符合得2分，部分符合得1分，不符合不得分。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vMerge w:val="continue"/>
            <w:vAlign w:val="center"/>
          </w:tcPr>
          <w:p>
            <w:pPr>
              <w:widowControl/>
              <w:adjustRightInd/>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948"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（1）投标方案对项目需求进行分析的情况；内容充实全面的视为符合。符合得1分，部分符合得0.5分，不符合不得分。</w:t>
            </w:r>
          </w:p>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2）对现有平台前期建设现状和后期建设规划进行详细的分析，包括①平台现况架构及能力情况分析、②现有信息技术硬件及软件资源存量情况分析、③存在的具体问题分析、④后期平台能力发展扩容规划；内容充实全面完全满足采购需求视为符合。每一点符合得1.5分，部分符合得1分，不符合不得分。共6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vMerge w:val="continue"/>
            <w:vAlign w:val="center"/>
          </w:tcPr>
          <w:p>
            <w:pPr>
              <w:widowControl/>
              <w:adjustRightInd/>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948"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投标方案对系统关键技术流程具有设计和介绍，对视频资源治理流程、视频资源共享流程、解析资源共享流程、事件共享流程通过流程图展示介绍。内容充实全面，满足采购需求视为符合。完全符合得2分，部分满足得1分，不符合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vMerge w:val="continue"/>
            <w:vAlign w:val="center"/>
          </w:tcPr>
          <w:p>
            <w:pPr>
              <w:widowControl/>
              <w:adjustRightInd/>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63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投标方案具有对网络安全建设设计具有详细描述，包括网络安全架构设计、系统功能设计。内容充实全面，满足采购需求视为符合。完全符合得2分，部分满足得0.5分，不符合不得分。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vMerge w:val="continue"/>
            <w:vAlign w:val="center"/>
          </w:tcPr>
          <w:p>
            <w:pPr>
              <w:widowControl/>
              <w:adjustRightInd/>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550"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447" w:type="pct"/>
            <w:vMerge w:val="restar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演示内容具体要求及评审</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演示算法策略的元件函数管理、策略编排、运行配置、规则绘制等能力</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1）演示算法元件的条件检索与列表展示，并可展示元件详细信息。演示添加函数元件，进行函数包上传、元件的基本信息编辑和函数输入输出参数配置。成功演示得1分，否则不得分。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2）演示通过元件拖拉拽的方式编排策略，能够添加、删除元件并配置元件的各类参数信息，策略进行运行、校验、元件参数配置、回溯、策略运行参数配置等操作。成功演示得1分，否则不得分。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3）演示配置算法策略的执行计划和策略执行范围。成功演示得1分，否则不得分。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4）演示点位规则绘制，绘制点位规则线、点位规则框；利用点位信息查询元件、线框相交元件等元件组合可查询并筛选出满足规则的事件。成功演示得1分，否则不得分。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242"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演示在未申请算法授权的情况下，上传图片进行算法功能测试，以验证算法与场景的适配性。成功演示得1分，否则不得分。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84"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演示算法编排功能相关能力：</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（1）演示在实时视图分析编排时，将任务点位和分析时间计划复制到其他算法中。成功演示得1分，否则不得分。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（2）演示场景核验，保证实时场景与配置场景一致性。成功演示得1分，否则不得分。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3）演示批量场景治理：演示一次性对多个点位进行统一的场景治理，包括检测区域、屏蔽区域、置信度、灵敏度、持续时间（视频算法）等的配置，支持对已经治理的场景进行统一修改。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（4）演示单个点位进行精细化场景治理：选择一个点位，绘制分析区域，配置分析规则，包括尺寸过滤，图片叠加目标框、图片叠加规则等，支持已配置规则的复制。成功演示得1分，否则不得分。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84"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演示事件中心功能相关能力：</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（1）演示对算法分析产生的智能事件进行研判，对于研判为误报的事件可以直接跳转到编排页面，修改分析规则，调整场景治理的参数。成功演示得1.5分，否则不得分。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（2）演示事件模型管理，添加、查看和编辑平台事件模型，为事件模型配置场景和关联业务标签，配置事件协议的报文结构。成功演示得1.5分，否则不得分。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（3）演示在事件检索中通过事件模型中配置的场景和业务事件类型对事件进行检索，可选择一种或多种条件检索成功演示得1分，否则不得分。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84"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演示视频安全审计设备相关能力：</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演示支持结合流量探针对视频流量进行还原分析，实时还原出回放和预览的视频，并能对还原的视频进行内容安全审计。成功演示得2分，否则不得分。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84"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447" w:type="pct"/>
            <w:vMerge w:val="continue"/>
            <w:vAlign w:val="center"/>
          </w:tcPr>
          <w:p>
            <w:pPr>
              <w:widowControl/>
              <w:adjustRightInd/>
              <w:jc w:val="left"/>
              <w:rPr>
                <w:rFonts w:ascii="宋体" w:hAnsi="宋体" w:cs="宋体"/>
                <w:color w:val="auto"/>
                <w:kern w:val="0"/>
                <w:sz w:val="24"/>
                <w:highlight w:val="none"/>
              </w:rPr>
            </w:pP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演示视频调阅功能相关能力：</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（1）演示视频综合调阅搜索能力，输入关键字后可以综合展示点位、编组、地名等多类结果。成功演示得1分，否则不得分。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（2）演示查看点位搜索结果，支持搜索结果一键平铺播放，支持查看目标点位自定义范围内周边设备和地名。成功演示得1.5分，否则不得分。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（3）演示动态治理能力，用户可以在查看目标点位视频的同时对点位标注标签，当前标签体系没有某标签时可以自行增加标签。成功演示得1.5分，否则不得分。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72"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项目组人员情况</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①本项目主要建设内容为公共安全图像信息资源共享平台建设，为了保证项目的交付质量，保证数据归集共享，满足质量考核需求，要求本项目负责人需同时具备信息系统项目管理师证书、系统集成项目管理工程师证书，提供证书复印件。符合得2分，不符合不得分。</w:t>
            </w:r>
          </w:p>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②项目团队其他人员（不含本项目负责人）具有人社部门颁发的高级系统架构设计师、网络工程师、软件设计师、高级工程师证书，提供证书复印件。每提供一本证书得0.5分，本项最高得2分。同一人员具有多本证书的按一本证书计算，不重复计算得分。（2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（投标文件中须提供相关人员的证书复印件及在本单位社保缴费证明复印件并加盖电子签名，不提供不得分。）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项目组人员情况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260"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组织实施方案</w:t>
            </w: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投标人项目组织实施方案科学、合理、规范,可操作性强，包括系统设计、设备供货、安装调试、调优内容，以及组织机构、工作时间进度表、工作程序和步骤、管理和协调方法、关键步骤的思路和要点。内容充实全面、合理可行视为符合。完全符合得2分，部分满足得1分，不符合不得分。                                      </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组织实施方案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93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培训、测试、试运行和验收</w:t>
            </w: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投标人提出合理可行的培训计划、功能测试方案和验收方案。培训计划包括培训方法、培训内容；功能测试方案应包括测试工作准备、功能测试过程；验收方案应包括验收组织、验收过程、验收成果物描述。内容充实全面、合理可行视为符合。完全符合得2分，部分满足得1分，不符合不得分。       </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培训、测试、试运行和验收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63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应急响应方案</w:t>
            </w:r>
          </w:p>
        </w:tc>
        <w:tc>
          <w:tcPr>
            <w:tcW w:w="2832"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应急响应方案完善具有预防及预警机制、运维应急、应急处</w:t>
            </w:r>
            <w:bookmarkStart w:id="417" w:name="_GoBack"/>
            <w:bookmarkEnd w:id="417"/>
            <w:r>
              <w:rPr>
                <w:rFonts w:hint="eastAsia" w:ascii="宋体" w:hAnsi="宋体" w:cs="宋体"/>
                <w:color w:val="auto"/>
                <w:kern w:val="0"/>
                <w:sz w:val="24"/>
                <w:highlight w:val="none"/>
              </w:rPr>
              <w:t xml:space="preserve">置、善后处置、监督管理的关键步骤描述，预案有效可行。内容充实全面、合理可行视为符合。完全符合得2分，部分满足得1分，不符合不得分。 </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936"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447" w:type="pct"/>
            <w:shd w:val="clear" w:color="auto" w:fill="auto"/>
            <w:vAlign w:val="center"/>
          </w:tcPr>
          <w:p>
            <w:pPr>
              <w:widowControl/>
              <w:adjustRightInd/>
              <w:jc w:val="left"/>
              <w:rPr>
                <w:rFonts w:ascii="宋体" w:hAnsi="宋体" w:cs="宋体"/>
                <w:color w:val="auto"/>
                <w:kern w:val="0"/>
                <w:sz w:val="24"/>
                <w:highlight w:val="none"/>
              </w:rPr>
            </w:pPr>
            <w:r>
              <w:rPr>
                <w:rFonts w:hint="eastAsia" w:ascii="宋体" w:hAnsi="宋体" w:cs="宋体"/>
                <w:color w:val="auto"/>
                <w:kern w:val="0"/>
                <w:sz w:val="24"/>
                <w:highlight w:val="none"/>
              </w:rPr>
              <w:t>服务方案</w:t>
            </w:r>
          </w:p>
        </w:tc>
        <w:tc>
          <w:tcPr>
            <w:tcW w:w="2832" w:type="pct"/>
            <w:shd w:val="clear" w:color="auto" w:fill="auto"/>
            <w:vAlign w:val="center"/>
          </w:tcPr>
          <w:p>
            <w:pPr>
              <w:widowControl/>
              <w:adjustRightInd/>
              <w:rPr>
                <w:rFonts w:ascii="宋体" w:hAnsi="宋体" w:cs="宋体"/>
                <w:color w:val="auto"/>
                <w:kern w:val="0"/>
                <w:sz w:val="24"/>
                <w:highlight w:val="none"/>
              </w:rPr>
            </w:pPr>
            <w:r>
              <w:rPr>
                <w:rFonts w:hint="eastAsia" w:ascii="宋体" w:hAnsi="宋体" w:cs="宋体"/>
                <w:color w:val="auto"/>
                <w:kern w:val="0"/>
                <w:sz w:val="24"/>
                <w:highlight w:val="none"/>
              </w:rPr>
              <w:t>投标人针对本项目提供详细的服务方案，包括维护人员和机构等情况，运营服务技术支持和服务内容，承诺落实的保障措施，质保期内外的后续技术支持和维护能力情况等。内容充实全面，合理可行视为符合。完全符合得2分，部分满足得1分，不符合不得分。</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c>
          <w:tcPr>
            <w:tcW w:w="50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服务方案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447" w:type="pct"/>
            <w:shd w:val="clear" w:color="auto" w:fill="auto"/>
            <w:vAlign w:val="center"/>
          </w:tcPr>
          <w:p>
            <w:pPr>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价格分</w:t>
            </w:r>
          </w:p>
        </w:tc>
        <w:tc>
          <w:tcPr>
            <w:tcW w:w="2832" w:type="pct"/>
            <w:shd w:val="clear" w:color="auto" w:fill="auto"/>
            <w:vAlign w:val="center"/>
          </w:tcPr>
          <w:p>
            <w:pPr>
              <w:jc w:val="left"/>
              <w:rPr>
                <w:rFonts w:ascii="宋体" w:hAnsi="宋体" w:cs="宋体"/>
                <w:color w:val="auto"/>
                <w:kern w:val="0"/>
                <w:sz w:val="24"/>
                <w:highlight w:val="none"/>
              </w:rPr>
            </w:pPr>
            <w:r>
              <w:rPr>
                <w:rFonts w:hint="eastAsia" w:ascii="宋体" w:hAnsi="宋体" w:cs="宋体"/>
                <w:color w:val="auto"/>
                <w:kern w:val="0"/>
                <w:sz w:val="24"/>
                <w:highlight w:val="none"/>
              </w:rPr>
              <w:t>有效投标报价的最低价作为评标基准价，其最低报价为满分；按［投标报价得分=（评标基准价/投标报价）*最高分值］的计算公式计算。</w:t>
            </w:r>
          </w:p>
          <w:p>
            <w:pPr>
              <w:jc w:val="left"/>
              <w:rPr>
                <w:rFonts w:ascii="宋体" w:hAnsi="宋体" w:cs="宋体"/>
                <w:color w:val="auto"/>
                <w:kern w:val="0"/>
                <w:sz w:val="24"/>
                <w:highlight w:val="none"/>
              </w:rPr>
            </w:pPr>
            <w:r>
              <w:rPr>
                <w:rFonts w:hint="eastAsia" w:ascii="宋体" w:hAnsi="宋体" w:cs="宋体"/>
                <w:color w:val="auto"/>
                <w:kern w:val="0"/>
                <w:sz w:val="24"/>
                <w:highlight w:val="none"/>
              </w:rPr>
              <w:t>评标过程中，不得去掉报价中的最高报价和最低报价。</w:t>
            </w:r>
          </w:p>
          <w:p>
            <w:pPr>
              <w:jc w:val="left"/>
              <w:rPr>
                <w:rFonts w:ascii="宋体" w:hAnsi="宋体" w:cs="宋体"/>
                <w:color w:val="auto"/>
                <w:kern w:val="0"/>
                <w:sz w:val="24"/>
                <w:highlight w:val="none"/>
              </w:rPr>
            </w:pPr>
            <w:r>
              <w:rPr>
                <w:rFonts w:hint="eastAsia" w:ascii="宋体" w:hAnsi="宋体" w:cs="宋体"/>
                <w:color w:val="auto"/>
                <w:kern w:val="0"/>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kern w:val="0"/>
                <w:sz w:val="24"/>
                <w:highlight w:val="none"/>
                <w:u w:val="single"/>
              </w:rPr>
              <w:t>10%</w:t>
            </w:r>
            <w:r>
              <w:rPr>
                <w:rFonts w:hint="eastAsia" w:ascii="宋体" w:hAnsi="宋体" w:cs="宋体"/>
                <w:color w:val="auto"/>
                <w:kern w:val="0"/>
                <w:sz w:val="24"/>
                <w:highlight w:val="none"/>
              </w:rPr>
              <w:t>的扣除，用扣除后的价格参与评审。</w:t>
            </w:r>
          </w:p>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cs="宋体"/>
                <w:color w:val="auto"/>
                <w:kern w:val="0"/>
                <w:sz w:val="24"/>
                <w:highlight w:val="none"/>
              </w:rPr>
              <w:t>30%</w:t>
            </w:r>
            <w:r>
              <w:rPr>
                <w:rFonts w:hint="eastAsia" w:ascii="宋体" w:hAnsi="宋体" w:cs="宋体"/>
                <w:color w:val="auto"/>
                <w:kern w:val="0"/>
                <w:sz w:val="24"/>
                <w:highlight w:val="none"/>
              </w:rPr>
              <w:t>以上的，对联合体或者大中型企业的报价给予</w:t>
            </w:r>
            <w:r>
              <w:rPr>
                <w:rFonts w:hint="eastAsia" w:ascii="宋体" w:hAnsi="宋体" w:cs="宋体"/>
                <w:b/>
                <w:bCs/>
                <w:color w:val="auto"/>
                <w:kern w:val="0"/>
                <w:sz w:val="24"/>
                <w:highlight w:val="none"/>
                <w:u w:val="single"/>
              </w:rPr>
              <w:t>4%</w:t>
            </w:r>
            <w:r>
              <w:rPr>
                <w:rFonts w:hint="eastAsia" w:ascii="宋体" w:hAnsi="宋体" w:cs="宋体"/>
                <w:color w:val="auto"/>
                <w:kern w:val="0"/>
                <w:sz w:val="24"/>
                <w:highlight w:val="none"/>
              </w:rPr>
              <w:t>的扣除，用扣除后的价格参加评审。</w:t>
            </w:r>
          </w:p>
        </w:tc>
        <w:tc>
          <w:tcPr>
            <w:tcW w:w="293" w:type="pct"/>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10分</w:t>
            </w:r>
          </w:p>
        </w:tc>
        <w:tc>
          <w:tcPr>
            <w:tcW w:w="607" w:type="pct"/>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c>
          <w:tcPr>
            <w:tcW w:w="525" w:type="pct"/>
            <w:gridSpan w:val="2"/>
            <w:shd w:val="clear" w:color="auto" w:fill="auto"/>
            <w:vAlign w:val="center"/>
          </w:tcPr>
          <w:p>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w:t>
      </w:r>
      <w:r>
        <w:rPr>
          <w:rFonts w:hint="eastAsia" w:ascii="宋体" w:hAnsi="宋体" w:cs="宋体"/>
          <w:color w:val="auto"/>
          <w:kern w:val="0"/>
          <w:sz w:val="24"/>
          <w:highlight w:val="none"/>
        </w:rPr>
        <w:t>排名第一的</w:t>
      </w:r>
      <w:r>
        <w:rPr>
          <w:rFonts w:hint="eastAsia" w:ascii="宋体" w:hAnsi="宋体" w:cs="宋体"/>
          <w:color w:val="auto"/>
          <w:kern w:val="0"/>
          <w:sz w:val="24"/>
          <w:highlight w:val="none"/>
        </w:rPr>
        <w:t>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杭州市数据资源管理局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杭州城市大脑智能化体系建设项目标段三——视觉智能中心</w:t>
      </w:r>
      <w:r>
        <w:rPr>
          <w:rFonts w:hint="eastAsia" w:ascii="宋体" w:hAnsi="宋体" w:cs="宋体"/>
          <w:color w:val="auto"/>
          <w:sz w:val="24"/>
          <w:highlight w:val="none"/>
          <w:u w:val="single"/>
        </w:rPr>
        <w:t>（招标编号：</w:t>
      </w:r>
      <w:r>
        <w:rPr>
          <w:rFonts w:ascii="宋体" w:hAnsi="宋体" w:cs="宋体"/>
          <w:color w:val="auto"/>
          <w:sz w:val="24"/>
          <w:highlight w:val="none"/>
          <w:u w:val="single"/>
        </w:rPr>
        <w:t>HZZFCG-2024-139</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杭州市数据资源管理局</w:t>
      </w:r>
      <w:r>
        <w:rPr>
          <w:rFonts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1"/>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81"/>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pPr>
        <w:pStyle w:val="959"/>
        <w:spacing w:before="0" w:beforeAutospacing="0" w:after="240" w:afterLines="100" w:afterAutospacing="0" w:line="360" w:lineRule="auto"/>
        <w:ind w:firstLine="480"/>
        <w:rPr>
          <w:b/>
          <w:color w:val="auto"/>
          <w:highlight w:val="none"/>
        </w:rPr>
      </w:pPr>
      <w:bookmarkStart w:id="395" w:name="_Toc1814"/>
      <w:bookmarkStart w:id="396" w:name="_Toc10340"/>
      <w:bookmarkStart w:id="397" w:name="_Toc22618"/>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0.3</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0.3</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0.3</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398" w:name="_Toc28375"/>
      <w:bookmarkStart w:id="399" w:name="_Toc15583"/>
      <w:bookmarkStart w:id="400" w:name="_Toc16021"/>
      <w:r>
        <w:rPr>
          <w:rFonts w:hint="eastAsia" w:ascii="宋体" w:hAnsi="宋体" w:cs="宋体"/>
          <w:b/>
          <w:color w:val="auto"/>
          <w:sz w:val="24"/>
          <w:highlight w:val="none"/>
        </w:rPr>
        <w:t>1.9合同争议的解决</w:t>
      </w:r>
      <w:bookmarkEnd w:id="398"/>
      <w:bookmarkEnd w:id="399"/>
      <w:bookmarkEnd w:id="40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01" w:name="_Toc15322"/>
      <w:bookmarkStart w:id="402" w:name="_Toc7245"/>
      <w:bookmarkStart w:id="403" w:name="_Toc11173"/>
      <w:r>
        <w:rPr>
          <w:rFonts w:hint="eastAsia" w:ascii="宋体" w:hAnsi="宋体" w:cs="宋体"/>
          <w:b/>
          <w:color w:val="auto"/>
          <w:sz w:val="24"/>
          <w:highlight w:val="none"/>
        </w:rPr>
        <w:t>1.10 合同生效</w:t>
      </w:r>
      <w:bookmarkEnd w:id="401"/>
      <w:bookmarkEnd w:id="402"/>
      <w:bookmarkEnd w:id="40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404" w:name="_Toc4355"/>
      <w:bookmarkStart w:id="405" w:name="_Toc18540"/>
      <w:bookmarkStart w:id="406" w:name="_Toc30599"/>
      <w:r>
        <w:rPr>
          <w:rFonts w:hint="eastAsia" w:ascii="宋体" w:hAnsi="宋体" w:cs="宋体"/>
          <w:b/>
          <w:color w:val="auto"/>
          <w:sz w:val="24"/>
          <w:highlight w:val="none"/>
        </w:rPr>
        <w:t>2.18 计量单位</w:t>
      </w:r>
      <w:bookmarkEnd w:id="404"/>
      <w:bookmarkEnd w:id="405"/>
      <w:bookmarkEnd w:id="4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color w:val="auto"/>
          <w:kern w:val="0"/>
          <w:highlight w:val="none"/>
        </w:rPr>
      </w:pP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2.20 外包服务机构的网络、数据安全责任及违约条款</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一、安全责任（乙方义务）</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1.乙方应按照《中华人民共和国网络安全法》《中华人民共和国数据安全法》《中华人民共和国个人信息保护法》等法律法规及规章制度的要求，履行网络和数据安全保护义务。</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2.本项目所涉及的乙方工作人员均需签订《保密承诺书》，且乙方应对项目涉及工作人员进行背景审查，存在泄密风险的乙方工作人员不得接触项目。乙方应做好人员保密教育工作。</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3.乙方应当采取技术措施和其他必要措施，确保其网络和数据的安全，防止出现信息泄露、毁损、丢失等风险。在发生或者可能发生信息泄露、毁损、丢失等情况时，应当立即采取补救措施，并将相关情况及时告知甲方。</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4.项目中包含但不限于建设、运营、运维的信息系统、应用、数据库等，若乙方开通相关账号、权限等必须经过甲方审批允许，不得私开账号、擅自更改权限等。</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5.乙方应合理使用操作账号，严禁乙方存在多名（2人及以上）工作人员共用一个操作账号的情形，同时操作账号应采用高强度密码，乙方应妥善保管密码并定期更新账号密码。</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6.未经甲方允许，乙方不得对项目云资源私开端口，不得利用项目资源进行与该项目无关的工作，不得将政务网和互联网私自打通。</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8.乙方应认真组织开展各项数据处理活动，查找项目数据安全隐患和漏洞，对薄弱环节和潜在威胁采取有力措施并进行及时整改，避免和消除数据安全风险，履行数据安全保护义务。</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10.乙方应及时响应、处置甲方布置的安全工作，对其主管的系统、组件、云资源等所属安全事件、隐患及时发现、阻断、排查、处置、溯源（包括但不限于攻防演练等相关活动中发现的）。</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11.项目中所建设的系统、提供的基础设施服务等，乙方应无偿提供操作、告警等安全日志以及资产清单，并且按照规范要求与甲方审计平台实现对接，并且提供相关解析服务（如日志字典等）供甲方进行安全审计。</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12.乙方派驻的驻场人员应按照甲方要求办理入场、离场等手续，入驻全省ISV系统，并且遵守甲方劳动、工作纪律，按照甲方要求的工作时间进行出勤。</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13. 乙方应配合甲方对项目涉及的资源、系统等常态化安全漏洞扫描，并且及时修复漏洞。</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14.乙方应配合甲方完成项目中所建设、运营的应用系统、服务等的网络数据安全检查，并且按要求及时完成检查中发现问题的整改。</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15.未经甲方允许，乙方不得擅自将项目中涉及的数据拷贝、转移出指定数据区域外进行开发、调试等，包括不限于乙方公司、第三方公司的服务器等。</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16．每次通报后，乙方应当及时解决并向甲方提交整改报告并根据整改报告内容进行及时整改。</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17.乙方在项目中所承建信息系统的开发、测试环境，不允许出现甲方及项目相关的标识名称，并且在项目建成后及时下架测试环境。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18.乙方应承担在项目运维期中的安全责任，履行运维期的项目、应用系统、云资源的安全义务。</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19.乙方驻场人员应在重要活动、会议期间，根据甲方安全保障要求，参与重保值班值守工作。</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20.乙方应按照甲方业务要求，围绕项目内容，提供甲方所需要的业务相关进展及数据，最迟须在24小时内提供准确的信息。</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21.乙方在项目中所建设、运营的应用系统、应用服务等涉及鉴权登录的，应使用浙政钉/浙里办扫码方式，若使用账号口令方式的，需要经甲方允许后，并且采用二次验证的方式。</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22.乙方驻场人员原则上需按照甲方要求，专人专项开展项目中约定的驻场工作，未经甲方允许，不得同时参与其他项目，不得从事项目中已单独支付费用的其他工作。</w:t>
      </w:r>
    </w:p>
    <w:p>
      <w:pPr>
        <w:spacing w:line="560" w:lineRule="exact"/>
        <w:ind w:firstLine="482" w:firstLineChars="200"/>
        <w:jc w:val="left"/>
        <w:rPr>
          <w:rFonts w:ascii="宋体" w:hAnsi="宋体"/>
          <w:b/>
          <w:color w:val="auto"/>
          <w:sz w:val="24"/>
          <w:highlight w:val="none"/>
        </w:rPr>
      </w:pP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二、安全部分违约责任</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1.由于乙方原因，受到国家级安全问题通报的、或造成特别重大事故的，每通报一个问题或发生一次事故，从合同金额内扣除10万元。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2.由于乙方原因，受到省级安全问题通报的、或造成重大事故的，每通报一个问题或发生一次事故，从合同金额扣除5万元。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3.由于乙方原因，受到市级安全问题通报的、或造成较大事故（一般事故）的，每通报一个问题或发生一次事故，从合同金额扣除1万元。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4.乙方未按照甲方要求及时处置所属安全事件、隐患的，每发生一次，从合同金额扣除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5.乙方存在多名（2人及以上）工作人员共用一个操作账户的，或所主管的系统、云资源等账号出现弱口令的（强口令需至少包含数字、大小写字母、特殊字符等，且无明显规律），每出现1次，从合同金额扣除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6.未经甲方审批允许，乙方不得私开账号、擅自更改权限，不得对项目云资源私开端口，不得利用项目资源进行与该项目无关的工作，不得将政务网和互联网私自打通的。每出现一次，从合同金额中扣除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7.乙方发现数据安全缺陷、漏洞等风险时，未立即采取补救措施的；或发生数字安全事件时，未立即采取处置措施的；相关情况未第一时间向甲方报告的；每出现一次，从合同金额中扣除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8.若乙方未按需提供日志，或提供的操作记录、安全日志等不完整、存在缺失的，每发现一次，每次从合同金额扣除1</w:t>
      </w:r>
      <w:r>
        <w:rPr>
          <w:rFonts w:hint="eastAsia" w:ascii="宋体" w:hAnsi="宋体"/>
          <w:b/>
          <w:color w:val="auto"/>
          <w:sz w:val="24"/>
          <w:highlight w:val="none"/>
        </w:rPr>
        <w:t>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9.乙方拒不配合网络数据安全检查或经检查后拒不进行整改的，每出现一次从合同金额中扣除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10.项目结束后，乙方未按约删除其在项目过程中获取的数据资料并擅自使用或许可他人使用的，须承担项目合同总金额10%的违约金处罚，若给甲方造成损失的，还须承担赔偿责任。</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11.乙方未配合甲方对项目涉及的资源、系统等常态化安全漏洞扫描，或未及时修复漏洞的，每出现一次，从合同金额扣除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12. 乙方未配合甲方完成项目中所建设、运营的应用系统、服务等的网络数据安全检查，并且按要求及时完成检查中发现问题的整改,每出现一次，从合同金额中扣除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13.乙方未按照甲方相关要求，签订《保密承诺书》，办理入场、离场手续的、未入驻全省ISV系统，出现1人次，每人次从合同金额扣除1万元。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14．乙方派驻的驻场人员未按照甲方工作要求进行出勤的，每出现1人次从合同金额扣除500元。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15.乙方不得擅自将项目中涉及的数据拷贝、转移出指定数据区域外进行开发、调试等，包括不限于乙方公司、第三方公司的服务器等，每出现一次，从合同金额扣除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16.每次通报后，若乙方未及时提供整改报告的；或未根据通报内容及时进行整改的，每出现一次，从合同金额扣除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17. 乙方在项目中所承建信息系统的开发、测试环境，出现甲方及项目相关的标识名称，或在项目建成后未及时下架测试环境，每出现一次，从合同金额扣除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18. 乙方驻场人员在重要活动、会议期间，未按照甲方安全保障要求，参与重保值班值守工作，每出现一人次天，从合同金额扣除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19. 乙方未按照甲方业务要求，围绕项目内容，未及时提供甲方所需要的业务相关进展及数据，每出现一次，从合同金额扣除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20. 乙方在项目中所建设、运营的应用系统、应用服务等涉及鉴权登录的，未使用浙政钉/浙里办扫码方式、二次验证的方式的，每发现一次，从合同金额扣除</w:t>
      </w:r>
      <w:r>
        <w:rPr>
          <w:rFonts w:hint="eastAsia" w:ascii="宋体" w:hAnsi="宋体"/>
          <w:b/>
          <w:color w:val="auto"/>
          <w:sz w:val="24"/>
          <w:highlight w:val="none"/>
        </w:rPr>
        <w:t>10000</w:t>
      </w:r>
      <w:r>
        <w:rPr>
          <w:rFonts w:ascii="宋体" w:hAnsi="宋体"/>
          <w:b/>
          <w:color w:val="auto"/>
          <w:sz w:val="24"/>
          <w:highlight w:val="none"/>
        </w:rPr>
        <w:t>元。</w:t>
      </w:r>
    </w:p>
    <w:p>
      <w:pPr>
        <w:spacing w:line="560" w:lineRule="exact"/>
        <w:ind w:firstLine="482" w:firstLineChars="200"/>
        <w:jc w:val="left"/>
        <w:rPr>
          <w:rFonts w:ascii="宋体" w:hAnsi="宋体"/>
          <w:b/>
          <w:color w:val="auto"/>
          <w:sz w:val="24"/>
          <w:highlight w:val="none"/>
        </w:rPr>
      </w:pPr>
      <w:r>
        <w:rPr>
          <w:rFonts w:ascii="宋体" w:hAnsi="宋体"/>
          <w:b/>
          <w:color w:val="auto"/>
          <w:sz w:val="24"/>
          <w:highlight w:val="none"/>
        </w:rPr>
        <w:t>21. 乙方驻场人员未按照合同约定或未经甲方允许，同时参与其他项目工作或本项目中已单独支付服务费的相关工作，甲方有权扣除驻场人员服务费，并要求乙方恢复专人专项服务。</w:t>
      </w:r>
    </w:p>
    <w:p>
      <w:pPr>
        <w:spacing w:line="560" w:lineRule="exact"/>
        <w:ind w:firstLine="482" w:firstLineChars="200"/>
        <w:jc w:val="center"/>
        <w:rPr>
          <w:rFonts w:ascii="宋体" w:hAnsi="宋体" w:cs="宋体"/>
          <w:b/>
          <w:color w:val="auto"/>
          <w:sz w:val="24"/>
          <w:highlight w:val="none"/>
        </w:rPr>
      </w:pPr>
      <w:r>
        <w:rPr>
          <w:rFonts w:ascii="宋体" w:hAnsi="宋体"/>
          <w:b/>
          <w:color w:val="auto"/>
          <w:sz w:val="24"/>
          <w:highlight w:val="none"/>
        </w:rPr>
        <w:t>22．乙方应当按照合同约定开展工作，并严格遵守《中华人民共和国网络安全法》《中华人民共和国数据安全法》《中华人民共和国个人信息保护法》等法律法规和规章制度，对于乙方不履行合同义务或者履行合同义务不符合约定的，应当承担相应责任。</w:t>
      </w:r>
      <w:r>
        <w:rPr>
          <w:rFonts w:ascii="宋体" w:hAnsi="宋体"/>
          <w:b/>
          <w:color w:val="auto"/>
          <w:sz w:val="24"/>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color w:val="auto"/>
                <w:kern w:val="0"/>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资金支付的方式、时间和条件：</w:t>
            </w:r>
          </w:p>
          <w:p>
            <w:pPr>
              <w:spacing w:line="360" w:lineRule="auto"/>
              <w:rPr>
                <w:rFonts w:ascii="宋体" w:hAnsi="宋体" w:cs="宋体"/>
                <w:color w:val="auto"/>
                <w:sz w:val="24"/>
                <w:highlight w:val="none"/>
              </w:rPr>
            </w:pPr>
            <w:r>
              <w:rPr>
                <w:rFonts w:hint="eastAsia" w:ascii="宋体" w:hAnsi="宋体" w:cs="宋体"/>
                <w:color w:val="auto"/>
                <w:sz w:val="24"/>
                <w:highlight w:val="none"/>
              </w:rPr>
              <w:t>本次项目合同总价为大写人民币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元），采用分期付款方式，具体如下：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第一期付款：</w:t>
            </w:r>
            <w:r>
              <w:rPr>
                <w:rFonts w:asciiTheme="minorEastAsia" w:hAnsiTheme="minorEastAsia" w:eastAsiaTheme="minorEastAsia"/>
                <w:color w:val="auto"/>
                <w:sz w:val="24"/>
                <w:highlight w:val="none"/>
              </w:rPr>
              <w:t>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w:t>
            </w:r>
            <w:r>
              <w:rPr>
                <w:rFonts w:hint="eastAsia" w:asciiTheme="minorEastAsia" w:hAnsiTheme="minorEastAsia" w:eastAsiaTheme="minorEastAsia"/>
                <w:color w:val="auto"/>
                <w:kern w:val="0"/>
                <w:sz w:val="24"/>
                <w:highlight w:val="none"/>
              </w:rPr>
              <w:t>后</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甲方</w:t>
            </w:r>
            <w:r>
              <w:rPr>
                <w:rFonts w:hint="eastAsia" w:ascii="宋体" w:hAnsi="宋体" w:cs="宋体"/>
                <w:color w:val="auto"/>
                <w:sz w:val="24"/>
                <w:highlight w:val="none"/>
              </w:rPr>
              <w:t>在5个工作日内支付合同金额的50%作为预付款，计人民币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rPr>
                <w:rFonts w:ascii="宋体" w:hAnsi="宋体" w:cs="宋体"/>
                <w:color w:val="auto"/>
                <w:sz w:val="24"/>
                <w:highlight w:val="none"/>
              </w:rPr>
            </w:pPr>
            <w:r>
              <w:rPr>
                <w:rFonts w:hint="eastAsia" w:ascii="宋体" w:hAnsi="宋体" w:cs="宋体"/>
                <w:color w:val="auto"/>
                <w:sz w:val="24"/>
                <w:highlight w:val="none"/>
              </w:rPr>
              <w:t>第二期付款：项目完成初验后，甲方收到乙方提供的增值税普通发票后，应在5个工作日内支付合同金额的20%，计人民币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rPr>
                <w:rFonts w:ascii="宋体" w:hAnsi="宋体" w:cs="宋体"/>
                <w:color w:val="auto"/>
                <w:sz w:val="24"/>
                <w:highlight w:val="none"/>
              </w:rPr>
            </w:pPr>
            <w:r>
              <w:rPr>
                <w:rFonts w:hint="eastAsia" w:ascii="宋体" w:hAnsi="宋体" w:cs="宋体"/>
                <w:color w:val="auto"/>
                <w:sz w:val="24"/>
                <w:highlight w:val="none"/>
              </w:rPr>
              <w:t>第三期付款：项目完成终验后，甲方收到乙方提供的增值税普通发票后，应在 5 个工作日内支付剩余款项，计人民币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rPr>
                <w:rFonts w:ascii="宋体" w:hAnsi="宋体" w:cs="宋体"/>
                <w:color w:val="auto"/>
                <w:sz w:val="24"/>
                <w:highlight w:val="none"/>
              </w:rPr>
            </w:pPr>
            <w:r>
              <w:rPr>
                <w:rFonts w:hint="eastAsia" w:ascii="宋体" w:hAnsi="宋体" w:cs="宋体"/>
                <w:color w:val="auto"/>
                <w:sz w:val="24"/>
                <w:highlight w:val="none"/>
              </w:rPr>
              <w:t>注：根据财政资金支付计划，2024年安排预算资金417.2万元，其余费用在2025年度予以安排。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自合同签订之日起至2025年6月30日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r>
              <w:rPr>
                <w:rFonts w:ascii="宋体" w:hAnsi="宋体" w:cs="宋体"/>
                <w:color w:val="auto"/>
                <w:sz w:val="24"/>
                <w:highlight w:val="none"/>
              </w:rPr>
              <w:t>项目服务人员考核要求详见采购文件附件《考核</w:t>
            </w:r>
            <w:r>
              <w:rPr>
                <w:rFonts w:hint="eastAsia" w:ascii="宋体" w:hAnsi="宋体" w:cs="宋体"/>
                <w:color w:val="auto"/>
                <w:sz w:val="24"/>
                <w:highlight w:val="none"/>
              </w:rPr>
              <w:t>办法</w:t>
            </w:r>
            <w:r>
              <w:rPr>
                <w:rFonts w:ascii="宋体" w:hAnsi="宋体" w:cs="宋体"/>
                <w:color w:val="auto"/>
                <w:sz w:val="24"/>
                <w:highlight w:val="none"/>
              </w:rPr>
              <w:t>》，人员服务不满足甲方考核要求时，甲方可要求乙方更换不能胜任本职工作的项目服务人员。本合同项下所有乙方应支付的违约金，甲方有权直接从未支付的合同金额中予以扣除，若未支付的合同金额不足以支付违约金的，则由乙方另行补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具有知识产权的计算机软件等标的物的知识产权归属：根据甲方需求定制开发部分的知识产权归甲方所有。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因不可抗力致使合同有变更必要的，双方当事人应在 </w:t>
            </w:r>
            <w:r>
              <w:rPr>
                <w:rFonts w:hint="eastAsia" w:ascii="宋体" w:hAnsi="宋体" w:cs="宋体"/>
                <w:color w:val="auto"/>
                <w:sz w:val="24"/>
                <w:highlight w:val="none"/>
                <w:u w:val="single"/>
              </w:rPr>
              <w:t xml:space="preserve">15 </w:t>
            </w:r>
            <w:r>
              <w:rPr>
                <w:rFonts w:hint="eastAsia" w:ascii="宋体" w:hAnsi="宋体" w:cs="宋体"/>
                <w:color w:val="auto"/>
                <w:sz w:val="24"/>
                <w:highlight w:val="none"/>
              </w:rPr>
              <w:t>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个工作日内以书面形式通知对方当事人，并在</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项目交付前，乙方应对服务的质量、数量等方面进行详细、全面的检验，并向甲方出具证明服务符合合同约定的文件，提出验收申请；甲方根据乙方的验收申请发起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本合同一式陆份，甲方执叁份，乙方执叁份。每份均具有同等法律效力。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rPr>
        <w:t>（如果有）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rPr>
        <w:t>（如果有）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杭州市数据资源管理局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平台资源服务</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算法接入与管理服务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算法资源服务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解析增效服务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智能分析编排服务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资源调度服务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rPr>
              <w:t>智能标注服务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资源调度服务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92"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共享应用服务</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运维基础服务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算法共享应用服务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事件共享应用服务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视频快速调阅应用服务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视频共享管控应用服务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地图数据服务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数据同步服务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992"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基础设施与安全保障服务</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计算资源服务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事件存储服务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边界安全保障服务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视频安全保障服务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92"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运维运营服务</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安全检测/运维服务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自合同签订之日起至2025年6月30日</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92" w:type="dxa"/>
            <w:vMerge w:val="continue"/>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驻场服务</w:t>
            </w: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hAnsi="宋体" w:cs="宋体"/>
                <w:bCs/>
                <w:color w:val="auto"/>
                <w:highlight w:val="none"/>
              </w:rPr>
            </w:pPr>
            <w:r>
              <w:rPr>
                <w:rFonts w:hint="eastAsia" w:hAnsi="宋体" w:cs="宋体"/>
                <w:bCs/>
                <w:color w:val="auto"/>
                <w:highlight w:val="none"/>
              </w:rPr>
              <w:t>12个月</w:t>
            </w: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pPr>
        <w:spacing w:line="360" w:lineRule="auto"/>
        <w:ind w:firstLine="482" w:firstLineChars="200"/>
        <w:rPr>
          <w:rFonts w:ascii="宋体" w:hAnsi="宋体" w:cs="宋体"/>
          <w:b/>
          <w:color w:val="auto"/>
          <w:sz w:val="24"/>
          <w:highlight w:val="none"/>
        </w:rPr>
      </w:pPr>
    </w:p>
    <w:p>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杭州市数据资源管理局</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杭州城市大脑智能化体系建设项目标段三——视觉智能中心</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杭州市数据资源管理局</w:t>
      </w:r>
      <w:r>
        <w:rPr>
          <w:rFonts w:hint="eastAsia" w:ascii="宋体" w:hAnsi="宋体" w:cs="宋体"/>
          <w:color w:val="auto"/>
          <w:sz w:val="24"/>
          <w:highlight w:val="none"/>
          <w:u w:val="single"/>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杭州城市大脑智能化体系建设项目标段三——视觉智能中心</w:t>
      </w:r>
      <w:r>
        <w:rPr>
          <w:rFonts w:hint="eastAsia" w:ascii="宋体" w:hAnsi="宋体" w:cs="宋体"/>
          <w:color w:val="auto"/>
          <w:sz w:val="24"/>
          <w:highlight w:val="none"/>
        </w:rPr>
        <w:t>【招标编号：</w:t>
      </w:r>
      <w:r>
        <w:rPr>
          <w:rFonts w:hint="eastAsia" w:ascii="宋体" w:hAnsi="宋体" w:cs="宋体"/>
          <w:color w:val="auto"/>
          <w:sz w:val="24"/>
          <w:highlight w:val="none"/>
        </w:rPr>
        <w:t>HZZFCG-2024-139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杭州市数据资源管理局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杭州城市大脑智能化体系建设项目标段三——视觉智能中心 </w:t>
      </w:r>
      <w:r>
        <w:rPr>
          <w:rFonts w:hint="eastAsia"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r>
        <w:rPr>
          <w:rFonts w:hint="eastAsia" w:ascii="宋体" w:hAnsi="宋体" w:cs="宋体"/>
          <w:color w:val="auto"/>
          <w:sz w:val="24"/>
          <w:highlight w:val="none"/>
        </w:rPr>
        <w:tab/>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u w:val="single"/>
        </w:rPr>
        <w:t>杭州城市大脑智能化体系建设项目标段三——视觉智能中心</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w:t>
      </w:r>
      <w:r>
        <w:rPr>
          <w:rFonts w:hint="eastAsia" w:ascii="宋体" w:hAnsi="宋体" w:cs="宋体"/>
          <w:color w:val="auto"/>
          <w:sz w:val="24"/>
          <w:highlight w:val="none"/>
        </w:rPr>
        <w:t>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oto Sans SC">
    <w:panose1 w:val="020B05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DB348"/>
    <w:multiLevelType w:val="singleLevel"/>
    <w:tmpl w:val="330DB3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220"/>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0FB"/>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601"/>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089"/>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D90"/>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B34"/>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42E"/>
    <w:rsid w:val="00160A84"/>
    <w:rsid w:val="00161185"/>
    <w:rsid w:val="001620BA"/>
    <w:rsid w:val="001623AC"/>
    <w:rsid w:val="00162BAA"/>
    <w:rsid w:val="00163C40"/>
    <w:rsid w:val="00163CB9"/>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C88"/>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694"/>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67C"/>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852"/>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22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DE5"/>
    <w:rsid w:val="002E672A"/>
    <w:rsid w:val="002E6853"/>
    <w:rsid w:val="002E7EC1"/>
    <w:rsid w:val="002E7EE5"/>
    <w:rsid w:val="002F0323"/>
    <w:rsid w:val="002F0DFB"/>
    <w:rsid w:val="002F134F"/>
    <w:rsid w:val="002F1D0B"/>
    <w:rsid w:val="002F1E1D"/>
    <w:rsid w:val="002F1F02"/>
    <w:rsid w:val="002F27E5"/>
    <w:rsid w:val="002F29C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6E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69"/>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47"/>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1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6DA"/>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8A"/>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75D"/>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2BE"/>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534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7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23F"/>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51D"/>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B88"/>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4EE"/>
    <w:rsid w:val="005E56C9"/>
    <w:rsid w:val="005E5CF7"/>
    <w:rsid w:val="005E5FF0"/>
    <w:rsid w:val="005E642A"/>
    <w:rsid w:val="005E65A7"/>
    <w:rsid w:val="005E6A54"/>
    <w:rsid w:val="005E721E"/>
    <w:rsid w:val="005F0857"/>
    <w:rsid w:val="005F1470"/>
    <w:rsid w:val="005F15A9"/>
    <w:rsid w:val="005F192E"/>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2F18"/>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CEE"/>
    <w:rsid w:val="006661E8"/>
    <w:rsid w:val="00666424"/>
    <w:rsid w:val="006666D5"/>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CFC"/>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DD2"/>
    <w:rsid w:val="00695E6C"/>
    <w:rsid w:val="00695EAC"/>
    <w:rsid w:val="00696AE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2D1"/>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6A3"/>
    <w:rsid w:val="00701C36"/>
    <w:rsid w:val="00701F4C"/>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50"/>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5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DDB"/>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EA1"/>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1FF"/>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3C"/>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39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98"/>
    <w:rsid w:val="008B38AF"/>
    <w:rsid w:val="008B3D7F"/>
    <w:rsid w:val="008B3E1B"/>
    <w:rsid w:val="008B3F4B"/>
    <w:rsid w:val="008B40C0"/>
    <w:rsid w:val="008B48EC"/>
    <w:rsid w:val="008B4AF0"/>
    <w:rsid w:val="008B518E"/>
    <w:rsid w:val="008B527B"/>
    <w:rsid w:val="008B57FF"/>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5A"/>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7D"/>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1BA4"/>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07A"/>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B0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C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57"/>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6F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2EB2"/>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4E97"/>
    <w:rsid w:val="00B35B6D"/>
    <w:rsid w:val="00B35D53"/>
    <w:rsid w:val="00B367C4"/>
    <w:rsid w:val="00B36D3E"/>
    <w:rsid w:val="00B37B8E"/>
    <w:rsid w:val="00B40222"/>
    <w:rsid w:val="00B404C3"/>
    <w:rsid w:val="00B41938"/>
    <w:rsid w:val="00B41A04"/>
    <w:rsid w:val="00B42743"/>
    <w:rsid w:val="00B42DB2"/>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10"/>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BD1"/>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F2C"/>
    <w:rsid w:val="00BC25D1"/>
    <w:rsid w:val="00BC2DBD"/>
    <w:rsid w:val="00BC3BCB"/>
    <w:rsid w:val="00BC3CF1"/>
    <w:rsid w:val="00BC4202"/>
    <w:rsid w:val="00BC428A"/>
    <w:rsid w:val="00BC4C40"/>
    <w:rsid w:val="00BC5A29"/>
    <w:rsid w:val="00BC5AE3"/>
    <w:rsid w:val="00BC5BAD"/>
    <w:rsid w:val="00BC692A"/>
    <w:rsid w:val="00BC76C5"/>
    <w:rsid w:val="00BC7F94"/>
    <w:rsid w:val="00BD07CE"/>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32"/>
    <w:rsid w:val="00C316B4"/>
    <w:rsid w:val="00C332D4"/>
    <w:rsid w:val="00C33A66"/>
    <w:rsid w:val="00C33E51"/>
    <w:rsid w:val="00C3477D"/>
    <w:rsid w:val="00C349C9"/>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6BE"/>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292"/>
    <w:rsid w:val="00C643ED"/>
    <w:rsid w:val="00C64534"/>
    <w:rsid w:val="00C645C3"/>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2F"/>
    <w:rsid w:val="00CD1892"/>
    <w:rsid w:val="00CD1C01"/>
    <w:rsid w:val="00CD1D00"/>
    <w:rsid w:val="00CD2009"/>
    <w:rsid w:val="00CD27AC"/>
    <w:rsid w:val="00CD2A82"/>
    <w:rsid w:val="00CD3B05"/>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AF4"/>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25C"/>
    <w:rsid w:val="00DA3C5B"/>
    <w:rsid w:val="00DA3D23"/>
    <w:rsid w:val="00DA4A61"/>
    <w:rsid w:val="00DA5AFE"/>
    <w:rsid w:val="00DA61AB"/>
    <w:rsid w:val="00DA61CD"/>
    <w:rsid w:val="00DA6DD2"/>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5C"/>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253"/>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1E5"/>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F51"/>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A8"/>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0ED1"/>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C59"/>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ACB"/>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0A048B"/>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23B84"/>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F27819"/>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E487C"/>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D0F4B"/>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DFAA24C"/>
    <w:rsid w:val="2E0220AF"/>
    <w:rsid w:val="2E4B082A"/>
    <w:rsid w:val="2E5D4E86"/>
    <w:rsid w:val="2E5D790B"/>
    <w:rsid w:val="2E9A3C18"/>
    <w:rsid w:val="2EBB0FEE"/>
    <w:rsid w:val="2EC63002"/>
    <w:rsid w:val="2F0A6B38"/>
    <w:rsid w:val="2F946CCB"/>
    <w:rsid w:val="2FBB1A8B"/>
    <w:rsid w:val="2FD25781"/>
    <w:rsid w:val="2FDC745C"/>
    <w:rsid w:val="2FFD7934"/>
    <w:rsid w:val="30733ACD"/>
    <w:rsid w:val="308C3862"/>
    <w:rsid w:val="309379D8"/>
    <w:rsid w:val="30A270F7"/>
    <w:rsid w:val="30DF1478"/>
    <w:rsid w:val="30EC586F"/>
    <w:rsid w:val="319C6071"/>
    <w:rsid w:val="31AC537E"/>
    <w:rsid w:val="31CB4D3A"/>
    <w:rsid w:val="31E3679B"/>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EB7B0B"/>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3BE4"/>
    <w:rsid w:val="3957704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3A6EB5"/>
    <w:rsid w:val="3F6363FE"/>
    <w:rsid w:val="3F756B8F"/>
    <w:rsid w:val="3F7F3E45"/>
    <w:rsid w:val="3F95482B"/>
    <w:rsid w:val="3FD6D170"/>
    <w:rsid w:val="4019356B"/>
    <w:rsid w:val="40592157"/>
    <w:rsid w:val="406E1CAE"/>
    <w:rsid w:val="40A0133A"/>
    <w:rsid w:val="40C31A53"/>
    <w:rsid w:val="40FF545D"/>
    <w:rsid w:val="410067C8"/>
    <w:rsid w:val="418F0D2A"/>
    <w:rsid w:val="41D01505"/>
    <w:rsid w:val="422D0D32"/>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F034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E3B43"/>
    <w:rsid w:val="49B64211"/>
    <w:rsid w:val="49E45F7E"/>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C708B3"/>
    <w:rsid w:val="4E793892"/>
    <w:rsid w:val="4E800872"/>
    <w:rsid w:val="4EC569ED"/>
    <w:rsid w:val="4ED50EA1"/>
    <w:rsid w:val="4EEC050C"/>
    <w:rsid w:val="4F104EC3"/>
    <w:rsid w:val="4F47354A"/>
    <w:rsid w:val="4F5FFCE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A1974"/>
    <w:rsid w:val="59F80043"/>
    <w:rsid w:val="5A09252F"/>
    <w:rsid w:val="5A0B2778"/>
    <w:rsid w:val="5A2A7C7B"/>
    <w:rsid w:val="5A3E2560"/>
    <w:rsid w:val="5A5D3B6E"/>
    <w:rsid w:val="5A637A76"/>
    <w:rsid w:val="5A6D33BA"/>
    <w:rsid w:val="5A792B1F"/>
    <w:rsid w:val="5A874767"/>
    <w:rsid w:val="5A99215C"/>
    <w:rsid w:val="5AA85BE2"/>
    <w:rsid w:val="5AAD6F28"/>
    <w:rsid w:val="5AD63A24"/>
    <w:rsid w:val="5B2E1A1D"/>
    <w:rsid w:val="5B5CF149"/>
    <w:rsid w:val="5B843A1C"/>
    <w:rsid w:val="5B873E3F"/>
    <w:rsid w:val="5BFB9B2A"/>
    <w:rsid w:val="5C02690E"/>
    <w:rsid w:val="5C196DA7"/>
    <w:rsid w:val="5C2A048C"/>
    <w:rsid w:val="5C585E94"/>
    <w:rsid w:val="5C80234E"/>
    <w:rsid w:val="5C8A680C"/>
    <w:rsid w:val="5CC115C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73C8D"/>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E2657"/>
    <w:rsid w:val="62885958"/>
    <w:rsid w:val="62F40B65"/>
    <w:rsid w:val="62FC2CFE"/>
    <w:rsid w:val="63024505"/>
    <w:rsid w:val="635600A5"/>
    <w:rsid w:val="635B1DB5"/>
    <w:rsid w:val="63711FED"/>
    <w:rsid w:val="63880DDC"/>
    <w:rsid w:val="638D750D"/>
    <w:rsid w:val="63AC6CC0"/>
    <w:rsid w:val="64055776"/>
    <w:rsid w:val="64240056"/>
    <w:rsid w:val="643E143A"/>
    <w:rsid w:val="6444261F"/>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EC0E5"/>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7513BB"/>
    <w:rsid w:val="6D9078AF"/>
    <w:rsid w:val="6DAA3FEF"/>
    <w:rsid w:val="6DC0172B"/>
    <w:rsid w:val="6DCB690C"/>
    <w:rsid w:val="6DD41A5B"/>
    <w:rsid w:val="6DEF9122"/>
    <w:rsid w:val="6DF43C2E"/>
    <w:rsid w:val="6DF51CA3"/>
    <w:rsid w:val="6E8335BD"/>
    <w:rsid w:val="6E8E12EF"/>
    <w:rsid w:val="6E972936"/>
    <w:rsid w:val="6ED446C5"/>
    <w:rsid w:val="6F2A7D94"/>
    <w:rsid w:val="6F8331F1"/>
    <w:rsid w:val="6FAE1A09"/>
    <w:rsid w:val="6FB86358"/>
    <w:rsid w:val="6FD75BF8"/>
    <w:rsid w:val="707723D0"/>
    <w:rsid w:val="707D6A8A"/>
    <w:rsid w:val="70D54510"/>
    <w:rsid w:val="70F5661B"/>
    <w:rsid w:val="71360107"/>
    <w:rsid w:val="713B688E"/>
    <w:rsid w:val="71D43752"/>
    <w:rsid w:val="71F1796A"/>
    <w:rsid w:val="72154626"/>
    <w:rsid w:val="72262B5D"/>
    <w:rsid w:val="72283FF7"/>
    <w:rsid w:val="722E7212"/>
    <w:rsid w:val="723A0474"/>
    <w:rsid w:val="725923E4"/>
    <w:rsid w:val="726E5CBB"/>
    <w:rsid w:val="72864BF7"/>
    <w:rsid w:val="729023FC"/>
    <w:rsid w:val="737721B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37AB3"/>
    <w:rsid w:val="76BB1887"/>
    <w:rsid w:val="76C87133"/>
    <w:rsid w:val="76CD08D5"/>
    <w:rsid w:val="76CEC94D"/>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F1127"/>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DFFE38"/>
    <w:rsid w:val="7FFE0F09"/>
    <w:rsid w:val="BB7FA927"/>
    <w:rsid w:val="BE7FFFF7"/>
    <w:rsid w:val="BEE7B6B7"/>
    <w:rsid w:val="D6DE5EB8"/>
    <w:rsid w:val="DFEB6EF6"/>
    <w:rsid w:val="DFF1FB6D"/>
    <w:rsid w:val="EBA63247"/>
    <w:rsid w:val="F5FFD31F"/>
    <w:rsid w:val="F8E75983"/>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80"/>
    <w:qFormat/>
    <w:uiPriority w:val="0"/>
    <w:pPr>
      <w:spacing w:before="312" w:beforeLines="100"/>
      <w:jc w:val="left"/>
    </w:p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标题3"/>
    <w:basedOn w:val="1"/>
    <w:next w:val="1"/>
    <w:qFormat/>
    <w:uiPriority w:val="0"/>
    <w:pPr>
      <w:adjustRightInd/>
      <w:spacing w:before="50" w:beforeLines="50" w:after="50" w:afterLines="50" w:line="360" w:lineRule="auto"/>
      <w:jc w:val="left"/>
      <w:outlineLvl w:val="2"/>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60851</Words>
  <Characters>64259</Characters>
  <Lines>529</Lines>
  <Paragraphs>148</Paragraphs>
  <TotalTime>19</TotalTime>
  <ScaleCrop>false</ScaleCrop>
  <LinksUpToDate>false</LinksUpToDate>
  <CharactersWithSpaces>69873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2024-06-24T09:14:00Z</dcterms:created>
  <dc:creator>玥</dc:creator>
  <cp:lastModifiedBy>Administrator</cp:lastModifiedBy>
  <cp:lastPrinted>2021-12-31T03:06:00Z</cp:lastPrinted>
  <dcterms:modified xsi:type="dcterms:W3CDTF">2024-06-28T10:49:44Z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5785BF55D476151FA7285D664827DC0B_43</vt:lpwstr>
  </property>
</Properties>
</file>