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9970A">
      <w:pPr>
        <w:spacing w:line="360" w:lineRule="auto"/>
        <w:jc w:val="center"/>
        <w:rPr>
          <w:rFonts w:ascii="宋体" w:hAnsi="宋体" w:cs="宋体"/>
          <w:b/>
          <w:color w:val="auto"/>
          <w:sz w:val="24"/>
          <w:highlight w:val="none"/>
        </w:rPr>
      </w:pPr>
    </w:p>
    <w:p w14:paraId="4E675083">
      <w:pPr>
        <w:spacing w:line="360" w:lineRule="auto"/>
        <w:jc w:val="center"/>
        <w:rPr>
          <w:rFonts w:ascii="宋体" w:hAnsi="宋体" w:cs="宋体"/>
          <w:b/>
          <w:color w:val="auto"/>
          <w:sz w:val="24"/>
          <w:highlight w:val="none"/>
        </w:rPr>
      </w:pPr>
    </w:p>
    <w:p w14:paraId="2961DB8B">
      <w:pPr>
        <w:adjustRightInd/>
        <w:spacing w:line="360" w:lineRule="auto"/>
        <w:jc w:val="center"/>
        <w:rPr>
          <w:rFonts w:ascii="宋体" w:hAnsi="宋体" w:cs="宋体"/>
          <w:b/>
          <w:color w:val="auto"/>
          <w:sz w:val="44"/>
          <w:szCs w:val="44"/>
          <w:highlight w:val="none"/>
        </w:rPr>
      </w:pPr>
    </w:p>
    <w:p w14:paraId="3ABA2DE3">
      <w:pPr>
        <w:adjustRightInd/>
        <w:spacing w:line="360" w:lineRule="auto"/>
        <w:jc w:val="center"/>
        <w:rPr>
          <w:rFonts w:hint="eastAsia" w:cs="宋体" w:asciiTheme="minorEastAsia" w:hAnsiTheme="minorEastAsia" w:eastAsiaTheme="minorEastAsia"/>
          <w:b/>
          <w:color w:val="auto"/>
          <w:sz w:val="48"/>
          <w:szCs w:val="48"/>
          <w:highlight w:val="none"/>
          <w:lang w:eastAsia="zh-CN"/>
        </w:rPr>
      </w:pPr>
      <w:r>
        <w:rPr>
          <w:rFonts w:hint="eastAsia" w:cs="宋体" w:asciiTheme="minorEastAsia" w:hAnsiTheme="minorEastAsia" w:eastAsiaTheme="minorEastAsia"/>
          <w:b/>
          <w:color w:val="auto"/>
          <w:sz w:val="48"/>
          <w:szCs w:val="48"/>
          <w:highlight w:val="none"/>
        </w:rPr>
        <w:t>杭州市</w:t>
      </w:r>
      <w:r>
        <w:rPr>
          <w:rFonts w:hint="eastAsia" w:cs="宋体" w:asciiTheme="minorEastAsia" w:hAnsiTheme="minorEastAsia" w:eastAsiaTheme="minorEastAsia"/>
          <w:b/>
          <w:color w:val="auto"/>
          <w:sz w:val="48"/>
          <w:szCs w:val="48"/>
          <w:highlight w:val="none"/>
          <w:lang w:eastAsia="zh-CN"/>
        </w:rPr>
        <w:t>2025至2026年度</w:t>
      </w:r>
    </w:p>
    <w:p w14:paraId="14E031CC">
      <w:pPr>
        <w:adjustRightInd/>
        <w:spacing w:line="360" w:lineRule="auto"/>
        <w:jc w:val="center"/>
        <w:rPr>
          <w:rFonts w:cs="宋体" w:asciiTheme="minorEastAsia" w:hAnsiTheme="minorEastAsia" w:eastAsiaTheme="minorEastAsia"/>
          <w:b/>
          <w:color w:val="auto"/>
          <w:sz w:val="48"/>
          <w:szCs w:val="48"/>
          <w:highlight w:val="none"/>
        </w:rPr>
      </w:pPr>
      <w:r>
        <w:rPr>
          <w:rFonts w:hint="eastAsia" w:cs="宋体" w:asciiTheme="minorEastAsia" w:hAnsiTheme="minorEastAsia" w:eastAsiaTheme="minorEastAsia"/>
          <w:b/>
          <w:color w:val="auto"/>
          <w:sz w:val="48"/>
          <w:szCs w:val="48"/>
          <w:highlight w:val="none"/>
        </w:rPr>
        <w:t>数字城管信息采集项目</w:t>
      </w:r>
    </w:p>
    <w:p w14:paraId="0387BA6E">
      <w:pPr>
        <w:adjustRightInd/>
        <w:spacing w:line="360" w:lineRule="auto"/>
        <w:jc w:val="center"/>
        <w:rPr>
          <w:rFonts w:hint="eastAsia" w:ascii="宋体" w:hAnsi="宋体" w:cs="宋体"/>
          <w:color w:val="auto"/>
          <w:sz w:val="48"/>
          <w:szCs w:val="48"/>
          <w:highlight w:val="none"/>
        </w:rPr>
      </w:pPr>
      <w:r>
        <w:rPr>
          <w:rFonts w:hint="eastAsia" w:cs="宋体" w:asciiTheme="minorEastAsia" w:hAnsiTheme="minorEastAsia" w:eastAsiaTheme="minorEastAsia"/>
          <w:color w:val="auto"/>
          <w:sz w:val="48"/>
          <w:szCs w:val="48"/>
          <w:highlight w:val="none"/>
          <w:lang w:val="en-US"/>
        </w:rPr>
        <w:t>（</w:t>
      </w:r>
      <w:r>
        <w:rPr>
          <w:rFonts w:hint="eastAsia" w:cs="宋体" w:asciiTheme="minorEastAsia" w:hAnsiTheme="minorEastAsia" w:eastAsiaTheme="minorEastAsia"/>
          <w:color w:val="auto"/>
          <w:sz w:val="48"/>
          <w:szCs w:val="48"/>
          <w:highlight w:val="none"/>
          <w:lang w:val="en-US" w:eastAsia="zh-CN"/>
        </w:rPr>
        <w:t>拱墅区标项一</w:t>
      </w:r>
      <w:r>
        <w:rPr>
          <w:rFonts w:hint="eastAsia" w:cs="宋体" w:asciiTheme="minorEastAsia" w:hAnsiTheme="minorEastAsia" w:eastAsiaTheme="minorEastAsia"/>
          <w:color w:val="auto"/>
          <w:sz w:val="48"/>
          <w:szCs w:val="48"/>
          <w:highlight w:val="none"/>
          <w:lang w:val="en-US"/>
        </w:rPr>
        <w:t>）</w:t>
      </w:r>
    </w:p>
    <w:p w14:paraId="58A0F77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F874A4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7C326E">
      <w:pPr>
        <w:snapToGri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HZZFCG-2024-258</w:t>
      </w:r>
    </w:p>
    <w:p w14:paraId="39290F40">
      <w:pPr>
        <w:adjustRightInd/>
        <w:spacing w:line="360" w:lineRule="auto"/>
        <w:rPr>
          <w:rFonts w:ascii="宋体" w:hAnsi="宋体" w:cs="宋体"/>
          <w:color w:val="auto"/>
          <w:sz w:val="24"/>
          <w:szCs w:val="18"/>
          <w:highlight w:val="none"/>
        </w:rPr>
      </w:pPr>
    </w:p>
    <w:p w14:paraId="32018288">
      <w:pPr>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 xml:space="preserve"> </w:t>
      </w:r>
    </w:p>
    <w:p w14:paraId="2427C74C">
      <w:pPr>
        <w:spacing w:line="360" w:lineRule="auto"/>
        <w:jc w:val="center"/>
        <w:rPr>
          <w:rFonts w:ascii="宋体" w:hAnsi="宋体" w:cs="宋体"/>
          <w:b/>
          <w:color w:val="auto"/>
          <w:sz w:val="40"/>
          <w:szCs w:val="40"/>
          <w:highlight w:val="none"/>
        </w:rPr>
      </w:pPr>
    </w:p>
    <w:p w14:paraId="6EA979B6">
      <w:pPr>
        <w:spacing w:line="360" w:lineRule="auto"/>
        <w:jc w:val="center"/>
        <w:rPr>
          <w:rFonts w:ascii="宋体" w:hAnsi="宋体" w:cs="宋体"/>
          <w:color w:val="auto"/>
          <w:sz w:val="22"/>
          <w:szCs w:val="22"/>
          <w:highlight w:val="none"/>
        </w:rPr>
      </w:pPr>
    </w:p>
    <w:p w14:paraId="3286A5D1">
      <w:pPr>
        <w:spacing w:line="360" w:lineRule="auto"/>
        <w:jc w:val="center"/>
        <w:rPr>
          <w:rFonts w:ascii="宋体" w:hAnsi="宋体" w:cs="宋体"/>
          <w:color w:val="auto"/>
          <w:sz w:val="22"/>
          <w:szCs w:val="22"/>
          <w:highlight w:val="none"/>
        </w:rPr>
      </w:pPr>
    </w:p>
    <w:p w14:paraId="09F7CE98">
      <w:pPr>
        <w:spacing w:line="360" w:lineRule="auto"/>
        <w:rPr>
          <w:rFonts w:ascii="宋体" w:hAnsi="宋体" w:cs="宋体"/>
          <w:color w:val="auto"/>
          <w:sz w:val="32"/>
          <w:szCs w:val="32"/>
          <w:highlight w:val="none"/>
        </w:rPr>
      </w:pPr>
    </w:p>
    <w:p w14:paraId="5A8417C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杭州市城市管理指挥保障中心</w:t>
      </w:r>
    </w:p>
    <w:p w14:paraId="22D3FF0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49BB4F0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2D2A7E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4745A73">
      <w:pPr>
        <w:pStyle w:val="636"/>
        <w:rPr>
          <w:color w:val="auto"/>
          <w:highlight w:val="none"/>
        </w:rPr>
      </w:pPr>
    </w:p>
    <w:p w14:paraId="22B46E7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3064385">
      <w:pPr>
        <w:spacing w:line="360" w:lineRule="auto"/>
        <w:rPr>
          <w:rFonts w:ascii="宋体" w:hAnsi="宋体" w:cs="宋体"/>
          <w:color w:val="auto"/>
          <w:sz w:val="32"/>
          <w:szCs w:val="32"/>
          <w:highlight w:val="none"/>
        </w:rPr>
      </w:pPr>
    </w:p>
    <w:p w14:paraId="3CF09DBF">
      <w:pPr>
        <w:spacing w:line="360" w:lineRule="auto"/>
        <w:rPr>
          <w:rFonts w:ascii="宋体" w:hAnsi="宋体" w:cs="宋体"/>
          <w:color w:val="auto"/>
          <w:sz w:val="32"/>
          <w:szCs w:val="32"/>
          <w:highlight w:val="none"/>
        </w:rPr>
      </w:pPr>
    </w:p>
    <w:p w14:paraId="0AE82D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2F649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2D813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06EBC9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1F1ACC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07027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49FFE2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BCD4281">
      <w:pPr>
        <w:spacing w:line="360" w:lineRule="auto"/>
        <w:ind w:firstLine="549" w:firstLineChars="229"/>
        <w:rPr>
          <w:rFonts w:ascii="宋体" w:hAnsi="宋体" w:cs="宋体"/>
          <w:color w:val="auto"/>
          <w:sz w:val="24"/>
          <w:highlight w:val="none"/>
        </w:rPr>
      </w:pPr>
    </w:p>
    <w:p w14:paraId="63B7F64D">
      <w:pPr>
        <w:spacing w:line="360" w:lineRule="auto"/>
        <w:ind w:firstLine="549" w:firstLineChars="229"/>
        <w:rPr>
          <w:rFonts w:ascii="宋体" w:hAnsi="宋体" w:cs="宋体"/>
          <w:color w:val="auto"/>
          <w:sz w:val="24"/>
          <w:highlight w:val="none"/>
        </w:rPr>
      </w:pPr>
    </w:p>
    <w:p w14:paraId="20F83DA6">
      <w:pPr>
        <w:spacing w:line="360" w:lineRule="auto"/>
        <w:ind w:firstLine="549" w:firstLineChars="229"/>
        <w:rPr>
          <w:rFonts w:ascii="宋体" w:hAnsi="宋体" w:cs="宋体"/>
          <w:color w:val="auto"/>
          <w:sz w:val="24"/>
          <w:highlight w:val="none"/>
        </w:rPr>
      </w:pPr>
    </w:p>
    <w:p w14:paraId="3F6DD990">
      <w:pPr>
        <w:spacing w:line="360" w:lineRule="auto"/>
        <w:ind w:firstLine="549" w:firstLineChars="229"/>
        <w:rPr>
          <w:rFonts w:ascii="宋体" w:hAnsi="宋体" w:cs="宋体"/>
          <w:color w:val="auto"/>
          <w:sz w:val="24"/>
          <w:highlight w:val="none"/>
        </w:rPr>
      </w:pPr>
    </w:p>
    <w:p w14:paraId="3EC22F17">
      <w:pPr>
        <w:spacing w:line="360" w:lineRule="auto"/>
        <w:ind w:firstLine="549" w:firstLineChars="229"/>
        <w:rPr>
          <w:rFonts w:ascii="宋体" w:hAnsi="宋体" w:cs="宋体"/>
          <w:color w:val="auto"/>
          <w:sz w:val="24"/>
          <w:highlight w:val="none"/>
        </w:rPr>
      </w:pPr>
    </w:p>
    <w:p w14:paraId="650D9D3F">
      <w:pPr>
        <w:spacing w:line="360" w:lineRule="auto"/>
        <w:ind w:firstLine="549" w:firstLineChars="229"/>
        <w:rPr>
          <w:rFonts w:ascii="宋体" w:hAnsi="宋体" w:cs="宋体"/>
          <w:color w:val="auto"/>
          <w:sz w:val="24"/>
          <w:highlight w:val="none"/>
        </w:rPr>
      </w:pPr>
    </w:p>
    <w:p w14:paraId="6878BEE3">
      <w:pPr>
        <w:spacing w:line="360" w:lineRule="auto"/>
        <w:ind w:firstLine="549" w:firstLineChars="229"/>
        <w:rPr>
          <w:rFonts w:ascii="宋体" w:hAnsi="宋体" w:cs="宋体"/>
          <w:color w:val="auto"/>
          <w:sz w:val="24"/>
          <w:highlight w:val="none"/>
        </w:rPr>
      </w:pPr>
    </w:p>
    <w:p w14:paraId="3C3ADC68">
      <w:pPr>
        <w:spacing w:line="360" w:lineRule="auto"/>
        <w:ind w:firstLine="549" w:firstLineChars="229"/>
        <w:rPr>
          <w:rFonts w:ascii="宋体" w:hAnsi="宋体" w:cs="宋体"/>
          <w:color w:val="auto"/>
          <w:sz w:val="24"/>
          <w:highlight w:val="none"/>
        </w:rPr>
      </w:pPr>
    </w:p>
    <w:p w14:paraId="04F8F62D">
      <w:pPr>
        <w:spacing w:line="360" w:lineRule="auto"/>
        <w:ind w:firstLine="549" w:firstLineChars="229"/>
        <w:rPr>
          <w:rFonts w:ascii="宋体" w:hAnsi="宋体" w:cs="宋体"/>
          <w:color w:val="auto"/>
          <w:sz w:val="24"/>
          <w:highlight w:val="none"/>
        </w:rPr>
      </w:pPr>
    </w:p>
    <w:p w14:paraId="55631C24">
      <w:pPr>
        <w:spacing w:line="360" w:lineRule="auto"/>
        <w:ind w:firstLine="549" w:firstLineChars="229"/>
        <w:rPr>
          <w:rFonts w:ascii="宋体" w:hAnsi="宋体" w:cs="宋体"/>
          <w:color w:val="auto"/>
          <w:sz w:val="24"/>
          <w:highlight w:val="none"/>
        </w:rPr>
      </w:pPr>
    </w:p>
    <w:p w14:paraId="3E86CE4E">
      <w:pPr>
        <w:spacing w:line="360" w:lineRule="auto"/>
        <w:ind w:firstLine="549" w:firstLineChars="229"/>
        <w:rPr>
          <w:rFonts w:ascii="宋体" w:hAnsi="宋体" w:cs="宋体"/>
          <w:color w:val="auto"/>
          <w:sz w:val="24"/>
          <w:highlight w:val="none"/>
        </w:rPr>
      </w:pPr>
    </w:p>
    <w:p w14:paraId="6A97B0ED">
      <w:pPr>
        <w:spacing w:line="360" w:lineRule="auto"/>
        <w:ind w:firstLine="549" w:firstLineChars="229"/>
        <w:rPr>
          <w:rFonts w:ascii="宋体" w:hAnsi="宋体" w:cs="宋体"/>
          <w:color w:val="auto"/>
          <w:sz w:val="24"/>
          <w:highlight w:val="none"/>
        </w:rPr>
      </w:pPr>
    </w:p>
    <w:p w14:paraId="18A63B56">
      <w:pPr>
        <w:spacing w:line="360" w:lineRule="auto"/>
        <w:rPr>
          <w:rFonts w:ascii="宋体" w:hAnsi="宋体" w:cs="宋体"/>
          <w:color w:val="auto"/>
          <w:sz w:val="24"/>
          <w:highlight w:val="none"/>
        </w:rPr>
      </w:pPr>
    </w:p>
    <w:p w14:paraId="3AFCEF4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2CEC8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38240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杭州市2025至2026年度数字城管信息采集项目（拱墅区标项一）</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536B1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0BDFE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HZZFCG-2024-258</w:t>
      </w:r>
    </w:p>
    <w:p w14:paraId="0F2AAED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杭州市2025至2026年度数字城管信息采集项目（拱墅区标项一）</w:t>
      </w:r>
    </w:p>
    <w:p w14:paraId="7897FD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9100000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其中2025年度预算金额4550000元；2026年度预算金额4550000元）</w:t>
      </w:r>
    </w:p>
    <w:p w14:paraId="269EC06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9100000</w:t>
      </w:r>
    </w:p>
    <w:p w14:paraId="493F99C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杭州市2025至2026年度数字城管信息采集项目（拱墅区标项一）</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该项目是本着信息采集“政府花钱买服务”“养事不养人”的原则，将</w:t>
      </w:r>
      <w:r>
        <w:rPr>
          <w:rFonts w:hint="eastAsia" w:cs="宋体" w:asciiTheme="minorEastAsia" w:hAnsiTheme="minorEastAsia" w:eastAsiaTheme="minorEastAsia"/>
          <w:color w:val="auto"/>
          <w:sz w:val="24"/>
          <w:highlight w:val="none"/>
          <w:lang w:eastAsia="zh-CN"/>
        </w:rPr>
        <w:t>拱墅区标项一</w:t>
      </w:r>
      <w:r>
        <w:rPr>
          <w:rFonts w:hint="eastAsia" w:cs="宋体" w:asciiTheme="minorEastAsia" w:hAnsiTheme="minorEastAsia" w:eastAsiaTheme="minorEastAsia"/>
          <w:color w:val="auto"/>
          <w:sz w:val="24"/>
          <w:highlight w:val="none"/>
        </w:rPr>
        <w:t>数字城管覆盖范围内（</w:t>
      </w:r>
      <w:r>
        <w:rPr>
          <w:rFonts w:hint="eastAsia" w:asciiTheme="minorEastAsia" w:hAnsiTheme="minorEastAsia" w:eastAsiaTheme="minorEastAsia"/>
          <w:snapToGrid/>
          <w:color w:val="auto"/>
          <w:kern w:val="2"/>
          <w:sz w:val="24"/>
          <w:szCs w:val="24"/>
          <w:highlight w:val="none"/>
        </w:rPr>
        <w:t>拱墅区行政区划内上塘河、长板巷、古河巷、叶青兜路、运河、环城北路、环城西路以东区域，包括潮鸣街道、长庆街道、武林街道、天水街道、朝晖街道、文晖街道、东新街道、石桥街道</w:t>
      </w:r>
      <w:r>
        <w:rPr>
          <w:rFonts w:asciiTheme="minorEastAsia" w:hAnsiTheme="minorEastAsia" w:eastAsiaTheme="minorEastAsia"/>
          <w:snapToGrid/>
          <w:color w:val="auto"/>
          <w:kern w:val="2"/>
          <w:sz w:val="24"/>
          <w:szCs w:val="24"/>
          <w:highlight w:val="none"/>
        </w:rPr>
        <w:t>8</w:t>
      </w:r>
      <w:r>
        <w:rPr>
          <w:rFonts w:hint="eastAsia" w:asciiTheme="minorEastAsia" w:hAnsiTheme="minorEastAsia" w:eastAsiaTheme="minorEastAsia"/>
          <w:snapToGrid/>
          <w:color w:val="auto"/>
          <w:kern w:val="2"/>
          <w:sz w:val="24"/>
          <w:szCs w:val="24"/>
          <w:highlight w:val="none"/>
        </w:rPr>
        <w:t>个街道</w:t>
      </w:r>
      <w:r>
        <w:rPr>
          <w:rFonts w:hint="eastAsia" w:cs="宋体" w:asciiTheme="minorEastAsia" w:hAnsiTheme="minorEastAsia" w:eastAsiaTheme="minorEastAsia"/>
          <w:color w:val="auto"/>
          <w:sz w:val="24"/>
          <w:highlight w:val="none"/>
        </w:rPr>
        <w:t>）的</w:t>
      </w:r>
      <w:r>
        <w:rPr>
          <w:rFonts w:hint="eastAsia" w:asciiTheme="minorEastAsia" w:hAnsiTheme="minorEastAsia" w:eastAsiaTheme="minorEastAsia"/>
          <w:snapToGrid/>
          <w:color w:val="auto"/>
          <w:kern w:val="2"/>
          <w:sz w:val="24"/>
          <w:szCs w:val="24"/>
          <w:highlight w:val="none"/>
        </w:rPr>
        <w:t>城市</w:t>
      </w:r>
      <w:r>
        <w:rPr>
          <w:rFonts w:hint="eastAsia" w:asciiTheme="minorEastAsia" w:hAnsiTheme="minorEastAsia" w:eastAsiaTheme="minorEastAsia"/>
          <w:snapToGrid/>
          <w:color w:val="auto"/>
          <w:kern w:val="2"/>
          <w:sz w:val="24"/>
          <w:szCs w:val="24"/>
          <w:highlight w:val="none"/>
          <w:lang w:eastAsia="zh-CN"/>
        </w:rPr>
        <w:t>管理</w:t>
      </w:r>
      <w:r>
        <w:rPr>
          <w:rFonts w:hint="eastAsia" w:asciiTheme="minorEastAsia" w:hAnsiTheme="minorEastAsia" w:eastAsiaTheme="minorEastAsia"/>
          <w:snapToGrid/>
          <w:color w:val="auto"/>
          <w:kern w:val="2"/>
          <w:sz w:val="24"/>
          <w:szCs w:val="24"/>
          <w:highlight w:val="none"/>
        </w:rPr>
        <w:t>事、部件</w:t>
      </w:r>
      <w:r>
        <w:rPr>
          <w:rFonts w:hint="eastAsia" w:asciiTheme="minorEastAsia" w:hAnsiTheme="minorEastAsia" w:eastAsiaTheme="minorEastAsia"/>
          <w:snapToGrid/>
          <w:color w:val="auto"/>
          <w:kern w:val="2"/>
          <w:sz w:val="24"/>
          <w:szCs w:val="24"/>
          <w:highlight w:val="none"/>
          <w:lang w:eastAsia="zh-CN"/>
        </w:rPr>
        <w:t>问题进行人工信息采集，</w:t>
      </w:r>
      <w:r>
        <w:rPr>
          <w:rFonts w:hint="eastAsia" w:asciiTheme="minorEastAsia" w:hAnsiTheme="minorEastAsia" w:eastAsiaTheme="minorEastAsia"/>
          <w:snapToGrid/>
          <w:color w:val="auto"/>
          <w:kern w:val="2"/>
          <w:sz w:val="24"/>
          <w:szCs w:val="24"/>
          <w:highlight w:val="none"/>
        </w:rPr>
        <w:t>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定时、全面、公正、及时地监管和有效信息数据采集、准确传输以及核查、核实等，保证城市管理问题的及时、全面发现。</w:t>
      </w:r>
      <w:r>
        <w:rPr>
          <w:rFonts w:hint="eastAsia" w:asciiTheme="minorEastAsia" w:hAnsiTheme="minorEastAsia" w:eastAsiaTheme="minorEastAsia"/>
          <w:snapToGrid/>
          <w:color w:val="auto"/>
          <w:kern w:val="2"/>
          <w:sz w:val="24"/>
          <w:szCs w:val="24"/>
          <w:highlight w:val="none"/>
          <w:lang w:eastAsia="zh-CN"/>
        </w:rPr>
        <w:t>网格数和</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网格数不少于26个。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62</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36小时，提供人员不少于53人。</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须为本公司正式职工。体以招标文件第三部分采购需求为准，供应商可点击本公告下方“浏览采购文件”查看采购需求。</w:t>
      </w:r>
    </w:p>
    <w:p w14:paraId="1841B019">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szCs w:val="24"/>
          <w:highlight w:val="none"/>
          <w:lang w:val="en-US" w:eastAsia="zh-CN"/>
        </w:rPr>
        <w:t>合同签订之日起</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lang w:eastAsia="zh-CN"/>
        </w:rPr>
        <w:t>2026年12月31日，合同一年一签</w:t>
      </w:r>
      <w:r>
        <w:rPr>
          <w:rFonts w:asciiTheme="minorEastAsia" w:hAnsiTheme="minorEastAsia" w:eastAsiaTheme="minorEastAsia"/>
          <w:color w:val="auto"/>
          <w:szCs w:val="24"/>
          <w:highlight w:val="none"/>
        </w:rPr>
        <w:t>。</w:t>
      </w:r>
      <w:r>
        <w:rPr>
          <w:rFonts w:hint="eastAsia" w:asciiTheme="minorEastAsia" w:hAnsiTheme="minorEastAsia" w:eastAsiaTheme="minorEastAsia"/>
          <w:b/>
          <w:bCs/>
          <w:color w:val="auto"/>
          <w:szCs w:val="24"/>
          <w:highlight w:val="none"/>
        </w:rPr>
        <w:t>特别说明：</w:t>
      </w:r>
      <w:r>
        <w:rPr>
          <w:rFonts w:hint="eastAsia" w:asciiTheme="minorEastAsia" w:hAnsiTheme="minorEastAsia" w:eastAsiaTheme="minorEastAsia"/>
          <w:color w:val="auto"/>
          <w:szCs w:val="24"/>
          <w:highlight w:val="none"/>
          <w:lang w:eastAsia="zh-CN"/>
        </w:rPr>
        <w:t>2025年1月1日</w:t>
      </w:r>
      <w:r>
        <w:rPr>
          <w:rFonts w:hint="eastAsia" w:asciiTheme="minorEastAsia" w:hAnsiTheme="minorEastAsia" w:eastAsiaTheme="minorEastAsia"/>
          <w:color w:val="auto"/>
          <w:szCs w:val="24"/>
          <w:highlight w:val="none"/>
        </w:rPr>
        <w:t>至中标人进场服务之日前的空档期</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数字城管信息采集服务由原供应商承担，费用由中标人按本次中标价单日金额乘以实际服务天数，与原供应商结算</w:t>
      </w:r>
      <w:r>
        <w:rPr>
          <w:rFonts w:hint="eastAsia" w:hAnsi="宋体" w:cs="宋体"/>
          <w:bCs/>
          <w:color w:val="auto"/>
          <w:szCs w:val="24"/>
          <w:highlight w:val="none"/>
        </w:rPr>
        <w:t>。</w:t>
      </w:r>
      <w:r>
        <w:rPr>
          <w:rFonts w:ascii="宋体" w:hAnsi="宋体" w:cs="宋体"/>
          <w:color w:val="auto"/>
          <w:highlight w:val="none"/>
        </w:rPr>
        <w:t xml:space="preserve"> </w:t>
      </w:r>
    </w:p>
    <w:p w14:paraId="371E2AB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8132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9B2188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504DB7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B11982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22EBBC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C0FFAF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D25AB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59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8E1A59D">
      <w:pPr>
        <w:spacing w:line="360" w:lineRule="auto"/>
        <w:ind w:firstLine="897" w:firstLineChars="374"/>
        <w:rPr>
          <w:rFonts w:ascii="宋体" w:hAnsi="宋体" w:cs="宋体"/>
          <w:b/>
          <w:bCs/>
          <w:color w:val="auto"/>
          <w:sz w:val="24"/>
          <w:highlight w:val="none"/>
          <w:u w:val="single"/>
        </w:rPr>
      </w:pPr>
      <w:sdt>
        <w:sdtPr>
          <w:rPr>
            <w:rFonts w:hint="eastAsia" w:ascii="宋体" w:hAnsi="宋体" w:cs="宋体"/>
            <w:color w:val="auto"/>
            <w:kern w:val="0"/>
            <w:sz w:val="24"/>
            <w:highlight w:val="none"/>
          </w:rPr>
          <w:id w:val="14746706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354906C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31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1F5E82C6">
      <w:pPr>
        <w:rPr>
          <w:rFonts w:ascii="宋体" w:hAnsi="宋体" w:cs="宋体"/>
          <w:color w:val="auto"/>
          <w:highlight w:val="none"/>
        </w:rPr>
      </w:pPr>
    </w:p>
    <w:p w14:paraId="2CE573A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788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59A2DD8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012B2AF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28DE06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292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7A30977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2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3EA1B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1A286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55A86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CDC39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EDB89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C3FA6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70B4C6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BCE28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56923D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0EAC17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AE604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1F3171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E795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25B77E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B9AEE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FBC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3CDA42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BDCE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37182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8815469">
      <w:pPr>
        <w:spacing w:line="360" w:lineRule="auto"/>
        <w:rPr>
          <w:rFonts w:cs="宋体" w:asciiTheme="minorEastAsia" w:hAnsiTheme="minorEastAsia" w:eastAsiaTheme="minorEastAsia"/>
          <w:color w:val="auto"/>
          <w:sz w:val="24"/>
          <w:highlight w:val="none"/>
        </w:rPr>
      </w:pPr>
      <w:r>
        <w:rPr>
          <w:rFonts w:hint="eastAsia" w:ascii="宋体"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名    称：杭州市城市管理指挥保障中心 </w:t>
      </w:r>
    </w:p>
    <w:p w14:paraId="07A83C1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址：杭州市拱墅区香积寺路302号       </w:t>
      </w:r>
    </w:p>
    <w:p w14:paraId="7615B464">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真：0571-85807208</w:t>
      </w:r>
    </w:p>
    <w:p w14:paraId="1BADB002">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项目联系人（询问）：刘世波 </w:t>
      </w:r>
    </w:p>
    <w:p w14:paraId="27F6E63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项目联系方式（询问）：0571-85800089 </w:t>
      </w:r>
    </w:p>
    <w:p w14:paraId="066F557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w:t>
      </w:r>
      <w:r>
        <w:rPr>
          <w:rFonts w:hint="eastAsia" w:cs="宋体" w:asciiTheme="minorEastAsia" w:hAnsiTheme="minorEastAsia" w:eastAsiaTheme="minorEastAsia"/>
          <w:color w:val="auto"/>
          <w:sz w:val="24"/>
          <w:highlight w:val="none"/>
          <w:lang w:eastAsia="zh-CN"/>
        </w:rPr>
        <w:t>汪洋</w:t>
      </w:r>
      <w:r>
        <w:rPr>
          <w:rFonts w:hint="eastAsia" w:cs="宋体" w:asciiTheme="minorEastAsia" w:hAnsiTheme="minorEastAsia" w:eastAsiaTheme="minorEastAsia"/>
          <w:color w:val="auto"/>
          <w:sz w:val="24"/>
          <w:highlight w:val="none"/>
        </w:rPr>
        <w:t xml:space="preserve">  </w:t>
      </w:r>
    </w:p>
    <w:p w14:paraId="187C56F7">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    质疑联系方式：0571-85807208</w:t>
      </w:r>
      <w:r>
        <w:rPr>
          <w:rFonts w:hint="eastAsia" w:ascii="宋体" w:hAnsi="宋体" w:cs="宋体"/>
          <w:color w:val="auto"/>
          <w:sz w:val="24"/>
          <w:highlight w:val="none"/>
          <w:lang w:val="en-US" w:eastAsia="zh-CN"/>
        </w:rPr>
        <w:t>（请通过以下路径在线提起质疑：政采云-项目采购-询问质疑投诉-质疑列表）</w:t>
      </w:r>
    </w:p>
    <w:p w14:paraId="593796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92F93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5102D04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1AEF1B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0DC79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56ECF3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4A4DEBD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686B29A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1FB7DF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7CBD7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5BD52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2CAFE9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3D67A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C7DD15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2B77F99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FEFDC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A724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6CCD97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423F57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5ACCEC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D1A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30B0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6AA8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8A6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E6BC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F6A1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F6DBE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3EBF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A0F7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5395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4685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917">
            <w:pPr>
              <w:pStyle w:val="3"/>
              <w:rPr>
                <w:color w:val="auto"/>
                <w:highlight w:val="none"/>
                <w:lang w:val="en-US"/>
              </w:rPr>
            </w:pPr>
            <w:r>
              <w:rPr>
                <w:rFonts w:hint="eastAsia" w:ascii="宋体" w:hAnsi="宋体" w:eastAsia="宋体" w:cs="宋体"/>
                <w:color w:val="auto"/>
                <w:kern w:val="0"/>
                <w:sz w:val="24"/>
                <w:highlight w:val="none"/>
              </w:rPr>
              <w:t>标的：</w:t>
            </w:r>
            <w:r>
              <w:rPr>
                <w:rFonts w:hint="eastAsia" w:ascii="宋体" w:hAnsi="宋体" w:eastAsia="宋体" w:cs="宋体"/>
                <w:b w:val="0"/>
                <w:bCs w:val="0"/>
                <w:color w:val="auto"/>
                <w:kern w:val="0"/>
                <w:sz w:val="24"/>
                <w:highlight w:val="none"/>
                <w:u w:val="single"/>
              </w:rPr>
              <w:t>杭州市数字城管信息采集</w:t>
            </w:r>
            <w:r>
              <w:rPr>
                <w:rFonts w:hint="eastAsia" w:ascii="宋体" w:hAnsi="宋体" w:eastAsia="宋体" w:cs="宋体"/>
                <w:b w:val="0"/>
                <w:bCs w:val="0"/>
                <w:color w:val="auto"/>
                <w:kern w:val="0"/>
                <w:sz w:val="24"/>
                <w:highlight w:val="none"/>
              </w:rPr>
              <w:t>，</w:t>
            </w:r>
            <w:r>
              <w:rPr>
                <w:rFonts w:hint="eastAsia" w:ascii="宋体" w:hAnsi="宋体" w:eastAsia="宋体" w:cs="宋体"/>
                <w:b/>
                <w:bCs/>
                <w:color w:val="auto"/>
                <w:kern w:val="0"/>
                <w:sz w:val="24"/>
                <w:highlight w:val="none"/>
              </w:rPr>
              <w:t>属于</w:t>
            </w:r>
            <w:r>
              <w:rPr>
                <w:rFonts w:hint="eastAsia" w:ascii="宋体" w:hAnsi="宋体" w:eastAsia="宋体" w:cs="宋体"/>
                <w:b/>
                <w:bCs/>
                <w:color w:val="auto"/>
                <w:kern w:val="0"/>
                <w:sz w:val="24"/>
                <w:highlight w:val="none"/>
                <w:lang w:eastAsia="zh-CN"/>
              </w:rPr>
              <w:t>：</w:t>
            </w:r>
            <w:r>
              <w:rPr>
                <w:rFonts w:hint="eastAsia" w:ascii="宋体" w:hAnsi="宋体" w:eastAsia="宋体" w:cs="宋体"/>
                <w:b w:val="0"/>
                <w:bCs w:val="0"/>
                <w:color w:val="auto"/>
                <w:kern w:val="0"/>
                <w:sz w:val="24"/>
                <w:highlight w:val="none"/>
                <w:u w:val="single"/>
              </w:rPr>
              <w:t>其他未列明</w:t>
            </w:r>
            <w:r>
              <w:rPr>
                <w:rFonts w:hint="eastAsia" w:ascii="宋体" w:hAnsi="宋体" w:eastAsia="宋体" w:cs="宋体"/>
                <w:b w:val="0"/>
                <w:bCs w:val="0"/>
                <w:color w:val="auto"/>
                <w:kern w:val="0"/>
                <w:sz w:val="24"/>
                <w:highlight w:val="none"/>
                <w:u w:val="none"/>
              </w:rPr>
              <w:t>行业</w:t>
            </w:r>
            <w:r>
              <w:rPr>
                <w:rFonts w:hint="eastAsia" w:ascii="宋体" w:hAnsi="宋体" w:eastAsia="宋体" w:cs="宋体"/>
                <w:color w:val="auto"/>
                <w:kern w:val="0"/>
                <w:sz w:val="24"/>
                <w:highlight w:val="none"/>
              </w:rPr>
              <w:t>；</w:t>
            </w:r>
          </w:p>
        </w:tc>
      </w:tr>
      <w:tr w14:paraId="3C4E6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46E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A13D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A2CAC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30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37D6F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772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7B4C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8AAA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F79B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DD36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上岗业务培训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652299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0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FA0919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790F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7628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5773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34D3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56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83B60B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9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7F13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E02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00C6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16B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99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5170D4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2A34A1D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754FF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3D630C">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1BDE32C9">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732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435D51D7">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81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B9A995">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639AF3F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C55A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B9657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ED1DE7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9A31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18A0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76997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E44EF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2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8616AF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25F634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D5904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2A4F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C331B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45C0C3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color w:val="auto"/>
                <w:kern w:val="0"/>
                <w:sz w:val="24"/>
                <w:highlight w:val="none"/>
              </w:rPr>
              <w:t>。</w:t>
            </w:r>
          </w:p>
        </w:tc>
      </w:tr>
      <w:tr w14:paraId="0D888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E180B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99255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169D7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5ECF04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C8D8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3434D9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BCFFD9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C1C8B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8DC6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DD7A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F59B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477CF">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E63D056">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CC6ED37">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09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0525B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7227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514B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9CC82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EDA0C8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44993F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D2797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B0072B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E5DDD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4535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101A92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9B0A1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C2BC66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04A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3337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8E5B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3FC69">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9636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472C5E3">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4FA6EC8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006D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9FC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8E3678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732BB8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CB514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67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E5BD32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393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74D0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EBD606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67506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3F5A7">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161BB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5D00D25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360D2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31F513">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E5C1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17F9E86A">
            <w:pPr>
              <w:snapToGrid w:val="0"/>
              <w:spacing w:line="360" w:lineRule="auto"/>
              <w:jc w:val="center"/>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502C6D5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本次预算涉及期限</w:t>
            </w:r>
          </w:p>
        </w:tc>
        <w:tc>
          <w:tcPr>
            <w:tcW w:w="6095" w:type="dxa"/>
            <w:tcBorders>
              <w:top w:val="single" w:color="000000" w:sz="8" w:space="0"/>
              <w:left w:val="single" w:color="000000" w:sz="8" w:space="0"/>
              <w:bottom w:val="single" w:color="000000" w:sz="8" w:space="0"/>
              <w:right w:val="single" w:color="000000" w:sz="8" w:space="0"/>
            </w:tcBorders>
            <w:vAlign w:val="center"/>
          </w:tcPr>
          <w:p w14:paraId="6FFD0970">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本次预算涉及期限：</w:t>
            </w:r>
            <w:r>
              <w:rPr>
                <w:rFonts w:hint="eastAsia" w:cs="宋体" w:asciiTheme="minorEastAsia" w:hAnsiTheme="minorEastAsia" w:eastAsiaTheme="minorEastAsia"/>
                <w:snapToGrid w:val="0"/>
                <w:color w:val="auto"/>
                <w:kern w:val="28"/>
                <w:sz w:val="24"/>
                <w:highlight w:val="none"/>
                <w:lang w:eastAsia="zh-CN"/>
              </w:rPr>
              <w:t>2025年1月1日</w:t>
            </w:r>
            <w:r>
              <w:rPr>
                <w:rFonts w:hint="eastAsia" w:cs="宋体" w:asciiTheme="minorEastAsia" w:hAnsiTheme="minorEastAsia" w:eastAsiaTheme="minorEastAsia"/>
                <w:snapToGrid w:val="0"/>
                <w:color w:val="auto"/>
                <w:kern w:val="28"/>
                <w:sz w:val="24"/>
                <w:highlight w:val="none"/>
              </w:rPr>
              <w:t>至</w:t>
            </w:r>
            <w:r>
              <w:rPr>
                <w:rFonts w:hint="eastAsia" w:cs="宋体" w:asciiTheme="minorEastAsia" w:hAnsiTheme="minorEastAsia" w:eastAsiaTheme="minorEastAsia"/>
                <w:snapToGrid w:val="0"/>
                <w:color w:val="auto"/>
                <w:kern w:val="28"/>
                <w:sz w:val="24"/>
                <w:highlight w:val="none"/>
                <w:lang w:eastAsia="zh-CN"/>
              </w:rPr>
              <w:t>2026年12月31日</w:t>
            </w:r>
            <w:r>
              <w:rPr>
                <w:rFonts w:hint="eastAsia" w:cs="宋体" w:asciiTheme="minorEastAsia" w:hAnsiTheme="minorEastAsia" w:eastAsiaTheme="minorEastAsia"/>
                <w:snapToGrid w:val="0"/>
                <w:color w:val="auto"/>
                <w:kern w:val="28"/>
                <w:sz w:val="24"/>
                <w:highlight w:val="none"/>
              </w:rPr>
              <w:t>。</w:t>
            </w:r>
          </w:p>
          <w:p w14:paraId="4A68E3CE">
            <w:pPr>
              <w:spacing w:line="360" w:lineRule="auto"/>
              <w:ind w:firstLine="480" w:firstLineChars="200"/>
              <w:rPr>
                <w:rFonts w:hint="eastAsia" w:ascii="宋体" w:hAnsi="宋体" w:cs="宋体"/>
                <w:color w:val="auto"/>
                <w:kern w:val="0"/>
                <w:sz w:val="24"/>
                <w:highlight w:val="none"/>
                <w:lang w:val="en" w:eastAsia="zh-CN"/>
              </w:rPr>
            </w:pPr>
            <w:r>
              <w:rPr>
                <w:rFonts w:hint="eastAsia" w:cs="宋体" w:asciiTheme="minorEastAsia" w:hAnsiTheme="minorEastAsia" w:eastAsiaTheme="minorEastAsia"/>
                <w:snapToGrid w:val="0"/>
                <w:color w:val="auto"/>
                <w:kern w:val="28"/>
                <w:sz w:val="24"/>
                <w:highlight w:val="none"/>
              </w:rPr>
              <w:t>合同一年一签，</w:t>
            </w:r>
            <w:r>
              <w:rPr>
                <w:rFonts w:cs="宋体" w:asciiTheme="minorEastAsia" w:hAnsiTheme="minorEastAsia" w:eastAsiaTheme="minorEastAsia"/>
                <w:snapToGrid w:val="0"/>
                <w:color w:val="auto"/>
                <w:kern w:val="28"/>
                <w:sz w:val="24"/>
                <w:highlight w:val="none"/>
              </w:rPr>
              <w:t>202</w:t>
            </w:r>
            <w:r>
              <w:rPr>
                <w:rFonts w:hint="eastAsia" w:cs="宋体" w:asciiTheme="minorEastAsia" w:hAnsiTheme="minorEastAsia" w:eastAsiaTheme="minorEastAsia"/>
                <w:snapToGrid w:val="0"/>
                <w:color w:val="auto"/>
                <w:kern w:val="28"/>
                <w:sz w:val="24"/>
                <w:highlight w:val="none"/>
                <w:lang w:val="en-US" w:eastAsia="zh-CN"/>
              </w:rPr>
              <w:t>5</w:t>
            </w:r>
            <w:r>
              <w:rPr>
                <w:rFonts w:hint="eastAsia" w:cs="宋体" w:asciiTheme="minorEastAsia" w:hAnsiTheme="minorEastAsia" w:eastAsiaTheme="minorEastAsia"/>
                <w:snapToGrid w:val="0"/>
                <w:color w:val="auto"/>
                <w:kern w:val="28"/>
                <w:sz w:val="24"/>
                <w:highlight w:val="none"/>
              </w:rPr>
              <w:t>年度合同期满后，供应商能严格履行合同，服务良好，无质量和服务问题，通过项目履约验收，报经批准将签订下一年度合同。（合同履行期间，采购人将按月对杭州市数字城管信息采集有关的上城区标项一、上城区标项二、拱墅区标项一、拱墅区标项二、西湖区、西湖景区6个区域进行考核排名。）</w:t>
            </w:r>
          </w:p>
        </w:tc>
      </w:tr>
      <w:tr w14:paraId="2B6C6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87BC3">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17B33">
            <w:pPr>
              <w:snapToGrid w:val="0"/>
              <w:spacing w:line="360" w:lineRule="auto"/>
              <w:jc w:val="center"/>
              <w:rPr>
                <w:rFonts w:cs="宋体"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特别提示</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326D7">
            <w:pPr>
              <w:spacing w:line="360" w:lineRule="auto"/>
              <w:rPr>
                <w:rFonts w:cs="宋体" w:asciiTheme="minorEastAsia" w:hAnsiTheme="minorEastAsia" w:eastAsiaTheme="minorEastAsia"/>
                <w:b/>
                <w:bCs/>
                <w:snapToGrid w:val="0"/>
                <w:color w:val="auto"/>
                <w:kern w:val="28"/>
                <w:sz w:val="24"/>
                <w:highlight w:val="none"/>
                <w:u w:val="single"/>
              </w:rPr>
            </w:pPr>
            <w:r>
              <w:rPr>
                <w:rFonts w:cs="宋体" w:asciiTheme="minorEastAsia" w:hAnsiTheme="minorEastAsia" w:eastAsiaTheme="minorEastAsia"/>
                <w:b/>
                <w:bCs/>
                <w:snapToGrid w:val="0"/>
                <w:color w:val="auto"/>
                <w:kern w:val="28"/>
                <w:sz w:val="24"/>
                <w:highlight w:val="none"/>
                <w:u w:val="single"/>
              </w:rPr>
              <w:t>1）▲投标人在所投区域内应无数字城管业务之外的涉及有关养护、道路保洁等方面的城管业务；不与投标区域内城管部门存在利益关系。须在投标文件中提供承诺书等证明材料。否则投标无效；</w:t>
            </w:r>
          </w:p>
          <w:p w14:paraId="33F5A7FC">
            <w:pPr>
              <w:spacing w:line="360" w:lineRule="auto"/>
              <w:rPr>
                <w:rFonts w:hint="eastAsia" w:cs="宋体" w:asciiTheme="minorEastAsia" w:hAnsiTheme="minorEastAsia" w:eastAsiaTheme="minorEastAsia"/>
                <w:snapToGrid w:val="0"/>
                <w:color w:val="auto"/>
                <w:kern w:val="28"/>
                <w:sz w:val="24"/>
                <w:szCs w:val="24"/>
                <w:highlight w:val="none"/>
                <w:lang w:val="en" w:eastAsia="zh-CN" w:bidi="ar-SA"/>
              </w:rPr>
            </w:pPr>
            <w:r>
              <w:rPr>
                <w:rFonts w:cs="宋体" w:asciiTheme="minorEastAsia" w:hAnsiTheme="minorEastAsia" w:eastAsiaTheme="minorEastAsia"/>
                <w:b/>
                <w:bCs/>
                <w:snapToGrid w:val="0"/>
                <w:color w:val="auto"/>
                <w:kern w:val="28"/>
                <w:sz w:val="24"/>
                <w:highlight w:val="none"/>
                <w:u w:val="single"/>
              </w:rPr>
              <w:t>2）▲为确保项目实施质量，投标人必须确保所投项目项目组人员及投入的软硬件设施固定为本项目使用。须在投标文件中提供承诺书等证明材料。否则投标无效</w:t>
            </w:r>
            <w:r>
              <w:rPr>
                <w:rFonts w:hint="eastAsia" w:cs="宋体" w:asciiTheme="minorEastAsia" w:hAnsiTheme="minorEastAsia" w:eastAsiaTheme="minorEastAsia"/>
                <w:b/>
                <w:bCs/>
                <w:snapToGrid w:val="0"/>
                <w:color w:val="auto"/>
                <w:kern w:val="28"/>
                <w:sz w:val="24"/>
                <w:highlight w:val="none"/>
                <w:u w:val="single"/>
              </w:rPr>
              <w:t>。</w:t>
            </w:r>
          </w:p>
        </w:tc>
      </w:tr>
    </w:tbl>
    <w:p w14:paraId="7AEBC861">
      <w:pPr>
        <w:snapToGrid w:val="0"/>
        <w:spacing w:line="360" w:lineRule="auto"/>
        <w:jc w:val="center"/>
        <w:rPr>
          <w:rFonts w:ascii="宋体" w:hAnsi="宋体" w:cs="宋体"/>
          <w:b/>
          <w:color w:val="auto"/>
          <w:sz w:val="32"/>
          <w:szCs w:val="20"/>
          <w:highlight w:val="none"/>
        </w:rPr>
      </w:pPr>
    </w:p>
    <w:bookmarkEnd w:id="10"/>
    <w:p w14:paraId="0E95287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63AE5E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EBD44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74C502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8B326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D37C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9460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651C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48A9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9DC0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53332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C6FD91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0CA12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54194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D5CCF1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E3F0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CE051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E4A99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9F22FC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28221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683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F18211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1B44C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E3EF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6C15D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1381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13E5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B13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A19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F593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8CD4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86FEAB3">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312857E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6E74A5C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73E4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8DEC8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7B534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D0DAD9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AFE12D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2131F6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29A2306">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E996B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4D60B8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D12919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AA684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69A0B0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5C6B6D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CE10F5E">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8E5D0C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5F2FC3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4673A5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D729AA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B9A85BE">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8A9215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29F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D0D9DFB">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7F10B635">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7C1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7F4D23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83582D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223E785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42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AA5CFEB">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D6D686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AF7C42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0C4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55C1EE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FECC9C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85D13E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46A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653731A2">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5AC601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0E9FAA6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62CEC4E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3EB27D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1C8C03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B54E27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76991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C841EE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E160EB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9DFA929">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5A9A17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A3A3E3E">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366CC4D5">
      <w:pPr>
        <w:pStyle w:val="130"/>
        <w:snapToGrid w:val="0"/>
        <w:spacing w:before="0"/>
        <w:ind w:firstLine="360"/>
        <w:rPr>
          <w:rFonts w:ascii="宋体" w:hAnsi="宋体" w:cs="宋体"/>
          <w:color w:val="auto"/>
          <w:sz w:val="18"/>
          <w:szCs w:val="18"/>
          <w:highlight w:val="none"/>
        </w:rPr>
      </w:pPr>
    </w:p>
    <w:p w14:paraId="0AA9657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6A49D1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8523B7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D6338E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14C220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15230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2DE3A2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BE8FA0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B147AC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3DBAC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11621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26698E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28A22C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C34CA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36587C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ACCC6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849FB6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251142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E8C35A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6BAE7C2">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A51898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EE0D8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EA73D0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743F55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974F41">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4ADD55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4281F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848BC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BE57B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505507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D51B1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9CAE4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A57F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E08A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2809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646D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28114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8ED6537">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11.2.7项目小组人员名单；</w:t>
      </w:r>
    </w:p>
    <w:p w14:paraId="60BEC9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317A745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39ECAB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7CDA2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1AAA159">
      <w:pPr>
        <w:snapToGrid w:val="0"/>
        <w:spacing w:line="360" w:lineRule="auto"/>
        <w:ind w:firstLine="960" w:firstLineChars="400"/>
        <w:rPr>
          <w:rFonts w:ascii="宋体" w:hAnsi="宋体" w:cs="宋体"/>
          <w:color w:val="auto"/>
          <w:sz w:val="21"/>
          <w:szCs w:val="21"/>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146FF43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8AA1BD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6E4ED06">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194BB84C">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7645C5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027FF2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D9D68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B924E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9406B61">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8284B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813A98F">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BDCB47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B076035">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07B2F6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9FB819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E0EA75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CECED7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1659B1CB">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5B48DB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BD96E0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83839A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C2FD50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4376FA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7F19D1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2860F6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2E5C054">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03A7EC">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6852103">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93A5492">
      <w:pPr>
        <w:pStyle w:val="130"/>
        <w:spacing w:before="0"/>
        <w:ind w:firstLine="643"/>
        <w:rPr>
          <w:rFonts w:ascii="宋体" w:hAnsi="宋体" w:cs="宋体"/>
          <w:b/>
          <w:color w:val="auto"/>
          <w:sz w:val="32"/>
          <w:highlight w:val="none"/>
        </w:rPr>
      </w:pPr>
    </w:p>
    <w:p w14:paraId="61B9C1C6">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4104C9A">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4C3EDEB">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1CB6DF2E">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E714D38">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6E193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903340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2078A0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4C391A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415A0FD">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E7AC9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8A61279">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3C68143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463FCCE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505B0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1BF60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0E4A34B">
      <w:pPr>
        <w:pStyle w:val="130"/>
        <w:spacing w:before="0"/>
        <w:ind w:firstLine="0" w:firstLineChars="0"/>
        <w:rPr>
          <w:rFonts w:ascii="宋体" w:hAnsi="宋体" w:cs="宋体"/>
          <w:color w:val="auto"/>
          <w:kern w:val="0"/>
          <w:szCs w:val="24"/>
          <w:highlight w:val="none"/>
        </w:rPr>
      </w:pPr>
    </w:p>
    <w:p w14:paraId="638FDB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705F24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90A72CC">
      <w:pPr>
        <w:spacing w:line="360" w:lineRule="auto"/>
        <w:rPr>
          <w:rFonts w:ascii="宋体" w:hAnsi="宋体" w:cs="宋体"/>
          <w:b/>
          <w:color w:val="auto"/>
          <w:sz w:val="24"/>
          <w:highlight w:val="none"/>
        </w:rPr>
      </w:pPr>
    </w:p>
    <w:p w14:paraId="1E4178E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2CE307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C4B4DD5">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0AE1DA0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F66AA1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214297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53D7BA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B55F50C">
      <w:pPr>
        <w:snapToGrid w:val="0"/>
        <w:spacing w:line="360" w:lineRule="auto"/>
        <w:ind w:left="120" w:leftChars="57" w:firstLine="482" w:firstLineChars="150"/>
        <w:jc w:val="center"/>
        <w:rPr>
          <w:rFonts w:ascii="宋体" w:hAnsi="宋体" w:cs="宋体"/>
          <w:b/>
          <w:color w:val="auto"/>
          <w:sz w:val="32"/>
          <w:highlight w:val="none"/>
        </w:rPr>
      </w:pPr>
    </w:p>
    <w:p w14:paraId="746859F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81DCCF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19D77BF">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4178E4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F93849">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D6D21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107EBC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36B0818">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DDE785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2A8BF58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A1D67EA">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50999F8">
      <w:pPr>
        <w:pStyle w:val="3"/>
        <w:rPr>
          <w:color w:val="auto"/>
          <w:highlight w:val="none"/>
        </w:rPr>
      </w:pPr>
      <w:r>
        <w:rPr>
          <w:rFonts w:ascii="宋体" w:hAnsi="宋体" w:eastAsia="宋体"/>
          <w:b/>
          <w:bCs/>
          <w:color w:val="auto"/>
          <w:sz w:val="24"/>
          <w:szCs w:val="32"/>
          <w:highlight w:val="none"/>
          <w:lang w:val="en-US"/>
        </w:rPr>
        <w:t>27.预付款</w:t>
      </w:r>
    </w:p>
    <w:p w14:paraId="51E80A69">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3A5FEEAB">
      <w:pPr>
        <w:snapToGrid w:val="0"/>
        <w:spacing w:line="360" w:lineRule="auto"/>
        <w:ind w:firstLine="3357" w:firstLineChars="1045"/>
        <w:rPr>
          <w:rFonts w:ascii="宋体" w:hAnsi="宋体" w:cs="宋体"/>
          <w:b/>
          <w:color w:val="auto"/>
          <w:sz w:val="32"/>
          <w:highlight w:val="none"/>
        </w:rPr>
      </w:pPr>
    </w:p>
    <w:p w14:paraId="345F289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EFE579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F46707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31C099F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079E501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252EFC7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458E366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523D1FCA">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C32E98D">
      <w:pPr>
        <w:tabs>
          <w:tab w:val="left" w:pos="0"/>
        </w:tabs>
        <w:spacing w:line="360" w:lineRule="auto"/>
        <w:ind w:firstLine="480"/>
        <w:rPr>
          <w:rFonts w:ascii="宋体" w:hAnsi="宋体" w:cs="宋体"/>
          <w:color w:val="auto"/>
          <w:sz w:val="24"/>
          <w:highlight w:val="none"/>
        </w:rPr>
      </w:pPr>
    </w:p>
    <w:p w14:paraId="7082062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0E6966E">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3FE1FC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D13C1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AD1EE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1A57F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E0FADD">
      <w:pPr>
        <w:pStyle w:val="79"/>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78C5F3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68073093"/>
      <w:bookmarkEnd w:id="16"/>
      <w:bookmarkStart w:id="17" w:name="_Hlt68072998"/>
      <w:bookmarkEnd w:id="17"/>
      <w:bookmarkStart w:id="18" w:name="_Hlt75236011"/>
      <w:bookmarkEnd w:id="18"/>
      <w:bookmarkStart w:id="19" w:name="_Hlt75236290"/>
      <w:bookmarkEnd w:id="19"/>
      <w:bookmarkStart w:id="20" w:name="_Hlt74729768"/>
      <w:bookmarkEnd w:id="20"/>
      <w:bookmarkStart w:id="21" w:name="_Hlt68403820"/>
      <w:bookmarkEnd w:id="21"/>
      <w:bookmarkStart w:id="22" w:name="_Hlt75236101"/>
      <w:bookmarkEnd w:id="22"/>
      <w:bookmarkStart w:id="23" w:name="_Hlt68057669"/>
      <w:bookmarkEnd w:id="23"/>
      <w:bookmarkStart w:id="24" w:name="_Hlt74707468"/>
      <w:bookmarkEnd w:id="24"/>
      <w:bookmarkStart w:id="25" w:name="_Hlt74730295"/>
      <w:bookmarkEnd w:id="25"/>
      <w:bookmarkStart w:id="26" w:name="_Hlt68072990"/>
      <w:bookmarkEnd w:id="26"/>
    </w:p>
    <w:bookmarkEnd w:id="11"/>
    <w:bookmarkEnd w:id="12"/>
    <w:p w14:paraId="1A4ADA8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6AAB734">
      <w:pPr>
        <w:snapToGrid w:val="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属于实质性要求条款的，已用符号“▲”标明，否则属于非实质性要求。</w:t>
      </w:r>
    </w:p>
    <w:p w14:paraId="6C7236AD">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一、总体目标与本次项目内容</w:t>
      </w:r>
    </w:p>
    <w:p w14:paraId="40F77A30">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总体目标</w:t>
      </w:r>
      <w:r>
        <w:rPr>
          <w:rFonts w:hint="eastAsia" w:asciiTheme="minorEastAsia" w:hAnsiTheme="minorEastAsia" w:eastAsiaTheme="minorEastAsia"/>
          <w:color w:val="auto"/>
          <w:sz w:val="24"/>
          <w:highlight w:val="none"/>
        </w:rPr>
        <w:t>：</w:t>
      </w:r>
    </w:p>
    <w:p w14:paraId="402B1511">
      <w:pPr>
        <w:pStyle w:val="24"/>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14:paraId="45F9C78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本期项目内容</w:t>
      </w:r>
      <w:r>
        <w:rPr>
          <w:rFonts w:hint="eastAsia" w:asciiTheme="minorEastAsia" w:hAnsiTheme="minorEastAsia" w:eastAsiaTheme="minorEastAsia"/>
          <w:color w:val="auto"/>
          <w:sz w:val="24"/>
          <w:highlight w:val="none"/>
        </w:rPr>
        <w:t>：</w:t>
      </w:r>
    </w:p>
    <w:p w14:paraId="139F4891">
      <w:pPr>
        <w:pStyle w:val="24"/>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本</w:t>
      </w:r>
      <w:r>
        <w:rPr>
          <w:rFonts w:hint="eastAsia" w:asciiTheme="minorEastAsia" w:hAnsiTheme="minorEastAsia" w:eastAsiaTheme="minorEastAsia"/>
          <w:color w:val="auto"/>
          <w:highlight w:val="none"/>
        </w:rPr>
        <w:t>项目是本着信息采集“政府花钱买服务”“养事不养人”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14:paraId="5FC42E7C">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二、项目内容、范围</w:t>
      </w:r>
    </w:p>
    <w:p w14:paraId="43AADFDE">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内容：依据管理标准，负责对城市事件动态问题及部件完好、变更信息的及时采集；对热线投诉等途径反馈问题进行核实；对所发现问题结案前进行核查；根据城市管理工作的要求，实施各类专项信息采集工作</w:t>
      </w:r>
      <w:r>
        <w:rPr>
          <w:rFonts w:hint="eastAsia" w:asciiTheme="minorEastAsia" w:hAnsiTheme="minorEastAsia" w:eastAsiaTheme="minorEastAsia"/>
          <w:color w:val="auto"/>
          <w:sz w:val="24"/>
          <w:highlight w:val="none"/>
          <w:lang w:eastAsia="zh-CN"/>
        </w:rPr>
        <w:t>等</w:t>
      </w:r>
      <w:r>
        <w:rPr>
          <w:rFonts w:hint="eastAsia" w:asciiTheme="minorEastAsia" w:hAnsiTheme="minorEastAsia" w:eastAsiaTheme="minorEastAsia"/>
          <w:color w:val="auto"/>
          <w:sz w:val="24"/>
          <w:highlight w:val="none"/>
        </w:rPr>
        <w:t>。</w:t>
      </w:r>
    </w:p>
    <w:p w14:paraId="621F5081">
      <w:pPr>
        <w:pStyle w:val="24"/>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范围：杭州市</w:t>
      </w:r>
      <w:r>
        <w:rPr>
          <w:rFonts w:hint="eastAsia" w:asciiTheme="minorEastAsia" w:hAnsiTheme="minorEastAsia" w:eastAsiaTheme="minorEastAsia"/>
          <w:snapToGrid/>
          <w:color w:val="auto"/>
          <w:kern w:val="2"/>
          <w:sz w:val="24"/>
          <w:szCs w:val="24"/>
          <w:highlight w:val="none"/>
        </w:rPr>
        <w:t>拱墅区行政区划内上塘河、长板巷、古河巷、叶青兜路、运河、环城北路、环城西路以东区域，包括潮鸣街道、长庆街道、武林街道、天水街道、朝晖街道、文晖街道、东新街道、石桥街道</w:t>
      </w:r>
      <w:r>
        <w:rPr>
          <w:rFonts w:asciiTheme="minorEastAsia" w:hAnsiTheme="minorEastAsia" w:eastAsiaTheme="minorEastAsia"/>
          <w:snapToGrid/>
          <w:color w:val="auto"/>
          <w:kern w:val="2"/>
          <w:sz w:val="24"/>
          <w:szCs w:val="24"/>
          <w:highlight w:val="none"/>
        </w:rPr>
        <w:t>8</w:t>
      </w:r>
      <w:r>
        <w:rPr>
          <w:rFonts w:hint="eastAsia" w:asciiTheme="minorEastAsia" w:hAnsiTheme="minorEastAsia" w:eastAsiaTheme="minorEastAsia"/>
          <w:snapToGrid/>
          <w:color w:val="auto"/>
          <w:kern w:val="2"/>
          <w:sz w:val="24"/>
          <w:szCs w:val="24"/>
          <w:highlight w:val="none"/>
        </w:rPr>
        <w:t>个街道</w:t>
      </w:r>
      <w:r>
        <w:rPr>
          <w:rFonts w:hint="eastAsia" w:asciiTheme="minorEastAsia" w:hAnsiTheme="minorEastAsia" w:eastAsiaTheme="minorEastAsia"/>
          <w:color w:val="auto"/>
          <w:highlight w:val="none"/>
        </w:rPr>
        <w:t>。</w:t>
      </w:r>
    </w:p>
    <w:p w14:paraId="78394297">
      <w:pPr>
        <w:pStyle w:val="24"/>
        <w:spacing w:line="360" w:lineRule="auto"/>
        <w:jc w:val="left"/>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snapToGrid/>
          <w:color w:val="auto"/>
          <w:kern w:val="2"/>
          <w:sz w:val="24"/>
          <w:szCs w:val="24"/>
          <w:highlight w:val="none"/>
          <w:lang w:eastAsia="zh-CN"/>
        </w:rPr>
        <w:t>网格数、</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网格数不少于26个。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62</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55</w:t>
      </w:r>
      <w:r>
        <w:rPr>
          <w:rFonts w:hint="eastAsia" w:asciiTheme="minorEastAsia" w:hAnsiTheme="minorEastAsia" w:eastAsiaTheme="minorEastAsia"/>
          <w:color w:val="auto"/>
          <w:highlight w:val="none"/>
        </w:rPr>
        <w:t>人，管理员</w:t>
      </w:r>
      <w:r>
        <w:rPr>
          <w:rFonts w:hint="eastAsia" w:asciiTheme="minorEastAsia" w:hAnsiTheme="minorEastAsia" w:eastAsiaTheme="minorEastAsia"/>
          <w:snapToGrid/>
          <w:color w:val="auto"/>
          <w:kern w:val="2"/>
          <w:sz w:val="24"/>
          <w:szCs w:val="24"/>
          <w:highlight w:val="none"/>
          <w:lang w:val="en-US" w:eastAsia="zh-CN"/>
        </w:rPr>
        <w:t>6</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36小时，提供人员不少于53人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46</w:t>
      </w:r>
      <w:r>
        <w:rPr>
          <w:rFonts w:hint="eastAsia" w:asciiTheme="minorEastAsia" w:hAnsiTheme="minorEastAsia" w:eastAsiaTheme="minorEastAsia"/>
          <w:color w:val="auto"/>
          <w:highlight w:val="none"/>
        </w:rPr>
        <w:t>人，管理员</w:t>
      </w: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w:t>
      </w:r>
      <w:r>
        <w:rPr>
          <w:rFonts w:hint="eastAsia" w:asciiTheme="minorEastAsia" w:hAnsiTheme="minorEastAsia" w:eastAsiaTheme="minorEastAsia"/>
          <w:snapToGrid/>
          <w:color w:val="auto"/>
          <w:kern w:val="2"/>
          <w:sz w:val="24"/>
          <w:szCs w:val="24"/>
          <w:highlight w:val="none"/>
          <w:lang w:eastAsia="zh-CN"/>
        </w:rPr>
        <w:t>。</w:t>
      </w:r>
    </w:p>
    <w:p w14:paraId="11081AE6">
      <w:pPr>
        <w:pStyle w:val="3"/>
        <w:ind w:left="0" w:firstLine="562"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三、工作开展需求</w:t>
      </w:r>
    </w:p>
    <w:p w14:paraId="04EA85FF">
      <w:pPr>
        <w:spacing w:line="360" w:lineRule="auto"/>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（一）采集有效数据的可行性实施方案</w:t>
      </w:r>
    </w:p>
    <w:p w14:paraId="082B8CCB">
      <w:pPr>
        <w:spacing w:line="360" w:lineRule="auto"/>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.制定</w:t>
      </w:r>
      <w:r>
        <w:rPr>
          <w:rFonts w:hint="eastAsia" w:asciiTheme="minorEastAsia" w:hAnsiTheme="minorEastAsia" w:eastAsiaTheme="minorEastAsia"/>
          <w:color w:val="auto"/>
          <w:sz w:val="24"/>
          <w:highlight w:val="none"/>
          <w:lang w:val="zh-CN"/>
        </w:rPr>
        <w:t>完备的项目启动实施方案，包含</w:t>
      </w:r>
      <w:r>
        <w:rPr>
          <w:rFonts w:hint="eastAsia" w:asciiTheme="minorEastAsia" w:hAnsiTheme="minorEastAsia" w:eastAsiaTheme="minorEastAsia"/>
          <w:color w:val="auto"/>
          <w:sz w:val="24"/>
          <w:highlight w:val="none"/>
        </w:rPr>
        <w:t>项目组人员组建方案、在要求的时限内完成采集人员组建及岗前培训等内容</w:t>
      </w:r>
      <w:r>
        <w:rPr>
          <w:rFonts w:hint="eastAsia" w:asciiTheme="minorEastAsia" w:hAnsiTheme="minorEastAsia" w:eastAsiaTheme="minorEastAsia"/>
          <w:color w:val="auto"/>
          <w:sz w:val="24"/>
          <w:highlight w:val="none"/>
          <w:lang w:val="zh-CN"/>
        </w:rPr>
        <w:t>；</w:t>
      </w:r>
    </w:p>
    <w:p w14:paraId="6C8BC68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2.制定保证相关信息数据全面、及时、准确采集的措施；</w:t>
      </w:r>
    </w:p>
    <w:p w14:paraId="4B246473">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3.制定数字城管城市</w:t>
      </w:r>
      <w:r>
        <w:rPr>
          <w:rFonts w:hint="eastAsia" w:asciiTheme="minorEastAsia" w:hAnsiTheme="minorEastAsia" w:eastAsiaTheme="minorEastAsia"/>
          <w:color w:val="auto"/>
          <w:sz w:val="24"/>
          <w:highlight w:val="none"/>
          <w:lang w:eastAsia="zh-CN"/>
        </w:rPr>
        <w:t>道路、</w:t>
      </w:r>
      <w:r>
        <w:rPr>
          <w:rFonts w:hint="eastAsia" w:asciiTheme="minorEastAsia" w:hAnsiTheme="minorEastAsia" w:eastAsiaTheme="minorEastAsia"/>
          <w:color w:val="auto"/>
          <w:sz w:val="24"/>
          <w:highlight w:val="none"/>
        </w:rPr>
        <w:t>河道、</w:t>
      </w:r>
      <w:r>
        <w:rPr>
          <w:rFonts w:hint="eastAsia" w:asciiTheme="minorEastAsia" w:hAnsiTheme="minorEastAsia" w:eastAsiaTheme="minorEastAsia"/>
          <w:color w:val="auto"/>
          <w:sz w:val="24"/>
          <w:highlight w:val="none"/>
          <w:lang w:eastAsia="zh-CN"/>
        </w:rPr>
        <w:t>人行过街天</w:t>
      </w:r>
      <w:r>
        <w:rPr>
          <w:rFonts w:hint="eastAsia" w:asciiTheme="minorEastAsia" w:hAnsiTheme="minorEastAsia" w:eastAsiaTheme="minorEastAsia"/>
          <w:color w:val="auto"/>
          <w:sz w:val="24"/>
          <w:highlight w:val="none"/>
        </w:rPr>
        <w:t>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rPr>
        <w:t>隧道等区域信息全面及时采集实施方案；</w:t>
      </w:r>
    </w:p>
    <w:p w14:paraId="2BBB727C">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4.为实现采购人</w:t>
      </w:r>
      <w:r>
        <w:rPr>
          <w:rFonts w:hint="eastAsia" w:asciiTheme="minorEastAsia" w:hAnsiTheme="minorEastAsia" w:eastAsiaTheme="minorEastAsia"/>
          <w:color w:val="auto"/>
          <w:sz w:val="24"/>
          <w:highlight w:val="none"/>
          <w:lang w:eastAsia="zh-CN"/>
        </w:rPr>
        <w:t>“两防两抗”、车载视频巡查和人员抽查管理</w:t>
      </w:r>
      <w:r>
        <w:rPr>
          <w:rFonts w:hint="eastAsia" w:asciiTheme="minorEastAsia" w:hAnsiTheme="minorEastAsia" w:eastAsiaTheme="minorEastAsia"/>
          <w:color w:val="auto"/>
          <w:sz w:val="24"/>
          <w:highlight w:val="none"/>
        </w:rPr>
        <w:t>的项目需求，投标人需根据自身情况配备若干五座（含）以上巡查车辆；</w:t>
      </w:r>
    </w:p>
    <w:p w14:paraId="1C580B3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5.中标后在所中标区域内设立办公场所，便于工作开展及管理；</w:t>
      </w:r>
    </w:p>
    <w:p w14:paraId="70E868DA">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6.为项目组办公场所配备不少于100M带宽的宽带网络并及时升级网络带宽确保视频及信息化系统正常使用；</w:t>
      </w:r>
    </w:p>
    <w:p w14:paraId="17BA4A08">
      <w:pPr>
        <w:spacing w:line="360" w:lineRule="auto"/>
        <w:ind w:firstLine="480" w:firstLineChars="20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实施方案投标讲解条理清楚、内容全面；</w:t>
      </w:r>
    </w:p>
    <w:p w14:paraId="7636E9EA">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（二）建立相应管理制度</w:t>
      </w:r>
    </w:p>
    <w:p w14:paraId="213318C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1.制定层级管理制度，保证管理、指挥、质量控制要求在组织架构上实现；</w:t>
      </w:r>
    </w:p>
    <w:p w14:paraId="0B8AA9C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2.建立规范的人力资源管理体系；</w:t>
      </w:r>
    </w:p>
    <w:p w14:paraId="7C4E9DB1">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3.制定详细的纪律、廉政、安全、公文管理、档案管理、宣传等内部管理制度；</w:t>
      </w:r>
    </w:p>
    <w:p w14:paraId="55DA850C">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4.制定各岗位明确分工和职责要求并对应制定考核办法，实行末位淘汰等奖优罚劣措施；</w:t>
      </w:r>
    </w:p>
    <w:p w14:paraId="6D5FB4A2">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5.严格按照采集器管理要求制定采集器管理办法、车载视频设备管理办法；</w:t>
      </w:r>
    </w:p>
    <w:p w14:paraId="39F7A9FE">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制定公共危机应急预案；</w:t>
      </w:r>
    </w:p>
    <w:p w14:paraId="11A888DC">
      <w:pPr>
        <w:spacing w:line="360" w:lineRule="auto"/>
        <w:ind w:firstLine="480" w:firstLineChars="200"/>
        <w:jc w:val="left"/>
        <w:rPr>
          <w:rFonts w:cs="Wingding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（三）项目组人员素质要求</w:t>
      </w:r>
    </w:p>
    <w:p w14:paraId="5621A47D">
      <w:pPr>
        <w:spacing w:line="360" w:lineRule="auto"/>
        <w:ind w:firstLine="480" w:firstLineChars="200"/>
        <w:rPr>
          <w:rFonts w:asciiTheme="minorEastAsia" w:hAnsiTheme="minorEastAsia" w:eastAsiaTheme="minorEastAsia"/>
          <w:color w:val="auto"/>
          <w:sz w:val="24"/>
          <w:highlight w:val="none"/>
        </w:rPr>
      </w:pPr>
      <w:r>
        <w:rPr>
          <w:rFonts w:cs="Wingding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投标人投标时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项目组人员数量不低于招标文件要求人数的30%。服务期开始后，中标人应立即投入服务，</w:t>
      </w:r>
      <w:r>
        <w:rPr>
          <w:rFonts w:asciiTheme="minorEastAsia" w:hAnsiTheme="minorEastAsia" w:eastAsiaTheme="minorEastAsia"/>
          <w:color w:val="auto"/>
          <w:sz w:val="24"/>
          <w:highlight w:val="none"/>
        </w:rPr>
        <w:t>投入服务人员与投标人员清单一致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投标时投标人提供人员比例高于</w:t>
      </w:r>
      <w:r>
        <w:rPr>
          <w:rFonts w:asciiTheme="minorEastAsia" w:hAnsiTheme="minorEastAsia" w:eastAsiaTheme="minorEastAsia"/>
          <w:color w:val="auto"/>
          <w:sz w:val="24"/>
          <w:highlight w:val="none"/>
        </w:rPr>
        <w:t>30%的，按投标时比例</w:t>
      </w:r>
      <w:r>
        <w:rPr>
          <w:rFonts w:hint="eastAsia" w:asciiTheme="minorEastAsia" w:hAnsiTheme="minorEastAsia" w:eastAsiaTheme="minorEastAsia"/>
          <w:color w:val="auto"/>
          <w:sz w:val="24"/>
          <w:highlight w:val="none"/>
        </w:rPr>
        <w:t>投入服务人员，</w:t>
      </w:r>
      <w:r>
        <w:rPr>
          <w:rFonts w:asciiTheme="minorEastAsia" w:hAnsiTheme="minorEastAsia" w:eastAsiaTheme="minorEastAsia"/>
          <w:color w:val="auto"/>
          <w:sz w:val="24"/>
          <w:highlight w:val="none"/>
        </w:rPr>
        <w:t>且须于10</w:t>
      </w:r>
      <w:r>
        <w:rPr>
          <w:rFonts w:hint="eastAsia" w:asciiTheme="minorEastAsia" w:hAnsiTheme="minorEastAsia" w:eastAsiaTheme="minorEastAsia"/>
          <w:color w:val="auto"/>
          <w:sz w:val="24"/>
          <w:highlight w:val="none"/>
        </w:rPr>
        <w:t>天内完成余下人员的组建；</w:t>
      </w:r>
    </w:p>
    <w:p w14:paraId="6631AFD9">
      <w:pPr>
        <w:spacing w:line="360" w:lineRule="auto"/>
        <w:ind w:firstLine="480" w:firstLineChars="200"/>
        <w:rPr>
          <w:rFonts w:asciiTheme="minorEastAsia" w:hAnsiTheme="minorEastAsia" w:eastAsiaTheme="minorEastAsia"/>
          <w:color w:val="auto"/>
          <w:sz w:val="24"/>
          <w:highlight w:val="none"/>
        </w:rPr>
      </w:pPr>
      <w:r>
        <w:rPr>
          <w:rFonts w:cs="Wingding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拟担任本</w:t>
      </w:r>
      <w:r>
        <w:rPr>
          <w:rFonts w:hint="eastAsia" w:cs="Wingdings" w:asciiTheme="minorEastAsia" w:hAnsiTheme="minorEastAsia" w:eastAsiaTheme="minorEastAsia"/>
          <w:color w:val="auto"/>
          <w:sz w:val="24"/>
          <w:highlight w:val="none"/>
        </w:rPr>
        <w:t>项目项目经理</w:t>
      </w:r>
      <w:r>
        <w:rPr>
          <w:rFonts w:hint="eastAsia" w:asciiTheme="minorEastAsia" w:hAnsiTheme="minorEastAsia" w:eastAsiaTheme="minorEastAsia"/>
          <w:color w:val="auto"/>
          <w:sz w:val="24"/>
          <w:highlight w:val="none"/>
        </w:rPr>
        <w:t>的人员须</w:t>
      </w:r>
      <w:r>
        <w:rPr>
          <w:rFonts w:hint="eastAsia" w:cs="Wingdings" w:asciiTheme="minorEastAsia" w:hAnsiTheme="minorEastAsia" w:eastAsiaTheme="minorEastAsia"/>
          <w:color w:val="auto"/>
          <w:sz w:val="24"/>
          <w:highlight w:val="none"/>
        </w:rPr>
        <w:t>具有</w:t>
      </w:r>
      <w:r>
        <w:rPr>
          <w:rFonts w:hint="eastAsia" w:cs="Wingdings" w:asciiTheme="minorEastAsia" w:hAnsiTheme="minorEastAsia" w:eastAsiaTheme="minorEastAsia"/>
          <w:color w:val="auto"/>
          <w:sz w:val="24"/>
          <w:highlight w:val="none"/>
          <w:lang w:eastAsia="zh-CN"/>
        </w:rPr>
        <w:t>优秀的履职能力</w:t>
      </w:r>
      <w:r>
        <w:rPr>
          <w:rFonts w:hint="eastAsia" w:cs="Wingding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专科及以上学历</w:t>
      </w:r>
      <w:r>
        <w:rPr>
          <w:rFonts w:hint="eastAsia" w:asciiTheme="minorEastAsia" w:hAnsiTheme="minorEastAsia" w:eastAsiaTheme="minorEastAsia"/>
          <w:color w:val="auto"/>
          <w:sz w:val="24"/>
          <w:highlight w:val="none"/>
        </w:rPr>
        <w:t>，有调动投标人各项资源能力</w:t>
      </w:r>
      <w:r>
        <w:rPr>
          <w:rFonts w:hint="eastAsia" w:cs="仿宋_GB2312" w:asciiTheme="minorEastAsia" w:hAnsiTheme="minorEastAsia" w:eastAsiaTheme="minorEastAsia"/>
          <w:color w:val="auto"/>
          <w:sz w:val="24"/>
          <w:highlight w:val="none"/>
        </w:rPr>
        <w:t>；</w:t>
      </w:r>
    </w:p>
    <w:p w14:paraId="28F637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3.项目管理员</w:t>
      </w:r>
      <w:r>
        <w:rPr>
          <w:rFonts w:hint="eastAsia" w:cs="Wingdings" w:asciiTheme="minorEastAsia" w:hAnsiTheme="minorEastAsia" w:eastAsiaTheme="minorEastAsia"/>
          <w:color w:val="auto"/>
          <w:sz w:val="24"/>
          <w:highlight w:val="none"/>
          <w:lang w:val="en-US" w:eastAsia="zh-CN"/>
        </w:rPr>
        <w:t>需</w:t>
      </w:r>
      <w:r>
        <w:rPr>
          <w:rFonts w:hint="eastAsia" w:cs="Wingdings" w:asciiTheme="minorEastAsia" w:hAnsiTheme="minorEastAsia" w:eastAsiaTheme="minorEastAsia"/>
          <w:color w:val="auto"/>
          <w:sz w:val="24"/>
          <w:highlight w:val="none"/>
        </w:rPr>
        <w:t>具有</w:t>
      </w:r>
      <w:r>
        <w:rPr>
          <w:rFonts w:hint="eastAsia" w:cs="Wingdings" w:asciiTheme="minorEastAsia" w:hAnsiTheme="minorEastAsia" w:eastAsiaTheme="minorEastAsia"/>
          <w:color w:val="auto"/>
          <w:sz w:val="24"/>
          <w:highlight w:val="none"/>
          <w:lang w:eastAsia="zh-CN"/>
        </w:rPr>
        <w:t>优秀的履职能力</w:t>
      </w:r>
      <w:r>
        <w:rPr>
          <w:rFonts w:hint="eastAsia" w:cs="Wingding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专科及以上学历</w:t>
      </w:r>
      <w:r>
        <w:rPr>
          <w:rFonts w:hint="eastAsia" w:asciiTheme="minorEastAsia" w:hAnsiTheme="minorEastAsia" w:eastAsiaTheme="minorEastAsia"/>
          <w:color w:val="auto"/>
          <w:sz w:val="24"/>
          <w:highlight w:val="none"/>
        </w:rPr>
        <w:t>；</w:t>
      </w:r>
    </w:p>
    <w:p w14:paraId="36EFD206">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4.依法为项目组人员缴纳五险一金，购买意外险;</w:t>
      </w:r>
    </w:p>
    <w:p w14:paraId="34D73879">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5.项目组人员扣除“五险一金”和意外险后的实际收入不低于当年杭州市最低工资标准数额；</w:t>
      </w:r>
    </w:p>
    <w:p w14:paraId="1BCE290B">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6.按照要求配置信息采集员，根据巡查覆盖频次要求和数字城管运行时间，信息采集区域各工作单元（网格）人员配置或设定达到区域和时间上的全覆盖（7：30-</w:t>
      </w:r>
      <w:r>
        <w:rPr>
          <w:rFonts w:hint="eastAsia" w:asciiTheme="minorEastAsia" w:hAnsiTheme="minorEastAsia" w:eastAsiaTheme="minorEastAsia"/>
          <w:color w:val="auto"/>
          <w:sz w:val="24"/>
          <w:highlight w:val="none"/>
          <w:lang w:val="en-US" w:eastAsia="zh-CN"/>
        </w:rPr>
        <w:t>11：30和13：30-</w:t>
      </w:r>
      <w:r>
        <w:rPr>
          <w:rFonts w:hint="eastAsia" w:asciiTheme="minorEastAsia" w:hAnsiTheme="minorEastAsia" w:eastAsiaTheme="minorEastAsia"/>
          <w:color w:val="auto"/>
          <w:sz w:val="24"/>
          <w:highlight w:val="none"/>
        </w:rPr>
        <w:t>18：00，每个工作网格确保至少1名采集员在岗；</w:t>
      </w:r>
      <w:r>
        <w:rPr>
          <w:rFonts w:hint="eastAsia" w:asciiTheme="minorEastAsia" w:hAnsiTheme="minorEastAsia" w:eastAsiaTheme="minorEastAsia"/>
          <w:color w:val="auto"/>
          <w:sz w:val="24"/>
          <w:highlight w:val="none"/>
          <w:lang w:val="en-US" w:eastAsia="zh-CN"/>
        </w:rPr>
        <w:t>11：30-13：30和</w:t>
      </w:r>
      <w:r>
        <w:rPr>
          <w:rFonts w:hint="eastAsia" w:asciiTheme="minorEastAsia" w:hAnsiTheme="minorEastAsia" w:eastAsiaTheme="minorEastAsia"/>
          <w:color w:val="auto"/>
          <w:sz w:val="24"/>
          <w:highlight w:val="none"/>
        </w:rPr>
        <w:t>18:00-21: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0每两个工作网格确保至少1名采集员在岗</w:t>
      </w:r>
      <w:r>
        <w:rPr>
          <w:rFonts w:hint="eastAsia" w:asciiTheme="minorEastAsia" w:hAnsiTheme="minorEastAsia" w:eastAsiaTheme="minorEastAsia"/>
          <w:color w:val="auto"/>
          <w:sz w:val="24"/>
          <w:highlight w:val="none"/>
          <w:lang w:eastAsia="zh-CN"/>
        </w:rPr>
        <w:t>；春节放假期间，7：30-21：00，每两个工作网络确保至少1名采集员</w:t>
      </w:r>
      <w:r>
        <w:rPr>
          <w:rFonts w:hint="eastAsia" w:asciiTheme="minorEastAsia" w:hAnsiTheme="minorEastAsia" w:eastAsiaTheme="minorEastAsia"/>
          <w:color w:val="auto"/>
          <w:sz w:val="24"/>
          <w:highlight w:val="none"/>
        </w:rPr>
        <w:t>）；</w:t>
      </w:r>
    </w:p>
    <w:p w14:paraId="361755D8">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（四）采集工作相关要求</w:t>
      </w:r>
    </w:p>
    <w:p w14:paraId="7CF466E2">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1.按照全覆盖、巡查覆盖频次、徒步巡查频次和及时核查的要求设定采集员巡查方案</w:t>
      </w:r>
      <w:r>
        <w:rPr>
          <w:rFonts w:hint="eastAsia" w:asciiTheme="minorEastAsia" w:hAnsiTheme="minorEastAsia" w:eastAsiaTheme="minorEastAsia"/>
          <w:color w:val="auto"/>
          <w:sz w:val="24"/>
          <w:highlight w:val="none"/>
          <w:lang w:eastAsia="zh-CN"/>
        </w:rPr>
        <w:t>；</w:t>
      </w:r>
    </w:p>
    <w:p w14:paraId="6621EAF5">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2.建立能确保工作衔接的采集员交接班制度；</w:t>
      </w:r>
    </w:p>
    <w:p w14:paraId="29B474F3">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3.制定确保漏报、投诉等问题处置、回复均达100％</w:t>
      </w:r>
      <w:r>
        <w:rPr>
          <w:rFonts w:hint="eastAsia" w:asciiTheme="minorEastAsia" w:hAnsiTheme="minorEastAsia" w:eastAsiaTheme="minorEastAsia"/>
          <w:color w:val="auto"/>
          <w:sz w:val="24"/>
          <w:highlight w:val="none"/>
          <w:lang w:eastAsia="zh-CN"/>
        </w:rPr>
        <w:t>以及处置质量的</w:t>
      </w:r>
      <w:r>
        <w:rPr>
          <w:rFonts w:hint="eastAsia" w:asciiTheme="minorEastAsia" w:hAnsiTheme="minorEastAsia" w:eastAsiaTheme="minorEastAsia"/>
          <w:color w:val="auto"/>
          <w:sz w:val="24"/>
          <w:highlight w:val="none"/>
        </w:rPr>
        <w:t>制度；</w:t>
      </w:r>
    </w:p>
    <w:p w14:paraId="627CB586">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4.制定采集员每3个月进行轮岗的保障措施；</w:t>
      </w:r>
    </w:p>
    <w:p w14:paraId="6BCDEB8D">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5.建立内部质量管理控制体系，落实专人或机构负责对采集员上岗、巡查、采集工作质量实行实时监控；</w:t>
      </w:r>
    </w:p>
    <w:p w14:paraId="62974FF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6.制定员工上岗培训方案，内容含有培训内容，如岗位标准、专业知识、职业道德规范、应急保障等；内容含有培训方式，如理论学习、实践操作，有定期培训和考试制度等；</w:t>
      </w:r>
    </w:p>
    <w:p w14:paraId="1F8C3C3C">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7.制定数字城管信息采集两防两抗（抗台防汛，抗雪防冻）应急保障预案；</w:t>
      </w:r>
    </w:p>
    <w:p w14:paraId="62294216">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8.制定城市管理重点问题信息采集保障方案；</w:t>
      </w:r>
    </w:p>
    <w:p w14:paraId="6290756C">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9.制定数字城管信息采集重大活动任务保障预案；</w:t>
      </w:r>
    </w:p>
    <w:p w14:paraId="53DC450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10.建立预防触碰三条高压线（防止虚假信息、防止吃拿卡要、有责投诉）的管控制度；</w:t>
      </w:r>
    </w:p>
    <w:p w14:paraId="38AA1767">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11.根据要求完成其他临时交办的数字城管信息采集工作。</w:t>
      </w:r>
    </w:p>
    <w:p w14:paraId="72A54E40">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四、项目评价</w:t>
      </w:r>
    </w:p>
    <w:p w14:paraId="5CD02F8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主要评价指标内容如下，如有调整以正式文件为准。</w:t>
      </w:r>
    </w:p>
    <w:p w14:paraId="584DDBD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(一)结果指标（30分）</w:t>
      </w:r>
    </w:p>
    <w:p w14:paraId="3B1F467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1.全面性（25分）</w:t>
      </w:r>
    </w:p>
    <w:p w14:paraId="656051F0">
      <w:pPr>
        <w:spacing w:line="360" w:lineRule="auto"/>
        <w:ind w:firstLine="330" w:firstLineChars="137"/>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（1）检查漏报率。</w:t>
      </w:r>
      <w:r>
        <w:rPr>
          <w:rFonts w:hint="eastAsia" w:asciiTheme="minorEastAsia" w:hAnsiTheme="minorEastAsia" w:eastAsiaTheme="minorEastAsia" w:cstheme="minorEastAsia"/>
          <w:bCs/>
          <w:color w:val="auto"/>
          <w:sz w:val="24"/>
          <w:szCs w:val="24"/>
          <w:highlight w:val="none"/>
        </w:rPr>
        <w:t>对来源于主管政府部门（具体对各采集公司绩效进行评价的机构，下同）检查、相关部门检查、网络单位反映、媒体曝光、领导批示、信访投诉、</w:t>
      </w:r>
      <w:r>
        <w:rPr>
          <w:rFonts w:hint="eastAsia" w:asciiTheme="minorEastAsia" w:hAnsiTheme="minorEastAsia" w:eastAsiaTheme="minorEastAsia" w:cstheme="minorEastAsia"/>
          <w:bCs/>
          <w:color w:val="auto"/>
          <w:sz w:val="24"/>
          <w:szCs w:val="24"/>
          <w:highlight w:val="none"/>
          <w:lang w:eastAsia="zh-CN"/>
        </w:rPr>
        <w:t>有奖举报等</w:t>
      </w:r>
      <w:r>
        <w:rPr>
          <w:rFonts w:hint="eastAsia" w:asciiTheme="minorEastAsia" w:hAnsiTheme="minorEastAsia" w:eastAsiaTheme="minorEastAsia" w:cstheme="minorEastAsia"/>
          <w:bCs/>
          <w:color w:val="auto"/>
          <w:sz w:val="24"/>
          <w:szCs w:val="24"/>
          <w:highlight w:val="none"/>
        </w:rPr>
        <w:t>各种渠道的城市管理问题信息，经主管部门校核确认为漏报的，根据类别权重系数计算检查漏报率，并分级评价。</w:t>
      </w:r>
    </w:p>
    <w:p w14:paraId="2CC9362C">
      <w:pPr>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检查漏报率评价基数为4%，低于4%的每降低1%加0.5分。检查漏报率在4%～10%（含）的，每上升1%扣0.3分；检查漏报率在10%～20%（含）的，每上升1%扣0.5分；检查漏报率在20%～30%（含）的，每上升1%扣1分；检查漏报率超过30%的，每上升1%扣2分，直至总分扣完。</w:t>
      </w:r>
    </w:p>
    <w:p w14:paraId="56F09EE4">
      <w:pPr>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计算公式为：检查漏报率=∑（各类问题漏报数×类别权重系数）/∑（当月各类问题校核总数×类别权重系数）×100%。</w:t>
      </w:r>
    </w:p>
    <w:p w14:paraId="0045970D">
      <w:pPr>
        <w:pStyle w:val="482"/>
        <w:numPr>
          <w:ilvl w:val="0"/>
          <w:numId w:val="0"/>
        </w:numPr>
        <w:spacing w:line="360" w:lineRule="auto"/>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漏报件。</w:t>
      </w:r>
      <w:r>
        <w:rPr>
          <w:rFonts w:hint="eastAsia" w:asciiTheme="minorEastAsia" w:hAnsiTheme="minorEastAsia" w:eastAsiaTheme="minorEastAsia" w:cstheme="minorEastAsia"/>
          <w:color w:val="auto"/>
          <w:sz w:val="24"/>
          <w:szCs w:val="24"/>
          <w:highlight w:val="none"/>
        </w:rPr>
        <w:t>①违法广告、渣土乱倒、井盖缺失</w:t>
      </w:r>
      <w:r>
        <w:rPr>
          <w:rFonts w:hint="eastAsia" w:asciiTheme="minorEastAsia" w:hAnsiTheme="minorEastAsia" w:eastAsiaTheme="minorEastAsia" w:cstheme="minorEastAsia"/>
          <w:color w:val="auto"/>
          <w:sz w:val="24"/>
          <w:szCs w:val="24"/>
          <w:highlight w:val="none"/>
          <w:lang w:eastAsia="zh-CN"/>
        </w:rPr>
        <w:t>以及</w:t>
      </w:r>
      <w:r>
        <w:rPr>
          <w:rFonts w:hint="eastAsia" w:asciiTheme="minorEastAsia" w:hAnsiTheme="minorEastAsia" w:eastAsiaTheme="minorEastAsia" w:cstheme="minorEastAsia"/>
          <w:color w:val="auto"/>
          <w:sz w:val="24"/>
          <w:szCs w:val="24"/>
          <w:highlight w:val="none"/>
        </w:rPr>
        <w:t>情况严重、影响较大的漏报件，每件扣1分。②当区域内所有来源的漏报校核件（检查数）总数小于各区检查平均数的一半时，该区域当月全面采集评价采用计件方式，每权重件扣0.8分。③</w:t>
      </w:r>
      <w:r>
        <w:rPr>
          <w:rFonts w:hint="eastAsia" w:asciiTheme="minorEastAsia" w:hAnsiTheme="minorEastAsia" w:eastAsiaTheme="minorEastAsia" w:cstheme="minorEastAsia"/>
          <w:color w:val="auto"/>
          <w:sz w:val="24"/>
          <w:szCs w:val="24"/>
          <w:highlight w:val="none"/>
          <w:lang w:eastAsia="zh-CN"/>
        </w:rPr>
        <w:t>符合中心有奖举报平台所确定的重大及以上类型</w:t>
      </w:r>
      <w:r>
        <w:rPr>
          <w:rFonts w:hint="eastAsia" w:asciiTheme="minorEastAsia" w:hAnsiTheme="minorEastAsia" w:eastAsiaTheme="minorEastAsia" w:cstheme="minorEastAsia"/>
          <w:color w:val="auto"/>
          <w:sz w:val="24"/>
          <w:szCs w:val="24"/>
          <w:highlight w:val="none"/>
          <w:lang w:val="en-US" w:eastAsia="zh-CN"/>
        </w:rPr>
        <w:t>的（已纳入</w:t>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范围的除外</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，采集时间先于市民举报的，每件加</w:t>
      </w:r>
      <w:r>
        <w:rPr>
          <w:rFonts w:hint="eastAsia" w:asciiTheme="minorEastAsia" w:hAnsiTheme="minorEastAsia" w:eastAsiaTheme="minorEastAsia" w:cstheme="minorEastAsia"/>
          <w:color w:val="auto"/>
          <w:sz w:val="24"/>
          <w:szCs w:val="24"/>
          <w:highlight w:val="none"/>
          <w:lang w:val="en-US" w:eastAsia="zh-CN"/>
        </w:rPr>
        <w:t>0.1分，迟于市民上报或未报的，每件扣0.2分。</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val="en-US" w:eastAsia="zh-CN"/>
        </w:rPr>
        <w:t>信息采集中发现存在严重安全隐患、</w:t>
      </w:r>
      <w:r>
        <w:rPr>
          <w:rFonts w:hint="eastAsia" w:asciiTheme="minorEastAsia" w:hAnsiTheme="minorEastAsia" w:eastAsiaTheme="minorEastAsia" w:cstheme="minorEastAsia"/>
          <w:bCs/>
          <w:color w:val="auto"/>
          <w:sz w:val="24"/>
          <w:szCs w:val="24"/>
          <w:highlight w:val="none"/>
          <w:lang w:eastAsia="zh-CN"/>
        </w:rPr>
        <w:t>对市民生产生活造成重大影响或提供对城市管理工作有价值</w:t>
      </w:r>
      <w:r>
        <w:rPr>
          <w:rFonts w:hint="eastAsia" w:asciiTheme="minorEastAsia" w:hAnsiTheme="minorEastAsia" w:eastAsiaTheme="minorEastAsia" w:cstheme="minorEastAsia"/>
          <w:bCs/>
          <w:color w:val="auto"/>
          <w:sz w:val="24"/>
          <w:szCs w:val="24"/>
          <w:highlight w:val="none"/>
          <w:lang w:val="en-US" w:eastAsia="zh-CN"/>
        </w:rPr>
        <w:t>线索</w:t>
      </w:r>
      <w:r>
        <w:rPr>
          <w:rFonts w:hint="eastAsia" w:asciiTheme="minorEastAsia" w:hAnsiTheme="minorEastAsia" w:eastAsiaTheme="minorEastAsia" w:cstheme="minorEastAsia"/>
          <w:bCs/>
          <w:color w:val="auto"/>
          <w:sz w:val="24"/>
          <w:szCs w:val="24"/>
          <w:highlight w:val="none"/>
          <w:lang w:eastAsia="zh-CN"/>
        </w:rPr>
        <w:t>的</w:t>
      </w:r>
      <w:r>
        <w:rPr>
          <w:rFonts w:hint="eastAsia" w:asciiTheme="minorEastAsia" w:hAnsiTheme="minorEastAsia" w:eastAsiaTheme="minorEastAsia" w:cstheme="minorEastAsia"/>
          <w:bCs/>
          <w:color w:val="auto"/>
          <w:sz w:val="24"/>
          <w:szCs w:val="24"/>
          <w:highlight w:val="none"/>
          <w:lang w:val="en-US" w:eastAsia="zh-CN"/>
        </w:rPr>
        <w:t>，每件（类）</w:t>
      </w:r>
      <w:r>
        <w:rPr>
          <w:rFonts w:hint="eastAsia" w:asciiTheme="minorEastAsia" w:hAnsiTheme="minorEastAsia" w:eastAsiaTheme="minorEastAsia" w:cstheme="minorEastAsia"/>
          <w:b w:val="0"/>
          <w:bCs/>
          <w:color w:val="auto"/>
          <w:sz w:val="24"/>
          <w:szCs w:val="24"/>
          <w:highlight w:val="none"/>
          <w:lang w:eastAsia="zh-CN"/>
        </w:rPr>
        <w:t>加</w:t>
      </w:r>
      <w:r>
        <w:rPr>
          <w:rFonts w:hint="eastAsia" w:asciiTheme="minorEastAsia" w:hAnsiTheme="minorEastAsia" w:eastAsiaTheme="minorEastAsia" w:cstheme="minorEastAsia"/>
          <w:b w:val="0"/>
          <w:bCs/>
          <w:color w:val="auto"/>
          <w:sz w:val="24"/>
          <w:szCs w:val="24"/>
          <w:highlight w:val="none"/>
          <w:lang w:val="en-US" w:eastAsia="zh-CN"/>
        </w:rPr>
        <w:t>0.2分。</w:t>
      </w:r>
      <w:r>
        <w:rPr>
          <w:rFonts w:hint="eastAsia" w:asciiTheme="minorEastAsia" w:hAnsiTheme="minorEastAsia" w:eastAsiaTheme="minorEastAsia" w:cstheme="minorEastAsia"/>
          <w:color w:val="auto"/>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以上</w:t>
      </w:r>
      <w:r>
        <w:rPr>
          <w:rFonts w:hint="eastAsia" w:asciiTheme="minorEastAsia" w:hAnsiTheme="minorEastAsia" w:eastAsiaTheme="minorEastAsia" w:cstheme="minorEastAsia"/>
          <w:color w:val="auto"/>
          <w:sz w:val="24"/>
          <w:szCs w:val="24"/>
          <w:highlight w:val="none"/>
          <w:lang w:eastAsia="zh-CN"/>
        </w:rPr>
        <w:t>情况不重复加、扣分，当月此项</w:t>
      </w:r>
      <w:r>
        <w:rPr>
          <w:rFonts w:hint="eastAsia" w:asciiTheme="minorEastAsia" w:hAnsiTheme="minorEastAsia" w:eastAsiaTheme="minorEastAsia" w:cstheme="minorEastAsia"/>
          <w:color w:val="auto"/>
          <w:sz w:val="24"/>
          <w:szCs w:val="24"/>
          <w:highlight w:val="none"/>
        </w:rPr>
        <w:t>总加分不超过</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B807DF0">
      <w:pPr>
        <w:pStyle w:val="482"/>
        <w:numPr>
          <w:ilvl w:val="0"/>
          <w:numId w:val="0"/>
        </w:numPr>
        <w:spacing w:line="360" w:lineRule="auto"/>
        <w:ind w:firstLine="241"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（3）类别覆盖率（3分）。</w:t>
      </w:r>
      <w:r>
        <w:rPr>
          <w:rFonts w:hint="eastAsia" w:asciiTheme="minorEastAsia" w:hAnsiTheme="minorEastAsia" w:eastAsiaTheme="minorEastAsia" w:cstheme="minorEastAsia"/>
          <w:bCs/>
          <w:color w:val="auto"/>
          <w:sz w:val="24"/>
          <w:szCs w:val="24"/>
          <w:highlight w:val="none"/>
        </w:rPr>
        <w:t>类别覆盖率是指每月正常立案派遣的有效立案类别数占核定的事、部类别总数的比重。</w:t>
      </w:r>
      <w:r>
        <w:rPr>
          <w:rFonts w:hint="eastAsia" w:asciiTheme="minorEastAsia" w:hAnsiTheme="minorEastAsia" w:eastAsiaTheme="minorEastAsia" w:cstheme="minorEastAsia"/>
          <w:color w:val="auto"/>
          <w:sz w:val="24"/>
          <w:szCs w:val="24"/>
          <w:highlight w:val="none"/>
        </w:rPr>
        <w:t>其计算公式为：类别覆盖率=有效立案类别数/核定的事部件类别总数。</w:t>
      </w:r>
    </w:p>
    <w:p w14:paraId="6AB1E7D2">
      <w:pPr>
        <w:pStyle w:val="482"/>
        <w:spacing w:line="360" w:lineRule="auto"/>
        <w:ind w:firstLine="328" w:firstLineChars="13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采集公司</w:t>
      </w:r>
      <w:r>
        <w:rPr>
          <w:rFonts w:hint="eastAsia" w:asciiTheme="minorEastAsia" w:hAnsiTheme="minorEastAsia" w:eastAsiaTheme="minorEastAsia" w:cstheme="minorEastAsia"/>
          <w:color w:val="auto"/>
          <w:sz w:val="24"/>
          <w:szCs w:val="24"/>
          <w:highlight w:val="none"/>
        </w:rPr>
        <w:t>每月采集覆盖类别应不少于核定事、部件类别总数的80%，每下降1%扣0.5分。</w:t>
      </w:r>
      <w:r>
        <w:rPr>
          <w:rFonts w:hint="eastAsia" w:asciiTheme="minorEastAsia" w:hAnsiTheme="minorEastAsia" w:eastAsiaTheme="minorEastAsia" w:cstheme="minorEastAsia"/>
          <w:bCs/>
          <w:color w:val="auto"/>
          <w:sz w:val="24"/>
          <w:szCs w:val="24"/>
          <w:highlight w:val="none"/>
        </w:rPr>
        <w:t>有效立案类别数计算方式：剔除作废案卷后，立案数大于3的类别数+立案数小于等于3的类别数*0.5；当月遇有连续7天（含）以上假期、应急保障或38摄氏度以上高温保障任务时，为立案数大于2的类别数+立案数小于等于2的类别数*0.5；但当月有重大案卷的类别除外。核定的事部件类别总数是指不考虑个别因素确定的数字城管事部件类别数。根据《杭州市数字化城市管理部件和事件立案结案规范（202</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年修订版）》的相关规定暂定为199类（如因实际情况变化以会议纪要明确为准）。</w:t>
      </w:r>
    </w:p>
    <w:p w14:paraId="6EFF6F17">
      <w:pPr>
        <w:pStyle w:val="482"/>
        <w:spacing w:line="360" w:lineRule="auto"/>
        <w:ind w:firstLine="330" w:firstLineChars="13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（4）视频采集。</w:t>
      </w:r>
      <w:r>
        <w:rPr>
          <w:rFonts w:hint="eastAsia" w:asciiTheme="minorEastAsia" w:hAnsiTheme="minorEastAsia" w:eastAsiaTheme="minorEastAsia" w:cstheme="minorEastAsia"/>
          <w:bCs/>
          <w:color w:val="auto"/>
          <w:sz w:val="24"/>
          <w:szCs w:val="24"/>
          <w:highlight w:val="none"/>
        </w:rPr>
        <w:t>检查并记录流媒体资源使用是否正常，如不正常</w:t>
      </w:r>
      <w:r>
        <w:rPr>
          <w:rFonts w:hint="eastAsia" w:asciiTheme="minorEastAsia" w:hAnsiTheme="minorEastAsia" w:eastAsiaTheme="minorEastAsia" w:cstheme="minorEastAsia"/>
          <w:bCs/>
          <w:color w:val="auto"/>
          <w:sz w:val="24"/>
          <w:szCs w:val="24"/>
          <w:highlight w:val="none"/>
          <w:lang w:eastAsia="zh-CN"/>
        </w:rPr>
        <w:t>应</w:t>
      </w:r>
      <w:r>
        <w:rPr>
          <w:rFonts w:hint="eastAsia" w:asciiTheme="minorEastAsia" w:hAnsiTheme="minorEastAsia" w:eastAsiaTheme="minorEastAsia" w:cstheme="minorEastAsia"/>
          <w:bCs/>
          <w:color w:val="auto"/>
          <w:sz w:val="24"/>
          <w:szCs w:val="24"/>
          <w:highlight w:val="none"/>
        </w:rPr>
        <w:t>于当日向运维部门报修。未及时报修的，每发生一次扣0.2分；充分使用流媒体资源，每日使用固定流媒体上报案卷数量原则上不少于自建固定流媒体资源数量的10%（视频中无问题的应提供上午和下午无问题流媒体的视频截图），视频中有应采集问题而未及时采集的，每发生一次扣0.2分，采集数量少于10%的，每下降1%，扣0.2分，按件计扣的问题不再纳入百分比考核。移动视频、无人机等采集方式的使用时间每周不少于2小时。</w:t>
      </w:r>
    </w:p>
    <w:p w14:paraId="33DCB121">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2.准确性（3分）</w:t>
      </w:r>
    </w:p>
    <w:p w14:paraId="226BCB4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（1）差错率。</w:t>
      </w:r>
      <w:r>
        <w:rPr>
          <w:rFonts w:hint="eastAsia" w:asciiTheme="minorEastAsia" w:hAnsiTheme="minorEastAsia" w:eastAsiaTheme="minorEastAsia" w:cstheme="minorEastAsia"/>
          <w:color w:val="auto"/>
          <w:sz w:val="24"/>
          <w:szCs w:val="24"/>
          <w:highlight w:val="none"/>
        </w:rPr>
        <w:t>差错率是指预立案差错件、立案差错件、核查差错件、有责作废件、抽查发现差错件、网络单位反映差错件等，经主管部门校核确认为差错的，根据差错权重系数计算后占当月</w:t>
      </w:r>
      <w:r>
        <w:rPr>
          <w:rFonts w:hint="eastAsia" w:asciiTheme="minorEastAsia" w:hAnsiTheme="minorEastAsia" w:eastAsiaTheme="minorEastAsia" w:cstheme="minorEastAsia"/>
          <w:color w:val="auto"/>
          <w:sz w:val="24"/>
          <w:szCs w:val="24"/>
          <w:highlight w:val="none"/>
          <w:lang w:eastAsia="zh-CN"/>
        </w:rPr>
        <w:t>被抽查的案卷总</w:t>
      </w:r>
      <w:r>
        <w:rPr>
          <w:rFonts w:hint="eastAsia" w:asciiTheme="minorEastAsia" w:hAnsiTheme="minorEastAsia" w:eastAsiaTheme="minorEastAsia" w:cstheme="minorEastAsia"/>
          <w:color w:val="auto"/>
          <w:sz w:val="24"/>
          <w:szCs w:val="24"/>
          <w:highlight w:val="none"/>
        </w:rPr>
        <w:t>数的比重。其计算公式为：差错率=∑（各类差错件数量×差错权重系数）/当月</w:t>
      </w:r>
      <w:r>
        <w:rPr>
          <w:rFonts w:hint="eastAsia" w:asciiTheme="minorEastAsia" w:hAnsiTheme="minorEastAsia" w:eastAsiaTheme="minorEastAsia" w:cstheme="minorEastAsia"/>
          <w:color w:val="auto"/>
          <w:sz w:val="24"/>
          <w:szCs w:val="24"/>
          <w:highlight w:val="none"/>
          <w:lang w:eastAsia="zh-CN"/>
        </w:rPr>
        <w:t>被抽查的案卷总</w:t>
      </w:r>
      <w:r>
        <w:rPr>
          <w:rFonts w:hint="eastAsia" w:asciiTheme="minorEastAsia" w:hAnsiTheme="minorEastAsia" w:eastAsiaTheme="minorEastAsia" w:cstheme="minorEastAsia"/>
          <w:color w:val="auto"/>
          <w:sz w:val="24"/>
          <w:szCs w:val="24"/>
          <w:highlight w:val="none"/>
        </w:rPr>
        <w:t>数×100%。差错权重系数设置如下：不立案差错件权重系数为0.5，抽查发现差错件系数为1，有责作废件系数为1，轻微案卷系数为0.1。差错率评价基数为2%，差错率高于2%的，每上升1%扣1分。</w:t>
      </w:r>
    </w:p>
    <w:p w14:paraId="11EC65F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（2）差错件。</w:t>
      </w:r>
      <w:r>
        <w:rPr>
          <w:rFonts w:hint="eastAsia" w:asciiTheme="minorEastAsia" w:hAnsiTheme="minorEastAsia" w:eastAsiaTheme="minorEastAsia" w:cstheme="minorEastAsia"/>
          <w:color w:val="auto"/>
          <w:sz w:val="24"/>
          <w:szCs w:val="24"/>
          <w:highlight w:val="none"/>
        </w:rPr>
        <w:t>差错件造成重大影响的，每件扣0.5分。</w:t>
      </w:r>
    </w:p>
    <w:p w14:paraId="1EEA6A79">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3.及时性（2分）</w:t>
      </w:r>
    </w:p>
    <w:p w14:paraId="751748CB">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（1）（预）立案及时率。</w:t>
      </w:r>
      <w:r>
        <w:rPr>
          <w:rFonts w:hint="eastAsia" w:asciiTheme="minorEastAsia" w:hAnsiTheme="minorEastAsia" w:eastAsiaTheme="minorEastAsia" w:cstheme="minorEastAsia"/>
          <w:color w:val="auto"/>
          <w:sz w:val="24"/>
          <w:szCs w:val="24"/>
          <w:highlight w:val="none"/>
        </w:rPr>
        <w:t>采集公司应在10分钟内完成上报案卷的（预）立案，（预）立案及时率计算公式为：（预）立案及时率=【及时（预）立案数/应（预）立案总数】×100%。（预）立案及时率评价基数为98%，低于98%的每下降1%扣0.2分。如因超时造成重大影响的，每次扣0.5分。</w:t>
      </w:r>
    </w:p>
    <w:p w14:paraId="02F0C755">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（2）核查发送及时率。</w:t>
      </w:r>
      <w:r>
        <w:rPr>
          <w:rFonts w:hint="eastAsia" w:asciiTheme="minorEastAsia" w:hAnsiTheme="minorEastAsia" w:eastAsiaTheme="minorEastAsia" w:cstheme="minorEastAsia"/>
          <w:color w:val="auto"/>
          <w:sz w:val="24"/>
          <w:szCs w:val="24"/>
          <w:highlight w:val="none"/>
        </w:rPr>
        <w:t>采集公司应在20分钟内完成核查信息发送，核查发送及时率计算公式为：核查发送及时率=（及时发送核查数/应发送核查数）×100％。核查发送及时率评价基数为98%，低于98%的每下降1%扣0.5分。如因超时造成重大影响的，每次扣0.5分。</w:t>
      </w:r>
    </w:p>
    <w:p w14:paraId="2E5420FD">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（3）核查回复及时率。</w:t>
      </w:r>
      <w:r>
        <w:rPr>
          <w:rFonts w:hint="eastAsia" w:asciiTheme="minorEastAsia" w:hAnsiTheme="minorEastAsia" w:eastAsiaTheme="minorEastAsia" w:cstheme="minorEastAsia"/>
          <w:color w:val="auto"/>
          <w:sz w:val="24"/>
          <w:szCs w:val="24"/>
          <w:highlight w:val="none"/>
        </w:rPr>
        <w:t>采集人员应在2小时内完成核查信息回复，核查回复及时率计算公式为：核查回复及时率=(及时回复核查数/应回复核查数)×100％。核查回复及时率评价基数为98%，低于98%的每下降1%扣0.5分。如因超时造成重大影响的，每次扣0.5分。</w:t>
      </w:r>
    </w:p>
    <w:p w14:paraId="7072C871">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（4）指令核实。</w:t>
      </w:r>
      <w:r>
        <w:rPr>
          <w:rFonts w:hint="eastAsia" w:asciiTheme="minorEastAsia" w:hAnsiTheme="minorEastAsia" w:eastAsiaTheme="minorEastAsia" w:cstheme="minorEastAsia"/>
          <w:color w:val="auto"/>
          <w:sz w:val="24"/>
          <w:szCs w:val="24"/>
          <w:highlight w:val="none"/>
        </w:rPr>
        <w:t>核实指令应及时回复，未在规定时间内回复，每发生1件扣0.1分。</w:t>
      </w:r>
    </w:p>
    <w:p w14:paraId="7B30A7E6">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（5）其它。</w:t>
      </w:r>
    </w:p>
    <w:p w14:paraId="45780566">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（二）过程指标（25分）</w:t>
      </w:r>
    </w:p>
    <w:p w14:paraId="2EF9D87B">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4.人员管理（10分）</w:t>
      </w:r>
    </w:p>
    <w:p w14:paraId="07004635">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（1）人员配置。</w:t>
      </w:r>
      <w:r>
        <w:rPr>
          <w:rFonts w:hint="eastAsia" w:asciiTheme="minorEastAsia" w:hAnsiTheme="minorEastAsia" w:eastAsiaTheme="minorEastAsia" w:cstheme="minorEastAsia"/>
          <w:color w:val="auto"/>
          <w:sz w:val="24"/>
          <w:szCs w:val="24"/>
          <w:highlight w:val="none"/>
        </w:rPr>
        <w:t>采集公司应按合同要求配置专职工作人员，确保</w:t>
      </w:r>
      <w:r>
        <w:rPr>
          <w:rFonts w:hint="eastAsia" w:asciiTheme="minorEastAsia" w:hAnsiTheme="minorEastAsia" w:eastAsiaTheme="minorEastAsia"/>
          <w:color w:val="auto"/>
          <w:sz w:val="24"/>
          <w:highlight w:val="none"/>
        </w:rPr>
        <w:t>7：30-</w:t>
      </w:r>
      <w:r>
        <w:rPr>
          <w:rFonts w:hint="eastAsia" w:asciiTheme="minorEastAsia" w:hAnsiTheme="minorEastAsia" w:eastAsiaTheme="minorEastAsia"/>
          <w:color w:val="auto"/>
          <w:sz w:val="24"/>
          <w:highlight w:val="none"/>
          <w:lang w:val="en-US" w:eastAsia="zh-CN"/>
        </w:rPr>
        <w:t>11：30和13：30-</w:t>
      </w:r>
      <w:r>
        <w:rPr>
          <w:rFonts w:hint="eastAsia" w:asciiTheme="minorEastAsia" w:hAnsiTheme="minorEastAsia" w:eastAsiaTheme="minorEastAsia"/>
          <w:color w:val="auto"/>
          <w:sz w:val="24"/>
          <w:highlight w:val="none"/>
        </w:rPr>
        <w:t>18：00，每个工作网格确保至少1名采集员在岗；</w:t>
      </w:r>
      <w:r>
        <w:rPr>
          <w:rFonts w:hint="eastAsia" w:asciiTheme="minorEastAsia" w:hAnsiTheme="minorEastAsia" w:eastAsiaTheme="minorEastAsia"/>
          <w:color w:val="auto"/>
          <w:sz w:val="24"/>
          <w:highlight w:val="none"/>
          <w:lang w:val="en-US" w:eastAsia="zh-CN"/>
        </w:rPr>
        <w:t>11：30-13：30和</w:t>
      </w:r>
      <w:r>
        <w:rPr>
          <w:rFonts w:hint="eastAsia" w:asciiTheme="minorEastAsia" w:hAnsiTheme="minorEastAsia" w:eastAsiaTheme="minorEastAsia"/>
          <w:color w:val="auto"/>
          <w:sz w:val="24"/>
          <w:highlight w:val="none"/>
        </w:rPr>
        <w:t>18:00-21:</w:t>
      </w:r>
      <w:r>
        <w:rPr>
          <w:rFonts w:hint="eastAsia"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sz w:val="24"/>
          <w:highlight w:val="none"/>
        </w:rPr>
        <w:t>每两个工作网格确保至少1名采集员在岗</w:t>
      </w:r>
      <w:r>
        <w:rPr>
          <w:rFonts w:hint="eastAsia" w:asciiTheme="minorEastAsia" w:hAnsiTheme="minorEastAsia" w:eastAsiaTheme="minorEastAsia" w:cstheme="minorEastAsia"/>
          <w:color w:val="auto"/>
          <w:sz w:val="24"/>
          <w:szCs w:val="24"/>
          <w:highlight w:val="none"/>
        </w:rPr>
        <w:t>；国家法定节假日根据需要配备网格人员数；抽查每少1人次扣0.5分。</w:t>
      </w:r>
    </w:p>
    <w:p w14:paraId="4F25B31E">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（2）队伍稳定。</w:t>
      </w:r>
      <w:r>
        <w:rPr>
          <w:rFonts w:hint="eastAsia" w:asciiTheme="minorEastAsia" w:hAnsiTheme="minorEastAsia" w:eastAsiaTheme="minorEastAsia" w:cstheme="minorEastAsia"/>
          <w:color w:val="auto"/>
          <w:sz w:val="24"/>
          <w:szCs w:val="24"/>
          <w:highlight w:val="none"/>
        </w:rPr>
        <w:t>采集公司应按要求做好队伍管理，确保队伍稳定。抽查发现采集公司管理层擅自变更、暂离或暂离超过期限（10天）的，每次扣0.5分;采集员月流动比例不超过5%，抽查发现流动比例超过5%的每增加1%扣0.05分。员工流动比例=(离职人员数/额定人数)×100%。</w:t>
      </w:r>
    </w:p>
    <w:p w14:paraId="59D32FB5">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（3）培训质量。</w:t>
      </w:r>
      <w:r>
        <w:rPr>
          <w:rFonts w:hint="eastAsia" w:asciiTheme="minorEastAsia" w:hAnsiTheme="minorEastAsia" w:eastAsiaTheme="minorEastAsia" w:cstheme="minorEastAsia"/>
          <w:color w:val="auto"/>
          <w:sz w:val="24"/>
          <w:szCs w:val="24"/>
          <w:highlight w:val="none"/>
        </w:rPr>
        <w:t>主管部门定期</w:t>
      </w:r>
      <w:r>
        <w:rPr>
          <w:rFonts w:hint="eastAsia" w:asciiTheme="minorEastAsia" w:hAnsiTheme="minorEastAsia" w:eastAsiaTheme="minorEastAsia" w:cstheme="minorEastAsia"/>
          <w:bCs/>
          <w:color w:val="auto"/>
          <w:sz w:val="24"/>
          <w:szCs w:val="24"/>
          <w:highlight w:val="none"/>
        </w:rPr>
        <w:t>组织采集人员进行培训,培训合格率</w:t>
      </w:r>
      <w:r>
        <w:rPr>
          <w:rFonts w:hint="eastAsia" w:asciiTheme="minorEastAsia" w:hAnsiTheme="minorEastAsia" w:eastAsiaTheme="minorEastAsia" w:cstheme="minorEastAsia"/>
          <w:color w:val="auto"/>
          <w:sz w:val="24"/>
          <w:szCs w:val="24"/>
          <w:highlight w:val="none"/>
        </w:rPr>
        <w:t>以85％为基数，低于该基数的每发生1人次扣0.05分。人员培训合格率＝（培训合格人员数/参加培训人员总数）×100％。</w:t>
      </w:r>
    </w:p>
    <w:p w14:paraId="23BCDA9D">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）持证上岗。</w:t>
      </w:r>
      <w:r>
        <w:rPr>
          <w:rFonts w:hint="eastAsia" w:asciiTheme="minorEastAsia" w:hAnsiTheme="minorEastAsia" w:eastAsiaTheme="minorEastAsia" w:cstheme="minorEastAsia"/>
          <w:color w:val="auto"/>
          <w:sz w:val="24"/>
          <w:szCs w:val="24"/>
          <w:highlight w:val="none"/>
        </w:rPr>
        <w:t>采集公司必须确保采集员持证上岗。如出现未经培训取得上岗资格或未持证从事采集工作，抽查发现1人次扣0.5分。</w:t>
      </w:r>
    </w:p>
    <w:p w14:paraId="63F4B223">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）巡查轨迹。</w:t>
      </w:r>
      <w:r>
        <w:rPr>
          <w:rFonts w:hint="eastAsia" w:asciiTheme="minorEastAsia" w:hAnsiTheme="minorEastAsia" w:eastAsiaTheme="minorEastAsia" w:cstheme="minorEastAsia"/>
          <w:color w:val="auto"/>
          <w:sz w:val="24"/>
          <w:szCs w:val="24"/>
          <w:highlight w:val="none"/>
        </w:rPr>
        <w:t>采集公司巡查区域为数字城管覆盖区域，其覆盖区域根据各城区实际城市化管理区域适当调整。巡查频次要求由主管部门根据招标合同的相关内容结合实际情况具体确定。巡查覆盖情况达不到要求的，抽查发现1人次扣0.15分。</w:t>
      </w:r>
    </w:p>
    <w:p w14:paraId="717142E4">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）日常管理。</w:t>
      </w:r>
      <w:r>
        <w:rPr>
          <w:rFonts w:hint="eastAsia" w:asciiTheme="minorEastAsia" w:hAnsiTheme="minorEastAsia" w:eastAsiaTheme="minorEastAsia" w:cstheme="minorEastAsia"/>
          <w:color w:val="auto"/>
          <w:sz w:val="24"/>
          <w:szCs w:val="24"/>
          <w:highlight w:val="none"/>
        </w:rPr>
        <w:t>员工不得迟到、早退、溜岗、缺岗，抽查发现1人次扣0.1分。</w:t>
      </w:r>
    </w:p>
    <w:p w14:paraId="0AC60171">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）异地采集。</w:t>
      </w:r>
      <w:r>
        <w:rPr>
          <w:rFonts w:hint="eastAsia" w:asciiTheme="minorEastAsia" w:hAnsiTheme="minorEastAsia" w:eastAsiaTheme="minorEastAsia" w:cstheme="minorEastAsia"/>
          <w:color w:val="auto"/>
          <w:sz w:val="24"/>
          <w:szCs w:val="24"/>
          <w:highlight w:val="none"/>
        </w:rPr>
        <w:t>员工及其直系亲属在工作区域内不得存在生活、工作或利益关联，抽查发现1人次扣1分。</w:t>
      </w:r>
    </w:p>
    <w:p w14:paraId="4D8E289B">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）定区采集。</w:t>
      </w:r>
      <w:r>
        <w:rPr>
          <w:rFonts w:hint="eastAsia" w:asciiTheme="minorEastAsia" w:hAnsiTheme="minorEastAsia" w:eastAsiaTheme="minorEastAsia" w:cstheme="minorEastAsia"/>
          <w:color w:val="auto"/>
          <w:sz w:val="24"/>
          <w:szCs w:val="24"/>
          <w:highlight w:val="none"/>
        </w:rPr>
        <w:t>采集公司未经允许擅自变更员工巡查区域，抽查发现1人次扣0.15分。</w:t>
      </w:r>
    </w:p>
    <w:p w14:paraId="18480391">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）定期轮岗。</w:t>
      </w:r>
      <w:r>
        <w:rPr>
          <w:rFonts w:hint="eastAsia" w:asciiTheme="minorEastAsia" w:hAnsiTheme="minorEastAsia" w:eastAsiaTheme="minorEastAsia" w:cstheme="minorEastAsia"/>
          <w:color w:val="auto"/>
          <w:sz w:val="24"/>
          <w:szCs w:val="24"/>
          <w:highlight w:val="none"/>
        </w:rPr>
        <w:t>采集公司应做好人员轮岗，原则上每3个月进行一次采集员、班组长区域轮岗（原则上网格全员轮岗，街道轮岗80%以上）。未按要求执行轮岗的，每人次扣0.5分。</w:t>
      </w:r>
    </w:p>
    <w:p w14:paraId="765AEB13">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5.工作台账（5分）</w:t>
      </w:r>
    </w:p>
    <w:p w14:paraId="3A82CAAE">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（1）制度建设。</w:t>
      </w:r>
      <w:r>
        <w:rPr>
          <w:rFonts w:hint="eastAsia" w:asciiTheme="minorEastAsia" w:hAnsiTheme="minorEastAsia" w:eastAsiaTheme="minorEastAsia" w:cstheme="minorEastAsia"/>
          <w:color w:val="auto"/>
          <w:sz w:val="24"/>
          <w:szCs w:val="24"/>
          <w:highlight w:val="none"/>
        </w:rPr>
        <w:t>采集公司应根据本办法细化管理内容和流程,建立本公司绩效考核办法,明确质量管理目标、管理制度、工作程序、工作记录、人员管控和考核检查奖惩办法，抽查发现缺1项扣0.3分。</w:t>
      </w:r>
    </w:p>
    <w:p w14:paraId="23A15570">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（2）设备管理。</w:t>
      </w:r>
      <w:r>
        <w:rPr>
          <w:rFonts w:hint="eastAsia" w:asciiTheme="minorEastAsia" w:hAnsiTheme="minorEastAsia" w:eastAsiaTheme="minorEastAsia" w:cstheme="minorEastAsia"/>
          <w:color w:val="auto"/>
          <w:sz w:val="24"/>
          <w:szCs w:val="24"/>
          <w:highlight w:val="none"/>
        </w:rPr>
        <w:t>采集公司应制定采集器使用管理办法，做好采集器的管理，防止人为丢失或损坏，因主观原因造成采集器丢失、损坏的，一经查实，每次扣1分。</w:t>
      </w:r>
    </w:p>
    <w:p w14:paraId="7552FA79">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（3）台账管理。</w:t>
      </w:r>
      <w:r>
        <w:rPr>
          <w:rFonts w:hint="eastAsia" w:asciiTheme="minorEastAsia" w:hAnsiTheme="minorEastAsia" w:eastAsiaTheme="minorEastAsia" w:cstheme="minorEastAsia"/>
          <w:color w:val="auto"/>
          <w:sz w:val="24"/>
          <w:szCs w:val="24"/>
          <w:highlight w:val="none"/>
        </w:rPr>
        <w:t>采集公司应建立人员管理、设备管理、账务管理、宣传管理（企业文化）等内容的台账，实时做好台账的更新。未做好台帐、台帐不全、弄虚作假的，每发生1次扣1分。</w:t>
      </w:r>
    </w:p>
    <w:p w14:paraId="5A9229DC">
      <w:pPr>
        <w:pStyle w:val="24"/>
        <w:spacing w:line="360" w:lineRule="auto"/>
        <w:ind w:firstLine="643"/>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6.指令执行（5分）</w:t>
      </w:r>
    </w:p>
    <w:p w14:paraId="05854F6F">
      <w:pPr>
        <w:pStyle w:val="482"/>
        <w:spacing w:line="360" w:lineRule="auto"/>
        <w:ind w:firstLine="494"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按要求做好主管部门发出指令的执行工作。出现应急、重大活动保障或其他工作指令执行不力的，每发生1次扣1.5分；各采集公司应积极运用新技术(移动或固定探头）等参与采集工作，未按要求落实的，每次扣1分；出色完成指令任务或新技术运用的，加1分；全面完成保障任务的，每次加0.5分</w:t>
      </w:r>
      <w:r>
        <w:rPr>
          <w:rFonts w:hint="eastAsia" w:asciiTheme="minorEastAsia" w:hAnsiTheme="minorEastAsia" w:eastAsiaTheme="minorEastAsia" w:cstheme="minorEastAsia"/>
          <w:color w:val="auto"/>
          <w:sz w:val="24"/>
          <w:szCs w:val="24"/>
          <w:highlight w:val="none"/>
          <w:lang w:eastAsia="zh-CN"/>
        </w:rPr>
        <w:t>；该项加分每月最高限为3分</w:t>
      </w:r>
      <w:r>
        <w:rPr>
          <w:rFonts w:hint="eastAsia" w:asciiTheme="minorEastAsia" w:hAnsiTheme="minorEastAsia" w:eastAsiaTheme="minorEastAsia" w:cstheme="minorEastAsia"/>
          <w:color w:val="auto"/>
          <w:sz w:val="24"/>
          <w:szCs w:val="24"/>
          <w:highlight w:val="none"/>
        </w:rPr>
        <w:t>。</w:t>
      </w:r>
    </w:p>
    <w:p w14:paraId="2647DFE2">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7.舆情报送（5分）</w:t>
      </w:r>
    </w:p>
    <w:p w14:paraId="71508116">
      <w:pPr>
        <w:pStyle w:val="48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专线电话85808191或包括微信群、钉钉群以及数字城管系统等其它途径配合做好以下相关舆情报送工作：①全市涉及人身安全、财产损失、社会稳定等舆情收集上报工作；②全市城市管理重大活动及节假日期间的综合指挥和保障工作；③全市防指“两防两抗”，城市管理有关市政、公用突发事件的应急指挥、协调、督办等工作；④综合指挥系统数据的分析研判工作；</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5 \* GB3</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⑤</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上级交办的其他任务。上报不及时或不全面的，每发生一次扣0.5分，漏报的每发生一次扣1分。</w:t>
      </w:r>
    </w:p>
    <w:p w14:paraId="2440CBB2">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8.宣传工作</w:t>
      </w:r>
    </w:p>
    <w:p w14:paraId="7B8B962C">
      <w:pPr>
        <w:pStyle w:val="48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采集公司应做好信息采集宣传工作。按要求上报微博</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篇/月，微信（抖音）</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篇/月，动态1篇/旬，月报1篇/月以及其它临时宣传工作。采集公司应保证信息采集宣传材料的质量，以每月宣传材料被主管部门录用微博1篇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微信</w:t>
      </w:r>
      <w:r>
        <w:rPr>
          <w:rFonts w:hint="eastAsia" w:asciiTheme="minorEastAsia" w:hAnsiTheme="minorEastAsia" w:eastAsiaTheme="minorEastAsia" w:cstheme="minorEastAsia"/>
          <w:color w:val="auto"/>
          <w:sz w:val="24"/>
          <w:szCs w:val="24"/>
          <w:highlight w:val="none"/>
          <w:lang w:eastAsia="zh-CN"/>
        </w:rPr>
        <w:t>、月报、媒体</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抖音</w:t>
      </w:r>
      <w:r>
        <w:rPr>
          <w:rFonts w:hint="eastAsia" w:asciiTheme="minorEastAsia" w:hAnsiTheme="minorEastAsia" w:eastAsiaTheme="minorEastAsia" w:cstheme="minorEastAsia"/>
          <w:color w:val="auto"/>
          <w:sz w:val="24"/>
          <w:szCs w:val="24"/>
          <w:highlight w:val="none"/>
          <w:lang w:eastAsia="zh-CN"/>
        </w:rPr>
        <w:t>任</w:t>
      </w:r>
      <w:r>
        <w:rPr>
          <w:rFonts w:hint="eastAsia" w:asciiTheme="minorEastAsia" w:hAnsiTheme="minorEastAsia" w:eastAsiaTheme="minorEastAsia" w:cstheme="minorEastAsia"/>
          <w:color w:val="auto"/>
          <w:sz w:val="24"/>
          <w:szCs w:val="24"/>
          <w:highlight w:val="none"/>
        </w:rPr>
        <w:t>1篇</w:t>
      </w:r>
      <w:r>
        <w:rPr>
          <w:rFonts w:hint="eastAsia" w:asciiTheme="minorEastAsia" w:hAnsiTheme="minorEastAsia" w:eastAsiaTheme="minorEastAsia" w:cstheme="minorEastAsia"/>
          <w:color w:val="auto"/>
          <w:sz w:val="24"/>
          <w:szCs w:val="24"/>
          <w:highlight w:val="none"/>
          <w:lang w:eastAsia="zh-CN"/>
        </w:rPr>
        <w:t>，被录用作品的阅读、点赞或转发量在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作为每月宣传工作的考核基准，报送数量或录用数量未达标准者，微博扣0.</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分/篇，微信</w:t>
      </w:r>
      <w:r>
        <w:rPr>
          <w:rFonts w:hint="eastAsia" w:asciiTheme="minorEastAsia" w:hAnsiTheme="minorEastAsia" w:eastAsiaTheme="minorEastAsia" w:cstheme="minorEastAsia"/>
          <w:color w:val="auto"/>
          <w:sz w:val="24"/>
          <w:szCs w:val="24"/>
          <w:highlight w:val="none"/>
          <w:lang w:eastAsia="zh-CN"/>
        </w:rPr>
        <w:t>、月报和媒体以及</w:t>
      </w:r>
      <w:r>
        <w:rPr>
          <w:rFonts w:hint="eastAsia" w:asciiTheme="minorEastAsia" w:hAnsiTheme="minorEastAsia" w:eastAsiaTheme="minorEastAsia" w:cstheme="minorEastAsia"/>
          <w:color w:val="auto"/>
          <w:sz w:val="24"/>
          <w:szCs w:val="24"/>
          <w:highlight w:val="none"/>
        </w:rPr>
        <w:t>抖音扣0.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分/篇，</w:t>
      </w:r>
      <w:r>
        <w:rPr>
          <w:rFonts w:hint="eastAsia" w:asciiTheme="minorEastAsia" w:hAnsiTheme="minorEastAsia" w:eastAsiaTheme="minorEastAsia" w:cstheme="minorEastAsia"/>
          <w:color w:val="auto"/>
          <w:sz w:val="24"/>
          <w:szCs w:val="24"/>
          <w:highlight w:val="none"/>
          <w:lang w:val="en-US" w:eastAsia="zh-CN"/>
        </w:rPr>
        <w:t>上述</w:t>
      </w:r>
      <w:r>
        <w:rPr>
          <w:rFonts w:hint="eastAsia" w:asciiTheme="minorEastAsia" w:hAnsiTheme="minorEastAsia" w:eastAsiaTheme="minorEastAsia" w:cstheme="minorEastAsia"/>
          <w:color w:val="auto"/>
          <w:sz w:val="24"/>
          <w:szCs w:val="24"/>
          <w:highlight w:val="none"/>
        </w:rPr>
        <w:t>扣分最高不超过2分。采集公司在完成月录用上报标准的基础上，宣传材料另被录用的，微博被</w:t>
      </w:r>
      <w:r>
        <w:rPr>
          <w:rFonts w:hint="eastAsia" w:asciiTheme="minorEastAsia" w:hAnsiTheme="minorEastAsia" w:eastAsiaTheme="minorEastAsia" w:cstheme="minorEastAsia"/>
          <w:color w:val="auto"/>
          <w:sz w:val="24"/>
          <w:szCs w:val="24"/>
          <w:highlight w:val="none"/>
          <w:lang w:eastAsia="zh-CN"/>
        </w:rPr>
        <w:t>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，加0.1分/篇；微信（或抖音）被</w:t>
      </w:r>
      <w:r>
        <w:rPr>
          <w:rFonts w:hint="eastAsia" w:asciiTheme="minorEastAsia" w:hAnsiTheme="minorEastAsia" w:eastAsiaTheme="minorEastAsia" w:cstheme="minorEastAsia"/>
          <w:color w:val="auto"/>
          <w:sz w:val="24"/>
          <w:szCs w:val="24"/>
          <w:highlight w:val="none"/>
          <w:lang w:eastAsia="zh-CN"/>
        </w:rPr>
        <w:t>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，加0.5分/篇；月报被录用加0.5分/篇</w:t>
      </w:r>
      <w:r>
        <w:rPr>
          <w:rFonts w:hint="eastAsia" w:asciiTheme="minorEastAsia" w:hAnsiTheme="minorEastAsia" w:eastAsiaTheme="minorEastAsia" w:cstheme="minorEastAsia"/>
          <w:color w:val="auto"/>
          <w:sz w:val="24"/>
          <w:szCs w:val="24"/>
          <w:highlight w:val="none"/>
          <w:lang w:eastAsia="zh-CN"/>
        </w:rPr>
        <w:t>；宣传动态</w:t>
      </w:r>
      <w:r>
        <w:rPr>
          <w:rFonts w:hint="eastAsia" w:asciiTheme="minorEastAsia" w:hAnsiTheme="minorEastAsia" w:eastAsiaTheme="minorEastAsia" w:cstheme="minorEastAsia"/>
          <w:color w:val="auto"/>
          <w:sz w:val="24"/>
          <w:szCs w:val="24"/>
          <w:highlight w:val="none"/>
          <w:lang w:val="en-US" w:eastAsia="zh-CN"/>
        </w:rPr>
        <w:t>被浙江之声等电台或报刊媒体录用的加0.5分/篇，</w:t>
      </w:r>
      <w:r>
        <w:rPr>
          <w:rFonts w:hint="eastAsia" w:asciiTheme="minorEastAsia" w:hAnsiTheme="minorEastAsia" w:eastAsiaTheme="minorEastAsia" w:cstheme="minorEastAsia"/>
          <w:color w:val="auto"/>
          <w:sz w:val="24"/>
          <w:szCs w:val="24"/>
          <w:highlight w:val="none"/>
        </w:rPr>
        <w:t>以上总加分不超过3分。未完成上级主管部门部署的宣传工作任务；未落实采访接待制度规定、首问责任制；直接拒绝采访、推诿；未及时回应处置，产生负面报道；主动发布的重大新闻未经领导同意，未按要求召开新闻通报会、发布通稿；发布信息有误；重要信息在媒体、网络等公开前，没有及时上报或迟报的，每次扣1-2分。</w:t>
      </w:r>
    </w:p>
    <w:p w14:paraId="6C541B4C">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（三）诚信指标（10分）</w:t>
      </w:r>
    </w:p>
    <w:p w14:paraId="1A48E4E9">
      <w:pPr>
        <w:pStyle w:val="482"/>
        <w:spacing w:line="360" w:lineRule="auto"/>
        <w:ind w:firstLine="496"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9.参训工作（3分）</w:t>
      </w:r>
      <w:r>
        <w:rPr>
          <w:rFonts w:hint="eastAsia" w:asciiTheme="minorEastAsia" w:hAnsiTheme="minorEastAsia" w:eastAsiaTheme="minorEastAsia" w:cstheme="minorEastAsia"/>
          <w:color w:val="auto"/>
          <w:sz w:val="24"/>
          <w:szCs w:val="24"/>
          <w:highlight w:val="none"/>
        </w:rPr>
        <w:t>采集公司应按主管部门要求做好参训员的选送工作。参训员未及时选送，每次扣1分；一年中更换参训员3次（不含）以上的，每发生一次在当月考核中扣1分；参训员未通过业务测试的，每次扣0.25分。</w:t>
      </w:r>
    </w:p>
    <w:p w14:paraId="3AE4EF7C">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10.诚信管理（7分）</w:t>
      </w:r>
    </w:p>
    <w:p w14:paraId="0D91EF9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（1）职业道德。</w:t>
      </w:r>
      <w:r>
        <w:rPr>
          <w:rFonts w:hint="eastAsia" w:asciiTheme="minorEastAsia" w:hAnsiTheme="minorEastAsia" w:eastAsiaTheme="minorEastAsia" w:cstheme="minorEastAsia"/>
          <w:color w:val="auto"/>
          <w:sz w:val="24"/>
          <w:szCs w:val="24"/>
          <w:highlight w:val="none"/>
        </w:rPr>
        <w:t>采集公司应遵守信息采集职业道德要求，存在报复性采集行为，每次扣1分;存在“吃、拿、卡、要”，串通或选择性采集，虚假信息，有责纠纷（投诉）等行为，每次扣2分；存在涉嫌通过投诉信访、</w:t>
      </w:r>
      <w:r>
        <w:rPr>
          <w:rFonts w:hint="eastAsia" w:asciiTheme="minorEastAsia" w:hAnsiTheme="minorEastAsia" w:eastAsiaTheme="minorEastAsia" w:cstheme="minorEastAsia"/>
          <w:color w:val="auto"/>
          <w:sz w:val="24"/>
          <w:szCs w:val="24"/>
          <w:highlight w:val="none"/>
          <w:lang w:eastAsia="zh-CN"/>
        </w:rPr>
        <w:t>有奖举报</w:t>
      </w:r>
      <w:r>
        <w:rPr>
          <w:rFonts w:hint="eastAsia" w:asciiTheme="minorEastAsia" w:hAnsiTheme="minorEastAsia" w:eastAsiaTheme="minorEastAsia" w:cstheme="minorEastAsia"/>
          <w:color w:val="auto"/>
          <w:sz w:val="24"/>
          <w:szCs w:val="24"/>
          <w:highlight w:val="none"/>
        </w:rPr>
        <w:t>等手段恶意拉低区域漏报率的，每次扣2分;存在涉嫌与网络单位串通修改留置案卷的，每次扣2分。</w:t>
      </w:r>
    </w:p>
    <w:p w14:paraId="23DC3527">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（2）员工稳定。</w:t>
      </w:r>
      <w:r>
        <w:rPr>
          <w:rFonts w:hint="eastAsia" w:asciiTheme="minorEastAsia" w:hAnsiTheme="minorEastAsia" w:eastAsiaTheme="minorEastAsia" w:cstheme="minorEastAsia"/>
          <w:color w:val="auto"/>
          <w:sz w:val="24"/>
          <w:szCs w:val="24"/>
          <w:highlight w:val="none"/>
        </w:rPr>
        <w:t>采集公司应妥善处置好内部关系，遇有问题应逐级上报，及时向主管部门反映，不得越级反映。出现采集人员（指项目经理、管理员、采集员等信息采集各岗位人员）越级向数字城管运行机构上级主管部门或信访部门反映相关问题的，每人次扣1分。采集公司的项目经理和管理员原则不得变更，确需变更的应取得主管部门同意并履行相关审批手续。如未履行相关手续，一人次扣0.5分。</w:t>
      </w:r>
    </w:p>
    <w:p w14:paraId="7F844E6A">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11.合法经营</w:t>
      </w:r>
    </w:p>
    <w:p w14:paraId="7D945FDC">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（1）职工利益。</w:t>
      </w:r>
      <w:r>
        <w:rPr>
          <w:rFonts w:hint="eastAsia" w:asciiTheme="minorEastAsia" w:hAnsiTheme="minorEastAsia" w:eastAsiaTheme="minorEastAsia" w:cstheme="minorEastAsia"/>
          <w:color w:val="auto"/>
          <w:sz w:val="24"/>
          <w:szCs w:val="24"/>
          <w:highlight w:val="none"/>
        </w:rPr>
        <w:t>采集公司及时发放职工的工资福利，不得无故拖欠员工工资、克扣员工福利或其他违法经营行为。发生采集公司未做好工资、奖金发放及反馈等工作，每次扣1分；应做好员工相关保险的交纳工作。未交纳或未按时交纳相关保险的，抽查发现1人次扣3分。</w:t>
      </w:r>
    </w:p>
    <w:p w14:paraId="5E1FFD9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（2）规范用工。</w:t>
      </w:r>
      <w:r>
        <w:rPr>
          <w:rFonts w:hint="eastAsia" w:asciiTheme="minorEastAsia" w:hAnsiTheme="minorEastAsia" w:eastAsiaTheme="minorEastAsia" w:cstheme="minorEastAsia"/>
          <w:color w:val="auto"/>
          <w:sz w:val="24"/>
          <w:szCs w:val="24"/>
          <w:highlight w:val="none"/>
        </w:rPr>
        <w:t>采集公司开除违规人员，应在开除后次日向主管部门通报。抽查发现逾期通报或瞒报的，每次扣0.5分；采集公司不得录用不符合用工条件的人员，一经查实，每次扣0.5分,在接到主管部门通知后，采集公司不予纠正仍继续使用此类人员的，每次扣2分。</w:t>
      </w:r>
    </w:p>
    <w:p w14:paraId="2F52CC4B">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（四）协同评价(35分)</w:t>
      </w:r>
    </w:p>
    <w:p w14:paraId="78C09117">
      <w:pPr>
        <w:pStyle w:val="482"/>
        <w:spacing w:line="360" w:lineRule="auto"/>
        <w:ind w:firstLine="494"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接受来自市、区、县（市）各级城管部门的监督，由市、区、县（市）各级城管部门每月对采集公司在吃拿卡要、虚假信息、重大漏报、重大差错、异地采集未落实、报复性采集等方面的问题进行评价，并由主管部门依据评价情况进行计分。市、区、县（市）级城管部门当月评价分值最多占当月评价总分的30%、5%。</w:t>
      </w:r>
    </w:p>
    <w:p w14:paraId="0B72E805">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（五）说明</w:t>
      </w:r>
    </w:p>
    <w:p w14:paraId="167F4181">
      <w:pPr>
        <w:pStyle w:val="482"/>
        <w:spacing w:line="360" w:lineRule="auto"/>
        <w:ind w:firstLine="328"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当月业务考核成绩加上其它加分后的总成绩超过100分的按100分计算。</w:t>
      </w:r>
    </w:p>
    <w:p w14:paraId="050BF148">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五、</w:t>
      </w:r>
      <w:r>
        <w:rPr>
          <w:rFonts w:hint="eastAsia" w:asciiTheme="minorEastAsia" w:hAnsiTheme="minorEastAsia" w:eastAsiaTheme="minorEastAsia"/>
          <w:color w:val="auto"/>
          <w:sz w:val="28"/>
          <w:szCs w:val="28"/>
          <w:highlight w:val="none"/>
          <w:lang w:val="en-US"/>
        </w:rPr>
        <w:t>“</w:t>
      </w:r>
      <w:r>
        <w:rPr>
          <w:rFonts w:hint="eastAsia" w:asciiTheme="minorEastAsia" w:hAnsiTheme="minorEastAsia" w:eastAsiaTheme="minorEastAsia"/>
          <w:color w:val="auto"/>
          <w:sz w:val="28"/>
          <w:szCs w:val="28"/>
          <w:highlight w:val="none"/>
        </w:rPr>
        <w:t>信息采集器</w:t>
      </w:r>
      <w:r>
        <w:rPr>
          <w:rFonts w:hint="eastAsia" w:asciiTheme="minorEastAsia" w:hAnsiTheme="minorEastAsia" w:eastAsiaTheme="minorEastAsia"/>
          <w:color w:val="auto"/>
          <w:sz w:val="28"/>
          <w:szCs w:val="28"/>
          <w:highlight w:val="none"/>
          <w:lang w:val="en-US"/>
        </w:rPr>
        <w:t>”</w:t>
      </w:r>
      <w:r>
        <w:rPr>
          <w:rFonts w:hint="eastAsia" w:asciiTheme="minorEastAsia" w:hAnsiTheme="minorEastAsia" w:eastAsiaTheme="minorEastAsia"/>
          <w:color w:val="auto"/>
          <w:sz w:val="28"/>
          <w:szCs w:val="28"/>
          <w:highlight w:val="none"/>
        </w:rPr>
        <w:t>的管理</w:t>
      </w:r>
    </w:p>
    <w:p w14:paraId="0C6208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（一）中标人投入服务前，须按招标文件中要求人数每人配置一部的比例，向采购人足额领取“信息采集器”，并按</w:t>
      </w:r>
      <w:r>
        <w:rPr>
          <w:rFonts w:asciiTheme="minorEastAsia" w:hAnsiTheme="minorEastAsia" w:eastAsiaTheme="minorEastAsia"/>
          <w:color w:val="auto"/>
          <w:sz w:val="24"/>
          <w:highlight w:val="none"/>
        </w:rPr>
        <w:t>2300元/部支付领取采集器总量10%数量的押金（注：押金及通话时长等视实际“信息采集器”采购合同要求调整）。信息采集器所产生的无线通信网络服务费由采购人支付。采集器必须按照实名制登记使用，同时中标人应配置1名采集器专管员。</w:t>
      </w:r>
    </w:p>
    <w:p w14:paraId="2EE45C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合同终结时，中标人须如数将“信息采集器”返还，每少一部按照原价从信息采集器押金中扣除，如押金不足扣除的，从项目履约保证金或合同款中扣除；如因使用不当造成“信息采集器”外观破损或影响功能正常使用的，由中标人承担修理费用;无法修理的,按（原价值-折旧后剩余价值）赔偿。</w:t>
      </w:r>
    </w:p>
    <w:p w14:paraId="22377F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（三）中标人应制定“信息采集器”管理使用办法，从制度上保证“信息采集器”的正常使用。</w:t>
      </w:r>
    </w:p>
    <w:p w14:paraId="2B6383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（四）要按照采购人提供的“信息采集器”设定的工作区域，落实专人使用，并按正点率和全覆盖的要求，在合同签订一个月内提供各巡查网格内的行径线路。</w:t>
      </w:r>
    </w:p>
    <w:p w14:paraId="2BDA866C">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六、采集队伍的组建</w:t>
      </w:r>
    </w:p>
    <w:p w14:paraId="1F2C4B7F">
      <w:pPr>
        <w:pStyle w:val="23"/>
        <w:ind w:firstLine="54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中标人自服务期开始之日起</w:t>
      </w:r>
      <w:r>
        <w:rPr>
          <w:rFonts w:asciiTheme="minorEastAsia" w:hAnsiTheme="minorEastAsia" w:eastAsiaTheme="minorEastAsia"/>
          <w:bCs/>
          <w:color w:val="auto"/>
          <w:highlight w:val="none"/>
          <w:lang w:val="en-US"/>
        </w:rPr>
        <w:t>1</w:t>
      </w:r>
      <w:r>
        <w:rPr>
          <w:rFonts w:asciiTheme="minorEastAsia" w:hAnsiTheme="minorEastAsia" w:eastAsiaTheme="minorEastAsia"/>
          <w:bCs/>
          <w:color w:val="auto"/>
          <w:highlight w:val="none"/>
        </w:rPr>
        <w:t>0天内要求按照投标文件的承诺，完成信息采集队伍的组建。</w:t>
      </w:r>
    </w:p>
    <w:p w14:paraId="5D0DC292">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七、区域巡查频次要求</w:t>
      </w:r>
    </w:p>
    <w:p w14:paraId="1E1EF40D">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主要道路每天巡查4次，次要道路每天巡查2次，一、二类街巷每天巡查2次，三类街巷、其他街巷每天巡查1次，</w:t>
      </w:r>
      <w:r>
        <w:rPr>
          <w:rFonts w:hint="eastAsia" w:asciiTheme="minorEastAsia" w:hAnsiTheme="minorEastAsia" w:eastAsiaTheme="minorEastAsia"/>
          <w:color w:val="auto"/>
          <w:sz w:val="24"/>
          <w:highlight w:val="none"/>
          <w:lang w:eastAsia="zh-CN"/>
        </w:rPr>
        <w:t>人行过街天桥和隧道</w:t>
      </w:r>
      <w:r>
        <w:rPr>
          <w:rFonts w:hint="eastAsia" w:asciiTheme="minorEastAsia" w:hAnsiTheme="minorEastAsia" w:eastAsiaTheme="minorEastAsia"/>
          <w:color w:val="auto"/>
          <w:sz w:val="24"/>
          <w:highlight w:val="none"/>
        </w:rPr>
        <w:t>每2天巡查1次。</w:t>
      </w:r>
    </w:p>
    <w:p w14:paraId="29FCA50B">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徒步巡查频次要求：主要道路、</w:t>
      </w:r>
      <w:r>
        <w:rPr>
          <w:rFonts w:hint="eastAsia" w:asciiTheme="minorEastAsia" w:hAnsiTheme="minorEastAsia" w:eastAsiaTheme="minorEastAsia"/>
          <w:color w:val="auto"/>
          <w:sz w:val="24"/>
          <w:highlight w:val="none"/>
          <w:lang w:eastAsia="zh-CN"/>
        </w:rPr>
        <w:t>贴沙河、</w:t>
      </w:r>
      <w:r>
        <w:rPr>
          <w:rFonts w:hint="eastAsia" w:asciiTheme="minorEastAsia" w:hAnsiTheme="minorEastAsia" w:eastAsiaTheme="minorEastAsia"/>
          <w:color w:val="auto"/>
          <w:sz w:val="24"/>
          <w:highlight w:val="none"/>
        </w:rPr>
        <w:t>已整治一类河道沿线游步道每天巡查1次，已整治二类河道沿线游步道每2天巡查1次，次要道路，一、二类街巷，已整治三类河道、未整治河道游步道每周巡查1次，三类街巷、其他街巷每两周巡查1次</w:t>
      </w:r>
      <w:r>
        <w:rPr>
          <w:rFonts w:hint="eastAsia" w:asciiTheme="minorEastAsia" w:hAnsiTheme="minorEastAsia" w:eastAsiaTheme="minorEastAsia"/>
          <w:color w:val="auto"/>
          <w:sz w:val="24"/>
          <w:highlight w:val="none"/>
          <w:lang w:eastAsia="zh-CN"/>
        </w:rPr>
        <w:t>。</w:t>
      </w:r>
    </w:p>
    <w:p w14:paraId="3F8D16C3">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八、其他</w:t>
      </w:r>
    </w:p>
    <w:p w14:paraId="5A4E72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（一）投标文件编制要求：投标文件要求编制完整、格式规范、内容齐全、表述准确、条理清晰，内容无前后矛盾，符合招标文件要求。相关资料的提供情况真实、完整、清晰、有序、合理。</w:t>
      </w:r>
    </w:p>
    <w:p w14:paraId="426143CA">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实施方案讲解要求：本项目要求投标人进行实施方案讲解。讲解内容包括：项目组队伍组建方案；对所投标区域城市管理工作的了解熟悉情况；确保有关信息数据全面、及时、准确采集等举措和措施；项目组人员职业道德管控方案等。</w:t>
      </w:r>
    </w:p>
    <w:p w14:paraId="3D88C42B">
      <w:pPr>
        <w:spacing w:line="360" w:lineRule="auto"/>
        <w:ind w:firstLine="480" w:firstLineChars="200"/>
        <w:rPr>
          <w:rFonts w:ascii="宋体" w:hAnsi="宋体" w:cs="宋体"/>
          <w:b/>
          <w:color w:val="auto"/>
          <w:sz w:val="36"/>
          <w:szCs w:val="36"/>
          <w:highlight w:val="none"/>
        </w:rPr>
      </w:pPr>
      <w:r>
        <w:rPr>
          <w:rFonts w:hint="eastAsia" w:asciiTheme="minorEastAsia" w:hAnsiTheme="minorEastAsia" w:eastAsiaTheme="minorEastAsia"/>
          <w:color w:val="auto"/>
          <w:sz w:val="24"/>
          <w:highlight w:val="none"/>
        </w:rPr>
        <w:t>（三）投标人取得职业健康安全管理体系认证证书。</w:t>
      </w:r>
    </w:p>
    <w:p w14:paraId="013060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招标文件第四部分评分办法中评审因素相应的其它要求及第五部分采购合同中相应的其他要求。</w:t>
      </w:r>
    </w:p>
    <w:p w14:paraId="3CC6432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41"/>
      <w:bookmarkEnd w:id="28"/>
      <w:bookmarkStart w:id="29" w:name="_Toc184312124"/>
      <w:bookmarkEnd w:id="29"/>
      <w:bookmarkStart w:id="30" w:name="_Toc184312092"/>
      <w:bookmarkEnd w:id="30"/>
      <w:bookmarkStart w:id="31" w:name="_Toc184314471"/>
      <w:bookmarkEnd w:id="31"/>
      <w:bookmarkStart w:id="32" w:name="_Toc184313256"/>
      <w:bookmarkEnd w:id="32"/>
      <w:bookmarkStart w:id="33" w:name="_Toc184314473"/>
      <w:bookmarkEnd w:id="33"/>
      <w:bookmarkStart w:id="34" w:name="_Toc184314430"/>
      <w:bookmarkEnd w:id="34"/>
      <w:bookmarkStart w:id="35" w:name="_Toc184314433"/>
      <w:bookmarkEnd w:id="35"/>
      <w:bookmarkStart w:id="36" w:name="_Toc184310331"/>
      <w:bookmarkEnd w:id="36"/>
      <w:bookmarkStart w:id="37" w:name="_Toc184310333"/>
      <w:bookmarkEnd w:id="37"/>
      <w:bookmarkStart w:id="38" w:name="_Toc184313285"/>
      <w:bookmarkEnd w:id="38"/>
      <w:bookmarkStart w:id="39" w:name="_Toc184313305"/>
      <w:bookmarkEnd w:id="39"/>
      <w:bookmarkStart w:id="40" w:name="_Toc184310341"/>
      <w:bookmarkEnd w:id="40"/>
      <w:bookmarkStart w:id="41" w:name="_Toc184312119"/>
      <w:bookmarkEnd w:id="41"/>
      <w:bookmarkStart w:id="42" w:name="_Toc184310324"/>
      <w:bookmarkEnd w:id="42"/>
      <w:bookmarkStart w:id="43" w:name="_Toc184313262"/>
      <w:bookmarkEnd w:id="43"/>
      <w:bookmarkStart w:id="44" w:name="_Toc184313284"/>
      <w:bookmarkEnd w:id="44"/>
      <w:bookmarkStart w:id="45" w:name="_Toc184310343"/>
      <w:bookmarkEnd w:id="45"/>
      <w:bookmarkStart w:id="46" w:name="_Toc184314421"/>
      <w:bookmarkEnd w:id="46"/>
      <w:bookmarkStart w:id="47" w:name="_Toc184314451"/>
      <w:bookmarkEnd w:id="47"/>
      <w:bookmarkStart w:id="48" w:name="_Toc184314439"/>
      <w:bookmarkEnd w:id="48"/>
      <w:bookmarkStart w:id="49" w:name="_Toc184308047"/>
      <w:bookmarkEnd w:id="49"/>
      <w:bookmarkStart w:id="50" w:name="_Toc184313254"/>
      <w:bookmarkEnd w:id="50"/>
      <w:bookmarkStart w:id="51" w:name="_Toc184313286"/>
      <w:bookmarkEnd w:id="51"/>
      <w:bookmarkStart w:id="52" w:name="_Toc184313267"/>
      <w:bookmarkEnd w:id="52"/>
      <w:bookmarkStart w:id="53" w:name="_Toc184313300"/>
      <w:bookmarkEnd w:id="53"/>
      <w:bookmarkStart w:id="54" w:name="_Toc184313253"/>
      <w:bookmarkEnd w:id="54"/>
      <w:bookmarkStart w:id="55" w:name="_Toc184308103"/>
      <w:bookmarkEnd w:id="55"/>
      <w:bookmarkStart w:id="56" w:name="_Toc184308088"/>
      <w:bookmarkEnd w:id="56"/>
      <w:bookmarkStart w:id="57" w:name="_Toc184314411"/>
      <w:bookmarkEnd w:id="57"/>
      <w:bookmarkStart w:id="58" w:name="_Toc184310318"/>
      <w:bookmarkEnd w:id="58"/>
      <w:bookmarkStart w:id="59" w:name="_Toc184314457"/>
      <w:bookmarkEnd w:id="59"/>
      <w:bookmarkStart w:id="60" w:name="_Toc184312108"/>
      <w:bookmarkEnd w:id="60"/>
      <w:bookmarkStart w:id="61" w:name="_Toc184313308"/>
      <w:bookmarkEnd w:id="61"/>
      <w:bookmarkStart w:id="62" w:name="_Toc184314416"/>
      <w:bookmarkEnd w:id="62"/>
      <w:bookmarkStart w:id="63" w:name="_Toc184314410"/>
      <w:bookmarkEnd w:id="63"/>
      <w:bookmarkStart w:id="64" w:name="_Toc184314475"/>
      <w:bookmarkEnd w:id="64"/>
      <w:bookmarkStart w:id="65" w:name="_Toc184314422"/>
      <w:bookmarkEnd w:id="65"/>
      <w:bookmarkStart w:id="66" w:name="_Toc184308050"/>
      <w:bookmarkEnd w:id="66"/>
      <w:bookmarkStart w:id="67" w:name="_Toc184308059"/>
      <w:bookmarkEnd w:id="67"/>
      <w:bookmarkStart w:id="68" w:name="_Toc184310340"/>
      <w:bookmarkEnd w:id="68"/>
      <w:bookmarkStart w:id="69" w:name="_Toc184313283"/>
      <w:bookmarkEnd w:id="69"/>
      <w:bookmarkStart w:id="70" w:name="_Toc184312130"/>
      <w:bookmarkEnd w:id="70"/>
      <w:bookmarkStart w:id="71" w:name="_Toc184310330"/>
      <w:bookmarkEnd w:id="71"/>
      <w:bookmarkStart w:id="72" w:name="_Toc184313238"/>
      <w:bookmarkEnd w:id="72"/>
      <w:bookmarkStart w:id="73" w:name="_Toc184313302"/>
      <w:bookmarkEnd w:id="73"/>
      <w:bookmarkStart w:id="74" w:name="_Toc184314465"/>
      <w:bookmarkEnd w:id="74"/>
      <w:bookmarkStart w:id="75" w:name="_Toc184308053"/>
      <w:bookmarkEnd w:id="75"/>
      <w:bookmarkStart w:id="76" w:name="_Toc184312076"/>
      <w:bookmarkEnd w:id="76"/>
      <w:bookmarkStart w:id="77" w:name="_Toc184313287"/>
      <w:bookmarkEnd w:id="77"/>
      <w:bookmarkStart w:id="78" w:name="_Toc184312094"/>
      <w:bookmarkEnd w:id="78"/>
      <w:bookmarkStart w:id="79" w:name="_Toc184313296"/>
      <w:bookmarkEnd w:id="79"/>
      <w:bookmarkStart w:id="80" w:name="_Toc184310294"/>
      <w:bookmarkEnd w:id="80"/>
      <w:bookmarkStart w:id="81" w:name="_Toc184314476"/>
      <w:bookmarkEnd w:id="81"/>
      <w:bookmarkStart w:id="82" w:name="_Toc184308074"/>
      <w:bookmarkEnd w:id="82"/>
      <w:bookmarkStart w:id="83" w:name="_Toc184312097"/>
      <w:bookmarkEnd w:id="83"/>
      <w:bookmarkStart w:id="84" w:name="_Toc184312101"/>
      <w:bookmarkEnd w:id="84"/>
      <w:bookmarkStart w:id="85" w:name="_Toc184314445"/>
      <w:bookmarkEnd w:id="85"/>
      <w:bookmarkStart w:id="86" w:name="_Toc184310306"/>
      <w:bookmarkEnd w:id="86"/>
      <w:bookmarkStart w:id="87" w:name="_Toc184310304"/>
      <w:bookmarkEnd w:id="87"/>
      <w:bookmarkStart w:id="88" w:name="_Toc184310273"/>
      <w:bookmarkEnd w:id="88"/>
      <w:bookmarkStart w:id="89" w:name="_Toc184313294"/>
      <w:bookmarkEnd w:id="89"/>
      <w:bookmarkStart w:id="90" w:name="_Toc184314474"/>
      <w:bookmarkEnd w:id="90"/>
      <w:bookmarkStart w:id="91" w:name="_Toc184310289"/>
      <w:bookmarkEnd w:id="91"/>
      <w:bookmarkStart w:id="92" w:name="_Toc184310291"/>
      <w:bookmarkEnd w:id="92"/>
      <w:bookmarkStart w:id="93" w:name="_Toc184310283"/>
      <w:bookmarkEnd w:id="93"/>
      <w:bookmarkStart w:id="94" w:name="_Toc184308085"/>
      <w:bookmarkEnd w:id="94"/>
      <w:bookmarkStart w:id="95" w:name="_Toc184312137"/>
      <w:bookmarkEnd w:id="95"/>
      <w:bookmarkStart w:id="96" w:name="_Toc184313264"/>
      <w:bookmarkEnd w:id="96"/>
      <w:bookmarkStart w:id="97" w:name="_Toc184310279"/>
      <w:bookmarkEnd w:id="97"/>
      <w:bookmarkStart w:id="98" w:name="_Toc184308062"/>
      <w:bookmarkEnd w:id="98"/>
      <w:bookmarkStart w:id="99" w:name="_Toc184312122"/>
      <w:bookmarkEnd w:id="99"/>
      <w:bookmarkStart w:id="100" w:name="_Toc184312099"/>
      <w:bookmarkEnd w:id="100"/>
      <w:bookmarkStart w:id="101" w:name="_Toc184314470"/>
      <w:bookmarkEnd w:id="101"/>
      <w:bookmarkStart w:id="102" w:name="_Toc184314423"/>
      <w:bookmarkEnd w:id="102"/>
      <w:bookmarkStart w:id="103" w:name="_Toc184310329"/>
      <w:bookmarkEnd w:id="103"/>
      <w:bookmarkStart w:id="104" w:name="_Toc184313246"/>
      <w:bookmarkEnd w:id="104"/>
      <w:bookmarkStart w:id="105" w:name="_Toc184312105"/>
      <w:bookmarkEnd w:id="105"/>
      <w:bookmarkStart w:id="106" w:name="_Toc184310301"/>
      <w:bookmarkEnd w:id="106"/>
      <w:bookmarkStart w:id="107" w:name="_Toc184310278"/>
      <w:bookmarkEnd w:id="107"/>
      <w:bookmarkStart w:id="108" w:name="_Toc184313242"/>
      <w:bookmarkEnd w:id="108"/>
      <w:bookmarkStart w:id="109" w:name="_Toc184314480"/>
      <w:bookmarkEnd w:id="109"/>
      <w:bookmarkStart w:id="110" w:name="_Toc184314449"/>
      <w:bookmarkEnd w:id="110"/>
      <w:bookmarkStart w:id="111" w:name="_Toc184314419"/>
      <w:bookmarkEnd w:id="111"/>
      <w:bookmarkStart w:id="112" w:name="_Toc184312081"/>
      <w:bookmarkEnd w:id="112"/>
      <w:bookmarkStart w:id="113" w:name="_Toc184310317"/>
      <w:bookmarkEnd w:id="113"/>
      <w:bookmarkStart w:id="114" w:name="_Toc184314463"/>
      <w:bookmarkEnd w:id="114"/>
      <w:bookmarkStart w:id="115" w:name="_Toc184308094"/>
      <w:bookmarkEnd w:id="115"/>
      <w:bookmarkStart w:id="116" w:name="_Toc184310281"/>
      <w:bookmarkEnd w:id="116"/>
      <w:bookmarkStart w:id="117" w:name="_Toc184310314"/>
      <w:bookmarkEnd w:id="117"/>
      <w:bookmarkStart w:id="118" w:name="_Toc184314427"/>
      <w:bookmarkEnd w:id="118"/>
      <w:bookmarkStart w:id="119" w:name="_Toc184310342"/>
      <w:bookmarkEnd w:id="119"/>
      <w:bookmarkStart w:id="120" w:name="_Toc184308070"/>
      <w:bookmarkEnd w:id="120"/>
      <w:bookmarkStart w:id="121" w:name="_Toc184308086"/>
      <w:bookmarkEnd w:id="121"/>
      <w:bookmarkStart w:id="122" w:name="_Toc184313310"/>
      <w:bookmarkEnd w:id="122"/>
      <w:bookmarkStart w:id="123" w:name="_Toc184312111"/>
      <w:bookmarkEnd w:id="123"/>
      <w:bookmarkStart w:id="124" w:name="_Toc184308106"/>
      <w:bookmarkEnd w:id="124"/>
      <w:bookmarkStart w:id="125" w:name="_Toc184314446"/>
      <w:bookmarkEnd w:id="125"/>
      <w:bookmarkStart w:id="126" w:name="_Toc184312075"/>
      <w:bookmarkEnd w:id="126"/>
      <w:bookmarkStart w:id="127" w:name="_Toc184312084"/>
      <w:bookmarkEnd w:id="127"/>
      <w:bookmarkStart w:id="128" w:name="_Toc184312121"/>
      <w:bookmarkEnd w:id="128"/>
      <w:bookmarkStart w:id="129" w:name="_Toc184313239"/>
      <w:bookmarkEnd w:id="129"/>
      <w:bookmarkStart w:id="130" w:name="_Toc184308098"/>
      <w:bookmarkEnd w:id="130"/>
      <w:bookmarkStart w:id="131" w:name="_Toc184313247"/>
      <w:bookmarkEnd w:id="131"/>
      <w:bookmarkStart w:id="132" w:name="_Toc184314443"/>
      <w:bookmarkEnd w:id="132"/>
      <w:bookmarkStart w:id="133" w:name="_Toc184313304"/>
      <w:bookmarkEnd w:id="133"/>
      <w:bookmarkStart w:id="134" w:name="_Toc184312117"/>
      <w:bookmarkEnd w:id="134"/>
      <w:bookmarkStart w:id="135" w:name="_Toc184312112"/>
      <w:bookmarkEnd w:id="135"/>
      <w:bookmarkStart w:id="136" w:name="_Toc184312071"/>
      <w:bookmarkEnd w:id="136"/>
      <w:bookmarkStart w:id="137" w:name="_Toc184308079"/>
      <w:bookmarkEnd w:id="137"/>
      <w:bookmarkStart w:id="138" w:name="_Toc184308046"/>
      <w:bookmarkEnd w:id="138"/>
      <w:bookmarkStart w:id="139" w:name="_Toc184312114"/>
      <w:bookmarkEnd w:id="139"/>
      <w:bookmarkStart w:id="140" w:name="_Toc184313248"/>
      <w:bookmarkEnd w:id="140"/>
      <w:bookmarkStart w:id="141" w:name="_Toc184313252"/>
      <w:bookmarkEnd w:id="141"/>
      <w:bookmarkStart w:id="142" w:name="_Toc184312085"/>
      <w:bookmarkEnd w:id="142"/>
      <w:bookmarkStart w:id="143" w:name="_Toc184312120"/>
      <w:bookmarkEnd w:id="143"/>
      <w:bookmarkStart w:id="144" w:name="_Toc184313257"/>
      <w:bookmarkEnd w:id="144"/>
      <w:bookmarkStart w:id="145" w:name="_Toc184308063"/>
      <w:bookmarkEnd w:id="145"/>
      <w:bookmarkStart w:id="146" w:name="_Toc184312102"/>
      <w:bookmarkEnd w:id="146"/>
      <w:bookmarkStart w:id="147" w:name="_Toc184310310"/>
      <w:bookmarkEnd w:id="147"/>
      <w:bookmarkStart w:id="148" w:name="_Toc184308044"/>
      <w:bookmarkEnd w:id="148"/>
      <w:bookmarkStart w:id="149" w:name="_Toc184313303"/>
      <w:bookmarkEnd w:id="149"/>
      <w:bookmarkStart w:id="150" w:name="_Toc184310312"/>
      <w:bookmarkEnd w:id="150"/>
      <w:bookmarkStart w:id="151" w:name="_Toc184314414"/>
      <w:bookmarkEnd w:id="151"/>
      <w:bookmarkStart w:id="152" w:name="_Toc184312103"/>
      <w:bookmarkEnd w:id="152"/>
      <w:bookmarkStart w:id="153" w:name="_Toc184314424"/>
      <w:bookmarkEnd w:id="153"/>
      <w:bookmarkStart w:id="154" w:name="_Toc184310335"/>
      <w:bookmarkEnd w:id="154"/>
      <w:bookmarkStart w:id="155" w:name="_Toc184312127"/>
      <w:bookmarkEnd w:id="155"/>
      <w:bookmarkStart w:id="156" w:name="_Toc184310327"/>
      <w:bookmarkEnd w:id="156"/>
      <w:bookmarkStart w:id="157" w:name="_Toc184314481"/>
      <w:bookmarkEnd w:id="157"/>
      <w:bookmarkStart w:id="158" w:name="_Toc184308038"/>
      <w:bookmarkEnd w:id="158"/>
      <w:bookmarkStart w:id="159" w:name="_Toc184308089"/>
      <w:bookmarkEnd w:id="159"/>
      <w:bookmarkStart w:id="160" w:name="_Toc184310274"/>
      <w:bookmarkEnd w:id="160"/>
      <w:bookmarkStart w:id="161" w:name="_Toc184308040"/>
      <w:bookmarkEnd w:id="161"/>
      <w:bookmarkStart w:id="162" w:name="_Toc184313272"/>
      <w:bookmarkEnd w:id="162"/>
      <w:bookmarkStart w:id="163" w:name="_Toc184312096"/>
      <w:bookmarkEnd w:id="163"/>
      <w:bookmarkStart w:id="164" w:name="_Toc184313259"/>
      <w:bookmarkEnd w:id="164"/>
      <w:bookmarkStart w:id="165" w:name="_Toc184313243"/>
      <w:bookmarkEnd w:id="165"/>
      <w:bookmarkStart w:id="166" w:name="_Toc184312113"/>
      <w:bookmarkEnd w:id="166"/>
      <w:bookmarkStart w:id="167" w:name="_Toc184313269"/>
      <w:bookmarkEnd w:id="167"/>
      <w:bookmarkStart w:id="168" w:name="_Toc184310332"/>
      <w:bookmarkEnd w:id="168"/>
      <w:bookmarkStart w:id="169" w:name="_Toc184314428"/>
      <w:bookmarkEnd w:id="169"/>
      <w:bookmarkStart w:id="170" w:name="_Toc184308039"/>
      <w:bookmarkEnd w:id="170"/>
      <w:bookmarkStart w:id="171" w:name="_Toc184310313"/>
      <w:bookmarkEnd w:id="171"/>
      <w:bookmarkStart w:id="172" w:name="_Toc184310300"/>
      <w:bookmarkEnd w:id="172"/>
      <w:bookmarkStart w:id="173" w:name="_Toc184314431"/>
      <w:bookmarkEnd w:id="173"/>
      <w:bookmarkStart w:id="174" w:name="_Toc184314453"/>
      <w:bookmarkEnd w:id="174"/>
      <w:bookmarkStart w:id="175" w:name="_Toc184308051"/>
      <w:bookmarkEnd w:id="175"/>
      <w:bookmarkStart w:id="176" w:name="_Toc184310286"/>
      <w:bookmarkEnd w:id="176"/>
      <w:bookmarkStart w:id="177" w:name="_Toc184310297"/>
      <w:bookmarkEnd w:id="177"/>
      <w:bookmarkStart w:id="178" w:name="_Toc184308045"/>
      <w:bookmarkEnd w:id="178"/>
      <w:bookmarkStart w:id="179" w:name="_Toc184313293"/>
      <w:bookmarkEnd w:id="179"/>
      <w:bookmarkStart w:id="180" w:name="_Toc184312098"/>
      <w:bookmarkEnd w:id="180"/>
      <w:bookmarkStart w:id="181" w:name="_Toc184313245"/>
      <w:bookmarkEnd w:id="181"/>
      <w:bookmarkStart w:id="182" w:name="_Toc184310299"/>
      <w:bookmarkEnd w:id="182"/>
      <w:bookmarkStart w:id="183" w:name="_Toc184313258"/>
      <w:bookmarkEnd w:id="183"/>
      <w:bookmarkStart w:id="184" w:name="_Toc184312086"/>
      <w:bookmarkEnd w:id="184"/>
      <w:bookmarkStart w:id="185" w:name="_Toc184310305"/>
      <w:bookmarkEnd w:id="185"/>
      <w:bookmarkStart w:id="186" w:name="_Toc184310320"/>
      <w:bookmarkEnd w:id="186"/>
      <w:bookmarkStart w:id="187" w:name="_Toc184313290"/>
      <w:bookmarkEnd w:id="187"/>
      <w:bookmarkStart w:id="188" w:name="_Toc184310288"/>
      <w:bookmarkEnd w:id="188"/>
      <w:bookmarkStart w:id="189" w:name="_Toc184308066"/>
      <w:bookmarkEnd w:id="189"/>
      <w:bookmarkStart w:id="190" w:name="_Toc184310337"/>
      <w:bookmarkEnd w:id="190"/>
      <w:bookmarkStart w:id="191" w:name="_Toc184308056"/>
      <w:bookmarkEnd w:id="191"/>
      <w:bookmarkStart w:id="192" w:name="_Toc184314469"/>
      <w:bookmarkEnd w:id="192"/>
      <w:bookmarkStart w:id="193" w:name="_Toc184312069"/>
      <w:bookmarkEnd w:id="193"/>
      <w:bookmarkStart w:id="194" w:name="_Toc184313240"/>
      <w:bookmarkEnd w:id="194"/>
      <w:bookmarkStart w:id="195" w:name="_Toc184310290"/>
      <w:bookmarkEnd w:id="195"/>
      <w:bookmarkStart w:id="196" w:name="_Toc184314478"/>
      <w:bookmarkEnd w:id="196"/>
      <w:bookmarkStart w:id="197" w:name="_Toc184312067"/>
      <w:bookmarkEnd w:id="197"/>
      <w:bookmarkStart w:id="198" w:name="_Toc184313292"/>
      <w:bookmarkEnd w:id="198"/>
      <w:bookmarkStart w:id="199" w:name="_Toc184312109"/>
      <w:bookmarkEnd w:id="199"/>
      <w:bookmarkStart w:id="200" w:name="_Toc184314456"/>
      <w:bookmarkEnd w:id="200"/>
      <w:bookmarkStart w:id="201" w:name="_Toc184313306"/>
      <w:bookmarkEnd w:id="201"/>
      <w:bookmarkStart w:id="202" w:name="_Toc184314468"/>
      <w:bookmarkEnd w:id="202"/>
      <w:bookmarkStart w:id="203" w:name="_Toc184314452"/>
      <w:bookmarkEnd w:id="203"/>
      <w:bookmarkStart w:id="204" w:name="_Toc184310316"/>
      <w:bookmarkEnd w:id="204"/>
      <w:bookmarkStart w:id="205" w:name="_Toc184314412"/>
      <w:bookmarkEnd w:id="205"/>
      <w:bookmarkStart w:id="206" w:name="_Toc184312129"/>
      <w:bookmarkEnd w:id="206"/>
      <w:bookmarkStart w:id="207" w:name="_Toc184314432"/>
      <w:bookmarkEnd w:id="207"/>
      <w:bookmarkStart w:id="208" w:name="_Toc184314459"/>
      <w:bookmarkEnd w:id="208"/>
      <w:bookmarkStart w:id="209" w:name="_Toc184314426"/>
      <w:bookmarkEnd w:id="209"/>
      <w:bookmarkStart w:id="210" w:name="_Toc184312079"/>
      <w:bookmarkEnd w:id="210"/>
      <w:bookmarkStart w:id="211" w:name="_Toc184310321"/>
      <w:bookmarkEnd w:id="211"/>
      <w:bookmarkStart w:id="212" w:name="_Toc184313266"/>
      <w:bookmarkEnd w:id="212"/>
      <w:bookmarkStart w:id="213" w:name="_Toc184313255"/>
      <w:bookmarkEnd w:id="213"/>
      <w:bookmarkStart w:id="214" w:name="_Toc184308091"/>
      <w:bookmarkEnd w:id="214"/>
      <w:bookmarkStart w:id="215" w:name="_Toc184308107"/>
      <w:bookmarkEnd w:id="215"/>
      <w:bookmarkStart w:id="216" w:name="_Toc184308068"/>
      <w:bookmarkEnd w:id="216"/>
      <w:bookmarkStart w:id="217" w:name="_Toc184310293"/>
      <w:bookmarkEnd w:id="217"/>
      <w:bookmarkStart w:id="218" w:name="_Toc184310326"/>
      <w:bookmarkEnd w:id="218"/>
      <w:bookmarkStart w:id="219" w:name="_Toc184310319"/>
      <w:bookmarkEnd w:id="219"/>
      <w:bookmarkStart w:id="220" w:name="_Toc184310275"/>
      <w:bookmarkEnd w:id="220"/>
      <w:bookmarkStart w:id="221" w:name="_Toc184308067"/>
      <w:bookmarkEnd w:id="221"/>
      <w:bookmarkStart w:id="222" w:name="_Toc184314462"/>
      <w:bookmarkEnd w:id="222"/>
      <w:bookmarkStart w:id="223" w:name="_Toc184310295"/>
      <w:bookmarkEnd w:id="223"/>
      <w:bookmarkStart w:id="224" w:name="_Toc184308090"/>
      <w:bookmarkEnd w:id="224"/>
      <w:bookmarkStart w:id="225" w:name="_Toc184312138"/>
      <w:bookmarkEnd w:id="225"/>
      <w:bookmarkStart w:id="226" w:name="_Toc184313307"/>
      <w:bookmarkEnd w:id="226"/>
      <w:bookmarkStart w:id="227" w:name="_Toc184308096"/>
      <w:bookmarkEnd w:id="227"/>
      <w:bookmarkStart w:id="228" w:name="_Toc184308076"/>
      <w:bookmarkEnd w:id="228"/>
      <w:bookmarkStart w:id="229" w:name="_Toc184313241"/>
      <w:bookmarkEnd w:id="229"/>
      <w:bookmarkStart w:id="230" w:name="_Toc184313297"/>
      <w:bookmarkEnd w:id="230"/>
      <w:bookmarkStart w:id="231" w:name="_Toc184310285"/>
      <w:bookmarkEnd w:id="231"/>
      <w:bookmarkStart w:id="232" w:name="_Toc184308054"/>
      <w:bookmarkEnd w:id="232"/>
      <w:bookmarkStart w:id="233" w:name="_Toc184314472"/>
      <w:bookmarkEnd w:id="233"/>
      <w:bookmarkStart w:id="234" w:name="_Toc184312089"/>
      <w:bookmarkEnd w:id="234"/>
      <w:bookmarkStart w:id="235" w:name="_Toc184313268"/>
      <w:bookmarkEnd w:id="235"/>
      <w:bookmarkStart w:id="236" w:name="_Toc184313289"/>
      <w:bookmarkEnd w:id="236"/>
      <w:bookmarkStart w:id="237" w:name="_Toc184308072"/>
      <w:bookmarkEnd w:id="237"/>
      <w:bookmarkStart w:id="238" w:name="_Toc184314466"/>
      <w:bookmarkEnd w:id="238"/>
      <w:bookmarkStart w:id="239" w:name="_Toc184310280"/>
      <w:bookmarkEnd w:id="239"/>
      <w:bookmarkStart w:id="240" w:name="_Toc184314458"/>
      <w:bookmarkEnd w:id="240"/>
      <w:bookmarkStart w:id="241" w:name="_Toc184308073"/>
      <w:bookmarkEnd w:id="241"/>
      <w:bookmarkStart w:id="242" w:name="_Toc184314477"/>
      <w:bookmarkEnd w:id="242"/>
      <w:bookmarkStart w:id="243" w:name="_Toc184308097"/>
      <w:bookmarkEnd w:id="243"/>
      <w:bookmarkStart w:id="244" w:name="_Toc184308104"/>
      <w:bookmarkEnd w:id="244"/>
      <w:bookmarkStart w:id="245" w:name="_Toc184308049"/>
      <w:bookmarkEnd w:id="245"/>
      <w:bookmarkStart w:id="246" w:name="_Toc184314438"/>
      <w:bookmarkEnd w:id="246"/>
      <w:bookmarkStart w:id="247" w:name="_Toc184308101"/>
      <w:bookmarkEnd w:id="247"/>
      <w:bookmarkStart w:id="248" w:name="_Toc184310323"/>
      <w:bookmarkEnd w:id="248"/>
      <w:bookmarkStart w:id="249" w:name="_Toc184313251"/>
      <w:bookmarkEnd w:id="249"/>
      <w:bookmarkStart w:id="250" w:name="_Toc184312077"/>
      <w:bookmarkEnd w:id="250"/>
      <w:bookmarkStart w:id="251" w:name="_Toc184308080"/>
      <w:bookmarkEnd w:id="251"/>
      <w:bookmarkStart w:id="252" w:name="_Toc184312132"/>
      <w:bookmarkEnd w:id="252"/>
      <w:bookmarkStart w:id="253" w:name="_Toc184312135"/>
      <w:bookmarkEnd w:id="253"/>
      <w:bookmarkStart w:id="254" w:name="_Toc184310339"/>
      <w:bookmarkEnd w:id="254"/>
      <w:bookmarkStart w:id="255" w:name="_Toc184312110"/>
      <w:bookmarkEnd w:id="255"/>
      <w:bookmarkStart w:id="256" w:name="_Toc184312115"/>
      <w:bookmarkEnd w:id="256"/>
      <w:bookmarkStart w:id="257" w:name="_Toc184313263"/>
      <w:bookmarkEnd w:id="257"/>
      <w:bookmarkStart w:id="258" w:name="_Toc184313298"/>
      <w:bookmarkEnd w:id="258"/>
      <w:bookmarkStart w:id="259" w:name="_Toc184312107"/>
      <w:bookmarkEnd w:id="259"/>
      <w:bookmarkStart w:id="260" w:name="_Toc184308041"/>
      <w:bookmarkEnd w:id="260"/>
      <w:bookmarkStart w:id="261" w:name="_Toc184308052"/>
      <w:bookmarkEnd w:id="261"/>
      <w:bookmarkStart w:id="262" w:name="_Toc184314415"/>
      <w:bookmarkEnd w:id="262"/>
      <w:bookmarkStart w:id="263" w:name="_Toc184313271"/>
      <w:bookmarkEnd w:id="263"/>
      <w:bookmarkStart w:id="264" w:name="_Toc184310282"/>
      <w:bookmarkEnd w:id="264"/>
      <w:bookmarkStart w:id="265" w:name="_Toc184312074"/>
      <w:bookmarkEnd w:id="265"/>
      <w:bookmarkStart w:id="266" w:name="_Toc184308036"/>
      <w:bookmarkEnd w:id="266"/>
      <w:bookmarkStart w:id="267" w:name="_Toc184310303"/>
      <w:bookmarkEnd w:id="267"/>
      <w:bookmarkStart w:id="268" w:name="_Toc184314413"/>
      <w:bookmarkEnd w:id="268"/>
      <w:bookmarkStart w:id="269" w:name="_Toc184310338"/>
      <w:bookmarkEnd w:id="269"/>
      <w:bookmarkStart w:id="270" w:name="_Toc184308095"/>
      <w:bookmarkEnd w:id="270"/>
      <w:bookmarkStart w:id="271" w:name="_Toc184313273"/>
      <w:bookmarkEnd w:id="271"/>
      <w:bookmarkStart w:id="272" w:name="_Toc184310272"/>
      <w:bookmarkEnd w:id="272"/>
      <w:bookmarkStart w:id="273" w:name="_Toc184314460"/>
      <w:bookmarkEnd w:id="273"/>
      <w:bookmarkStart w:id="274" w:name="_Toc184314455"/>
      <w:bookmarkEnd w:id="274"/>
      <w:bookmarkStart w:id="275" w:name="_Toc184312125"/>
      <w:bookmarkEnd w:id="275"/>
      <w:bookmarkStart w:id="276" w:name="_Toc184314450"/>
      <w:bookmarkEnd w:id="276"/>
      <w:bookmarkStart w:id="277" w:name="_Toc184313265"/>
      <w:bookmarkEnd w:id="277"/>
      <w:bookmarkStart w:id="278" w:name="_Toc184310315"/>
      <w:bookmarkEnd w:id="278"/>
      <w:bookmarkStart w:id="279" w:name="_Toc184312072"/>
      <w:bookmarkEnd w:id="279"/>
      <w:bookmarkStart w:id="280" w:name="_Toc184313261"/>
      <w:bookmarkEnd w:id="280"/>
      <w:bookmarkStart w:id="281" w:name="_Toc184310298"/>
      <w:bookmarkEnd w:id="281"/>
      <w:bookmarkStart w:id="282" w:name="_Toc184314420"/>
      <w:bookmarkEnd w:id="282"/>
      <w:bookmarkStart w:id="283" w:name="_Toc184312078"/>
      <w:bookmarkEnd w:id="283"/>
      <w:bookmarkStart w:id="284" w:name="_Toc184314479"/>
      <w:bookmarkEnd w:id="284"/>
      <w:bookmarkStart w:id="285" w:name="_Toc184308064"/>
      <w:bookmarkEnd w:id="285"/>
      <w:bookmarkStart w:id="286" w:name="_Toc184308092"/>
      <w:bookmarkEnd w:id="286"/>
      <w:bookmarkStart w:id="287" w:name="_Toc184312104"/>
      <w:bookmarkEnd w:id="287"/>
      <w:bookmarkStart w:id="288" w:name="_Toc184313260"/>
      <w:bookmarkEnd w:id="288"/>
      <w:bookmarkStart w:id="289" w:name="_Toc184312128"/>
      <w:bookmarkEnd w:id="289"/>
      <w:bookmarkStart w:id="290" w:name="_Toc184314444"/>
      <w:bookmarkEnd w:id="290"/>
      <w:bookmarkStart w:id="291" w:name="_Toc184310277"/>
      <w:bookmarkEnd w:id="291"/>
      <w:bookmarkStart w:id="292" w:name="_Toc184310311"/>
      <w:bookmarkEnd w:id="292"/>
      <w:bookmarkStart w:id="293" w:name="_Toc184310307"/>
      <w:bookmarkEnd w:id="293"/>
      <w:bookmarkStart w:id="294" w:name="_Toc184313276"/>
      <w:bookmarkEnd w:id="294"/>
      <w:bookmarkStart w:id="295" w:name="_Toc184308099"/>
      <w:bookmarkEnd w:id="295"/>
      <w:bookmarkStart w:id="296" w:name="_Toc184312123"/>
      <w:bookmarkEnd w:id="296"/>
      <w:bookmarkStart w:id="297" w:name="_Toc184312083"/>
      <w:bookmarkEnd w:id="297"/>
      <w:bookmarkStart w:id="298" w:name="_Toc184308078"/>
      <w:bookmarkEnd w:id="298"/>
      <w:bookmarkStart w:id="299" w:name="_Toc184310336"/>
      <w:bookmarkEnd w:id="299"/>
      <w:bookmarkStart w:id="300" w:name="_Toc184308084"/>
      <w:bookmarkEnd w:id="300"/>
      <w:bookmarkStart w:id="301" w:name="_Toc184314448"/>
      <w:bookmarkEnd w:id="301"/>
      <w:bookmarkStart w:id="302" w:name="_Toc184312133"/>
      <w:bookmarkEnd w:id="302"/>
      <w:bookmarkStart w:id="303" w:name="_Toc184313277"/>
      <w:bookmarkEnd w:id="303"/>
      <w:bookmarkStart w:id="304" w:name="_Toc184314440"/>
      <w:bookmarkEnd w:id="304"/>
      <w:bookmarkStart w:id="305" w:name="_Toc184314467"/>
      <w:bookmarkEnd w:id="305"/>
      <w:bookmarkStart w:id="306" w:name="_Toc184313279"/>
      <w:bookmarkEnd w:id="306"/>
      <w:bookmarkStart w:id="307" w:name="_Toc184308061"/>
      <w:bookmarkEnd w:id="307"/>
      <w:bookmarkStart w:id="308" w:name="_Toc184308069"/>
      <w:bookmarkEnd w:id="308"/>
      <w:bookmarkStart w:id="309" w:name="_Toc184312116"/>
      <w:bookmarkEnd w:id="309"/>
      <w:bookmarkStart w:id="310" w:name="_Toc184313249"/>
      <w:bookmarkEnd w:id="310"/>
      <w:bookmarkStart w:id="311" w:name="_Toc184310322"/>
      <w:bookmarkEnd w:id="311"/>
      <w:bookmarkStart w:id="312" w:name="_Toc184314447"/>
      <w:bookmarkEnd w:id="312"/>
      <w:bookmarkStart w:id="313" w:name="_Toc184313288"/>
      <w:bookmarkEnd w:id="313"/>
      <w:bookmarkStart w:id="314" w:name="_Toc184312139"/>
      <w:bookmarkEnd w:id="314"/>
      <w:bookmarkStart w:id="315" w:name="_Toc184310334"/>
      <w:bookmarkEnd w:id="315"/>
      <w:bookmarkStart w:id="316" w:name="_Toc184312136"/>
      <w:bookmarkEnd w:id="316"/>
      <w:bookmarkStart w:id="317" w:name="_Toc184308043"/>
      <w:bookmarkEnd w:id="317"/>
      <w:bookmarkStart w:id="318" w:name="_Toc184313280"/>
      <w:bookmarkEnd w:id="318"/>
      <w:bookmarkStart w:id="319" w:name="_Toc184313295"/>
      <w:bookmarkEnd w:id="319"/>
      <w:bookmarkStart w:id="320" w:name="_Toc184308048"/>
      <w:bookmarkEnd w:id="320"/>
      <w:bookmarkStart w:id="321" w:name="_Toc184310302"/>
      <w:bookmarkEnd w:id="321"/>
      <w:bookmarkStart w:id="322" w:name="_Toc184313275"/>
      <w:bookmarkEnd w:id="322"/>
      <w:bookmarkStart w:id="323" w:name="_Toc184308083"/>
      <w:bookmarkEnd w:id="323"/>
      <w:bookmarkStart w:id="324" w:name="_Toc184312126"/>
      <w:bookmarkEnd w:id="324"/>
      <w:bookmarkStart w:id="325" w:name="_Toc184308087"/>
      <w:bookmarkEnd w:id="325"/>
      <w:bookmarkStart w:id="326" w:name="_Toc184310308"/>
      <w:bookmarkEnd w:id="326"/>
      <w:bookmarkStart w:id="327" w:name="_Toc184313282"/>
      <w:bookmarkEnd w:id="327"/>
      <w:bookmarkStart w:id="328" w:name="_Toc184313291"/>
      <w:bookmarkEnd w:id="328"/>
      <w:bookmarkStart w:id="329" w:name="_Toc184308105"/>
      <w:bookmarkEnd w:id="329"/>
      <w:bookmarkStart w:id="330" w:name="_Toc184313281"/>
      <w:bookmarkEnd w:id="330"/>
      <w:bookmarkStart w:id="331" w:name="_Toc184312070"/>
      <w:bookmarkEnd w:id="331"/>
      <w:bookmarkStart w:id="332" w:name="_Toc184313274"/>
      <w:bookmarkEnd w:id="332"/>
      <w:bookmarkStart w:id="333" w:name="_Toc184313299"/>
      <w:bookmarkEnd w:id="333"/>
      <w:bookmarkStart w:id="334" w:name="_Toc184313309"/>
      <w:bookmarkEnd w:id="334"/>
      <w:bookmarkStart w:id="335" w:name="_Toc184310325"/>
      <w:bookmarkEnd w:id="335"/>
      <w:bookmarkStart w:id="336" w:name="_Toc184310328"/>
      <w:bookmarkEnd w:id="336"/>
      <w:bookmarkStart w:id="337" w:name="_Toc184314464"/>
      <w:bookmarkEnd w:id="337"/>
      <w:bookmarkStart w:id="338" w:name="_Toc184310284"/>
      <w:bookmarkEnd w:id="338"/>
      <w:bookmarkStart w:id="339" w:name="_Toc184314454"/>
      <w:bookmarkEnd w:id="339"/>
      <w:bookmarkStart w:id="340" w:name="_Toc184308037"/>
      <w:bookmarkEnd w:id="340"/>
      <w:bookmarkStart w:id="341" w:name="_Toc184308055"/>
      <w:bookmarkEnd w:id="341"/>
      <w:bookmarkStart w:id="342" w:name="_Toc184314437"/>
      <w:bookmarkEnd w:id="342"/>
      <w:bookmarkStart w:id="343" w:name="_Toc184312087"/>
      <w:bookmarkEnd w:id="343"/>
      <w:bookmarkStart w:id="344" w:name="_Toc184314461"/>
      <w:bookmarkEnd w:id="344"/>
      <w:bookmarkStart w:id="345" w:name="_Toc184312088"/>
      <w:bookmarkEnd w:id="345"/>
      <w:bookmarkStart w:id="346" w:name="_Toc184313244"/>
      <w:bookmarkEnd w:id="346"/>
      <w:bookmarkStart w:id="347" w:name="_Toc184308058"/>
      <w:bookmarkEnd w:id="347"/>
      <w:bookmarkStart w:id="348" w:name="_Toc184314425"/>
      <w:bookmarkEnd w:id="348"/>
      <w:bookmarkStart w:id="349" w:name="_Toc184312131"/>
      <w:bookmarkEnd w:id="349"/>
      <w:bookmarkStart w:id="350" w:name="_Toc184310309"/>
      <w:bookmarkEnd w:id="350"/>
      <w:bookmarkStart w:id="351" w:name="_Toc184313278"/>
      <w:bookmarkEnd w:id="351"/>
      <w:bookmarkStart w:id="352" w:name="_Toc184314417"/>
      <w:bookmarkEnd w:id="352"/>
      <w:bookmarkStart w:id="353" w:name="_Toc184312095"/>
      <w:bookmarkEnd w:id="353"/>
      <w:bookmarkStart w:id="354" w:name="_Toc184312106"/>
      <w:bookmarkEnd w:id="354"/>
      <w:bookmarkStart w:id="355" w:name="_Toc184310276"/>
      <w:bookmarkEnd w:id="355"/>
      <w:bookmarkStart w:id="356" w:name="_Toc184308102"/>
      <w:bookmarkEnd w:id="356"/>
      <w:bookmarkStart w:id="357" w:name="_Toc184313270"/>
      <w:bookmarkEnd w:id="357"/>
      <w:bookmarkStart w:id="358" w:name="_Toc184312100"/>
      <w:bookmarkEnd w:id="358"/>
      <w:bookmarkStart w:id="359" w:name="_Toc184314442"/>
      <w:bookmarkEnd w:id="359"/>
      <w:bookmarkStart w:id="360" w:name="_Toc184308042"/>
      <w:bookmarkEnd w:id="360"/>
      <w:bookmarkStart w:id="361" w:name="_Toc184314435"/>
      <w:bookmarkEnd w:id="361"/>
      <w:bookmarkStart w:id="362" w:name="_Toc184312080"/>
      <w:bookmarkEnd w:id="362"/>
      <w:bookmarkStart w:id="363" w:name="_Toc184312068"/>
      <w:bookmarkEnd w:id="363"/>
      <w:bookmarkStart w:id="364" w:name="_Toc184314434"/>
      <w:bookmarkEnd w:id="364"/>
      <w:bookmarkStart w:id="365" w:name="_Toc184314418"/>
      <w:bookmarkEnd w:id="365"/>
      <w:bookmarkStart w:id="366" w:name="_Toc184310296"/>
      <w:bookmarkEnd w:id="366"/>
      <w:bookmarkStart w:id="367" w:name="_Toc184310344"/>
      <w:bookmarkEnd w:id="367"/>
      <w:bookmarkStart w:id="368" w:name="_Toc184310292"/>
      <w:bookmarkEnd w:id="368"/>
      <w:bookmarkStart w:id="369" w:name="_Toc184308075"/>
      <w:bookmarkEnd w:id="369"/>
      <w:bookmarkStart w:id="370" w:name="_Toc184308081"/>
      <w:bookmarkEnd w:id="370"/>
      <w:bookmarkStart w:id="371" w:name="_Toc184312082"/>
      <w:bookmarkEnd w:id="371"/>
      <w:bookmarkStart w:id="372" w:name="_Toc184308100"/>
      <w:bookmarkEnd w:id="372"/>
      <w:bookmarkStart w:id="373" w:name="_Toc184312073"/>
      <w:bookmarkEnd w:id="373"/>
      <w:bookmarkStart w:id="374" w:name="_Toc184314436"/>
      <w:bookmarkEnd w:id="374"/>
      <w:bookmarkStart w:id="375" w:name="_Toc184312093"/>
      <w:bookmarkEnd w:id="375"/>
      <w:bookmarkStart w:id="376" w:name="_Toc184308108"/>
      <w:bookmarkEnd w:id="376"/>
      <w:bookmarkStart w:id="377" w:name="_Toc184308077"/>
      <w:bookmarkEnd w:id="377"/>
      <w:bookmarkStart w:id="378" w:name="_Toc184308065"/>
      <w:bookmarkEnd w:id="378"/>
      <w:bookmarkStart w:id="379" w:name="_Toc184313250"/>
      <w:bookmarkEnd w:id="379"/>
      <w:bookmarkStart w:id="380" w:name="_Toc184313301"/>
      <w:bookmarkEnd w:id="380"/>
      <w:bookmarkStart w:id="381" w:name="_Toc184308071"/>
      <w:bookmarkEnd w:id="381"/>
      <w:bookmarkStart w:id="382" w:name="_Toc184312118"/>
      <w:bookmarkEnd w:id="382"/>
      <w:bookmarkStart w:id="383" w:name="_Toc184310287"/>
      <w:bookmarkEnd w:id="383"/>
      <w:bookmarkStart w:id="384" w:name="_Toc184312091"/>
      <w:bookmarkEnd w:id="384"/>
      <w:bookmarkStart w:id="385" w:name="_Toc184308082"/>
      <w:bookmarkEnd w:id="385"/>
      <w:bookmarkStart w:id="386" w:name="_Toc184308060"/>
      <w:bookmarkEnd w:id="386"/>
      <w:bookmarkStart w:id="387" w:name="_Toc184314482"/>
      <w:bookmarkEnd w:id="387"/>
      <w:bookmarkStart w:id="388" w:name="_Toc184312090"/>
      <w:bookmarkEnd w:id="388"/>
      <w:bookmarkStart w:id="389" w:name="_Toc184312134"/>
      <w:bookmarkEnd w:id="389"/>
      <w:bookmarkStart w:id="390" w:name="_Toc184308093"/>
      <w:bookmarkEnd w:id="390"/>
      <w:bookmarkStart w:id="391" w:name="_Toc184308057"/>
      <w:bookmarkEnd w:id="391"/>
      <w:bookmarkStart w:id="392" w:name="_Toc184314429"/>
      <w:bookmarkEnd w:id="392"/>
      <w:r>
        <w:rPr>
          <w:rFonts w:hint="eastAsia" w:ascii="宋体" w:hAnsi="宋体" w:cs="宋体"/>
          <w:b/>
          <w:color w:val="auto"/>
          <w:sz w:val="36"/>
          <w:szCs w:val="36"/>
          <w:highlight w:val="none"/>
        </w:rPr>
        <w:t>评标办法</w:t>
      </w:r>
    </w:p>
    <w:p w14:paraId="069F0B3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247"/>
        <w:gridCol w:w="824"/>
        <w:gridCol w:w="834"/>
        <w:gridCol w:w="1212"/>
      </w:tblGrid>
      <w:tr w14:paraId="48FC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8EE4C3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47" w:type="dxa"/>
            <w:vAlign w:val="center"/>
          </w:tcPr>
          <w:p w14:paraId="2136013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24" w:type="dxa"/>
            <w:vAlign w:val="center"/>
          </w:tcPr>
          <w:p w14:paraId="385CFD27">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最高分值</w:t>
            </w:r>
          </w:p>
        </w:tc>
        <w:tc>
          <w:tcPr>
            <w:tcW w:w="834" w:type="dxa"/>
            <w:shd w:val="clear" w:color="auto" w:fill="auto"/>
            <w:vAlign w:val="center"/>
          </w:tcPr>
          <w:p w14:paraId="78130B6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主观分/客观分属性</w:t>
            </w:r>
          </w:p>
        </w:tc>
        <w:tc>
          <w:tcPr>
            <w:tcW w:w="1212" w:type="dxa"/>
            <w:vAlign w:val="center"/>
          </w:tcPr>
          <w:p w14:paraId="0898DA56">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C10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B12493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5247" w:type="dxa"/>
          </w:tcPr>
          <w:p w14:paraId="14DA863D">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2F3E27C3">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824" w:type="dxa"/>
            <w:vAlign w:val="center"/>
          </w:tcPr>
          <w:p w14:paraId="0176F8F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10</w:t>
            </w:r>
          </w:p>
        </w:tc>
        <w:tc>
          <w:tcPr>
            <w:tcW w:w="834" w:type="dxa"/>
            <w:vAlign w:val="center"/>
          </w:tcPr>
          <w:p w14:paraId="0AE5CCC4">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7CFFD79">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14:paraId="0F73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9ED2888">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5247" w:type="dxa"/>
            <w:vAlign w:val="top"/>
          </w:tcPr>
          <w:p w14:paraId="4CA70B02">
            <w:pPr>
              <w:keepNext w:val="0"/>
              <w:keepLines w:val="0"/>
              <w:pageBreakBefore w:val="0"/>
              <w:kinsoku/>
              <w:wordWrap/>
              <w:overflowPunct/>
              <w:topLinePunct w:val="0"/>
              <w:autoSpaceDE/>
              <w:autoSpaceDN/>
              <w:bidi w:val="0"/>
              <w:snapToGrid w:val="0"/>
              <w:spacing w:line="240" w:lineRule="auto"/>
              <w:jc w:val="left"/>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启动实施方案</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详细、明晰</w:t>
            </w:r>
            <w:r>
              <w:rPr>
                <w:rFonts w:hint="eastAsia" w:asciiTheme="minorEastAsia" w:hAnsiTheme="minorEastAsia" w:eastAsiaTheme="minorEastAsia"/>
                <w:color w:val="auto"/>
                <w:sz w:val="24"/>
                <w:highlight w:val="none"/>
                <w:lang w:eastAsia="zh-CN"/>
              </w:rPr>
              <w:t>、完备</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0"/>
                <w:highlight w:val="none"/>
              </w:rPr>
              <w:t>满足采购需求的，</w:t>
            </w:r>
            <w:r>
              <w:rPr>
                <w:rFonts w:hint="eastAsia" w:asciiTheme="minorEastAsia" w:hAnsiTheme="minorEastAsia" w:eastAsiaTheme="minorEastAsia"/>
                <w:color w:val="auto"/>
                <w:sz w:val="24"/>
                <w:szCs w:val="20"/>
                <w:highlight w:val="none"/>
                <w:lang w:eastAsia="zh-CN"/>
              </w:rPr>
              <w:t>视为符合。</w:t>
            </w:r>
            <w:r>
              <w:rPr>
                <w:rFonts w:hint="eastAsia" w:asciiTheme="minorEastAsia" w:hAnsiTheme="minorEastAsia" w:eastAsiaTheme="minorEastAsia"/>
                <w:color w:val="auto"/>
                <w:sz w:val="24"/>
                <w:szCs w:val="20"/>
                <w:highlight w:val="none"/>
                <w:lang w:val="en-US"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不符合或</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rPr>
              <w:t>。</w:t>
            </w:r>
          </w:p>
        </w:tc>
        <w:tc>
          <w:tcPr>
            <w:tcW w:w="824" w:type="dxa"/>
            <w:vAlign w:val="center"/>
          </w:tcPr>
          <w:p w14:paraId="1B0E93F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57BDDAB3">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0D1FB620">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启动实施方案</w:t>
            </w:r>
          </w:p>
        </w:tc>
      </w:tr>
      <w:tr w14:paraId="0114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29036F3">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247" w:type="dxa"/>
            <w:vAlign w:val="top"/>
          </w:tcPr>
          <w:p w14:paraId="70EA2715">
            <w:pPr>
              <w:keepNext w:val="0"/>
              <w:keepLines w:val="0"/>
              <w:pageBreakBefore w:val="0"/>
              <w:kinsoku/>
              <w:wordWrap/>
              <w:overflowPunct/>
              <w:topLinePunct w:val="0"/>
              <w:autoSpaceDE/>
              <w:autoSpaceDN/>
              <w:bidi w:val="0"/>
              <w:spacing w:line="240" w:lineRule="auto"/>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投标人提供的</w:t>
            </w:r>
            <w:r>
              <w:rPr>
                <w:rFonts w:hint="eastAsia" w:asciiTheme="minorEastAsia" w:hAnsiTheme="minorEastAsia" w:eastAsiaTheme="minorEastAsia"/>
                <w:color w:val="auto"/>
                <w:sz w:val="24"/>
                <w:highlight w:val="none"/>
              </w:rPr>
              <w:t>数字城管</w:t>
            </w:r>
            <w:r>
              <w:rPr>
                <w:rFonts w:hint="eastAsia" w:asciiTheme="minorEastAsia" w:hAnsiTheme="minorEastAsia" w:eastAsiaTheme="minorEastAsia"/>
                <w:color w:val="auto"/>
                <w:sz w:val="24"/>
                <w:highlight w:val="none"/>
              </w:rPr>
              <w:t>城市</w:t>
            </w:r>
            <w:r>
              <w:rPr>
                <w:rFonts w:hint="eastAsia" w:asciiTheme="minorEastAsia" w:hAnsiTheme="minorEastAsia" w:eastAsiaTheme="minorEastAsia"/>
                <w:color w:val="auto"/>
                <w:sz w:val="24"/>
                <w:highlight w:val="none"/>
                <w:lang w:eastAsia="zh-CN"/>
              </w:rPr>
              <w:t>道路、</w:t>
            </w:r>
            <w:r>
              <w:rPr>
                <w:rFonts w:hint="eastAsia" w:asciiTheme="minorEastAsia" w:hAnsiTheme="minorEastAsia" w:eastAsiaTheme="minorEastAsia"/>
                <w:color w:val="auto"/>
                <w:sz w:val="24"/>
                <w:highlight w:val="none"/>
              </w:rPr>
              <w:t>河道、</w:t>
            </w:r>
            <w:r>
              <w:rPr>
                <w:rFonts w:hint="eastAsia" w:asciiTheme="minorEastAsia" w:hAnsiTheme="minorEastAsia" w:eastAsiaTheme="minorEastAsia"/>
                <w:color w:val="auto"/>
                <w:sz w:val="24"/>
                <w:highlight w:val="none"/>
                <w:lang w:eastAsia="zh-CN"/>
              </w:rPr>
              <w:t>人行过街天</w:t>
            </w:r>
            <w:r>
              <w:rPr>
                <w:rFonts w:hint="eastAsia" w:asciiTheme="minorEastAsia" w:hAnsiTheme="minorEastAsia" w:eastAsiaTheme="minorEastAsia"/>
                <w:color w:val="auto"/>
                <w:sz w:val="24"/>
                <w:highlight w:val="none"/>
              </w:rPr>
              <w:t>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rPr>
              <w:t>隧道</w:t>
            </w:r>
            <w:r>
              <w:rPr>
                <w:rFonts w:hint="eastAsia" w:asciiTheme="minorEastAsia" w:hAnsiTheme="minorEastAsia" w:eastAsiaTheme="minorEastAsia"/>
                <w:color w:val="auto"/>
                <w:sz w:val="24"/>
                <w:highlight w:val="none"/>
              </w:rPr>
              <w:t>等区域</w:t>
            </w:r>
            <w:r>
              <w:rPr>
                <w:rFonts w:hint="eastAsia" w:asciiTheme="minorEastAsia" w:hAnsiTheme="minorEastAsia" w:eastAsiaTheme="minorEastAsia"/>
                <w:color w:val="auto"/>
                <w:sz w:val="24"/>
                <w:highlight w:val="none"/>
              </w:rPr>
              <w:t>信息全面及时采集实施方案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采集实施方案可实现程度高、满足采购需求的视为符合</w:t>
            </w: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不符合或</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rPr>
              <w:t>。</w:t>
            </w:r>
          </w:p>
        </w:tc>
        <w:tc>
          <w:tcPr>
            <w:tcW w:w="824" w:type="dxa"/>
            <w:vAlign w:val="center"/>
          </w:tcPr>
          <w:p w14:paraId="50E65775">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7414D3A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7A12B1E2">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区域</w:t>
            </w:r>
            <w:r>
              <w:rPr>
                <w:rFonts w:hint="eastAsia" w:asciiTheme="minorEastAsia" w:hAnsiTheme="minorEastAsia" w:eastAsiaTheme="minorEastAsia"/>
                <w:color w:val="auto"/>
                <w:sz w:val="24"/>
                <w:highlight w:val="none"/>
              </w:rPr>
              <w:t>信息全面及时采集实施方案</w:t>
            </w:r>
          </w:p>
        </w:tc>
      </w:tr>
      <w:tr w14:paraId="1D66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3DF84647">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247" w:type="dxa"/>
          </w:tcPr>
          <w:p w14:paraId="661563C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投标人用于信息采集所提供的符合采购人要求的车辆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每提供</w:t>
            </w:r>
            <w:r>
              <w:rPr>
                <w:rFonts w:asciiTheme="minorEastAsia" w:hAnsiTheme="minorEastAsia" w:eastAsiaTheme="minorEastAsia"/>
                <w:color w:val="auto"/>
                <w:sz w:val="24"/>
                <w:highlight w:val="none"/>
              </w:rPr>
              <w:t>1辆得1分，本项最高得2分（需提供车辆使用权证明材料，证明材料包括但不限于车辆行驶证、车辆租赁合同等），证明材料不全或不符合要求的车辆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该车辆不得分</w:t>
            </w:r>
            <w:r>
              <w:rPr>
                <w:rFonts w:hint="eastAsia" w:asciiTheme="minorEastAsia" w:hAnsiTheme="minorEastAsia" w:eastAsiaTheme="minorEastAsia"/>
                <w:color w:val="auto"/>
                <w:sz w:val="24"/>
                <w:highlight w:val="none"/>
              </w:rPr>
              <w:t>。</w:t>
            </w:r>
          </w:p>
        </w:tc>
        <w:tc>
          <w:tcPr>
            <w:tcW w:w="824" w:type="dxa"/>
            <w:vAlign w:val="center"/>
          </w:tcPr>
          <w:p w14:paraId="7090073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57F8A1ED">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E3A0188">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服务车辆</w:t>
            </w:r>
          </w:p>
        </w:tc>
      </w:tr>
      <w:tr w14:paraId="0A67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0A364B9">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247" w:type="dxa"/>
          </w:tcPr>
          <w:p w14:paraId="44BFDB0B">
            <w:pPr>
              <w:keepNext w:val="0"/>
              <w:keepLines w:val="0"/>
              <w:pageBreakBefore w:val="0"/>
              <w:kinsoku/>
              <w:wordWrap/>
              <w:overflowPunct/>
              <w:topLinePunct w:val="0"/>
              <w:autoSpaceDE/>
              <w:autoSpaceDN/>
              <w:bidi w:val="0"/>
              <w:snapToGrid w:val="0"/>
              <w:spacing w:line="240" w:lineRule="auto"/>
              <w:jc w:val="left"/>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投标人承诺中标后在所中标区域内设立固定办公场所，便于工作开展及管理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1分，未承诺不得分。</w:t>
            </w:r>
            <w:r>
              <w:rPr>
                <w:rFonts w:hint="eastAsia" w:asciiTheme="minorEastAsia" w:hAnsiTheme="minorEastAsia" w:eastAsiaTheme="minorEastAsia"/>
                <w:color w:val="auto"/>
                <w:sz w:val="24"/>
                <w:highlight w:val="none"/>
              </w:rPr>
              <w:t>（需在投标文件中提供承诺书等证明材料）</w:t>
            </w:r>
          </w:p>
        </w:tc>
        <w:tc>
          <w:tcPr>
            <w:tcW w:w="824" w:type="dxa"/>
            <w:vAlign w:val="center"/>
          </w:tcPr>
          <w:p w14:paraId="1759C96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67AC37F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5865C8E">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办公场所情况</w:t>
            </w:r>
          </w:p>
        </w:tc>
      </w:tr>
      <w:tr w14:paraId="1197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2A9BD0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247" w:type="dxa"/>
          </w:tcPr>
          <w:p w14:paraId="02522BA5">
            <w:pPr>
              <w:keepNext w:val="0"/>
              <w:keepLines w:val="0"/>
              <w:pageBreakBefore w:val="0"/>
              <w:widowControl/>
              <w:shd w:val="clear" w:color="auto" w:fill="FFFFFF"/>
              <w:kinsoku/>
              <w:wordWrap/>
              <w:overflowPunct/>
              <w:topLinePunct w:val="0"/>
              <w:autoSpaceDE/>
              <w:autoSpaceDN/>
              <w:bidi w:val="0"/>
              <w:adjustRightInd/>
              <w:spacing w:after="0" w:line="240" w:lineRule="auto"/>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投标人承诺在为本项目所设立的固定办公场所配备不少于</w:t>
            </w:r>
            <w:r>
              <w:rPr>
                <w:rFonts w:asciiTheme="minorEastAsia" w:hAnsiTheme="minorEastAsia" w:eastAsiaTheme="minorEastAsia"/>
                <w:color w:val="auto"/>
                <w:sz w:val="24"/>
                <w:highlight w:val="none"/>
              </w:rPr>
              <w:t>100MB网络带宽的宽带网络</w:t>
            </w:r>
            <w:r>
              <w:rPr>
                <w:rFonts w:hint="eastAsia" w:asciiTheme="minorEastAsia" w:hAnsiTheme="minorEastAsia" w:eastAsiaTheme="minorEastAsia"/>
                <w:color w:val="auto"/>
                <w:sz w:val="24"/>
                <w:highlight w:val="none"/>
              </w:rPr>
              <w:t>并将及时升级网络带宽确保视频及信息化系统正常使用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w:t>
            </w:r>
            <w:r>
              <w:rPr>
                <w:rFonts w:hint="eastAsia" w:asciiTheme="minorEastAsia" w:hAnsiTheme="minorEastAsia" w:eastAsiaTheme="minorEastAsia"/>
                <w:color w:val="auto"/>
                <w:sz w:val="24"/>
                <w:highlight w:val="none"/>
              </w:rPr>
              <w:t>（需在投标文件中提供承诺书等证明材料）</w:t>
            </w:r>
          </w:p>
        </w:tc>
        <w:tc>
          <w:tcPr>
            <w:tcW w:w="824" w:type="dxa"/>
            <w:vAlign w:val="center"/>
          </w:tcPr>
          <w:p w14:paraId="1D7B0FC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7D9FCD7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C852C32">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网络情况</w:t>
            </w:r>
          </w:p>
        </w:tc>
      </w:tr>
      <w:tr w14:paraId="45D9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60B649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247" w:type="dxa"/>
            <w:vAlign w:val="center"/>
          </w:tcPr>
          <w:p w14:paraId="02F84022">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方案讲解情况：</w:t>
            </w:r>
          </w:p>
          <w:p w14:paraId="11C0817C">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投标人提供的项目组队伍组建方案情况。根据讲解情况进行打分，方案合理可行、有具体组建措施、满足采购人要求的视为符合。符合得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70DEEE2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对所投标区域城市管理工作情况是否全面了解、熟悉。根据讲解情况进行评分，符合采购人实际的得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5B8D0F5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确保有关信息数据全面、及时、准确采集等举措和措施是否合理可行、符合采购需求。合理可行满足采购需求的视为符合。符合得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6894975D">
            <w:pPr>
              <w:rPr>
                <w:color w:val="auto"/>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项目组人员职业道德管控方案是否合理可行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有操作性，符合采购需求。符合的得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57FA9BB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outlineLvl w:val="9"/>
              <w:rPr>
                <w:rFonts w:ascii="Times New Roman" w:hAnsi="Times New Roman" w:eastAsia="宋体" w:cs="Times New Roman"/>
                <w:color w:val="auto"/>
                <w:kern w:val="2"/>
                <w:sz w:val="21"/>
                <w:szCs w:val="24"/>
                <w:highlight w:val="none"/>
                <w:lang w:val="en-US" w:eastAsia="zh-CN" w:bidi="ar-SA"/>
              </w:rPr>
            </w:pPr>
          </w:p>
        </w:tc>
        <w:tc>
          <w:tcPr>
            <w:tcW w:w="824" w:type="dxa"/>
            <w:vAlign w:val="center"/>
          </w:tcPr>
          <w:p w14:paraId="73157AF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376F614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4F58B0B2">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14:paraId="0B8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2543F9A">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247" w:type="dxa"/>
          </w:tcPr>
          <w:p w14:paraId="775B7342">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层级管理制度，保证管理、指挥、质量控制要求在组织架构上实现。</w:t>
            </w:r>
            <w:r>
              <w:rPr>
                <w:rFonts w:hint="eastAsia" w:asciiTheme="minorEastAsia" w:hAnsiTheme="minorEastAsia" w:eastAsiaTheme="minorEastAsia"/>
                <w:color w:val="auto"/>
                <w:sz w:val="24"/>
                <w:highlight w:val="none"/>
                <w:lang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3533B1E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49C4EB8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C451D12">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层级管理制度</w:t>
            </w:r>
            <w:r>
              <w:rPr>
                <w:rFonts w:hint="eastAsia" w:asciiTheme="minorEastAsia" w:hAnsiTheme="minorEastAsia" w:eastAsiaTheme="minorEastAsia"/>
                <w:color w:val="auto"/>
                <w:sz w:val="24"/>
                <w:highlight w:val="none"/>
                <w:lang w:val="en-US" w:eastAsia="zh-CN"/>
              </w:rPr>
              <w:t>情况</w:t>
            </w:r>
          </w:p>
        </w:tc>
      </w:tr>
      <w:tr w14:paraId="2B0D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38F5774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247" w:type="dxa"/>
          </w:tcPr>
          <w:p w14:paraId="521780D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具有规范的人力资源管理体系</w:t>
            </w:r>
            <w:r>
              <w:rPr>
                <w:rFonts w:hint="eastAsia" w:asciiTheme="minorEastAsia" w:hAnsiTheme="minorEastAsia" w:eastAsiaTheme="minorEastAsia"/>
                <w:color w:val="auto"/>
                <w:sz w:val="24"/>
                <w:highlight w:val="none"/>
                <w:lang w:eastAsia="zh-CN"/>
              </w:rPr>
              <w:t>材料</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4A4D1EA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0CF60BF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6A8F817">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人力资源管理</w:t>
            </w:r>
          </w:p>
        </w:tc>
      </w:tr>
      <w:tr w14:paraId="23F1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3DD4E63">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0</w:t>
            </w:r>
          </w:p>
        </w:tc>
        <w:tc>
          <w:tcPr>
            <w:tcW w:w="5247" w:type="dxa"/>
          </w:tcPr>
          <w:p w14:paraId="404C3AD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①纪律、②廉政、③安全、④公文管理、⑤档案管理、⑥宣传等内部管理制度，每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0.5</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共3</w:t>
            </w:r>
            <w:r>
              <w:rPr>
                <w:rFonts w:asciiTheme="minorEastAsia" w:hAnsiTheme="minorEastAsia" w:eastAsiaTheme="minorEastAsia"/>
                <w:color w:val="auto"/>
                <w:sz w:val="24"/>
                <w:highlight w:val="none"/>
              </w:rPr>
              <w:t>分。</w:t>
            </w:r>
          </w:p>
        </w:tc>
        <w:tc>
          <w:tcPr>
            <w:tcW w:w="824" w:type="dxa"/>
            <w:vAlign w:val="center"/>
          </w:tcPr>
          <w:p w14:paraId="60C8921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6666555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4198D675">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内部管理制度</w:t>
            </w:r>
          </w:p>
        </w:tc>
      </w:tr>
      <w:tr w14:paraId="6F5B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602D22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1</w:t>
            </w:r>
          </w:p>
        </w:tc>
        <w:tc>
          <w:tcPr>
            <w:tcW w:w="5247" w:type="dxa"/>
          </w:tcPr>
          <w:p w14:paraId="33688EA6">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cs="Arial" w:asciiTheme="minorEastAsia" w:hAnsiTheme="minorEastAsia" w:eastAsiaTheme="minorEastAsia"/>
                <w:snapToGrid w:val="0"/>
                <w:color w:val="auto"/>
                <w:sz w:val="24"/>
                <w:highlight w:val="none"/>
                <w:lang w:eastAsia="zh-CN"/>
              </w:rPr>
              <w:t>提供</w:t>
            </w:r>
            <w:r>
              <w:rPr>
                <w:rFonts w:hint="eastAsia" w:asciiTheme="minorEastAsia" w:hAnsiTheme="minorEastAsia" w:eastAsiaTheme="minorEastAsia"/>
                <w:color w:val="auto"/>
                <w:sz w:val="24"/>
                <w:highlight w:val="none"/>
              </w:rPr>
              <w:t>①明确的</w:t>
            </w:r>
            <w:r>
              <w:rPr>
                <w:rFonts w:hint="eastAsia" w:asciiTheme="minorEastAsia" w:hAnsiTheme="minorEastAsia" w:eastAsiaTheme="minorEastAsia"/>
                <w:color w:val="auto"/>
                <w:sz w:val="24"/>
                <w:highlight w:val="none"/>
                <w:lang w:eastAsia="zh-CN"/>
              </w:rPr>
              <w:t>岗位</w:t>
            </w:r>
            <w:r>
              <w:rPr>
                <w:rFonts w:hint="eastAsia" w:asciiTheme="minorEastAsia" w:hAnsiTheme="minorEastAsia" w:eastAsiaTheme="minorEastAsia"/>
                <w:color w:val="auto"/>
                <w:sz w:val="24"/>
                <w:highlight w:val="none"/>
              </w:rPr>
              <w:t>分工和职责</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并对应制定考核办法，②</w:t>
            </w:r>
            <w:r>
              <w:rPr>
                <w:rFonts w:hint="eastAsia" w:asciiTheme="minorEastAsia" w:hAnsiTheme="minorEastAsia" w:eastAsiaTheme="minorEastAsia"/>
                <w:color w:val="auto"/>
                <w:sz w:val="24"/>
                <w:highlight w:val="none"/>
                <w:lang w:eastAsia="zh-CN"/>
              </w:rPr>
              <w:t>各岗位</w:t>
            </w:r>
            <w:r>
              <w:rPr>
                <w:rFonts w:hint="eastAsia" w:asciiTheme="minorEastAsia" w:hAnsiTheme="minorEastAsia" w:eastAsiaTheme="minorEastAsia"/>
                <w:color w:val="auto"/>
                <w:sz w:val="24"/>
                <w:highlight w:val="none"/>
              </w:rPr>
              <w:t>实行末位淘汰等奖优罚劣措施。每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p>
        </w:tc>
        <w:tc>
          <w:tcPr>
            <w:tcW w:w="824" w:type="dxa"/>
            <w:vAlign w:val="center"/>
          </w:tcPr>
          <w:p w14:paraId="5E04629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00EB45C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24DC667D">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人员分工、职责及考核</w:t>
            </w:r>
          </w:p>
        </w:tc>
      </w:tr>
      <w:tr w14:paraId="3965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E1126A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2</w:t>
            </w:r>
          </w:p>
        </w:tc>
        <w:tc>
          <w:tcPr>
            <w:tcW w:w="5247" w:type="dxa"/>
            <w:vAlign w:val="top"/>
          </w:tcPr>
          <w:p w14:paraId="51496A1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①采集器管理办法、②车载视频设备管理办法。每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共2</w:t>
            </w:r>
            <w:r>
              <w:rPr>
                <w:rFonts w:asciiTheme="minorEastAsia" w:hAnsiTheme="minorEastAsia" w:eastAsiaTheme="minorEastAsia"/>
                <w:color w:val="auto"/>
                <w:sz w:val="24"/>
                <w:highlight w:val="none"/>
              </w:rPr>
              <w:t>分。</w:t>
            </w:r>
          </w:p>
        </w:tc>
        <w:tc>
          <w:tcPr>
            <w:tcW w:w="824" w:type="dxa"/>
            <w:vAlign w:val="center"/>
          </w:tcPr>
          <w:p w14:paraId="283C428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54F1A38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0E8321F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设备管理办法</w:t>
            </w:r>
          </w:p>
        </w:tc>
      </w:tr>
      <w:tr w14:paraId="52CB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38934834">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3</w:t>
            </w:r>
          </w:p>
        </w:tc>
        <w:tc>
          <w:tcPr>
            <w:tcW w:w="5247" w:type="dxa"/>
            <w:vAlign w:val="top"/>
          </w:tcPr>
          <w:p w14:paraId="1E71A69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cs="Arial" w:asciiTheme="minorEastAsia" w:hAnsiTheme="minorEastAsia" w:eastAsiaTheme="minorEastAsia"/>
                <w:snapToGrid w:val="0"/>
                <w:color w:val="auto"/>
                <w:sz w:val="24"/>
                <w:highlight w:val="none"/>
                <w:lang w:eastAsia="zh-CN"/>
              </w:rPr>
              <w:t>提供</w:t>
            </w:r>
            <w:r>
              <w:rPr>
                <w:rFonts w:hint="eastAsia" w:asciiTheme="minorEastAsia" w:hAnsiTheme="minorEastAsia" w:eastAsiaTheme="minorEastAsia"/>
                <w:color w:val="auto"/>
                <w:sz w:val="24"/>
                <w:highlight w:val="none"/>
              </w:rPr>
              <w:t>公共危机应急预案。</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013BB8F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158707B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4BD2477">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应急预案</w:t>
            </w:r>
          </w:p>
        </w:tc>
      </w:tr>
      <w:tr w14:paraId="3A3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1A3A998">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5247" w:type="dxa"/>
            <w:vAlign w:val="top"/>
          </w:tcPr>
          <w:p w14:paraId="74E8381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投标人为本项目已组建的项目组人员数量情况（不包括中标后按招标文件中人员要求应补足人数）：项目组人员数量达到本项目所需要求70%及以上的得</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分，达到50%及以上不足70%的得</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分，达到30%及以上不足50%的得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分，不足30%的不得分。</w:t>
            </w:r>
            <w:r>
              <w:rPr>
                <w:rFonts w:hint="eastAsia" w:cs="Wingdings" w:asciiTheme="minorEastAsia" w:hAnsiTheme="minorEastAsia" w:eastAsiaTheme="minorEastAsia"/>
                <w:color w:val="auto"/>
                <w:sz w:val="24"/>
                <w:highlight w:val="none"/>
              </w:rPr>
              <w:t>需提供证明材料</w:t>
            </w:r>
            <w:r>
              <w:rPr>
                <w:rFonts w:hint="eastAsia" w:cs="Wingdings" w:asciiTheme="minorEastAsia" w:hAnsiTheme="minorEastAsia" w:eastAsiaTheme="minorEastAsia"/>
                <w:color w:val="auto"/>
                <w:sz w:val="24"/>
                <w:highlight w:val="none"/>
                <w:lang w:eastAsia="zh-CN"/>
              </w:rPr>
              <w:t>，</w:t>
            </w:r>
            <w:r>
              <w:rPr>
                <w:rFonts w:hint="eastAsia" w:cs="Wingdings" w:asciiTheme="minorEastAsia" w:hAnsiTheme="minorEastAsia" w:eastAsiaTheme="minorEastAsia"/>
                <w:color w:val="auto"/>
                <w:sz w:val="24"/>
                <w:highlight w:val="none"/>
              </w:rPr>
              <w:t>证明材料包括但不限于现有公司为其缴纳的五险一金清单</w:t>
            </w:r>
            <w:r>
              <w:rPr>
                <w:rFonts w:hint="eastAsia" w:asciiTheme="minorEastAsia" w:hAnsiTheme="minorEastAsia" w:eastAsiaTheme="minorEastAsia"/>
                <w:color w:val="auto"/>
                <w:sz w:val="24"/>
                <w:highlight w:val="none"/>
              </w:rPr>
              <w:t>等证明材料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未提供证明材料或证明材料不符合要求的人员不计入“项目组人员数量”。</w:t>
            </w:r>
          </w:p>
        </w:tc>
        <w:tc>
          <w:tcPr>
            <w:tcW w:w="824" w:type="dxa"/>
            <w:vAlign w:val="center"/>
          </w:tcPr>
          <w:p w14:paraId="2C2FA21B">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834" w:type="dxa"/>
            <w:vAlign w:val="center"/>
          </w:tcPr>
          <w:p w14:paraId="3835EA0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28294A90">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服务人员情况</w:t>
            </w:r>
          </w:p>
        </w:tc>
      </w:tr>
      <w:tr w14:paraId="44E0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ADAEC24">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247" w:type="dxa"/>
            <w:vAlign w:val="top"/>
          </w:tcPr>
          <w:p w14:paraId="7A85F59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项目经理</w:t>
            </w:r>
            <w:r>
              <w:rPr>
                <w:rFonts w:hint="eastAsia" w:cs="Wingdings" w:asciiTheme="minorEastAsia" w:hAnsiTheme="minorEastAsia" w:eastAsiaTheme="minorEastAsia"/>
                <w:color w:val="auto"/>
                <w:sz w:val="24"/>
                <w:highlight w:val="none"/>
                <w:lang w:eastAsia="zh-CN"/>
              </w:rPr>
              <w:t>履职能力：</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本科及以上学历</w:t>
            </w:r>
            <w:r>
              <w:rPr>
                <w:rFonts w:hint="eastAsia" w:cs="Wingdings" w:asciiTheme="minorEastAsia" w:hAnsiTheme="minorEastAsia" w:eastAsiaTheme="minorEastAsia"/>
                <w:color w:val="auto"/>
                <w:sz w:val="24"/>
                <w:highlight w:val="none"/>
                <w:lang w:eastAsia="zh-CN"/>
              </w:rPr>
              <w:t>，</w:t>
            </w:r>
            <w:r>
              <w:rPr>
                <w:rFonts w:cs="Wingdings" w:asciiTheme="minorEastAsia" w:hAnsiTheme="minorEastAsia" w:eastAsiaTheme="minorEastAsia"/>
                <w:color w:val="auto"/>
                <w:sz w:val="24"/>
                <w:highlight w:val="none"/>
              </w:rPr>
              <w:t>得</w:t>
            </w:r>
            <w:r>
              <w:rPr>
                <w:rFonts w:hint="eastAsia" w:cs="Wingdings" w:asciiTheme="minorEastAsia" w:hAnsiTheme="minorEastAsia" w:eastAsiaTheme="minorEastAsia"/>
                <w:color w:val="auto"/>
                <w:sz w:val="24"/>
                <w:highlight w:val="none"/>
                <w:lang w:val="en-US" w:eastAsia="zh-CN"/>
              </w:rPr>
              <w:t>1</w:t>
            </w:r>
            <w:r>
              <w:rPr>
                <w:rFonts w:cs="Wingding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专科学历</w:t>
            </w:r>
            <w:r>
              <w:rPr>
                <w:rFonts w:hint="eastAsia" w:cs="Wingdings" w:asciiTheme="minorEastAsia" w:hAnsiTheme="minorEastAsia" w:eastAsiaTheme="minorEastAsia"/>
                <w:color w:val="auto"/>
                <w:sz w:val="24"/>
                <w:highlight w:val="none"/>
                <w:lang w:eastAsia="zh-CN"/>
              </w:rPr>
              <w:t>，</w:t>
            </w:r>
            <w:r>
              <w:rPr>
                <w:rFonts w:cs="Wingdings" w:asciiTheme="minorEastAsia" w:hAnsiTheme="minorEastAsia" w:eastAsiaTheme="minorEastAsia"/>
                <w:color w:val="auto"/>
                <w:sz w:val="24"/>
                <w:highlight w:val="none"/>
              </w:rPr>
              <w:t>得</w:t>
            </w:r>
            <w:r>
              <w:rPr>
                <w:rFonts w:hint="eastAsia" w:cs="Wingdings" w:asciiTheme="minorEastAsia" w:hAnsiTheme="minorEastAsia" w:eastAsiaTheme="minorEastAsia"/>
                <w:color w:val="auto"/>
                <w:sz w:val="24"/>
                <w:highlight w:val="none"/>
                <w:lang w:val="en-US" w:eastAsia="zh-CN"/>
              </w:rPr>
              <w:t>0.5</w:t>
            </w:r>
            <w:r>
              <w:rPr>
                <w:rFonts w:cs="Wingdings" w:asciiTheme="minorEastAsia" w:hAnsiTheme="minorEastAsia" w:eastAsiaTheme="minorEastAsia"/>
                <w:color w:val="auto"/>
                <w:sz w:val="24"/>
                <w:highlight w:val="none"/>
              </w:rPr>
              <w:t>分。</w:t>
            </w:r>
            <w:r>
              <w:rPr>
                <w:rFonts w:hint="eastAsia" w:cs="Wingdings" w:asciiTheme="minorEastAsia" w:hAnsiTheme="minorEastAsia" w:eastAsiaTheme="minorEastAsia"/>
                <w:color w:val="auto"/>
                <w:sz w:val="24"/>
                <w:highlight w:val="none"/>
                <w:lang w:val="en-US" w:eastAsia="zh-CN"/>
              </w:rPr>
              <w:t>其他不得分。</w:t>
            </w:r>
            <w:r>
              <w:rPr>
                <w:rFonts w:cs="Wingdings" w:asciiTheme="minorEastAsia" w:hAnsiTheme="minorEastAsia" w:eastAsiaTheme="minorEastAsia"/>
                <w:color w:val="auto"/>
                <w:sz w:val="24"/>
                <w:highlight w:val="none"/>
              </w:rPr>
              <w:t>需提供证明材料（证明材料包括但不限于</w:t>
            </w:r>
            <w:r>
              <w:rPr>
                <w:rFonts w:hint="eastAsia" w:cs="Wingdings" w:asciiTheme="minorEastAsia" w:hAnsiTheme="minorEastAsia" w:eastAsiaTheme="minorEastAsia"/>
                <w:color w:val="auto"/>
                <w:sz w:val="24"/>
                <w:highlight w:val="none"/>
              </w:rPr>
              <w:t>现有公司为其缴纳的五险一金清单、学历证书等）</w:t>
            </w:r>
            <w:r>
              <w:rPr>
                <w:rFonts w:hint="eastAsia" w:asciiTheme="minorEastAsia" w:hAnsiTheme="minorEastAsia" w:eastAsiaTheme="minorEastAsia"/>
                <w:color w:val="auto"/>
                <w:sz w:val="24"/>
                <w:highlight w:val="none"/>
              </w:rPr>
              <w:t>，证明材料不全或不符合要求</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不得分</w:t>
            </w:r>
            <w:r>
              <w:rPr>
                <w:rFonts w:hint="eastAsia" w:cs="仿宋_GB2312" w:asciiTheme="minorEastAsia" w:hAnsiTheme="minorEastAsia" w:eastAsiaTheme="minorEastAsia"/>
                <w:color w:val="auto"/>
                <w:kern w:val="0"/>
                <w:sz w:val="24"/>
                <w:highlight w:val="none"/>
                <w:lang w:val="zh-CN"/>
              </w:rPr>
              <w:t>。</w:t>
            </w:r>
          </w:p>
        </w:tc>
        <w:tc>
          <w:tcPr>
            <w:tcW w:w="824" w:type="dxa"/>
            <w:vAlign w:val="center"/>
          </w:tcPr>
          <w:p w14:paraId="3D497A3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731C6F3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212" w:type="dxa"/>
            <w:vAlign w:val="center"/>
          </w:tcPr>
          <w:p w14:paraId="2360E3EA">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项目经理</w:t>
            </w:r>
          </w:p>
        </w:tc>
      </w:tr>
      <w:tr w14:paraId="60A6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3A0AE0C">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247" w:type="dxa"/>
            <w:vAlign w:val="top"/>
          </w:tcPr>
          <w:p w14:paraId="109E6C6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项目</w:t>
            </w:r>
            <w:r>
              <w:rPr>
                <w:rFonts w:hint="eastAsia" w:cs="Wingdings" w:asciiTheme="minorEastAsia" w:hAnsiTheme="minorEastAsia" w:eastAsiaTheme="minorEastAsia"/>
                <w:color w:val="auto"/>
                <w:sz w:val="24"/>
                <w:highlight w:val="none"/>
                <w:lang w:eastAsia="zh-CN"/>
              </w:rPr>
              <w:t>管理员履职能力：</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w:t>
            </w:r>
            <w:r>
              <w:rPr>
                <w:rFonts w:hint="eastAsia" w:asciiTheme="minorEastAsia" w:hAnsiTheme="minorEastAsia" w:eastAsiaTheme="minorEastAsia"/>
                <w:color w:val="auto"/>
                <w:sz w:val="24"/>
                <w:highlight w:val="none"/>
                <w:lang w:val="en-US" w:eastAsia="zh-CN"/>
              </w:rPr>
              <w:t>及</w:t>
            </w:r>
            <w:r>
              <w:rPr>
                <w:rFonts w:asciiTheme="minorEastAsia" w:hAnsiTheme="minorEastAsia" w:eastAsiaTheme="minorEastAsia"/>
                <w:color w:val="auto"/>
                <w:sz w:val="24"/>
                <w:highlight w:val="none"/>
              </w:rPr>
              <w:t>以上</w:t>
            </w:r>
            <w:r>
              <w:rPr>
                <w:rFonts w:hint="eastAsia" w:asciiTheme="minorEastAsia" w:hAnsiTheme="minorEastAsia" w:eastAsiaTheme="minorEastAsia"/>
                <w:color w:val="auto"/>
                <w:sz w:val="24"/>
                <w:highlight w:val="none"/>
                <w:lang w:eastAsia="zh-CN"/>
              </w:rPr>
              <w:t>学历的</w:t>
            </w:r>
            <w:r>
              <w:rPr>
                <w:rFonts w:hint="eastAsia" w:asciiTheme="minorEastAsia" w:hAnsiTheme="minorEastAsia" w:eastAsiaTheme="minorEastAsia"/>
                <w:color w:val="auto"/>
                <w:sz w:val="24"/>
                <w:highlight w:val="none"/>
              </w:rPr>
              <w:t>，</w:t>
            </w:r>
            <w:r>
              <w:rPr>
                <w:rFonts w:hint="eastAsia" w:cs="Wingdings" w:asciiTheme="minorEastAsia" w:hAnsiTheme="minorEastAsia" w:eastAsiaTheme="minorEastAsia"/>
                <w:color w:val="auto"/>
                <w:sz w:val="24"/>
                <w:highlight w:val="none"/>
              </w:rPr>
              <w:t>每少1人或每有1人不符合要求</w:t>
            </w:r>
            <w:r>
              <w:rPr>
                <w:rFonts w:hint="eastAsia" w:cs="Wingdings" w:asciiTheme="minorEastAsia" w:hAnsiTheme="minorEastAsia" w:eastAsiaTheme="minorEastAsia"/>
                <w:color w:val="auto"/>
                <w:sz w:val="24"/>
                <w:highlight w:val="none"/>
                <w:lang w:eastAsia="zh-CN"/>
              </w:rPr>
              <w:t>的，</w:t>
            </w:r>
            <w:r>
              <w:rPr>
                <w:rFonts w:hint="eastAsia" w:cs="Wingdings" w:asciiTheme="minorEastAsia" w:hAnsiTheme="minorEastAsia" w:eastAsiaTheme="minorEastAsia"/>
                <w:color w:val="auto"/>
                <w:sz w:val="24"/>
                <w:highlight w:val="none"/>
              </w:rPr>
              <w:t>扣</w:t>
            </w:r>
            <w:r>
              <w:rPr>
                <w:rFonts w:hint="eastAsia" w:cs="Wingdings" w:asciiTheme="minorEastAsia" w:hAnsiTheme="minorEastAsia" w:eastAsiaTheme="minorEastAsia"/>
                <w:color w:val="auto"/>
                <w:sz w:val="24"/>
                <w:highlight w:val="none"/>
                <w:lang w:val="en-US" w:eastAsia="zh-CN"/>
              </w:rPr>
              <w:t>0.5</w:t>
            </w:r>
            <w:r>
              <w:rPr>
                <w:rFonts w:hint="eastAsia" w:cs="Wingdings" w:asciiTheme="minorEastAsia" w:hAnsiTheme="minorEastAsia" w:eastAsiaTheme="minorEastAsia"/>
                <w:color w:val="auto"/>
                <w:sz w:val="24"/>
                <w:highlight w:val="none"/>
              </w:rPr>
              <w:t>分，扣完为止</w:t>
            </w:r>
            <w:r>
              <w:rPr>
                <w:rFonts w:cs="Wingdings" w:asciiTheme="minorEastAsia" w:hAnsiTheme="minorEastAsia" w:eastAsiaTheme="minorEastAsia"/>
                <w:color w:val="auto"/>
                <w:sz w:val="24"/>
                <w:highlight w:val="none"/>
              </w:rPr>
              <w:t>；</w:t>
            </w:r>
            <w:r>
              <w:rPr>
                <w:rFonts w:hint="eastAsia" w:cs="Wingdings" w:asciiTheme="minorEastAsia" w:hAnsiTheme="minorEastAsia" w:eastAsiaTheme="minorEastAsia"/>
                <w:color w:val="auto"/>
                <w:sz w:val="24"/>
                <w:highlight w:val="none"/>
              </w:rPr>
              <w:t>需提供证明材料（证明材料包括但不限于现有公司为其缴纳的五险一金清单、学历证书等）</w:t>
            </w:r>
            <w:r>
              <w:rPr>
                <w:rFonts w:hint="eastAsia" w:cs="Wingdings"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证明材料不全或不符合要求的人员</w:t>
            </w:r>
            <w:r>
              <w:rPr>
                <w:rFonts w:hint="eastAsia" w:asciiTheme="minorEastAsia" w:hAnsiTheme="minorEastAsia" w:eastAsiaTheme="minorEastAsia"/>
                <w:color w:val="auto"/>
                <w:sz w:val="24"/>
                <w:highlight w:val="none"/>
                <w:lang w:eastAsia="zh-CN"/>
              </w:rPr>
              <w:t>，按少人计算</w:t>
            </w:r>
            <w:r>
              <w:rPr>
                <w:rFonts w:asciiTheme="minorEastAsia" w:hAnsiTheme="minorEastAsia" w:eastAsiaTheme="minorEastAsia"/>
                <w:color w:val="auto"/>
                <w:sz w:val="24"/>
                <w:highlight w:val="none"/>
              </w:rPr>
              <w:t>。</w:t>
            </w:r>
          </w:p>
        </w:tc>
        <w:tc>
          <w:tcPr>
            <w:tcW w:w="824" w:type="dxa"/>
            <w:vAlign w:val="center"/>
          </w:tcPr>
          <w:p w14:paraId="4013FB0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07F029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212" w:type="dxa"/>
            <w:vAlign w:val="center"/>
          </w:tcPr>
          <w:p w14:paraId="41F14C73">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项目管理员</w:t>
            </w:r>
          </w:p>
        </w:tc>
      </w:tr>
      <w:tr w14:paraId="0985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828A528">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247" w:type="dxa"/>
          </w:tcPr>
          <w:p w14:paraId="6A6CB11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投标人承诺为所有项目组成员购买“五险一金”和意外险</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2分，未承诺的不得分。在投标文件中提供承诺书等证明材料。</w:t>
            </w:r>
          </w:p>
        </w:tc>
        <w:tc>
          <w:tcPr>
            <w:tcW w:w="824" w:type="dxa"/>
            <w:vAlign w:val="center"/>
          </w:tcPr>
          <w:p w14:paraId="3CC8B6F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1904609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9CBCDC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保险情况</w:t>
            </w:r>
          </w:p>
        </w:tc>
      </w:tr>
      <w:tr w14:paraId="748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B971058">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247" w:type="dxa"/>
          </w:tcPr>
          <w:p w14:paraId="33154B7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投标人承诺项目组人员扣除“五险一金”和意外险后的实际收入不低于当年杭州市最低工资标准数额的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2分，未承诺不得分。在投标文件中提供承诺书等证明材料。</w:t>
            </w:r>
          </w:p>
        </w:tc>
        <w:tc>
          <w:tcPr>
            <w:tcW w:w="824" w:type="dxa"/>
            <w:vAlign w:val="center"/>
          </w:tcPr>
          <w:p w14:paraId="709ECB2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3948988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FB256DF">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最低工作情况</w:t>
            </w:r>
          </w:p>
        </w:tc>
      </w:tr>
      <w:tr w14:paraId="49A3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28A5354">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19</w:t>
            </w:r>
          </w:p>
        </w:tc>
        <w:tc>
          <w:tcPr>
            <w:tcW w:w="5247" w:type="dxa"/>
            <w:vAlign w:val="top"/>
          </w:tcPr>
          <w:p w14:paraId="41C1F47D">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根据巡查覆盖频次要求和数字城管运行时间，信息采集区域各工作单元（网格）人员配置</w:t>
            </w:r>
            <w:r>
              <w:rPr>
                <w:rFonts w:hint="eastAsia" w:asciiTheme="minorEastAsia" w:hAnsiTheme="minorEastAsia" w:eastAsiaTheme="minorEastAsia"/>
                <w:color w:val="auto"/>
                <w:sz w:val="24"/>
                <w:highlight w:val="none"/>
                <w:lang w:eastAsia="zh-CN"/>
              </w:rPr>
              <w:t>满足</w:t>
            </w:r>
            <w:r>
              <w:rPr>
                <w:rFonts w:hint="eastAsia" w:asciiTheme="minorEastAsia" w:hAnsiTheme="minorEastAsia" w:eastAsiaTheme="minorEastAsia"/>
                <w:color w:val="auto"/>
                <w:sz w:val="24"/>
                <w:highlight w:val="none"/>
              </w:rPr>
              <w:t>区域和时间上全覆盖要求</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2分，不符合要求不得分。</w:t>
            </w:r>
          </w:p>
        </w:tc>
        <w:tc>
          <w:tcPr>
            <w:tcW w:w="824" w:type="dxa"/>
            <w:vAlign w:val="center"/>
          </w:tcPr>
          <w:p w14:paraId="612BE63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2</w:t>
            </w:r>
          </w:p>
        </w:tc>
        <w:tc>
          <w:tcPr>
            <w:tcW w:w="834" w:type="dxa"/>
            <w:vAlign w:val="center"/>
          </w:tcPr>
          <w:p w14:paraId="291BC416">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55888323">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巡查频次情况</w:t>
            </w:r>
          </w:p>
        </w:tc>
      </w:tr>
      <w:tr w14:paraId="6088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6DD123A">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247" w:type="dxa"/>
            <w:vAlign w:val="top"/>
          </w:tcPr>
          <w:p w14:paraId="5560A244">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全覆盖、巡查覆盖频次、徒步巡查频次和及时核查的采集员巡查方案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方案详细、满足采购需求的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24AFE66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834" w:type="dxa"/>
            <w:vAlign w:val="center"/>
          </w:tcPr>
          <w:p w14:paraId="6B71A06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23908B1">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采集员巡查方案</w:t>
            </w:r>
          </w:p>
        </w:tc>
      </w:tr>
      <w:tr w14:paraId="39DB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2E2AD1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1</w:t>
            </w:r>
          </w:p>
        </w:tc>
        <w:tc>
          <w:tcPr>
            <w:tcW w:w="5247" w:type="dxa"/>
          </w:tcPr>
          <w:p w14:paraId="6195A10E">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能确保工作衔接的采集员交接班制度</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289C1B3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p>
        </w:tc>
        <w:tc>
          <w:tcPr>
            <w:tcW w:w="834" w:type="dxa"/>
            <w:vAlign w:val="center"/>
          </w:tcPr>
          <w:p w14:paraId="13E8DDD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276AE967">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交接班制度</w:t>
            </w:r>
          </w:p>
        </w:tc>
      </w:tr>
      <w:tr w14:paraId="5751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D8375A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2</w:t>
            </w:r>
          </w:p>
        </w:tc>
        <w:tc>
          <w:tcPr>
            <w:tcW w:w="5247" w:type="dxa"/>
          </w:tcPr>
          <w:p w14:paraId="049B263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确保漏报、投诉等问题处置、回复均达100％以及处置质量的制度</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22EC669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222AC4B5">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184D7216">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服务制度情况</w:t>
            </w:r>
          </w:p>
        </w:tc>
      </w:tr>
      <w:tr w14:paraId="1296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78D857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3</w:t>
            </w:r>
          </w:p>
        </w:tc>
        <w:tc>
          <w:tcPr>
            <w:tcW w:w="5247" w:type="dxa"/>
            <w:vAlign w:val="top"/>
          </w:tcPr>
          <w:p w14:paraId="321536E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采集员每</w:t>
            </w:r>
            <w:r>
              <w:rPr>
                <w:rFonts w:asciiTheme="minorEastAsia" w:hAnsiTheme="minorEastAsia" w:eastAsiaTheme="minorEastAsia"/>
                <w:color w:val="auto"/>
                <w:sz w:val="24"/>
                <w:highlight w:val="none"/>
              </w:rPr>
              <w:t>3个月进行轮岗的保障措施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措施详细、符合采购需求的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1568C8B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36BA1B6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76E98189">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轮岗措施情况</w:t>
            </w:r>
          </w:p>
        </w:tc>
      </w:tr>
      <w:tr w14:paraId="5432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0" w:type="dxa"/>
            <w:vAlign w:val="center"/>
          </w:tcPr>
          <w:p w14:paraId="2BE6386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4</w:t>
            </w:r>
          </w:p>
        </w:tc>
        <w:tc>
          <w:tcPr>
            <w:tcW w:w="5247" w:type="dxa"/>
            <w:vAlign w:val="top"/>
          </w:tcPr>
          <w:p w14:paraId="2C84581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内部质量管理控制体系，落实专人或机构负责对采集员上岗、巡查、采集工作质量实行实时监控，管理体系</w:t>
            </w:r>
            <w:r>
              <w:rPr>
                <w:rFonts w:hint="eastAsia" w:asciiTheme="minorEastAsia" w:hAnsiTheme="minorEastAsia" w:eastAsiaTheme="minorEastAsia"/>
                <w:color w:val="auto"/>
                <w:sz w:val="24"/>
                <w:highlight w:val="none"/>
                <w:lang w:eastAsia="zh-CN"/>
              </w:rPr>
              <w:t>详细、符合采购需求的，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327CE3D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59AE2BA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w:t>
            </w:r>
            <w:r>
              <w:rPr>
                <w:rFonts w:hint="eastAsia" w:cs="仿宋_GB2312" w:asciiTheme="minorEastAsia" w:hAnsiTheme="minorEastAsia" w:eastAsiaTheme="minorEastAsia"/>
                <w:color w:val="auto"/>
                <w:sz w:val="24"/>
                <w:highlight w:val="none"/>
              </w:rPr>
              <w:t>观分</w:t>
            </w:r>
          </w:p>
        </w:tc>
        <w:tc>
          <w:tcPr>
            <w:tcW w:w="1212" w:type="dxa"/>
            <w:vAlign w:val="center"/>
          </w:tcPr>
          <w:p w14:paraId="51056F9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内部质量管理控制体系</w:t>
            </w:r>
          </w:p>
        </w:tc>
      </w:tr>
      <w:tr w14:paraId="1C3A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05257D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5</w:t>
            </w:r>
          </w:p>
        </w:tc>
        <w:tc>
          <w:tcPr>
            <w:tcW w:w="5247" w:type="dxa"/>
            <w:vAlign w:val="top"/>
          </w:tcPr>
          <w:p w14:paraId="07B6007D">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完善的员工上岗培训方案，方案完善、详细</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317A06CD">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6E69CB6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6BE25A8">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上岗培训方案</w:t>
            </w:r>
          </w:p>
        </w:tc>
      </w:tr>
      <w:tr w14:paraId="6CFD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7C8BF1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6</w:t>
            </w:r>
          </w:p>
        </w:tc>
        <w:tc>
          <w:tcPr>
            <w:tcW w:w="5247" w:type="dxa"/>
          </w:tcPr>
          <w:p w14:paraId="2FD61FA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lang w:val="en-US" w:eastAsia="zh-CN"/>
              </w:rPr>
              <w:t>所</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lang w:val="en-US" w:eastAsia="zh-CN"/>
              </w:rPr>
              <w:t>的在职</w:t>
            </w:r>
            <w:r>
              <w:rPr>
                <w:rFonts w:hint="eastAsia" w:asciiTheme="minorEastAsia" w:hAnsiTheme="minorEastAsia" w:eastAsiaTheme="minorEastAsia"/>
                <w:color w:val="auto"/>
                <w:sz w:val="24"/>
                <w:highlight w:val="none"/>
              </w:rPr>
              <w:t>培训方案</w:t>
            </w:r>
            <w:r>
              <w:rPr>
                <w:rFonts w:hint="eastAsia" w:asciiTheme="minorEastAsia" w:hAnsiTheme="minorEastAsia" w:eastAsiaTheme="minorEastAsia"/>
                <w:color w:val="auto"/>
                <w:sz w:val="24"/>
                <w:highlight w:val="none"/>
                <w:lang w:val="en-US" w:eastAsia="zh-CN"/>
              </w:rPr>
              <w:t>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有完善详细的培训内容，如岗位标准、专业知识、职业道德规范、应急保障等</w:t>
            </w:r>
            <w:r>
              <w:rPr>
                <w:rFonts w:hint="eastAsia" w:asciiTheme="minorEastAsia" w:hAnsiTheme="minorEastAsia" w:eastAsiaTheme="minorEastAsia"/>
                <w:color w:val="auto"/>
                <w:sz w:val="24"/>
                <w:highlight w:val="none"/>
                <w:lang w:eastAsia="zh-CN"/>
              </w:rPr>
              <w:t>。方案完善、详细的，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2D40C36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4F4828E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F8BD2C9">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在职培训方案</w:t>
            </w:r>
          </w:p>
        </w:tc>
      </w:tr>
      <w:tr w14:paraId="5490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A43C8E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7</w:t>
            </w:r>
          </w:p>
        </w:tc>
        <w:tc>
          <w:tcPr>
            <w:tcW w:w="5247" w:type="dxa"/>
          </w:tcPr>
          <w:p w14:paraId="0A00BC7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lang w:val="en-US" w:eastAsia="zh-CN"/>
              </w:rPr>
              <w:t>所</w:t>
            </w:r>
            <w:r>
              <w:rPr>
                <w:rFonts w:hint="eastAsia" w:asciiTheme="minorEastAsia" w:hAnsiTheme="minorEastAsia" w:eastAsiaTheme="minorEastAsia"/>
                <w:color w:val="auto"/>
                <w:sz w:val="24"/>
                <w:highlight w:val="none"/>
                <w:lang w:eastAsia="zh-CN"/>
              </w:rPr>
              <w:t>提供的在职</w:t>
            </w:r>
            <w:r>
              <w:rPr>
                <w:rFonts w:hint="eastAsia" w:asciiTheme="minorEastAsia" w:hAnsiTheme="minorEastAsia" w:eastAsiaTheme="minorEastAsia"/>
                <w:color w:val="auto"/>
                <w:sz w:val="24"/>
                <w:highlight w:val="none"/>
              </w:rPr>
              <w:t>培训方案</w:t>
            </w:r>
            <w:r>
              <w:rPr>
                <w:rFonts w:hint="eastAsia" w:asciiTheme="minorEastAsia" w:hAnsiTheme="minorEastAsia" w:eastAsiaTheme="minorEastAsia"/>
                <w:color w:val="auto"/>
                <w:sz w:val="24"/>
                <w:highlight w:val="none"/>
                <w:lang w:val="en-US" w:eastAsia="zh-CN"/>
              </w:rPr>
              <w:t>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有培训方式，如理论学习、实践操作，有定期培训和考试制度。</w:t>
            </w:r>
            <w:r>
              <w:rPr>
                <w:rFonts w:hint="eastAsia" w:asciiTheme="minorEastAsia" w:hAnsiTheme="minorEastAsia" w:eastAsiaTheme="minorEastAsia"/>
                <w:color w:val="auto"/>
                <w:sz w:val="24"/>
                <w:highlight w:val="none"/>
                <w:lang w:eastAsia="zh-CN"/>
              </w:rPr>
              <w:t>方案完善、详细的，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58097E7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1B7473E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23B7B571">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在职培训方案</w:t>
            </w:r>
          </w:p>
        </w:tc>
      </w:tr>
      <w:tr w14:paraId="528C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699417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8</w:t>
            </w:r>
          </w:p>
        </w:tc>
        <w:tc>
          <w:tcPr>
            <w:tcW w:w="5247" w:type="dxa"/>
          </w:tcPr>
          <w:p w14:paraId="47D0B9F7">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数字城管信息采集两防两抗（抗台防汛</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抗雪防冻）应急保障预案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p>
        </w:tc>
        <w:tc>
          <w:tcPr>
            <w:tcW w:w="824" w:type="dxa"/>
            <w:vAlign w:val="center"/>
          </w:tcPr>
          <w:p w14:paraId="2243FDE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238F93B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48CF1CAF">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两防两抗应急保障预案</w:t>
            </w:r>
          </w:p>
        </w:tc>
      </w:tr>
      <w:tr w14:paraId="555B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724532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29</w:t>
            </w:r>
          </w:p>
        </w:tc>
        <w:tc>
          <w:tcPr>
            <w:tcW w:w="5247" w:type="dxa"/>
          </w:tcPr>
          <w:p w14:paraId="06AF96B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城市管理重点问题信息采集保障方案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p>
        </w:tc>
        <w:tc>
          <w:tcPr>
            <w:tcW w:w="824" w:type="dxa"/>
            <w:vAlign w:val="center"/>
          </w:tcPr>
          <w:p w14:paraId="21C6425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7A6DB89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A206748">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信息采集保障方案</w:t>
            </w:r>
          </w:p>
        </w:tc>
      </w:tr>
      <w:tr w14:paraId="23FD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F77185C">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0</w:t>
            </w:r>
          </w:p>
        </w:tc>
        <w:tc>
          <w:tcPr>
            <w:tcW w:w="5247" w:type="dxa"/>
          </w:tcPr>
          <w:p w14:paraId="58E2DFB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投标人提供数字城管信息采集重大活动任务保障预案情况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预案详细、符合采购需求的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0.5</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7E3CAB4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2E2B9FB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6FE2DCD5">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重大活动任务保障预案</w:t>
            </w:r>
          </w:p>
        </w:tc>
      </w:tr>
      <w:tr w14:paraId="588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61B2603A">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1</w:t>
            </w:r>
          </w:p>
        </w:tc>
        <w:tc>
          <w:tcPr>
            <w:tcW w:w="5247" w:type="dxa"/>
          </w:tcPr>
          <w:p w14:paraId="3C6937C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预防触碰三条高压线（防止虚假信息、防止吃拿卡要、有责投诉）的管控制度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制度详细、符合采购需求的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5E878BC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060D674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1BC72E7">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预防触碰三条高压线管控制度</w:t>
            </w:r>
          </w:p>
        </w:tc>
      </w:tr>
      <w:tr w14:paraId="749C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820943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2</w:t>
            </w:r>
          </w:p>
        </w:tc>
        <w:tc>
          <w:tcPr>
            <w:tcW w:w="5247" w:type="dxa"/>
          </w:tcPr>
          <w:p w14:paraId="0519548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投标人承诺根据采购人要求完成其他临时交办的数字城管信息采集工作</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2分，未承诺不得分。在投标文件中提供承诺书等证明材料。</w:t>
            </w:r>
          </w:p>
        </w:tc>
        <w:tc>
          <w:tcPr>
            <w:tcW w:w="824" w:type="dxa"/>
            <w:vAlign w:val="center"/>
          </w:tcPr>
          <w:p w14:paraId="12479A8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146F11E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D23F522">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临时交办工作</w:t>
            </w:r>
          </w:p>
        </w:tc>
      </w:tr>
      <w:tr w14:paraId="4224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A7A011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3</w:t>
            </w:r>
          </w:p>
        </w:tc>
        <w:tc>
          <w:tcPr>
            <w:tcW w:w="5247" w:type="dxa"/>
          </w:tcPr>
          <w:p w14:paraId="5D5DB3A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cs="仿宋_GB2312" w:asciiTheme="minorEastAsia" w:hAnsiTheme="minorEastAsia" w:eastAsiaTheme="minorEastAsia"/>
                <w:color w:val="auto"/>
                <w:sz w:val="24"/>
                <w:highlight w:val="none"/>
              </w:rPr>
              <w:t>职业健康安全管理体系认证</w:t>
            </w:r>
            <w:r>
              <w:rPr>
                <w:rFonts w:hint="eastAsia" w:cs="仿宋_GB2312" w:asciiTheme="minorEastAsia" w:hAnsiTheme="minorEastAsia" w:eastAsiaTheme="minorEastAsia"/>
                <w:color w:val="auto"/>
                <w:sz w:val="24"/>
                <w:highlight w:val="none"/>
                <w:lang w:eastAsia="zh-CN"/>
              </w:rPr>
              <w:t>证书</w:t>
            </w:r>
            <w:r>
              <w:rPr>
                <w:rFonts w:hint="eastAsia" w:cs="仿宋_GB2312" w:asciiTheme="minorEastAsia" w:hAnsiTheme="minorEastAsia" w:eastAsiaTheme="minorEastAsia"/>
                <w:color w:val="auto"/>
                <w:sz w:val="24"/>
                <w:highlight w:val="none"/>
                <w:lang w:val="en-US" w:eastAsia="zh-CN"/>
              </w:rPr>
              <w:t>复印件</w:t>
            </w:r>
            <w:r>
              <w:rPr>
                <w:rFonts w:hint="eastAsia" w:cs="仿宋_GB2312"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lang w:eastAsia="zh-CN"/>
              </w:rPr>
              <w:t>。</w:t>
            </w:r>
          </w:p>
        </w:tc>
        <w:tc>
          <w:tcPr>
            <w:tcW w:w="824" w:type="dxa"/>
            <w:vAlign w:val="center"/>
          </w:tcPr>
          <w:p w14:paraId="15C5E6FD">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40B44A4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AF0D814">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投标人资信</w:t>
            </w:r>
          </w:p>
        </w:tc>
      </w:tr>
      <w:tr w14:paraId="0505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AA0ACE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4</w:t>
            </w:r>
          </w:p>
        </w:tc>
        <w:tc>
          <w:tcPr>
            <w:tcW w:w="5247" w:type="dxa"/>
          </w:tcPr>
          <w:p w14:paraId="638B80A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rPr>
              <w:t>投标人类似项目建设的案例：</w:t>
            </w:r>
            <w:r>
              <w:rPr>
                <w:rFonts w:hint="eastAsia" w:cs="仿宋_GB2312" w:asciiTheme="minorEastAsia" w:hAnsiTheme="minorEastAsia" w:eastAsiaTheme="minorEastAsia"/>
                <w:bCs/>
                <w:color w:val="auto"/>
                <w:sz w:val="24"/>
                <w:highlight w:val="none"/>
              </w:rPr>
              <w:t>截止投标时间前</w:t>
            </w:r>
            <w:r>
              <w:rPr>
                <w:rFonts w:cs="仿宋_GB2312" w:asciiTheme="minorEastAsia" w:hAnsiTheme="minorEastAsia" w:eastAsiaTheme="minorEastAsia"/>
                <w:bCs/>
                <w:color w:val="auto"/>
                <w:sz w:val="24"/>
                <w:highlight w:val="none"/>
              </w:rPr>
              <w:t>3</w:t>
            </w:r>
            <w:r>
              <w:rPr>
                <w:rFonts w:hint="eastAsia" w:cs="仿宋_GB2312" w:asciiTheme="minorEastAsia" w:hAnsiTheme="minorEastAsia" w:eastAsiaTheme="minorEastAsia"/>
                <w:bCs/>
                <w:color w:val="auto"/>
                <w:sz w:val="24"/>
                <w:highlight w:val="none"/>
              </w:rPr>
              <w:t>年内</w:t>
            </w: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Cs/>
                <w:color w:val="auto"/>
                <w:sz w:val="24"/>
                <w:highlight w:val="none"/>
              </w:rPr>
              <w:t>投标人承担类似信息采集</w:t>
            </w:r>
            <w:r>
              <w:rPr>
                <w:rFonts w:hint="eastAsia" w:cs="宋体" w:asciiTheme="minorEastAsia" w:hAnsiTheme="minorEastAsia" w:eastAsiaTheme="minorEastAsia"/>
                <w:bCs/>
                <w:color w:val="auto"/>
                <w:sz w:val="24"/>
                <w:highlight w:val="none"/>
              </w:rPr>
              <w:t>项目的</w:t>
            </w:r>
            <w:r>
              <w:rPr>
                <w:rFonts w:hint="eastAsia" w:cs="仿宋_GB2312" w:asciiTheme="minorEastAsia" w:hAnsiTheme="minorEastAsia" w:eastAsiaTheme="minorEastAsia"/>
                <w:bCs/>
                <w:color w:val="auto"/>
                <w:sz w:val="24"/>
                <w:highlight w:val="none"/>
              </w:rPr>
              <w:t>成功经验</w:t>
            </w: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Cs/>
                <w:color w:val="auto"/>
                <w:sz w:val="24"/>
                <w:highlight w:val="none"/>
              </w:rPr>
              <w:t>依照投标人提供的合同进行评分。提供合同的案例（以合同签订时间为准），每个得</w:t>
            </w:r>
            <w:r>
              <w:rPr>
                <w:rFonts w:cs="仿宋_GB2312" w:asciiTheme="minorEastAsia" w:hAnsiTheme="minorEastAsia" w:eastAsiaTheme="minorEastAsia"/>
                <w:bCs/>
                <w:color w:val="auto"/>
                <w:sz w:val="24"/>
                <w:highlight w:val="none"/>
              </w:rPr>
              <w:t>1</w:t>
            </w:r>
            <w:r>
              <w:rPr>
                <w:rFonts w:hint="eastAsia" w:cs="仿宋_GB2312" w:asciiTheme="minorEastAsia" w:hAnsiTheme="minorEastAsia" w:eastAsiaTheme="minorEastAsia"/>
                <w:bCs/>
                <w:color w:val="auto"/>
                <w:sz w:val="24"/>
                <w:highlight w:val="none"/>
              </w:rPr>
              <w:t>分，最高得</w:t>
            </w:r>
            <w:r>
              <w:rPr>
                <w:rFonts w:cs="仿宋_GB2312" w:asciiTheme="minorEastAsia" w:hAnsiTheme="minorEastAsia" w:eastAsiaTheme="minorEastAsia"/>
                <w:bCs/>
                <w:color w:val="auto"/>
                <w:sz w:val="24"/>
                <w:highlight w:val="none"/>
              </w:rPr>
              <w:t>1</w:t>
            </w:r>
            <w:r>
              <w:rPr>
                <w:rFonts w:hint="eastAsia" w:cs="仿宋_GB2312" w:asciiTheme="minorEastAsia" w:hAnsiTheme="minorEastAsia" w:eastAsiaTheme="minorEastAsia"/>
                <w:bCs/>
                <w:color w:val="auto"/>
                <w:sz w:val="24"/>
                <w:highlight w:val="none"/>
              </w:rPr>
              <w:t>分。</w:t>
            </w:r>
          </w:p>
        </w:tc>
        <w:tc>
          <w:tcPr>
            <w:tcW w:w="824" w:type="dxa"/>
            <w:vAlign w:val="center"/>
          </w:tcPr>
          <w:p w14:paraId="08DB6545">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6D28F77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E05B65E">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投标人业绩</w:t>
            </w:r>
          </w:p>
        </w:tc>
      </w:tr>
    </w:tbl>
    <w:p w14:paraId="3104ABD3">
      <w:pPr>
        <w:rPr>
          <w:color w:val="auto"/>
          <w:highlight w:val="none"/>
        </w:rPr>
      </w:pPr>
    </w:p>
    <w:p w14:paraId="1B54507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F1CA5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D3E227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819650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911ADA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CCE96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E9BC7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1E1EE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F4E45C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D5AFC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72D495">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A9CB5D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C182B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918760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1054A7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C43085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885BC9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85EB93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1BC43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888CA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E8B43D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82CB0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A076F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319A1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B6C04AB">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778E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E03E9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9788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37498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0D38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65D3E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942F25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BE669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4244A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65527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7FDEC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DBB23D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A4D74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88522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C6B55E7">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765C8E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1CF4F8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99A9E88">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F921EA4">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6EBAAD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7C6D4E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3A84820">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009B1087">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5C0AC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BCAB34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D451ECC">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555E82A">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F0121D2">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4D879B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6C41DA1">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258ED28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EF95F1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477201F">
      <w:pPr>
        <w:spacing w:line="480" w:lineRule="auto"/>
        <w:jc w:val="center"/>
        <w:rPr>
          <w:rFonts w:ascii="宋体" w:hAnsi="宋体" w:cs="宋体"/>
          <w:b/>
          <w:color w:val="auto"/>
          <w:sz w:val="28"/>
          <w:szCs w:val="28"/>
          <w:highlight w:val="none"/>
        </w:rPr>
      </w:pPr>
    </w:p>
    <w:p w14:paraId="3B77A9F2">
      <w:pPr>
        <w:spacing w:line="480" w:lineRule="auto"/>
        <w:jc w:val="center"/>
        <w:rPr>
          <w:rFonts w:ascii="宋体" w:hAnsi="宋体" w:cs="宋体"/>
          <w:b/>
          <w:color w:val="auto"/>
          <w:sz w:val="24"/>
          <w:highlight w:val="none"/>
        </w:rPr>
      </w:pPr>
    </w:p>
    <w:p w14:paraId="5D79244D">
      <w:pPr>
        <w:spacing w:line="480" w:lineRule="auto"/>
        <w:jc w:val="center"/>
        <w:rPr>
          <w:rFonts w:ascii="宋体" w:hAnsi="宋体" w:cs="宋体"/>
          <w:b/>
          <w:color w:val="auto"/>
          <w:sz w:val="24"/>
          <w:highlight w:val="none"/>
        </w:rPr>
      </w:pPr>
    </w:p>
    <w:p w14:paraId="72B8287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D67026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0E3D98C">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6129413">
      <w:pPr>
        <w:spacing w:before="120" w:line="22" w:lineRule="atLeast"/>
        <w:rPr>
          <w:rFonts w:ascii="宋体" w:hAnsi="宋体" w:cs="宋体"/>
          <w:color w:val="auto"/>
          <w:sz w:val="24"/>
          <w:highlight w:val="none"/>
        </w:rPr>
      </w:pPr>
    </w:p>
    <w:p w14:paraId="1D07073E">
      <w:pPr>
        <w:pStyle w:val="3"/>
        <w:rPr>
          <w:color w:val="auto"/>
          <w:highlight w:val="none"/>
        </w:rPr>
      </w:pPr>
    </w:p>
    <w:p w14:paraId="761B236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8511212">
      <w:pPr>
        <w:pStyle w:val="598"/>
        <w:spacing w:before="120" w:line="22" w:lineRule="atLeast"/>
        <w:rPr>
          <w:rFonts w:ascii="宋体" w:hAnsi="宋体" w:eastAsia="宋体" w:cs="宋体"/>
          <w:color w:val="auto"/>
          <w:szCs w:val="24"/>
          <w:highlight w:val="none"/>
        </w:rPr>
      </w:pPr>
    </w:p>
    <w:p w14:paraId="7BC18E79">
      <w:pPr>
        <w:pStyle w:val="598"/>
        <w:spacing w:before="120" w:line="22" w:lineRule="atLeast"/>
        <w:rPr>
          <w:rFonts w:ascii="宋体" w:hAnsi="宋体" w:eastAsia="宋体" w:cs="宋体"/>
          <w:color w:val="auto"/>
          <w:szCs w:val="24"/>
          <w:highlight w:val="none"/>
        </w:rPr>
      </w:pPr>
    </w:p>
    <w:p w14:paraId="5C21DD76">
      <w:pPr>
        <w:rPr>
          <w:rFonts w:ascii="宋体" w:hAnsi="宋体" w:cs="宋体"/>
          <w:color w:val="auto"/>
          <w:sz w:val="24"/>
          <w:highlight w:val="none"/>
        </w:rPr>
      </w:pPr>
    </w:p>
    <w:p w14:paraId="4C3C66B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D5D79F2">
      <w:pPr>
        <w:spacing w:before="120" w:line="22" w:lineRule="atLeast"/>
        <w:rPr>
          <w:rFonts w:ascii="宋体" w:hAnsi="宋体" w:cs="宋体"/>
          <w:color w:val="auto"/>
          <w:sz w:val="24"/>
          <w:highlight w:val="none"/>
        </w:rPr>
      </w:pPr>
    </w:p>
    <w:p w14:paraId="7DF879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43A364D">
      <w:pPr>
        <w:spacing w:before="120" w:line="22" w:lineRule="atLeast"/>
        <w:rPr>
          <w:rFonts w:ascii="宋体" w:hAnsi="宋体" w:cs="宋体"/>
          <w:color w:val="auto"/>
          <w:sz w:val="24"/>
          <w:highlight w:val="none"/>
        </w:rPr>
      </w:pPr>
    </w:p>
    <w:p w14:paraId="7550CB8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03DE884">
      <w:pPr>
        <w:spacing w:before="120" w:line="22" w:lineRule="atLeast"/>
        <w:rPr>
          <w:rFonts w:ascii="宋体" w:hAnsi="宋体" w:cs="宋体"/>
          <w:color w:val="auto"/>
          <w:sz w:val="24"/>
          <w:highlight w:val="none"/>
        </w:rPr>
      </w:pPr>
    </w:p>
    <w:p w14:paraId="1B632DA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834C64">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F324A3F">
      <w:pPr>
        <w:rPr>
          <w:rFonts w:ascii="宋体" w:hAnsi="宋体" w:cs="宋体"/>
          <w:b/>
          <w:color w:val="auto"/>
          <w:sz w:val="24"/>
          <w:highlight w:val="none"/>
        </w:rPr>
      </w:pPr>
    </w:p>
    <w:p w14:paraId="4034985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杭州市城市管理指挥保障中心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杭州市2025至2026年度数字城管信息采集项目（拱墅区标项一）【</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HZZFCG-2024-258</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F9C2AA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杭州市城市管理指挥保障中心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5E7A026">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071BEE9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95DF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B4502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5E959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9C104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C3753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8DCE57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460BEE1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FE630C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12434B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A224FA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3ABE7BA">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6B75CD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22771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C452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01765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90646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58E441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B95FEF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E2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4D028">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5133A1A">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3769784">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AA8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08A390">
            <w:pPr>
              <w:pStyle w:val="319"/>
              <w:spacing w:line="560" w:lineRule="exact"/>
              <w:ind w:firstLine="200"/>
              <w:jc w:val="center"/>
              <w:rPr>
                <w:rFonts w:hAnsi="宋体"/>
                <w:color w:val="auto"/>
                <w:sz w:val="24"/>
                <w:szCs w:val="24"/>
                <w:highlight w:val="none"/>
              </w:rPr>
            </w:pPr>
          </w:p>
        </w:tc>
        <w:tc>
          <w:tcPr>
            <w:tcW w:w="3402" w:type="dxa"/>
            <w:vAlign w:val="center"/>
          </w:tcPr>
          <w:p w14:paraId="22BB2223">
            <w:pPr>
              <w:pStyle w:val="319"/>
              <w:spacing w:line="560" w:lineRule="exact"/>
              <w:ind w:firstLine="200"/>
              <w:jc w:val="center"/>
              <w:rPr>
                <w:rFonts w:hAnsi="宋体"/>
                <w:color w:val="auto"/>
                <w:sz w:val="24"/>
                <w:szCs w:val="24"/>
                <w:highlight w:val="none"/>
              </w:rPr>
            </w:pPr>
          </w:p>
        </w:tc>
        <w:tc>
          <w:tcPr>
            <w:tcW w:w="2552" w:type="dxa"/>
            <w:vAlign w:val="center"/>
          </w:tcPr>
          <w:p w14:paraId="09D56D0E">
            <w:pPr>
              <w:pStyle w:val="319"/>
              <w:spacing w:line="560" w:lineRule="exact"/>
              <w:ind w:firstLine="200"/>
              <w:jc w:val="center"/>
              <w:rPr>
                <w:rFonts w:hAnsi="宋体"/>
                <w:color w:val="auto"/>
                <w:sz w:val="24"/>
                <w:szCs w:val="24"/>
                <w:highlight w:val="none"/>
              </w:rPr>
            </w:pPr>
          </w:p>
        </w:tc>
      </w:tr>
      <w:tr w14:paraId="1740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E8430B">
            <w:pPr>
              <w:pStyle w:val="319"/>
              <w:spacing w:line="560" w:lineRule="exact"/>
              <w:ind w:firstLine="200"/>
              <w:jc w:val="center"/>
              <w:rPr>
                <w:rFonts w:hAnsi="宋体"/>
                <w:color w:val="auto"/>
                <w:sz w:val="24"/>
                <w:szCs w:val="24"/>
                <w:highlight w:val="none"/>
              </w:rPr>
            </w:pPr>
          </w:p>
        </w:tc>
        <w:tc>
          <w:tcPr>
            <w:tcW w:w="3402" w:type="dxa"/>
            <w:vAlign w:val="center"/>
          </w:tcPr>
          <w:p w14:paraId="24A28F02">
            <w:pPr>
              <w:pStyle w:val="319"/>
              <w:spacing w:line="560" w:lineRule="exact"/>
              <w:ind w:firstLine="200"/>
              <w:jc w:val="center"/>
              <w:rPr>
                <w:rFonts w:hAnsi="宋体"/>
                <w:color w:val="auto"/>
                <w:sz w:val="24"/>
                <w:szCs w:val="24"/>
                <w:highlight w:val="none"/>
              </w:rPr>
            </w:pPr>
          </w:p>
        </w:tc>
        <w:tc>
          <w:tcPr>
            <w:tcW w:w="2552" w:type="dxa"/>
            <w:vAlign w:val="center"/>
          </w:tcPr>
          <w:p w14:paraId="627C5717">
            <w:pPr>
              <w:pStyle w:val="319"/>
              <w:spacing w:line="560" w:lineRule="exact"/>
              <w:ind w:firstLine="200"/>
              <w:jc w:val="center"/>
              <w:rPr>
                <w:rFonts w:hAnsi="宋体"/>
                <w:color w:val="auto"/>
                <w:sz w:val="24"/>
                <w:szCs w:val="24"/>
                <w:highlight w:val="none"/>
              </w:rPr>
            </w:pPr>
          </w:p>
        </w:tc>
      </w:tr>
      <w:tr w14:paraId="10E1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E9EBD5">
            <w:pPr>
              <w:pStyle w:val="319"/>
              <w:spacing w:line="560" w:lineRule="exact"/>
              <w:ind w:firstLine="200"/>
              <w:jc w:val="center"/>
              <w:rPr>
                <w:rFonts w:hAnsi="宋体"/>
                <w:color w:val="auto"/>
                <w:sz w:val="24"/>
                <w:szCs w:val="24"/>
                <w:highlight w:val="none"/>
              </w:rPr>
            </w:pPr>
          </w:p>
        </w:tc>
        <w:tc>
          <w:tcPr>
            <w:tcW w:w="3402" w:type="dxa"/>
            <w:vAlign w:val="center"/>
          </w:tcPr>
          <w:p w14:paraId="012EDBC6">
            <w:pPr>
              <w:pStyle w:val="319"/>
              <w:spacing w:line="560" w:lineRule="exact"/>
              <w:ind w:firstLine="200"/>
              <w:jc w:val="center"/>
              <w:rPr>
                <w:rFonts w:hAnsi="宋体"/>
                <w:color w:val="auto"/>
                <w:sz w:val="24"/>
                <w:szCs w:val="24"/>
                <w:highlight w:val="none"/>
              </w:rPr>
            </w:pPr>
          </w:p>
        </w:tc>
        <w:tc>
          <w:tcPr>
            <w:tcW w:w="2552" w:type="dxa"/>
            <w:vAlign w:val="center"/>
          </w:tcPr>
          <w:p w14:paraId="0D38FDE3">
            <w:pPr>
              <w:pStyle w:val="319"/>
              <w:spacing w:line="560" w:lineRule="exact"/>
              <w:ind w:firstLine="200"/>
              <w:jc w:val="center"/>
              <w:rPr>
                <w:rFonts w:hAnsi="宋体"/>
                <w:color w:val="auto"/>
                <w:sz w:val="24"/>
                <w:szCs w:val="24"/>
                <w:highlight w:val="none"/>
              </w:rPr>
            </w:pPr>
          </w:p>
        </w:tc>
      </w:tr>
      <w:tr w14:paraId="3FE7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83554D">
            <w:pPr>
              <w:pStyle w:val="319"/>
              <w:spacing w:line="560" w:lineRule="exact"/>
              <w:ind w:firstLine="200"/>
              <w:jc w:val="center"/>
              <w:rPr>
                <w:rFonts w:hAnsi="宋体"/>
                <w:color w:val="auto"/>
                <w:sz w:val="24"/>
                <w:szCs w:val="24"/>
                <w:highlight w:val="none"/>
              </w:rPr>
            </w:pPr>
          </w:p>
        </w:tc>
        <w:tc>
          <w:tcPr>
            <w:tcW w:w="3402" w:type="dxa"/>
            <w:vAlign w:val="center"/>
          </w:tcPr>
          <w:p w14:paraId="68EC71A4">
            <w:pPr>
              <w:pStyle w:val="319"/>
              <w:spacing w:line="560" w:lineRule="exact"/>
              <w:ind w:firstLine="200"/>
              <w:jc w:val="center"/>
              <w:rPr>
                <w:rFonts w:hAnsi="宋体"/>
                <w:color w:val="auto"/>
                <w:sz w:val="24"/>
                <w:szCs w:val="24"/>
                <w:highlight w:val="none"/>
              </w:rPr>
            </w:pPr>
          </w:p>
        </w:tc>
        <w:tc>
          <w:tcPr>
            <w:tcW w:w="2552" w:type="dxa"/>
            <w:vAlign w:val="center"/>
          </w:tcPr>
          <w:p w14:paraId="6DF7B27F">
            <w:pPr>
              <w:pStyle w:val="319"/>
              <w:spacing w:line="560" w:lineRule="exact"/>
              <w:ind w:firstLine="200"/>
              <w:jc w:val="center"/>
              <w:rPr>
                <w:rFonts w:hAnsi="宋体"/>
                <w:color w:val="auto"/>
                <w:sz w:val="24"/>
                <w:szCs w:val="24"/>
                <w:highlight w:val="none"/>
              </w:rPr>
            </w:pPr>
          </w:p>
        </w:tc>
      </w:tr>
      <w:tr w14:paraId="66CE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26ABADF">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F45788A">
            <w:pPr>
              <w:pStyle w:val="319"/>
              <w:spacing w:line="560" w:lineRule="exact"/>
              <w:ind w:firstLine="200"/>
              <w:jc w:val="center"/>
              <w:rPr>
                <w:rFonts w:hAnsi="宋体"/>
                <w:color w:val="auto"/>
                <w:sz w:val="24"/>
                <w:szCs w:val="24"/>
                <w:highlight w:val="none"/>
              </w:rPr>
            </w:pPr>
          </w:p>
        </w:tc>
      </w:tr>
    </w:tbl>
    <w:p w14:paraId="096BF5C3">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644F036">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4C13FC3F">
      <w:pPr>
        <w:pStyle w:val="959"/>
        <w:spacing w:before="0" w:beforeAutospacing="0" w:after="313" w:afterLines="100" w:afterAutospacing="0" w:line="360" w:lineRule="auto"/>
        <w:ind w:firstLine="480"/>
        <w:rPr>
          <w:b/>
          <w:color w:val="auto"/>
          <w:highlight w:val="none"/>
        </w:rPr>
      </w:pPr>
      <w:bookmarkStart w:id="395" w:name="_Toc22618"/>
      <w:bookmarkStart w:id="396" w:name="_Toc1814"/>
      <w:bookmarkStart w:id="397" w:name="_Toc10340"/>
      <w:r>
        <w:rPr>
          <w:rFonts w:hint="eastAsia"/>
          <w:b/>
          <w:color w:val="auto"/>
          <w:highlight w:val="none"/>
        </w:rPr>
        <w:t>1.4履约保证金</w:t>
      </w:r>
    </w:p>
    <w:p w14:paraId="798B64BF">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FEFBF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51056A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F8655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987A6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E9CB8F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1031182D">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C909EE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2D0640">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422AE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3B430F0">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0D475AB">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E34FE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67E91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5344980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5F993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08FEFB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8884F10">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525087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90E5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46F5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C661872">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471A6C1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D09309C">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B5C881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429F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F0CC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84FA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267DA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D6194A8">
      <w:pPr>
        <w:spacing w:line="560" w:lineRule="exact"/>
        <w:ind w:firstLine="482" w:firstLineChars="200"/>
        <w:outlineLvl w:val="0"/>
        <w:rPr>
          <w:rFonts w:ascii="宋体" w:hAnsi="宋体" w:cs="宋体"/>
          <w:b/>
          <w:color w:val="auto"/>
          <w:sz w:val="24"/>
          <w:highlight w:val="none"/>
        </w:rPr>
      </w:pPr>
      <w:bookmarkStart w:id="398" w:name="_Toc28375"/>
      <w:bookmarkStart w:id="399" w:name="_Toc16021"/>
      <w:bookmarkStart w:id="400" w:name="_Toc15583"/>
      <w:r>
        <w:rPr>
          <w:rFonts w:hint="eastAsia" w:ascii="宋体" w:hAnsi="宋体" w:cs="宋体"/>
          <w:b/>
          <w:color w:val="auto"/>
          <w:sz w:val="24"/>
          <w:highlight w:val="none"/>
        </w:rPr>
        <w:t>1.9合同争议的解决</w:t>
      </w:r>
      <w:bookmarkEnd w:id="398"/>
      <w:bookmarkEnd w:id="399"/>
      <w:bookmarkEnd w:id="400"/>
    </w:p>
    <w:p w14:paraId="1F14FFD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01BB26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1F97B1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F09CA6">
      <w:pPr>
        <w:spacing w:line="560" w:lineRule="exact"/>
        <w:ind w:firstLine="482" w:firstLineChars="200"/>
        <w:outlineLvl w:val="0"/>
        <w:rPr>
          <w:rFonts w:ascii="宋体" w:hAnsi="宋体" w:cs="宋体"/>
          <w:b/>
          <w:color w:val="auto"/>
          <w:sz w:val="24"/>
          <w:highlight w:val="none"/>
        </w:rPr>
      </w:pPr>
      <w:bookmarkStart w:id="401" w:name="_Toc11173"/>
      <w:bookmarkStart w:id="402" w:name="_Toc15322"/>
      <w:bookmarkStart w:id="403"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5C6F9F2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5CE281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EE733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3BB0D3F">
      <w:pPr>
        <w:autoSpaceDE w:val="0"/>
        <w:autoSpaceDN w:val="0"/>
        <w:spacing w:line="560" w:lineRule="exact"/>
        <w:rPr>
          <w:rFonts w:ascii="宋体" w:hAnsi="宋体"/>
          <w:color w:val="auto"/>
          <w:sz w:val="24"/>
          <w:highlight w:val="none"/>
          <w:lang w:val="zh-CN"/>
        </w:rPr>
      </w:pPr>
    </w:p>
    <w:p w14:paraId="3250CB0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BB7684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F69502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1C7303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ED4F5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CF2129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E0A68F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823A8D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3B1F0D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6F452A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B1CC45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348F0A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4E5E000">
      <w:pPr>
        <w:widowControl/>
        <w:spacing w:line="560" w:lineRule="exact"/>
        <w:jc w:val="left"/>
        <w:rPr>
          <w:rFonts w:ascii="宋体" w:hAnsi="宋体"/>
          <w:b/>
          <w:color w:val="auto"/>
          <w:sz w:val="24"/>
          <w:highlight w:val="none"/>
        </w:rPr>
      </w:pPr>
    </w:p>
    <w:p w14:paraId="73566154">
      <w:pPr>
        <w:widowControl/>
        <w:adjustRightInd/>
        <w:jc w:val="left"/>
        <w:rPr>
          <w:rFonts w:ascii="宋体" w:hAnsi="宋体"/>
          <w:b/>
          <w:color w:val="auto"/>
          <w:sz w:val="24"/>
          <w:highlight w:val="none"/>
        </w:rPr>
      </w:pPr>
      <w:r>
        <w:rPr>
          <w:rFonts w:ascii="宋体" w:hAnsi="宋体"/>
          <w:b/>
          <w:color w:val="auto"/>
          <w:highlight w:val="none"/>
        </w:rPr>
        <w:br w:type="page"/>
      </w:r>
    </w:p>
    <w:p w14:paraId="24591B54">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8B264B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5EAC41DE">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1D649D6">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2F1C6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7243A0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B57B11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4B535D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6C62C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FC6C3C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6E4EB20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66E246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394590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B48C0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4CC1AB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D4B5F7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83CB0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C184E9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4FB89A7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34B636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4E069C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7557C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0CD85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74775F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5EFEA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065465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84462C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392477B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9B7C7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07A7F3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5E26A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798ED8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88799F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62352EB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7738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5A48D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D89584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0F3F0A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0F20AF2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BB5A8C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535E885D">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123227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6E1A22E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CC460D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6F3307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17B48E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FE50B8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B49C6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15803B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0E3B2406">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9F5F704">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77A871B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0B7CF96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793DE5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1A515B5">
      <w:pPr>
        <w:spacing w:line="560" w:lineRule="exact"/>
        <w:ind w:firstLine="482" w:firstLineChars="200"/>
        <w:outlineLvl w:val="0"/>
        <w:rPr>
          <w:rFonts w:ascii="宋体" w:hAnsi="宋体" w:cs="宋体"/>
          <w:b/>
          <w:color w:val="auto"/>
          <w:sz w:val="24"/>
          <w:highlight w:val="none"/>
        </w:rPr>
      </w:pPr>
      <w:bookmarkStart w:id="404" w:name="_Toc30599"/>
      <w:bookmarkStart w:id="405" w:name="_Toc4355"/>
      <w:bookmarkStart w:id="406" w:name="_Toc18540"/>
      <w:r>
        <w:rPr>
          <w:rFonts w:hint="eastAsia" w:ascii="宋体" w:hAnsi="宋体" w:cs="宋体"/>
          <w:b/>
          <w:color w:val="auto"/>
          <w:sz w:val="24"/>
          <w:highlight w:val="none"/>
        </w:rPr>
        <w:t>2.18 计量单位</w:t>
      </w:r>
      <w:bookmarkEnd w:id="404"/>
      <w:bookmarkEnd w:id="405"/>
      <w:bookmarkEnd w:id="406"/>
    </w:p>
    <w:p w14:paraId="29AD1D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873DC2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E82776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4F7372D">
      <w:pPr>
        <w:spacing w:line="560" w:lineRule="exact"/>
        <w:ind w:firstLine="482" w:firstLineChars="200"/>
        <w:rPr>
          <w:rFonts w:hint="default" w:ascii="宋体" w:hAnsi="宋体" w:eastAsia="宋体"/>
          <w:b/>
          <w:color w:val="auto"/>
          <w:sz w:val="24"/>
          <w:highlight w:val="none"/>
          <w:lang w:val="en-US" w:eastAsia="zh-CN"/>
        </w:rPr>
      </w:pPr>
    </w:p>
    <w:p w14:paraId="5903B36F">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15EAFA3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B379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51110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FC9D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BC6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87F6CA0">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F6297DF">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rPr>
              <w:t>条款规定的计价方式计价。</w:t>
            </w:r>
          </w:p>
        </w:tc>
      </w:tr>
      <w:tr w14:paraId="31427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2515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71F10570">
            <w:pPr>
              <w:spacing w:line="580" w:lineRule="exact"/>
              <w:ind w:firstLine="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7DE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C6C5C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18F86C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E3A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19143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0F09B88C">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293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4730D4">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2B7AC0EB">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45E0A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94705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8A82FB2">
            <w:pPr>
              <w:spacing w:line="360" w:lineRule="auto"/>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lang w:val="en-US" w:eastAsia="zh-CN"/>
              </w:rPr>
              <w:t>签订合同后10个工作日内，乙方向甲方缴纳合同总价1％的履约保证金</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乙方应以支票、汇票、本票或者金融机构、担保机构出具的保函等非现金形式提交履约保证金</w:t>
            </w:r>
            <w:r>
              <w:rPr>
                <w:rFonts w:asciiTheme="minorEastAsia" w:hAnsiTheme="minorEastAsia" w:eastAsiaTheme="minorEastAsia"/>
                <w:color w:val="auto"/>
                <w:sz w:val="24"/>
                <w:highlight w:val="none"/>
              </w:rPr>
              <w:t>；鼓励和支持乙方以银行、保险公司出具的保函形式提供履约保证</w:t>
            </w:r>
            <w:r>
              <w:rPr>
                <w:rFonts w:hint="eastAsia" w:asciiTheme="minorEastAsia" w:hAnsiTheme="minorEastAsia" w:eastAsiaTheme="minorEastAsia"/>
                <w:color w:val="auto"/>
                <w:sz w:val="24"/>
                <w:highlight w:val="none"/>
              </w:rPr>
              <w:t>，乙方以银行、保险公司出具保函形式提交履约保证金的，甲方不得拒收。</w:t>
            </w:r>
          </w:p>
        </w:tc>
      </w:tr>
      <w:tr w14:paraId="49C3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39B89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60FB68E8">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D027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C2A4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EE1D44D">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首次支付在合同生效</w:t>
            </w:r>
            <w:r>
              <w:rPr>
                <w:rFonts w:hint="eastAsia" w:asciiTheme="minorEastAsia" w:hAnsiTheme="minorEastAsia" w:eastAsiaTheme="minorEastAsia"/>
                <w:color w:val="auto"/>
                <w:sz w:val="24"/>
                <w:szCs w:val="24"/>
                <w:highlight w:val="none"/>
                <w:lang w:eastAsia="zh-CN"/>
              </w:rPr>
              <w:t>且</w:t>
            </w:r>
            <w:r>
              <w:rPr>
                <w:rFonts w:hint="eastAsia" w:asciiTheme="minorEastAsia" w:hAnsiTheme="minorEastAsia" w:eastAsiaTheme="minorEastAsia"/>
                <w:color w:val="auto"/>
                <w:sz w:val="24"/>
                <w:szCs w:val="24"/>
                <w:highlight w:val="none"/>
              </w:rPr>
              <w:t>在当年预算下达</w:t>
            </w:r>
            <w:r>
              <w:rPr>
                <w:rFonts w:hint="eastAsia" w:asciiTheme="minorEastAsia" w:hAnsiTheme="minorEastAsia" w:eastAsiaTheme="minorEastAsia"/>
                <w:color w:val="auto"/>
                <w:sz w:val="24"/>
                <w:szCs w:val="24"/>
                <w:highlight w:val="none"/>
                <w:lang w:eastAsia="zh-CN"/>
              </w:rPr>
              <w:t>之</w:t>
            </w:r>
            <w:r>
              <w:rPr>
                <w:rFonts w:hint="eastAsia" w:asciiTheme="minorEastAsia" w:hAnsiTheme="minorEastAsia" w:eastAsiaTheme="minorEastAsia"/>
                <w:color w:val="auto"/>
                <w:sz w:val="24"/>
                <w:szCs w:val="24"/>
                <w:highlight w:val="none"/>
              </w:rPr>
              <w:t>后5个工作日内支付当期合同金额</w:t>
            </w:r>
            <w:r>
              <w:rPr>
                <w:rFonts w:hint="eastAsia" w:asciiTheme="minorEastAsia" w:hAnsiTheme="minorEastAsia" w:eastAsiaTheme="minorEastAsia"/>
                <w:color w:val="auto"/>
                <w:sz w:val="24"/>
                <w:szCs w:val="24"/>
                <w:highlight w:val="none"/>
                <w:lang w:val="en-US" w:eastAsia="zh-CN"/>
              </w:rPr>
              <w:t>的</w:t>
            </w:r>
            <w:r>
              <w:rPr>
                <w:rFonts w:hint="eastAsia" w:asciiTheme="minorEastAsia" w:hAnsiTheme="minorEastAsia" w:eastAsiaTheme="minorEastAsia"/>
                <w:color w:val="auto"/>
                <w:sz w:val="24"/>
                <w:szCs w:val="24"/>
                <w:highlight w:val="none"/>
              </w:rPr>
              <w:t>50%支付</w:t>
            </w:r>
            <w:r>
              <w:rPr>
                <w:rFonts w:hint="eastAsia" w:asciiTheme="minorEastAsia" w:hAnsiTheme="minorEastAsia" w:eastAsiaTheme="minorEastAsia"/>
                <w:color w:val="auto"/>
                <w:sz w:val="24"/>
                <w:szCs w:val="24"/>
                <w:highlight w:val="none"/>
                <w:lang w:eastAsia="zh-CN"/>
              </w:rPr>
              <w:t>。</w:t>
            </w:r>
          </w:p>
        </w:tc>
      </w:tr>
      <w:tr w14:paraId="677B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A023F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69AD697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21A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B280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890A5B7">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预付款保函</w:t>
            </w:r>
          </w:p>
        </w:tc>
      </w:tr>
      <w:tr w14:paraId="0247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812BA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5D95C735">
            <w:pPr>
              <w:spacing w:line="58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付方式：分期付款（均在当年度财政预算下达后支付），第二、三次支付将根据半年度考核情况，通过履约验收后分别支付当期合同款的25%（需扣除考核扣款），具体以资金实际到位为准。每笔款项支付前，乙方应当向甲方出具等额合法有效的增值税发票。</w:t>
            </w:r>
          </w:p>
          <w:p w14:paraId="227F5ECC">
            <w:pPr>
              <w:spacing w:line="580" w:lineRule="exact"/>
              <w:ind w:firstLine="0" w:firstLineChars="0"/>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注：2025年完成第一期付款、第二期付款：分别为合同金额的</w:t>
            </w:r>
            <w:r>
              <w:rPr>
                <w:rFonts w:hint="eastAsia" w:asciiTheme="minorEastAsia" w:hAnsiTheme="minorEastAsia" w:eastAsiaTheme="minorEastAsia"/>
                <w:color w:val="auto"/>
                <w:sz w:val="24"/>
                <w:szCs w:val="24"/>
                <w:highlight w:val="none"/>
                <w:lang w:val="en-US" w:eastAsia="zh-CN"/>
              </w:rPr>
              <w:t>50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25</w:t>
            </w:r>
            <w:r>
              <w:rPr>
                <w:rFonts w:hint="eastAsia" w:asciiTheme="minorEastAsia" w:hAnsiTheme="minorEastAsia" w:eastAsiaTheme="minorEastAsia"/>
                <w:color w:val="auto"/>
                <w:sz w:val="24"/>
                <w:szCs w:val="24"/>
                <w:highlight w:val="none"/>
              </w:rPr>
              <w:t>%；2026年完成第三期付款：即合同金额的</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5%。</w:t>
            </w:r>
          </w:p>
        </w:tc>
      </w:tr>
      <w:tr w14:paraId="6064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FA079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6E5DE4A">
            <w:pPr>
              <w:pStyle w:val="24"/>
              <w:keepNext w:val="0"/>
              <w:keepLines w:val="0"/>
              <w:pageBreakBefore w:val="0"/>
              <w:kinsoku/>
              <w:wordWrap/>
              <w:overflowPunct/>
              <w:topLinePunct w:val="0"/>
              <w:bidi w:val="0"/>
              <w:adjustRightInd w:val="0"/>
              <w:spacing w:line="580" w:lineRule="exact"/>
              <w:ind w:left="0" w:leftChars="0" w:firstLine="0" w:firstLineChars="0"/>
              <w:jc w:val="both"/>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按采购需求，本项目合同期限为</w:t>
            </w:r>
            <w:r>
              <w:rPr>
                <w:rFonts w:hint="eastAsia" w:asciiTheme="minorEastAsia" w:hAnsiTheme="minorEastAsia" w:eastAsiaTheme="minorEastAsia"/>
                <w:color w:val="auto"/>
                <w:szCs w:val="24"/>
                <w:highlight w:val="none"/>
                <w:lang w:val="en-US" w:eastAsia="zh-CN"/>
              </w:rPr>
              <w:t>合同签订之日起</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u w:val="single"/>
                <w:lang w:val="en-US" w:eastAsia="zh-CN"/>
              </w:rPr>
              <w:t xml:space="preserve">    </w:t>
            </w:r>
            <w:r>
              <w:rPr>
                <w:rFonts w:hint="eastAsia" w:asciiTheme="minorEastAsia" w:hAnsiTheme="minorEastAsia" w:eastAsiaTheme="minorEastAsia"/>
                <w:color w:val="auto"/>
                <w:szCs w:val="24"/>
                <w:highlight w:val="none"/>
              </w:rPr>
              <w:t>年</w:t>
            </w:r>
            <w:r>
              <w:rPr>
                <w:rFonts w:hint="eastAsia" w:asciiTheme="minorEastAsia" w:hAnsiTheme="minorEastAsia" w:eastAsiaTheme="minorEastAsia"/>
                <w:color w:val="auto"/>
                <w:szCs w:val="24"/>
                <w:highlight w:val="none"/>
                <w:lang w:val="en-US" w:eastAsia="zh-CN"/>
              </w:rPr>
              <w:t>12</w:t>
            </w:r>
            <w:r>
              <w:rPr>
                <w:rFonts w:hint="eastAsia" w:asciiTheme="minorEastAsia" w:hAnsiTheme="minorEastAsia" w:eastAsiaTheme="minorEastAsia"/>
                <w:color w:val="auto"/>
                <w:szCs w:val="24"/>
                <w:highlight w:val="none"/>
              </w:rPr>
              <w:t>月</w:t>
            </w:r>
            <w:r>
              <w:rPr>
                <w:rFonts w:hint="eastAsia" w:asciiTheme="minorEastAsia" w:hAnsiTheme="minorEastAsia" w:eastAsiaTheme="minorEastAsia"/>
                <w:color w:val="auto"/>
                <w:szCs w:val="24"/>
                <w:highlight w:val="none"/>
                <w:u w:val="single"/>
                <w:lang w:val="en-US" w:eastAsia="zh-CN"/>
              </w:rPr>
              <w:t>31</w:t>
            </w:r>
            <w:r>
              <w:rPr>
                <w:rFonts w:hint="eastAsia" w:asciiTheme="minorEastAsia" w:hAnsiTheme="minorEastAsia" w:eastAsiaTheme="minorEastAsia"/>
                <w:color w:val="auto"/>
                <w:szCs w:val="24"/>
                <w:highlight w:val="none"/>
              </w:rPr>
              <w:t>日。</w:t>
            </w:r>
            <w:r>
              <w:rPr>
                <w:rFonts w:hint="eastAsia" w:asciiTheme="minorEastAsia" w:hAnsiTheme="minorEastAsia" w:eastAsiaTheme="minorEastAsia"/>
                <w:b/>
                <w:color w:val="auto"/>
                <w:szCs w:val="24"/>
                <w:highlight w:val="none"/>
              </w:rPr>
              <w:t>（</w:t>
            </w:r>
            <w:r>
              <w:rPr>
                <w:rFonts w:hint="eastAsia" w:asciiTheme="minorEastAsia" w:hAnsiTheme="minorEastAsia" w:eastAsiaTheme="minorEastAsia"/>
                <w:b/>
                <w:color w:val="auto"/>
                <w:szCs w:val="24"/>
                <w:highlight w:val="none"/>
                <w:u w:val="single"/>
              </w:rPr>
              <w:t>其中</w:t>
            </w:r>
            <w:r>
              <w:rPr>
                <w:rFonts w:hint="eastAsia" w:asciiTheme="minorEastAsia" w:hAnsiTheme="minorEastAsia" w:eastAsiaTheme="minorEastAsia"/>
                <w:color w:val="auto"/>
                <w:sz w:val="24"/>
                <w:szCs w:val="24"/>
                <w:highlight w:val="none"/>
                <w:u w:val="single"/>
              </w:rPr>
              <w:t>202</w:t>
            </w:r>
            <w:r>
              <w:rPr>
                <w:rFonts w:hint="eastAsia" w:asciiTheme="minorEastAsia" w:hAnsiTheme="minorEastAsia" w:eastAsiaTheme="minorEastAsia"/>
                <w:color w:val="auto"/>
                <w:sz w:val="24"/>
                <w:szCs w:val="24"/>
                <w:highlight w:val="none"/>
                <w:u w:val="single"/>
                <w:lang w:val="en-US" w:eastAsia="zh-CN"/>
              </w:rPr>
              <w:t>5</w:t>
            </w:r>
            <w:r>
              <w:rPr>
                <w:rFonts w:hint="eastAsia" w:asciiTheme="minorEastAsia" w:hAnsiTheme="minorEastAsia" w:eastAsiaTheme="minorEastAsia"/>
                <w:color w:val="auto"/>
                <w:sz w:val="24"/>
                <w:szCs w:val="24"/>
                <w:highlight w:val="none"/>
                <w:u w:val="single"/>
              </w:rPr>
              <w:t>年1月1日至中标人进场服务之日前</w:t>
            </w:r>
            <w:r>
              <w:rPr>
                <w:rFonts w:hint="eastAsia" w:asciiTheme="minorEastAsia" w:hAnsiTheme="minorEastAsia" w:eastAsiaTheme="minorEastAsia"/>
                <w:color w:val="auto"/>
                <w:sz w:val="24"/>
                <w:szCs w:val="24"/>
                <w:highlight w:val="none"/>
                <w:u w:val="single"/>
                <w:lang w:eastAsia="zh-CN"/>
              </w:rPr>
              <w:t>如有</w:t>
            </w:r>
            <w:r>
              <w:rPr>
                <w:rFonts w:hint="eastAsia" w:asciiTheme="minorEastAsia" w:hAnsiTheme="minorEastAsia" w:eastAsiaTheme="minorEastAsia"/>
                <w:color w:val="auto"/>
                <w:sz w:val="24"/>
                <w:szCs w:val="24"/>
                <w:highlight w:val="none"/>
                <w:u w:val="single"/>
              </w:rPr>
              <w:t>空档期</w:t>
            </w:r>
            <w:r>
              <w:rPr>
                <w:rFonts w:hint="eastAsia" w:asciiTheme="minorEastAsia" w:hAnsiTheme="minorEastAsia" w:eastAsiaTheme="minorEastAsia"/>
                <w:color w:val="auto"/>
                <w:sz w:val="24"/>
                <w:szCs w:val="24"/>
                <w:highlight w:val="none"/>
                <w:u w:val="single"/>
                <w:lang w:eastAsia="zh-CN"/>
              </w:rPr>
              <w:t>的，空档期</w:t>
            </w:r>
            <w:r>
              <w:rPr>
                <w:rFonts w:hint="eastAsia" w:asciiTheme="minorEastAsia" w:hAnsiTheme="minorEastAsia" w:eastAsiaTheme="minorEastAsia"/>
                <w:color w:val="auto"/>
                <w:sz w:val="24"/>
                <w:szCs w:val="24"/>
                <w:highlight w:val="none"/>
                <w:u w:val="single"/>
              </w:rPr>
              <w:t>数字城管信息采集服务由原供应商承担，费用由</w:t>
            </w:r>
            <w:r>
              <w:rPr>
                <w:rFonts w:hint="eastAsia" w:asciiTheme="minorEastAsia" w:hAnsiTheme="minorEastAsia" w:eastAsiaTheme="minorEastAsia"/>
                <w:color w:val="auto"/>
                <w:sz w:val="24"/>
                <w:szCs w:val="24"/>
                <w:highlight w:val="none"/>
                <w:u w:val="single"/>
                <w:lang w:val="en-US" w:eastAsia="zh-CN"/>
              </w:rPr>
              <w:t>乙方</w:t>
            </w:r>
            <w:r>
              <w:rPr>
                <w:rFonts w:hint="eastAsia" w:asciiTheme="minorEastAsia" w:hAnsiTheme="minorEastAsia" w:eastAsiaTheme="minorEastAsia"/>
                <w:color w:val="auto"/>
                <w:sz w:val="24"/>
                <w:szCs w:val="24"/>
                <w:highlight w:val="none"/>
                <w:u w:val="single"/>
              </w:rPr>
              <w:t>按本次中标价单日金额乘以实际服务天数，与原供应商结算</w:t>
            </w:r>
            <w:r>
              <w:rPr>
                <w:rFonts w:hint="eastAsia" w:asciiTheme="minorEastAsia" w:hAnsiTheme="minorEastAsia" w:eastAsiaTheme="minorEastAsia"/>
                <w:b/>
                <w:color w:val="auto"/>
                <w:szCs w:val="24"/>
                <w:highlight w:val="none"/>
                <w:u w:val="single"/>
              </w:rPr>
              <w:t>）</w:t>
            </w:r>
            <w:r>
              <w:rPr>
                <w:rFonts w:hint="eastAsia" w:asciiTheme="minorEastAsia" w:hAnsiTheme="minorEastAsia" w:eastAsiaTheme="minorEastAsia"/>
                <w:color w:val="auto"/>
                <w:szCs w:val="24"/>
                <w:highlight w:val="none"/>
              </w:rPr>
              <w:t>。</w:t>
            </w:r>
          </w:p>
          <w:p w14:paraId="19818058">
            <w:pPr>
              <w:spacing w:line="360" w:lineRule="auto"/>
              <w:rPr>
                <w:rFonts w:ascii="宋体" w:hAnsi="宋体" w:cs="宋体"/>
                <w:color w:val="auto"/>
                <w:sz w:val="24"/>
                <w:highlight w:val="none"/>
              </w:rPr>
            </w:pPr>
          </w:p>
        </w:tc>
      </w:tr>
      <w:tr w14:paraId="6FCF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8" w:hRule="atLeast"/>
        </w:trPr>
        <w:tc>
          <w:tcPr>
            <w:tcW w:w="535" w:type="pct"/>
            <w:tcBorders>
              <w:left w:val="single" w:color="auto" w:sz="4" w:space="0"/>
            </w:tcBorders>
            <w:vAlign w:val="center"/>
          </w:tcPr>
          <w:p w14:paraId="5D4B6F6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273FF440">
            <w:pPr>
              <w:pStyle w:val="24"/>
              <w:spacing w:line="580" w:lineRule="exact"/>
              <w:ind w:firstLine="0" w:firstLineChars="0"/>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color w:val="auto"/>
                <w:szCs w:val="24"/>
                <w:highlight w:val="none"/>
              </w:rPr>
              <w:t>范围：</w:t>
            </w:r>
            <w:r>
              <w:rPr>
                <w:rFonts w:hint="eastAsia" w:asciiTheme="minorEastAsia" w:hAnsiTheme="minorEastAsia" w:eastAsiaTheme="minorEastAsia"/>
                <w:color w:val="auto"/>
                <w:highlight w:val="none"/>
              </w:rPr>
              <w:t>杭州市</w:t>
            </w:r>
            <w:r>
              <w:rPr>
                <w:rFonts w:hint="eastAsia" w:asciiTheme="minorEastAsia" w:hAnsiTheme="minorEastAsia" w:eastAsiaTheme="minorEastAsia"/>
                <w:snapToGrid/>
                <w:color w:val="auto"/>
                <w:kern w:val="2"/>
                <w:sz w:val="24"/>
                <w:szCs w:val="24"/>
                <w:highlight w:val="none"/>
              </w:rPr>
              <w:t>拱墅区行政区划内上塘河、长板巷、古河巷、叶青兜路、运河、环城北路、环城西路以东区域，包括潮鸣街道、长庆街道、武林街道、天水街道、朝晖街道、文晖街道、东新街道、石桥街道</w:t>
            </w:r>
            <w:r>
              <w:rPr>
                <w:rFonts w:asciiTheme="minorEastAsia" w:hAnsiTheme="minorEastAsia" w:eastAsiaTheme="minorEastAsia"/>
                <w:snapToGrid/>
                <w:color w:val="auto"/>
                <w:kern w:val="2"/>
                <w:sz w:val="24"/>
                <w:szCs w:val="24"/>
                <w:highlight w:val="none"/>
              </w:rPr>
              <w:t>8</w:t>
            </w:r>
            <w:r>
              <w:rPr>
                <w:rFonts w:hint="eastAsia" w:asciiTheme="minorEastAsia" w:hAnsiTheme="minorEastAsia" w:eastAsiaTheme="minorEastAsia"/>
                <w:snapToGrid/>
                <w:color w:val="auto"/>
                <w:kern w:val="2"/>
                <w:sz w:val="24"/>
                <w:szCs w:val="24"/>
                <w:highlight w:val="none"/>
              </w:rPr>
              <w:t>个街道</w:t>
            </w:r>
            <w:r>
              <w:rPr>
                <w:rFonts w:hint="eastAsia" w:asciiTheme="minorEastAsia" w:hAnsiTheme="minorEastAsia" w:eastAsiaTheme="minorEastAsia"/>
                <w:color w:val="auto"/>
                <w:sz w:val="24"/>
                <w:szCs w:val="24"/>
                <w:highlight w:val="none"/>
              </w:rPr>
              <w:t>。</w:t>
            </w:r>
          </w:p>
        </w:tc>
      </w:tr>
      <w:tr w14:paraId="0DAD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5A1F6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B730D7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3BA1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AB98AB">
            <w:pPr>
              <w:spacing w:line="360" w:lineRule="auto"/>
              <w:rPr>
                <w:rFonts w:ascii="宋体" w:hAnsi="宋体" w:cs="宋体"/>
                <w:color w:val="auto"/>
                <w:sz w:val="24"/>
                <w:highlight w:val="none"/>
              </w:rPr>
            </w:pPr>
            <w:r>
              <w:rPr>
                <w:rFonts w:hint="eastAsia" w:ascii="宋体" w:hAnsi="宋体" w:cs="宋体"/>
                <w:color w:val="auto"/>
                <w:sz w:val="24"/>
                <w:highlight w:val="none"/>
              </w:rPr>
              <w:t>1.7.4.1</w:t>
            </w:r>
          </w:p>
          <w:p w14:paraId="4CEABB6E">
            <w:pPr>
              <w:rPr>
                <w:color w:val="auto"/>
                <w:highlight w:val="none"/>
              </w:rPr>
            </w:pPr>
          </w:p>
        </w:tc>
        <w:tc>
          <w:tcPr>
            <w:tcW w:w="4464" w:type="pct"/>
            <w:vAlign w:val="center"/>
          </w:tcPr>
          <w:p w14:paraId="495ACEE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FEB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43926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C04948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0C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2039C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2B410B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66C7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0C9C7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357DFD3">
            <w:pPr>
              <w:pStyle w:val="24"/>
              <w:keepNext w:val="0"/>
              <w:keepLines w:val="0"/>
              <w:pageBreakBefore w:val="0"/>
              <w:kinsoku/>
              <w:wordWrap/>
              <w:overflowPunct/>
              <w:topLinePunct w:val="0"/>
              <w:bidi w:val="0"/>
              <w:adjustRightInd w:val="0"/>
              <w:spacing w:line="580" w:lineRule="exact"/>
              <w:ind w:left="0" w:leftChars="0" w:firstLine="480" w:firstLineChars="200"/>
              <w:jc w:val="both"/>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2"/>
                <w:sz w:val="24"/>
                <w:szCs w:val="24"/>
                <w:highlight w:val="none"/>
              </w:rPr>
              <w:t>甲方对乙方采集质量要求及考核内容以甲方下发的《关于印发&lt;数字城管信息采集绩效评价办法&gt;的通知》执行(如遇文件修订,以修订后的文件为准)，</w:t>
            </w:r>
            <w:r>
              <w:rPr>
                <w:rFonts w:hint="eastAsia" w:asciiTheme="minorEastAsia" w:hAnsiTheme="minorEastAsia" w:eastAsiaTheme="minorEastAsia"/>
                <w:color w:val="auto"/>
                <w:sz w:val="24"/>
                <w:szCs w:val="24"/>
                <w:highlight w:val="none"/>
              </w:rPr>
              <w:t>相关指标未达到甲方设定的质量要求的，纳入甲方对乙方信息采集月度综合评价。甲方按月对乙方作出综合评价，结果实行排名和通报。</w:t>
            </w:r>
            <w:r>
              <w:rPr>
                <w:rFonts w:hint="eastAsia" w:asciiTheme="minorEastAsia" w:hAnsiTheme="minorEastAsia" w:eastAsiaTheme="minorEastAsia"/>
                <w:b/>
                <w:color w:val="auto"/>
                <w:sz w:val="24"/>
                <w:szCs w:val="24"/>
                <w:highlight w:val="none"/>
              </w:rPr>
              <w:t>月度综合评价结果每扣一分折合扣除拨付资金=合同应支付金额÷</w:t>
            </w:r>
            <w:r>
              <w:rPr>
                <w:rFonts w:hint="eastAsia" w:asciiTheme="minorEastAsia" w:hAnsiTheme="minorEastAsia" w:eastAsiaTheme="minorEastAsia"/>
                <w:b/>
                <w:color w:val="auto"/>
                <w:sz w:val="24"/>
                <w:szCs w:val="24"/>
                <w:highlight w:val="none"/>
                <w:lang w:val="en-US" w:eastAsia="zh-CN"/>
              </w:rPr>
              <w:t>12</w:t>
            </w:r>
            <w:r>
              <w:rPr>
                <w:rFonts w:hint="eastAsia" w:asciiTheme="minorEastAsia" w:hAnsiTheme="minorEastAsia" w:eastAsiaTheme="minorEastAsia"/>
                <w:b/>
                <w:color w:val="auto"/>
                <w:sz w:val="24"/>
                <w:szCs w:val="24"/>
                <w:highlight w:val="none"/>
              </w:rPr>
              <w:t>个月÷100分</w:t>
            </w:r>
            <w:r>
              <w:rPr>
                <w:rFonts w:hint="eastAsia" w:asciiTheme="minorEastAsia" w:hAnsiTheme="minorEastAsia" w:eastAsiaTheme="minorEastAsia"/>
                <w:color w:val="auto"/>
                <w:sz w:val="24"/>
                <w:szCs w:val="24"/>
                <w:highlight w:val="none"/>
              </w:rPr>
              <w:t>。</w:t>
            </w:r>
          </w:p>
          <w:p w14:paraId="4BD23239">
            <w:pPr>
              <w:pStyle w:val="24"/>
              <w:keepNext w:val="0"/>
              <w:keepLines w:val="0"/>
              <w:pageBreakBefore w:val="0"/>
              <w:kinsoku/>
              <w:wordWrap/>
              <w:overflowPunct/>
              <w:topLinePunct w:val="0"/>
              <w:bidi w:val="0"/>
              <w:adjustRightInd w:val="0"/>
              <w:spacing w:line="580" w:lineRule="exact"/>
              <w:ind w:firstLine="560"/>
              <w:jc w:val="both"/>
              <w:textAlignment w:val="auto"/>
              <w:rPr>
                <w:rFonts w:hint="eastAsia" w:ascii="宋体" w:hAnsi="宋体"/>
                <w:color w:val="auto"/>
                <w:sz w:val="24"/>
                <w:highlight w:val="none"/>
              </w:rPr>
            </w:pPr>
            <w:r>
              <w:rPr>
                <w:rFonts w:hint="eastAsia" w:asciiTheme="minorEastAsia" w:hAnsiTheme="minorEastAsia" w:eastAsiaTheme="minorEastAsia"/>
                <w:color w:val="auto"/>
                <w:szCs w:val="24"/>
                <w:highlight w:val="none"/>
              </w:rPr>
              <w:t>合同履行期间，</w:t>
            </w:r>
            <w:r>
              <w:rPr>
                <w:rFonts w:hint="eastAsia" w:asciiTheme="minorEastAsia" w:hAnsiTheme="minorEastAsia" w:eastAsiaTheme="minorEastAsia"/>
                <w:color w:val="auto"/>
                <w:szCs w:val="24"/>
                <w:highlight w:val="none"/>
                <w:lang w:eastAsia="zh-CN"/>
              </w:rPr>
              <w:t>甲方</w:t>
            </w:r>
            <w:r>
              <w:rPr>
                <w:rFonts w:hint="eastAsia" w:asciiTheme="minorEastAsia" w:hAnsiTheme="minorEastAsia" w:eastAsiaTheme="minorEastAsia"/>
                <w:color w:val="auto"/>
                <w:szCs w:val="24"/>
                <w:highlight w:val="none"/>
              </w:rPr>
              <w:t>将按月对</w:t>
            </w:r>
            <w:r>
              <w:rPr>
                <w:rFonts w:hint="eastAsia" w:asciiTheme="minorEastAsia" w:hAnsiTheme="minorEastAsia" w:eastAsiaTheme="minorEastAsia"/>
                <w:color w:val="auto"/>
                <w:szCs w:val="24"/>
                <w:highlight w:val="none"/>
                <w:lang w:eastAsia="zh-CN"/>
              </w:rPr>
              <w:t>乙方</w:t>
            </w:r>
            <w:r>
              <w:rPr>
                <w:rFonts w:hint="eastAsia" w:asciiTheme="minorEastAsia" w:hAnsiTheme="minorEastAsia" w:eastAsiaTheme="minorEastAsia"/>
                <w:color w:val="auto"/>
                <w:szCs w:val="24"/>
                <w:highlight w:val="none"/>
              </w:rPr>
              <w:t>进行考核，每月综合评价须达到</w:t>
            </w:r>
            <w:r>
              <w:rPr>
                <w:rFonts w:asciiTheme="minorEastAsia" w:hAnsiTheme="minorEastAsia" w:eastAsiaTheme="minorEastAsia"/>
                <w:color w:val="auto"/>
                <w:szCs w:val="24"/>
                <w:highlight w:val="none"/>
              </w:rPr>
              <w:t>8</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分（含）以上，如综合评价低于8</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分</w:t>
            </w:r>
            <w:r>
              <w:rPr>
                <w:rFonts w:hint="eastAsia" w:asciiTheme="minorEastAsia" w:hAnsiTheme="minorEastAsia" w:eastAsiaTheme="minorEastAsia"/>
                <w:color w:val="auto"/>
                <w:szCs w:val="24"/>
                <w:highlight w:val="none"/>
                <w:lang w:eastAsia="zh-CN"/>
              </w:rPr>
              <w:t>，甲方可给予乙方</w:t>
            </w:r>
            <w:r>
              <w:rPr>
                <w:rFonts w:hint="eastAsia" w:asciiTheme="minorEastAsia" w:hAnsiTheme="minorEastAsia" w:eastAsiaTheme="minorEastAsia"/>
                <w:color w:val="auto"/>
                <w:szCs w:val="24"/>
                <w:highlight w:val="none"/>
                <w:lang w:val="en-US" w:eastAsia="zh-CN"/>
              </w:rPr>
              <w:t>1个月的整改期限，期满后再次开展综合评价，如仍然低于85分，甲方有权</w:t>
            </w:r>
            <w:r>
              <w:rPr>
                <w:rFonts w:hint="default" w:asciiTheme="minorEastAsia" w:hAnsiTheme="minorEastAsia" w:eastAsiaTheme="minorEastAsia"/>
                <w:color w:val="auto"/>
                <w:szCs w:val="24"/>
                <w:highlight w:val="none"/>
                <w:lang w:eastAsia="zh-CN"/>
              </w:rPr>
              <w:t>解除</w:t>
            </w:r>
            <w:r>
              <w:rPr>
                <w:rFonts w:hint="eastAsia" w:asciiTheme="minorEastAsia" w:hAnsiTheme="minorEastAsia" w:eastAsiaTheme="minorEastAsia"/>
                <w:color w:val="auto"/>
                <w:szCs w:val="24"/>
                <w:highlight w:val="none"/>
                <w:lang w:val="en-US" w:eastAsia="zh-CN"/>
              </w:rPr>
              <w:t>合同；一年内，两次综合评价低于85分或未通过项目履约验收，则甲方有权不与乙方签订第二年合同</w:t>
            </w:r>
            <w:r>
              <w:rPr>
                <w:rFonts w:hint="eastAsia" w:asciiTheme="minorEastAsia" w:hAnsiTheme="minorEastAsia" w:eastAsiaTheme="minorEastAsia"/>
                <w:color w:val="auto"/>
                <w:szCs w:val="24"/>
                <w:highlight w:val="none"/>
              </w:rPr>
              <w:t>。</w:t>
            </w:r>
          </w:p>
          <w:p w14:paraId="4CCF8D92">
            <w:pPr>
              <w:pStyle w:val="24"/>
              <w:keepNext w:val="0"/>
              <w:keepLines w:val="0"/>
              <w:pageBreakBefore w:val="0"/>
              <w:kinsoku/>
              <w:wordWrap/>
              <w:overflowPunct/>
              <w:topLinePunct w:val="0"/>
              <w:bidi w:val="0"/>
              <w:adjustRightInd w:val="0"/>
              <w:spacing w:line="580" w:lineRule="exact"/>
              <w:ind w:firstLine="560"/>
              <w:jc w:val="both"/>
              <w:textAlignment w:val="auto"/>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因乙方工作达不到招标文件</w:t>
            </w:r>
            <w:r>
              <w:rPr>
                <w:rFonts w:hint="eastAsia" w:asciiTheme="minorEastAsia" w:hAnsiTheme="minorEastAsia" w:eastAsiaTheme="minorEastAsia"/>
                <w:color w:val="auto"/>
                <w:szCs w:val="24"/>
                <w:highlight w:val="none"/>
                <w:lang w:eastAsia="zh-CN"/>
              </w:rPr>
              <w:t>及合同</w:t>
            </w:r>
            <w:r>
              <w:rPr>
                <w:rFonts w:hint="eastAsia" w:asciiTheme="minorEastAsia" w:hAnsiTheme="minorEastAsia" w:eastAsiaTheme="minorEastAsia"/>
                <w:color w:val="auto"/>
                <w:szCs w:val="24"/>
                <w:highlight w:val="none"/>
              </w:rPr>
              <w:t>要求或其承诺的服务要求而导致合同</w:t>
            </w:r>
            <w:r>
              <w:rPr>
                <w:rFonts w:hint="default" w:asciiTheme="minorEastAsia" w:hAnsiTheme="minorEastAsia" w:eastAsiaTheme="minorEastAsia"/>
                <w:color w:val="auto"/>
                <w:szCs w:val="24"/>
                <w:highlight w:val="none"/>
              </w:rPr>
              <w:t>解除</w:t>
            </w:r>
            <w:r>
              <w:rPr>
                <w:rFonts w:hint="eastAsia" w:asciiTheme="minorEastAsia" w:hAnsiTheme="minorEastAsia" w:eastAsiaTheme="minorEastAsia"/>
                <w:color w:val="auto"/>
                <w:szCs w:val="24"/>
                <w:highlight w:val="none"/>
                <w:lang w:val="en-US" w:eastAsia="zh-CN"/>
              </w:rPr>
              <w:t>的</w:t>
            </w:r>
            <w:r>
              <w:rPr>
                <w:rFonts w:hint="eastAsia" w:asciiTheme="minorEastAsia" w:hAnsiTheme="minorEastAsia" w:eastAsiaTheme="minorEastAsia"/>
                <w:color w:val="auto"/>
                <w:szCs w:val="24"/>
                <w:highlight w:val="none"/>
              </w:rPr>
              <w:t>，乙方在收到甲方</w:t>
            </w:r>
            <w:r>
              <w:rPr>
                <w:rFonts w:hint="default" w:asciiTheme="minorEastAsia" w:hAnsiTheme="minorEastAsia" w:eastAsiaTheme="minorEastAsia"/>
                <w:color w:val="auto"/>
                <w:szCs w:val="24"/>
                <w:highlight w:val="none"/>
              </w:rPr>
              <w:t>解除</w:t>
            </w:r>
            <w:r>
              <w:rPr>
                <w:rFonts w:hint="eastAsia" w:asciiTheme="minorEastAsia" w:hAnsiTheme="minorEastAsia" w:eastAsiaTheme="minorEastAsia"/>
                <w:color w:val="auto"/>
                <w:szCs w:val="24"/>
                <w:highlight w:val="none"/>
              </w:rPr>
              <w:t>合同</w:t>
            </w:r>
            <w:r>
              <w:rPr>
                <w:rFonts w:hint="default" w:asciiTheme="minorEastAsia" w:hAnsiTheme="minorEastAsia" w:eastAsiaTheme="minorEastAsia"/>
                <w:color w:val="auto"/>
                <w:szCs w:val="24"/>
                <w:highlight w:val="none"/>
              </w:rPr>
              <w:t>的</w:t>
            </w:r>
            <w:r>
              <w:rPr>
                <w:rFonts w:hint="eastAsia" w:asciiTheme="minorEastAsia" w:hAnsiTheme="minorEastAsia" w:eastAsiaTheme="minorEastAsia"/>
                <w:color w:val="auto"/>
                <w:szCs w:val="24"/>
                <w:highlight w:val="none"/>
              </w:rPr>
              <w:t>书面通知之日起60天</w:t>
            </w:r>
            <w:r>
              <w:rPr>
                <w:rFonts w:hint="default" w:asciiTheme="minorEastAsia" w:hAnsiTheme="minorEastAsia" w:eastAsiaTheme="minorEastAsia"/>
                <w:color w:val="auto"/>
                <w:szCs w:val="24"/>
                <w:highlight w:val="none"/>
              </w:rPr>
              <w:t>后</w:t>
            </w:r>
            <w:r>
              <w:rPr>
                <w:rFonts w:hint="eastAsia" w:asciiTheme="minorEastAsia" w:hAnsiTheme="minorEastAsia" w:eastAsiaTheme="minorEastAsia"/>
                <w:color w:val="auto"/>
                <w:szCs w:val="24"/>
                <w:highlight w:val="none"/>
                <w:lang w:val="en-US" w:eastAsia="zh-CN"/>
              </w:rPr>
              <w:t>1</w:t>
            </w:r>
            <w:r>
              <w:rPr>
                <w:rFonts w:hint="default" w:asciiTheme="minorEastAsia" w:hAnsiTheme="minorEastAsia" w:eastAsiaTheme="minorEastAsia"/>
                <w:color w:val="auto"/>
                <w:szCs w:val="24"/>
                <w:highlight w:val="none"/>
              </w:rPr>
              <w:t>天内</w:t>
            </w:r>
            <w:r>
              <w:rPr>
                <w:rFonts w:hint="eastAsia" w:asciiTheme="minorEastAsia" w:hAnsiTheme="minorEastAsia" w:eastAsiaTheme="minorEastAsia"/>
                <w:color w:val="auto"/>
                <w:szCs w:val="24"/>
                <w:highlight w:val="none"/>
              </w:rPr>
              <w:t>必须主动撤离服务现场，同时由此造成的一切损失由乙方承担。乙方收到</w:t>
            </w:r>
            <w:r>
              <w:rPr>
                <w:rFonts w:hint="default" w:asciiTheme="minorEastAsia" w:hAnsiTheme="minorEastAsia" w:eastAsiaTheme="minorEastAsia"/>
                <w:color w:val="auto"/>
                <w:szCs w:val="24"/>
                <w:highlight w:val="none"/>
              </w:rPr>
              <w:t>解除合同</w:t>
            </w:r>
            <w:r>
              <w:rPr>
                <w:rFonts w:hint="eastAsia" w:asciiTheme="minorEastAsia" w:hAnsiTheme="minorEastAsia" w:eastAsiaTheme="minorEastAsia"/>
                <w:color w:val="auto"/>
                <w:szCs w:val="24"/>
                <w:highlight w:val="none"/>
              </w:rPr>
              <w:t>通知</w:t>
            </w:r>
            <w:r>
              <w:rPr>
                <w:rFonts w:hint="default" w:asciiTheme="minorEastAsia" w:hAnsiTheme="minorEastAsia" w:eastAsiaTheme="minorEastAsia"/>
                <w:color w:val="auto"/>
                <w:szCs w:val="24"/>
                <w:highlight w:val="none"/>
              </w:rPr>
              <w:t>书</w:t>
            </w:r>
            <w:r>
              <w:rPr>
                <w:rFonts w:hint="eastAsia" w:asciiTheme="minorEastAsia" w:hAnsiTheme="minorEastAsia" w:eastAsiaTheme="minorEastAsia"/>
                <w:color w:val="auto"/>
                <w:szCs w:val="24"/>
                <w:highlight w:val="none"/>
              </w:rPr>
              <w:t>后的2个月时间内，信息采集服务由乙方提供，服务费按照中标人中标价月平均值支付，在此服务期间发生扣款情况，将从当月服务费中扣除。</w:t>
            </w:r>
          </w:p>
          <w:p w14:paraId="18AA08DA">
            <w:pPr>
              <w:pStyle w:val="24"/>
              <w:keepNext w:val="0"/>
              <w:keepLines w:val="0"/>
              <w:pageBreakBefore w:val="0"/>
              <w:widowControl w:val="0"/>
              <w:kinsoku/>
              <w:wordWrap/>
              <w:overflowPunct/>
              <w:topLinePunct w:val="0"/>
              <w:autoSpaceDE w:val="0"/>
              <w:autoSpaceDN w:val="0"/>
              <w:bidi w:val="0"/>
              <w:adjustRightInd w:val="0"/>
              <w:snapToGrid/>
              <w:spacing w:line="580" w:lineRule="exact"/>
              <w:ind w:firstLine="482" w:firstLineChars="200"/>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违约责任</w:t>
            </w:r>
          </w:p>
          <w:p w14:paraId="144809E6">
            <w:pPr>
              <w:pStyle w:val="24"/>
              <w:keepNext w:val="0"/>
              <w:keepLines w:val="0"/>
              <w:pageBreakBefore w:val="0"/>
              <w:kinsoku/>
              <w:wordWrap/>
              <w:overflowPunct/>
              <w:topLinePunct w:val="0"/>
              <w:bidi w:val="0"/>
              <w:adjustRightInd w:val="0"/>
              <w:spacing w:line="580" w:lineRule="exact"/>
              <w:ind w:left="0" w:leftChars="0" w:firstLine="482" w:firstLineChars="200"/>
              <w:jc w:val="both"/>
              <w:textAlignment w:val="auto"/>
              <w:rPr>
                <w:rFonts w:hint="eastAsia" w:ascii="宋体" w:hAnsi="宋体" w:eastAsia="宋体"/>
                <w:color w:val="auto"/>
                <w:szCs w:val="24"/>
                <w:highlight w:val="none"/>
                <w:lang w:val="en-US" w:eastAsia="zh-CN"/>
              </w:rPr>
            </w:pPr>
            <w:r>
              <w:rPr>
                <w:rFonts w:hint="eastAsia" w:ascii="宋体" w:hAnsi="宋体" w:eastAsia="宋体"/>
                <w:b/>
                <w:bCs/>
                <w:color w:val="auto"/>
                <w:szCs w:val="24"/>
                <w:highlight w:val="none"/>
                <w:lang w:eastAsia="zh-CN"/>
              </w:rPr>
              <w:t>（一）</w:t>
            </w:r>
            <w:r>
              <w:rPr>
                <w:rFonts w:hint="eastAsia" w:ascii="宋体" w:hAnsi="宋体" w:eastAsia="宋体"/>
                <w:color w:val="auto"/>
                <w:szCs w:val="24"/>
                <w:highlight w:val="none"/>
                <w:lang w:val="en-US" w:eastAsia="zh-CN"/>
              </w:rPr>
              <w:t xml:space="preserve"> </w:t>
            </w:r>
            <w:r>
              <w:rPr>
                <w:rFonts w:hint="eastAsia" w:cs="仿宋_GB2312" w:asciiTheme="minorEastAsia" w:hAnsiTheme="minorEastAsia" w:eastAsiaTheme="minorEastAsia"/>
                <w:b/>
                <w:color w:val="auto"/>
                <w:kern w:val="2"/>
                <w:sz w:val="24"/>
                <w:szCs w:val="24"/>
                <w:highlight w:val="none"/>
              </w:rPr>
              <w:t>未经甲方同意，乙方不得在任何时期擅自更换投标文件中规定的项目经理和管理员，同时必须确保项目经理和管理员的数量和水平与投标文件一致，否则</w:t>
            </w:r>
            <w:r>
              <w:rPr>
                <w:rFonts w:hint="eastAsia" w:cs="仿宋_GB2312" w:asciiTheme="minorEastAsia" w:hAnsiTheme="minorEastAsia" w:eastAsiaTheme="minorEastAsia"/>
                <w:b/>
                <w:color w:val="auto"/>
                <w:sz w:val="24"/>
                <w:szCs w:val="24"/>
                <w:highlight w:val="none"/>
              </w:rPr>
              <w:t>甲方有权放弃或终止合同，并没收履约保证金。</w:t>
            </w:r>
          </w:p>
          <w:p w14:paraId="7EAA0405">
            <w:pPr>
              <w:pStyle w:val="24"/>
              <w:keepNext w:val="0"/>
              <w:keepLines w:val="0"/>
              <w:pageBreakBefore w:val="0"/>
              <w:kinsoku/>
              <w:wordWrap/>
              <w:overflowPunct/>
              <w:topLinePunct w:val="0"/>
              <w:bidi w:val="0"/>
              <w:adjustRightInd w:val="0"/>
              <w:spacing w:line="580" w:lineRule="exact"/>
              <w:ind w:firstLine="480" w:firstLineChars="200"/>
              <w:jc w:val="both"/>
              <w:textAlignment w:val="auto"/>
              <w:rPr>
                <w:rFonts w:cs="仿宋_GB2312" w:asciiTheme="minorEastAsia" w:hAnsiTheme="minorEastAsia" w:eastAsiaTheme="minorEastAsia"/>
                <w:color w:val="auto"/>
                <w:szCs w:val="24"/>
                <w:highlight w:val="none"/>
              </w:rPr>
            </w:pPr>
            <w:r>
              <w:rPr>
                <w:rFonts w:hint="eastAsia" w:ascii="宋体" w:hAnsi="宋体" w:eastAsia="宋体"/>
                <w:b w:val="0"/>
                <w:bCs w:val="0"/>
                <w:color w:val="auto"/>
                <w:szCs w:val="24"/>
                <w:highlight w:val="none"/>
              </w:rPr>
              <w:t>（</w:t>
            </w:r>
            <w:r>
              <w:rPr>
                <w:rFonts w:hint="eastAsia" w:ascii="宋体" w:hAnsi="宋体" w:eastAsia="宋体"/>
                <w:b w:val="0"/>
                <w:bCs w:val="0"/>
                <w:color w:val="auto"/>
                <w:szCs w:val="24"/>
                <w:highlight w:val="none"/>
                <w:lang w:eastAsia="zh-CN"/>
              </w:rPr>
              <w:t>二</w:t>
            </w:r>
            <w:r>
              <w:rPr>
                <w:rFonts w:hint="eastAsia" w:ascii="宋体" w:hAnsi="宋体" w:eastAsia="宋体"/>
                <w:b w:val="0"/>
                <w:bCs w:val="0"/>
                <w:color w:val="auto"/>
                <w:szCs w:val="24"/>
                <w:highlight w:val="none"/>
              </w:rPr>
              <w:t>）</w:t>
            </w:r>
            <w:r>
              <w:rPr>
                <w:rFonts w:hint="eastAsia" w:ascii="宋体" w:hAnsi="宋体" w:eastAsia="宋体"/>
                <w:color w:val="auto"/>
                <w:szCs w:val="24"/>
                <w:highlight w:val="none"/>
              </w:rPr>
              <w:t>乙方如不按本合同</w:t>
            </w:r>
            <w:r>
              <w:rPr>
                <w:rFonts w:hint="eastAsia"/>
                <w:color w:val="auto"/>
                <w:szCs w:val="24"/>
                <w:highlight w:val="none"/>
                <w:lang w:eastAsia="zh-CN"/>
              </w:rPr>
              <w:t>3</w:t>
            </w:r>
            <w:r>
              <w:rPr>
                <w:rFonts w:hint="eastAsia"/>
                <w:color w:val="auto"/>
                <w:szCs w:val="24"/>
                <w:highlight w:val="none"/>
                <w:lang w:val="en-US" w:eastAsia="zh-CN"/>
              </w:rPr>
              <w:t>.1、3.3、3.4</w:t>
            </w:r>
            <w:r>
              <w:rPr>
                <w:rFonts w:hint="eastAsia" w:ascii="宋体" w:hAnsi="宋体" w:eastAsia="宋体"/>
                <w:color w:val="auto"/>
                <w:szCs w:val="24"/>
                <w:highlight w:val="none"/>
              </w:rPr>
              <w:t>相关约定履行职责，甲方将每日按合同总价的0.5‰的违约金追究乙方责任，超期30天，甲方有权终止合同，并没收履约保证金，由此引起的一切后果由乙方承担。</w:t>
            </w:r>
          </w:p>
          <w:p w14:paraId="00C3AA3C">
            <w:pPr>
              <w:pStyle w:val="24"/>
              <w:spacing w:line="580" w:lineRule="exact"/>
              <w:ind w:firstLine="480" w:firstLineChars="200"/>
              <w:rPr>
                <w:rFonts w:ascii="宋体" w:hAnsi="宋体" w:cs="宋体"/>
                <w:color w:val="auto"/>
                <w:sz w:val="24"/>
                <w:highlight w:val="none"/>
              </w:rPr>
            </w:pP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三</w:t>
            </w:r>
            <w:r>
              <w:rPr>
                <w:rFonts w:hint="eastAsia" w:ascii="宋体" w:hAnsi="宋体" w:eastAsia="宋体"/>
                <w:color w:val="auto"/>
                <w:szCs w:val="24"/>
                <w:highlight w:val="none"/>
              </w:rPr>
              <w:t>）合同生效后三日内乙方无法正常进行采集，甲方有权变更采集的主体，终止与乙方的合作，由此引起的一切后果由乙方承担，并没收履约保证金。</w:t>
            </w:r>
          </w:p>
        </w:tc>
      </w:tr>
      <w:tr w14:paraId="2180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1AEE8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6738C76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1.9.2</w:t>
            </w:r>
          </w:p>
        </w:tc>
      </w:tr>
      <w:tr w14:paraId="2E00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AA9C3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4A08C9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F0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8" w:hRule="atLeast"/>
        </w:trPr>
        <w:tc>
          <w:tcPr>
            <w:tcW w:w="535" w:type="pct"/>
            <w:tcBorders>
              <w:left w:val="single" w:color="auto" w:sz="4" w:space="0"/>
            </w:tcBorders>
            <w:vAlign w:val="center"/>
          </w:tcPr>
          <w:p w14:paraId="2D2848F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712C64D">
            <w:pPr>
              <w:keepNext w:val="0"/>
              <w:keepLines w:val="0"/>
              <w:pageBreakBefore w:val="0"/>
              <w:widowControl w:val="0"/>
              <w:kinsoku/>
              <w:wordWrap/>
              <w:overflowPunct/>
              <w:topLinePunct w:val="0"/>
              <w:autoSpaceDE w:val="0"/>
              <w:autoSpaceDN w:val="0"/>
              <w:bidi w:val="0"/>
              <w:adjustRightInd w:val="0"/>
              <w:snapToGrid/>
              <w:spacing w:line="580" w:lineRule="exact"/>
              <w:ind w:firstLine="0" w:firstLineChars="0"/>
              <w:textAlignment w:val="auto"/>
              <w:rPr>
                <w:rFonts w:hint="eastAsia" w:cs="仿宋_GB2312" w:asciiTheme="minorEastAsia" w:hAnsiTheme="minorEastAsia" w:eastAsiaTheme="minorEastAsia"/>
                <w:b/>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lang w:val="zh-CN"/>
              </w:rPr>
              <w:t>争议处理</w:t>
            </w:r>
            <w:r>
              <w:rPr>
                <w:rFonts w:hint="eastAsia" w:cs="仿宋_GB2312" w:asciiTheme="minorEastAsia" w:hAnsiTheme="minorEastAsia" w:eastAsiaTheme="minorEastAsia"/>
                <w:b/>
                <w:color w:val="auto"/>
                <w:sz w:val="24"/>
                <w:szCs w:val="24"/>
                <w:highlight w:val="none"/>
                <w:lang w:val="en-US" w:eastAsia="zh-CN"/>
              </w:rPr>
              <w:t>:</w:t>
            </w:r>
          </w:p>
          <w:p w14:paraId="6F9D9791">
            <w:pPr>
              <w:autoSpaceDE w:val="0"/>
              <w:autoSpaceDN w:val="0"/>
              <w:spacing w:line="580" w:lineRule="exact"/>
              <w:ind w:firstLine="0" w:firstLineChars="0"/>
              <w:rPr>
                <w:rFonts w:ascii="宋体" w:hAnsi="宋体" w:cs="宋体"/>
                <w:color w:val="auto"/>
                <w:sz w:val="24"/>
                <w:highlight w:val="none"/>
              </w:rPr>
            </w:pPr>
            <w:r>
              <w:rPr>
                <w:rFonts w:hint="eastAsia" w:cs="仿宋_GB2312" w:asciiTheme="minorEastAsia" w:hAnsiTheme="minorEastAsia" w:eastAsiaTheme="minorEastAsia"/>
                <w:color w:val="auto"/>
                <w:sz w:val="24"/>
                <w:szCs w:val="24"/>
                <w:highlight w:val="none"/>
                <w:lang w:val="zh-CN"/>
              </w:rPr>
              <w:t>合同在履行过程中发生争议时，甲方与乙方及时协商解决。协商不成时，</w:t>
            </w:r>
            <w:r>
              <w:rPr>
                <w:rFonts w:hint="eastAsia" w:cs="仿宋_GB2312" w:asciiTheme="minorEastAsia" w:hAnsiTheme="minorEastAsia" w:eastAsiaTheme="minorEastAsia"/>
                <w:color w:val="auto"/>
                <w:sz w:val="24"/>
                <w:szCs w:val="24"/>
                <w:highlight w:val="none"/>
              </w:rPr>
              <w:t>任何一方均可向甲方住所地人民法院提起诉讼</w:t>
            </w:r>
            <w:r>
              <w:rPr>
                <w:rFonts w:hint="eastAsia" w:cs="仿宋_GB2312" w:asciiTheme="minorEastAsia" w:hAnsiTheme="minorEastAsia" w:eastAsiaTheme="minorEastAsia"/>
                <w:color w:val="auto"/>
                <w:sz w:val="24"/>
                <w:szCs w:val="24"/>
                <w:highlight w:val="none"/>
                <w:lang w:val="zh-CN"/>
              </w:rPr>
              <w:t>。</w:t>
            </w:r>
          </w:p>
        </w:tc>
      </w:tr>
      <w:tr w14:paraId="063C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50150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E41C3FC">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同3.3.1</w:t>
            </w:r>
          </w:p>
        </w:tc>
      </w:tr>
      <w:tr w14:paraId="1092F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2E438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A5A54CE">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0888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8D2FB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666222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同3.5</w:t>
            </w:r>
          </w:p>
        </w:tc>
      </w:tr>
      <w:tr w14:paraId="23B3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3A612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356F93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同3.5</w:t>
            </w:r>
          </w:p>
        </w:tc>
      </w:tr>
      <w:tr w14:paraId="2435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44112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91CABB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同3.4</w:t>
            </w:r>
          </w:p>
        </w:tc>
      </w:tr>
      <w:tr w14:paraId="49A5D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4AF8F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4230A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同3.4</w:t>
            </w:r>
          </w:p>
        </w:tc>
      </w:tr>
      <w:tr w14:paraId="7B634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ABCEB4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1D91669">
            <w:pPr>
              <w:autoSpaceDE w:val="0"/>
              <w:autoSpaceDN w:val="0"/>
              <w:spacing w:line="580" w:lineRule="exact"/>
              <w:ind w:firstLine="0" w:firstLineChars="0"/>
              <w:rPr>
                <w:rFonts w:ascii="宋体" w:hAnsi="宋体" w:cs="宋体"/>
                <w:color w:val="auto"/>
                <w:sz w:val="24"/>
                <w:highlight w:val="none"/>
              </w:rPr>
            </w:pPr>
            <w:r>
              <w:rPr>
                <w:rFonts w:hint="eastAsia" w:cs="仿宋_GB2312" w:asciiTheme="minorEastAsia" w:hAnsiTheme="minorEastAsia" w:eastAsiaTheme="minorEastAsia"/>
                <w:color w:val="auto"/>
                <w:kern w:val="2"/>
                <w:sz w:val="24"/>
                <w:szCs w:val="24"/>
                <w:highlight w:val="none"/>
              </w:rPr>
              <w:t>本合同一式</w:t>
            </w:r>
            <w:r>
              <w:rPr>
                <w:rFonts w:hint="eastAsia" w:cs="仿宋_GB2312" w:asciiTheme="minorEastAsia" w:hAnsiTheme="minorEastAsia" w:eastAsiaTheme="minorEastAsia"/>
                <w:color w:val="auto"/>
                <w:kern w:val="2"/>
                <w:sz w:val="24"/>
                <w:szCs w:val="24"/>
                <w:highlight w:val="none"/>
                <w:u w:val="single"/>
              </w:rPr>
              <w:t xml:space="preserve"> 肆 </w:t>
            </w:r>
            <w:r>
              <w:rPr>
                <w:rFonts w:hint="eastAsia" w:cs="仿宋_GB2312" w:asciiTheme="minorEastAsia" w:hAnsiTheme="minorEastAsia" w:eastAsiaTheme="minorEastAsia"/>
                <w:color w:val="auto"/>
                <w:kern w:val="2"/>
                <w:sz w:val="24"/>
                <w:szCs w:val="24"/>
                <w:highlight w:val="none"/>
              </w:rPr>
              <w:t>份，甲方执</w:t>
            </w:r>
            <w:r>
              <w:rPr>
                <w:rFonts w:hint="eastAsia" w:cs="仿宋_GB2312" w:asciiTheme="minorEastAsia" w:hAnsiTheme="minorEastAsia" w:eastAsiaTheme="minorEastAsia"/>
                <w:color w:val="auto"/>
                <w:kern w:val="2"/>
                <w:sz w:val="24"/>
                <w:szCs w:val="24"/>
                <w:highlight w:val="none"/>
                <w:u w:val="single"/>
              </w:rPr>
              <w:t xml:space="preserve"> 贰</w:t>
            </w:r>
            <w:r>
              <w:rPr>
                <w:rFonts w:hint="eastAsia" w:cs="仿宋_GB2312" w:asciiTheme="minorEastAsia" w:hAnsiTheme="minorEastAsia" w:eastAsiaTheme="minorEastAsia"/>
                <w:color w:val="auto"/>
                <w:kern w:val="2"/>
                <w:sz w:val="24"/>
                <w:szCs w:val="24"/>
                <w:highlight w:val="none"/>
              </w:rPr>
              <w:t>份，乙方执</w:t>
            </w:r>
            <w:r>
              <w:rPr>
                <w:rFonts w:hint="eastAsia" w:cs="仿宋_GB2312" w:asciiTheme="minorEastAsia" w:hAnsiTheme="minorEastAsia" w:eastAsiaTheme="minorEastAsia"/>
                <w:color w:val="auto"/>
                <w:kern w:val="2"/>
                <w:sz w:val="24"/>
                <w:szCs w:val="24"/>
                <w:highlight w:val="none"/>
                <w:u w:val="single"/>
              </w:rPr>
              <w:t xml:space="preserve"> 贰  </w:t>
            </w:r>
            <w:r>
              <w:rPr>
                <w:rFonts w:hint="eastAsia" w:cs="仿宋_GB2312" w:asciiTheme="minorEastAsia" w:hAnsiTheme="minorEastAsia" w:eastAsiaTheme="minorEastAsia"/>
                <w:color w:val="auto"/>
                <w:kern w:val="2"/>
                <w:sz w:val="24"/>
                <w:szCs w:val="24"/>
                <w:highlight w:val="none"/>
              </w:rPr>
              <w:t>份。</w:t>
            </w:r>
          </w:p>
        </w:tc>
      </w:tr>
      <w:tr w14:paraId="18F9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0429C49">
            <w:pPr>
              <w:spacing w:line="360" w:lineRule="auto"/>
              <w:rPr>
                <w:rFonts w:hint="eastAsia" w:ascii="宋体" w:hAnsi="宋体" w:eastAsia="宋体" w:cs="宋体"/>
                <w:color w:val="auto"/>
                <w:sz w:val="24"/>
                <w:highlight w:val="none"/>
                <w:lang w:val="en-US" w:eastAsia="zh-CN"/>
              </w:rPr>
            </w:pPr>
            <w:r>
              <w:rPr>
                <w:rFonts w:hint="default" w:ascii="宋体" w:hAnsi="宋体" w:eastAsia="宋体"/>
                <w:b/>
                <w:color w:val="auto"/>
                <w:sz w:val="24"/>
                <w:highlight w:val="none"/>
                <w:lang w:val="en-US" w:eastAsia="zh-CN"/>
              </w:rPr>
              <w:t>3.</w:t>
            </w:r>
            <w:r>
              <w:rPr>
                <w:rFonts w:hint="eastAsia" w:ascii="宋体" w:hAnsi="宋体" w:eastAsia="宋体"/>
                <w:b/>
                <w:color w:val="auto"/>
                <w:sz w:val="24"/>
                <w:highlight w:val="none"/>
                <w:lang w:val="en-US" w:eastAsia="zh-CN"/>
              </w:rPr>
              <w:t>1</w:t>
            </w:r>
          </w:p>
        </w:tc>
        <w:tc>
          <w:tcPr>
            <w:tcW w:w="4464" w:type="pct"/>
          </w:tcPr>
          <w:p w14:paraId="25D5B8EE">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lang w:val="en-US" w:eastAsia="zh-CN"/>
              </w:rPr>
              <w:t>补充的</w:t>
            </w:r>
            <w:r>
              <w:rPr>
                <w:rFonts w:hint="eastAsia" w:cs="仿宋_GB2312" w:asciiTheme="minorEastAsia" w:hAnsiTheme="minorEastAsia" w:eastAsiaTheme="minorEastAsia"/>
                <w:b/>
                <w:color w:val="auto"/>
                <w:kern w:val="2"/>
                <w:sz w:val="24"/>
                <w:szCs w:val="24"/>
                <w:highlight w:val="none"/>
              </w:rPr>
              <w:t>相关约定</w:t>
            </w:r>
          </w:p>
        </w:tc>
      </w:tr>
      <w:tr w14:paraId="57543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DA5292C">
            <w:pPr>
              <w:spacing w:line="360" w:lineRule="auto"/>
              <w:rPr>
                <w:rFonts w:hint="eastAsia" w:ascii="宋体" w:hAnsi="宋体" w:cs="宋体"/>
                <w:color w:val="auto"/>
                <w:sz w:val="24"/>
                <w:highlight w:val="none"/>
                <w:lang w:val="en-US" w:eastAsia="zh-CN"/>
              </w:rPr>
            </w:pPr>
            <w:r>
              <w:rPr>
                <w:rFonts w:hint="default" w:ascii="宋体" w:hAnsi="宋体" w:eastAsia="宋体"/>
                <w:b/>
                <w:color w:val="auto"/>
                <w:kern w:val="2"/>
                <w:sz w:val="24"/>
                <w:szCs w:val="24"/>
                <w:highlight w:val="none"/>
                <w:lang w:val="en-US" w:eastAsia="zh-CN"/>
              </w:rPr>
              <w:t>3.1</w:t>
            </w:r>
            <w:r>
              <w:rPr>
                <w:rFonts w:hint="eastAsia" w:ascii="宋体" w:hAnsi="宋体" w:eastAsia="宋体"/>
                <w:b/>
                <w:color w:val="auto"/>
                <w:kern w:val="2"/>
                <w:sz w:val="24"/>
                <w:szCs w:val="24"/>
                <w:highlight w:val="none"/>
                <w:lang w:val="en-US" w:eastAsia="zh-CN"/>
              </w:rPr>
              <w:t>.1</w:t>
            </w:r>
          </w:p>
        </w:tc>
        <w:tc>
          <w:tcPr>
            <w:tcW w:w="4464" w:type="pct"/>
          </w:tcPr>
          <w:p w14:paraId="553D008C">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default" w:ascii="宋体" w:hAnsi="宋体" w:eastAsia="宋体"/>
                <w:b/>
                <w:color w:val="auto"/>
                <w:kern w:val="2"/>
                <w:sz w:val="24"/>
                <w:szCs w:val="24"/>
                <w:highlight w:val="none"/>
              </w:rPr>
              <w:t>合</w:t>
            </w:r>
            <w:r>
              <w:rPr>
                <w:rFonts w:hint="eastAsia" w:asciiTheme="minorEastAsia" w:hAnsiTheme="minorEastAsia" w:eastAsiaTheme="minorEastAsia"/>
                <w:color w:val="auto"/>
                <w:kern w:val="2"/>
                <w:sz w:val="24"/>
                <w:szCs w:val="24"/>
                <w:highlight w:val="none"/>
              </w:rPr>
              <w:t>同签订后，乙方应于5天内投入服务，最低投入服务人员数量不得少于招标文件要求人数的</w:t>
            </w:r>
            <w:r>
              <w:rPr>
                <w:rFonts w:hint="eastAsia" w:asciiTheme="minorEastAsia" w:hAnsiTheme="minorEastAsia" w:eastAsiaTheme="minorEastAsia"/>
                <w:color w:val="auto"/>
                <w:kern w:val="2"/>
                <w:sz w:val="24"/>
                <w:szCs w:val="24"/>
                <w:highlight w:val="none"/>
                <w:lang w:val="en-US" w:eastAsia="zh-CN"/>
              </w:rPr>
              <w:t>30</w:t>
            </w:r>
            <w:r>
              <w:rPr>
                <w:rFonts w:asciiTheme="minorEastAsia" w:hAnsiTheme="minorEastAsia" w:eastAsiaTheme="minorEastAsia"/>
                <w:color w:val="auto"/>
                <w:kern w:val="2"/>
                <w:sz w:val="24"/>
                <w:szCs w:val="24"/>
                <w:highlight w:val="none"/>
              </w:rPr>
              <w:t>%</w:t>
            </w:r>
            <w:r>
              <w:rPr>
                <w:rFonts w:hint="eastAsia" w:asciiTheme="minorEastAsia" w:hAnsiTheme="minorEastAsia" w:eastAsiaTheme="minorEastAsia"/>
                <w:b/>
                <w:color w:val="auto"/>
                <w:kern w:val="2"/>
                <w:sz w:val="24"/>
                <w:szCs w:val="24"/>
                <w:highlight w:val="none"/>
                <w:lang w:eastAsia="zh-CN"/>
              </w:rPr>
              <w:t>（</w:t>
            </w:r>
            <w:r>
              <w:rPr>
                <w:rFonts w:hint="eastAsia" w:asciiTheme="minorEastAsia" w:hAnsiTheme="minorEastAsia" w:eastAsiaTheme="minorEastAsia"/>
                <w:b/>
                <w:color w:val="auto"/>
                <w:kern w:val="2"/>
                <w:sz w:val="24"/>
                <w:szCs w:val="24"/>
                <w:highlight w:val="none"/>
              </w:rPr>
              <w:t>保证投入服务人员与投标人员清单一致</w:t>
            </w:r>
            <w:r>
              <w:rPr>
                <w:rFonts w:hint="eastAsia" w:asciiTheme="minorEastAsia" w:hAnsiTheme="minorEastAsia" w:eastAsiaTheme="minorEastAsia"/>
                <w:b/>
                <w:color w:val="auto"/>
                <w:kern w:val="2"/>
                <w:sz w:val="24"/>
                <w:szCs w:val="24"/>
                <w:highlight w:val="none"/>
                <w:lang w:eastAsia="zh-CN"/>
              </w:rPr>
              <w:t>）</w:t>
            </w:r>
            <w:r>
              <w:rPr>
                <w:rFonts w:hint="eastAsia" w:asciiTheme="minorEastAsia" w:hAnsiTheme="minorEastAsia" w:eastAsiaTheme="minorEastAsia"/>
                <w:color w:val="auto"/>
                <w:kern w:val="2"/>
                <w:sz w:val="24"/>
                <w:szCs w:val="24"/>
                <w:highlight w:val="none"/>
              </w:rPr>
              <w:t>，投标时</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提供人员比例高于</w:t>
            </w:r>
            <w:r>
              <w:rPr>
                <w:rFonts w:hint="eastAsia" w:asciiTheme="minorEastAsia" w:hAnsiTheme="minorEastAsia" w:eastAsiaTheme="minorEastAsia"/>
                <w:color w:val="auto"/>
                <w:kern w:val="2"/>
                <w:sz w:val="24"/>
                <w:szCs w:val="24"/>
                <w:highlight w:val="none"/>
                <w:lang w:val="en-US" w:eastAsia="zh-CN"/>
              </w:rPr>
              <w:t>30</w:t>
            </w:r>
            <w:r>
              <w:rPr>
                <w:rFonts w:hint="eastAsia" w:asciiTheme="minorEastAsia" w:hAnsiTheme="minorEastAsia" w:eastAsiaTheme="minorEastAsia"/>
                <w:color w:val="auto"/>
                <w:kern w:val="2"/>
                <w:sz w:val="24"/>
                <w:szCs w:val="24"/>
                <w:highlight w:val="none"/>
              </w:rPr>
              <w:t>%的，按投标时比例投入服务人员，且须于10天内完成余下人员的组建</w:t>
            </w:r>
            <w:r>
              <w:rPr>
                <w:rFonts w:hint="eastAsia" w:asciiTheme="minorEastAsia" w:hAnsiTheme="minorEastAsia" w:eastAsiaTheme="minorEastAsia"/>
                <w:color w:val="auto"/>
                <w:kern w:val="2"/>
                <w:sz w:val="24"/>
                <w:szCs w:val="24"/>
                <w:highlight w:val="none"/>
                <w:lang w:eastAsia="zh-CN"/>
              </w:rPr>
              <w:t>。</w:t>
            </w:r>
          </w:p>
        </w:tc>
      </w:tr>
      <w:tr w14:paraId="6DCB0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79C03">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3.1.2</w:t>
            </w:r>
          </w:p>
        </w:tc>
        <w:tc>
          <w:tcPr>
            <w:tcW w:w="4464" w:type="pct"/>
          </w:tcPr>
          <w:p w14:paraId="7238BFF8">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乙方应当</w:t>
            </w:r>
            <w:r>
              <w:rPr>
                <w:rFonts w:hint="eastAsia" w:asciiTheme="minorEastAsia" w:hAnsiTheme="minorEastAsia" w:eastAsiaTheme="minorEastAsia"/>
                <w:color w:val="auto"/>
                <w:sz w:val="24"/>
                <w:szCs w:val="24"/>
                <w:highlight w:val="none"/>
                <w:lang w:val="en-US" w:eastAsia="zh-CN"/>
              </w:rPr>
              <w:t>与</w:t>
            </w:r>
            <w:r>
              <w:rPr>
                <w:rFonts w:hint="eastAsia" w:asciiTheme="minorEastAsia" w:hAnsiTheme="minorEastAsia" w:eastAsiaTheme="minorEastAsia"/>
                <w:color w:val="auto"/>
                <w:sz w:val="24"/>
                <w:szCs w:val="24"/>
                <w:highlight w:val="none"/>
              </w:rPr>
              <w:t>所有项目组人员</w:t>
            </w:r>
            <w:r>
              <w:rPr>
                <w:rFonts w:hint="eastAsia" w:asciiTheme="minorEastAsia" w:hAnsiTheme="minorEastAsia" w:eastAsiaTheme="minorEastAsia"/>
                <w:color w:val="auto"/>
                <w:sz w:val="24"/>
                <w:szCs w:val="24"/>
                <w:highlight w:val="none"/>
                <w:lang w:val="en-US" w:eastAsia="zh-CN"/>
              </w:rPr>
              <w:t>建立合法劳动用工关系，负责为所有人员办理</w:t>
            </w:r>
            <w:r>
              <w:rPr>
                <w:rFonts w:hint="eastAsia" w:asciiTheme="minorEastAsia" w:hAnsiTheme="minorEastAsia" w:eastAsiaTheme="minorEastAsia"/>
                <w:color w:val="auto"/>
                <w:sz w:val="24"/>
                <w:szCs w:val="24"/>
                <w:highlight w:val="none"/>
              </w:rPr>
              <w:t>有关社保、</w:t>
            </w:r>
            <w:r>
              <w:rPr>
                <w:rFonts w:hint="eastAsia" w:asciiTheme="minorEastAsia" w:hAnsiTheme="minorEastAsia" w:eastAsiaTheme="minorEastAsia"/>
                <w:color w:val="auto"/>
                <w:sz w:val="24"/>
                <w:szCs w:val="24"/>
                <w:highlight w:val="none"/>
                <w:lang w:val="en-US" w:eastAsia="zh-CN"/>
              </w:rPr>
              <w:t>补充</w:t>
            </w:r>
            <w:r>
              <w:rPr>
                <w:rFonts w:hint="eastAsia" w:asciiTheme="minorEastAsia" w:hAnsiTheme="minorEastAsia" w:eastAsiaTheme="minorEastAsia"/>
                <w:color w:val="auto"/>
                <w:sz w:val="24"/>
                <w:szCs w:val="24"/>
                <w:highlight w:val="none"/>
              </w:rPr>
              <w:t>医疗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发放</w:t>
            </w:r>
            <w:r>
              <w:rPr>
                <w:rFonts w:hint="eastAsia" w:asciiTheme="minorEastAsia" w:hAnsiTheme="minorEastAsia" w:eastAsiaTheme="minorEastAsia"/>
                <w:color w:val="auto"/>
                <w:sz w:val="24"/>
                <w:szCs w:val="24"/>
                <w:highlight w:val="none"/>
              </w:rPr>
              <w:t>薪酬、</w:t>
            </w:r>
            <w:r>
              <w:rPr>
                <w:rFonts w:hint="eastAsia" w:asciiTheme="minorEastAsia" w:hAnsiTheme="minorEastAsia" w:eastAsiaTheme="minorEastAsia"/>
                <w:color w:val="auto"/>
                <w:sz w:val="24"/>
                <w:szCs w:val="24"/>
                <w:highlight w:val="none"/>
                <w:lang w:val="en-US" w:eastAsia="zh-CN"/>
              </w:rPr>
              <w:t>承担员工</w:t>
            </w:r>
            <w:r>
              <w:rPr>
                <w:rFonts w:hint="eastAsia" w:asciiTheme="minorEastAsia" w:hAnsiTheme="minorEastAsia" w:eastAsiaTheme="minorEastAsia"/>
                <w:color w:val="auto"/>
                <w:sz w:val="24"/>
                <w:szCs w:val="24"/>
                <w:highlight w:val="none"/>
              </w:rPr>
              <w:t>人身或财产损害等问题，若未妥善处理造成损失或需要赔付的，由乙方负责赔偿；若出现发放薪资低于标准、欠薪等情况的，纳入甲方对乙方信息采集月度综合评价。如产生严重影响的，甲方有权终止本合同，并没收履约保证金，由此引起的一切后果由乙方承担。</w:t>
            </w:r>
            <w:r>
              <w:rPr>
                <w:rFonts w:hint="eastAsia" w:asciiTheme="minorEastAsia" w:hAnsiTheme="minorEastAsia" w:eastAsiaTheme="minorEastAsia"/>
                <w:color w:val="auto"/>
                <w:kern w:val="2"/>
                <w:sz w:val="24"/>
                <w:szCs w:val="24"/>
                <w:highlight w:val="none"/>
              </w:rPr>
              <w:t>因乙方原因导致劳资纠纷、群体性事件影响甲方或数字城管声誉的，甲方有权追究责任。</w:t>
            </w:r>
          </w:p>
        </w:tc>
      </w:tr>
      <w:tr w14:paraId="46CA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1292F94">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3.1.3</w:t>
            </w:r>
          </w:p>
        </w:tc>
        <w:tc>
          <w:tcPr>
            <w:tcW w:w="4464" w:type="pct"/>
          </w:tcPr>
          <w:p w14:paraId="4CF11866">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合同签订后，乙方须</w:t>
            </w:r>
            <w:r>
              <w:rPr>
                <w:rFonts w:hint="eastAsia" w:asciiTheme="minorEastAsia" w:hAnsiTheme="minorEastAsia" w:eastAsiaTheme="minorEastAsia"/>
                <w:color w:val="auto"/>
                <w:kern w:val="2"/>
                <w:sz w:val="24"/>
                <w:szCs w:val="24"/>
                <w:highlight w:val="none"/>
                <w:lang w:eastAsia="zh-CN"/>
              </w:rPr>
              <w:t>在</w:t>
            </w:r>
            <w:r>
              <w:rPr>
                <w:rFonts w:hint="eastAsia" w:asciiTheme="minorEastAsia" w:hAnsiTheme="minorEastAsia" w:eastAsiaTheme="minorEastAsia"/>
                <w:color w:val="auto"/>
                <w:kern w:val="2"/>
                <w:sz w:val="24"/>
                <w:szCs w:val="24"/>
                <w:highlight w:val="none"/>
              </w:rPr>
              <w:t>投入服务前，按招标文件中要求人数</w:t>
            </w:r>
            <w:r>
              <w:rPr>
                <w:rFonts w:hint="eastAsia" w:asciiTheme="minorEastAsia" w:hAnsiTheme="minorEastAsia" w:eastAsiaTheme="minorEastAsia"/>
                <w:color w:val="auto"/>
                <w:kern w:val="2"/>
                <w:sz w:val="24"/>
                <w:szCs w:val="24"/>
                <w:highlight w:val="none"/>
                <w:lang w:eastAsia="zh-CN"/>
              </w:rPr>
              <w:t>（不含有奖报料人员）</w:t>
            </w:r>
            <w:r>
              <w:rPr>
                <w:rFonts w:hint="eastAsia" w:asciiTheme="minorEastAsia" w:hAnsiTheme="minorEastAsia" w:eastAsiaTheme="minorEastAsia"/>
                <w:color w:val="auto"/>
                <w:kern w:val="2"/>
                <w:sz w:val="24"/>
                <w:szCs w:val="24"/>
                <w:highlight w:val="none"/>
              </w:rPr>
              <w:t>每人配置一部的比例，向甲方足额领取“信息采集器”，并按2300元/部支付领取采集器总量10%数量的押金（注：押金及通话时长等视实际“信息采集器”采购合同要求调整），信息采集器所产生的无线通信网络服务费由甲方支付。</w:t>
            </w:r>
          </w:p>
        </w:tc>
      </w:tr>
      <w:tr w14:paraId="1BFB0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6BF1CC7">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3.1.4</w:t>
            </w:r>
          </w:p>
        </w:tc>
        <w:tc>
          <w:tcPr>
            <w:tcW w:w="4464" w:type="pct"/>
          </w:tcPr>
          <w:p w14:paraId="063ACB5C">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合同终结时，</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须如数将“信息采集器”返还，每少一部按照原价从信息采集器押金中扣除，如押金不足扣除的，从项目履约保证金或合同款中扣除；如因使用不当造成“信息采集器”外观破损或影响功能正常使用的，由</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承担修理费用;无法修理的,按（原价值-折旧后剩余价值）赔偿。</w:t>
            </w:r>
          </w:p>
        </w:tc>
      </w:tr>
      <w:tr w14:paraId="4479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0B8A653">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.1.5</w:t>
            </w:r>
          </w:p>
        </w:tc>
        <w:tc>
          <w:tcPr>
            <w:tcW w:w="4464" w:type="pct"/>
          </w:tcPr>
          <w:p w14:paraId="2056AC94">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乙方要按照甲方提供的“信息采集器”设定的工作区域，落实专人使用，并按正点率和全覆盖的要求，在合同签订一个月内提供各工作单位（社区）巡查行径线路。</w:t>
            </w:r>
          </w:p>
        </w:tc>
      </w:tr>
      <w:tr w14:paraId="6ED8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DEB94A">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.1.6</w:t>
            </w:r>
          </w:p>
        </w:tc>
        <w:tc>
          <w:tcPr>
            <w:tcW w:w="4464" w:type="pct"/>
          </w:tcPr>
          <w:p w14:paraId="748242EA">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“信息采集器”机型、配置、配件等信息以乙方领取时的实际信息为准。</w:t>
            </w:r>
          </w:p>
        </w:tc>
      </w:tr>
      <w:tr w14:paraId="4206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2FFAD78">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.1.7</w:t>
            </w:r>
          </w:p>
        </w:tc>
        <w:tc>
          <w:tcPr>
            <w:tcW w:w="4464" w:type="pct"/>
          </w:tcPr>
          <w:p w14:paraId="48E26EB5">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本项目数据成果所有权归甲方所有，在合同有效期内甲、乙双方可共享，未经甲方书面同意，任何时候乙方不得将相关信息和资料向第三方提供。</w:t>
            </w:r>
          </w:p>
        </w:tc>
      </w:tr>
      <w:tr w14:paraId="348BC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5FE3037">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.1.8</w:t>
            </w:r>
          </w:p>
        </w:tc>
        <w:tc>
          <w:tcPr>
            <w:tcW w:w="4464" w:type="pct"/>
          </w:tcPr>
          <w:p w14:paraId="7A1437D0">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对本合同条款外的未尽事宜，应采取协商的方式进行，任何一方提出的需求，除有特殊时间要求外，对方原则应在五个工作日内作出反馈，并出具书面意见，</w:t>
            </w:r>
            <w:r>
              <w:rPr>
                <w:rFonts w:hint="eastAsia" w:asciiTheme="minorEastAsia" w:hAnsiTheme="minorEastAsia" w:eastAsiaTheme="minorEastAsia"/>
                <w:b w:val="0"/>
                <w:bCs w:val="0"/>
                <w:color w:val="auto"/>
                <w:kern w:val="2"/>
                <w:sz w:val="24"/>
                <w:szCs w:val="24"/>
                <w:highlight w:val="none"/>
              </w:rPr>
              <w:t>逾期不做响应视作认同</w:t>
            </w:r>
            <w:r>
              <w:rPr>
                <w:rFonts w:hint="eastAsia" w:asciiTheme="minorEastAsia" w:hAnsiTheme="minorEastAsia" w:eastAsiaTheme="minorEastAsia"/>
                <w:color w:val="auto"/>
                <w:kern w:val="2"/>
                <w:sz w:val="24"/>
                <w:szCs w:val="24"/>
                <w:highlight w:val="none"/>
              </w:rPr>
              <w:t>。</w:t>
            </w:r>
          </w:p>
        </w:tc>
      </w:tr>
      <w:tr w14:paraId="29882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C0168EF">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3.2</w:t>
            </w:r>
          </w:p>
        </w:tc>
        <w:tc>
          <w:tcPr>
            <w:tcW w:w="4464" w:type="pct"/>
          </w:tcPr>
          <w:p w14:paraId="6095C51C">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甲方的责任与义务</w:t>
            </w:r>
          </w:p>
        </w:tc>
      </w:tr>
      <w:tr w14:paraId="6C316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A0F1D6E">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3.2.1</w:t>
            </w:r>
          </w:p>
        </w:tc>
        <w:tc>
          <w:tcPr>
            <w:tcW w:w="4464" w:type="pct"/>
          </w:tcPr>
          <w:p w14:paraId="72561ACC">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甲方应当主要负责项目服务外部关系的联系与协调，为乙方工作提供良好的外部条件。</w:t>
            </w:r>
          </w:p>
        </w:tc>
      </w:tr>
      <w:tr w14:paraId="2D10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2631DF1">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3.2.2</w:t>
            </w:r>
          </w:p>
        </w:tc>
        <w:tc>
          <w:tcPr>
            <w:tcW w:w="4464" w:type="pct"/>
          </w:tcPr>
          <w:p w14:paraId="435B939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甲方应当向乙方提供与项目服务有关的资料。</w:t>
            </w:r>
          </w:p>
        </w:tc>
      </w:tr>
      <w:tr w14:paraId="6604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8037D8B">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3.2.3</w:t>
            </w:r>
          </w:p>
        </w:tc>
        <w:tc>
          <w:tcPr>
            <w:tcW w:w="4464" w:type="pct"/>
          </w:tcPr>
          <w:p w14:paraId="75A49519">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甲方应当就乙方书面提交并要求做出决定的一切事宜做出书面决定。</w:t>
            </w:r>
          </w:p>
        </w:tc>
      </w:tr>
      <w:tr w14:paraId="50EBE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E80425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3.2.4</w:t>
            </w:r>
          </w:p>
        </w:tc>
        <w:tc>
          <w:tcPr>
            <w:tcW w:w="4464" w:type="pct"/>
          </w:tcPr>
          <w:p w14:paraId="1D3C8D5B">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甲方有与乙方订立补充合同的签订权。</w:t>
            </w:r>
          </w:p>
        </w:tc>
      </w:tr>
      <w:tr w14:paraId="6202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05DE7E5">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3.3</w:t>
            </w:r>
          </w:p>
        </w:tc>
        <w:tc>
          <w:tcPr>
            <w:tcW w:w="4464" w:type="pct"/>
          </w:tcPr>
          <w:p w14:paraId="32CA631B">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乙方的责任与义务</w:t>
            </w:r>
          </w:p>
        </w:tc>
      </w:tr>
      <w:tr w14:paraId="5C8F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FC0008E">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3.3.1</w:t>
            </w:r>
          </w:p>
        </w:tc>
        <w:tc>
          <w:tcPr>
            <w:tcW w:w="4464" w:type="pct"/>
          </w:tcPr>
          <w:p w14:paraId="4C523D31">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乙方应遵守相关规定，对甲方提供的有关政策、文件或资料，无论合同期内还是合同结束，都必须遵循保密的原则，如泄漏或擅自向第三方提供，将承担相应的违约责任</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在本项目中形成的所有智力成果都属于甲方，享有独立的知识产权，乙方</w:t>
            </w:r>
            <w:r>
              <w:rPr>
                <w:rFonts w:hint="eastAsia" w:cs="仿宋_GB2312" w:asciiTheme="minorEastAsia" w:hAnsiTheme="minorEastAsia" w:eastAsiaTheme="minorEastAsia"/>
                <w:color w:val="auto"/>
                <w:sz w:val="24"/>
                <w:szCs w:val="24"/>
                <w:highlight w:val="none"/>
                <w:lang w:val="zh-CN"/>
              </w:rPr>
              <w:t>不得以任何形式</w:t>
            </w:r>
            <w:r>
              <w:rPr>
                <w:rFonts w:hint="eastAsia" w:cs="仿宋_GB2312" w:asciiTheme="minorEastAsia" w:hAnsiTheme="minorEastAsia" w:eastAsiaTheme="minorEastAsia"/>
                <w:color w:val="auto"/>
                <w:sz w:val="24"/>
                <w:szCs w:val="24"/>
                <w:highlight w:val="none"/>
                <w:lang w:val="en-US" w:eastAsia="zh-CN"/>
              </w:rPr>
              <w:t>实施侵权</w:t>
            </w:r>
            <w:r>
              <w:rPr>
                <w:rFonts w:hint="eastAsia" w:cs="仿宋_GB2312" w:asciiTheme="minorEastAsia" w:hAnsiTheme="minorEastAsia" w:eastAsiaTheme="minorEastAsia"/>
                <w:color w:val="auto"/>
                <w:sz w:val="24"/>
                <w:szCs w:val="24"/>
                <w:highlight w:val="none"/>
                <w:lang w:val="zh-CN"/>
              </w:rPr>
              <w:t>。</w:t>
            </w:r>
          </w:p>
        </w:tc>
      </w:tr>
      <w:tr w14:paraId="6FF2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3E4C994">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3.3.2</w:t>
            </w:r>
          </w:p>
        </w:tc>
        <w:tc>
          <w:tcPr>
            <w:tcW w:w="4464" w:type="pct"/>
          </w:tcPr>
          <w:p w14:paraId="18F1BB7E">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kern w:val="2"/>
                <w:sz w:val="24"/>
                <w:szCs w:val="24"/>
                <w:highlight w:val="none"/>
              </w:rPr>
              <w:t>乙方应按招标文件要求足额配置专职项目组人员，确保队伍稳定。</w:t>
            </w:r>
            <w:r>
              <w:rPr>
                <w:rFonts w:hint="eastAsia" w:asciiTheme="minorEastAsia" w:hAnsiTheme="minorEastAsia" w:eastAsiaTheme="minorEastAsia"/>
                <w:color w:val="auto"/>
                <w:sz w:val="24"/>
                <w:szCs w:val="24"/>
                <w:highlight w:val="none"/>
              </w:rPr>
              <w:t>并应加强采集队伍管理，注重员工素质、职业道德教育和业务技能的培训，建立内部管理和员工考核制度。</w:t>
            </w:r>
          </w:p>
        </w:tc>
      </w:tr>
      <w:tr w14:paraId="0961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A44F7D">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3.3.3</w:t>
            </w:r>
          </w:p>
        </w:tc>
        <w:tc>
          <w:tcPr>
            <w:tcW w:w="4464" w:type="pct"/>
          </w:tcPr>
          <w:p w14:paraId="2ACE3A29">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乙方应依法为项目组人员缴纳“五险一金”(养老保险、医疗保险、失业保险、工伤保险、生育保险、住房公积金)和交通意外险。</w:t>
            </w:r>
          </w:p>
        </w:tc>
      </w:tr>
      <w:tr w14:paraId="05A6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3C867E0">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3.3.4</w:t>
            </w:r>
          </w:p>
        </w:tc>
        <w:tc>
          <w:tcPr>
            <w:tcW w:w="4464" w:type="pct"/>
          </w:tcPr>
          <w:p w14:paraId="3AD1A9C9">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乙方应遵守信息采集职业道德要求，确保不出现报复性采集行为；确保不出现“吃、拿、卡、要”串通或选择性采集、虚假信息、有责纠纷（投诉）等行为。</w:t>
            </w:r>
          </w:p>
        </w:tc>
      </w:tr>
      <w:tr w14:paraId="7A04C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5915B5A">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3.3.5</w:t>
            </w:r>
          </w:p>
        </w:tc>
        <w:tc>
          <w:tcPr>
            <w:tcW w:w="4464" w:type="pct"/>
          </w:tcPr>
          <w:p w14:paraId="447FB513">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乙方应及时发放职工的工资福利，不得无故拖欠员工工资、克扣员工福利或其他违法经营行为，确保不发生劳资纠纷。</w:t>
            </w:r>
          </w:p>
        </w:tc>
      </w:tr>
      <w:tr w14:paraId="1D579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707A9BC">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3.3.6</w:t>
            </w:r>
          </w:p>
        </w:tc>
        <w:tc>
          <w:tcPr>
            <w:tcW w:w="4464" w:type="pct"/>
          </w:tcPr>
          <w:p w14:paraId="46FDA6B7">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kern w:val="2"/>
                <w:sz w:val="24"/>
                <w:szCs w:val="24"/>
                <w:highlight w:val="none"/>
              </w:rPr>
              <w:t>乙方用于本项目的项目经理和管理员人员原则不得变更，确需变更的应取得甲方同意并履行相关审批手续。</w:t>
            </w:r>
          </w:p>
        </w:tc>
      </w:tr>
      <w:tr w14:paraId="6C85E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BA0F629">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3.3.7</w:t>
            </w:r>
          </w:p>
        </w:tc>
        <w:tc>
          <w:tcPr>
            <w:tcW w:w="4464" w:type="pct"/>
          </w:tcPr>
          <w:p w14:paraId="0B3D801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因甲方</w:t>
            </w:r>
            <w:r>
              <w:rPr>
                <w:rFonts w:hint="eastAsia" w:asciiTheme="minorEastAsia" w:hAnsiTheme="minorEastAsia" w:eastAsiaTheme="minorEastAsia"/>
                <w:color w:val="auto"/>
                <w:sz w:val="24"/>
                <w:szCs w:val="24"/>
                <w:highlight w:val="none"/>
                <w:lang w:val="en-US" w:eastAsia="zh-CN"/>
              </w:rPr>
              <w:t>管理需要而需</w:t>
            </w:r>
            <w:r>
              <w:rPr>
                <w:rFonts w:hint="eastAsia" w:asciiTheme="minorEastAsia" w:hAnsiTheme="minorEastAsia" w:eastAsiaTheme="minorEastAsia"/>
                <w:color w:val="auto"/>
                <w:sz w:val="24"/>
                <w:szCs w:val="24"/>
                <w:highlight w:val="none"/>
              </w:rPr>
              <w:t>增加工作内容或</w:t>
            </w:r>
            <w:r>
              <w:rPr>
                <w:rFonts w:hint="eastAsia" w:asciiTheme="minorEastAsia" w:hAnsiTheme="minorEastAsia" w:eastAsiaTheme="minorEastAsia"/>
                <w:color w:val="auto"/>
                <w:sz w:val="24"/>
                <w:szCs w:val="24"/>
                <w:highlight w:val="none"/>
                <w:lang w:val="en-US" w:eastAsia="zh-CN"/>
              </w:rPr>
              <w:t>增设</w:t>
            </w:r>
            <w:r>
              <w:rPr>
                <w:rFonts w:hint="eastAsia" w:asciiTheme="minorEastAsia" w:hAnsiTheme="minorEastAsia" w:eastAsiaTheme="minorEastAsia"/>
                <w:color w:val="auto"/>
                <w:sz w:val="24"/>
                <w:szCs w:val="24"/>
                <w:highlight w:val="none"/>
              </w:rPr>
              <w:t>其他特殊管理需求的，乙方须予以支持，甲方将依据实际产生的工作量视</w:t>
            </w:r>
            <w:r>
              <w:rPr>
                <w:rFonts w:hint="eastAsia" w:asciiTheme="minorEastAsia" w:hAnsiTheme="minorEastAsia" w:eastAsiaTheme="minorEastAsia"/>
                <w:color w:val="auto"/>
                <w:sz w:val="24"/>
                <w:szCs w:val="24"/>
                <w:highlight w:val="none"/>
                <w:lang w:val="en-US" w:eastAsia="zh-CN"/>
              </w:rPr>
              <w:t>情况</w:t>
            </w:r>
            <w:r>
              <w:rPr>
                <w:rFonts w:hint="eastAsia" w:asciiTheme="minorEastAsia" w:hAnsiTheme="minorEastAsia" w:eastAsiaTheme="minorEastAsia"/>
                <w:color w:val="auto"/>
                <w:sz w:val="24"/>
                <w:szCs w:val="24"/>
                <w:highlight w:val="none"/>
              </w:rPr>
              <w:t>在月度评价中进行加分。</w:t>
            </w:r>
          </w:p>
        </w:tc>
      </w:tr>
      <w:tr w14:paraId="1BEF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DC0C913">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3.3.8</w:t>
            </w:r>
          </w:p>
        </w:tc>
        <w:tc>
          <w:tcPr>
            <w:tcW w:w="4464" w:type="pct"/>
          </w:tcPr>
          <w:p w14:paraId="04AA2F0D">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乙方不得参与可能与合同规定的与甲方的利益相冲突的任何活动。</w:t>
            </w:r>
          </w:p>
        </w:tc>
      </w:tr>
      <w:tr w14:paraId="098D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2D44786">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kern w:val="2"/>
                <w:sz w:val="24"/>
                <w:szCs w:val="24"/>
                <w:highlight w:val="none"/>
                <w:lang w:val="en-US" w:eastAsia="zh-CN"/>
              </w:rPr>
              <w:t>3.4</w:t>
            </w:r>
          </w:p>
        </w:tc>
        <w:tc>
          <w:tcPr>
            <w:tcW w:w="4464" w:type="pct"/>
          </w:tcPr>
          <w:p w14:paraId="5C866D5F">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履约验收</w:t>
            </w:r>
          </w:p>
        </w:tc>
      </w:tr>
      <w:tr w14:paraId="13FE0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F9D41C4">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3.4.1</w:t>
            </w:r>
          </w:p>
        </w:tc>
        <w:tc>
          <w:tcPr>
            <w:tcW w:w="4464" w:type="pct"/>
          </w:tcPr>
          <w:p w14:paraId="237712CE">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lang w:val="en-US" w:eastAsia="zh-CN"/>
              </w:rPr>
              <w:t>每半个自然年度</w:t>
            </w:r>
            <w:r>
              <w:rPr>
                <w:rFonts w:hint="eastAsia" w:asciiTheme="minorEastAsia" w:hAnsiTheme="minorEastAsia" w:eastAsiaTheme="minorEastAsia"/>
                <w:color w:val="auto"/>
                <w:kern w:val="2"/>
                <w:sz w:val="24"/>
                <w:szCs w:val="24"/>
                <w:highlight w:val="none"/>
              </w:rPr>
              <w:t>后</w:t>
            </w:r>
            <w:r>
              <w:rPr>
                <w:rFonts w:hint="eastAsia" w:asciiTheme="minorEastAsia" w:hAnsiTheme="minorEastAsia" w:eastAsiaTheme="minorEastAsia"/>
                <w:color w:val="auto"/>
                <w:kern w:val="2"/>
                <w:sz w:val="24"/>
                <w:szCs w:val="24"/>
                <w:highlight w:val="none"/>
                <w:lang w:eastAsia="zh-CN"/>
              </w:rPr>
              <w:t>（可根据实际管理情况调整）</w:t>
            </w:r>
            <w:r>
              <w:rPr>
                <w:rFonts w:hint="eastAsia" w:asciiTheme="minorEastAsia" w:hAnsiTheme="minorEastAsia" w:eastAsiaTheme="minorEastAsia"/>
                <w:color w:val="auto"/>
                <w:kern w:val="2"/>
                <w:sz w:val="24"/>
                <w:szCs w:val="24"/>
                <w:highlight w:val="none"/>
              </w:rPr>
              <w:t>，由甲方或甲方委托的采购代理机构组织对项目进行履约验收，验收结果与采购合同约定的资金支付及履约保证金返还条件挂钩。验收时必须提供完整的验收资料，包括招标文件第三部分采购需求中所列的所有文档资料等。履约验收的各项资料应当存档备查。</w:t>
            </w:r>
          </w:p>
        </w:tc>
      </w:tr>
      <w:tr w14:paraId="3076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467E250">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kern w:val="2"/>
                <w:sz w:val="24"/>
                <w:szCs w:val="24"/>
                <w:highlight w:val="none"/>
                <w:lang w:val="en-US" w:eastAsia="zh-CN"/>
              </w:rPr>
              <w:t>3.4.2</w:t>
            </w:r>
          </w:p>
        </w:tc>
        <w:tc>
          <w:tcPr>
            <w:tcW w:w="4464" w:type="pct"/>
          </w:tcPr>
          <w:p w14:paraId="18907282">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履约验收按《关于印发&lt;杭州市政府采购履约验收暂行办法&gt;的通知》文件要求进行。如果发现与合同中要求不符，乙方须承担</w:t>
            </w:r>
            <w:r>
              <w:rPr>
                <w:rFonts w:hint="eastAsia" w:asciiTheme="minorEastAsia" w:hAnsiTheme="minorEastAsia" w:eastAsiaTheme="minorEastAsia"/>
                <w:b w:val="0"/>
                <w:bCs w:val="0"/>
                <w:color w:val="auto"/>
                <w:kern w:val="2"/>
                <w:sz w:val="24"/>
                <w:szCs w:val="24"/>
                <w:highlight w:val="none"/>
              </w:rPr>
              <w:t>由此发生的一切损失和费用，并接受相应的处罚。</w:t>
            </w:r>
          </w:p>
        </w:tc>
      </w:tr>
      <w:tr w14:paraId="4D3E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F13FC75">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b w:val="0"/>
                <w:bCs w:val="0"/>
                <w:color w:val="auto"/>
                <w:sz w:val="24"/>
                <w:szCs w:val="24"/>
                <w:highlight w:val="none"/>
                <w:lang w:val="en-US" w:eastAsia="zh-CN"/>
              </w:rPr>
              <w:t>3.4.3</w:t>
            </w:r>
          </w:p>
        </w:tc>
        <w:tc>
          <w:tcPr>
            <w:tcW w:w="4464" w:type="pct"/>
          </w:tcPr>
          <w:p w14:paraId="3979D498">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val="0"/>
                <w:bCs w:val="0"/>
                <w:color w:val="auto"/>
                <w:kern w:val="2"/>
                <w:sz w:val="24"/>
                <w:szCs w:val="24"/>
                <w:highlight w:val="none"/>
              </w:rPr>
              <w:t>履约验</w:t>
            </w:r>
            <w:r>
              <w:rPr>
                <w:rFonts w:hint="eastAsia" w:cs="仿宋_GB2312" w:asciiTheme="minorEastAsia" w:hAnsiTheme="minorEastAsia" w:eastAsiaTheme="minorEastAsia"/>
                <w:color w:val="auto"/>
                <w:kern w:val="2"/>
                <w:sz w:val="24"/>
                <w:szCs w:val="24"/>
                <w:highlight w:val="none"/>
              </w:rPr>
              <w:t>收产生的费用，属于首次验收过程中产生的，由甲方承担；属于首次验收不合格，重新验收过程中产生的，由</w:t>
            </w:r>
            <w:r>
              <w:rPr>
                <w:rFonts w:hint="eastAsia" w:cs="仿宋_GB2312" w:asciiTheme="minorEastAsia" w:hAnsiTheme="minorEastAsia" w:eastAsiaTheme="minorEastAsia"/>
                <w:color w:val="auto"/>
                <w:kern w:val="2"/>
                <w:sz w:val="24"/>
                <w:szCs w:val="24"/>
                <w:highlight w:val="none"/>
                <w:lang w:val="en-US" w:eastAsia="zh-CN"/>
              </w:rPr>
              <w:t>乙方承担，并由</w:t>
            </w:r>
            <w:r>
              <w:rPr>
                <w:rFonts w:hint="eastAsia" w:cs="仿宋_GB2312" w:asciiTheme="minorEastAsia" w:hAnsiTheme="minorEastAsia" w:eastAsiaTheme="minorEastAsia"/>
                <w:color w:val="auto"/>
                <w:kern w:val="2"/>
                <w:sz w:val="24"/>
                <w:szCs w:val="24"/>
                <w:highlight w:val="none"/>
              </w:rPr>
              <w:t>甲方在合同款中扣除相关验收费用。</w:t>
            </w:r>
          </w:p>
        </w:tc>
      </w:tr>
      <w:tr w14:paraId="7423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DBB51F1">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3.5</w:t>
            </w:r>
          </w:p>
        </w:tc>
        <w:tc>
          <w:tcPr>
            <w:tcW w:w="4464" w:type="pct"/>
          </w:tcPr>
          <w:p w14:paraId="16F7A0D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不可抗力</w:t>
            </w:r>
          </w:p>
        </w:tc>
      </w:tr>
      <w:tr w14:paraId="6B7D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F3C072">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3.5.1</w:t>
            </w:r>
          </w:p>
        </w:tc>
        <w:tc>
          <w:tcPr>
            <w:tcW w:w="4464" w:type="pct"/>
          </w:tcPr>
          <w:p w14:paraId="294B7D91">
            <w:pPr>
              <w:autoSpaceDE w:val="0"/>
              <w:autoSpaceDN w:val="0"/>
              <w:spacing w:line="580" w:lineRule="exact"/>
              <w:ind w:firstLine="480" w:firstLineChars="20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签约双方任一方由于不可抗力事故的影响而不能执行合同时，履行合同的期限应予以延长。不可抗力事故系指甲乙双方在缔结合同时所不能预见的，并且它的发生及其后果无法避免和无法克服的事故。</w:t>
            </w:r>
          </w:p>
        </w:tc>
      </w:tr>
      <w:tr w14:paraId="1FA5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382C92C">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3.5.2</w:t>
            </w:r>
          </w:p>
        </w:tc>
        <w:tc>
          <w:tcPr>
            <w:tcW w:w="4464" w:type="pct"/>
          </w:tcPr>
          <w:p w14:paraId="344F3769">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甲、乙任何一方</w:t>
            </w:r>
            <w:r>
              <w:rPr>
                <w:rFonts w:hint="eastAsia" w:asciiTheme="minorEastAsia" w:hAnsiTheme="minorEastAsia" w:eastAsiaTheme="minorEastAsia"/>
                <w:color w:val="auto"/>
                <w:sz w:val="24"/>
                <w:szCs w:val="24"/>
                <w:highlight w:val="none"/>
                <w:lang w:val="en-US" w:eastAsia="zh-CN"/>
              </w:rPr>
              <w:t>在</w:t>
            </w:r>
            <w:r>
              <w:rPr>
                <w:rFonts w:hint="eastAsia" w:asciiTheme="minorEastAsia" w:hAnsiTheme="minorEastAsia" w:eastAsiaTheme="minorEastAsia"/>
                <w:color w:val="auto"/>
                <w:sz w:val="24"/>
                <w:szCs w:val="24"/>
                <w:highlight w:val="none"/>
              </w:rPr>
              <w:t>不可抗力事故发生后，必须尽快以书面形式告知对方，并在事故发生后14天内，提供有关部门出具的证明文件。如果不可抗力影响时间延续120天以上的，双方应在合理的时间内达成进一步履行合同的协议。</w:t>
            </w:r>
          </w:p>
        </w:tc>
      </w:tr>
      <w:tr w14:paraId="46A3A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CC5805A">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3.5.3</w:t>
            </w:r>
          </w:p>
        </w:tc>
        <w:tc>
          <w:tcPr>
            <w:tcW w:w="4464" w:type="pct"/>
          </w:tcPr>
          <w:p w14:paraId="38374589">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因不可抗力导致合同不能全部或部分履行，</w:t>
            </w:r>
            <w:r>
              <w:rPr>
                <w:rFonts w:hint="eastAsia" w:cs="仿宋_GB2312" w:asciiTheme="minorEastAsia" w:hAnsiTheme="minorEastAsia" w:eastAsiaTheme="minorEastAsia"/>
                <w:color w:val="auto"/>
                <w:kern w:val="2"/>
                <w:sz w:val="24"/>
                <w:szCs w:val="24"/>
                <w:highlight w:val="none"/>
              </w:rPr>
              <w:t>甲、</w:t>
            </w:r>
            <w:r>
              <w:rPr>
                <w:rFonts w:hint="eastAsia" w:cs="仿宋_GB2312" w:asciiTheme="minorEastAsia" w:hAnsiTheme="minorEastAsia" w:eastAsiaTheme="minorEastAsia"/>
                <w:color w:val="auto"/>
                <w:sz w:val="24"/>
                <w:szCs w:val="24"/>
                <w:highlight w:val="none"/>
                <w:lang w:val="zh-CN"/>
              </w:rPr>
              <w:t>乙双方协商解决。</w:t>
            </w:r>
          </w:p>
        </w:tc>
      </w:tr>
      <w:tr w14:paraId="51AA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8CA2E5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3.6</w:t>
            </w:r>
          </w:p>
        </w:tc>
        <w:tc>
          <w:tcPr>
            <w:tcW w:w="4464" w:type="pct"/>
          </w:tcPr>
          <w:p w14:paraId="64362418">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合同生效、变更和终止</w:t>
            </w:r>
          </w:p>
        </w:tc>
      </w:tr>
      <w:tr w14:paraId="64F9C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B44CF84">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3.6.1</w:t>
            </w:r>
          </w:p>
        </w:tc>
        <w:tc>
          <w:tcPr>
            <w:tcW w:w="4464" w:type="pct"/>
          </w:tcPr>
          <w:p w14:paraId="239A5735">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本合同经甲乙双方法定代表人或其委托人签字</w:t>
            </w:r>
            <w:r>
              <w:rPr>
                <w:rFonts w:hint="eastAsia" w:cs="仿宋_GB2312" w:asciiTheme="minorEastAsia" w:hAnsiTheme="minorEastAsia" w:eastAsiaTheme="minorEastAsia"/>
                <w:color w:val="auto"/>
                <w:kern w:val="2"/>
                <w:sz w:val="24"/>
                <w:szCs w:val="24"/>
                <w:highlight w:val="none"/>
                <w:lang w:val="en-US" w:eastAsia="zh-CN"/>
              </w:rPr>
              <w:t>且</w:t>
            </w:r>
            <w:r>
              <w:rPr>
                <w:rFonts w:hint="eastAsia" w:cs="仿宋_GB2312" w:asciiTheme="minorEastAsia" w:hAnsiTheme="minorEastAsia" w:eastAsiaTheme="minorEastAsia"/>
                <w:color w:val="auto"/>
                <w:kern w:val="2"/>
                <w:sz w:val="24"/>
                <w:szCs w:val="24"/>
                <w:highlight w:val="none"/>
              </w:rPr>
              <w:t>盖章，</w:t>
            </w:r>
            <w:r>
              <w:rPr>
                <w:rFonts w:hint="eastAsia" w:cs="仿宋_GB2312" w:asciiTheme="minorEastAsia" w:hAnsiTheme="minorEastAsia" w:eastAsiaTheme="minorEastAsia"/>
                <w:color w:val="auto"/>
                <w:kern w:val="2"/>
                <w:sz w:val="24"/>
                <w:szCs w:val="24"/>
                <w:highlight w:val="none"/>
                <w:lang w:val="en-US" w:eastAsia="zh-CN"/>
              </w:rPr>
              <w:t>并</w:t>
            </w:r>
            <w:r>
              <w:rPr>
                <w:rFonts w:hint="eastAsia" w:cs="仿宋_GB2312" w:asciiTheme="minorEastAsia" w:hAnsiTheme="minorEastAsia" w:eastAsiaTheme="minorEastAsia"/>
                <w:color w:val="auto"/>
                <w:kern w:val="2"/>
                <w:sz w:val="24"/>
                <w:szCs w:val="24"/>
                <w:highlight w:val="none"/>
              </w:rPr>
              <w:t>由乙方向甲方缴纳合同总价</w:t>
            </w:r>
            <w:r>
              <w:rPr>
                <w:rFonts w:hint="eastAsia" w:cs="仿宋_GB2312" w:asciiTheme="minorEastAsia" w:hAnsiTheme="minorEastAsia" w:eastAsiaTheme="minorEastAsia"/>
                <w:color w:val="auto"/>
                <w:kern w:val="2"/>
                <w:sz w:val="24"/>
                <w:szCs w:val="24"/>
                <w:highlight w:val="none"/>
                <w:lang w:val="en-US" w:eastAsia="zh-CN"/>
              </w:rPr>
              <w:t>1</w:t>
            </w:r>
            <w:r>
              <w:rPr>
                <w:rFonts w:hint="eastAsia" w:cs="仿宋_GB2312" w:asciiTheme="minorEastAsia" w:hAnsiTheme="minorEastAsia" w:eastAsiaTheme="minorEastAsia"/>
                <w:color w:val="auto"/>
                <w:kern w:val="2"/>
                <w:sz w:val="24"/>
                <w:szCs w:val="24"/>
                <w:highlight w:val="none"/>
              </w:rPr>
              <w:t>%履约保证金</w:t>
            </w:r>
            <w:r>
              <w:rPr>
                <w:rFonts w:hint="eastAsia" w:cs="仿宋_GB2312" w:asciiTheme="minorEastAsia" w:hAnsiTheme="minorEastAsia" w:eastAsiaTheme="minorEastAsia"/>
                <w:color w:val="auto"/>
                <w:kern w:val="2"/>
                <w:sz w:val="24"/>
                <w:szCs w:val="24"/>
                <w:highlight w:val="none"/>
                <w:lang w:val="zh-CN"/>
              </w:rPr>
              <w:t>后生效</w:t>
            </w:r>
            <w:r>
              <w:rPr>
                <w:rFonts w:hint="eastAsia" w:cs="仿宋_GB2312" w:asciiTheme="minorEastAsia" w:hAnsiTheme="minorEastAsia" w:eastAsiaTheme="minorEastAsia"/>
                <w:color w:val="auto"/>
                <w:sz w:val="24"/>
                <w:szCs w:val="24"/>
                <w:highlight w:val="none"/>
                <w:lang w:val="zh-CN"/>
              </w:rPr>
              <w:t>。</w:t>
            </w:r>
          </w:p>
        </w:tc>
      </w:tr>
      <w:tr w14:paraId="70980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CDC1B0D">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3.6.2</w:t>
            </w:r>
          </w:p>
        </w:tc>
        <w:tc>
          <w:tcPr>
            <w:tcW w:w="4464" w:type="pct"/>
          </w:tcPr>
          <w:p w14:paraId="04C2F64B">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在合同签订后，因项目需求发生重大变化，使得乙方不能按原计划全部或部分执行项目时，乙方应当立即通知甲方。该项目的完成时间是否延长或当恢复执行项目时，是否需增加时间用于恢复执行，由双方协商确定。</w:t>
            </w:r>
          </w:p>
        </w:tc>
      </w:tr>
      <w:tr w14:paraId="679E3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73168FB">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3.6.3</w:t>
            </w:r>
          </w:p>
        </w:tc>
        <w:tc>
          <w:tcPr>
            <w:tcW w:w="4464" w:type="pct"/>
          </w:tcPr>
          <w:p w14:paraId="698B408C">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合同生效后三日内乙方无法正常进行采集，甲方有权变更采集的主体，终止与乙方的合作，由此引起的一切后果由乙方承担，并没收履约保证金。</w:t>
            </w:r>
          </w:p>
        </w:tc>
      </w:tr>
      <w:tr w14:paraId="5EE2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94A7D3E">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3.6.4</w:t>
            </w:r>
          </w:p>
        </w:tc>
        <w:tc>
          <w:tcPr>
            <w:tcW w:w="4464" w:type="pct"/>
          </w:tcPr>
          <w:p w14:paraId="66F6D2F8">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当事人一方要求变更或解除合同时，应当在30天前通知对方，因变更或解除合同使一方遭受损失的，除依法可以免除责任的外，应由责任方负责赔偿。变更或解除合同的通知或协议应当采取书面</w:t>
            </w:r>
            <w:r>
              <w:rPr>
                <w:rFonts w:hint="eastAsia" w:cs="仿宋_GB2312" w:asciiTheme="minorEastAsia" w:hAnsiTheme="minorEastAsia" w:eastAsiaTheme="minorEastAsia"/>
                <w:color w:val="auto"/>
                <w:sz w:val="24"/>
                <w:szCs w:val="24"/>
                <w:highlight w:val="none"/>
                <w:lang w:val="en-US" w:eastAsia="zh-CN"/>
              </w:rPr>
              <w:t>形式。</w:t>
            </w:r>
          </w:p>
        </w:tc>
      </w:tr>
      <w:tr w14:paraId="0D86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9CD43D">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3.7</w:t>
            </w:r>
          </w:p>
        </w:tc>
        <w:tc>
          <w:tcPr>
            <w:tcW w:w="4464" w:type="pct"/>
          </w:tcPr>
          <w:p w14:paraId="57E6248E">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en-US" w:eastAsia="zh-CN"/>
              </w:rPr>
              <w:t>其他</w:t>
            </w:r>
          </w:p>
        </w:tc>
      </w:tr>
      <w:tr w14:paraId="16D0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9B43BA7">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3.7.1</w:t>
            </w:r>
          </w:p>
        </w:tc>
        <w:tc>
          <w:tcPr>
            <w:tcW w:w="4464" w:type="pct"/>
          </w:tcPr>
          <w:p w14:paraId="42E0330F">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合同履行期内甲乙双方均不得随意变更或解除合同。合同若有未尽事宜，需经双方共同协商，订立补充协议，补充协议与本合同有同等法律效力。</w:t>
            </w:r>
          </w:p>
        </w:tc>
      </w:tr>
      <w:tr w14:paraId="4F6B2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559B75E">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3.7.2</w:t>
            </w:r>
          </w:p>
        </w:tc>
        <w:tc>
          <w:tcPr>
            <w:tcW w:w="4464" w:type="pct"/>
          </w:tcPr>
          <w:p w14:paraId="0DC55E3E">
            <w:pPr>
              <w:tabs>
                <w:tab w:val="left" w:pos="3045"/>
              </w:tabs>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招标文件【</w:t>
            </w:r>
            <w:r>
              <w:rPr>
                <w:rFonts w:hint="eastAsia" w:cs="仿宋_GB2312" w:asciiTheme="minorEastAsia" w:hAnsiTheme="minorEastAsia" w:eastAsiaTheme="minorEastAsia"/>
                <w:b/>
                <w:color w:val="auto"/>
                <w:kern w:val="2"/>
                <w:sz w:val="24"/>
                <w:szCs w:val="24"/>
                <w:highlight w:val="none"/>
              </w:rPr>
              <w:t>编号</w:t>
            </w:r>
            <w:r>
              <w:rPr>
                <w:rFonts w:hint="eastAsia" w:cs="仿宋_GB2312" w:asciiTheme="minorEastAsia" w:hAnsiTheme="minorEastAsia" w:eastAsiaTheme="minorEastAsia"/>
                <w:b/>
                <w:color w:val="auto"/>
                <w:kern w:val="2"/>
                <w:sz w:val="24"/>
                <w:szCs w:val="24"/>
                <w:highlight w:val="none"/>
                <w:lang w:eastAsia="zh-CN"/>
              </w:rPr>
              <w:t>：</w:t>
            </w:r>
            <w:r>
              <w:rPr>
                <w:rFonts w:hint="eastAsia" w:ascii="宋体" w:hAnsi="宋体" w:cs="宋体" w:eastAsiaTheme="minorEastAsia"/>
                <w:color w:val="auto"/>
                <w:sz w:val="24"/>
                <w:highlight w:val="none"/>
                <w:lang w:eastAsia="zh-CN"/>
              </w:rPr>
              <w:t>HZZFCG-2024-258</w:t>
            </w:r>
            <w:r>
              <w:rPr>
                <w:rFonts w:hint="eastAsia" w:cs="仿宋_GB2312" w:asciiTheme="minorEastAsia" w:hAnsiTheme="minorEastAsia" w:eastAsiaTheme="minorEastAsia"/>
                <w:color w:val="auto"/>
                <w:kern w:val="2"/>
                <w:sz w:val="24"/>
                <w:szCs w:val="24"/>
                <w:highlight w:val="none"/>
              </w:rPr>
              <w:t>】、投标文件及评标过程中形成的文字资料、询标纪要均作为本合同的组成部分，具有同等效力。</w:t>
            </w:r>
          </w:p>
        </w:tc>
      </w:tr>
      <w:tr w14:paraId="7231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4B7B059">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3.7.3</w:t>
            </w:r>
          </w:p>
        </w:tc>
        <w:tc>
          <w:tcPr>
            <w:tcW w:w="4464" w:type="pct"/>
          </w:tcPr>
          <w:p w14:paraId="24FB974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用法律：本合同应按照中华人民共和国的法律进行解释。</w:t>
            </w:r>
          </w:p>
        </w:tc>
      </w:tr>
    </w:tbl>
    <w:p w14:paraId="10A05E0C">
      <w:pPr>
        <w:spacing w:line="360" w:lineRule="auto"/>
        <w:ind w:left="-420" w:leftChars="-200" w:right="-420" w:rightChars="-200" w:firstLine="480" w:firstLineChars="200"/>
        <w:rPr>
          <w:rFonts w:ascii="宋体" w:hAnsi="宋体" w:cs="宋体"/>
          <w:color w:val="auto"/>
          <w:sz w:val="24"/>
          <w:highlight w:val="none"/>
        </w:rPr>
      </w:pPr>
    </w:p>
    <w:p w14:paraId="4462BE4C">
      <w:pPr>
        <w:spacing w:line="360" w:lineRule="auto"/>
        <w:ind w:left="-420" w:leftChars="-200" w:right="-420" w:rightChars="-200" w:firstLine="480" w:firstLineChars="200"/>
        <w:rPr>
          <w:rFonts w:ascii="宋体" w:hAnsi="宋体" w:cs="宋体"/>
          <w:color w:val="auto"/>
          <w:sz w:val="24"/>
          <w:highlight w:val="none"/>
        </w:rPr>
      </w:pPr>
    </w:p>
    <w:p w14:paraId="461B00FD">
      <w:pPr>
        <w:spacing w:line="360" w:lineRule="auto"/>
        <w:ind w:left="-420" w:leftChars="-200" w:right="-420" w:rightChars="-200"/>
        <w:rPr>
          <w:rFonts w:ascii="宋体" w:hAnsi="宋体" w:cs="宋体"/>
          <w:color w:val="auto"/>
          <w:sz w:val="24"/>
          <w:highlight w:val="none"/>
        </w:rPr>
      </w:pPr>
    </w:p>
    <w:p w14:paraId="57F9AE4E">
      <w:pPr>
        <w:spacing w:line="360" w:lineRule="auto"/>
        <w:ind w:left="-420" w:leftChars="-200" w:right="-420" w:rightChars="-200" w:firstLine="480" w:firstLineChars="200"/>
        <w:jc w:val="center"/>
        <w:outlineLvl w:val="0"/>
        <w:rPr>
          <w:rFonts w:ascii="宋体" w:hAnsi="宋体" w:cs="宋体"/>
          <w:color w:val="auto"/>
          <w:sz w:val="24"/>
          <w:highlight w:val="none"/>
        </w:rPr>
      </w:pPr>
    </w:p>
    <w:p w14:paraId="42612EF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9F123F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5378D1F">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4930163">
      <w:pPr>
        <w:spacing w:line="360" w:lineRule="auto"/>
        <w:jc w:val="center"/>
        <w:outlineLvl w:val="0"/>
        <w:rPr>
          <w:rFonts w:ascii="宋体" w:hAnsi="宋体" w:cs="宋体"/>
          <w:b/>
          <w:color w:val="auto"/>
          <w:kern w:val="0"/>
          <w:sz w:val="36"/>
          <w:szCs w:val="36"/>
          <w:highlight w:val="none"/>
        </w:rPr>
      </w:pPr>
    </w:p>
    <w:p w14:paraId="3827C67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72847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16A490">
      <w:pPr>
        <w:spacing w:line="360" w:lineRule="auto"/>
        <w:jc w:val="center"/>
        <w:outlineLvl w:val="0"/>
        <w:rPr>
          <w:rFonts w:ascii="宋体" w:hAnsi="宋体" w:cs="宋体"/>
          <w:b/>
          <w:color w:val="auto"/>
          <w:kern w:val="0"/>
          <w:sz w:val="36"/>
          <w:szCs w:val="36"/>
          <w:highlight w:val="none"/>
        </w:rPr>
      </w:pPr>
    </w:p>
    <w:p w14:paraId="2063D3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C2BCA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A6439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D920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A8BF72">
      <w:pPr>
        <w:snapToGrid w:val="0"/>
        <w:spacing w:line="360" w:lineRule="auto"/>
        <w:ind w:firstLine="480" w:firstLineChars="200"/>
        <w:rPr>
          <w:rFonts w:ascii="宋体" w:hAnsi="宋体" w:cs="宋体"/>
          <w:color w:val="auto"/>
          <w:sz w:val="24"/>
          <w:highlight w:val="none"/>
        </w:rPr>
      </w:pPr>
    </w:p>
    <w:p w14:paraId="77A9933E">
      <w:pPr>
        <w:spacing w:line="360" w:lineRule="auto"/>
        <w:ind w:firstLine="480" w:firstLineChars="200"/>
        <w:rPr>
          <w:rFonts w:ascii="宋体" w:hAnsi="宋体" w:cs="宋体"/>
          <w:color w:val="auto"/>
          <w:sz w:val="24"/>
          <w:highlight w:val="none"/>
        </w:rPr>
      </w:pPr>
    </w:p>
    <w:p w14:paraId="0AC4983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AE4745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p>
    <w:p w14:paraId="2029AA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】政府采购活动，郑重承诺：</w:t>
      </w:r>
    </w:p>
    <w:p w14:paraId="05EE926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8327C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07CB5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B6F25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788D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CFAAC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3D147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8AA84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DD996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CEE60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C49FF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DCDD0C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C9393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1F911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66E8EB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98038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8F8679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4870093">
      <w:pPr>
        <w:snapToGrid w:val="0"/>
        <w:spacing w:line="360" w:lineRule="auto"/>
        <w:ind w:right="480"/>
        <w:jc w:val="center"/>
        <w:rPr>
          <w:rFonts w:ascii="宋体" w:hAnsi="宋体" w:cs="宋体"/>
          <w:b/>
          <w:color w:val="auto"/>
          <w:kern w:val="0"/>
          <w:sz w:val="32"/>
          <w:szCs w:val="32"/>
          <w:highlight w:val="none"/>
        </w:rPr>
      </w:pPr>
    </w:p>
    <w:p w14:paraId="78A0D653">
      <w:pPr>
        <w:snapToGrid w:val="0"/>
        <w:spacing w:line="360" w:lineRule="auto"/>
        <w:ind w:right="480"/>
        <w:jc w:val="center"/>
        <w:rPr>
          <w:rFonts w:ascii="宋体" w:hAnsi="宋体" w:cs="宋体"/>
          <w:b/>
          <w:color w:val="auto"/>
          <w:kern w:val="0"/>
          <w:sz w:val="32"/>
          <w:szCs w:val="32"/>
          <w:highlight w:val="none"/>
        </w:rPr>
      </w:pPr>
    </w:p>
    <w:p w14:paraId="49852FB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D0326A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E7E9A5C">
      <w:pPr>
        <w:snapToGrid w:val="0"/>
        <w:spacing w:before="50" w:after="50" w:line="360" w:lineRule="auto"/>
        <w:ind w:firstLine="472" w:firstLineChars="196"/>
        <w:jc w:val="left"/>
        <w:rPr>
          <w:rFonts w:ascii="宋体" w:hAnsi="宋体" w:cs="宋体"/>
          <w:b/>
          <w:bCs/>
          <w:color w:val="auto"/>
          <w:sz w:val="24"/>
          <w:highlight w:val="none"/>
        </w:rPr>
      </w:pPr>
      <w:r>
        <w:rPr>
          <w:rFonts w:hint="eastAsia" w:ascii="宋体" w:hAnsi="宋体" w:cs="宋体"/>
          <w:b/>
          <w:bCs/>
          <w:color w:val="auto"/>
          <w:sz w:val="24"/>
          <w:highlight w:val="none"/>
        </w:rPr>
        <w:t>专门面向中小</w:t>
      </w:r>
      <w:r>
        <w:rPr>
          <w:rFonts w:hint="eastAsia" w:ascii="宋体" w:hAnsi="宋体" w:cs="宋体"/>
          <w:b/>
          <w:bCs/>
          <w:color w:val="auto"/>
          <w:sz w:val="24"/>
          <w:highlight w:val="none"/>
          <w:lang w:val="en-US" w:eastAsia="zh-CN"/>
        </w:rPr>
        <w:t>微</w:t>
      </w:r>
      <w:r>
        <w:rPr>
          <w:rFonts w:hint="eastAsia" w:ascii="宋体" w:hAnsi="宋体" w:cs="宋体"/>
          <w:b/>
          <w:bCs/>
          <w:color w:val="auto"/>
          <w:sz w:val="24"/>
          <w:highlight w:val="none"/>
        </w:rPr>
        <w:t>企业，服务全部由符合政策要求的中小企业（或小微企业）承接的，提供相应的中小企业声明函（附件</w:t>
      </w:r>
      <w:r>
        <w:rPr>
          <w:rFonts w:ascii="宋体" w:hAnsi="宋体" w:cs="宋体"/>
          <w:b/>
          <w:bCs/>
          <w:color w:val="auto"/>
          <w:sz w:val="24"/>
          <w:highlight w:val="none"/>
        </w:rPr>
        <w:t>7</w:t>
      </w:r>
      <w:r>
        <w:rPr>
          <w:rFonts w:hint="eastAsia" w:ascii="宋体" w:hAnsi="宋体" w:cs="宋体"/>
          <w:b/>
          <w:bCs/>
          <w:color w:val="auto"/>
          <w:sz w:val="24"/>
          <w:highlight w:val="none"/>
        </w:rPr>
        <w:t xml:space="preserve">）。 </w:t>
      </w:r>
    </w:p>
    <w:p w14:paraId="048D4FDA">
      <w:pPr>
        <w:widowControl/>
        <w:spacing w:line="360" w:lineRule="auto"/>
        <w:ind w:firstLine="480"/>
        <w:jc w:val="left"/>
        <w:rPr>
          <w:rFonts w:ascii="宋体" w:hAnsi="宋体" w:cs="宋体"/>
          <w:color w:val="auto"/>
          <w:sz w:val="24"/>
          <w:highlight w:val="none"/>
        </w:rPr>
      </w:pPr>
    </w:p>
    <w:p w14:paraId="063333C9">
      <w:pPr>
        <w:widowControl/>
        <w:spacing w:line="360" w:lineRule="auto"/>
        <w:ind w:left="150"/>
        <w:jc w:val="center"/>
        <w:rPr>
          <w:rFonts w:ascii="宋体" w:hAnsi="宋体" w:cs="宋体"/>
          <w:b/>
          <w:color w:val="auto"/>
          <w:kern w:val="0"/>
          <w:sz w:val="32"/>
          <w:szCs w:val="32"/>
          <w:highlight w:val="none"/>
        </w:rPr>
      </w:pPr>
    </w:p>
    <w:p w14:paraId="4BBECB8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DF51C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50030C2">
      <w:pPr>
        <w:rPr>
          <w:rFonts w:ascii="宋体" w:hAnsi="宋体" w:cs="宋体"/>
          <w:color w:val="auto"/>
          <w:highlight w:val="none"/>
        </w:rPr>
      </w:pPr>
    </w:p>
    <w:p w14:paraId="5AD2A7EF">
      <w:pPr>
        <w:snapToGrid w:val="0"/>
        <w:spacing w:line="360" w:lineRule="auto"/>
        <w:ind w:right="480"/>
        <w:jc w:val="center"/>
        <w:rPr>
          <w:rFonts w:ascii="宋体" w:hAnsi="宋体" w:cs="宋体"/>
          <w:b/>
          <w:color w:val="auto"/>
          <w:kern w:val="0"/>
          <w:sz w:val="32"/>
          <w:szCs w:val="32"/>
          <w:highlight w:val="none"/>
        </w:rPr>
      </w:pPr>
    </w:p>
    <w:p w14:paraId="51ADCC5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79D7F7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7894C8">
      <w:pPr>
        <w:spacing w:line="360" w:lineRule="auto"/>
        <w:jc w:val="center"/>
        <w:outlineLvl w:val="0"/>
        <w:rPr>
          <w:rFonts w:ascii="宋体" w:hAnsi="宋体" w:cs="宋体"/>
          <w:b/>
          <w:color w:val="auto"/>
          <w:kern w:val="0"/>
          <w:sz w:val="24"/>
          <w:highlight w:val="none"/>
        </w:rPr>
      </w:pPr>
    </w:p>
    <w:p w14:paraId="506382F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FC179F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57764EF6">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10BED25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61C477CA">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3230E8E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项目小组人员名单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D2CD7A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13832B6E">
      <w:pPr>
        <w:snapToGrid w:val="0"/>
        <w:spacing w:line="360" w:lineRule="auto"/>
        <w:jc w:val="center"/>
        <w:rPr>
          <w:rFonts w:ascii="宋体" w:hAnsi="宋体" w:cs="宋体"/>
          <w:b/>
          <w:color w:val="auto"/>
          <w:kern w:val="0"/>
          <w:sz w:val="32"/>
          <w:szCs w:val="32"/>
          <w:highlight w:val="none"/>
          <w:lang w:val="zh-CN"/>
        </w:rPr>
      </w:pPr>
    </w:p>
    <w:p w14:paraId="4B1DC903">
      <w:pPr>
        <w:snapToGrid w:val="0"/>
        <w:spacing w:line="360" w:lineRule="auto"/>
        <w:jc w:val="center"/>
        <w:rPr>
          <w:rFonts w:ascii="宋体" w:hAnsi="宋体" w:cs="宋体"/>
          <w:b/>
          <w:color w:val="auto"/>
          <w:kern w:val="0"/>
          <w:sz w:val="32"/>
          <w:szCs w:val="32"/>
          <w:highlight w:val="none"/>
          <w:lang w:val="zh-CN"/>
        </w:rPr>
      </w:pPr>
    </w:p>
    <w:p w14:paraId="5D36BBE5">
      <w:pPr>
        <w:snapToGrid w:val="0"/>
        <w:spacing w:line="360" w:lineRule="auto"/>
        <w:jc w:val="center"/>
        <w:rPr>
          <w:rFonts w:ascii="宋体" w:hAnsi="宋体" w:cs="宋体"/>
          <w:b/>
          <w:color w:val="auto"/>
          <w:kern w:val="0"/>
          <w:sz w:val="32"/>
          <w:szCs w:val="32"/>
          <w:highlight w:val="none"/>
          <w:lang w:val="zh-CN"/>
        </w:rPr>
      </w:pPr>
    </w:p>
    <w:p w14:paraId="73B901F4">
      <w:pPr>
        <w:snapToGrid w:val="0"/>
        <w:spacing w:line="360" w:lineRule="auto"/>
        <w:jc w:val="center"/>
        <w:rPr>
          <w:rFonts w:ascii="宋体" w:hAnsi="宋体" w:cs="宋体"/>
          <w:b/>
          <w:color w:val="auto"/>
          <w:kern w:val="0"/>
          <w:sz w:val="32"/>
          <w:szCs w:val="32"/>
          <w:highlight w:val="none"/>
          <w:lang w:val="zh-CN"/>
        </w:rPr>
      </w:pPr>
    </w:p>
    <w:p w14:paraId="53850F1D">
      <w:pPr>
        <w:snapToGrid w:val="0"/>
        <w:spacing w:line="360" w:lineRule="auto"/>
        <w:jc w:val="center"/>
        <w:rPr>
          <w:rFonts w:ascii="宋体" w:hAnsi="宋体" w:cs="宋体"/>
          <w:b/>
          <w:color w:val="auto"/>
          <w:kern w:val="0"/>
          <w:sz w:val="32"/>
          <w:szCs w:val="32"/>
          <w:highlight w:val="none"/>
          <w:lang w:val="zh-CN"/>
        </w:rPr>
      </w:pPr>
    </w:p>
    <w:p w14:paraId="02FC8D0C">
      <w:pPr>
        <w:snapToGrid w:val="0"/>
        <w:spacing w:line="360" w:lineRule="auto"/>
        <w:jc w:val="center"/>
        <w:rPr>
          <w:rFonts w:ascii="宋体" w:hAnsi="宋体" w:cs="宋体"/>
          <w:b/>
          <w:color w:val="auto"/>
          <w:kern w:val="0"/>
          <w:sz w:val="32"/>
          <w:szCs w:val="32"/>
          <w:highlight w:val="none"/>
          <w:lang w:val="zh-CN"/>
        </w:rPr>
      </w:pPr>
    </w:p>
    <w:p w14:paraId="471C68B4">
      <w:pPr>
        <w:snapToGrid w:val="0"/>
        <w:spacing w:line="360" w:lineRule="auto"/>
        <w:jc w:val="center"/>
        <w:rPr>
          <w:rFonts w:ascii="宋体" w:hAnsi="宋体" w:cs="宋体"/>
          <w:b/>
          <w:color w:val="auto"/>
          <w:kern w:val="0"/>
          <w:sz w:val="32"/>
          <w:szCs w:val="32"/>
          <w:highlight w:val="none"/>
          <w:lang w:val="zh-CN"/>
        </w:rPr>
      </w:pPr>
    </w:p>
    <w:p w14:paraId="6276911E">
      <w:pPr>
        <w:snapToGrid w:val="0"/>
        <w:spacing w:line="360" w:lineRule="auto"/>
        <w:jc w:val="center"/>
        <w:rPr>
          <w:rFonts w:ascii="宋体" w:hAnsi="宋体" w:cs="宋体"/>
          <w:b/>
          <w:color w:val="auto"/>
          <w:kern w:val="0"/>
          <w:sz w:val="32"/>
          <w:szCs w:val="32"/>
          <w:highlight w:val="none"/>
          <w:lang w:val="zh-CN"/>
        </w:rPr>
      </w:pPr>
    </w:p>
    <w:p w14:paraId="173140F1">
      <w:pPr>
        <w:snapToGrid w:val="0"/>
        <w:spacing w:line="360" w:lineRule="auto"/>
        <w:jc w:val="center"/>
        <w:rPr>
          <w:rFonts w:ascii="宋体" w:hAnsi="宋体" w:cs="宋体"/>
          <w:b/>
          <w:color w:val="auto"/>
          <w:kern w:val="0"/>
          <w:sz w:val="32"/>
          <w:szCs w:val="32"/>
          <w:highlight w:val="none"/>
          <w:lang w:val="zh-CN"/>
        </w:rPr>
      </w:pPr>
    </w:p>
    <w:p w14:paraId="79003108">
      <w:pPr>
        <w:snapToGrid w:val="0"/>
        <w:spacing w:line="360" w:lineRule="auto"/>
        <w:jc w:val="center"/>
        <w:rPr>
          <w:rFonts w:ascii="宋体" w:hAnsi="宋体" w:cs="宋体"/>
          <w:b/>
          <w:color w:val="auto"/>
          <w:kern w:val="0"/>
          <w:sz w:val="32"/>
          <w:szCs w:val="32"/>
          <w:highlight w:val="none"/>
          <w:lang w:val="zh-CN"/>
        </w:rPr>
      </w:pPr>
    </w:p>
    <w:p w14:paraId="2A44216E">
      <w:pPr>
        <w:snapToGrid w:val="0"/>
        <w:spacing w:line="360" w:lineRule="auto"/>
        <w:jc w:val="center"/>
        <w:rPr>
          <w:rFonts w:ascii="宋体" w:hAnsi="宋体" w:cs="宋体"/>
          <w:b/>
          <w:color w:val="auto"/>
          <w:kern w:val="0"/>
          <w:sz w:val="32"/>
          <w:szCs w:val="32"/>
          <w:highlight w:val="none"/>
          <w:lang w:val="zh-CN"/>
        </w:rPr>
      </w:pPr>
    </w:p>
    <w:p w14:paraId="34D570C5">
      <w:pPr>
        <w:snapToGrid w:val="0"/>
        <w:spacing w:line="360" w:lineRule="auto"/>
        <w:jc w:val="center"/>
        <w:rPr>
          <w:rFonts w:ascii="宋体" w:hAnsi="宋体" w:cs="宋体"/>
          <w:b/>
          <w:color w:val="auto"/>
          <w:kern w:val="0"/>
          <w:sz w:val="32"/>
          <w:szCs w:val="32"/>
          <w:highlight w:val="none"/>
          <w:lang w:val="zh-CN"/>
        </w:rPr>
      </w:pPr>
    </w:p>
    <w:p w14:paraId="3F695A03">
      <w:pPr>
        <w:rPr>
          <w:rFonts w:ascii="宋体" w:hAnsi="宋体" w:cs="宋体"/>
          <w:b/>
          <w:color w:val="auto"/>
          <w:kern w:val="0"/>
          <w:sz w:val="32"/>
          <w:szCs w:val="32"/>
          <w:highlight w:val="none"/>
          <w:lang w:val="zh-CN"/>
        </w:rPr>
      </w:pPr>
    </w:p>
    <w:p w14:paraId="187021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D75ED4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367D4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p>
    <w:p w14:paraId="0F269E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】招标的有关活动，并对此项目进行投标。为此：</w:t>
      </w:r>
    </w:p>
    <w:p w14:paraId="1641D8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4FBA4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838D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1E06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6F55A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662C67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0A160E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4FC80B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EB6D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68CE7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2887E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AA95B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E79B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59EF0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D058A7">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项目小组人员名单；</w:t>
      </w:r>
    </w:p>
    <w:p w14:paraId="5F6E6F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690E559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4FE35C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DDFA0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1FB009D">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eastAsia="zh-CN"/>
        </w:rPr>
        <w:t>。</w:t>
      </w:r>
    </w:p>
    <w:p w14:paraId="2EE948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6DD292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F4AF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6890A2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526B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A4DF4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B00B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AC3E4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F9AC4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68F2E2">
      <w:pPr>
        <w:snapToGrid w:val="0"/>
        <w:spacing w:line="360" w:lineRule="auto"/>
        <w:ind w:left="420" w:leftChars="200" w:firstLine="4200" w:firstLineChars="1750"/>
        <w:rPr>
          <w:rFonts w:ascii="宋体" w:hAnsi="宋体" w:cs="宋体"/>
          <w:color w:val="auto"/>
          <w:kern w:val="0"/>
          <w:sz w:val="24"/>
          <w:highlight w:val="none"/>
          <w:u w:val="single"/>
        </w:rPr>
      </w:pPr>
    </w:p>
    <w:p w14:paraId="66C24A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07D9A8">
      <w:pPr>
        <w:snapToGrid w:val="0"/>
        <w:spacing w:line="360" w:lineRule="auto"/>
        <w:jc w:val="center"/>
        <w:rPr>
          <w:rFonts w:ascii="宋体" w:hAnsi="宋体" w:cs="宋体"/>
          <w:b/>
          <w:color w:val="auto"/>
          <w:kern w:val="0"/>
          <w:sz w:val="32"/>
          <w:szCs w:val="32"/>
          <w:highlight w:val="none"/>
        </w:rPr>
      </w:pPr>
    </w:p>
    <w:p w14:paraId="0DAD3912">
      <w:pPr>
        <w:snapToGrid w:val="0"/>
        <w:spacing w:line="360" w:lineRule="auto"/>
        <w:rPr>
          <w:rFonts w:ascii="宋体" w:hAnsi="宋体" w:cs="宋体"/>
          <w:color w:val="auto"/>
          <w:sz w:val="24"/>
          <w:highlight w:val="none"/>
        </w:rPr>
      </w:pPr>
    </w:p>
    <w:p w14:paraId="1C485E2F">
      <w:pPr>
        <w:jc w:val="center"/>
        <w:rPr>
          <w:rFonts w:ascii="宋体" w:hAnsi="宋体" w:cs="宋体"/>
          <w:b/>
          <w:color w:val="auto"/>
          <w:kern w:val="0"/>
          <w:sz w:val="32"/>
          <w:szCs w:val="32"/>
          <w:highlight w:val="none"/>
        </w:rPr>
      </w:pPr>
    </w:p>
    <w:p w14:paraId="67BCF69B">
      <w:pPr>
        <w:jc w:val="center"/>
        <w:rPr>
          <w:rFonts w:ascii="宋体" w:hAnsi="宋体" w:cs="宋体"/>
          <w:b/>
          <w:color w:val="auto"/>
          <w:kern w:val="0"/>
          <w:sz w:val="32"/>
          <w:szCs w:val="32"/>
          <w:highlight w:val="none"/>
        </w:rPr>
      </w:pPr>
    </w:p>
    <w:p w14:paraId="6443D3F8">
      <w:pPr>
        <w:jc w:val="center"/>
        <w:rPr>
          <w:rFonts w:ascii="宋体" w:hAnsi="宋体" w:cs="宋体"/>
          <w:b/>
          <w:color w:val="auto"/>
          <w:kern w:val="0"/>
          <w:sz w:val="32"/>
          <w:szCs w:val="32"/>
          <w:highlight w:val="none"/>
        </w:rPr>
      </w:pPr>
    </w:p>
    <w:p w14:paraId="0A424B7A">
      <w:pPr>
        <w:jc w:val="center"/>
        <w:rPr>
          <w:rFonts w:ascii="宋体" w:hAnsi="宋体" w:cs="宋体"/>
          <w:b/>
          <w:color w:val="auto"/>
          <w:kern w:val="0"/>
          <w:sz w:val="32"/>
          <w:szCs w:val="32"/>
          <w:highlight w:val="none"/>
        </w:rPr>
      </w:pPr>
    </w:p>
    <w:p w14:paraId="64B245BD">
      <w:pPr>
        <w:jc w:val="center"/>
        <w:rPr>
          <w:rFonts w:ascii="宋体" w:hAnsi="宋体" w:cs="宋体"/>
          <w:b/>
          <w:color w:val="auto"/>
          <w:kern w:val="0"/>
          <w:sz w:val="32"/>
          <w:szCs w:val="32"/>
          <w:highlight w:val="none"/>
        </w:rPr>
      </w:pPr>
    </w:p>
    <w:p w14:paraId="42E36E83">
      <w:pPr>
        <w:jc w:val="center"/>
        <w:rPr>
          <w:rFonts w:ascii="宋体" w:hAnsi="宋体" w:cs="宋体"/>
          <w:b/>
          <w:color w:val="auto"/>
          <w:kern w:val="0"/>
          <w:sz w:val="32"/>
          <w:szCs w:val="32"/>
          <w:highlight w:val="none"/>
        </w:rPr>
      </w:pPr>
    </w:p>
    <w:p w14:paraId="2E91353A">
      <w:pPr>
        <w:jc w:val="center"/>
        <w:rPr>
          <w:rFonts w:ascii="宋体" w:hAnsi="宋体" w:cs="宋体"/>
          <w:b/>
          <w:color w:val="auto"/>
          <w:kern w:val="0"/>
          <w:sz w:val="32"/>
          <w:szCs w:val="32"/>
          <w:highlight w:val="none"/>
        </w:rPr>
      </w:pPr>
    </w:p>
    <w:p w14:paraId="52E655B8">
      <w:pPr>
        <w:jc w:val="center"/>
        <w:rPr>
          <w:rFonts w:ascii="宋体" w:hAnsi="宋体" w:cs="宋体"/>
          <w:b/>
          <w:color w:val="auto"/>
          <w:kern w:val="0"/>
          <w:sz w:val="32"/>
          <w:szCs w:val="32"/>
          <w:highlight w:val="none"/>
        </w:rPr>
      </w:pPr>
    </w:p>
    <w:p w14:paraId="6C2DFF9E">
      <w:pPr>
        <w:jc w:val="center"/>
        <w:rPr>
          <w:rFonts w:ascii="宋体" w:hAnsi="宋体" w:cs="宋体"/>
          <w:b/>
          <w:color w:val="auto"/>
          <w:kern w:val="0"/>
          <w:sz w:val="32"/>
          <w:szCs w:val="32"/>
          <w:highlight w:val="none"/>
        </w:rPr>
      </w:pPr>
    </w:p>
    <w:p w14:paraId="290C5B50">
      <w:pPr>
        <w:jc w:val="center"/>
        <w:rPr>
          <w:rFonts w:ascii="宋体" w:hAnsi="宋体" w:cs="宋体"/>
          <w:b/>
          <w:color w:val="auto"/>
          <w:kern w:val="0"/>
          <w:sz w:val="32"/>
          <w:szCs w:val="32"/>
          <w:highlight w:val="none"/>
        </w:rPr>
      </w:pPr>
    </w:p>
    <w:p w14:paraId="7065F31E">
      <w:pPr>
        <w:jc w:val="center"/>
        <w:rPr>
          <w:rFonts w:ascii="宋体" w:hAnsi="宋体" w:cs="宋体"/>
          <w:b/>
          <w:color w:val="auto"/>
          <w:kern w:val="0"/>
          <w:sz w:val="32"/>
          <w:szCs w:val="32"/>
          <w:highlight w:val="none"/>
        </w:rPr>
      </w:pPr>
    </w:p>
    <w:p w14:paraId="6639C125">
      <w:pPr>
        <w:jc w:val="center"/>
        <w:rPr>
          <w:rFonts w:ascii="宋体" w:hAnsi="宋体" w:cs="宋体"/>
          <w:b/>
          <w:color w:val="auto"/>
          <w:kern w:val="0"/>
          <w:sz w:val="32"/>
          <w:szCs w:val="32"/>
          <w:highlight w:val="none"/>
        </w:rPr>
      </w:pPr>
    </w:p>
    <w:p w14:paraId="0C32A5D5">
      <w:pPr>
        <w:jc w:val="center"/>
        <w:rPr>
          <w:rFonts w:ascii="宋体" w:hAnsi="宋体" w:cs="宋体"/>
          <w:b/>
          <w:color w:val="auto"/>
          <w:kern w:val="0"/>
          <w:sz w:val="32"/>
          <w:szCs w:val="32"/>
          <w:highlight w:val="none"/>
        </w:rPr>
      </w:pPr>
    </w:p>
    <w:p w14:paraId="28933CA3">
      <w:pPr>
        <w:jc w:val="center"/>
        <w:rPr>
          <w:rFonts w:ascii="宋体" w:hAnsi="宋体" w:cs="宋体"/>
          <w:b/>
          <w:color w:val="auto"/>
          <w:kern w:val="0"/>
          <w:sz w:val="32"/>
          <w:szCs w:val="32"/>
          <w:highlight w:val="none"/>
        </w:rPr>
      </w:pPr>
    </w:p>
    <w:p w14:paraId="5577C669">
      <w:pPr>
        <w:jc w:val="center"/>
        <w:rPr>
          <w:rFonts w:ascii="宋体" w:hAnsi="宋体" w:cs="宋体"/>
          <w:b/>
          <w:color w:val="auto"/>
          <w:kern w:val="0"/>
          <w:sz w:val="32"/>
          <w:szCs w:val="32"/>
          <w:highlight w:val="none"/>
        </w:rPr>
      </w:pPr>
    </w:p>
    <w:p w14:paraId="140AC7D6">
      <w:pPr>
        <w:jc w:val="center"/>
        <w:rPr>
          <w:rFonts w:ascii="宋体" w:hAnsi="宋体" w:cs="宋体"/>
          <w:b/>
          <w:color w:val="auto"/>
          <w:kern w:val="0"/>
          <w:sz w:val="32"/>
          <w:szCs w:val="32"/>
          <w:highlight w:val="none"/>
        </w:rPr>
      </w:pPr>
    </w:p>
    <w:p w14:paraId="17B22932">
      <w:pPr>
        <w:jc w:val="center"/>
        <w:rPr>
          <w:rFonts w:ascii="宋体" w:hAnsi="宋体" w:cs="宋体"/>
          <w:b/>
          <w:color w:val="auto"/>
          <w:kern w:val="0"/>
          <w:sz w:val="32"/>
          <w:szCs w:val="32"/>
          <w:highlight w:val="none"/>
        </w:rPr>
      </w:pPr>
    </w:p>
    <w:p w14:paraId="554A8F9E">
      <w:pPr>
        <w:pStyle w:val="3"/>
        <w:rPr>
          <w:color w:val="auto"/>
          <w:highlight w:val="none"/>
          <w:lang w:val="en-US"/>
        </w:rPr>
      </w:pPr>
    </w:p>
    <w:p w14:paraId="700BE9E0">
      <w:pPr>
        <w:jc w:val="center"/>
        <w:rPr>
          <w:rFonts w:ascii="宋体" w:hAnsi="宋体" w:cs="宋体"/>
          <w:b/>
          <w:color w:val="auto"/>
          <w:kern w:val="0"/>
          <w:sz w:val="32"/>
          <w:szCs w:val="32"/>
          <w:highlight w:val="none"/>
        </w:rPr>
      </w:pPr>
    </w:p>
    <w:p w14:paraId="1B2FE85C">
      <w:pPr>
        <w:jc w:val="center"/>
        <w:rPr>
          <w:rFonts w:ascii="宋体" w:hAnsi="宋体" w:cs="宋体"/>
          <w:b/>
          <w:color w:val="auto"/>
          <w:kern w:val="0"/>
          <w:sz w:val="32"/>
          <w:szCs w:val="32"/>
          <w:highlight w:val="none"/>
        </w:rPr>
      </w:pPr>
    </w:p>
    <w:p w14:paraId="7379BA4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998F1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19B8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48EB3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86067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8E602F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C628F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0D9C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2AA4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66AE16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11F2827">
      <w:pPr>
        <w:snapToGrid w:val="0"/>
        <w:spacing w:line="360" w:lineRule="auto"/>
        <w:rPr>
          <w:rFonts w:ascii="宋体" w:hAnsi="宋体" w:cs="宋体"/>
          <w:color w:val="auto"/>
          <w:sz w:val="24"/>
          <w:highlight w:val="none"/>
        </w:rPr>
      </w:pPr>
    </w:p>
    <w:p w14:paraId="22AC1B0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B6CADC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C8C064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CBA86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7E88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A56FF7B">
      <w:pPr>
        <w:jc w:val="center"/>
        <w:rPr>
          <w:rFonts w:ascii="宋体" w:hAnsi="宋体" w:cs="宋体"/>
          <w:b/>
          <w:color w:val="auto"/>
          <w:kern w:val="0"/>
          <w:sz w:val="32"/>
          <w:szCs w:val="32"/>
          <w:highlight w:val="none"/>
        </w:rPr>
      </w:pPr>
    </w:p>
    <w:p w14:paraId="189CBCB8">
      <w:pPr>
        <w:rPr>
          <w:rFonts w:ascii="宋体" w:hAnsi="宋体" w:cs="宋体"/>
          <w:color w:val="auto"/>
          <w:highlight w:val="none"/>
        </w:rPr>
      </w:pPr>
    </w:p>
    <w:p w14:paraId="691A7C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BBDE0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3FAD9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ABB34A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F819D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ECF7E6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111A737">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3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B416B3">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93908AB">
            <w:pPr>
              <w:pStyle w:val="148"/>
              <w:adjustRightInd w:val="0"/>
              <w:spacing w:line="360" w:lineRule="auto"/>
              <w:rPr>
                <w:rFonts w:hAnsi="宋体" w:cs="宋体"/>
                <w:bCs/>
                <w:color w:val="auto"/>
                <w:sz w:val="24"/>
                <w:highlight w:val="none"/>
              </w:rPr>
            </w:pPr>
          </w:p>
        </w:tc>
      </w:tr>
    </w:tbl>
    <w:p w14:paraId="3230AA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D207B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D432AC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1FCB60">
      <w:pPr>
        <w:jc w:val="center"/>
        <w:rPr>
          <w:rFonts w:ascii="宋体" w:hAnsi="宋体" w:cs="宋体"/>
          <w:b/>
          <w:color w:val="auto"/>
          <w:kern w:val="0"/>
          <w:sz w:val="32"/>
          <w:szCs w:val="32"/>
          <w:highlight w:val="none"/>
        </w:rPr>
      </w:pPr>
    </w:p>
    <w:p w14:paraId="56F32A4A">
      <w:pPr>
        <w:jc w:val="center"/>
        <w:rPr>
          <w:rFonts w:ascii="宋体" w:hAnsi="宋体" w:cs="宋体"/>
          <w:b/>
          <w:color w:val="auto"/>
          <w:kern w:val="0"/>
          <w:sz w:val="32"/>
          <w:szCs w:val="32"/>
          <w:highlight w:val="none"/>
        </w:rPr>
      </w:pPr>
    </w:p>
    <w:p w14:paraId="28656D07">
      <w:pPr>
        <w:jc w:val="center"/>
        <w:rPr>
          <w:rFonts w:ascii="宋体" w:hAnsi="宋体" w:cs="宋体"/>
          <w:b/>
          <w:color w:val="auto"/>
          <w:kern w:val="0"/>
          <w:sz w:val="32"/>
          <w:szCs w:val="32"/>
          <w:highlight w:val="none"/>
        </w:rPr>
      </w:pPr>
    </w:p>
    <w:p w14:paraId="33E9FB99">
      <w:pPr>
        <w:jc w:val="center"/>
        <w:rPr>
          <w:rFonts w:ascii="宋体" w:hAnsi="宋体" w:cs="宋体"/>
          <w:b/>
          <w:color w:val="auto"/>
          <w:kern w:val="0"/>
          <w:sz w:val="32"/>
          <w:szCs w:val="32"/>
          <w:highlight w:val="none"/>
        </w:rPr>
      </w:pPr>
    </w:p>
    <w:p w14:paraId="46F87E27">
      <w:pPr>
        <w:jc w:val="center"/>
        <w:rPr>
          <w:rFonts w:ascii="宋体" w:hAnsi="宋体" w:cs="宋体"/>
          <w:b/>
          <w:color w:val="auto"/>
          <w:kern w:val="0"/>
          <w:sz w:val="32"/>
          <w:szCs w:val="32"/>
          <w:highlight w:val="none"/>
        </w:rPr>
      </w:pPr>
    </w:p>
    <w:p w14:paraId="3613AE68">
      <w:pPr>
        <w:jc w:val="center"/>
        <w:rPr>
          <w:rFonts w:ascii="宋体" w:hAnsi="宋体" w:cs="宋体"/>
          <w:b/>
          <w:color w:val="auto"/>
          <w:kern w:val="0"/>
          <w:sz w:val="32"/>
          <w:szCs w:val="32"/>
          <w:highlight w:val="none"/>
        </w:rPr>
      </w:pPr>
    </w:p>
    <w:p w14:paraId="05A788A5">
      <w:pPr>
        <w:jc w:val="center"/>
        <w:rPr>
          <w:rFonts w:ascii="宋体" w:hAnsi="宋体" w:cs="宋体"/>
          <w:b/>
          <w:color w:val="auto"/>
          <w:kern w:val="0"/>
          <w:sz w:val="32"/>
          <w:szCs w:val="32"/>
          <w:highlight w:val="none"/>
        </w:rPr>
      </w:pPr>
    </w:p>
    <w:p w14:paraId="73FC6272">
      <w:pPr>
        <w:jc w:val="center"/>
        <w:rPr>
          <w:rFonts w:ascii="宋体" w:hAnsi="宋体" w:cs="宋体"/>
          <w:b/>
          <w:color w:val="auto"/>
          <w:kern w:val="0"/>
          <w:sz w:val="32"/>
          <w:szCs w:val="32"/>
          <w:highlight w:val="none"/>
        </w:rPr>
      </w:pPr>
    </w:p>
    <w:p w14:paraId="1970BECF">
      <w:pPr>
        <w:jc w:val="center"/>
        <w:rPr>
          <w:rFonts w:ascii="宋体" w:hAnsi="宋体" w:cs="宋体"/>
          <w:b/>
          <w:color w:val="auto"/>
          <w:kern w:val="0"/>
          <w:sz w:val="32"/>
          <w:szCs w:val="32"/>
          <w:highlight w:val="none"/>
        </w:rPr>
      </w:pPr>
    </w:p>
    <w:p w14:paraId="33093FD5">
      <w:pPr>
        <w:jc w:val="center"/>
        <w:rPr>
          <w:rFonts w:ascii="宋体" w:hAnsi="宋体" w:cs="宋体"/>
          <w:b/>
          <w:color w:val="auto"/>
          <w:kern w:val="0"/>
          <w:sz w:val="32"/>
          <w:szCs w:val="32"/>
          <w:highlight w:val="none"/>
        </w:rPr>
      </w:pPr>
    </w:p>
    <w:p w14:paraId="70AD62D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652E3A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A45FF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17ECB4">
      <w:pPr>
        <w:snapToGrid w:val="0"/>
        <w:spacing w:line="360" w:lineRule="auto"/>
        <w:rPr>
          <w:rFonts w:ascii="宋体" w:hAnsi="宋体" w:cs="宋体"/>
          <w:color w:val="auto"/>
          <w:kern w:val="0"/>
          <w:sz w:val="24"/>
          <w:highlight w:val="none"/>
        </w:rPr>
      </w:pPr>
    </w:p>
    <w:p w14:paraId="60310FBE">
      <w:pPr>
        <w:numPr>
          <w:ilvl w:val="0"/>
          <w:numId w:val="1"/>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0735F9AA">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D02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16E744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16D9A5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07711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B14F3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EA5AE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BA2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AC18E8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50AA555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481A36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85C7EF6">
            <w:pPr>
              <w:rPr>
                <w:rFonts w:ascii="宋体" w:hAnsi="宋体" w:cs="宋体"/>
                <w:color w:val="auto"/>
                <w:sz w:val="24"/>
                <w:highlight w:val="none"/>
              </w:rPr>
            </w:pPr>
          </w:p>
          <w:p w14:paraId="1127E427">
            <w:pPr>
              <w:rPr>
                <w:rFonts w:ascii="宋体" w:hAnsi="宋体" w:cs="宋体"/>
                <w:color w:val="auto"/>
                <w:sz w:val="24"/>
                <w:highlight w:val="none"/>
              </w:rPr>
            </w:pPr>
            <w:r>
              <w:rPr>
                <w:rFonts w:hint="eastAsia" w:ascii="宋体" w:hAnsi="宋体" w:cs="宋体"/>
                <w:color w:val="auto"/>
                <w:sz w:val="24"/>
                <w:highlight w:val="none"/>
              </w:rPr>
              <w:t>见投标文件</w:t>
            </w:r>
          </w:p>
          <w:p w14:paraId="74F2C97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DC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04B1F3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6F9110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EFA82A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E90FD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02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87055B1">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7BD63C3C">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E4A7201">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8B5A83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24442CE6">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6E56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199230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17ED28D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BC5BF74">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4CED65A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CD6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C4022B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EAFC53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99D7D7C">
            <w:pPr>
              <w:rPr>
                <w:rFonts w:hint="eastAsia" w:ascii="宋体" w:hAnsi="宋体" w:cs="宋体"/>
                <w:b w:val="0"/>
                <w:bCs w:val="0"/>
                <w:color w:val="auto"/>
                <w:kern w:val="0"/>
                <w:sz w:val="24"/>
                <w:highlight w:val="none"/>
              </w:rPr>
            </w:pPr>
          </w:p>
        </w:tc>
        <w:tc>
          <w:tcPr>
            <w:tcW w:w="1418" w:type="dxa"/>
          </w:tcPr>
          <w:p w14:paraId="6E959BFE">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CA1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1F7EAED">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3CE7B7E2">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27F2A86">
            <w:pPr>
              <w:rPr>
                <w:rFonts w:hint="eastAsia" w:ascii="宋体" w:hAnsi="宋体" w:cs="宋体"/>
                <w:b w:val="0"/>
                <w:bCs w:val="0"/>
                <w:color w:val="auto"/>
                <w:kern w:val="0"/>
                <w:sz w:val="24"/>
                <w:highlight w:val="none"/>
              </w:rPr>
            </w:pPr>
          </w:p>
        </w:tc>
        <w:tc>
          <w:tcPr>
            <w:tcW w:w="1418" w:type="dxa"/>
          </w:tcPr>
          <w:p w14:paraId="782B059C">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2CA7827">
      <w:pPr>
        <w:numPr>
          <w:ilvl w:val="0"/>
          <w:numId w:val="0"/>
        </w:numPr>
        <w:jc w:val="center"/>
        <w:rPr>
          <w:rFonts w:hint="eastAsia" w:ascii="宋体" w:hAnsi="宋体" w:cs="宋体"/>
          <w:b/>
          <w:color w:val="auto"/>
          <w:kern w:val="0"/>
          <w:sz w:val="32"/>
          <w:szCs w:val="32"/>
          <w:highlight w:val="none"/>
        </w:rPr>
      </w:pPr>
    </w:p>
    <w:p w14:paraId="0EC61DD3">
      <w:pPr>
        <w:jc w:val="center"/>
        <w:rPr>
          <w:rFonts w:ascii="宋体" w:hAnsi="宋体" w:cs="宋体"/>
          <w:b/>
          <w:color w:val="auto"/>
          <w:kern w:val="0"/>
          <w:sz w:val="32"/>
          <w:szCs w:val="32"/>
          <w:highlight w:val="none"/>
        </w:rPr>
      </w:pPr>
    </w:p>
    <w:p w14:paraId="77FD5E7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494185B">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587043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19144A8">
      <w:pPr>
        <w:jc w:val="center"/>
        <w:rPr>
          <w:rFonts w:ascii="宋体" w:hAnsi="宋体" w:cs="宋体"/>
          <w:b/>
          <w:color w:val="auto"/>
          <w:kern w:val="0"/>
          <w:sz w:val="32"/>
          <w:szCs w:val="32"/>
          <w:highlight w:val="none"/>
        </w:rPr>
      </w:pPr>
    </w:p>
    <w:p w14:paraId="3AA08C98">
      <w:pPr>
        <w:jc w:val="center"/>
        <w:rPr>
          <w:rFonts w:ascii="宋体" w:hAnsi="宋体" w:cs="宋体"/>
          <w:b/>
          <w:color w:val="auto"/>
          <w:kern w:val="0"/>
          <w:sz w:val="32"/>
          <w:szCs w:val="32"/>
          <w:highlight w:val="none"/>
        </w:rPr>
      </w:pPr>
    </w:p>
    <w:p w14:paraId="698CEC3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5D751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01E67EA">
      <w:pPr>
        <w:jc w:val="center"/>
        <w:rPr>
          <w:rFonts w:ascii="宋体" w:hAnsi="宋体" w:cs="宋体"/>
          <w:b/>
          <w:color w:val="auto"/>
          <w:kern w:val="0"/>
          <w:sz w:val="32"/>
          <w:szCs w:val="32"/>
          <w:highlight w:val="none"/>
        </w:rPr>
      </w:pPr>
    </w:p>
    <w:p w14:paraId="09C47D79">
      <w:pPr>
        <w:ind w:firstLine="2891" w:firstLineChars="900"/>
        <w:rPr>
          <w:rFonts w:hint="eastAsia" w:ascii="宋体" w:hAnsi="宋体" w:cs="宋体"/>
          <w:b/>
          <w:color w:val="auto"/>
          <w:kern w:val="0"/>
          <w:sz w:val="32"/>
          <w:szCs w:val="32"/>
          <w:highlight w:val="none"/>
        </w:rPr>
      </w:pPr>
    </w:p>
    <w:p w14:paraId="070C941C">
      <w:pPr>
        <w:pStyle w:val="3"/>
        <w:rPr>
          <w:rFonts w:hint="eastAsia" w:ascii="宋体" w:hAnsi="宋体" w:cs="宋体"/>
          <w:b/>
          <w:color w:val="auto"/>
          <w:kern w:val="0"/>
          <w:sz w:val="32"/>
          <w:szCs w:val="32"/>
          <w:highlight w:val="none"/>
        </w:rPr>
      </w:pPr>
    </w:p>
    <w:p w14:paraId="78CE4466">
      <w:pPr>
        <w:rPr>
          <w:rFonts w:hint="eastAsia" w:ascii="宋体" w:hAnsi="宋体" w:cs="宋体"/>
          <w:b/>
          <w:color w:val="auto"/>
          <w:kern w:val="0"/>
          <w:sz w:val="32"/>
          <w:szCs w:val="32"/>
          <w:highlight w:val="none"/>
        </w:rPr>
      </w:pPr>
    </w:p>
    <w:p w14:paraId="74AB7942">
      <w:pPr>
        <w:pStyle w:val="3"/>
        <w:rPr>
          <w:rFonts w:hint="eastAsia"/>
          <w:color w:val="auto"/>
          <w:highlight w:val="none"/>
        </w:rPr>
      </w:pPr>
    </w:p>
    <w:p w14:paraId="31E4414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72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7487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63DC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30D53C">
            <w:pPr>
              <w:spacing w:line="360" w:lineRule="auto"/>
              <w:jc w:val="center"/>
              <w:rPr>
                <w:rFonts w:ascii="宋体" w:hAnsi="宋体" w:cs="宋体"/>
                <w:b/>
                <w:color w:val="auto"/>
                <w:sz w:val="24"/>
                <w:highlight w:val="none"/>
              </w:rPr>
            </w:pPr>
          </w:p>
          <w:p w14:paraId="72A511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08036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24F51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9DA4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B668F3F">
            <w:pPr>
              <w:spacing w:line="360" w:lineRule="auto"/>
              <w:jc w:val="center"/>
              <w:rPr>
                <w:rFonts w:ascii="宋体" w:hAnsi="宋体" w:cs="宋体"/>
                <w:b/>
                <w:color w:val="auto"/>
                <w:sz w:val="24"/>
                <w:highlight w:val="none"/>
              </w:rPr>
            </w:pPr>
          </w:p>
          <w:p w14:paraId="0CE633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2F72E2D">
            <w:pPr>
              <w:spacing w:line="360" w:lineRule="auto"/>
              <w:jc w:val="center"/>
              <w:rPr>
                <w:rFonts w:ascii="宋体" w:hAnsi="宋体" w:cs="宋体"/>
                <w:b/>
                <w:color w:val="auto"/>
                <w:sz w:val="24"/>
                <w:highlight w:val="none"/>
              </w:rPr>
            </w:pPr>
          </w:p>
        </w:tc>
      </w:tr>
      <w:tr w14:paraId="70D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0915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CA45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B99E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303DB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75A64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C859E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25C74C">
            <w:pPr>
              <w:spacing w:line="360" w:lineRule="auto"/>
              <w:jc w:val="center"/>
              <w:rPr>
                <w:rFonts w:ascii="宋体" w:hAnsi="宋体" w:cs="宋体"/>
                <w:color w:val="auto"/>
                <w:sz w:val="24"/>
                <w:highlight w:val="none"/>
              </w:rPr>
            </w:pPr>
          </w:p>
        </w:tc>
      </w:tr>
      <w:tr w14:paraId="5E6D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9BA3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84B0F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468AB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2BFB0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DB79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68D7C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7E1D04">
            <w:pPr>
              <w:spacing w:line="360" w:lineRule="auto"/>
              <w:jc w:val="center"/>
              <w:rPr>
                <w:rFonts w:ascii="宋体" w:hAnsi="宋体" w:cs="宋体"/>
                <w:color w:val="auto"/>
                <w:sz w:val="24"/>
                <w:highlight w:val="none"/>
              </w:rPr>
            </w:pPr>
          </w:p>
        </w:tc>
      </w:tr>
      <w:tr w14:paraId="6138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11D4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345C14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3B082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F2F24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7845A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59DA2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E0D238">
            <w:pPr>
              <w:spacing w:line="360" w:lineRule="auto"/>
              <w:jc w:val="center"/>
              <w:rPr>
                <w:rFonts w:ascii="宋体" w:hAnsi="宋体" w:cs="宋体"/>
                <w:color w:val="auto"/>
                <w:sz w:val="24"/>
                <w:highlight w:val="none"/>
              </w:rPr>
            </w:pPr>
          </w:p>
        </w:tc>
      </w:tr>
    </w:tbl>
    <w:p w14:paraId="234EAA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0193C2">
      <w:pPr>
        <w:jc w:val="center"/>
        <w:rPr>
          <w:rFonts w:ascii="宋体" w:hAnsi="宋体" w:cs="宋体"/>
          <w:b/>
          <w:color w:val="auto"/>
          <w:kern w:val="0"/>
          <w:sz w:val="32"/>
          <w:szCs w:val="32"/>
          <w:highlight w:val="none"/>
        </w:rPr>
      </w:pPr>
    </w:p>
    <w:p w14:paraId="04C7A6D2">
      <w:pPr>
        <w:jc w:val="center"/>
        <w:rPr>
          <w:rFonts w:ascii="宋体" w:hAnsi="宋体" w:cs="宋体"/>
          <w:b/>
          <w:color w:val="auto"/>
          <w:kern w:val="0"/>
          <w:sz w:val="32"/>
          <w:szCs w:val="32"/>
          <w:highlight w:val="none"/>
        </w:rPr>
      </w:pPr>
    </w:p>
    <w:p w14:paraId="20DFC8CA">
      <w:pP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br w:type="page"/>
      </w:r>
    </w:p>
    <w:p w14:paraId="543C3ED8">
      <w:pPr>
        <w:numPr>
          <w:ilvl w:val="0"/>
          <w:numId w:val="0"/>
        </w:num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kern w:val="2"/>
          <w:sz w:val="32"/>
          <w:szCs w:val="32"/>
          <w:highlight w:val="none"/>
          <w:lang w:val="en-US" w:eastAsia="zh-CN" w:bidi="ar-SA"/>
        </w:rPr>
        <w:t>七、</w:t>
      </w:r>
      <w:r>
        <w:rPr>
          <w:rFonts w:hint="eastAsia" w:cs="仿宋_GB2312" w:asciiTheme="minorEastAsia" w:hAnsiTheme="minorEastAsia" w:eastAsiaTheme="minorEastAsia"/>
          <w:b/>
          <w:bCs/>
          <w:color w:val="auto"/>
          <w:sz w:val="32"/>
          <w:szCs w:val="32"/>
          <w:highlight w:val="none"/>
        </w:rPr>
        <w:t>项目小组人员名单</w:t>
      </w:r>
    </w:p>
    <w:p w14:paraId="409485D9">
      <w:pPr>
        <w:numPr>
          <w:ilvl w:val="0"/>
          <w:numId w:val="0"/>
        </w:num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（由投标人根据采购需求及招标文件要求编制）</w:t>
      </w:r>
    </w:p>
    <w:p w14:paraId="49E47FFE">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A:本项目的项目经理情况表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14:paraId="12A58EF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FCF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4560C7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1DEF1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9D3CB7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投标截止时间前三年业绩及承担的主要工作情况，曾担任项目经理的项目应列明细</w:t>
            </w:r>
          </w:p>
        </w:tc>
      </w:tr>
      <w:tr w14:paraId="5E870F5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7A6323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5B93B9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D4E518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1297CD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FF190A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7E48EC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5D229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5C6526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B6518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DF48F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EB919D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A932A1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A4DDE4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76777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5E4600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0A17CD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F7B543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E3EEAD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8ACDB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A1DF00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67E5C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43092C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EE0D35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CF4E0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FC60CD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F1B7C0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D09E27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CB84CB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23FFB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29F5E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2A4777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96E4E0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682FA7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71631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FE4385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4F70A3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F42098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DB0A45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36CDA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7C2728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327C7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D9F0B5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E403BA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D181AB">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D12FCA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注：须随表提交相应的证书复印件、从业经验证明资料，并注明所在投标文件页码。</w:t>
      </w:r>
    </w:p>
    <w:p w14:paraId="0E02017B">
      <w:pPr>
        <w:autoSpaceDE w:val="0"/>
        <w:autoSpaceDN w:val="0"/>
        <w:spacing w:line="360" w:lineRule="auto"/>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B:本项目的管理员情况表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14:paraId="6ADB803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4" w:space="0"/>
            </w:tcBorders>
            <w:shd w:val="clear" w:color="auto" w:fill="auto"/>
            <w:vAlign w:val="center"/>
          </w:tcPr>
          <w:p w14:paraId="7E6FD0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6302A5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8F10DC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BC8C0A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投标截止时间前三年业绩及承担的主要工作情况</w:t>
            </w:r>
          </w:p>
        </w:tc>
      </w:tr>
      <w:tr w14:paraId="332DF62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5EF28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4" w:space="0"/>
              <w:left w:val="single" w:color="auto" w:sz="6" w:space="0"/>
              <w:bottom w:val="single" w:color="auto" w:sz="6" w:space="0"/>
              <w:right w:val="single" w:color="auto" w:sz="4" w:space="0"/>
            </w:tcBorders>
            <w:shd w:val="clear" w:color="auto" w:fill="auto"/>
            <w:vAlign w:val="center"/>
          </w:tcPr>
          <w:p w14:paraId="57118B9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0AB58BF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1AC64C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734CC87">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17410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1B1E51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1FC7B7A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63072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15A3E0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30A8DB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A006F7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FC60D5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62171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12C68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2636B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1939EC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EC3C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699EEF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9A4BBD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7552C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98FCD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345A20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4BBFB4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BF4E0B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403D28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C1C6D8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2BB923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28961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FC56696">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CF076E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357245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24E1C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AA4770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5D8243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8A267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56034F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85CB92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DEC97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6542CC7">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A8CF0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3BE0B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60CA507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74B45EA">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6519F90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注：须随表提交相应的证书复印件、从业经验证明资料，并注明所在投标文件页码。</w:t>
      </w:r>
    </w:p>
    <w:p w14:paraId="29D9E136">
      <w:pPr>
        <w:autoSpaceDE w:val="0"/>
        <w:autoSpaceDN w:val="0"/>
        <w:spacing w:line="360" w:lineRule="auto"/>
        <w:rPr>
          <w:rFonts w:cs="仿宋_GB2312" w:asciiTheme="minorEastAsia" w:hAnsiTheme="minorEastAsia" w:eastAsiaTheme="minorEastAsia"/>
          <w:b/>
          <w:color w:val="auto"/>
          <w:sz w:val="24"/>
          <w:highlight w:val="none"/>
        </w:rPr>
      </w:pPr>
    </w:p>
    <w:p w14:paraId="3D6D521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C:本项目的项目小组人员情况表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C0B803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7A9E9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8339B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0A5867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A388E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4A7C1E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7C923C30">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BE409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26FBE4BF">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DBEBD9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3CEFB875">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AD888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8E4FED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29D6B9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42AF0BD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7C4004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EC5E1BE">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3F84FB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E4939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2D08EC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3E4A9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1225BD">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3470DD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B7FE33D">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F86B86">
            <w:pPr>
              <w:autoSpaceDE w:val="0"/>
              <w:autoSpaceDN w:val="0"/>
              <w:spacing w:line="360" w:lineRule="auto"/>
              <w:rPr>
                <w:rFonts w:cs="仿宋_GB2312" w:asciiTheme="minorEastAsia" w:hAnsiTheme="minorEastAsia" w:eastAsiaTheme="minorEastAsia"/>
                <w:color w:val="auto"/>
                <w:sz w:val="24"/>
                <w:highlight w:val="none"/>
              </w:rPr>
            </w:pPr>
          </w:p>
        </w:tc>
      </w:tr>
      <w:tr w14:paraId="3964375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7C8A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472E7FD">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C3104E">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C30185F">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FA9B8B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97C18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396F5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0F143B0">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A0CC13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1ACAF37">
            <w:pPr>
              <w:autoSpaceDE w:val="0"/>
              <w:autoSpaceDN w:val="0"/>
              <w:spacing w:line="360" w:lineRule="auto"/>
              <w:rPr>
                <w:rFonts w:cs="仿宋_GB2312" w:asciiTheme="minorEastAsia" w:hAnsiTheme="minorEastAsia" w:eastAsiaTheme="minorEastAsia"/>
                <w:color w:val="auto"/>
                <w:sz w:val="24"/>
                <w:highlight w:val="none"/>
              </w:rPr>
            </w:pPr>
          </w:p>
        </w:tc>
      </w:tr>
    </w:tbl>
    <w:p w14:paraId="6998DB0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注：投标人可按上述的格式自行编制，须随表提交相应的证书复印件并注明所在投标文件页码。</w:t>
      </w:r>
    </w:p>
    <w:p w14:paraId="6F67CC4C">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上表为投标时现有人员数，本公司承诺在10</w:t>
      </w:r>
      <w:r>
        <w:rPr>
          <w:rFonts w:cs="仿宋_GB2312" w:asciiTheme="minorEastAsia" w:hAnsiTheme="minorEastAsia" w:eastAsiaTheme="minorEastAsia"/>
          <w:b/>
          <w:color w:val="auto"/>
          <w:sz w:val="24"/>
          <w:highlight w:val="none"/>
        </w:rPr>
        <w:t>天内按招标文件人数要求完成全部项目组人员组建。</w:t>
      </w:r>
    </w:p>
    <w:p w14:paraId="2499E4D2">
      <w:pPr>
        <w:spacing w:line="360" w:lineRule="auto"/>
        <w:rPr>
          <w:rFonts w:cs="仿宋_GB2312" w:asciiTheme="minorEastAsia" w:hAnsiTheme="minorEastAsia" w:eastAsiaTheme="minorEastAsia"/>
          <w:b/>
          <w:color w:val="auto"/>
          <w:sz w:val="24"/>
          <w:highlight w:val="none"/>
        </w:rPr>
      </w:pPr>
    </w:p>
    <w:p w14:paraId="69E9C5C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D:本项目的项目经理和小组人员缴纳</w:t>
      </w:r>
      <w:r>
        <w:rPr>
          <w:rFonts w:hint="eastAsia" w:cs="仿宋_GB2312" w:asciiTheme="minorEastAsia" w:hAnsiTheme="minorEastAsia" w:eastAsiaTheme="minorEastAsia"/>
          <w:b/>
          <w:color w:val="auto"/>
          <w:sz w:val="24"/>
          <w:highlight w:val="none"/>
        </w:rPr>
        <w:t>五险一金</w:t>
      </w:r>
      <w:r>
        <w:rPr>
          <w:rFonts w:cs="仿宋_GB2312" w:asciiTheme="minorEastAsia" w:hAnsiTheme="minorEastAsia" w:eastAsiaTheme="minorEastAsia"/>
          <w:b/>
          <w:color w:val="auto"/>
          <w:sz w:val="24"/>
          <w:highlight w:val="none"/>
        </w:rPr>
        <w:t>记录情况表</w:t>
      </w:r>
      <w:r>
        <w:rPr>
          <w:rFonts w:hint="eastAsia" w:cs="仿宋_GB2312" w:asciiTheme="minorEastAsia" w:hAnsiTheme="minorEastAsia" w:eastAsiaTheme="minorEastAsia"/>
          <w:color w:val="auto"/>
          <w:sz w:val="24"/>
          <w:highlight w:val="none"/>
        </w:rPr>
        <w:t>（以社保局缴纳凭证作附件）；</w:t>
      </w:r>
    </w:p>
    <w:p w14:paraId="5E51A540">
      <w:pPr>
        <w:autoSpaceDE w:val="0"/>
        <w:autoSpaceDN w:val="0"/>
        <w:spacing w:line="360" w:lineRule="auto"/>
        <w:ind w:firstLine="4440" w:firstLineChars="18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投标人名称（电子签名）：</w:t>
      </w:r>
    </w:p>
    <w:p w14:paraId="2214E17E">
      <w:pPr>
        <w:autoSpaceDE w:val="0"/>
        <w:autoSpaceDN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日期：</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日</w:t>
      </w:r>
    </w:p>
    <w:p w14:paraId="2EFC1661">
      <w:pPr>
        <w:numPr>
          <w:ilvl w:val="0"/>
          <w:numId w:val="0"/>
        </w:numPr>
        <w:jc w:val="center"/>
        <w:rPr>
          <w:rFonts w:hint="eastAsia" w:ascii="宋体" w:hAnsi="宋体" w:eastAsia="宋体" w:cs="宋体"/>
          <w:b/>
          <w:color w:val="auto"/>
          <w:kern w:val="0"/>
          <w:sz w:val="32"/>
          <w:szCs w:val="32"/>
          <w:highlight w:val="none"/>
          <w:lang w:val="en-US" w:eastAsia="zh-CN" w:bidi="ar-SA"/>
        </w:rPr>
      </w:pPr>
    </w:p>
    <w:p w14:paraId="0DB10EFA">
      <w:pPr>
        <w:numPr>
          <w:ilvl w:val="0"/>
          <w:numId w:val="0"/>
        </w:numPr>
        <w:jc w:val="center"/>
        <w:rPr>
          <w:rFonts w:hint="eastAsia" w:ascii="宋体" w:hAnsi="宋体" w:cs="宋体"/>
          <w:b/>
          <w:color w:val="auto"/>
          <w:kern w:val="0"/>
          <w:sz w:val="32"/>
          <w:szCs w:val="32"/>
          <w:highlight w:val="none"/>
          <w:lang w:val="en-US" w:eastAsia="zh-CN"/>
        </w:rPr>
      </w:pPr>
    </w:p>
    <w:p w14:paraId="02863EE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BB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5CFC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9B8403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EF0A91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D5A920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DA9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B8F0A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5F34AD9">
            <w:pPr>
              <w:jc w:val="center"/>
              <w:rPr>
                <w:rFonts w:ascii="宋体" w:hAnsi="宋体" w:cs="宋体"/>
                <w:b/>
                <w:color w:val="auto"/>
                <w:kern w:val="0"/>
                <w:sz w:val="32"/>
                <w:szCs w:val="32"/>
                <w:highlight w:val="none"/>
              </w:rPr>
            </w:pPr>
          </w:p>
        </w:tc>
        <w:tc>
          <w:tcPr>
            <w:tcW w:w="3546" w:type="dxa"/>
          </w:tcPr>
          <w:p w14:paraId="6F243A03">
            <w:pPr>
              <w:jc w:val="center"/>
              <w:rPr>
                <w:rFonts w:ascii="宋体" w:hAnsi="宋体" w:cs="宋体"/>
                <w:b/>
                <w:color w:val="auto"/>
                <w:kern w:val="0"/>
                <w:sz w:val="32"/>
                <w:szCs w:val="32"/>
                <w:highlight w:val="none"/>
              </w:rPr>
            </w:pPr>
          </w:p>
        </w:tc>
        <w:tc>
          <w:tcPr>
            <w:tcW w:w="1276" w:type="dxa"/>
          </w:tcPr>
          <w:p w14:paraId="1EA16142">
            <w:pPr>
              <w:jc w:val="center"/>
              <w:rPr>
                <w:rFonts w:ascii="宋体" w:hAnsi="宋体" w:cs="宋体"/>
                <w:b/>
                <w:color w:val="auto"/>
                <w:kern w:val="0"/>
                <w:sz w:val="32"/>
                <w:szCs w:val="32"/>
                <w:highlight w:val="none"/>
              </w:rPr>
            </w:pPr>
          </w:p>
        </w:tc>
      </w:tr>
      <w:tr w14:paraId="275A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2F803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25994D9">
            <w:pPr>
              <w:jc w:val="center"/>
              <w:rPr>
                <w:rFonts w:ascii="宋体" w:hAnsi="宋体" w:cs="宋体"/>
                <w:b/>
                <w:color w:val="auto"/>
                <w:kern w:val="0"/>
                <w:sz w:val="32"/>
                <w:szCs w:val="32"/>
                <w:highlight w:val="none"/>
              </w:rPr>
            </w:pPr>
          </w:p>
        </w:tc>
        <w:tc>
          <w:tcPr>
            <w:tcW w:w="3546" w:type="dxa"/>
          </w:tcPr>
          <w:p w14:paraId="56D946D2">
            <w:pPr>
              <w:jc w:val="center"/>
              <w:rPr>
                <w:rFonts w:ascii="宋体" w:hAnsi="宋体" w:cs="宋体"/>
                <w:b/>
                <w:color w:val="auto"/>
                <w:kern w:val="0"/>
                <w:sz w:val="32"/>
                <w:szCs w:val="32"/>
                <w:highlight w:val="none"/>
              </w:rPr>
            </w:pPr>
          </w:p>
        </w:tc>
        <w:tc>
          <w:tcPr>
            <w:tcW w:w="1276" w:type="dxa"/>
          </w:tcPr>
          <w:p w14:paraId="29C69E51">
            <w:pPr>
              <w:jc w:val="center"/>
              <w:rPr>
                <w:rFonts w:ascii="宋体" w:hAnsi="宋体" w:cs="宋体"/>
                <w:b/>
                <w:color w:val="auto"/>
                <w:kern w:val="0"/>
                <w:sz w:val="32"/>
                <w:szCs w:val="32"/>
                <w:highlight w:val="none"/>
              </w:rPr>
            </w:pPr>
          </w:p>
        </w:tc>
      </w:tr>
      <w:tr w14:paraId="4673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03D10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6D8E8A9">
            <w:pPr>
              <w:jc w:val="center"/>
              <w:rPr>
                <w:rFonts w:ascii="宋体" w:hAnsi="宋体" w:cs="宋体"/>
                <w:b/>
                <w:color w:val="auto"/>
                <w:kern w:val="0"/>
                <w:sz w:val="32"/>
                <w:szCs w:val="32"/>
                <w:highlight w:val="none"/>
              </w:rPr>
            </w:pPr>
          </w:p>
        </w:tc>
        <w:tc>
          <w:tcPr>
            <w:tcW w:w="3546" w:type="dxa"/>
          </w:tcPr>
          <w:p w14:paraId="30FFB918">
            <w:pPr>
              <w:jc w:val="center"/>
              <w:rPr>
                <w:rFonts w:ascii="宋体" w:hAnsi="宋体" w:cs="宋体"/>
                <w:b/>
                <w:color w:val="auto"/>
                <w:kern w:val="0"/>
                <w:sz w:val="32"/>
                <w:szCs w:val="32"/>
                <w:highlight w:val="none"/>
              </w:rPr>
            </w:pPr>
          </w:p>
        </w:tc>
        <w:tc>
          <w:tcPr>
            <w:tcW w:w="1276" w:type="dxa"/>
          </w:tcPr>
          <w:p w14:paraId="25F24442">
            <w:pPr>
              <w:jc w:val="center"/>
              <w:rPr>
                <w:rFonts w:ascii="宋体" w:hAnsi="宋体" w:cs="宋体"/>
                <w:b/>
                <w:color w:val="auto"/>
                <w:kern w:val="0"/>
                <w:sz w:val="32"/>
                <w:szCs w:val="32"/>
                <w:highlight w:val="none"/>
              </w:rPr>
            </w:pPr>
          </w:p>
        </w:tc>
      </w:tr>
    </w:tbl>
    <w:p w14:paraId="58C53525">
      <w:pPr>
        <w:jc w:val="center"/>
        <w:rPr>
          <w:rFonts w:ascii="宋体" w:hAnsi="宋体" w:cs="宋体"/>
          <w:b/>
          <w:color w:val="auto"/>
          <w:kern w:val="0"/>
          <w:sz w:val="32"/>
          <w:szCs w:val="32"/>
          <w:highlight w:val="none"/>
        </w:rPr>
      </w:pPr>
    </w:p>
    <w:p w14:paraId="2C7873A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528D0E0">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60ACCC17">
      <w:pPr>
        <w:spacing w:line="360" w:lineRule="auto"/>
        <w:ind w:right="420"/>
        <w:rPr>
          <w:rFonts w:hint="eastAsia" w:ascii="宋体" w:hAnsi="宋体" w:cs="宋体"/>
          <w:color w:val="auto"/>
          <w:sz w:val="24"/>
          <w:highlight w:val="none"/>
        </w:rPr>
      </w:pPr>
    </w:p>
    <w:p w14:paraId="4810C66C">
      <w:pPr>
        <w:ind w:firstLine="1911" w:firstLineChars="595"/>
        <w:rPr>
          <w:rFonts w:ascii="宋体" w:hAnsi="宋体" w:cs="宋体"/>
          <w:b/>
          <w:bCs/>
          <w:color w:val="auto"/>
          <w:sz w:val="32"/>
          <w:szCs w:val="32"/>
          <w:highlight w:val="none"/>
        </w:rPr>
      </w:pPr>
    </w:p>
    <w:p w14:paraId="7BCA176F">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51E35D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FD37F4A">
      <w:pPr>
        <w:snapToGrid w:val="0"/>
        <w:spacing w:line="360" w:lineRule="auto"/>
        <w:rPr>
          <w:rFonts w:ascii="宋体" w:hAnsi="宋体" w:cs="宋体"/>
          <w:color w:val="auto"/>
          <w:sz w:val="24"/>
          <w:highlight w:val="none"/>
        </w:rPr>
      </w:pPr>
    </w:p>
    <w:p w14:paraId="20E97C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DC308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B474A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EFAC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3D28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B1D5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719885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00E417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DC8C4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13B53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C0AE09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3020E00">
      <w:pPr>
        <w:autoSpaceDE w:val="0"/>
        <w:autoSpaceDN w:val="0"/>
        <w:spacing w:line="360" w:lineRule="auto"/>
        <w:ind w:left="2"/>
        <w:jc w:val="left"/>
        <w:rPr>
          <w:rFonts w:ascii="宋体" w:hAnsi="宋体" w:cs="宋体"/>
          <w:color w:val="auto"/>
          <w:kern w:val="0"/>
          <w:sz w:val="24"/>
          <w:highlight w:val="none"/>
          <w:lang w:val="zh-CN"/>
        </w:rPr>
      </w:pPr>
    </w:p>
    <w:p w14:paraId="1E7C1446">
      <w:pPr>
        <w:autoSpaceDE w:val="0"/>
        <w:autoSpaceDN w:val="0"/>
        <w:spacing w:line="360" w:lineRule="auto"/>
        <w:ind w:left="2"/>
        <w:jc w:val="left"/>
        <w:rPr>
          <w:rFonts w:ascii="宋体" w:hAnsi="宋体" w:cs="宋体"/>
          <w:color w:val="auto"/>
          <w:kern w:val="0"/>
          <w:sz w:val="24"/>
          <w:highlight w:val="none"/>
          <w:lang w:val="zh-CN"/>
        </w:rPr>
      </w:pPr>
    </w:p>
    <w:p w14:paraId="02CDEF2C">
      <w:pPr>
        <w:autoSpaceDE w:val="0"/>
        <w:autoSpaceDN w:val="0"/>
        <w:spacing w:line="360" w:lineRule="auto"/>
        <w:ind w:left="2"/>
        <w:jc w:val="left"/>
        <w:rPr>
          <w:rFonts w:ascii="宋体" w:hAnsi="宋体" w:cs="宋体"/>
          <w:color w:val="auto"/>
          <w:kern w:val="0"/>
          <w:sz w:val="24"/>
          <w:highlight w:val="none"/>
          <w:lang w:val="zh-CN"/>
        </w:rPr>
      </w:pPr>
    </w:p>
    <w:p w14:paraId="46E1CE5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986065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7830C1">
      <w:pPr>
        <w:spacing w:line="360" w:lineRule="auto"/>
        <w:jc w:val="center"/>
        <w:rPr>
          <w:rFonts w:ascii="宋体" w:hAnsi="宋体" w:cs="宋体"/>
          <w:b/>
          <w:bCs/>
          <w:color w:val="auto"/>
          <w:sz w:val="24"/>
          <w:highlight w:val="none"/>
        </w:rPr>
      </w:pPr>
    </w:p>
    <w:p w14:paraId="1CA6EF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204D6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01655B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D9B3BF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AB5DA61">
      <w:pPr>
        <w:spacing w:line="360" w:lineRule="auto"/>
        <w:jc w:val="center"/>
        <w:outlineLvl w:val="0"/>
        <w:rPr>
          <w:rFonts w:ascii="宋体" w:hAnsi="宋体" w:cs="宋体"/>
          <w:b/>
          <w:color w:val="auto"/>
          <w:kern w:val="0"/>
          <w:sz w:val="36"/>
          <w:szCs w:val="36"/>
          <w:highlight w:val="none"/>
        </w:rPr>
      </w:pPr>
    </w:p>
    <w:p w14:paraId="2CFC92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1BD12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66AADCD">
      <w:pPr>
        <w:snapToGrid w:val="0"/>
        <w:spacing w:line="360" w:lineRule="auto"/>
        <w:ind w:right="480"/>
        <w:jc w:val="center"/>
        <w:rPr>
          <w:rFonts w:ascii="宋体" w:hAnsi="宋体" w:cs="宋体"/>
          <w:b/>
          <w:color w:val="auto"/>
          <w:kern w:val="0"/>
          <w:sz w:val="32"/>
          <w:szCs w:val="32"/>
          <w:highlight w:val="none"/>
        </w:rPr>
      </w:pPr>
    </w:p>
    <w:p w14:paraId="6BAC2333">
      <w:pPr>
        <w:snapToGrid w:val="0"/>
        <w:spacing w:line="360" w:lineRule="auto"/>
        <w:ind w:right="480"/>
        <w:jc w:val="center"/>
        <w:rPr>
          <w:rFonts w:ascii="宋体" w:hAnsi="宋体" w:cs="宋体"/>
          <w:b/>
          <w:color w:val="auto"/>
          <w:kern w:val="0"/>
          <w:sz w:val="32"/>
          <w:szCs w:val="32"/>
          <w:highlight w:val="none"/>
        </w:rPr>
      </w:pPr>
    </w:p>
    <w:p w14:paraId="3A3843D1">
      <w:pPr>
        <w:snapToGrid w:val="0"/>
        <w:spacing w:line="360" w:lineRule="auto"/>
        <w:ind w:right="480"/>
        <w:jc w:val="center"/>
        <w:rPr>
          <w:rFonts w:ascii="宋体" w:hAnsi="宋体" w:cs="宋体"/>
          <w:b/>
          <w:color w:val="auto"/>
          <w:kern w:val="0"/>
          <w:sz w:val="32"/>
          <w:szCs w:val="32"/>
          <w:highlight w:val="none"/>
        </w:rPr>
      </w:pPr>
    </w:p>
    <w:p w14:paraId="221401DF">
      <w:pPr>
        <w:snapToGrid w:val="0"/>
        <w:spacing w:line="360" w:lineRule="auto"/>
        <w:ind w:right="480"/>
        <w:jc w:val="center"/>
        <w:rPr>
          <w:rFonts w:ascii="宋体" w:hAnsi="宋体" w:cs="宋体"/>
          <w:b/>
          <w:color w:val="auto"/>
          <w:kern w:val="0"/>
          <w:sz w:val="32"/>
          <w:szCs w:val="32"/>
          <w:highlight w:val="none"/>
        </w:rPr>
      </w:pPr>
    </w:p>
    <w:p w14:paraId="2E7E93C3">
      <w:pPr>
        <w:snapToGrid w:val="0"/>
        <w:spacing w:line="360" w:lineRule="auto"/>
        <w:ind w:right="480"/>
        <w:jc w:val="center"/>
        <w:rPr>
          <w:rFonts w:ascii="宋体" w:hAnsi="宋体" w:cs="宋体"/>
          <w:b/>
          <w:color w:val="auto"/>
          <w:kern w:val="0"/>
          <w:sz w:val="32"/>
          <w:szCs w:val="32"/>
          <w:highlight w:val="none"/>
        </w:rPr>
      </w:pPr>
    </w:p>
    <w:p w14:paraId="3511E153">
      <w:pPr>
        <w:snapToGrid w:val="0"/>
        <w:spacing w:line="360" w:lineRule="auto"/>
        <w:ind w:right="480"/>
        <w:jc w:val="center"/>
        <w:rPr>
          <w:rFonts w:ascii="宋体" w:hAnsi="宋体" w:cs="宋体"/>
          <w:b/>
          <w:color w:val="auto"/>
          <w:kern w:val="0"/>
          <w:sz w:val="32"/>
          <w:szCs w:val="32"/>
          <w:highlight w:val="none"/>
        </w:rPr>
      </w:pPr>
    </w:p>
    <w:p w14:paraId="48C40E0A">
      <w:pPr>
        <w:snapToGrid w:val="0"/>
        <w:spacing w:line="360" w:lineRule="auto"/>
        <w:ind w:right="480"/>
        <w:jc w:val="center"/>
        <w:rPr>
          <w:rFonts w:ascii="宋体" w:hAnsi="宋体" w:cs="宋体"/>
          <w:b/>
          <w:color w:val="auto"/>
          <w:kern w:val="0"/>
          <w:sz w:val="32"/>
          <w:szCs w:val="32"/>
          <w:highlight w:val="none"/>
        </w:rPr>
      </w:pPr>
    </w:p>
    <w:p w14:paraId="1BE35777">
      <w:pPr>
        <w:snapToGrid w:val="0"/>
        <w:spacing w:line="360" w:lineRule="auto"/>
        <w:ind w:right="480"/>
        <w:jc w:val="center"/>
        <w:rPr>
          <w:rFonts w:ascii="宋体" w:hAnsi="宋体" w:cs="宋体"/>
          <w:b/>
          <w:color w:val="auto"/>
          <w:kern w:val="0"/>
          <w:sz w:val="32"/>
          <w:szCs w:val="32"/>
          <w:highlight w:val="none"/>
        </w:rPr>
      </w:pPr>
    </w:p>
    <w:p w14:paraId="4332300C">
      <w:pPr>
        <w:snapToGrid w:val="0"/>
        <w:spacing w:line="360" w:lineRule="auto"/>
        <w:ind w:right="480"/>
        <w:jc w:val="center"/>
        <w:rPr>
          <w:rFonts w:ascii="宋体" w:hAnsi="宋体" w:cs="宋体"/>
          <w:b/>
          <w:color w:val="auto"/>
          <w:kern w:val="0"/>
          <w:sz w:val="32"/>
          <w:szCs w:val="32"/>
          <w:highlight w:val="none"/>
        </w:rPr>
      </w:pPr>
    </w:p>
    <w:p w14:paraId="707C8A48">
      <w:pPr>
        <w:snapToGrid w:val="0"/>
        <w:spacing w:line="360" w:lineRule="auto"/>
        <w:ind w:right="480"/>
        <w:jc w:val="center"/>
        <w:rPr>
          <w:rFonts w:ascii="宋体" w:hAnsi="宋体" w:cs="宋体"/>
          <w:b/>
          <w:color w:val="auto"/>
          <w:kern w:val="0"/>
          <w:sz w:val="32"/>
          <w:szCs w:val="32"/>
          <w:highlight w:val="none"/>
        </w:rPr>
      </w:pPr>
    </w:p>
    <w:p w14:paraId="1029F6E1">
      <w:pPr>
        <w:snapToGrid w:val="0"/>
        <w:spacing w:line="360" w:lineRule="auto"/>
        <w:ind w:right="480"/>
        <w:jc w:val="center"/>
        <w:rPr>
          <w:rFonts w:ascii="宋体" w:hAnsi="宋体" w:cs="宋体"/>
          <w:b/>
          <w:color w:val="auto"/>
          <w:kern w:val="0"/>
          <w:sz w:val="32"/>
          <w:szCs w:val="32"/>
          <w:highlight w:val="none"/>
        </w:rPr>
      </w:pPr>
    </w:p>
    <w:p w14:paraId="6557C5AD">
      <w:pPr>
        <w:snapToGrid w:val="0"/>
        <w:spacing w:line="360" w:lineRule="auto"/>
        <w:ind w:right="480"/>
        <w:jc w:val="center"/>
        <w:rPr>
          <w:rFonts w:ascii="宋体" w:hAnsi="宋体" w:cs="宋体"/>
          <w:b/>
          <w:color w:val="auto"/>
          <w:kern w:val="0"/>
          <w:sz w:val="32"/>
          <w:szCs w:val="32"/>
          <w:highlight w:val="none"/>
        </w:rPr>
      </w:pPr>
    </w:p>
    <w:p w14:paraId="420C1799">
      <w:pPr>
        <w:snapToGrid w:val="0"/>
        <w:spacing w:line="360" w:lineRule="auto"/>
        <w:ind w:right="480"/>
        <w:jc w:val="center"/>
        <w:rPr>
          <w:rFonts w:ascii="宋体" w:hAnsi="宋体" w:cs="宋体"/>
          <w:b/>
          <w:color w:val="auto"/>
          <w:kern w:val="0"/>
          <w:sz w:val="32"/>
          <w:szCs w:val="32"/>
          <w:highlight w:val="none"/>
        </w:rPr>
      </w:pPr>
    </w:p>
    <w:p w14:paraId="70FC3C01">
      <w:pPr>
        <w:snapToGrid w:val="0"/>
        <w:spacing w:line="360" w:lineRule="auto"/>
        <w:ind w:right="480"/>
        <w:jc w:val="center"/>
        <w:rPr>
          <w:rFonts w:ascii="宋体" w:hAnsi="宋体" w:cs="宋体"/>
          <w:b/>
          <w:color w:val="auto"/>
          <w:kern w:val="0"/>
          <w:sz w:val="32"/>
          <w:szCs w:val="32"/>
          <w:highlight w:val="none"/>
        </w:rPr>
      </w:pPr>
    </w:p>
    <w:p w14:paraId="0F6FFA55">
      <w:pPr>
        <w:snapToGrid w:val="0"/>
        <w:spacing w:line="360" w:lineRule="auto"/>
        <w:ind w:right="480"/>
        <w:jc w:val="center"/>
        <w:rPr>
          <w:rFonts w:ascii="宋体" w:hAnsi="宋体" w:cs="宋体"/>
          <w:b/>
          <w:color w:val="auto"/>
          <w:kern w:val="0"/>
          <w:sz w:val="32"/>
          <w:szCs w:val="32"/>
          <w:highlight w:val="none"/>
        </w:rPr>
      </w:pPr>
    </w:p>
    <w:p w14:paraId="1CDCB7F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61CB2F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4D47CD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5A514F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B1C66D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2"/>
        <w:gridCol w:w="2192"/>
        <w:gridCol w:w="2149"/>
        <w:gridCol w:w="2706"/>
        <w:gridCol w:w="2522"/>
        <w:gridCol w:w="2126"/>
      </w:tblGrid>
      <w:tr w14:paraId="2C1C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822AB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22" w:type="dxa"/>
            <w:vAlign w:val="center"/>
          </w:tcPr>
          <w:p w14:paraId="1A8D0E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92" w:type="dxa"/>
          </w:tcPr>
          <w:p w14:paraId="7710645D">
            <w:pPr>
              <w:spacing w:line="360" w:lineRule="auto"/>
              <w:jc w:val="center"/>
              <w:rPr>
                <w:rFonts w:ascii="宋体" w:hAnsi="宋体" w:cs="宋体"/>
                <w:b/>
                <w:color w:val="auto"/>
                <w:sz w:val="24"/>
                <w:highlight w:val="none"/>
              </w:rPr>
            </w:pPr>
          </w:p>
          <w:p w14:paraId="7C39FE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49" w:type="dxa"/>
            <w:vAlign w:val="center"/>
          </w:tcPr>
          <w:p w14:paraId="32732A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06" w:type="dxa"/>
            <w:vAlign w:val="center"/>
          </w:tcPr>
          <w:p w14:paraId="02ECD0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22" w:type="dxa"/>
            <w:vAlign w:val="center"/>
          </w:tcPr>
          <w:p w14:paraId="14B223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02D538DA">
            <w:pPr>
              <w:spacing w:line="360" w:lineRule="auto"/>
              <w:jc w:val="center"/>
              <w:rPr>
                <w:rFonts w:ascii="宋体" w:hAnsi="宋体" w:cs="宋体"/>
                <w:b/>
                <w:color w:val="auto"/>
                <w:sz w:val="24"/>
                <w:highlight w:val="none"/>
              </w:rPr>
            </w:pPr>
          </w:p>
          <w:p w14:paraId="0AE05A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AE619B1">
            <w:pPr>
              <w:spacing w:line="360" w:lineRule="auto"/>
              <w:jc w:val="center"/>
              <w:rPr>
                <w:rFonts w:ascii="宋体" w:hAnsi="宋体" w:cs="宋体"/>
                <w:b/>
                <w:color w:val="auto"/>
                <w:sz w:val="24"/>
                <w:highlight w:val="none"/>
              </w:rPr>
            </w:pPr>
          </w:p>
        </w:tc>
      </w:tr>
      <w:tr w14:paraId="3DDA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5800D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22" w:type="dxa"/>
            <w:vAlign w:val="center"/>
          </w:tcPr>
          <w:p w14:paraId="25B74F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杭州市2025至2026年度数字城管信息采集项目（拱墅区标项一）</w:t>
            </w:r>
          </w:p>
        </w:tc>
        <w:tc>
          <w:tcPr>
            <w:tcW w:w="2192" w:type="dxa"/>
            <w:vAlign w:val="center"/>
          </w:tcPr>
          <w:p w14:paraId="45BFE8BC">
            <w:pPr>
              <w:snapToGrid w:val="0"/>
              <w:spacing w:line="360" w:lineRule="auto"/>
              <w:jc w:val="center"/>
              <w:rPr>
                <w:rFonts w:ascii="宋体" w:hAnsi="宋体" w:cs="宋体"/>
                <w:color w:val="auto"/>
                <w:sz w:val="24"/>
                <w:highlight w:val="none"/>
              </w:rPr>
            </w:pPr>
          </w:p>
        </w:tc>
        <w:tc>
          <w:tcPr>
            <w:tcW w:w="2149" w:type="dxa"/>
            <w:vAlign w:val="center"/>
          </w:tcPr>
          <w:p w14:paraId="0CA60155">
            <w:pPr>
              <w:snapToGrid w:val="0"/>
              <w:spacing w:line="360" w:lineRule="auto"/>
              <w:jc w:val="center"/>
              <w:rPr>
                <w:rFonts w:ascii="宋体" w:hAnsi="宋体" w:cs="宋体"/>
                <w:color w:val="auto"/>
                <w:sz w:val="24"/>
                <w:highlight w:val="none"/>
              </w:rPr>
            </w:pPr>
          </w:p>
        </w:tc>
        <w:tc>
          <w:tcPr>
            <w:tcW w:w="2706" w:type="dxa"/>
            <w:vAlign w:val="center"/>
          </w:tcPr>
          <w:p w14:paraId="7411F70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2522" w:type="dxa"/>
            <w:vAlign w:val="center"/>
          </w:tcPr>
          <w:p w14:paraId="74A58C21">
            <w:pPr>
              <w:spacing w:line="360" w:lineRule="auto"/>
              <w:jc w:val="center"/>
              <w:rPr>
                <w:rFonts w:ascii="宋体" w:hAnsi="宋体" w:cs="宋体"/>
                <w:color w:val="auto"/>
                <w:sz w:val="24"/>
                <w:highlight w:val="none"/>
              </w:rPr>
            </w:pPr>
          </w:p>
        </w:tc>
        <w:tc>
          <w:tcPr>
            <w:tcW w:w="2126" w:type="dxa"/>
            <w:vAlign w:val="center"/>
          </w:tcPr>
          <w:p w14:paraId="2BAE10EE">
            <w:pPr>
              <w:spacing w:line="360" w:lineRule="auto"/>
              <w:jc w:val="center"/>
              <w:rPr>
                <w:rFonts w:ascii="宋体" w:hAnsi="宋体" w:cs="宋体"/>
                <w:color w:val="auto"/>
                <w:sz w:val="24"/>
                <w:highlight w:val="none"/>
              </w:rPr>
            </w:pPr>
          </w:p>
        </w:tc>
      </w:tr>
      <w:tr w14:paraId="637F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80" w:type="dxa"/>
            <w:gridSpan w:val="4"/>
            <w:vAlign w:val="center"/>
          </w:tcPr>
          <w:p w14:paraId="22F3DB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354" w:type="dxa"/>
            <w:gridSpan w:val="3"/>
          </w:tcPr>
          <w:p w14:paraId="5611BE17">
            <w:pPr>
              <w:spacing w:line="360" w:lineRule="auto"/>
              <w:jc w:val="center"/>
              <w:rPr>
                <w:rFonts w:ascii="宋体" w:hAnsi="宋体" w:cs="宋体"/>
                <w:color w:val="auto"/>
                <w:sz w:val="24"/>
                <w:highlight w:val="none"/>
              </w:rPr>
            </w:pPr>
          </w:p>
        </w:tc>
      </w:tr>
      <w:tr w14:paraId="7C2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80" w:type="dxa"/>
            <w:gridSpan w:val="4"/>
            <w:vAlign w:val="center"/>
          </w:tcPr>
          <w:p w14:paraId="59987B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354" w:type="dxa"/>
            <w:gridSpan w:val="3"/>
          </w:tcPr>
          <w:p w14:paraId="7DA3AD65">
            <w:pPr>
              <w:spacing w:line="360" w:lineRule="auto"/>
              <w:jc w:val="center"/>
              <w:rPr>
                <w:rFonts w:ascii="宋体" w:hAnsi="宋体" w:cs="宋体"/>
                <w:color w:val="auto"/>
                <w:sz w:val="24"/>
                <w:highlight w:val="none"/>
              </w:rPr>
            </w:pPr>
          </w:p>
        </w:tc>
      </w:tr>
    </w:tbl>
    <w:p w14:paraId="1ABEF89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9FA69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D3250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069E6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DC0FD09">
      <w:pPr>
        <w:pStyle w:val="3"/>
        <w:ind w:left="434" w:leftChars="202" w:hanging="10" w:hangingChars="4"/>
        <w:rPr>
          <w:rFonts w:hint="default" w:eastAsia="仿宋_GB2312"/>
          <w:color w:val="auto"/>
          <w:highlight w:val="none"/>
          <w:lang w:val="en-US" w:eastAsia="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b/>
          <w:bCs/>
          <w:color w:val="auto"/>
          <w:kern w:val="0"/>
          <w:sz w:val="24"/>
          <w:highlight w:val="none"/>
          <w:lang w:val="en-US" w:eastAsia="zh-CN"/>
        </w:rPr>
        <w:t>、每年的费用为投标报价的二分之一。</w:t>
      </w:r>
    </w:p>
    <w:p w14:paraId="5FC49663">
      <w:pPr>
        <w:spacing w:line="360" w:lineRule="auto"/>
        <w:ind w:firstLine="482" w:firstLineChars="200"/>
        <w:rPr>
          <w:rFonts w:ascii="宋体" w:hAnsi="宋体" w:cs="宋体"/>
          <w:b/>
          <w:color w:val="auto"/>
          <w:sz w:val="24"/>
          <w:highlight w:val="none"/>
        </w:rPr>
      </w:pPr>
    </w:p>
    <w:p w14:paraId="48ED7823">
      <w:pPr>
        <w:spacing w:line="360" w:lineRule="auto"/>
        <w:ind w:firstLine="482" w:firstLineChars="200"/>
        <w:rPr>
          <w:rFonts w:ascii="宋体" w:hAnsi="宋体" w:cs="宋体"/>
          <w:b/>
          <w:color w:val="auto"/>
          <w:kern w:val="0"/>
          <w:sz w:val="24"/>
          <w:highlight w:val="none"/>
        </w:rPr>
      </w:pPr>
    </w:p>
    <w:p w14:paraId="2DB036F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5B79E1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6F555E23">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4B85A8E">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028706A">
      <w:pPr>
        <w:spacing w:line="360" w:lineRule="auto"/>
        <w:ind w:firstLine="482" w:firstLineChars="200"/>
        <w:rPr>
          <w:rFonts w:ascii="宋体" w:hAnsi="宋体" w:cs="宋体"/>
          <w:b/>
          <w:color w:val="auto"/>
          <w:sz w:val="24"/>
          <w:highlight w:val="none"/>
        </w:rPr>
      </w:pPr>
    </w:p>
    <w:p w14:paraId="55AACB3E">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9A5EB38">
      <w:pPr>
        <w:spacing w:line="360" w:lineRule="auto"/>
        <w:ind w:right="420" w:firstLine="3614" w:firstLineChars="1000"/>
        <w:rPr>
          <w:rFonts w:ascii="宋体" w:hAnsi="宋体" w:cs="宋体"/>
          <w:b/>
          <w:color w:val="auto"/>
          <w:kern w:val="0"/>
          <w:sz w:val="36"/>
          <w:szCs w:val="36"/>
          <w:highlight w:val="none"/>
        </w:rPr>
      </w:pPr>
    </w:p>
    <w:p w14:paraId="49F5B2B6">
      <w:pPr>
        <w:spacing w:line="360" w:lineRule="auto"/>
        <w:ind w:right="420" w:firstLine="3614" w:firstLineChars="1000"/>
        <w:rPr>
          <w:rFonts w:ascii="宋体" w:hAnsi="宋体" w:cs="宋体"/>
          <w:b/>
          <w:color w:val="auto"/>
          <w:kern w:val="0"/>
          <w:sz w:val="36"/>
          <w:szCs w:val="36"/>
          <w:highlight w:val="none"/>
        </w:rPr>
      </w:pPr>
    </w:p>
    <w:p w14:paraId="62688A91">
      <w:pPr>
        <w:spacing w:line="360" w:lineRule="auto"/>
        <w:ind w:right="420" w:firstLine="3614" w:firstLineChars="1000"/>
        <w:rPr>
          <w:rFonts w:ascii="宋体" w:hAnsi="宋体" w:cs="宋体"/>
          <w:b/>
          <w:color w:val="auto"/>
          <w:kern w:val="0"/>
          <w:sz w:val="36"/>
          <w:szCs w:val="36"/>
          <w:highlight w:val="none"/>
        </w:rPr>
      </w:pPr>
    </w:p>
    <w:p w14:paraId="7E25388A">
      <w:pPr>
        <w:spacing w:line="360" w:lineRule="auto"/>
        <w:ind w:right="420" w:firstLine="3614" w:firstLineChars="1000"/>
        <w:rPr>
          <w:rFonts w:ascii="宋体" w:hAnsi="宋体" w:cs="宋体"/>
          <w:b/>
          <w:color w:val="auto"/>
          <w:kern w:val="0"/>
          <w:sz w:val="36"/>
          <w:szCs w:val="36"/>
          <w:highlight w:val="none"/>
        </w:rPr>
      </w:pPr>
    </w:p>
    <w:p w14:paraId="38C695E3">
      <w:pPr>
        <w:spacing w:line="360" w:lineRule="auto"/>
        <w:ind w:right="420" w:firstLine="3614" w:firstLineChars="1000"/>
        <w:rPr>
          <w:rFonts w:ascii="宋体" w:hAnsi="宋体" w:cs="宋体"/>
          <w:b/>
          <w:color w:val="auto"/>
          <w:kern w:val="0"/>
          <w:sz w:val="36"/>
          <w:szCs w:val="36"/>
          <w:highlight w:val="none"/>
        </w:rPr>
      </w:pPr>
    </w:p>
    <w:p w14:paraId="7444DF7D">
      <w:pPr>
        <w:spacing w:line="360" w:lineRule="auto"/>
        <w:ind w:right="420" w:firstLine="3614" w:firstLineChars="1000"/>
        <w:rPr>
          <w:rFonts w:ascii="宋体" w:hAnsi="宋体" w:cs="宋体"/>
          <w:b/>
          <w:color w:val="auto"/>
          <w:kern w:val="0"/>
          <w:sz w:val="36"/>
          <w:szCs w:val="36"/>
          <w:highlight w:val="none"/>
        </w:rPr>
      </w:pPr>
    </w:p>
    <w:p w14:paraId="19C09450">
      <w:pPr>
        <w:spacing w:line="360" w:lineRule="auto"/>
        <w:ind w:right="420" w:firstLine="3614" w:firstLineChars="1000"/>
        <w:rPr>
          <w:rFonts w:ascii="宋体" w:hAnsi="宋体" w:cs="宋体"/>
          <w:b/>
          <w:color w:val="auto"/>
          <w:kern w:val="0"/>
          <w:sz w:val="36"/>
          <w:szCs w:val="36"/>
          <w:highlight w:val="none"/>
        </w:rPr>
      </w:pPr>
    </w:p>
    <w:p w14:paraId="7E2957DA">
      <w:pPr>
        <w:spacing w:line="360" w:lineRule="auto"/>
        <w:ind w:right="420" w:firstLine="3614" w:firstLineChars="1000"/>
        <w:rPr>
          <w:rFonts w:ascii="宋体" w:hAnsi="宋体" w:cs="宋体"/>
          <w:b/>
          <w:color w:val="auto"/>
          <w:kern w:val="0"/>
          <w:sz w:val="36"/>
          <w:szCs w:val="36"/>
          <w:highlight w:val="none"/>
        </w:rPr>
      </w:pPr>
    </w:p>
    <w:p w14:paraId="22344D8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15EF00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DB32BF8">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75D0705A">
      <w:pPr>
        <w:spacing w:line="360" w:lineRule="auto"/>
        <w:rPr>
          <w:rFonts w:ascii="宋体" w:hAnsi="宋体" w:cs="宋体"/>
          <w:b/>
          <w:color w:val="auto"/>
          <w:spacing w:val="6"/>
          <w:sz w:val="30"/>
          <w:szCs w:val="30"/>
          <w:highlight w:val="none"/>
        </w:rPr>
      </w:pPr>
    </w:p>
    <w:p w14:paraId="498E9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杭州市2025至2026年度数字城管信息采集项目（拱墅区标项一）</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CF092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CE8B8D6">
      <w:pPr>
        <w:spacing w:line="360" w:lineRule="auto"/>
        <w:ind w:firstLine="480" w:firstLineChars="200"/>
        <w:rPr>
          <w:rFonts w:ascii="宋体" w:hAnsi="宋体" w:cs="宋体"/>
          <w:color w:val="auto"/>
          <w:sz w:val="24"/>
          <w:highlight w:val="none"/>
        </w:rPr>
      </w:pPr>
    </w:p>
    <w:p w14:paraId="5325A9D5">
      <w:pPr>
        <w:spacing w:line="360" w:lineRule="auto"/>
        <w:ind w:firstLine="480" w:firstLineChars="200"/>
        <w:rPr>
          <w:rFonts w:ascii="宋体" w:hAnsi="宋体" w:cs="宋体"/>
          <w:color w:val="auto"/>
          <w:sz w:val="24"/>
          <w:highlight w:val="none"/>
        </w:rPr>
      </w:pPr>
    </w:p>
    <w:p w14:paraId="72C3A1E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92E1E3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859F1CA">
      <w:pPr>
        <w:spacing w:line="360" w:lineRule="auto"/>
        <w:ind w:firstLine="480" w:firstLineChars="200"/>
        <w:rPr>
          <w:rFonts w:ascii="宋体" w:hAnsi="宋体" w:cs="宋体"/>
          <w:color w:val="auto"/>
          <w:sz w:val="24"/>
          <w:highlight w:val="none"/>
        </w:rPr>
      </w:pPr>
    </w:p>
    <w:p w14:paraId="10650B45">
      <w:pPr>
        <w:spacing w:line="360" w:lineRule="auto"/>
        <w:ind w:firstLine="420" w:firstLineChars="200"/>
        <w:rPr>
          <w:rFonts w:ascii="宋体" w:hAnsi="宋体" w:cs="宋体"/>
          <w:color w:val="auto"/>
          <w:highlight w:val="none"/>
        </w:rPr>
      </w:pPr>
    </w:p>
    <w:p w14:paraId="6594A28E">
      <w:pPr>
        <w:spacing w:line="360" w:lineRule="auto"/>
        <w:ind w:firstLine="420" w:firstLineChars="200"/>
        <w:rPr>
          <w:rFonts w:ascii="宋体" w:hAnsi="宋体" w:cs="宋体"/>
          <w:color w:val="auto"/>
          <w:highlight w:val="none"/>
        </w:rPr>
      </w:pPr>
    </w:p>
    <w:p w14:paraId="65CCF0E4">
      <w:pPr>
        <w:spacing w:line="360" w:lineRule="auto"/>
        <w:ind w:firstLine="420" w:firstLineChars="200"/>
        <w:rPr>
          <w:rFonts w:ascii="宋体" w:hAnsi="宋体" w:cs="宋体"/>
          <w:color w:val="auto"/>
          <w:highlight w:val="none"/>
        </w:rPr>
      </w:pPr>
    </w:p>
    <w:p w14:paraId="537DD52D">
      <w:pPr>
        <w:spacing w:line="360" w:lineRule="auto"/>
        <w:ind w:firstLine="420" w:firstLineChars="200"/>
        <w:rPr>
          <w:rFonts w:ascii="宋体" w:hAnsi="宋体" w:cs="宋体"/>
          <w:color w:val="auto"/>
          <w:highlight w:val="none"/>
        </w:rPr>
      </w:pPr>
    </w:p>
    <w:p w14:paraId="67F40F96">
      <w:pPr>
        <w:spacing w:line="360" w:lineRule="auto"/>
        <w:rPr>
          <w:rFonts w:ascii="宋体" w:hAnsi="宋体" w:cs="宋体"/>
          <w:b/>
          <w:color w:val="auto"/>
          <w:sz w:val="24"/>
          <w:highlight w:val="none"/>
        </w:rPr>
      </w:pPr>
    </w:p>
    <w:p w14:paraId="5F506463">
      <w:pPr>
        <w:spacing w:line="360" w:lineRule="auto"/>
        <w:rPr>
          <w:rFonts w:ascii="宋体" w:hAnsi="宋体" w:cs="宋体"/>
          <w:b/>
          <w:color w:val="auto"/>
          <w:sz w:val="24"/>
          <w:highlight w:val="none"/>
        </w:rPr>
      </w:pPr>
    </w:p>
    <w:p w14:paraId="18A3BE7F">
      <w:pPr>
        <w:spacing w:line="360" w:lineRule="auto"/>
        <w:rPr>
          <w:rFonts w:ascii="宋体" w:hAnsi="宋体" w:cs="宋体"/>
          <w:b/>
          <w:color w:val="auto"/>
          <w:sz w:val="24"/>
          <w:highlight w:val="none"/>
        </w:rPr>
      </w:pPr>
    </w:p>
    <w:p w14:paraId="44EBCC7B">
      <w:pPr>
        <w:spacing w:line="360" w:lineRule="auto"/>
        <w:rPr>
          <w:rFonts w:ascii="宋体" w:hAnsi="宋体" w:cs="宋体"/>
          <w:b/>
          <w:color w:val="auto"/>
          <w:sz w:val="24"/>
          <w:highlight w:val="none"/>
        </w:rPr>
      </w:pPr>
    </w:p>
    <w:p w14:paraId="14F70C17">
      <w:pPr>
        <w:spacing w:line="360" w:lineRule="auto"/>
        <w:rPr>
          <w:rFonts w:ascii="宋体" w:hAnsi="宋体" w:cs="宋体"/>
          <w:b/>
          <w:color w:val="auto"/>
          <w:sz w:val="24"/>
          <w:highlight w:val="none"/>
        </w:rPr>
      </w:pPr>
    </w:p>
    <w:p w14:paraId="0226BA08">
      <w:pPr>
        <w:spacing w:line="360" w:lineRule="auto"/>
        <w:rPr>
          <w:rFonts w:ascii="宋体" w:hAnsi="宋体" w:cs="宋体"/>
          <w:b/>
          <w:color w:val="auto"/>
          <w:sz w:val="24"/>
          <w:highlight w:val="none"/>
        </w:rPr>
      </w:pPr>
    </w:p>
    <w:p w14:paraId="7DE42D90">
      <w:pPr>
        <w:spacing w:line="360" w:lineRule="auto"/>
        <w:rPr>
          <w:rFonts w:ascii="宋体" w:hAnsi="宋体" w:cs="宋体"/>
          <w:b/>
          <w:color w:val="auto"/>
          <w:sz w:val="24"/>
          <w:highlight w:val="none"/>
        </w:rPr>
      </w:pPr>
    </w:p>
    <w:p w14:paraId="33CC68EE">
      <w:pPr>
        <w:spacing w:line="360" w:lineRule="auto"/>
        <w:rPr>
          <w:rFonts w:ascii="宋体" w:hAnsi="宋体" w:cs="宋体"/>
          <w:b/>
          <w:color w:val="auto"/>
          <w:sz w:val="24"/>
          <w:highlight w:val="none"/>
        </w:rPr>
      </w:pPr>
    </w:p>
    <w:p w14:paraId="12C6165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91F4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E524B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96FE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020E9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076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ED1E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256C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47F3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7AA3B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60802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42728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1FF6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0417C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7F2E8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BA39C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A6BE0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10711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99E4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FB278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0984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ED372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366BD8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06993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7BF9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A934B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31B04D">
      <w:pPr>
        <w:spacing w:line="360" w:lineRule="auto"/>
        <w:jc w:val="center"/>
        <w:rPr>
          <w:rFonts w:ascii="宋体" w:hAnsi="宋体" w:cs="宋体"/>
          <w:b/>
          <w:bCs/>
          <w:color w:val="auto"/>
          <w:sz w:val="24"/>
          <w:highlight w:val="none"/>
        </w:rPr>
      </w:pPr>
    </w:p>
    <w:p w14:paraId="239FDC06">
      <w:pPr>
        <w:spacing w:line="360" w:lineRule="auto"/>
        <w:rPr>
          <w:rFonts w:ascii="宋体" w:hAnsi="宋体" w:cs="宋体"/>
          <w:b/>
          <w:color w:val="auto"/>
          <w:sz w:val="24"/>
          <w:highlight w:val="none"/>
        </w:rPr>
      </w:pPr>
    </w:p>
    <w:p w14:paraId="46215A94">
      <w:pPr>
        <w:spacing w:line="360" w:lineRule="auto"/>
        <w:rPr>
          <w:rFonts w:ascii="宋体" w:hAnsi="宋体" w:cs="宋体"/>
          <w:b/>
          <w:color w:val="auto"/>
          <w:sz w:val="24"/>
          <w:highlight w:val="none"/>
        </w:rPr>
      </w:pPr>
    </w:p>
    <w:p w14:paraId="3712B67D">
      <w:pPr>
        <w:spacing w:line="360" w:lineRule="auto"/>
        <w:rPr>
          <w:rFonts w:ascii="宋体" w:hAnsi="宋体" w:cs="宋体"/>
          <w:b/>
          <w:color w:val="auto"/>
          <w:sz w:val="24"/>
          <w:highlight w:val="none"/>
        </w:rPr>
      </w:pPr>
    </w:p>
    <w:p w14:paraId="2D210E9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48B9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D99B1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A29B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8CA3B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38ADC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55E6B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CD5E6C">
      <w:pPr>
        <w:widowControl/>
        <w:spacing w:line="360" w:lineRule="auto"/>
        <w:ind w:firstLine="600" w:firstLineChars="200"/>
        <w:jc w:val="left"/>
        <w:rPr>
          <w:rFonts w:ascii="宋体" w:hAnsi="宋体" w:cs="宋体"/>
          <w:color w:val="auto"/>
          <w:sz w:val="30"/>
          <w:szCs w:val="30"/>
          <w:highlight w:val="none"/>
        </w:rPr>
      </w:pPr>
    </w:p>
    <w:p w14:paraId="107B6017">
      <w:pPr>
        <w:spacing w:line="360" w:lineRule="auto"/>
        <w:jc w:val="center"/>
        <w:rPr>
          <w:rFonts w:ascii="宋体" w:hAnsi="宋体" w:cs="宋体"/>
          <w:b/>
          <w:color w:val="auto"/>
          <w:spacing w:val="6"/>
          <w:sz w:val="32"/>
          <w:szCs w:val="32"/>
          <w:highlight w:val="none"/>
        </w:rPr>
      </w:pPr>
    </w:p>
    <w:p w14:paraId="0F5CFD9D">
      <w:pPr>
        <w:spacing w:line="360" w:lineRule="auto"/>
        <w:jc w:val="center"/>
        <w:rPr>
          <w:rFonts w:ascii="宋体" w:hAnsi="宋体" w:cs="宋体"/>
          <w:b/>
          <w:color w:val="auto"/>
          <w:spacing w:val="6"/>
          <w:sz w:val="32"/>
          <w:szCs w:val="32"/>
          <w:highlight w:val="none"/>
        </w:rPr>
      </w:pPr>
    </w:p>
    <w:p w14:paraId="4CDC8FC0">
      <w:pPr>
        <w:spacing w:line="360" w:lineRule="auto"/>
        <w:jc w:val="center"/>
        <w:rPr>
          <w:rFonts w:ascii="宋体" w:hAnsi="宋体" w:cs="宋体"/>
          <w:b/>
          <w:color w:val="auto"/>
          <w:spacing w:val="6"/>
          <w:sz w:val="32"/>
          <w:szCs w:val="32"/>
          <w:highlight w:val="none"/>
        </w:rPr>
      </w:pPr>
    </w:p>
    <w:p w14:paraId="2E32688D">
      <w:pPr>
        <w:spacing w:line="360" w:lineRule="auto"/>
        <w:jc w:val="center"/>
        <w:rPr>
          <w:rFonts w:ascii="宋体" w:hAnsi="宋体" w:cs="宋体"/>
          <w:b/>
          <w:color w:val="auto"/>
          <w:spacing w:val="6"/>
          <w:sz w:val="32"/>
          <w:szCs w:val="32"/>
          <w:highlight w:val="none"/>
        </w:rPr>
      </w:pPr>
    </w:p>
    <w:p w14:paraId="7395D71B">
      <w:pPr>
        <w:spacing w:line="360" w:lineRule="auto"/>
        <w:jc w:val="center"/>
        <w:rPr>
          <w:rFonts w:ascii="宋体" w:hAnsi="宋体" w:cs="宋体"/>
          <w:b/>
          <w:color w:val="auto"/>
          <w:spacing w:val="6"/>
          <w:sz w:val="32"/>
          <w:szCs w:val="32"/>
          <w:highlight w:val="none"/>
        </w:rPr>
      </w:pPr>
    </w:p>
    <w:p w14:paraId="10C2310C">
      <w:pPr>
        <w:spacing w:line="360" w:lineRule="auto"/>
        <w:jc w:val="center"/>
        <w:rPr>
          <w:rFonts w:ascii="宋体" w:hAnsi="宋体" w:cs="宋体"/>
          <w:b/>
          <w:color w:val="auto"/>
          <w:spacing w:val="6"/>
          <w:sz w:val="32"/>
          <w:szCs w:val="32"/>
          <w:highlight w:val="none"/>
        </w:rPr>
      </w:pPr>
    </w:p>
    <w:p w14:paraId="1E8E271A">
      <w:pPr>
        <w:spacing w:line="360" w:lineRule="auto"/>
        <w:jc w:val="center"/>
        <w:rPr>
          <w:rFonts w:ascii="宋体" w:hAnsi="宋体" w:cs="宋体"/>
          <w:b/>
          <w:color w:val="auto"/>
          <w:spacing w:val="6"/>
          <w:sz w:val="32"/>
          <w:szCs w:val="32"/>
          <w:highlight w:val="none"/>
        </w:rPr>
      </w:pPr>
    </w:p>
    <w:p w14:paraId="4B19A6EA">
      <w:pPr>
        <w:spacing w:line="360" w:lineRule="auto"/>
        <w:jc w:val="center"/>
        <w:rPr>
          <w:rFonts w:ascii="宋体" w:hAnsi="宋体" w:cs="宋体"/>
          <w:b/>
          <w:color w:val="auto"/>
          <w:spacing w:val="6"/>
          <w:sz w:val="32"/>
          <w:szCs w:val="32"/>
          <w:highlight w:val="none"/>
        </w:rPr>
      </w:pPr>
    </w:p>
    <w:p w14:paraId="19037139">
      <w:pPr>
        <w:spacing w:line="360" w:lineRule="auto"/>
        <w:jc w:val="center"/>
        <w:rPr>
          <w:rFonts w:ascii="宋体" w:hAnsi="宋体" w:cs="宋体"/>
          <w:b/>
          <w:color w:val="auto"/>
          <w:spacing w:val="6"/>
          <w:sz w:val="32"/>
          <w:szCs w:val="32"/>
          <w:highlight w:val="none"/>
        </w:rPr>
      </w:pPr>
    </w:p>
    <w:p w14:paraId="6F1A5D89">
      <w:pPr>
        <w:spacing w:line="360" w:lineRule="auto"/>
        <w:jc w:val="center"/>
        <w:rPr>
          <w:rFonts w:ascii="宋体" w:hAnsi="宋体" w:cs="宋体"/>
          <w:b/>
          <w:color w:val="auto"/>
          <w:spacing w:val="6"/>
          <w:sz w:val="32"/>
          <w:szCs w:val="32"/>
          <w:highlight w:val="none"/>
        </w:rPr>
      </w:pPr>
    </w:p>
    <w:p w14:paraId="630D6BF7">
      <w:pPr>
        <w:spacing w:line="360" w:lineRule="auto"/>
        <w:jc w:val="center"/>
        <w:rPr>
          <w:rFonts w:ascii="宋体" w:hAnsi="宋体" w:cs="宋体"/>
          <w:b/>
          <w:color w:val="auto"/>
          <w:spacing w:val="6"/>
          <w:sz w:val="32"/>
          <w:szCs w:val="32"/>
          <w:highlight w:val="none"/>
        </w:rPr>
      </w:pPr>
    </w:p>
    <w:p w14:paraId="7F724020">
      <w:pPr>
        <w:spacing w:line="360" w:lineRule="auto"/>
        <w:jc w:val="center"/>
        <w:rPr>
          <w:rFonts w:ascii="宋体" w:hAnsi="宋体" w:cs="宋体"/>
          <w:b/>
          <w:color w:val="auto"/>
          <w:spacing w:val="6"/>
          <w:sz w:val="32"/>
          <w:szCs w:val="32"/>
          <w:highlight w:val="none"/>
        </w:rPr>
      </w:pPr>
    </w:p>
    <w:p w14:paraId="23DFE181">
      <w:pPr>
        <w:spacing w:line="360" w:lineRule="auto"/>
        <w:jc w:val="left"/>
        <w:rPr>
          <w:rFonts w:ascii="宋体" w:hAnsi="宋体" w:cs="宋体"/>
          <w:b/>
          <w:color w:val="auto"/>
          <w:spacing w:val="6"/>
          <w:sz w:val="32"/>
          <w:szCs w:val="32"/>
          <w:highlight w:val="none"/>
        </w:rPr>
      </w:pPr>
    </w:p>
    <w:p w14:paraId="3E1C0707">
      <w:pPr>
        <w:spacing w:line="360" w:lineRule="auto"/>
        <w:jc w:val="left"/>
        <w:rPr>
          <w:rFonts w:ascii="宋体" w:hAnsi="宋体" w:cs="宋体"/>
          <w:b/>
          <w:color w:val="auto"/>
          <w:spacing w:val="6"/>
          <w:sz w:val="32"/>
          <w:szCs w:val="32"/>
          <w:highlight w:val="none"/>
        </w:rPr>
      </w:pPr>
    </w:p>
    <w:p w14:paraId="5570B61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D8928D9">
      <w:pPr>
        <w:spacing w:line="360" w:lineRule="auto"/>
        <w:jc w:val="center"/>
        <w:rPr>
          <w:rFonts w:ascii="宋体" w:hAnsi="宋体" w:cs="宋体"/>
          <w:b/>
          <w:color w:val="auto"/>
          <w:sz w:val="24"/>
          <w:highlight w:val="none"/>
        </w:rPr>
      </w:pPr>
    </w:p>
    <w:p w14:paraId="504D16D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393C51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71CA4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019D2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3D4CB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33BB7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F7C5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BF0A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BD4C7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56C9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FC49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05446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44365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AA16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94A4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C2D8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F916E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3B808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5494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629F5E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095E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CFC92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D0B0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477A82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BA954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E80E1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3A3E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7AF4B4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60EF3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19C30B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6AD1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A1CF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45CC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24CAD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48616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7BC6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8F0195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4BA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C693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EF3DC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445790">
      <w:pPr>
        <w:spacing w:line="360" w:lineRule="auto"/>
        <w:rPr>
          <w:rFonts w:ascii="宋体" w:hAnsi="宋体" w:cs="宋体"/>
          <w:b/>
          <w:color w:val="auto"/>
          <w:sz w:val="24"/>
          <w:highlight w:val="none"/>
        </w:rPr>
      </w:pPr>
    </w:p>
    <w:p w14:paraId="3C7BC297">
      <w:pPr>
        <w:spacing w:line="360" w:lineRule="auto"/>
        <w:rPr>
          <w:rFonts w:ascii="宋体" w:hAnsi="宋体" w:cs="宋体"/>
          <w:b/>
          <w:color w:val="auto"/>
          <w:sz w:val="24"/>
          <w:highlight w:val="none"/>
        </w:rPr>
      </w:pPr>
    </w:p>
    <w:p w14:paraId="7DF98E0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7C93CA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F4915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7A539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319C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D2F4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4A60B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B5938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14DBC8F">
      <w:pPr>
        <w:spacing w:line="360" w:lineRule="auto"/>
        <w:rPr>
          <w:rFonts w:ascii="宋体" w:hAnsi="宋体" w:cs="宋体"/>
          <w:b/>
          <w:color w:val="auto"/>
          <w:sz w:val="24"/>
          <w:highlight w:val="none"/>
        </w:rPr>
      </w:pPr>
    </w:p>
    <w:p w14:paraId="2FB9DD23">
      <w:pPr>
        <w:autoSpaceDE w:val="0"/>
        <w:autoSpaceDN w:val="0"/>
        <w:jc w:val="center"/>
        <w:rPr>
          <w:rFonts w:ascii="宋体" w:hAnsi="宋体" w:cs="宋体"/>
          <w:b/>
          <w:color w:val="auto"/>
          <w:spacing w:val="6"/>
          <w:sz w:val="32"/>
          <w:szCs w:val="32"/>
          <w:highlight w:val="none"/>
        </w:rPr>
      </w:pPr>
    </w:p>
    <w:p w14:paraId="4021934F">
      <w:pPr>
        <w:autoSpaceDE w:val="0"/>
        <w:autoSpaceDN w:val="0"/>
        <w:jc w:val="center"/>
        <w:rPr>
          <w:rFonts w:ascii="宋体" w:hAnsi="宋体" w:cs="宋体"/>
          <w:b/>
          <w:color w:val="auto"/>
          <w:spacing w:val="6"/>
          <w:sz w:val="32"/>
          <w:szCs w:val="32"/>
          <w:highlight w:val="none"/>
        </w:rPr>
      </w:pPr>
    </w:p>
    <w:p w14:paraId="19AEB82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0C126D">
      <w:pPr>
        <w:spacing w:line="360" w:lineRule="auto"/>
        <w:rPr>
          <w:rFonts w:ascii="宋体" w:hAnsi="宋体" w:cs="宋体"/>
          <w:color w:val="auto"/>
          <w:sz w:val="24"/>
          <w:highlight w:val="none"/>
          <w:u w:val="single"/>
        </w:rPr>
      </w:pPr>
    </w:p>
    <w:p w14:paraId="0BCAF03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u w:val="single"/>
        </w:rPr>
        <w:t>、杭州市公共资源交易中心：</w:t>
      </w:r>
    </w:p>
    <w:p w14:paraId="28D339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364F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D51F77">
      <w:pPr>
        <w:spacing w:line="360" w:lineRule="auto"/>
        <w:ind w:firstLine="494"/>
        <w:rPr>
          <w:rFonts w:ascii="宋体" w:hAnsi="宋体" w:cs="宋体"/>
          <w:color w:val="auto"/>
          <w:sz w:val="24"/>
          <w:highlight w:val="none"/>
        </w:rPr>
      </w:pPr>
    </w:p>
    <w:p w14:paraId="4D092FDC">
      <w:pPr>
        <w:spacing w:line="360" w:lineRule="auto"/>
        <w:ind w:firstLine="494"/>
        <w:rPr>
          <w:rFonts w:ascii="宋体" w:hAnsi="宋体" w:cs="宋体"/>
          <w:color w:val="auto"/>
          <w:sz w:val="24"/>
          <w:highlight w:val="none"/>
        </w:rPr>
      </w:pPr>
    </w:p>
    <w:p w14:paraId="1DD36ED2">
      <w:pPr>
        <w:spacing w:line="360" w:lineRule="auto"/>
        <w:ind w:firstLine="494"/>
        <w:rPr>
          <w:rFonts w:ascii="宋体" w:hAnsi="宋体" w:cs="宋体"/>
          <w:color w:val="auto"/>
          <w:sz w:val="24"/>
          <w:highlight w:val="none"/>
        </w:rPr>
      </w:pPr>
    </w:p>
    <w:p w14:paraId="68D83836">
      <w:pPr>
        <w:spacing w:line="360" w:lineRule="auto"/>
        <w:ind w:firstLine="494"/>
        <w:rPr>
          <w:rFonts w:ascii="宋体" w:hAnsi="宋体" w:cs="宋体"/>
          <w:color w:val="auto"/>
          <w:sz w:val="24"/>
          <w:highlight w:val="none"/>
        </w:rPr>
      </w:pPr>
    </w:p>
    <w:p w14:paraId="2E62145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F6B7EA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478884">
      <w:pPr>
        <w:rPr>
          <w:rFonts w:ascii="宋体" w:hAnsi="宋体" w:cs="宋体"/>
          <w:color w:val="auto"/>
          <w:sz w:val="24"/>
          <w:highlight w:val="none"/>
        </w:rPr>
      </w:pPr>
      <w:r>
        <w:rPr>
          <w:rFonts w:hint="eastAsia" w:ascii="宋体" w:hAnsi="宋体" w:cs="宋体"/>
          <w:b/>
          <w:bCs/>
          <w:color w:val="auto"/>
          <w:sz w:val="24"/>
          <w:highlight w:val="none"/>
        </w:rPr>
        <w:t>附：</w:t>
      </w:r>
    </w:p>
    <w:p w14:paraId="4BE86DE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CE0E344">
      <w:pPr>
        <w:autoSpaceDE w:val="0"/>
        <w:autoSpaceDN w:val="0"/>
        <w:jc w:val="center"/>
        <w:rPr>
          <w:rFonts w:ascii="宋体" w:hAnsi="宋体" w:cs="宋体"/>
          <w:b/>
          <w:color w:val="auto"/>
          <w:spacing w:val="6"/>
          <w:sz w:val="32"/>
          <w:szCs w:val="32"/>
          <w:highlight w:val="none"/>
        </w:rPr>
      </w:pPr>
    </w:p>
    <w:p w14:paraId="0D9FD55F">
      <w:pPr>
        <w:autoSpaceDE w:val="0"/>
        <w:autoSpaceDN w:val="0"/>
        <w:jc w:val="center"/>
        <w:rPr>
          <w:rFonts w:ascii="宋体" w:hAnsi="宋体" w:cs="宋体"/>
          <w:b/>
          <w:color w:val="auto"/>
          <w:spacing w:val="6"/>
          <w:sz w:val="32"/>
          <w:szCs w:val="32"/>
          <w:highlight w:val="none"/>
        </w:rPr>
      </w:pPr>
    </w:p>
    <w:p w14:paraId="338F0506">
      <w:pPr>
        <w:autoSpaceDE w:val="0"/>
        <w:autoSpaceDN w:val="0"/>
        <w:jc w:val="center"/>
        <w:rPr>
          <w:rFonts w:ascii="宋体" w:hAnsi="宋体" w:cs="宋体"/>
          <w:b/>
          <w:color w:val="auto"/>
          <w:spacing w:val="6"/>
          <w:sz w:val="32"/>
          <w:szCs w:val="32"/>
          <w:highlight w:val="none"/>
        </w:rPr>
      </w:pPr>
    </w:p>
    <w:p w14:paraId="5CFC2208">
      <w:pPr>
        <w:autoSpaceDE w:val="0"/>
        <w:autoSpaceDN w:val="0"/>
        <w:jc w:val="center"/>
        <w:rPr>
          <w:rFonts w:ascii="宋体" w:hAnsi="宋体" w:cs="宋体"/>
          <w:b/>
          <w:color w:val="auto"/>
          <w:spacing w:val="6"/>
          <w:sz w:val="32"/>
          <w:szCs w:val="32"/>
          <w:highlight w:val="none"/>
        </w:rPr>
      </w:pPr>
    </w:p>
    <w:p w14:paraId="18A09B39">
      <w:pPr>
        <w:autoSpaceDE w:val="0"/>
        <w:autoSpaceDN w:val="0"/>
        <w:jc w:val="center"/>
        <w:rPr>
          <w:rFonts w:ascii="宋体" w:hAnsi="宋体" w:cs="宋体"/>
          <w:b/>
          <w:color w:val="auto"/>
          <w:spacing w:val="6"/>
          <w:sz w:val="32"/>
          <w:szCs w:val="32"/>
          <w:highlight w:val="none"/>
        </w:rPr>
      </w:pPr>
    </w:p>
    <w:p w14:paraId="21768500">
      <w:pPr>
        <w:autoSpaceDE w:val="0"/>
        <w:autoSpaceDN w:val="0"/>
        <w:jc w:val="center"/>
        <w:rPr>
          <w:rFonts w:ascii="宋体" w:hAnsi="宋体" w:cs="宋体"/>
          <w:b/>
          <w:color w:val="auto"/>
          <w:spacing w:val="6"/>
          <w:sz w:val="32"/>
          <w:szCs w:val="32"/>
          <w:highlight w:val="none"/>
        </w:rPr>
      </w:pPr>
    </w:p>
    <w:p w14:paraId="22A9A0E5">
      <w:pPr>
        <w:autoSpaceDE w:val="0"/>
        <w:autoSpaceDN w:val="0"/>
        <w:jc w:val="center"/>
        <w:rPr>
          <w:rFonts w:ascii="宋体" w:hAnsi="宋体" w:cs="宋体"/>
          <w:b/>
          <w:color w:val="auto"/>
          <w:spacing w:val="6"/>
          <w:sz w:val="32"/>
          <w:szCs w:val="32"/>
          <w:highlight w:val="none"/>
        </w:rPr>
      </w:pPr>
    </w:p>
    <w:p w14:paraId="3D93E0DE">
      <w:pPr>
        <w:autoSpaceDE w:val="0"/>
        <w:autoSpaceDN w:val="0"/>
        <w:jc w:val="center"/>
        <w:rPr>
          <w:rFonts w:ascii="宋体" w:hAnsi="宋体" w:cs="宋体"/>
          <w:b/>
          <w:color w:val="auto"/>
          <w:spacing w:val="6"/>
          <w:sz w:val="32"/>
          <w:szCs w:val="32"/>
          <w:highlight w:val="none"/>
        </w:rPr>
      </w:pPr>
    </w:p>
    <w:p w14:paraId="70B97513">
      <w:pPr>
        <w:autoSpaceDE w:val="0"/>
        <w:autoSpaceDN w:val="0"/>
        <w:jc w:val="center"/>
        <w:rPr>
          <w:rFonts w:ascii="宋体" w:hAnsi="宋体" w:cs="宋体"/>
          <w:b/>
          <w:color w:val="auto"/>
          <w:spacing w:val="6"/>
          <w:sz w:val="32"/>
          <w:szCs w:val="32"/>
          <w:highlight w:val="none"/>
        </w:rPr>
      </w:pPr>
    </w:p>
    <w:p w14:paraId="6BD9A9CE">
      <w:pPr>
        <w:autoSpaceDE w:val="0"/>
        <w:autoSpaceDN w:val="0"/>
        <w:jc w:val="center"/>
        <w:rPr>
          <w:rFonts w:ascii="宋体" w:hAnsi="宋体" w:cs="宋体"/>
          <w:b/>
          <w:color w:val="auto"/>
          <w:spacing w:val="6"/>
          <w:sz w:val="32"/>
          <w:szCs w:val="32"/>
          <w:highlight w:val="none"/>
        </w:rPr>
      </w:pPr>
    </w:p>
    <w:p w14:paraId="1A538A55">
      <w:pPr>
        <w:autoSpaceDE w:val="0"/>
        <w:autoSpaceDN w:val="0"/>
        <w:jc w:val="center"/>
        <w:rPr>
          <w:rFonts w:ascii="宋体" w:hAnsi="宋体" w:cs="宋体"/>
          <w:b/>
          <w:color w:val="auto"/>
          <w:spacing w:val="6"/>
          <w:sz w:val="32"/>
          <w:szCs w:val="32"/>
          <w:highlight w:val="none"/>
        </w:rPr>
      </w:pPr>
    </w:p>
    <w:p w14:paraId="64483BF7">
      <w:pPr>
        <w:autoSpaceDE w:val="0"/>
        <w:autoSpaceDN w:val="0"/>
        <w:jc w:val="center"/>
        <w:rPr>
          <w:rFonts w:ascii="宋体" w:hAnsi="宋体" w:cs="宋体"/>
          <w:b/>
          <w:color w:val="auto"/>
          <w:spacing w:val="6"/>
          <w:sz w:val="32"/>
          <w:szCs w:val="32"/>
          <w:highlight w:val="none"/>
        </w:rPr>
      </w:pPr>
    </w:p>
    <w:p w14:paraId="1A435C00">
      <w:pPr>
        <w:autoSpaceDE w:val="0"/>
        <w:autoSpaceDN w:val="0"/>
        <w:jc w:val="center"/>
        <w:rPr>
          <w:rFonts w:ascii="宋体" w:hAnsi="宋体" w:cs="宋体"/>
          <w:b/>
          <w:color w:val="auto"/>
          <w:spacing w:val="6"/>
          <w:sz w:val="32"/>
          <w:szCs w:val="32"/>
          <w:highlight w:val="none"/>
        </w:rPr>
      </w:pPr>
    </w:p>
    <w:p w14:paraId="2D8A8169">
      <w:pPr>
        <w:autoSpaceDE w:val="0"/>
        <w:autoSpaceDN w:val="0"/>
        <w:jc w:val="center"/>
        <w:rPr>
          <w:rFonts w:ascii="宋体" w:hAnsi="宋体" w:cs="宋体"/>
          <w:b/>
          <w:color w:val="auto"/>
          <w:spacing w:val="6"/>
          <w:sz w:val="32"/>
          <w:szCs w:val="32"/>
          <w:highlight w:val="none"/>
        </w:rPr>
      </w:pPr>
    </w:p>
    <w:p w14:paraId="1547156F">
      <w:pPr>
        <w:autoSpaceDE w:val="0"/>
        <w:autoSpaceDN w:val="0"/>
        <w:jc w:val="center"/>
        <w:rPr>
          <w:rFonts w:ascii="宋体" w:hAnsi="宋体" w:cs="宋体"/>
          <w:b/>
          <w:color w:val="auto"/>
          <w:spacing w:val="6"/>
          <w:sz w:val="32"/>
          <w:szCs w:val="32"/>
          <w:highlight w:val="none"/>
        </w:rPr>
      </w:pPr>
    </w:p>
    <w:p w14:paraId="327B8BEE">
      <w:pPr>
        <w:autoSpaceDE w:val="0"/>
        <w:autoSpaceDN w:val="0"/>
        <w:jc w:val="center"/>
        <w:rPr>
          <w:rFonts w:ascii="宋体" w:hAnsi="宋体" w:cs="宋体"/>
          <w:b/>
          <w:color w:val="auto"/>
          <w:spacing w:val="6"/>
          <w:sz w:val="32"/>
          <w:szCs w:val="32"/>
          <w:highlight w:val="none"/>
        </w:rPr>
      </w:pPr>
    </w:p>
    <w:p w14:paraId="0AD2C6B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6AC37F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6C9A6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0B7F6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55F50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213D62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6CE8BC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A8297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BD4F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6C854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41F7CC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780A06C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152483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4743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203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253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DED25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AFE33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6322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DDF44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92361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0FE8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26CF1A">
      <w:pPr>
        <w:autoSpaceDE w:val="0"/>
        <w:autoSpaceDN w:val="0"/>
        <w:jc w:val="center"/>
        <w:rPr>
          <w:rFonts w:ascii="宋体" w:hAnsi="宋体" w:cs="宋体"/>
          <w:b/>
          <w:color w:val="auto"/>
          <w:spacing w:val="6"/>
          <w:sz w:val="32"/>
          <w:szCs w:val="32"/>
          <w:highlight w:val="none"/>
        </w:rPr>
      </w:pPr>
    </w:p>
    <w:p w14:paraId="5EC4A2D7">
      <w:pPr>
        <w:autoSpaceDE w:val="0"/>
        <w:autoSpaceDN w:val="0"/>
        <w:jc w:val="center"/>
        <w:rPr>
          <w:rFonts w:ascii="宋体" w:hAnsi="宋体" w:cs="宋体"/>
          <w:b/>
          <w:color w:val="auto"/>
          <w:spacing w:val="6"/>
          <w:sz w:val="32"/>
          <w:szCs w:val="32"/>
          <w:highlight w:val="none"/>
        </w:rPr>
      </w:pPr>
    </w:p>
    <w:p w14:paraId="4E12D793">
      <w:pPr>
        <w:autoSpaceDE w:val="0"/>
        <w:autoSpaceDN w:val="0"/>
        <w:jc w:val="center"/>
        <w:rPr>
          <w:rFonts w:ascii="宋体" w:hAnsi="宋体" w:cs="宋体"/>
          <w:b/>
          <w:color w:val="auto"/>
          <w:spacing w:val="6"/>
          <w:sz w:val="32"/>
          <w:szCs w:val="32"/>
          <w:highlight w:val="none"/>
        </w:rPr>
      </w:pPr>
    </w:p>
    <w:p w14:paraId="1D41F711">
      <w:pPr>
        <w:autoSpaceDE w:val="0"/>
        <w:autoSpaceDN w:val="0"/>
        <w:jc w:val="center"/>
        <w:rPr>
          <w:rFonts w:ascii="宋体" w:hAnsi="宋体" w:cs="宋体"/>
          <w:b/>
          <w:color w:val="auto"/>
          <w:spacing w:val="6"/>
          <w:sz w:val="32"/>
          <w:szCs w:val="32"/>
          <w:highlight w:val="none"/>
        </w:rPr>
      </w:pPr>
    </w:p>
    <w:p w14:paraId="78A27D4E">
      <w:pPr>
        <w:autoSpaceDE w:val="0"/>
        <w:autoSpaceDN w:val="0"/>
        <w:jc w:val="center"/>
        <w:rPr>
          <w:rFonts w:ascii="宋体" w:hAnsi="宋体" w:cs="宋体"/>
          <w:b/>
          <w:color w:val="auto"/>
          <w:spacing w:val="6"/>
          <w:sz w:val="32"/>
          <w:szCs w:val="32"/>
          <w:highlight w:val="none"/>
        </w:rPr>
      </w:pPr>
    </w:p>
    <w:p w14:paraId="3EEDE65C">
      <w:pPr>
        <w:autoSpaceDE w:val="0"/>
        <w:autoSpaceDN w:val="0"/>
        <w:jc w:val="center"/>
        <w:rPr>
          <w:rFonts w:ascii="宋体" w:hAnsi="宋体" w:cs="宋体"/>
          <w:b/>
          <w:color w:val="auto"/>
          <w:spacing w:val="6"/>
          <w:sz w:val="32"/>
          <w:szCs w:val="32"/>
          <w:highlight w:val="none"/>
        </w:rPr>
      </w:pPr>
    </w:p>
    <w:p w14:paraId="4D3A3649">
      <w:pPr>
        <w:autoSpaceDE w:val="0"/>
        <w:autoSpaceDN w:val="0"/>
        <w:jc w:val="center"/>
        <w:rPr>
          <w:rFonts w:ascii="宋体" w:hAnsi="宋体" w:cs="宋体"/>
          <w:b/>
          <w:color w:val="auto"/>
          <w:spacing w:val="6"/>
          <w:sz w:val="32"/>
          <w:szCs w:val="32"/>
          <w:highlight w:val="none"/>
        </w:rPr>
      </w:pPr>
    </w:p>
    <w:p w14:paraId="425C0846">
      <w:pPr>
        <w:autoSpaceDE w:val="0"/>
        <w:autoSpaceDN w:val="0"/>
        <w:jc w:val="center"/>
        <w:rPr>
          <w:rFonts w:ascii="宋体" w:hAnsi="宋体" w:cs="宋体"/>
          <w:b/>
          <w:color w:val="auto"/>
          <w:spacing w:val="6"/>
          <w:sz w:val="32"/>
          <w:szCs w:val="32"/>
          <w:highlight w:val="none"/>
        </w:rPr>
      </w:pPr>
    </w:p>
    <w:p w14:paraId="4726E41A">
      <w:pPr>
        <w:autoSpaceDE w:val="0"/>
        <w:autoSpaceDN w:val="0"/>
        <w:jc w:val="center"/>
        <w:rPr>
          <w:rFonts w:ascii="宋体" w:hAnsi="宋体" w:cs="宋体"/>
          <w:b/>
          <w:color w:val="auto"/>
          <w:spacing w:val="6"/>
          <w:sz w:val="32"/>
          <w:szCs w:val="32"/>
          <w:highlight w:val="none"/>
        </w:rPr>
      </w:pPr>
    </w:p>
    <w:p w14:paraId="226D3735">
      <w:pPr>
        <w:autoSpaceDE w:val="0"/>
        <w:autoSpaceDN w:val="0"/>
        <w:jc w:val="center"/>
        <w:rPr>
          <w:rFonts w:ascii="宋体" w:hAnsi="宋体" w:cs="宋体"/>
          <w:b/>
          <w:color w:val="auto"/>
          <w:spacing w:val="6"/>
          <w:sz w:val="32"/>
          <w:szCs w:val="32"/>
          <w:highlight w:val="none"/>
        </w:rPr>
      </w:pPr>
    </w:p>
    <w:p w14:paraId="3C529D45">
      <w:pPr>
        <w:autoSpaceDE w:val="0"/>
        <w:autoSpaceDN w:val="0"/>
        <w:jc w:val="center"/>
        <w:rPr>
          <w:rFonts w:ascii="宋体" w:hAnsi="宋体" w:cs="宋体"/>
          <w:b/>
          <w:color w:val="auto"/>
          <w:spacing w:val="6"/>
          <w:sz w:val="32"/>
          <w:szCs w:val="32"/>
          <w:highlight w:val="none"/>
        </w:rPr>
      </w:pPr>
    </w:p>
    <w:p w14:paraId="5F67602D">
      <w:pPr>
        <w:autoSpaceDE w:val="0"/>
        <w:autoSpaceDN w:val="0"/>
        <w:jc w:val="center"/>
        <w:rPr>
          <w:rFonts w:ascii="宋体" w:hAnsi="宋体" w:cs="宋体"/>
          <w:b/>
          <w:color w:val="auto"/>
          <w:spacing w:val="6"/>
          <w:sz w:val="32"/>
          <w:szCs w:val="32"/>
          <w:highlight w:val="none"/>
        </w:rPr>
      </w:pPr>
    </w:p>
    <w:p w14:paraId="25140FEA">
      <w:pPr>
        <w:autoSpaceDE w:val="0"/>
        <w:autoSpaceDN w:val="0"/>
        <w:jc w:val="center"/>
        <w:rPr>
          <w:rFonts w:ascii="宋体" w:hAnsi="宋体" w:cs="宋体"/>
          <w:b/>
          <w:color w:val="auto"/>
          <w:spacing w:val="6"/>
          <w:sz w:val="32"/>
          <w:szCs w:val="32"/>
          <w:highlight w:val="none"/>
        </w:rPr>
      </w:pPr>
    </w:p>
    <w:p w14:paraId="3DFEE39E">
      <w:pPr>
        <w:autoSpaceDE w:val="0"/>
        <w:autoSpaceDN w:val="0"/>
        <w:jc w:val="center"/>
        <w:rPr>
          <w:rFonts w:ascii="宋体" w:hAnsi="宋体" w:cs="宋体"/>
          <w:b/>
          <w:color w:val="auto"/>
          <w:spacing w:val="6"/>
          <w:sz w:val="32"/>
          <w:szCs w:val="32"/>
          <w:highlight w:val="none"/>
        </w:rPr>
      </w:pPr>
    </w:p>
    <w:p w14:paraId="4C7A10D0">
      <w:pPr>
        <w:autoSpaceDE w:val="0"/>
        <w:autoSpaceDN w:val="0"/>
        <w:jc w:val="center"/>
        <w:rPr>
          <w:rFonts w:ascii="宋体" w:hAnsi="宋体" w:cs="宋体"/>
          <w:b/>
          <w:color w:val="auto"/>
          <w:spacing w:val="6"/>
          <w:sz w:val="32"/>
          <w:szCs w:val="32"/>
          <w:highlight w:val="none"/>
        </w:rPr>
      </w:pPr>
    </w:p>
    <w:p w14:paraId="5CBCE1EE">
      <w:pPr>
        <w:autoSpaceDE w:val="0"/>
        <w:autoSpaceDN w:val="0"/>
        <w:jc w:val="center"/>
        <w:rPr>
          <w:rFonts w:ascii="宋体" w:hAnsi="宋体" w:cs="宋体"/>
          <w:b/>
          <w:color w:val="auto"/>
          <w:spacing w:val="6"/>
          <w:sz w:val="32"/>
          <w:szCs w:val="32"/>
          <w:highlight w:val="none"/>
        </w:rPr>
      </w:pPr>
    </w:p>
    <w:p w14:paraId="1E0E4466">
      <w:pPr>
        <w:autoSpaceDE w:val="0"/>
        <w:autoSpaceDN w:val="0"/>
        <w:jc w:val="center"/>
        <w:rPr>
          <w:rFonts w:ascii="宋体" w:hAnsi="宋体" w:cs="宋体"/>
          <w:b/>
          <w:color w:val="auto"/>
          <w:spacing w:val="6"/>
          <w:sz w:val="32"/>
          <w:szCs w:val="32"/>
          <w:highlight w:val="none"/>
        </w:rPr>
      </w:pPr>
    </w:p>
    <w:p w14:paraId="32173E59">
      <w:pPr>
        <w:autoSpaceDE w:val="0"/>
        <w:autoSpaceDN w:val="0"/>
        <w:jc w:val="center"/>
        <w:rPr>
          <w:rFonts w:ascii="宋体" w:hAnsi="宋体" w:cs="宋体"/>
          <w:b/>
          <w:color w:val="auto"/>
          <w:spacing w:val="6"/>
          <w:sz w:val="32"/>
          <w:szCs w:val="32"/>
          <w:highlight w:val="none"/>
        </w:rPr>
      </w:pPr>
    </w:p>
    <w:p w14:paraId="694EEEC5">
      <w:pPr>
        <w:autoSpaceDE w:val="0"/>
        <w:autoSpaceDN w:val="0"/>
        <w:jc w:val="center"/>
        <w:rPr>
          <w:rFonts w:ascii="宋体" w:hAnsi="宋体" w:cs="宋体"/>
          <w:b/>
          <w:color w:val="auto"/>
          <w:spacing w:val="6"/>
          <w:sz w:val="32"/>
          <w:szCs w:val="32"/>
          <w:highlight w:val="none"/>
        </w:rPr>
      </w:pPr>
    </w:p>
    <w:p w14:paraId="2175B656">
      <w:pPr>
        <w:autoSpaceDE w:val="0"/>
        <w:autoSpaceDN w:val="0"/>
        <w:jc w:val="center"/>
        <w:rPr>
          <w:rFonts w:ascii="宋体" w:hAnsi="宋体" w:cs="宋体"/>
          <w:b/>
          <w:color w:val="auto"/>
          <w:spacing w:val="6"/>
          <w:sz w:val="32"/>
          <w:szCs w:val="32"/>
          <w:highlight w:val="none"/>
        </w:rPr>
      </w:pPr>
    </w:p>
    <w:p w14:paraId="0477CE06">
      <w:pPr>
        <w:autoSpaceDE w:val="0"/>
        <w:autoSpaceDN w:val="0"/>
        <w:jc w:val="center"/>
        <w:rPr>
          <w:rFonts w:ascii="宋体" w:hAnsi="宋体" w:cs="宋体"/>
          <w:b/>
          <w:color w:val="auto"/>
          <w:spacing w:val="6"/>
          <w:sz w:val="32"/>
          <w:szCs w:val="32"/>
          <w:highlight w:val="none"/>
        </w:rPr>
      </w:pPr>
    </w:p>
    <w:p w14:paraId="0AEEE782">
      <w:pPr>
        <w:autoSpaceDE w:val="0"/>
        <w:autoSpaceDN w:val="0"/>
        <w:jc w:val="center"/>
        <w:rPr>
          <w:rFonts w:ascii="宋体" w:hAnsi="宋体" w:cs="宋体"/>
          <w:b/>
          <w:color w:val="auto"/>
          <w:spacing w:val="6"/>
          <w:sz w:val="32"/>
          <w:szCs w:val="32"/>
          <w:highlight w:val="none"/>
        </w:rPr>
      </w:pPr>
    </w:p>
    <w:p w14:paraId="6E41125B">
      <w:pPr>
        <w:autoSpaceDE w:val="0"/>
        <w:autoSpaceDN w:val="0"/>
        <w:jc w:val="center"/>
        <w:rPr>
          <w:rFonts w:ascii="宋体" w:hAnsi="宋体" w:cs="宋体"/>
          <w:b/>
          <w:color w:val="auto"/>
          <w:spacing w:val="6"/>
          <w:sz w:val="32"/>
          <w:szCs w:val="32"/>
          <w:highlight w:val="none"/>
        </w:rPr>
      </w:pPr>
    </w:p>
    <w:p w14:paraId="27326380">
      <w:pPr>
        <w:snapToGrid w:val="0"/>
        <w:spacing w:line="360" w:lineRule="auto"/>
        <w:ind w:firstLine="3666" w:firstLineChars="1100"/>
        <w:rPr>
          <w:rFonts w:ascii="宋体" w:hAnsi="宋体" w:cs="宋体"/>
          <w:b/>
          <w:color w:val="auto"/>
          <w:spacing w:val="6"/>
          <w:sz w:val="32"/>
          <w:szCs w:val="32"/>
          <w:highlight w:val="none"/>
        </w:rPr>
      </w:pPr>
    </w:p>
    <w:p w14:paraId="58370DDA">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B7FCB9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BB937C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6FAE8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杭州市2025至2026年度数字城管信息采集项目（拱墅区标项一）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9807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2D01AD4">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625DB033">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1F04E79">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B7B00CF">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40CA325">
      <w:pPr>
        <w:pStyle w:val="3"/>
        <w:ind w:left="664" w:leftChars="316" w:firstLine="305" w:firstLineChars="95"/>
        <w:rPr>
          <w:color w:val="auto"/>
          <w:highlight w:val="none"/>
        </w:rPr>
      </w:pPr>
    </w:p>
    <w:p w14:paraId="47EF57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F2113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C3B35D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58B78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0A7D9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3CB6F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BEE5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762A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0CD177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FD2D2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17254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628E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D1A8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1B67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AD5413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031CECC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CAAFB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7AEB3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8661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12C8B5">
      <w:pPr>
        <w:autoSpaceDE w:val="0"/>
        <w:autoSpaceDN w:val="0"/>
        <w:jc w:val="center"/>
        <w:rPr>
          <w:rFonts w:ascii="宋体" w:hAnsi="宋体" w:cs="宋体"/>
          <w:b/>
          <w:color w:val="auto"/>
          <w:spacing w:val="6"/>
          <w:sz w:val="32"/>
          <w:szCs w:val="32"/>
          <w:highlight w:val="none"/>
        </w:rPr>
      </w:pPr>
    </w:p>
    <w:p w14:paraId="72B667E8">
      <w:pPr>
        <w:autoSpaceDE w:val="0"/>
        <w:autoSpaceDN w:val="0"/>
        <w:jc w:val="center"/>
        <w:rPr>
          <w:rFonts w:ascii="宋体" w:hAnsi="宋体" w:cs="宋体"/>
          <w:b/>
          <w:color w:val="auto"/>
          <w:spacing w:val="6"/>
          <w:sz w:val="32"/>
          <w:szCs w:val="32"/>
          <w:highlight w:val="none"/>
        </w:rPr>
      </w:pPr>
    </w:p>
    <w:p w14:paraId="5218FD47">
      <w:pPr>
        <w:autoSpaceDE w:val="0"/>
        <w:autoSpaceDN w:val="0"/>
        <w:jc w:val="center"/>
        <w:rPr>
          <w:rFonts w:ascii="宋体" w:hAnsi="宋体" w:cs="宋体"/>
          <w:b/>
          <w:color w:val="auto"/>
          <w:spacing w:val="6"/>
          <w:sz w:val="32"/>
          <w:szCs w:val="32"/>
          <w:highlight w:val="none"/>
        </w:rPr>
      </w:pPr>
    </w:p>
    <w:p w14:paraId="22353B3B">
      <w:pPr>
        <w:autoSpaceDE w:val="0"/>
        <w:autoSpaceDN w:val="0"/>
        <w:jc w:val="center"/>
        <w:rPr>
          <w:rFonts w:ascii="宋体" w:hAnsi="宋体" w:cs="宋体"/>
          <w:b/>
          <w:color w:val="auto"/>
          <w:spacing w:val="6"/>
          <w:sz w:val="32"/>
          <w:szCs w:val="32"/>
          <w:highlight w:val="none"/>
        </w:rPr>
      </w:pPr>
    </w:p>
    <w:p w14:paraId="3280FB2E">
      <w:pPr>
        <w:autoSpaceDE w:val="0"/>
        <w:autoSpaceDN w:val="0"/>
        <w:jc w:val="center"/>
        <w:rPr>
          <w:rFonts w:ascii="宋体" w:hAnsi="宋体" w:cs="宋体"/>
          <w:b/>
          <w:color w:val="auto"/>
          <w:spacing w:val="6"/>
          <w:sz w:val="32"/>
          <w:szCs w:val="32"/>
          <w:highlight w:val="none"/>
        </w:rPr>
      </w:pPr>
    </w:p>
    <w:p w14:paraId="15553726">
      <w:pPr>
        <w:autoSpaceDE w:val="0"/>
        <w:autoSpaceDN w:val="0"/>
        <w:jc w:val="center"/>
        <w:rPr>
          <w:rFonts w:ascii="宋体" w:hAnsi="宋体" w:cs="宋体"/>
          <w:b/>
          <w:color w:val="auto"/>
          <w:spacing w:val="6"/>
          <w:sz w:val="32"/>
          <w:szCs w:val="32"/>
          <w:highlight w:val="none"/>
        </w:rPr>
      </w:pPr>
    </w:p>
    <w:p w14:paraId="45F5F908">
      <w:pPr>
        <w:autoSpaceDE w:val="0"/>
        <w:autoSpaceDN w:val="0"/>
        <w:jc w:val="center"/>
        <w:rPr>
          <w:rFonts w:ascii="宋体" w:hAnsi="宋体" w:cs="宋体"/>
          <w:b/>
          <w:color w:val="auto"/>
          <w:spacing w:val="6"/>
          <w:sz w:val="32"/>
          <w:szCs w:val="32"/>
          <w:highlight w:val="none"/>
        </w:rPr>
      </w:pPr>
    </w:p>
    <w:p w14:paraId="13B98A38">
      <w:pPr>
        <w:autoSpaceDE w:val="0"/>
        <w:autoSpaceDN w:val="0"/>
        <w:jc w:val="center"/>
        <w:rPr>
          <w:rFonts w:ascii="宋体" w:hAnsi="宋体" w:cs="宋体"/>
          <w:b/>
          <w:color w:val="auto"/>
          <w:spacing w:val="6"/>
          <w:sz w:val="32"/>
          <w:szCs w:val="32"/>
          <w:highlight w:val="none"/>
        </w:rPr>
      </w:pPr>
    </w:p>
    <w:p w14:paraId="6579CFD0">
      <w:pPr>
        <w:autoSpaceDE w:val="0"/>
        <w:autoSpaceDN w:val="0"/>
        <w:jc w:val="center"/>
        <w:rPr>
          <w:rFonts w:ascii="宋体" w:hAnsi="宋体" w:cs="宋体"/>
          <w:b/>
          <w:color w:val="auto"/>
          <w:spacing w:val="6"/>
          <w:sz w:val="32"/>
          <w:szCs w:val="32"/>
          <w:highlight w:val="none"/>
        </w:rPr>
      </w:pPr>
    </w:p>
    <w:p w14:paraId="06D75162">
      <w:pPr>
        <w:autoSpaceDE w:val="0"/>
        <w:autoSpaceDN w:val="0"/>
        <w:jc w:val="center"/>
        <w:rPr>
          <w:rFonts w:ascii="宋体" w:hAnsi="宋体" w:cs="宋体"/>
          <w:b/>
          <w:color w:val="auto"/>
          <w:spacing w:val="6"/>
          <w:sz w:val="32"/>
          <w:szCs w:val="32"/>
          <w:highlight w:val="none"/>
        </w:rPr>
      </w:pPr>
    </w:p>
    <w:p w14:paraId="3549AFD0">
      <w:pPr>
        <w:autoSpaceDE w:val="0"/>
        <w:autoSpaceDN w:val="0"/>
        <w:jc w:val="center"/>
        <w:rPr>
          <w:rFonts w:ascii="宋体" w:hAnsi="宋体" w:cs="宋体"/>
          <w:b/>
          <w:color w:val="auto"/>
          <w:spacing w:val="6"/>
          <w:sz w:val="32"/>
          <w:szCs w:val="32"/>
          <w:highlight w:val="none"/>
        </w:rPr>
      </w:pPr>
    </w:p>
    <w:p w14:paraId="2084B071">
      <w:pPr>
        <w:autoSpaceDE w:val="0"/>
        <w:autoSpaceDN w:val="0"/>
        <w:jc w:val="center"/>
        <w:rPr>
          <w:rFonts w:ascii="宋体" w:hAnsi="宋体" w:cs="宋体"/>
          <w:b/>
          <w:color w:val="auto"/>
          <w:spacing w:val="6"/>
          <w:sz w:val="32"/>
          <w:szCs w:val="32"/>
          <w:highlight w:val="none"/>
        </w:rPr>
      </w:pPr>
    </w:p>
    <w:p w14:paraId="26DEE5BA">
      <w:pPr>
        <w:autoSpaceDE w:val="0"/>
        <w:autoSpaceDN w:val="0"/>
        <w:jc w:val="center"/>
        <w:rPr>
          <w:rFonts w:ascii="宋体" w:hAnsi="宋体" w:cs="宋体"/>
          <w:b/>
          <w:color w:val="auto"/>
          <w:spacing w:val="6"/>
          <w:sz w:val="32"/>
          <w:szCs w:val="32"/>
          <w:highlight w:val="none"/>
        </w:rPr>
      </w:pPr>
    </w:p>
    <w:p w14:paraId="09A037CC">
      <w:pPr>
        <w:autoSpaceDE w:val="0"/>
        <w:autoSpaceDN w:val="0"/>
        <w:jc w:val="center"/>
        <w:rPr>
          <w:rFonts w:ascii="宋体" w:hAnsi="宋体" w:cs="宋体"/>
          <w:b/>
          <w:color w:val="auto"/>
          <w:spacing w:val="6"/>
          <w:sz w:val="32"/>
          <w:szCs w:val="32"/>
          <w:highlight w:val="none"/>
        </w:rPr>
      </w:pPr>
    </w:p>
    <w:p w14:paraId="1E181B9C">
      <w:pPr>
        <w:autoSpaceDE w:val="0"/>
        <w:autoSpaceDN w:val="0"/>
        <w:jc w:val="center"/>
        <w:rPr>
          <w:rFonts w:ascii="宋体" w:hAnsi="宋体" w:cs="宋体"/>
          <w:b/>
          <w:color w:val="auto"/>
          <w:spacing w:val="6"/>
          <w:sz w:val="32"/>
          <w:szCs w:val="32"/>
          <w:highlight w:val="none"/>
        </w:rPr>
      </w:pPr>
    </w:p>
    <w:p w14:paraId="121A25EB">
      <w:pPr>
        <w:autoSpaceDE w:val="0"/>
        <w:autoSpaceDN w:val="0"/>
        <w:jc w:val="center"/>
        <w:rPr>
          <w:rFonts w:ascii="宋体" w:hAnsi="宋体" w:cs="宋体"/>
          <w:b/>
          <w:color w:val="auto"/>
          <w:spacing w:val="6"/>
          <w:sz w:val="32"/>
          <w:szCs w:val="32"/>
          <w:highlight w:val="none"/>
        </w:rPr>
      </w:pPr>
    </w:p>
    <w:p w14:paraId="56F336C3">
      <w:pPr>
        <w:autoSpaceDE w:val="0"/>
        <w:autoSpaceDN w:val="0"/>
        <w:jc w:val="center"/>
        <w:rPr>
          <w:rFonts w:ascii="宋体" w:hAnsi="宋体" w:cs="宋体"/>
          <w:b/>
          <w:color w:val="auto"/>
          <w:spacing w:val="6"/>
          <w:sz w:val="32"/>
          <w:szCs w:val="32"/>
          <w:highlight w:val="none"/>
        </w:rPr>
      </w:pPr>
    </w:p>
    <w:p w14:paraId="7826342E">
      <w:pPr>
        <w:autoSpaceDE w:val="0"/>
        <w:autoSpaceDN w:val="0"/>
        <w:jc w:val="center"/>
        <w:rPr>
          <w:rFonts w:ascii="宋体" w:hAnsi="宋体" w:cs="宋体"/>
          <w:b/>
          <w:color w:val="auto"/>
          <w:spacing w:val="6"/>
          <w:sz w:val="32"/>
          <w:szCs w:val="32"/>
          <w:highlight w:val="none"/>
        </w:rPr>
      </w:pPr>
    </w:p>
    <w:p w14:paraId="47DA51BE">
      <w:pPr>
        <w:autoSpaceDE w:val="0"/>
        <w:autoSpaceDN w:val="0"/>
        <w:jc w:val="center"/>
        <w:rPr>
          <w:rFonts w:ascii="宋体" w:hAnsi="宋体" w:cs="宋体"/>
          <w:b/>
          <w:color w:val="auto"/>
          <w:spacing w:val="6"/>
          <w:sz w:val="32"/>
          <w:szCs w:val="32"/>
          <w:highlight w:val="none"/>
        </w:rPr>
      </w:pPr>
    </w:p>
    <w:p w14:paraId="4F61001E">
      <w:pPr>
        <w:autoSpaceDE w:val="0"/>
        <w:autoSpaceDN w:val="0"/>
        <w:jc w:val="center"/>
        <w:rPr>
          <w:rFonts w:ascii="宋体" w:hAnsi="宋体" w:cs="宋体"/>
          <w:b/>
          <w:color w:val="auto"/>
          <w:spacing w:val="6"/>
          <w:sz w:val="32"/>
          <w:szCs w:val="32"/>
          <w:highlight w:val="none"/>
        </w:rPr>
      </w:pPr>
    </w:p>
    <w:p w14:paraId="54402FA4">
      <w:pPr>
        <w:autoSpaceDE w:val="0"/>
        <w:autoSpaceDN w:val="0"/>
        <w:jc w:val="center"/>
        <w:rPr>
          <w:rFonts w:ascii="宋体" w:hAnsi="宋体" w:cs="宋体"/>
          <w:b/>
          <w:color w:val="auto"/>
          <w:spacing w:val="6"/>
          <w:sz w:val="32"/>
          <w:szCs w:val="32"/>
          <w:highlight w:val="none"/>
        </w:rPr>
      </w:pPr>
    </w:p>
    <w:p w14:paraId="2ABCC960">
      <w:pPr>
        <w:autoSpaceDE w:val="0"/>
        <w:autoSpaceDN w:val="0"/>
        <w:jc w:val="center"/>
        <w:rPr>
          <w:rFonts w:ascii="宋体" w:hAnsi="宋体" w:cs="宋体"/>
          <w:b/>
          <w:color w:val="auto"/>
          <w:spacing w:val="6"/>
          <w:sz w:val="32"/>
          <w:szCs w:val="32"/>
          <w:highlight w:val="none"/>
        </w:rPr>
      </w:pPr>
    </w:p>
    <w:p w14:paraId="0B0CC5C1">
      <w:pPr>
        <w:autoSpaceDE w:val="0"/>
        <w:autoSpaceDN w:val="0"/>
        <w:jc w:val="center"/>
        <w:rPr>
          <w:rFonts w:ascii="宋体" w:hAnsi="宋体" w:cs="宋体"/>
          <w:b/>
          <w:color w:val="auto"/>
          <w:spacing w:val="6"/>
          <w:sz w:val="32"/>
          <w:szCs w:val="32"/>
          <w:highlight w:val="none"/>
        </w:rPr>
      </w:pPr>
    </w:p>
    <w:p w14:paraId="63C8CA98">
      <w:pPr>
        <w:autoSpaceDE w:val="0"/>
        <w:autoSpaceDN w:val="0"/>
        <w:jc w:val="center"/>
        <w:rPr>
          <w:rFonts w:ascii="宋体" w:hAnsi="宋体" w:cs="宋体"/>
          <w:b/>
          <w:color w:val="auto"/>
          <w:spacing w:val="6"/>
          <w:sz w:val="32"/>
          <w:szCs w:val="32"/>
          <w:highlight w:val="none"/>
        </w:rPr>
      </w:pPr>
    </w:p>
    <w:p w14:paraId="5CFF3DA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127EDF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6B18A9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杭州市2025至2026年度数字城管信息采集项目（拱墅区标项一）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BD107E8">
      <w:pPr>
        <w:spacing w:line="360" w:lineRule="auto"/>
        <w:ind w:firstLine="480" w:firstLineChars="200"/>
        <w:jc w:val="left"/>
        <w:rPr>
          <w:rFonts w:ascii="宋体" w:hAnsi="宋体" w:cs="宋体"/>
          <w:color w:val="auto"/>
          <w:sz w:val="24"/>
          <w:highlight w:val="none"/>
        </w:rPr>
      </w:pPr>
      <w:r>
        <w:rPr>
          <w:rFonts w:hint="eastAsia" w:ascii="宋体" w:hAnsi="宋体" w:eastAsia="宋体" w:cs="宋体"/>
          <w:b w:val="0"/>
          <w:bCs w:val="0"/>
          <w:color w:val="auto"/>
          <w:kern w:val="0"/>
          <w:sz w:val="24"/>
          <w:highlight w:val="none"/>
          <w:u w:val="single"/>
        </w:rPr>
        <w:t>杭州市数字城管信息采集</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u w:val="single"/>
        </w:rPr>
        <w:t>其他未列明</w:t>
      </w:r>
      <w:r>
        <w:rPr>
          <w:rFonts w:hint="eastAsia" w:ascii="宋体" w:hAnsi="宋体" w:eastAsia="宋体" w:cs="宋体"/>
          <w:b w:val="0"/>
          <w:bCs w:val="0"/>
          <w:color w:val="auto"/>
          <w:kern w:val="0"/>
          <w:sz w:val="24"/>
          <w:highlight w:val="none"/>
          <w:u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1F64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76DF7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EC72C2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B5912A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61CDB9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CE9DCBA">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w:t>
      </w:r>
      <w:r>
        <w:rPr>
          <w:rFonts w:hint="eastAsia" w:ascii="宋体" w:hAnsi="宋体" w:cs="宋体"/>
          <w:b/>
          <w:color w:val="auto"/>
          <w:sz w:val="24"/>
          <w:highlight w:val="none"/>
          <w:lang w:val="en-US" w:eastAsia="zh-CN"/>
        </w:rPr>
        <w:t>本项目专门面向中小微企业。</w:t>
      </w:r>
    </w:p>
    <w:p w14:paraId="046A914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w:t>
      </w:r>
      <w:bookmarkStart w:id="417" w:name="_GoBack"/>
      <w:bookmarkEnd w:id="417"/>
      <w:r>
        <w:rPr>
          <w:rFonts w:hint="eastAsia" w:ascii="宋体" w:hAnsi="宋体" w:cs="宋体"/>
          <w:color w:val="auto"/>
          <w:sz w:val="24"/>
          <w:highlight w:val="none"/>
        </w:rPr>
        <w:t>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F69BD5">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0F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89D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39CC">
    <w:pPr>
      <w:pStyle w:val="39"/>
      <w:framePr w:wrap="around" w:vAnchor="text" w:hAnchor="margin" w:xAlign="right" w:y="1"/>
      <w:rPr>
        <w:rStyle w:val="72"/>
      </w:rPr>
    </w:pPr>
    <w:r>
      <w:fldChar w:fldCharType="begin"/>
    </w:r>
    <w:r>
      <w:rPr>
        <w:rStyle w:val="72"/>
      </w:rPr>
      <w:instrText xml:space="preserve">PAGE  </w:instrText>
    </w:r>
    <w:r>
      <w:fldChar w:fldCharType="end"/>
    </w:r>
  </w:p>
  <w:p w14:paraId="5F302A0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4EB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31845147"/>
    <w:bookmarkStart w:id="414" w:name="_Toc164085800"/>
    <w:bookmarkStart w:id="415" w:name="_Toc91899912"/>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2BA6">
    <w:pPr>
      <w:pStyle w:val="39"/>
      <w:framePr w:wrap="around" w:vAnchor="text" w:hAnchor="margin" w:xAlign="right" w:y="1"/>
      <w:rPr>
        <w:rStyle w:val="72"/>
      </w:rPr>
    </w:pPr>
    <w:r>
      <w:fldChar w:fldCharType="begin"/>
    </w:r>
    <w:r>
      <w:rPr>
        <w:rStyle w:val="72"/>
      </w:rPr>
      <w:instrText xml:space="preserve">PAGE  </w:instrText>
    </w:r>
    <w:r>
      <w:fldChar w:fldCharType="end"/>
    </w:r>
  </w:p>
  <w:p w14:paraId="6455871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D3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CA04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EB7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8F496A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6B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F1A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EC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E2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93CB">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360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9F90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32D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83B1">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0D55">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273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E01B">
    <w:pPr>
      <w:pStyle w:val="40"/>
      <w:jc w:val="right"/>
      <w:rPr>
        <w:rFonts w:ascii="仿宋_GB2312" w:eastAsia="仿宋_GB2312"/>
        <w:b/>
        <w:i/>
        <w:u w:val="single"/>
      </w:rPr>
    </w:pPr>
    <w:r>
      <w:rPr>
        <w:rFonts w:hint="eastAsia"/>
      </w:rPr>
      <w:t xml:space="preserve">                                  </w:t>
    </w:r>
    <w:r>
      <w:t>杭州市政府采购公开招标文件</w:t>
    </w:r>
  </w:p>
  <w:p w14:paraId="3D33B4C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2B9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A0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C17D4"/>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022F7"/>
    <w:rsid w:val="0A3E7710"/>
    <w:rsid w:val="0A5B7E63"/>
    <w:rsid w:val="0AA374A5"/>
    <w:rsid w:val="0AAB7649"/>
    <w:rsid w:val="0ABC5606"/>
    <w:rsid w:val="0B26189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5C4521"/>
    <w:rsid w:val="0F6248D2"/>
    <w:rsid w:val="0F693536"/>
    <w:rsid w:val="0F7B0511"/>
    <w:rsid w:val="0F7B76D9"/>
    <w:rsid w:val="0F816ACD"/>
    <w:rsid w:val="0F9832DB"/>
    <w:rsid w:val="0FBF3FD2"/>
    <w:rsid w:val="0FBF7FF3"/>
    <w:rsid w:val="10624B4A"/>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DE4337"/>
    <w:rsid w:val="12F11F28"/>
    <w:rsid w:val="13072A44"/>
    <w:rsid w:val="13200C1E"/>
    <w:rsid w:val="135F4BE2"/>
    <w:rsid w:val="139B1A0A"/>
    <w:rsid w:val="139D25C7"/>
    <w:rsid w:val="13BF3CE4"/>
    <w:rsid w:val="141008D8"/>
    <w:rsid w:val="14125FE6"/>
    <w:rsid w:val="142E59C3"/>
    <w:rsid w:val="146D271E"/>
    <w:rsid w:val="14982588"/>
    <w:rsid w:val="149A5AD9"/>
    <w:rsid w:val="14A7619D"/>
    <w:rsid w:val="14BA7E1E"/>
    <w:rsid w:val="14CB497E"/>
    <w:rsid w:val="150536C3"/>
    <w:rsid w:val="150C1963"/>
    <w:rsid w:val="151447A0"/>
    <w:rsid w:val="154A6454"/>
    <w:rsid w:val="15762120"/>
    <w:rsid w:val="15D523EC"/>
    <w:rsid w:val="16A8729C"/>
    <w:rsid w:val="16B33777"/>
    <w:rsid w:val="16BC70A7"/>
    <w:rsid w:val="16C6339E"/>
    <w:rsid w:val="172F2D79"/>
    <w:rsid w:val="17557BEF"/>
    <w:rsid w:val="175A2851"/>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BAB254"/>
    <w:rsid w:val="1DCF489B"/>
    <w:rsid w:val="1DF51A98"/>
    <w:rsid w:val="1E2F53D8"/>
    <w:rsid w:val="1E3D060F"/>
    <w:rsid w:val="1E3F7D2E"/>
    <w:rsid w:val="1E4134E4"/>
    <w:rsid w:val="1E5062B3"/>
    <w:rsid w:val="1E523514"/>
    <w:rsid w:val="1E714A66"/>
    <w:rsid w:val="1E7F4D70"/>
    <w:rsid w:val="1E802593"/>
    <w:rsid w:val="1E8B6156"/>
    <w:rsid w:val="1EA703CC"/>
    <w:rsid w:val="1EB7330C"/>
    <w:rsid w:val="1F0A0FF3"/>
    <w:rsid w:val="1F1C1B35"/>
    <w:rsid w:val="1F301298"/>
    <w:rsid w:val="1F5771FF"/>
    <w:rsid w:val="1FBDC53F"/>
    <w:rsid w:val="1FE868A9"/>
    <w:rsid w:val="1FF3CD4A"/>
    <w:rsid w:val="20034907"/>
    <w:rsid w:val="20097E44"/>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BE6801"/>
    <w:rsid w:val="22F8366E"/>
    <w:rsid w:val="23027B10"/>
    <w:rsid w:val="233500BF"/>
    <w:rsid w:val="23377FF7"/>
    <w:rsid w:val="236B425F"/>
    <w:rsid w:val="23836192"/>
    <w:rsid w:val="23901F29"/>
    <w:rsid w:val="239C0061"/>
    <w:rsid w:val="23B908A4"/>
    <w:rsid w:val="23E95BEF"/>
    <w:rsid w:val="23FCDEF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2328F4"/>
    <w:rsid w:val="2CE82D6F"/>
    <w:rsid w:val="2D343236"/>
    <w:rsid w:val="2DD15014"/>
    <w:rsid w:val="2DF72DE4"/>
    <w:rsid w:val="2E0220AF"/>
    <w:rsid w:val="2E4B082A"/>
    <w:rsid w:val="2E5D4E86"/>
    <w:rsid w:val="2E5D790B"/>
    <w:rsid w:val="2E9A3C18"/>
    <w:rsid w:val="2EBB0FEE"/>
    <w:rsid w:val="2EC63002"/>
    <w:rsid w:val="2EF7048C"/>
    <w:rsid w:val="2F0A6B38"/>
    <w:rsid w:val="2F3FB985"/>
    <w:rsid w:val="2F4316AB"/>
    <w:rsid w:val="2F6F54FD"/>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8C626F"/>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5B4E"/>
    <w:rsid w:val="358D5588"/>
    <w:rsid w:val="363A3B40"/>
    <w:rsid w:val="365302AE"/>
    <w:rsid w:val="36607A0A"/>
    <w:rsid w:val="366E227C"/>
    <w:rsid w:val="366F2E0D"/>
    <w:rsid w:val="367B6A5C"/>
    <w:rsid w:val="36846564"/>
    <w:rsid w:val="36A74ADA"/>
    <w:rsid w:val="36AD60D5"/>
    <w:rsid w:val="36B224F9"/>
    <w:rsid w:val="36EC0CC9"/>
    <w:rsid w:val="373F410B"/>
    <w:rsid w:val="37746A67"/>
    <w:rsid w:val="37BF8A67"/>
    <w:rsid w:val="37EE7094"/>
    <w:rsid w:val="38296C89"/>
    <w:rsid w:val="383002EB"/>
    <w:rsid w:val="38305B7D"/>
    <w:rsid w:val="38458A13"/>
    <w:rsid w:val="38586797"/>
    <w:rsid w:val="38BC0149"/>
    <w:rsid w:val="38D87D1C"/>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1E66"/>
    <w:rsid w:val="3D8734BB"/>
    <w:rsid w:val="3D9A11D4"/>
    <w:rsid w:val="3DA16D89"/>
    <w:rsid w:val="3DA364BE"/>
    <w:rsid w:val="3DE041CB"/>
    <w:rsid w:val="3DE5D2FC"/>
    <w:rsid w:val="3DFAE5B8"/>
    <w:rsid w:val="3E0D48F6"/>
    <w:rsid w:val="3E1868B4"/>
    <w:rsid w:val="3E377251"/>
    <w:rsid w:val="3E42664B"/>
    <w:rsid w:val="3E5A7334"/>
    <w:rsid w:val="3E7B5D6B"/>
    <w:rsid w:val="3E7BE6D9"/>
    <w:rsid w:val="3E843E66"/>
    <w:rsid w:val="3E8F51FE"/>
    <w:rsid w:val="3E926F87"/>
    <w:rsid w:val="3E9A59DE"/>
    <w:rsid w:val="3EA031FF"/>
    <w:rsid w:val="3EAF4836"/>
    <w:rsid w:val="3EC33DFA"/>
    <w:rsid w:val="3F060E16"/>
    <w:rsid w:val="3F1D1096"/>
    <w:rsid w:val="3F2F0234"/>
    <w:rsid w:val="3F6363FE"/>
    <w:rsid w:val="3F756B8F"/>
    <w:rsid w:val="3F95482B"/>
    <w:rsid w:val="3FBD19C1"/>
    <w:rsid w:val="4019356B"/>
    <w:rsid w:val="402A37B7"/>
    <w:rsid w:val="40592157"/>
    <w:rsid w:val="406E1CAE"/>
    <w:rsid w:val="40A0133A"/>
    <w:rsid w:val="40C31A53"/>
    <w:rsid w:val="40F5154D"/>
    <w:rsid w:val="40FF545D"/>
    <w:rsid w:val="410067C8"/>
    <w:rsid w:val="418F0D2A"/>
    <w:rsid w:val="41D01505"/>
    <w:rsid w:val="42474939"/>
    <w:rsid w:val="424C3C57"/>
    <w:rsid w:val="42613FF3"/>
    <w:rsid w:val="42660D96"/>
    <w:rsid w:val="426BB2D3"/>
    <w:rsid w:val="428667D2"/>
    <w:rsid w:val="42AE38A9"/>
    <w:rsid w:val="42CD1CE0"/>
    <w:rsid w:val="42E1381E"/>
    <w:rsid w:val="42ED6459"/>
    <w:rsid w:val="42FE58DD"/>
    <w:rsid w:val="43174B3D"/>
    <w:rsid w:val="434B790E"/>
    <w:rsid w:val="4360274F"/>
    <w:rsid w:val="438962E2"/>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3439C"/>
    <w:rsid w:val="45C63B94"/>
    <w:rsid w:val="460E7DA5"/>
    <w:rsid w:val="46422483"/>
    <w:rsid w:val="4659254A"/>
    <w:rsid w:val="465B0637"/>
    <w:rsid w:val="465E3F0D"/>
    <w:rsid w:val="466A16E6"/>
    <w:rsid w:val="46893F2B"/>
    <w:rsid w:val="46C4686E"/>
    <w:rsid w:val="46FF9BF9"/>
    <w:rsid w:val="477B778F"/>
    <w:rsid w:val="478203EC"/>
    <w:rsid w:val="47B025FA"/>
    <w:rsid w:val="4809698F"/>
    <w:rsid w:val="4811697D"/>
    <w:rsid w:val="481614D6"/>
    <w:rsid w:val="487A3E25"/>
    <w:rsid w:val="488B5503"/>
    <w:rsid w:val="48937E21"/>
    <w:rsid w:val="489A0361"/>
    <w:rsid w:val="48B94FF3"/>
    <w:rsid w:val="48E37AAB"/>
    <w:rsid w:val="48EA42C6"/>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70A56"/>
    <w:rsid w:val="4B707271"/>
    <w:rsid w:val="4B9739F7"/>
    <w:rsid w:val="4BB58410"/>
    <w:rsid w:val="4BEE2503"/>
    <w:rsid w:val="4C245A30"/>
    <w:rsid w:val="4CB6685F"/>
    <w:rsid w:val="4CC367FE"/>
    <w:rsid w:val="4D077F3C"/>
    <w:rsid w:val="4D123355"/>
    <w:rsid w:val="4D2A3B31"/>
    <w:rsid w:val="4D312C52"/>
    <w:rsid w:val="4D905305"/>
    <w:rsid w:val="4D964A72"/>
    <w:rsid w:val="4D9C1254"/>
    <w:rsid w:val="4E792827"/>
    <w:rsid w:val="4E793892"/>
    <w:rsid w:val="4E800872"/>
    <w:rsid w:val="4EAD68B0"/>
    <w:rsid w:val="4EC569ED"/>
    <w:rsid w:val="4ED50EA1"/>
    <w:rsid w:val="4EEC050C"/>
    <w:rsid w:val="4F104EC3"/>
    <w:rsid w:val="4F47354A"/>
    <w:rsid w:val="4F911C54"/>
    <w:rsid w:val="4FE625E0"/>
    <w:rsid w:val="4FE87012"/>
    <w:rsid w:val="4FFD4905"/>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3FD62E7"/>
    <w:rsid w:val="53FFD49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FBB96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A6647"/>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7F797E"/>
    <w:rsid w:val="5A874767"/>
    <w:rsid w:val="5AA85BE2"/>
    <w:rsid w:val="5AAD6F28"/>
    <w:rsid w:val="5AD63A24"/>
    <w:rsid w:val="5B2E1A1D"/>
    <w:rsid w:val="5B5F5E1B"/>
    <w:rsid w:val="5B843A1C"/>
    <w:rsid w:val="5B873E3F"/>
    <w:rsid w:val="5C02690E"/>
    <w:rsid w:val="5C027D32"/>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F9B57"/>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E5E8A"/>
    <w:rsid w:val="63711FED"/>
    <w:rsid w:val="63880DDC"/>
    <w:rsid w:val="638D750D"/>
    <w:rsid w:val="63AC6CC0"/>
    <w:rsid w:val="64055776"/>
    <w:rsid w:val="64152507"/>
    <w:rsid w:val="64240056"/>
    <w:rsid w:val="643E143A"/>
    <w:rsid w:val="64491666"/>
    <w:rsid w:val="648B6EEF"/>
    <w:rsid w:val="64C158BF"/>
    <w:rsid w:val="64CC59F4"/>
    <w:rsid w:val="64CE2EAA"/>
    <w:rsid w:val="653C3090"/>
    <w:rsid w:val="65854376"/>
    <w:rsid w:val="658767BE"/>
    <w:rsid w:val="65892531"/>
    <w:rsid w:val="66195831"/>
    <w:rsid w:val="662E75B1"/>
    <w:rsid w:val="66342C2E"/>
    <w:rsid w:val="663E784C"/>
    <w:rsid w:val="668B6A45"/>
    <w:rsid w:val="672F3F24"/>
    <w:rsid w:val="67367EA7"/>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2406C8"/>
    <w:rsid w:val="6A3A70C3"/>
    <w:rsid w:val="6ADE0BD1"/>
    <w:rsid w:val="6AE96859"/>
    <w:rsid w:val="6B147746"/>
    <w:rsid w:val="6B24787C"/>
    <w:rsid w:val="6B55B22B"/>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67237"/>
    <w:rsid w:val="6E7FB92F"/>
    <w:rsid w:val="6E8335BD"/>
    <w:rsid w:val="6E8E12EF"/>
    <w:rsid w:val="6E972936"/>
    <w:rsid w:val="6ED446C5"/>
    <w:rsid w:val="6EE74A5B"/>
    <w:rsid w:val="6EF57211"/>
    <w:rsid w:val="6EFCF5E5"/>
    <w:rsid w:val="6F2A7D94"/>
    <w:rsid w:val="6F8331F1"/>
    <w:rsid w:val="6FAE1A09"/>
    <w:rsid w:val="6FB86358"/>
    <w:rsid w:val="6FD75BF8"/>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1EEF57"/>
    <w:rsid w:val="73C0646E"/>
    <w:rsid w:val="742222F5"/>
    <w:rsid w:val="744040C3"/>
    <w:rsid w:val="74476126"/>
    <w:rsid w:val="74706664"/>
    <w:rsid w:val="747F3682"/>
    <w:rsid w:val="749C4185"/>
    <w:rsid w:val="75067759"/>
    <w:rsid w:val="752E6DCD"/>
    <w:rsid w:val="7551380D"/>
    <w:rsid w:val="75600BE5"/>
    <w:rsid w:val="7564475C"/>
    <w:rsid w:val="7583797F"/>
    <w:rsid w:val="759D3E47"/>
    <w:rsid w:val="75C795DE"/>
    <w:rsid w:val="75D20F1D"/>
    <w:rsid w:val="75DA2C18"/>
    <w:rsid w:val="75F54412"/>
    <w:rsid w:val="761D08E0"/>
    <w:rsid w:val="765D347C"/>
    <w:rsid w:val="76826699"/>
    <w:rsid w:val="76C87133"/>
    <w:rsid w:val="76CD08D5"/>
    <w:rsid w:val="76DB4B92"/>
    <w:rsid w:val="77052AA4"/>
    <w:rsid w:val="77136511"/>
    <w:rsid w:val="771F10C8"/>
    <w:rsid w:val="77340A39"/>
    <w:rsid w:val="77351FD0"/>
    <w:rsid w:val="77472422"/>
    <w:rsid w:val="777F31F2"/>
    <w:rsid w:val="779B9421"/>
    <w:rsid w:val="77BE3262"/>
    <w:rsid w:val="77D1700D"/>
    <w:rsid w:val="77E36FCC"/>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9FE0ED3"/>
    <w:rsid w:val="7A1D1975"/>
    <w:rsid w:val="7A3E5150"/>
    <w:rsid w:val="7A4670D6"/>
    <w:rsid w:val="7A4C1BC7"/>
    <w:rsid w:val="7A534B63"/>
    <w:rsid w:val="7A615382"/>
    <w:rsid w:val="7A67303B"/>
    <w:rsid w:val="7AAB1D04"/>
    <w:rsid w:val="7ABA4368"/>
    <w:rsid w:val="7AD05746"/>
    <w:rsid w:val="7B257FFD"/>
    <w:rsid w:val="7B343476"/>
    <w:rsid w:val="7B5A2978"/>
    <w:rsid w:val="7B5A7E4C"/>
    <w:rsid w:val="7B667AF9"/>
    <w:rsid w:val="7B7468F8"/>
    <w:rsid w:val="7BB05F38"/>
    <w:rsid w:val="7BDD4AF6"/>
    <w:rsid w:val="7BEE0103"/>
    <w:rsid w:val="7C0A0FE4"/>
    <w:rsid w:val="7C254906"/>
    <w:rsid w:val="7C590818"/>
    <w:rsid w:val="7C7C10F6"/>
    <w:rsid w:val="7C853BEA"/>
    <w:rsid w:val="7C881368"/>
    <w:rsid w:val="7CE27788"/>
    <w:rsid w:val="7D0C32F1"/>
    <w:rsid w:val="7D0F408D"/>
    <w:rsid w:val="7D491C6C"/>
    <w:rsid w:val="7D5429C0"/>
    <w:rsid w:val="7D6E6D43"/>
    <w:rsid w:val="7D77A1D8"/>
    <w:rsid w:val="7DB57A34"/>
    <w:rsid w:val="7DD5CB2B"/>
    <w:rsid w:val="7DE60973"/>
    <w:rsid w:val="7DE7EB8A"/>
    <w:rsid w:val="7DEF0916"/>
    <w:rsid w:val="7DFAF388"/>
    <w:rsid w:val="7E1E5218"/>
    <w:rsid w:val="7E7F3A36"/>
    <w:rsid w:val="7E9A4E1F"/>
    <w:rsid w:val="7E9FD0F4"/>
    <w:rsid w:val="7EA7723A"/>
    <w:rsid w:val="7EA7D4C1"/>
    <w:rsid w:val="7ED52645"/>
    <w:rsid w:val="7EDF8D63"/>
    <w:rsid w:val="7EEF7CCD"/>
    <w:rsid w:val="7EEFCCFD"/>
    <w:rsid w:val="7EF56FBB"/>
    <w:rsid w:val="7EFD3C73"/>
    <w:rsid w:val="7EFF0EB9"/>
    <w:rsid w:val="7F0768EB"/>
    <w:rsid w:val="7F143BEC"/>
    <w:rsid w:val="7F4F80CE"/>
    <w:rsid w:val="7F62070A"/>
    <w:rsid w:val="7F715AF2"/>
    <w:rsid w:val="7F886E69"/>
    <w:rsid w:val="7F9D8E90"/>
    <w:rsid w:val="7FAD88D0"/>
    <w:rsid w:val="7FBD6B4C"/>
    <w:rsid w:val="7FBF94E1"/>
    <w:rsid w:val="7FD79A78"/>
    <w:rsid w:val="7FDBFFCD"/>
    <w:rsid w:val="7FF7BE0C"/>
    <w:rsid w:val="7FF7E140"/>
    <w:rsid w:val="7FF80783"/>
    <w:rsid w:val="7FFE0F09"/>
    <w:rsid w:val="7FFF95E2"/>
    <w:rsid w:val="7FFFA512"/>
    <w:rsid w:val="7FFFAF69"/>
    <w:rsid w:val="7FFFDB7D"/>
    <w:rsid w:val="95D8C097"/>
    <w:rsid w:val="98FBCF78"/>
    <w:rsid w:val="997DBF4C"/>
    <w:rsid w:val="9C976A2C"/>
    <w:rsid w:val="9CEF433D"/>
    <w:rsid w:val="9FE7F58B"/>
    <w:rsid w:val="ABBF9B3A"/>
    <w:rsid w:val="ADD981BE"/>
    <w:rsid w:val="ADE74A86"/>
    <w:rsid w:val="B3FF57DF"/>
    <w:rsid w:val="B7FF0988"/>
    <w:rsid w:val="BABB7449"/>
    <w:rsid w:val="BB7FA927"/>
    <w:rsid w:val="BBCE94F8"/>
    <w:rsid w:val="BCB7B2AD"/>
    <w:rsid w:val="BDFFB246"/>
    <w:rsid w:val="BEFDA2B9"/>
    <w:rsid w:val="BFD77E6D"/>
    <w:rsid w:val="BFF5C97C"/>
    <w:rsid w:val="BFF9166E"/>
    <w:rsid w:val="BFFF794F"/>
    <w:rsid w:val="C9BBF838"/>
    <w:rsid w:val="CDED9292"/>
    <w:rsid w:val="D6DE5EB8"/>
    <w:rsid w:val="DBB6DF99"/>
    <w:rsid w:val="DDFE69CB"/>
    <w:rsid w:val="DEFF79B5"/>
    <w:rsid w:val="E77FB0CD"/>
    <w:rsid w:val="E92B361C"/>
    <w:rsid w:val="EB8B6FE1"/>
    <w:rsid w:val="ED87B3D9"/>
    <w:rsid w:val="EDEEE36C"/>
    <w:rsid w:val="EE7B4C36"/>
    <w:rsid w:val="EEF61304"/>
    <w:rsid w:val="EEFEB823"/>
    <w:rsid w:val="EF7907E2"/>
    <w:rsid w:val="EF8F219A"/>
    <w:rsid w:val="EFFF60BA"/>
    <w:rsid w:val="F2CE9F99"/>
    <w:rsid w:val="F3BF3405"/>
    <w:rsid w:val="F3FB00C2"/>
    <w:rsid w:val="F5E11C2A"/>
    <w:rsid w:val="F5FFD31F"/>
    <w:rsid w:val="F6EF2088"/>
    <w:rsid w:val="F76F8B46"/>
    <w:rsid w:val="F777B4BA"/>
    <w:rsid w:val="FA31854D"/>
    <w:rsid w:val="FB75A9C6"/>
    <w:rsid w:val="FB9C63DD"/>
    <w:rsid w:val="FCBED1A0"/>
    <w:rsid w:val="FCFBD959"/>
    <w:rsid w:val="FCFF2F6A"/>
    <w:rsid w:val="FDBFA0D6"/>
    <w:rsid w:val="FDFF802C"/>
    <w:rsid w:val="FEEEE7F8"/>
    <w:rsid w:val="FEEF395C"/>
    <w:rsid w:val="FF75E752"/>
    <w:rsid w:val="FF7B5856"/>
    <w:rsid w:val="FF7FEEE0"/>
    <w:rsid w:val="FF9D1611"/>
    <w:rsid w:val="FFBE90A1"/>
    <w:rsid w:val="FFD7B12E"/>
    <w:rsid w:val="FFDD73B8"/>
    <w:rsid w:val="FFDFCE88"/>
    <w:rsid w:val="FFDFD706"/>
    <w:rsid w:val="FFEB1C1E"/>
    <w:rsid w:val="FFF5100D"/>
    <w:rsid w:val="FFFE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4033</Words>
  <Characters>4532</Characters>
  <Lines>282</Lines>
  <Paragraphs>79</Paragraphs>
  <TotalTime>9</TotalTime>
  <ScaleCrop>false</ScaleCrop>
  <LinksUpToDate>false</LinksUpToDate>
  <CharactersWithSpaces>4824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2021-08-09T08:22:00Z</dcterms:created>
  <dc:creator>玥</dc:creator>
  <cp:lastModifiedBy>Administrator</cp:lastModifiedBy>
  <cp:lastPrinted>2024-12-05T14:29:00Z</cp:lastPrinted>
  <dcterms:modified xsi:type="dcterms:W3CDTF">2024-12-19T01:40:13Z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